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C0D8" w14:textId="24138E41" w:rsidR="00B7745E" w:rsidRPr="00355C84" w:rsidRDefault="0035515F" w:rsidP="005E52CD">
      <w:pPr>
        <w:tabs>
          <w:tab w:val="left" w:pos="6096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9D69BFB" wp14:editId="6D1042BE">
            <wp:extent cx="1376680" cy="581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4FE00B6A" w14:textId="77777777" w:rsidR="00B7745E" w:rsidRPr="00355C84" w:rsidRDefault="00BC1CA5" w:rsidP="00B307C1">
      <w:pPr>
        <w:spacing w:before="240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14:paraId="6122BF8B" w14:textId="77777777" w:rsidR="00F140F3" w:rsidRDefault="00F140F3">
      <w:pPr>
        <w:spacing w:before="2400"/>
        <w:jc w:val="center"/>
        <w:rPr>
          <w:rFonts w:ascii="Arial" w:hAnsi="Arial" w:cs="Arial"/>
          <w:b/>
          <w:bCs/>
          <w:sz w:val="40"/>
        </w:rPr>
      </w:pPr>
    </w:p>
    <w:p w14:paraId="0D1B0FC4" w14:textId="091E37FB" w:rsidR="00B7745E" w:rsidRDefault="00BA4578">
      <w:pPr>
        <w:pStyle w:val="Nadpis1"/>
        <w:spacing w:after="1200"/>
        <w:rPr>
          <w:color w:val="0D3D84"/>
          <w:sz w:val="28"/>
        </w:rPr>
      </w:pPr>
      <w:r>
        <w:rPr>
          <w:color w:val="0D3D84"/>
          <w:sz w:val="40"/>
        </w:rPr>
        <w:t>P</w:t>
      </w:r>
      <w:r w:rsidR="00296C07">
        <w:rPr>
          <w:color w:val="0D3D84"/>
          <w:sz w:val="40"/>
        </w:rPr>
        <w:t>rogram</w:t>
      </w:r>
      <w:r>
        <w:rPr>
          <w:color w:val="0D3D84"/>
          <w:sz w:val="40"/>
        </w:rPr>
        <w:t xml:space="preserve"> </w:t>
      </w:r>
      <w:r w:rsidR="00A61DC8">
        <w:rPr>
          <w:color w:val="0D3D84"/>
          <w:sz w:val="40"/>
        </w:rPr>
        <w:t>COVID Záruka CK</w:t>
      </w:r>
      <w:r w:rsidR="00B7745E">
        <w:rPr>
          <w:color w:val="0D3D84"/>
          <w:sz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7"/>
        <w:gridCol w:w="3833"/>
      </w:tblGrid>
      <w:tr w:rsidR="00B7745E" w14:paraId="49DF2E05" w14:textId="77777777">
        <w:trPr>
          <w:trHeight w:val="454"/>
        </w:trPr>
        <w:tc>
          <w:tcPr>
            <w:tcW w:w="531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23884A1" w14:textId="77777777" w:rsidR="00B7745E" w:rsidRDefault="00CA3259" w:rsidP="00F140F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Platnost </w:t>
            </w:r>
          </w:p>
        </w:tc>
        <w:tc>
          <w:tcPr>
            <w:tcW w:w="3895" w:type="dxa"/>
            <w:vAlign w:val="center"/>
          </w:tcPr>
          <w:p w14:paraId="2D44F7B2" w14:textId="458B4ED8" w:rsidR="00B7745E" w:rsidRPr="005220AA" w:rsidRDefault="00F140F3" w:rsidP="001B1EE9">
            <w:pPr>
              <w:rPr>
                <w:rFonts w:ascii="Arial" w:hAnsi="Arial" w:cs="Arial"/>
                <w:b/>
                <w:sz w:val="24"/>
              </w:rPr>
            </w:pPr>
            <w:r w:rsidRPr="005220AA">
              <w:rPr>
                <w:rFonts w:ascii="Arial" w:hAnsi="Arial" w:cs="Arial"/>
                <w:b/>
                <w:sz w:val="24"/>
              </w:rPr>
              <w:t xml:space="preserve">Od </w:t>
            </w:r>
            <w:r w:rsidR="003339DE">
              <w:rPr>
                <w:rFonts w:ascii="Arial" w:hAnsi="Arial" w:cs="Arial"/>
                <w:b/>
                <w:sz w:val="24"/>
              </w:rPr>
              <w:t>18</w:t>
            </w:r>
            <w:r w:rsidR="00A238DE">
              <w:rPr>
                <w:rFonts w:ascii="Arial" w:hAnsi="Arial" w:cs="Arial"/>
                <w:b/>
                <w:sz w:val="24"/>
              </w:rPr>
              <w:t>.</w:t>
            </w:r>
            <w:r w:rsidR="000933F4">
              <w:rPr>
                <w:rFonts w:ascii="Arial" w:hAnsi="Arial" w:cs="Arial"/>
                <w:b/>
                <w:sz w:val="24"/>
              </w:rPr>
              <w:t xml:space="preserve"> </w:t>
            </w:r>
            <w:r w:rsidR="00A238DE">
              <w:rPr>
                <w:rFonts w:ascii="Arial" w:hAnsi="Arial" w:cs="Arial"/>
                <w:b/>
                <w:sz w:val="24"/>
              </w:rPr>
              <w:t>1. 202</w:t>
            </w:r>
            <w:r w:rsidR="003339DE">
              <w:rPr>
                <w:rFonts w:ascii="Arial" w:hAnsi="Arial" w:cs="Arial"/>
                <w:b/>
                <w:sz w:val="24"/>
              </w:rPr>
              <w:t>1</w:t>
            </w:r>
            <w:r w:rsidR="00A238DE">
              <w:rPr>
                <w:rFonts w:ascii="Arial" w:hAnsi="Arial" w:cs="Arial"/>
                <w:b/>
                <w:sz w:val="24"/>
              </w:rPr>
              <w:t xml:space="preserve"> </w:t>
            </w:r>
            <w:r w:rsidR="007404A6">
              <w:rPr>
                <w:rFonts w:ascii="Arial" w:hAnsi="Arial" w:cs="Arial"/>
                <w:b/>
                <w:sz w:val="24"/>
              </w:rPr>
              <w:t>(úprava platná od </w:t>
            </w:r>
            <w:r w:rsidR="007F2B79">
              <w:rPr>
                <w:rFonts w:ascii="Arial" w:hAnsi="Arial" w:cs="Arial"/>
                <w:b/>
                <w:sz w:val="24"/>
              </w:rPr>
              <w:t>4. 1. 2023</w:t>
            </w:r>
            <w:bookmarkStart w:id="0" w:name="_GoBack"/>
            <w:bookmarkEnd w:id="0"/>
            <w:r w:rsidR="007404A6">
              <w:rPr>
                <w:rFonts w:ascii="Arial" w:hAnsi="Arial" w:cs="Arial"/>
                <w:b/>
                <w:sz w:val="24"/>
              </w:rPr>
              <w:t xml:space="preserve">) </w:t>
            </w:r>
            <w:r w:rsidR="00742418" w:rsidRPr="005220AA">
              <w:rPr>
                <w:rFonts w:ascii="Arial" w:hAnsi="Arial" w:cs="Arial"/>
                <w:b/>
                <w:sz w:val="24"/>
              </w:rPr>
              <w:t xml:space="preserve">do </w:t>
            </w:r>
            <w:r w:rsidR="00567578" w:rsidRPr="005220AA">
              <w:rPr>
                <w:rFonts w:ascii="Arial" w:hAnsi="Arial" w:cs="Arial"/>
                <w:b/>
                <w:sz w:val="24"/>
              </w:rPr>
              <w:t>3</w:t>
            </w:r>
            <w:r w:rsidR="00581D92">
              <w:rPr>
                <w:rFonts w:ascii="Arial" w:hAnsi="Arial" w:cs="Arial"/>
                <w:b/>
                <w:sz w:val="24"/>
              </w:rPr>
              <w:t>1</w:t>
            </w:r>
            <w:r w:rsidR="00567578" w:rsidRPr="005220AA">
              <w:rPr>
                <w:rFonts w:ascii="Arial" w:hAnsi="Arial" w:cs="Arial"/>
                <w:b/>
                <w:sz w:val="24"/>
              </w:rPr>
              <w:t>.</w:t>
            </w:r>
            <w:r w:rsidR="00A461D7">
              <w:rPr>
                <w:rFonts w:ascii="Arial" w:hAnsi="Arial" w:cs="Arial"/>
                <w:b/>
                <w:sz w:val="24"/>
              </w:rPr>
              <w:t xml:space="preserve"> </w:t>
            </w:r>
            <w:r w:rsidR="00581D92">
              <w:rPr>
                <w:rFonts w:ascii="Arial" w:hAnsi="Arial" w:cs="Arial"/>
                <w:b/>
                <w:sz w:val="24"/>
              </w:rPr>
              <w:t>12</w:t>
            </w:r>
            <w:r w:rsidR="00567578" w:rsidRPr="005220AA">
              <w:rPr>
                <w:rFonts w:ascii="Arial" w:hAnsi="Arial" w:cs="Arial"/>
                <w:b/>
                <w:sz w:val="24"/>
              </w:rPr>
              <w:t>.</w:t>
            </w:r>
            <w:r w:rsidR="00A461D7">
              <w:rPr>
                <w:rFonts w:ascii="Arial" w:hAnsi="Arial" w:cs="Arial"/>
                <w:b/>
                <w:sz w:val="24"/>
              </w:rPr>
              <w:t xml:space="preserve"> </w:t>
            </w:r>
            <w:r w:rsidR="00742418" w:rsidRPr="005220AA">
              <w:rPr>
                <w:rFonts w:ascii="Arial" w:hAnsi="Arial" w:cs="Arial"/>
                <w:b/>
                <w:sz w:val="24"/>
              </w:rPr>
              <w:t>20</w:t>
            </w:r>
            <w:r w:rsidR="009B1BE9">
              <w:rPr>
                <w:rFonts w:ascii="Arial" w:hAnsi="Arial" w:cs="Arial"/>
                <w:b/>
                <w:sz w:val="24"/>
              </w:rPr>
              <w:t>2</w:t>
            </w:r>
            <w:r w:rsidR="00242ECC">
              <w:rPr>
                <w:rFonts w:ascii="Arial" w:hAnsi="Arial" w:cs="Arial"/>
                <w:b/>
                <w:sz w:val="24"/>
              </w:rPr>
              <w:t>3</w:t>
            </w:r>
            <w:r w:rsidRPr="005220AA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B7745E" w14:paraId="6287D666" w14:textId="77777777">
        <w:trPr>
          <w:trHeight w:val="454"/>
        </w:trPr>
        <w:tc>
          <w:tcPr>
            <w:tcW w:w="531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1F5652A" w14:textId="77777777" w:rsidR="00B7745E" w:rsidRDefault="00B7745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Systém sběru žádostí</w:t>
            </w:r>
          </w:p>
        </w:tc>
        <w:tc>
          <w:tcPr>
            <w:tcW w:w="3895" w:type="dxa"/>
            <w:vAlign w:val="center"/>
          </w:tcPr>
          <w:p w14:paraId="0E36AC97" w14:textId="23E94CD3" w:rsidR="00B7745E" w:rsidRPr="00B437A1" w:rsidRDefault="005220A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Kontinuální</w:t>
            </w:r>
            <w:r w:rsidR="006C4A3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1038F414" w14:textId="77777777" w:rsidR="00B7745E" w:rsidRDefault="00B7745E"/>
    <w:p w14:paraId="73F861C1" w14:textId="77777777" w:rsidR="00B7745E" w:rsidRDefault="00B7745E">
      <w:pPr>
        <w:keepNext/>
        <w:pageBreakBefore/>
        <w:spacing w:after="240"/>
        <w:rPr>
          <w:rFonts w:ascii="Arial" w:hAnsi="Arial" w:cs="Arial"/>
          <w:b/>
          <w:bCs/>
          <w:sz w:val="32"/>
        </w:rPr>
        <w:sectPr w:rsidR="00B7745E"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20"/>
          <w:titlePg/>
        </w:sectPr>
      </w:pPr>
      <w:r>
        <w:rPr>
          <w:rFonts w:ascii="Arial" w:hAnsi="Arial" w:cs="Arial"/>
          <w:b/>
          <w:bCs/>
          <w:sz w:val="32"/>
        </w:rPr>
        <w:lastRenderedPageBreak/>
        <w:t>Obsah</w:t>
      </w:r>
    </w:p>
    <w:p w14:paraId="189415FF" w14:textId="1883CD31" w:rsidR="006D2EC1" w:rsidRDefault="00C772B9" w:rsidP="00DA79A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B1BE9">
        <w:rPr>
          <w:rFonts w:asciiTheme="minorHAnsi" w:hAnsiTheme="minorHAnsi" w:cstheme="minorHAnsi"/>
          <w:i/>
          <w:iCs/>
          <w:sz w:val="22"/>
          <w:szCs w:val="22"/>
        </w:rPr>
        <w:fldChar w:fldCharType="begin"/>
      </w:r>
      <w:r w:rsidRPr="009B1BE9">
        <w:rPr>
          <w:rFonts w:asciiTheme="minorHAnsi" w:hAnsiTheme="minorHAnsi" w:cstheme="minorHAnsi"/>
          <w:i/>
          <w:iCs/>
          <w:sz w:val="22"/>
          <w:szCs w:val="22"/>
        </w:rPr>
        <w:instrText xml:space="preserve"> TOC \h \z \t "Nadpis 2;1;Nadpis 3;2;Nadpis 4;3;Nadpis 5;4" </w:instrText>
      </w:r>
      <w:r w:rsidRPr="009B1BE9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hyperlink w:anchor="_Toc61518401" w:history="1">
        <w:r w:rsidR="006D2EC1" w:rsidRPr="002B1998">
          <w:rPr>
            <w:rStyle w:val="Hypertextovodkaz"/>
            <w:noProof/>
          </w:rPr>
          <w:t>1.</w:t>
        </w:r>
        <w:r w:rsidR="006D2E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  <w:spacing w:val="10"/>
          </w:rPr>
          <w:t>Cíl programu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_Toc61518401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3</w:t>
        </w:r>
        <w:r w:rsidR="006D2EC1">
          <w:rPr>
            <w:noProof/>
            <w:webHidden/>
          </w:rPr>
          <w:fldChar w:fldCharType="end"/>
        </w:r>
      </w:hyperlink>
    </w:p>
    <w:p w14:paraId="041C8B91" w14:textId="3732355F" w:rsidR="006D2EC1" w:rsidRDefault="007F2B79" w:rsidP="00DA79A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518402" w:history="1">
        <w:r w:rsidR="006D2EC1" w:rsidRPr="002B1998">
          <w:rPr>
            <w:rStyle w:val="Hypertextovodkaz"/>
            <w:noProof/>
          </w:rPr>
          <w:t>2.</w:t>
        </w:r>
        <w:r w:rsidR="006D2E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  <w:spacing w:val="10"/>
          </w:rPr>
          <w:t>Podporované aktivity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_Toc61518402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4</w:t>
        </w:r>
        <w:r w:rsidR="006D2EC1">
          <w:rPr>
            <w:noProof/>
            <w:webHidden/>
          </w:rPr>
          <w:fldChar w:fldCharType="end"/>
        </w:r>
      </w:hyperlink>
    </w:p>
    <w:p w14:paraId="5622E86E" w14:textId="3CC5CA20" w:rsidR="006D2EC1" w:rsidRDefault="007F2B79" w:rsidP="00DA79A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518403" w:history="1">
        <w:r w:rsidR="006D2EC1" w:rsidRPr="002B1998">
          <w:rPr>
            <w:rStyle w:val="Hypertextovodkaz"/>
            <w:noProof/>
          </w:rPr>
          <w:t>3.</w:t>
        </w:r>
        <w:r w:rsidR="006D2E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  <w:spacing w:val="10"/>
          </w:rPr>
          <w:t>Vymezení konečných příjemců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_Toc61518403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4</w:t>
        </w:r>
        <w:r w:rsidR="006D2EC1">
          <w:rPr>
            <w:noProof/>
            <w:webHidden/>
          </w:rPr>
          <w:fldChar w:fldCharType="end"/>
        </w:r>
      </w:hyperlink>
    </w:p>
    <w:p w14:paraId="143BAAFE" w14:textId="6F83C337" w:rsidR="006D2EC1" w:rsidRDefault="007F2B79" w:rsidP="00DA79A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518404" w:history="1">
        <w:r w:rsidR="006D2EC1" w:rsidRPr="002B1998">
          <w:rPr>
            <w:rStyle w:val="Hypertextovodkaz"/>
            <w:noProof/>
            <w:spacing w:val="10"/>
          </w:rPr>
          <w:t>4.</w:t>
        </w:r>
        <w:r w:rsidR="006D2E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  <w:spacing w:val="10"/>
          </w:rPr>
          <w:t>Podmínky programu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_Toc61518404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6</w:t>
        </w:r>
        <w:r w:rsidR="006D2EC1">
          <w:rPr>
            <w:noProof/>
            <w:webHidden/>
          </w:rPr>
          <w:fldChar w:fldCharType="end"/>
        </w:r>
      </w:hyperlink>
    </w:p>
    <w:p w14:paraId="501B7C62" w14:textId="054E7735" w:rsidR="006D2EC1" w:rsidRDefault="007F2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1518405" w:history="1">
        <w:r w:rsidR="006D2EC1" w:rsidRPr="002B1998">
          <w:rPr>
            <w:rStyle w:val="Hypertextovodkaz"/>
            <w:noProof/>
            <w:spacing w:val="10"/>
          </w:rPr>
          <w:t>4.1.</w:t>
        </w:r>
        <w:r w:rsidR="006D2EC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</w:rPr>
          <w:t>Podmínky přijatelnosti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_Toc61518405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6</w:t>
        </w:r>
        <w:r w:rsidR="006D2EC1">
          <w:rPr>
            <w:noProof/>
            <w:webHidden/>
          </w:rPr>
          <w:fldChar w:fldCharType="end"/>
        </w:r>
      </w:hyperlink>
    </w:p>
    <w:p w14:paraId="497F9896" w14:textId="7309847C" w:rsidR="006D2EC1" w:rsidRDefault="007F2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1518406" w:history="1">
        <w:r w:rsidR="006D2EC1" w:rsidRPr="002B1998">
          <w:rPr>
            <w:rStyle w:val="Hypertextovodkaz"/>
            <w:noProof/>
            <w:spacing w:val="10"/>
          </w:rPr>
          <w:t>4.2.</w:t>
        </w:r>
        <w:r w:rsidR="006D2EC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  <w:spacing w:val="10"/>
          </w:rPr>
          <w:t>Způsobilé výdaje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_Toc61518406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7</w:t>
        </w:r>
        <w:r w:rsidR="006D2EC1">
          <w:rPr>
            <w:noProof/>
            <w:webHidden/>
          </w:rPr>
          <w:fldChar w:fldCharType="end"/>
        </w:r>
      </w:hyperlink>
    </w:p>
    <w:p w14:paraId="3F0D9C4B" w14:textId="0069DCB9" w:rsidR="006D2EC1" w:rsidRDefault="007F2B79" w:rsidP="00DA79A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518407" w:history="1">
        <w:r w:rsidR="006D2EC1" w:rsidRPr="002B1998">
          <w:rPr>
            <w:rStyle w:val="Hypertextovodkaz"/>
            <w:noProof/>
            <w:spacing w:val="10"/>
          </w:rPr>
          <w:t>5.</w:t>
        </w:r>
        <w:r w:rsidR="006D2E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  <w:spacing w:val="10"/>
          </w:rPr>
          <w:t>Forma a výše podpory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_Toc61518407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7</w:t>
        </w:r>
        <w:r w:rsidR="006D2EC1">
          <w:rPr>
            <w:noProof/>
            <w:webHidden/>
          </w:rPr>
          <w:fldChar w:fldCharType="end"/>
        </w:r>
      </w:hyperlink>
    </w:p>
    <w:p w14:paraId="0831AF02" w14:textId="3633F6B7" w:rsidR="006D2EC1" w:rsidRDefault="007F2B79" w:rsidP="00DA79A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518408" w:history="1">
        <w:r w:rsidR="006D2EC1" w:rsidRPr="002B1998">
          <w:rPr>
            <w:rStyle w:val="Hypertextovodkaz"/>
            <w:noProof/>
            <w:spacing w:val="10"/>
          </w:rPr>
          <w:t>6.</w:t>
        </w:r>
        <w:r w:rsidR="006D2E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  <w:spacing w:val="10"/>
          </w:rPr>
          <w:t>Výběr způsobilých konečných příjemců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_Toc61518408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7</w:t>
        </w:r>
        <w:r w:rsidR="006D2EC1">
          <w:rPr>
            <w:noProof/>
            <w:webHidden/>
          </w:rPr>
          <w:fldChar w:fldCharType="end"/>
        </w:r>
      </w:hyperlink>
    </w:p>
    <w:p w14:paraId="75139752" w14:textId="006B8086" w:rsidR="006D2EC1" w:rsidRDefault="007F2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1518409" w:history="1">
        <w:r w:rsidR="006D2EC1" w:rsidRPr="002B1998">
          <w:rPr>
            <w:rStyle w:val="Hypertextovodkaz"/>
            <w:noProof/>
          </w:rPr>
          <w:t>6.1.</w:t>
        </w:r>
        <w:r w:rsidR="006D2EC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  <w:spacing w:val="10"/>
          </w:rPr>
          <w:t>Výběrová kritéria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_Toc61518409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7</w:t>
        </w:r>
        <w:r w:rsidR="006D2EC1">
          <w:rPr>
            <w:noProof/>
            <w:webHidden/>
          </w:rPr>
          <w:fldChar w:fldCharType="end"/>
        </w:r>
      </w:hyperlink>
    </w:p>
    <w:p w14:paraId="0BA11C74" w14:textId="21446975" w:rsidR="006D2EC1" w:rsidRDefault="007F2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1518410" w:history="1">
        <w:r w:rsidR="006D2EC1" w:rsidRPr="002B1998">
          <w:rPr>
            <w:rStyle w:val="Hypertextovodkaz"/>
            <w:noProof/>
          </w:rPr>
          <w:t>6.2.</w:t>
        </w:r>
        <w:r w:rsidR="006D2EC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  <w:spacing w:val="10"/>
          </w:rPr>
          <w:t>Způsob výběru projektů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_Toc61518410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8</w:t>
        </w:r>
        <w:r w:rsidR="006D2EC1">
          <w:rPr>
            <w:noProof/>
            <w:webHidden/>
          </w:rPr>
          <w:fldChar w:fldCharType="end"/>
        </w:r>
      </w:hyperlink>
    </w:p>
    <w:p w14:paraId="3ECD44C4" w14:textId="3F83021F" w:rsidR="006D2EC1" w:rsidRDefault="007F2B79" w:rsidP="00DA79A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518411" w:history="1">
        <w:r w:rsidR="006D2EC1" w:rsidRPr="002B1998">
          <w:rPr>
            <w:rStyle w:val="Hypertextovodkaz"/>
            <w:noProof/>
            <w:spacing w:val="10"/>
          </w:rPr>
          <w:t>7.</w:t>
        </w:r>
        <w:r w:rsidR="006D2E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  <w:spacing w:val="10"/>
          </w:rPr>
          <w:t>Náležitosti žádosti o poskytnutí podpory a způsob jejího předložení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_Toc61518411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8</w:t>
        </w:r>
        <w:r w:rsidR="006D2EC1">
          <w:rPr>
            <w:noProof/>
            <w:webHidden/>
          </w:rPr>
          <w:fldChar w:fldCharType="end"/>
        </w:r>
      </w:hyperlink>
    </w:p>
    <w:p w14:paraId="63D3D6A3" w14:textId="5A687D16" w:rsidR="006D2EC1" w:rsidRDefault="007F2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1518412" w:history="1">
        <w:r w:rsidR="006D2EC1" w:rsidRPr="002B1998">
          <w:rPr>
            <w:rStyle w:val="Hypertextovodkaz"/>
            <w:noProof/>
          </w:rPr>
          <w:t>7.1.</w:t>
        </w:r>
        <w:r w:rsidR="006D2EC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</w:rPr>
          <w:t>Obsah žádosti o podporu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_Toc61518412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8</w:t>
        </w:r>
        <w:r w:rsidR="006D2EC1">
          <w:rPr>
            <w:noProof/>
            <w:webHidden/>
          </w:rPr>
          <w:fldChar w:fldCharType="end"/>
        </w:r>
      </w:hyperlink>
    </w:p>
    <w:p w14:paraId="50DE1756" w14:textId="1B268238" w:rsidR="006D2EC1" w:rsidRDefault="007F2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1518413" w:history="1">
        <w:r w:rsidR="006D2EC1" w:rsidRPr="002B1998">
          <w:rPr>
            <w:rStyle w:val="Hypertextovodkaz"/>
            <w:noProof/>
          </w:rPr>
          <w:t>7.2.</w:t>
        </w:r>
        <w:r w:rsidR="006D2EC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</w:rPr>
          <w:t>Formulář žádosti o podporu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_Toc61518413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8</w:t>
        </w:r>
        <w:r w:rsidR="006D2EC1">
          <w:rPr>
            <w:noProof/>
            <w:webHidden/>
          </w:rPr>
          <w:fldChar w:fldCharType="end"/>
        </w:r>
      </w:hyperlink>
    </w:p>
    <w:p w14:paraId="73321C33" w14:textId="65EAA2A1" w:rsidR="006D2EC1" w:rsidRDefault="007F2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1518414" w:history="1">
        <w:r w:rsidR="006D2EC1" w:rsidRPr="002B1998">
          <w:rPr>
            <w:rStyle w:val="Hypertextovodkaz"/>
            <w:noProof/>
          </w:rPr>
          <w:t>7.3.</w:t>
        </w:r>
        <w:r w:rsidR="006D2EC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</w:rPr>
          <w:t>Příjem žádostí o podporu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_Toc61518414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8</w:t>
        </w:r>
        <w:r w:rsidR="006D2EC1">
          <w:rPr>
            <w:noProof/>
            <w:webHidden/>
          </w:rPr>
          <w:fldChar w:fldCharType="end"/>
        </w:r>
      </w:hyperlink>
    </w:p>
    <w:p w14:paraId="6470C830" w14:textId="3519D73C" w:rsidR="006D2EC1" w:rsidRDefault="007F2B79" w:rsidP="00DA79A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518415" w:history="1">
        <w:r w:rsidR="006D2EC1" w:rsidRPr="002B1998">
          <w:rPr>
            <w:rStyle w:val="Hypertextovodkaz"/>
            <w:noProof/>
          </w:rPr>
          <w:t>8.</w:t>
        </w:r>
        <w:r w:rsidR="006D2E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  <w:spacing w:val="10"/>
          </w:rPr>
          <w:t>Sankce za nedodržení podmínek programu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_Toc61518415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9</w:t>
        </w:r>
        <w:r w:rsidR="006D2EC1">
          <w:rPr>
            <w:noProof/>
            <w:webHidden/>
          </w:rPr>
          <w:fldChar w:fldCharType="end"/>
        </w:r>
      </w:hyperlink>
    </w:p>
    <w:p w14:paraId="55BCB66C" w14:textId="212D79B5" w:rsidR="006D2EC1" w:rsidRDefault="007F2B79" w:rsidP="00DA79A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518416" w:history="1">
        <w:r w:rsidR="006D2EC1" w:rsidRPr="002B1998">
          <w:rPr>
            <w:rStyle w:val="Hypertextovodkaz"/>
            <w:noProof/>
          </w:rPr>
          <w:t>9.</w:t>
        </w:r>
        <w:r w:rsidR="006D2E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  <w:spacing w:val="10"/>
          </w:rPr>
          <w:t>Ostatní ustanovení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_Toc61518416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9</w:t>
        </w:r>
        <w:r w:rsidR="006D2EC1">
          <w:rPr>
            <w:noProof/>
            <w:webHidden/>
          </w:rPr>
          <w:fldChar w:fldCharType="end"/>
        </w:r>
      </w:hyperlink>
    </w:p>
    <w:p w14:paraId="43AF3709" w14:textId="1AE2F074" w:rsidR="006D2EC1" w:rsidRDefault="007F2B79" w:rsidP="00DA79A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518417" w:history="1">
        <w:r w:rsidR="006D2EC1" w:rsidRPr="002B1998">
          <w:rPr>
            <w:rStyle w:val="Hypertextovodkaz"/>
            <w:noProof/>
          </w:rPr>
          <w:t>10.</w:t>
        </w:r>
        <w:r w:rsidR="006D2EC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2EC1" w:rsidRPr="002B1998">
          <w:rPr>
            <w:rStyle w:val="Hypertextovodkaz"/>
            <w:noProof/>
          </w:rPr>
          <w:t>Definice</w:t>
        </w:r>
        <w:r w:rsidR="006D2EC1">
          <w:rPr>
            <w:noProof/>
            <w:webHidden/>
          </w:rPr>
          <w:tab/>
        </w:r>
        <w:r w:rsidR="006D2EC1">
          <w:rPr>
            <w:noProof/>
            <w:webHidden/>
          </w:rPr>
          <w:fldChar w:fldCharType="begin"/>
        </w:r>
        <w:r w:rsidR="006D2EC1">
          <w:rPr>
            <w:noProof/>
            <w:webHidden/>
          </w:rPr>
          <w:instrText xml:space="preserve"> PAGEREF _Toc61518417 \h </w:instrText>
        </w:r>
        <w:r w:rsidR="006D2EC1">
          <w:rPr>
            <w:noProof/>
            <w:webHidden/>
          </w:rPr>
        </w:r>
        <w:r w:rsidR="006D2EC1">
          <w:rPr>
            <w:noProof/>
            <w:webHidden/>
          </w:rPr>
          <w:fldChar w:fldCharType="separate"/>
        </w:r>
        <w:r w:rsidR="00676600">
          <w:rPr>
            <w:noProof/>
            <w:webHidden/>
          </w:rPr>
          <w:t>9</w:t>
        </w:r>
        <w:r w:rsidR="006D2EC1">
          <w:rPr>
            <w:noProof/>
            <w:webHidden/>
          </w:rPr>
          <w:fldChar w:fldCharType="end"/>
        </w:r>
      </w:hyperlink>
    </w:p>
    <w:p w14:paraId="3A753BAA" w14:textId="39961D59" w:rsidR="00B7745E" w:rsidRDefault="00C772B9" w:rsidP="00C772B9">
      <w:pPr>
        <w:keepNext/>
        <w:pageBreakBefore/>
        <w:tabs>
          <w:tab w:val="left" w:pos="1276"/>
        </w:tabs>
        <w:spacing w:before="120" w:line="360" w:lineRule="auto"/>
        <w:rPr>
          <w:rFonts w:ascii="Arial" w:hAnsi="Arial" w:cs="Arial"/>
          <w:b/>
          <w:bCs/>
          <w:sz w:val="28"/>
        </w:rPr>
      </w:pPr>
      <w:r w:rsidRPr="009B1BE9">
        <w:rPr>
          <w:rFonts w:asciiTheme="minorHAnsi" w:hAnsiTheme="minorHAnsi" w:cstheme="minorHAnsi"/>
          <w:i/>
          <w:iCs/>
          <w:sz w:val="22"/>
          <w:szCs w:val="22"/>
        </w:rPr>
        <w:lastRenderedPageBreak/>
        <w:fldChar w:fldCharType="end"/>
      </w:r>
      <w:r w:rsidR="00B7745E">
        <w:rPr>
          <w:rFonts w:ascii="Arial" w:hAnsi="Arial" w:cs="Arial"/>
          <w:b/>
          <w:sz w:val="28"/>
        </w:rPr>
        <w:t>Základní ustanovení</w:t>
      </w:r>
    </w:p>
    <w:p w14:paraId="4BE789E9" w14:textId="15619255" w:rsidR="00A61DC8" w:rsidRPr="00A61DC8" w:rsidRDefault="00A61DC8" w:rsidP="005B49EA">
      <w:pPr>
        <w:pStyle w:val="Zkladntextodsazen"/>
        <w:spacing w:line="360" w:lineRule="auto"/>
        <w:rPr>
          <w:sz w:val="24"/>
        </w:rPr>
      </w:pPr>
      <w:r w:rsidRPr="00A61DC8">
        <w:rPr>
          <w:sz w:val="24"/>
        </w:rPr>
        <w:t xml:space="preserve">Program COVID </w:t>
      </w:r>
      <w:r w:rsidR="00960BDE">
        <w:rPr>
          <w:sz w:val="24"/>
        </w:rPr>
        <w:t>Z</w:t>
      </w:r>
      <w:r w:rsidRPr="00A61DC8">
        <w:rPr>
          <w:sz w:val="24"/>
        </w:rPr>
        <w:t>áruka CK byl schválen usnesením vlády č.</w:t>
      </w:r>
      <w:r>
        <w:rPr>
          <w:sz w:val="24"/>
        </w:rPr>
        <w:t xml:space="preserve"> </w:t>
      </w:r>
      <w:r w:rsidR="00DA2F7B">
        <w:rPr>
          <w:sz w:val="24"/>
        </w:rPr>
        <w:t xml:space="preserve">51 </w:t>
      </w:r>
      <w:r w:rsidRPr="00A61DC8">
        <w:rPr>
          <w:sz w:val="24"/>
        </w:rPr>
        <w:t xml:space="preserve">ze dne </w:t>
      </w:r>
      <w:r w:rsidR="00DA2F7B">
        <w:rPr>
          <w:sz w:val="24"/>
        </w:rPr>
        <w:t>18. ledna 2021</w:t>
      </w:r>
      <w:r w:rsidRPr="00A61DC8">
        <w:rPr>
          <w:sz w:val="24"/>
        </w:rPr>
        <w:t xml:space="preserve"> (dále jen „program“)</w:t>
      </w:r>
      <w:r w:rsidR="0078512B">
        <w:rPr>
          <w:sz w:val="24"/>
        </w:rPr>
        <w:t>.</w:t>
      </w:r>
    </w:p>
    <w:p w14:paraId="3E7EAEE4" w14:textId="2F8814F0" w:rsidR="00B7745E" w:rsidRDefault="00B7745E" w:rsidP="005B49EA">
      <w:pPr>
        <w:pStyle w:val="Zkladntextodsazen"/>
        <w:spacing w:line="360" w:lineRule="auto"/>
        <w:rPr>
          <w:sz w:val="24"/>
        </w:rPr>
      </w:pPr>
      <w:r w:rsidRPr="006008A9">
        <w:rPr>
          <w:sz w:val="24"/>
          <w:u w:val="single"/>
        </w:rPr>
        <w:t>Správce programu</w:t>
      </w:r>
      <w:r>
        <w:rPr>
          <w:sz w:val="24"/>
        </w:rPr>
        <w:t xml:space="preserve">: </w:t>
      </w:r>
      <w:r w:rsidR="007E0300" w:rsidRPr="007E0300">
        <w:rPr>
          <w:sz w:val="24"/>
        </w:rPr>
        <w:t>Ministerstvo průmyslu a obchodu, organizační složka státu, IČO 47609109 se sídlem Na Františku 32, 110 15 Praha 1, IČO 47609109, www.mpo.cz (dále též „Ministerstvo“)</w:t>
      </w:r>
      <w:r w:rsidR="007E0300">
        <w:rPr>
          <w:sz w:val="24"/>
        </w:rPr>
        <w:t>.</w:t>
      </w:r>
    </w:p>
    <w:p w14:paraId="1D083B45" w14:textId="271D9207" w:rsidR="006008A9" w:rsidRDefault="007E0300" w:rsidP="005B49EA">
      <w:pPr>
        <w:pStyle w:val="normln0"/>
        <w:spacing w:before="120"/>
      </w:pPr>
      <w:r>
        <w:rPr>
          <w:u w:val="single"/>
        </w:rPr>
        <w:t>Poskytovatel podpory</w:t>
      </w:r>
      <w:r w:rsidR="0021619F">
        <w:rPr>
          <w:u w:val="single"/>
        </w:rPr>
        <w:t>:</w:t>
      </w:r>
      <w:r w:rsidR="0021619F" w:rsidRPr="007544CE">
        <w:t xml:space="preserve"> </w:t>
      </w:r>
      <w:r w:rsidR="00A238DE">
        <w:t xml:space="preserve">Národní </w:t>
      </w:r>
      <w:r w:rsidR="006008A9">
        <w:t>rozvojová banka, a.s., se sídlem Jeruzalémská 964/4, 110</w:t>
      </w:r>
      <w:r w:rsidR="0071067E">
        <w:t> </w:t>
      </w:r>
      <w:r w:rsidR="006008A9">
        <w:t>00 Praha 1, IČ</w:t>
      </w:r>
      <w:r w:rsidR="00DA5E27">
        <w:t>O</w:t>
      </w:r>
      <w:r w:rsidR="006008A9">
        <w:t xml:space="preserve"> 44848943 (dále též „</w:t>
      </w:r>
      <w:r w:rsidR="00A238DE">
        <w:t>NRB</w:t>
      </w:r>
      <w:r w:rsidR="006008A9">
        <w:t>“</w:t>
      </w:r>
      <w:r w:rsidR="00A238DE">
        <w:t>, původn</w:t>
      </w:r>
      <w:r w:rsidR="00076B18" w:rsidRPr="00AC1304">
        <w:t>ě Českomoravská záruční a</w:t>
      </w:r>
      <w:r w:rsidR="0071067E">
        <w:t> </w:t>
      </w:r>
      <w:r w:rsidR="00076B18" w:rsidRPr="00AC1304">
        <w:t>rozvojová banka, a.s.</w:t>
      </w:r>
      <w:r w:rsidR="006008A9">
        <w:t>)</w:t>
      </w:r>
      <w:r w:rsidR="003263BC">
        <w:t>, kter</w:t>
      </w:r>
      <w:r w:rsidR="00A238DE">
        <w:t>á</w:t>
      </w:r>
      <w:r w:rsidR="003263BC">
        <w:t xml:space="preserve"> vykonává</w:t>
      </w:r>
      <w:r w:rsidR="00A61DC8">
        <w:t xml:space="preserve"> </w:t>
      </w:r>
      <w:r w:rsidR="003263BC">
        <w:t>svoj</w:t>
      </w:r>
      <w:r w:rsidR="00A61DC8">
        <w:t>i</w:t>
      </w:r>
      <w:r w:rsidR="003263BC">
        <w:t xml:space="preserve"> činnost na základě </w:t>
      </w:r>
      <w:r w:rsidR="00A61DC8" w:rsidRPr="00A61DC8">
        <w:t>Dohody o vytvoření a</w:t>
      </w:r>
      <w:r w:rsidR="0071067E">
        <w:t> </w:t>
      </w:r>
      <w:r w:rsidR="00A61DC8" w:rsidRPr="00A61DC8">
        <w:t xml:space="preserve">správě záručního fondu COVID </w:t>
      </w:r>
      <w:r w:rsidR="007D1543">
        <w:t>Z</w:t>
      </w:r>
      <w:r w:rsidR="00A61DC8" w:rsidRPr="00A61DC8">
        <w:t>áruka CK uzavřené s</w:t>
      </w:r>
      <w:r w:rsidR="00A238DE">
        <w:t> </w:t>
      </w:r>
      <w:proofErr w:type="gramStart"/>
      <w:r w:rsidR="00A61DC8" w:rsidRPr="00A61DC8">
        <w:t>Ministerstvem</w:t>
      </w:r>
      <w:proofErr w:type="gramEnd"/>
      <w:r w:rsidR="003263BC">
        <w:t xml:space="preserve">. </w:t>
      </w:r>
    </w:p>
    <w:p w14:paraId="43632B43" w14:textId="205A1B04" w:rsidR="0095041F" w:rsidRDefault="00B7745E" w:rsidP="005B49EA">
      <w:pPr>
        <w:spacing w:before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Podpora je poskytována </w:t>
      </w:r>
      <w:r w:rsidR="00047444">
        <w:rPr>
          <w:rFonts w:ascii="Arial" w:hAnsi="Arial" w:cs="Arial"/>
          <w:sz w:val="24"/>
        </w:rPr>
        <w:t xml:space="preserve">dle </w:t>
      </w:r>
      <w:r w:rsidR="00047444" w:rsidRPr="00C96BEC">
        <w:rPr>
          <w:rFonts w:ascii="Arial" w:hAnsi="Arial" w:cs="Arial"/>
          <w:sz w:val="24"/>
        </w:rPr>
        <w:t>Nařízení Komise (E</w:t>
      </w:r>
      <w:r w:rsidR="00047444">
        <w:rPr>
          <w:rFonts w:ascii="Arial" w:hAnsi="Arial" w:cs="Arial"/>
          <w:sz w:val="24"/>
        </w:rPr>
        <w:t>U</w:t>
      </w:r>
      <w:r w:rsidR="00047444" w:rsidRPr="00C96BEC">
        <w:rPr>
          <w:rFonts w:ascii="Arial" w:hAnsi="Arial" w:cs="Arial"/>
          <w:sz w:val="24"/>
        </w:rPr>
        <w:t>) č.</w:t>
      </w:r>
      <w:r w:rsidR="00047444">
        <w:rPr>
          <w:rFonts w:ascii="Arial" w:hAnsi="Arial" w:cs="Arial"/>
          <w:sz w:val="24"/>
        </w:rPr>
        <w:t> </w:t>
      </w:r>
      <w:r w:rsidR="00047444" w:rsidRPr="00C96BEC">
        <w:rPr>
          <w:rFonts w:ascii="Arial" w:hAnsi="Arial" w:cs="Arial"/>
          <w:sz w:val="24"/>
        </w:rPr>
        <w:t>1407/2013 ze d</w:t>
      </w:r>
      <w:r w:rsidR="009203F8">
        <w:rPr>
          <w:rFonts w:ascii="Arial" w:hAnsi="Arial" w:cs="Arial"/>
          <w:sz w:val="24"/>
        </w:rPr>
        <w:t>ne 18. </w:t>
      </w:r>
      <w:r w:rsidR="00047444" w:rsidRPr="00C96BEC">
        <w:rPr>
          <w:rFonts w:ascii="Arial" w:hAnsi="Arial" w:cs="Arial"/>
          <w:sz w:val="24"/>
        </w:rPr>
        <w:t>prosince 2013 o</w:t>
      </w:r>
      <w:r w:rsidR="00992703">
        <w:rPr>
          <w:rFonts w:ascii="Arial" w:hAnsi="Arial" w:cs="Arial"/>
          <w:sz w:val="24"/>
        </w:rPr>
        <w:t> </w:t>
      </w:r>
      <w:r w:rsidR="00047444" w:rsidRPr="00C96BEC">
        <w:rPr>
          <w:rFonts w:ascii="Arial" w:hAnsi="Arial" w:cs="Arial"/>
          <w:sz w:val="24"/>
        </w:rPr>
        <w:t>použití článků 107 a</w:t>
      </w:r>
      <w:r w:rsidR="00992703">
        <w:rPr>
          <w:rFonts w:ascii="Arial" w:hAnsi="Arial" w:cs="Arial"/>
          <w:sz w:val="24"/>
        </w:rPr>
        <w:t> </w:t>
      </w:r>
      <w:r w:rsidR="00047444" w:rsidRPr="00C96BEC">
        <w:rPr>
          <w:rFonts w:ascii="Arial" w:hAnsi="Arial" w:cs="Arial"/>
          <w:sz w:val="24"/>
        </w:rPr>
        <w:t xml:space="preserve">108 </w:t>
      </w:r>
      <w:r w:rsidR="00047444">
        <w:rPr>
          <w:rFonts w:ascii="Arial" w:hAnsi="Arial" w:cs="Arial"/>
          <w:sz w:val="24"/>
        </w:rPr>
        <w:t>S</w:t>
      </w:r>
      <w:r w:rsidR="00047444" w:rsidRPr="00C96BEC">
        <w:rPr>
          <w:rFonts w:ascii="Arial" w:hAnsi="Arial" w:cs="Arial"/>
          <w:sz w:val="24"/>
        </w:rPr>
        <w:t>mlouvy</w:t>
      </w:r>
      <w:r w:rsidR="00047444">
        <w:rPr>
          <w:rFonts w:ascii="Arial" w:hAnsi="Arial" w:cs="Arial"/>
          <w:sz w:val="24"/>
        </w:rPr>
        <w:t xml:space="preserve"> o</w:t>
      </w:r>
      <w:r w:rsidR="00992703">
        <w:rPr>
          <w:rFonts w:ascii="Arial" w:hAnsi="Arial" w:cs="Arial"/>
          <w:sz w:val="24"/>
        </w:rPr>
        <w:t> </w:t>
      </w:r>
      <w:r w:rsidR="00047444">
        <w:rPr>
          <w:rFonts w:ascii="Arial" w:hAnsi="Arial" w:cs="Arial"/>
          <w:sz w:val="24"/>
        </w:rPr>
        <w:t>fungování Evropské unie</w:t>
      </w:r>
      <w:r w:rsidR="00047444" w:rsidRPr="00C96BEC">
        <w:rPr>
          <w:rFonts w:ascii="Arial" w:hAnsi="Arial" w:cs="Arial"/>
          <w:sz w:val="24"/>
        </w:rPr>
        <w:t xml:space="preserve"> na</w:t>
      </w:r>
      <w:r w:rsidR="00B672A4">
        <w:rPr>
          <w:rFonts w:ascii="Arial" w:hAnsi="Arial" w:cs="Arial"/>
          <w:sz w:val="24"/>
        </w:rPr>
        <w:t> </w:t>
      </w:r>
      <w:r w:rsidR="00047444" w:rsidRPr="00C96BEC">
        <w:rPr>
          <w:rFonts w:ascii="Arial" w:hAnsi="Arial" w:cs="Arial"/>
          <w:sz w:val="24"/>
        </w:rPr>
        <w:t xml:space="preserve">podporu de </w:t>
      </w:r>
      <w:proofErr w:type="spellStart"/>
      <w:r w:rsidR="00047444" w:rsidRPr="00C96BEC">
        <w:rPr>
          <w:rFonts w:ascii="Arial" w:hAnsi="Arial" w:cs="Arial"/>
          <w:sz w:val="24"/>
        </w:rPr>
        <w:t>minimis</w:t>
      </w:r>
      <w:proofErr w:type="spellEnd"/>
      <w:r w:rsidR="00047444" w:rsidRPr="00C96BEC">
        <w:rPr>
          <w:rStyle w:val="Znakapoznpodarou"/>
          <w:rFonts w:ascii="Arial" w:hAnsi="Arial" w:cs="Arial"/>
        </w:rPr>
        <w:footnoteReference w:id="1"/>
      </w:r>
      <w:r w:rsidR="00047444" w:rsidRPr="00C96BEC">
        <w:rPr>
          <w:rFonts w:ascii="Arial" w:hAnsi="Arial" w:cs="Arial"/>
          <w:sz w:val="24"/>
        </w:rPr>
        <w:t xml:space="preserve"> (dále jen „</w:t>
      </w:r>
      <w:r w:rsidR="00A461D7">
        <w:rPr>
          <w:rFonts w:ascii="Arial" w:hAnsi="Arial" w:cs="Arial"/>
          <w:sz w:val="24"/>
        </w:rPr>
        <w:t xml:space="preserve">podpora </w:t>
      </w:r>
      <w:r w:rsidR="00047444" w:rsidRPr="00C96BEC">
        <w:rPr>
          <w:rFonts w:ascii="Arial" w:hAnsi="Arial" w:cs="Arial"/>
          <w:sz w:val="24"/>
        </w:rPr>
        <w:t xml:space="preserve">de </w:t>
      </w:r>
      <w:proofErr w:type="spellStart"/>
      <w:r w:rsidR="00047444" w:rsidRPr="00C96BEC">
        <w:rPr>
          <w:rFonts w:ascii="Arial" w:hAnsi="Arial" w:cs="Arial"/>
          <w:sz w:val="24"/>
        </w:rPr>
        <w:t>minimis</w:t>
      </w:r>
      <w:proofErr w:type="spellEnd"/>
      <w:r w:rsidR="00047444" w:rsidRPr="00C96BEC">
        <w:rPr>
          <w:rFonts w:ascii="Arial" w:hAnsi="Arial" w:cs="Arial"/>
          <w:sz w:val="24"/>
        </w:rPr>
        <w:t>“)</w:t>
      </w:r>
      <w:r w:rsidR="000F0968">
        <w:rPr>
          <w:rStyle w:val="Znakapoznpodarou"/>
          <w:rFonts w:ascii="Arial" w:hAnsi="Arial" w:cs="Arial"/>
        </w:rPr>
        <w:footnoteReference w:id="2"/>
      </w:r>
      <w:r w:rsidR="0095041F">
        <w:rPr>
          <w:rFonts w:ascii="Arial" w:hAnsi="Arial" w:cs="Arial"/>
          <w:sz w:val="24"/>
        </w:rPr>
        <w:t>.</w:t>
      </w:r>
    </w:p>
    <w:p w14:paraId="0B8DBC42" w14:textId="77777777" w:rsidR="006541B8" w:rsidRDefault="006541B8" w:rsidP="005B49EA">
      <w:pPr>
        <w:spacing w:before="120" w:line="360" w:lineRule="auto"/>
        <w:jc w:val="both"/>
        <w:rPr>
          <w:rFonts w:ascii="Arial" w:hAnsi="Arial" w:cs="Arial"/>
          <w:sz w:val="24"/>
        </w:rPr>
      </w:pPr>
    </w:p>
    <w:p w14:paraId="577BF090" w14:textId="77777777" w:rsidR="00B7745E" w:rsidRPr="00D46D46" w:rsidRDefault="00D25A4B" w:rsidP="005B49EA">
      <w:pPr>
        <w:pStyle w:val="Nadpis2"/>
        <w:spacing w:before="120" w:after="0" w:line="360" w:lineRule="auto"/>
        <w:rPr>
          <w:u w:val="single"/>
        </w:rPr>
      </w:pPr>
      <w:r w:rsidRPr="00D46D46" w:rsidDel="00D25A4B">
        <w:rPr>
          <w:sz w:val="24"/>
          <w:u w:val="single"/>
        </w:rPr>
        <w:t xml:space="preserve"> </w:t>
      </w:r>
      <w:bookmarkStart w:id="1" w:name="_Toc61518401"/>
      <w:r w:rsidR="00B7745E" w:rsidRPr="00D46D46">
        <w:rPr>
          <w:spacing w:val="10"/>
          <w:szCs w:val="22"/>
          <w:u w:val="single"/>
        </w:rPr>
        <w:t>Cíl programu</w:t>
      </w:r>
      <w:bookmarkEnd w:id="1"/>
    </w:p>
    <w:p w14:paraId="48C8B42E" w14:textId="18496571" w:rsidR="00B7745E" w:rsidRPr="00AC7742" w:rsidRDefault="00B7745E" w:rsidP="359F7A47">
      <w:pPr>
        <w:pStyle w:val="dka"/>
        <w:tabs>
          <w:tab w:val="clear" w:pos="851"/>
        </w:tabs>
        <w:spacing w:before="120" w:after="0" w:line="360" w:lineRule="auto"/>
        <w:rPr>
          <w:rFonts w:cs="Arial"/>
          <w:spacing w:val="10"/>
          <w:kern w:val="0"/>
          <w:szCs w:val="24"/>
        </w:rPr>
      </w:pPr>
      <w:r w:rsidRPr="359F7A47">
        <w:rPr>
          <w:rFonts w:cs="Arial"/>
          <w:spacing w:val="10"/>
          <w:kern w:val="0"/>
        </w:rPr>
        <w:t xml:space="preserve">Cílem programu je </w:t>
      </w:r>
      <w:r w:rsidR="00844C2F">
        <w:rPr>
          <w:rFonts w:cs="Arial"/>
          <w:spacing w:val="10"/>
          <w:kern w:val="0"/>
        </w:rPr>
        <w:t>přispět k</w:t>
      </w:r>
      <w:r w:rsidR="00A238DE">
        <w:rPr>
          <w:rFonts w:cs="Arial"/>
          <w:spacing w:val="10"/>
          <w:kern w:val="0"/>
        </w:rPr>
        <w:t> </w:t>
      </w:r>
      <w:r w:rsidR="00844C2F">
        <w:rPr>
          <w:rFonts w:cs="Arial"/>
          <w:spacing w:val="10"/>
          <w:kern w:val="0"/>
        </w:rPr>
        <w:t>řešení problémů v</w:t>
      </w:r>
      <w:r w:rsidR="00A238DE">
        <w:rPr>
          <w:rFonts w:cs="Arial"/>
          <w:spacing w:val="10"/>
          <w:kern w:val="0"/>
        </w:rPr>
        <w:t> </w:t>
      </w:r>
      <w:r w:rsidR="00844C2F">
        <w:rPr>
          <w:rFonts w:cs="Arial"/>
          <w:spacing w:val="10"/>
          <w:kern w:val="0"/>
        </w:rPr>
        <w:t>oblasti cestovního ruch</w:t>
      </w:r>
      <w:r w:rsidR="00B84D4F">
        <w:rPr>
          <w:rFonts w:cs="Arial"/>
          <w:spacing w:val="10"/>
          <w:kern w:val="0"/>
        </w:rPr>
        <w:t>u</w:t>
      </w:r>
      <w:r w:rsidR="00844C2F">
        <w:rPr>
          <w:rFonts w:cs="Arial"/>
          <w:spacing w:val="10"/>
          <w:kern w:val="0"/>
        </w:rPr>
        <w:t xml:space="preserve"> </w:t>
      </w:r>
      <w:r w:rsidR="00844C2F" w:rsidRPr="359F7A47">
        <w:rPr>
          <w:rFonts w:cs="Arial"/>
        </w:rPr>
        <w:t>v</w:t>
      </w:r>
      <w:r w:rsidR="00A238DE">
        <w:rPr>
          <w:rFonts w:cs="Arial"/>
        </w:rPr>
        <w:t> </w:t>
      </w:r>
      <w:r w:rsidR="00844C2F" w:rsidRPr="359F7A47">
        <w:rPr>
          <w:rFonts w:cs="Arial"/>
        </w:rPr>
        <w:t xml:space="preserve">důsledku výskytu </w:t>
      </w:r>
      <w:proofErr w:type="spellStart"/>
      <w:r w:rsidR="00844C2F" w:rsidRPr="359F7A47">
        <w:rPr>
          <w:rFonts w:cs="Arial"/>
        </w:rPr>
        <w:t>koronavirové</w:t>
      </w:r>
      <w:proofErr w:type="spellEnd"/>
      <w:r w:rsidR="00844C2F" w:rsidRPr="359F7A47">
        <w:rPr>
          <w:rFonts w:cs="Arial"/>
        </w:rPr>
        <w:t xml:space="preserve"> infekce vyvolané šířením </w:t>
      </w:r>
      <w:proofErr w:type="spellStart"/>
      <w:r w:rsidR="00844C2F" w:rsidRPr="359F7A47">
        <w:rPr>
          <w:rFonts w:cs="Arial"/>
        </w:rPr>
        <w:t>koronaviru</w:t>
      </w:r>
      <w:proofErr w:type="spellEnd"/>
      <w:r w:rsidR="00844C2F" w:rsidRPr="359F7A47">
        <w:rPr>
          <w:rFonts w:cs="Arial"/>
        </w:rPr>
        <w:t xml:space="preserve"> SARS-CoV-2 (resp. onemocněním s</w:t>
      </w:r>
      <w:r w:rsidR="00A238DE">
        <w:rPr>
          <w:rFonts w:cs="Arial"/>
        </w:rPr>
        <w:t> </w:t>
      </w:r>
      <w:r w:rsidR="00844C2F" w:rsidRPr="359F7A47">
        <w:rPr>
          <w:rFonts w:cs="Arial"/>
        </w:rPr>
        <w:t xml:space="preserve">označením COVID-19, které tento </w:t>
      </w:r>
      <w:proofErr w:type="spellStart"/>
      <w:r w:rsidR="00844C2F" w:rsidRPr="359F7A47">
        <w:rPr>
          <w:rFonts w:cs="Arial"/>
        </w:rPr>
        <w:t>koronavirus</w:t>
      </w:r>
      <w:proofErr w:type="spellEnd"/>
      <w:r w:rsidR="00844C2F" w:rsidRPr="359F7A47">
        <w:rPr>
          <w:rFonts w:cs="Arial"/>
        </w:rPr>
        <w:t xml:space="preserve"> způsobuje) a souvisejících preventivních opatření</w:t>
      </w:r>
      <w:r w:rsidR="00844C2F">
        <w:rPr>
          <w:rFonts w:cs="Arial"/>
          <w:spacing w:val="10"/>
          <w:kern w:val="0"/>
        </w:rPr>
        <w:t xml:space="preserve"> </w:t>
      </w:r>
      <w:bookmarkStart w:id="2" w:name="_Hlk119502523"/>
      <w:r w:rsidR="00590A43">
        <w:rPr>
          <w:rFonts w:cs="Arial"/>
          <w:spacing w:val="10"/>
          <w:kern w:val="0"/>
        </w:rPr>
        <w:t>a následné stabilizaci odvětví</w:t>
      </w:r>
      <w:r w:rsidR="00A238DE">
        <w:rPr>
          <w:rFonts w:cs="Arial"/>
          <w:spacing w:val="10"/>
          <w:kern w:val="0"/>
        </w:rPr>
        <w:t>, a to jak</w:t>
      </w:r>
      <w:r w:rsidR="00590A43">
        <w:rPr>
          <w:rFonts w:cs="Arial"/>
          <w:spacing w:val="10"/>
          <w:kern w:val="0"/>
        </w:rPr>
        <w:t xml:space="preserve"> po této krizi</w:t>
      </w:r>
      <w:bookmarkEnd w:id="2"/>
      <w:r w:rsidR="00A238DE">
        <w:rPr>
          <w:rFonts w:cs="Arial"/>
          <w:spacing w:val="10"/>
          <w:kern w:val="0"/>
        </w:rPr>
        <w:t>, tak i</w:t>
      </w:r>
      <w:r w:rsidR="001B1EE9">
        <w:rPr>
          <w:rFonts w:cs="Arial"/>
          <w:spacing w:val="10"/>
          <w:kern w:val="0"/>
        </w:rPr>
        <w:t> </w:t>
      </w:r>
      <w:r w:rsidR="00A238DE">
        <w:rPr>
          <w:rFonts w:cs="Arial"/>
          <w:spacing w:val="10"/>
          <w:kern w:val="0"/>
        </w:rPr>
        <w:t>v souvislosti s extrémním nárůstem cen energií i inflace v průběhu roku 2022</w:t>
      </w:r>
      <w:r w:rsidR="00590A43">
        <w:rPr>
          <w:rFonts w:cs="Arial"/>
          <w:spacing w:val="10"/>
          <w:kern w:val="0"/>
        </w:rPr>
        <w:t xml:space="preserve"> </w:t>
      </w:r>
      <w:r w:rsidR="00844C2F">
        <w:rPr>
          <w:rFonts w:cs="Arial"/>
          <w:spacing w:val="10"/>
          <w:kern w:val="0"/>
        </w:rPr>
        <w:t>a</w:t>
      </w:r>
      <w:r w:rsidR="001B1EE9">
        <w:rPr>
          <w:rFonts w:cs="Arial"/>
          <w:spacing w:val="10"/>
          <w:kern w:val="0"/>
        </w:rPr>
        <w:t> </w:t>
      </w:r>
      <w:r w:rsidR="003263BC" w:rsidRPr="359F7A47">
        <w:rPr>
          <w:rFonts w:cs="Arial"/>
          <w:spacing w:val="10"/>
          <w:kern w:val="0"/>
        </w:rPr>
        <w:t>podpořit</w:t>
      </w:r>
      <w:r w:rsidR="00590A43">
        <w:rPr>
          <w:rFonts w:cs="Arial"/>
          <w:spacing w:val="10"/>
          <w:kern w:val="0"/>
        </w:rPr>
        <w:t xml:space="preserve"> tak</w:t>
      </w:r>
      <w:r w:rsidR="003263BC" w:rsidRPr="359F7A47">
        <w:rPr>
          <w:rFonts w:cs="Arial"/>
          <w:spacing w:val="10"/>
          <w:kern w:val="0"/>
        </w:rPr>
        <w:t xml:space="preserve"> prostřednictvím </w:t>
      </w:r>
      <w:r w:rsidR="00F21C13" w:rsidRPr="359F7A47">
        <w:rPr>
          <w:rFonts w:cs="Arial"/>
          <w:spacing w:val="10"/>
          <w:kern w:val="0"/>
        </w:rPr>
        <w:t xml:space="preserve">bankovních </w:t>
      </w:r>
      <w:r w:rsidRPr="359F7A47">
        <w:rPr>
          <w:rFonts w:cs="Arial"/>
          <w:spacing w:val="10"/>
          <w:kern w:val="0"/>
        </w:rPr>
        <w:t>záruk</w:t>
      </w:r>
      <w:r w:rsidR="00F21C13" w:rsidRPr="359F7A47">
        <w:rPr>
          <w:rFonts w:cs="Arial"/>
          <w:spacing w:val="10"/>
          <w:kern w:val="0"/>
        </w:rPr>
        <w:t xml:space="preserve"> (záruk</w:t>
      </w:r>
      <w:r w:rsidR="00844C2F">
        <w:rPr>
          <w:rFonts w:cs="Arial"/>
          <w:spacing w:val="10"/>
          <w:kern w:val="0"/>
        </w:rPr>
        <w:t>a</w:t>
      </w:r>
      <w:r w:rsidR="00F21C13" w:rsidRPr="359F7A47">
        <w:rPr>
          <w:rFonts w:cs="Arial"/>
          <w:spacing w:val="10"/>
          <w:kern w:val="0"/>
        </w:rPr>
        <w:t>)</w:t>
      </w:r>
      <w:r w:rsidRPr="359F7A47">
        <w:rPr>
          <w:rFonts w:cs="Arial"/>
          <w:spacing w:val="10"/>
          <w:kern w:val="0"/>
        </w:rPr>
        <w:t xml:space="preserve"> </w:t>
      </w:r>
      <w:r w:rsidR="003263BC" w:rsidRPr="359F7A47">
        <w:rPr>
          <w:rFonts w:cs="Arial"/>
          <w:spacing w:val="10"/>
          <w:kern w:val="0"/>
        </w:rPr>
        <w:t xml:space="preserve">přístup </w:t>
      </w:r>
      <w:r w:rsidR="004A0706" w:rsidRPr="359F7A47">
        <w:rPr>
          <w:rFonts w:cs="Arial"/>
          <w:spacing w:val="10"/>
          <w:kern w:val="0"/>
        </w:rPr>
        <w:t>cestovních kanceláří (CK) k</w:t>
      </w:r>
      <w:r w:rsidR="00B266B0">
        <w:rPr>
          <w:rFonts w:cs="Arial"/>
          <w:spacing w:val="10"/>
          <w:kern w:val="0"/>
        </w:rPr>
        <w:t> </w:t>
      </w:r>
      <w:r w:rsidR="00FF6DA8" w:rsidRPr="359F7A47">
        <w:rPr>
          <w:rFonts w:cs="Arial"/>
        </w:rPr>
        <w:t>získání</w:t>
      </w:r>
      <w:r w:rsidR="00B266B0" w:rsidRPr="00A0592F">
        <w:rPr>
          <w:rFonts w:cs="Arial"/>
          <w:szCs w:val="24"/>
        </w:rPr>
        <w:t xml:space="preserve"> </w:t>
      </w:r>
      <w:r w:rsidR="00051027">
        <w:rPr>
          <w:rFonts w:cs="Arial"/>
          <w:szCs w:val="24"/>
        </w:rPr>
        <w:t>pojištění</w:t>
      </w:r>
      <w:r w:rsidR="001A1530">
        <w:rPr>
          <w:rFonts w:cs="Arial"/>
          <w:color w:val="000000"/>
          <w:szCs w:val="24"/>
          <w:shd w:val="clear" w:color="auto" w:fill="FFFFFF"/>
        </w:rPr>
        <w:t xml:space="preserve"> </w:t>
      </w:r>
      <w:r w:rsidR="00A0592F" w:rsidRPr="00CC1A6E">
        <w:rPr>
          <w:rFonts w:cs="Arial"/>
          <w:color w:val="000000"/>
          <w:szCs w:val="24"/>
          <w:shd w:val="clear" w:color="auto" w:fill="FFFFFF"/>
        </w:rPr>
        <w:t>pro případ úpadku</w:t>
      </w:r>
      <w:r w:rsidR="00051027">
        <w:rPr>
          <w:rFonts w:cs="Arial"/>
          <w:color w:val="000000"/>
          <w:szCs w:val="24"/>
          <w:shd w:val="clear" w:color="auto" w:fill="FFFFFF"/>
        </w:rPr>
        <w:t xml:space="preserve">, které je pro </w:t>
      </w:r>
      <w:r w:rsidR="00543D22" w:rsidRPr="009D14A9">
        <w:rPr>
          <w:rFonts w:cs="Arial"/>
          <w:spacing w:val="10"/>
          <w:kern w:val="0"/>
          <w:szCs w:val="24"/>
        </w:rPr>
        <w:t xml:space="preserve"> </w:t>
      </w:r>
      <w:r w:rsidR="00F25C4C" w:rsidRPr="009D14A9">
        <w:rPr>
          <w:rFonts w:cs="Arial"/>
          <w:spacing w:val="10"/>
          <w:kern w:val="0"/>
          <w:szCs w:val="24"/>
        </w:rPr>
        <w:t>CK</w:t>
      </w:r>
      <w:r w:rsidR="002B575D" w:rsidRPr="009D14A9">
        <w:rPr>
          <w:rFonts w:cs="Arial"/>
          <w:spacing w:val="10"/>
          <w:kern w:val="0"/>
          <w:szCs w:val="24"/>
        </w:rPr>
        <w:t xml:space="preserve"> </w:t>
      </w:r>
      <w:r w:rsidR="00051027">
        <w:rPr>
          <w:rFonts w:cs="Arial"/>
          <w:spacing w:val="10"/>
          <w:kern w:val="0"/>
          <w:szCs w:val="24"/>
        </w:rPr>
        <w:t xml:space="preserve">povinné dle </w:t>
      </w:r>
      <w:r w:rsidR="002B575D" w:rsidRPr="00CC1A6E">
        <w:rPr>
          <w:rFonts w:cs="Arial"/>
          <w:szCs w:val="24"/>
        </w:rPr>
        <w:t>§ 6 zákona č. 159/1999 Sb.</w:t>
      </w:r>
      <w:r w:rsidR="006A26A0">
        <w:rPr>
          <w:rFonts w:cs="Arial"/>
          <w:szCs w:val="24"/>
        </w:rPr>
        <w:t>,</w:t>
      </w:r>
      <w:r w:rsidR="00AC7742" w:rsidRPr="00CC1A6E">
        <w:rPr>
          <w:rFonts w:cs="Arial"/>
          <w:bCs/>
          <w:szCs w:val="24"/>
        </w:rPr>
        <w:t xml:space="preserve"> o některých podmínkách podnikání </w:t>
      </w:r>
      <w:r w:rsidR="00433CF5">
        <w:rPr>
          <w:rFonts w:cs="Arial"/>
          <w:bCs/>
          <w:szCs w:val="24"/>
        </w:rPr>
        <w:t xml:space="preserve">a o výkonu některých činností </w:t>
      </w:r>
      <w:r w:rsidR="00AC7742" w:rsidRPr="00CC1A6E">
        <w:rPr>
          <w:rFonts w:cs="Arial"/>
          <w:bCs/>
          <w:szCs w:val="24"/>
        </w:rPr>
        <w:t>v oblasti cestovního ruchu</w:t>
      </w:r>
      <w:r w:rsidR="00433CF5">
        <w:rPr>
          <w:rFonts w:cs="Arial"/>
          <w:bCs/>
          <w:szCs w:val="24"/>
        </w:rPr>
        <w:t xml:space="preserve">, </w:t>
      </w:r>
      <w:r w:rsidR="00AC7742" w:rsidRPr="00CC1A6E">
        <w:rPr>
          <w:rFonts w:cs="Arial"/>
          <w:bCs/>
          <w:szCs w:val="24"/>
        </w:rPr>
        <w:t>ve znění pozdějších předpisů</w:t>
      </w:r>
      <w:r w:rsidR="00433CF5">
        <w:rPr>
          <w:rFonts w:cs="Arial"/>
          <w:bCs/>
          <w:szCs w:val="24"/>
        </w:rPr>
        <w:t>,</w:t>
      </w:r>
      <w:r w:rsidR="002B575D" w:rsidRPr="00CC1A6E">
        <w:rPr>
          <w:rFonts w:cs="Arial"/>
          <w:szCs w:val="24"/>
        </w:rPr>
        <w:t xml:space="preserve"> a dále vyplývající ze Směrnice Evropského parlamentu a Rady (EU) 2015/2302 ze dne 25. listopadu 2015 o souborných cestovních službách a spojených cestovních službách, o změně nařízení Evropského parlamentu a Rady (ES) č. 2006/2004 a směrnice Evropského parlamentu a Rady 2011/83/EU a o zrušení směrnice Rady 90/314/EHS.</w:t>
      </w:r>
    </w:p>
    <w:p w14:paraId="76B13261" w14:textId="77777777" w:rsidR="00935C89" w:rsidRPr="0001659A" w:rsidRDefault="00935C89" w:rsidP="359F7A47">
      <w:pPr>
        <w:pStyle w:val="dka"/>
        <w:tabs>
          <w:tab w:val="clear" w:pos="851"/>
        </w:tabs>
        <w:spacing w:before="120" w:after="0" w:line="360" w:lineRule="auto"/>
        <w:rPr>
          <w:rFonts w:cs="Arial"/>
          <w:spacing w:val="10"/>
          <w:kern w:val="0"/>
        </w:rPr>
      </w:pPr>
    </w:p>
    <w:p w14:paraId="56B529D1" w14:textId="77777777" w:rsidR="00B7745E" w:rsidRPr="00D46D46" w:rsidRDefault="00B7745E" w:rsidP="005B49EA">
      <w:pPr>
        <w:pStyle w:val="Nadpis2"/>
        <w:spacing w:before="120" w:after="0" w:line="360" w:lineRule="auto"/>
        <w:rPr>
          <w:u w:val="single"/>
        </w:rPr>
      </w:pPr>
      <w:bookmarkStart w:id="3" w:name="_Toc61518402"/>
      <w:r w:rsidRPr="00D46D46">
        <w:rPr>
          <w:spacing w:val="10"/>
          <w:szCs w:val="22"/>
          <w:u w:val="single"/>
        </w:rPr>
        <w:t>Podporované aktivity</w:t>
      </w:r>
      <w:bookmarkEnd w:id="3"/>
    </w:p>
    <w:p w14:paraId="7F122059" w14:textId="52C564AF" w:rsidR="00297B26" w:rsidRDefault="00297B26" w:rsidP="004F13AF">
      <w:pPr>
        <w:pStyle w:val="normln0"/>
        <w:spacing w:before="120"/>
        <w:rPr>
          <w:rFonts w:cs="Arial"/>
          <w:szCs w:val="19"/>
        </w:rPr>
      </w:pPr>
      <w:r w:rsidRPr="00CC1A6E">
        <w:rPr>
          <w:rFonts w:cs="Arial"/>
          <w:szCs w:val="19"/>
        </w:rPr>
        <w:t>Záruka</w:t>
      </w:r>
      <w:r w:rsidRPr="00297B26">
        <w:rPr>
          <w:rFonts w:cs="Arial"/>
          <w:szCs w:val="19"/>
        </w:rPr>
        <w:t xml:space="preserve"> je poskytována </w:t>
      </w:r>
      <w:r w:rsidR="00623748">
        <w:rPr>
          <w:rFonts w:cs="Arial"/>
          <w:szCs w:val="19"/>
        </w:rPr>
        <w:t xml:space="preserve">za účelem jejího využití </w:t>
      </w:r>
      <w:r w:rsidR="00FF6DA8">
        <w:rPr>
          <w:rFonts w:cs="Arial"/>
          <w:szCs w:val="19"/>
        </w:rPr>
        <w:t>CK</w:t>
      </w:r>
      <w:r w:rsidR="004B7207">
        <w:rPr>
          <w:rFonts w:cs="Arial"/>
          <w:szCs w:val="19"/>
        </w:rPr>
        <w:t xml:space="preserve"> </w:t>
      </w:r>
      <w:r w:rsidR="00703EF8">
        <w:rPr>
          <w:rFonts w:cs="Arial"/>
          <w:szCs w:val="19"/>
        </w:rPr>
        <w:t xml:space="preserve">jako součást </w:t>
      </w:r>
      <w:r w:rsidR="004F2134">
        <w:rPr>
          <w:rFonts w:cs="Arial"/>
          <w:szCs w:val="19"/>
        </w:rPr>
        <w:t>S</w:t>
      </w:r>
      <w:r w:rsidR="004B7207">
        <w:rPr>
          <w:rFonts w:cs="Arial"/>
          <w:szCs w:val="19"/>
        </w:rPr>
        <w:t>poluúčasti na maximálním limitu pojistného plnění</w:t>
      </w:r>
      <w:r w:rsidR="0077256C">
        <w:rPr>
          <w:rFonts w:cs="Arial"/>
          <w:szCs w:val="19"/>
        </w:rPr>
        <w:t xml:space="preserve"> </w:t>
      </w:r>
      <w:r w:rsidR="00FF6DA8">
        <w:rPr>
          <w:rFonts w:cs="Arial"/>
          <w:szCs w:val="19"/>
        </w:rPr>
        <w:t>p</w:t>
      </w:r>
      <w:r w:rsidR="004A0706">
        <w:rPr>
          <w:rFonts w:cs="Arial"/>
          <w:szCs w:val="19"/>
        </w:rPr>
        <w:t>ožadovan</w:t>
      </w:r>
      <w:r w:rsidR="00FF6DA8">
        <w:rPr>
          <w:rFonts w:cs="Arial"/>
          <w:szCs w:val="19"/>
        </w:rPr>
        <w:t>é</w:t>
      </w:r>
      <w:r w:rsidR="00433CF5">
        <w:rPr>
          <w:rFonts w:cs="Arial"/>
          <w:szCs w:val="19"/>
        </w:rPr>
        <w:t>m</w:t>
      </w:r>
      <w:r w:rsidR="0077256C">
        <w:rPr>
          <w:rFonts w:cs="Arial"/>
          <w:szCs w:val="19"/>
        </w:rPr>
        <w:t xml:space="preserve"> </w:t>
      </w:r>
      <w:r w:rsidR="004A0706">
        <w:rPr>
          <w:rFonts w:cs="Arial"/>
          <w:szCs w:val="19"/>
        </w:rPr>
        <w:t xml:space="preserve">pojišťovnou </w:t>
      </w:r>
      <w:r w:rsidR="00521611">
        <w:rPr>
          <w:rFonts w:cs="Arial"/>
          <w:szCs w:val="19"/>
        </w:rPr>
        <w:t xml:space="preserve">pro uzavření </w:t>
      </w:r>
      <w:r w:rsidR="004A0706">
        <w:rPr>
          <w:rFonts w:cs="Arial"/>
          <w:szCs w:val="19"/>
        </w:rPr>
        <w:t>smlouvy</w:t>
      </w:r>
      <w:r w:rsidR="00521611">
        <w:rPr>
          <w:rFonts w:cs="Arial"/>
          <w:szCs w:val="19"/>
        </w:rPr>
        <w:t xml:space="preserve"> o</w:t>
      </w:r>
      <w:r w:rsidR="001B1EE9">
        <w:rPr>
          <w:rFonts w:cs="Arial"/>
          <w:szCs w:val="19"/>
        </w:rPr>
        <w:t> </w:t>
      </w:r>
      <w:r w:rsidR="00521611">
        <w:rPr>
          <w:rFonts w:cs="Arial"/>
          <w:szCs w:val="24"/>
        </w:rPr>
        <w:t>pojištění</w:t>
      </w:r>
      <w:r w:rsidR="00521611">
        <w:rPr>
          <w:rFonts w:cs="Arial"/>
          <w:color w:val="000000"/>
          <w:szCs w:val="24"/>
          <w:shd w:val="clear" w:color="auto" w:fill="FFFFFF"/>
        </w:rPr>
        <w:t xml:space="preserve"> </w:t>
      </w:r>
      <w:r w:rsidR="00521611" w:rsidRPr="00CC1A6E">
        <w:rPr>
          <w:rFonts w:cs="Arial"/>
          <w:color w:val="000000"/>
          <w:szCs w:val="24"/>
          <w:shd w:val="clear" w:color="auto" w:fill="FFFFFF"/>
        </w:rPr>
        <w:t>pro případ úpadku</w:t>
      </w:r>
      <w:r w:rsidR="00521611">
        <w:rPr>
          <w:rFonts w:cs="Arial"/>
          <w:color w:val="000000"/>
          <w:szCs w:val="24"/>
          <w:shd w:val="clear" w:color="auto" w:fill="FFFFFF"/>
        </w:rPr>
        <w:t xml:space="preserve"> (pojistná smlouva)</w:t>
      </w:r>
      <w:r w:rsidR="004A0706">
        <w:rPr>
          <w:rFonts w:cs="Arial"/>
          <w:szCs w:val="19"/>
        </w:rPr>
        <w:t>.</w:t>
      </w:r>
    </w:p>
    <w:p w14:paraId="60D6742C" w14:textId="77777777" w:rsidR="00B7745E" w:rsidRDefault="00B7745E" w:rsidP="005B49EA">
      <w:pPr>
        <w:spacing w:before="120" w:line="360" w:lineRule="auto"/>
        <w:jc w:val="both"/>
        <w:rPr>
          <w:rFonts w:ascii="Arial" w:hAnsi="Arial" w:cs="Arial"/>
          <w:spacing w:val="10"/>
          <w:sz w:val="24"/>
        </w:rPr>
      </w:pPr>
    </w:p>
    <w:p w14:paraId="1E33996C" w14:textId="591FDEF6" w:rsidR="00B7745E" w:rsidRPr="00935C89" w:rsidRDefault="001F3E5E" w:rsidP="005B49EA">
      <w:pPr>
        <w:pStyle w:val="Nadpis2"/>
        <w:spacing w:before="120" w:after="0" w:line="360" w:lineRule="auto"/>
        <w:rPr>
          <w:u w:val="single"/>
        </w:rPr>
      </w:pPr>
      <w:bookmarkStart w:id="4" w:name="_Toc61518403"/>
      <w:r>
        <w:rPr>
          <w:spacing w:val="10"/>
          <w:szCs w:val="22"/>
          <w:u w:val="single"/>
        </w:rPr>
        <w:t>Vymezení konečných příjemců</w:t>
      </w:r>
      <w:bookmarkEnd w:id="4"/>
      <w:r>
        <w:rPr>
          <w:spacing w:val="10"/>
          <w:szCs w:val="22"/>
          <w:u w:val="single"/>
        </w:rPr>
        <w:t xml:space="preserve"> </w:t>
      </w:r>
    </w:p>
    <w:p w14:paraId="4FC34FB8" w14:textId="43B63185" w:rsidR="002B575D" w:rsidRPr="0077256C" w:rsidRDefault="001F3E5E" w:rsidP="0077256C">
      <w:pPr>
        <w:pStyle w:val="normln0"/>
        <w:spacing w:before="120"/>
        <w:rPr>
          <w:rFonts w:cs="Arial"/>
          <w:szCs w:val="19"/>
        </w:rPr>
      </w:pPr>
      <w:r>
        <w:rPr>
          <w:rFonts w:cs="Arial"/>
          <w:szCs w:val="19"/>
        </w:rPr>
        <w:t>Konečný p</w:t>
      </w:r>
      <w:r w:rsidR="00B7745E" w:rsidRPr="00695CF0">
        <w:rPr>
          <w:rFonts w:cs="Arial"/>
          <w:szCs w:val="19"/>
        </w:rPr>
        <w:t xml:space="preserve">říjemce </w:t>
      </w:r>
      <w:r w:rsidR="00B7745E" w:rsidRPr="00CC1A6E">
        <w:rPr>
          <w:rFonts w:cs="Arial"/>
          <w:szCs w:val="19"/>
        </w:rPr>
        <w:t>podpory</w:t>
      </w:r>
      <w:r w:rsidR="00B7745E" w:rsidRPr="00695CF0">
        <w:rPr>
          <w:rFonts w:cs="Arial"/>
          <w:szCs w:val="19"/>
        </w:rPr>
        <w:t xml:space="preserve"> musí k</w:t>
      </w:r>
      <w:r w:rsidR="00992703">
        <w:rPr>
          <w:rFonts w:cs="Arial"/>
          <w:szCs w:val="19"/>
        </w:rPr>
        <w:t> </w:t>
      </w:r>
      <w:r w:rsidR="00B7745E" w:rsidRPr="00695CF0">
        <w:rPr>
          <w:rFonts w:cs="Arial"/>
          <w:szCs w:val="19"/>
        </w:rPr>
        <w:t xml:space="preserve">datu </w:t>
      </w:r>
      <w:r w:rsidR="003908C5">
        <w:rPr>
          <w:rFonts w:cs="Arial"/>
          <w:szCs w:val="19"/>
        </w:rPr>
        <w:t xml:space="preserve">uzavření </w:t>
      </w:r>
      <w:r>
        <w:rPr>
          <w:rFonts w:cs="Arial"/>
          <w:szCs w:val="19"/>
        </w:rPr>
        <w:t>pojistné smlouvy</w:t>
      </w:r>
      <w:r w:rsidR="00B7745E" w:rsidRPr="00695CF0">
        <w:rPr>
          <w:rFonts w:cs="Arial"/>
          <w:szCs w:val="19"/>
        </w:rPr>
        <w:t xml:space="preserve"> splňovat následující podmínky</w:t>
      </w:r>
      <w:r>
        <w:rPr>
          <w:rFonts w:cs="Arial"/>
          <w:szCs w:val="19"/>
        </w:rPr>
        <w:t xml:space="preserve">: </w:t>
      </w:r>
    </w:p>
    <w:p w14:paraId="39740A74" w14:textId="545158AA" w:rsidR="00B7745E" w:rsidRDefault="00A97100" w:rsidP="00D66D7E">
      <w:pPr>
        <w:pStyle w:val="normln0"/>
        <w:numPr>
          <w:ilvl w:val="0"/>
          <w:numId w:val="3"/>
        </w:numPr>
        <w:tabs>
          <w:tab w:val="clear" w:pos="0"/>
        </w:tabs>
        <w:spacing w:before="120"/>
        <w:rPr>
          <w:rFonts w:cs="Arial"/>
          <w:spacing w:val="10"/>
          <w:szCs w:val="22"/>
        </w:rPr>
      </w:pPr>
      <w:r>
        <w:rPr>
          <w:rFonts w:cs="Arial"/>
          <w:spacing w:val="10"/>
          <w:szCs w:val="22"/>
        </w:rPr>
        <w:t>je</w:t>
      </w:r>
      <w:r w:rsidR="00B7745E">
        <w:rPr>
          <w:rFonts w:cs="Arial"/>
          <w:spacing w:val="10"/>
          <w:szCs w:val="22"/>
        </w:rPr>
        <w:t xml:space="preserve"> oprávněn k</w:t>
      </w:r>
      <w:r w:rsidR="00992703">
        <w:rPr>
          <w:rFonts w:cs="Arial"/>
          <w:spacing w:val="10"/>
          <w:szCs w:val="22"/>
        </w:rPr>
        <w:t> </w:t>
      </w:r>
      <w:r w:rsidR="00B7745E">
        <w:rPr>
          <w:rFonts w:cs="Arial"/>
          <w:spacing w:val="10"/>
          <w:szCs w:val="22"/>
        </w:rPr>
        <w:t xml:space="preserve">podnikání na území České republiky </w:t>
      </w:r>
      <w:r w:rsidR="004A0706" w:rsidRPr="004A0706">
        <w:rPr>
          <w:rFonts w:cs="Arial"/>
          <w:spacing w:val="10"/>
          <w:szCs w:val="22"/>
        </w:rPr>
        <w:t>dle CZ NACE 79 -</w:t>
      </w:r>
      <w:r w:rsidR="004A0706">
        <w:rPr>
          <w:rFonts w:cs="Arial"/>
          <w:spacing w:val="10"/>
          <w:szCs w:val="22"/>
        </w:rPr>
        <w:t xml:space="preserve"> </w:t>
      </w:r>
      <w:r w:rsidR="004A0706" w:rsidRPr="004A0706">
        <w:rPr>
          <w:rFonts w:cs="Arial"/>
          <w:spacing w:val="10"/>
          <w:szCs w:val="22"/>
        </w:rPr>
        <w:t>Činnosti cestovních agentur, kanceláří a jiné rezervační a související činnosti (dále jen „podporovaná ekonomická činnost“</w:t>
      </w:r>
      <w:r w:rsidR="004A0706">
        <w:rPr>
          <w:rFonts w:cs="Arial"/>
          <w:spacing w:val="10"/>
          <w:szCs w:val="22"/>
        </w:rPr>
        <w:t>)</w:t>
      </w:r>
      <w:r w:rsidR="00B7745E">
        <w:rPr>
          <w:rFonts w:cs="Arial"/>
          <w:spacing w:val="10"/>
          <w:szCs w:val="22"/>
        </w:rPr>
        <w:t>,</w:t>
      </w:r>
      <w:r w:rsidR="00992703">
        <w:rPr>
          <w:rFonts w:cs="Arial"/>
          <w:spacing w:val="10"/>
          <w:szCs w:val="22"/>
        </w:rPr>
        <w:t> </w:t>
      </w:r>
      <w:r w:rsidR="004F13AF" w:rsidRPr="004F13AF">
        <w:rPr>
          <w:rFonts w:cs="Arial"/>
          <w:spacing w:val="10"/>
          <w:szCs w:val="22"/>
        </w:rPr>
        <w:t xml:space="preserve"> </w:t>
      </w:r>
    </w:p>
    <w:p w14:paraId="00523A83" w14:textId="080C93C3" w:rsidR="007F2E08" w:rsidRPr="007F2E08" w:rsidRDefault="007F2E08" w:rsidP="00D66D7E">
      <w:pPr>
        <w:pStyle w:val="normln0"/>
        <w:numPr>
          <w:ilvl w:val="0"/>
          <w:numId w:val="3"/>
        </w:numPr>
        <w:tabs>
          <w:tab w:val="clear" w:pos="0"/>
        </w:tabs>
        <w:spacing w:before="120"/>
        <w:rPr>
          <w:rFonts w:cs="Arial"/>
          <w:spacing w:val="10"/>
          <w:szCs w:val="22"/>
        </w:rPr>
      </w:pPr>
      <w:r>
        <w:t>je:</w:t>
      </w:r>
    </w:p>
    <w:p w14:paraId="1E7BC264" w14:textId="336B2CA7" w:rsidR="007F2E08" w:rsidRDefault="007F2E08" w:rsidP="0077256C">
      <w:pPr>
        <w:pStyle w:val="normln0"/>
        <w:numPr>
          <w:ilvl w:val="2"/>
          <w:numId w:val="3"/>
        </w:numPr>
        <w:tabs>
          <w:tab w:val="clear" w:pos="0"/>
          <w:tab w:val="clear" w:pos="2160"/>
        </w:tabs>
        <w:spacing w:before="120"/>
      </w:pPr>
      <w:r>
        <w:t>cestovní kancelář</w:t>
      </w:r>
      <w:r w:rsidR="00FF6DA8">
        <w:t>í</w:t>
      </w:r>
      <w:r>
        <w:t xml:space="preserve"> </w:t>
      </w:r>
      <w:r w:rsidR="00C77846">
        <w:t xml:space="preserve">dle § 2 odst. 1 zákona č. 159/1999 Sb., o některých podmínkách podnikání a o výkonu některých činností v oblasti cestovního ruchu, ve znění pozdějších předpisů (dále jen „zákon č. 159/1999 Sb.“). Cestovní kanceláří je podnikatel, který je na základě státního povolení k provozování živnosti (dále jen „koncese“) oprávněn sestavovat služby cestovního ruchu pro účely zájezdu, nabízet a prodávat zájezdy dle § </w:t>
      </w:r>
      <w:proofErr w:type="gramStart"/>
      <w:r w:rsidR="00C77846">
        <w:t>1b</w:t>
      </w:r>
      <w:proofErr w:type="gramEnd"/>
      <w:r w:rsidR="00C77846">
        <w:t xml:space="preserve"> odst. 1 nebo zprostředkovávat spojené cestovní služby dle § 1c odst. 1 zákona č. 159/1999 Sb., </w:t>
      </w:r>
      <w:r w:rsidR="00C77846" w:rsidRPr="007F2E08">
        <w:t xml:space="preserve">nebo </w:t>
      </w:r>
    </w:p>
    <w:p w14:paraId="70E8EE08" w14:textId="397349D8" w:rsidR="007F2E08" w:rsidRDefault="00C77846" w:rsidP="007F2E08">
      <w:pPr>
        <w:pStyle w:val="normln0"/>
        <w:numPr>
          <w:ilvl w:val="2"/>
          <w:numId w:val="3"/>
        </w:numPr>
        <w:tabs>
          <w:tab w:val="clear" w:pos="0"/>
        </w:tabs>
        <w:spacing w:before="120"/>
      </w:pPr>
      <w:r>
        <w:t>cestovní agentur</w:t>
      </w:r>
      <w:r w:rsidR="00844C2F">
        <w:t>ou</w:t>
      </w:r>
      <w:r>
        <w:t>, která byla cestovní kanceláří (</w:t>
      </w:r>
      <w:r w:rsidR="00DA3B64">
        <w:t>živnostenské oprávnění k provozování cestovní kanceláře je / bylo přerušeno)</w:t>
      </w:r>
      <w:r>
        <w:t xml:space="preserve">; </w:t>
      </w:r>
    </w:p>
    <w:p w14:paraId="590C068F" w14:textId="446FC776" w:rsidR="00C77846" w:rsidRDefault="00C77846" w:rsidP="00C77846">
      <w:pPr>
        <w:pStyle w:val="normln0"/>
        <w:tabs>
          <w:tab w:val="clear" w:pos="0"/>
        </w:tabs>
        <w:spacing w:before="120"/>
        <w:ind w:left="360"/>
        <w:rPr>
          <w:rFonts w:cs="Arial"/>
          <w:spacing w:val="10"/>
          <w:szCs w:val="22"/>
        </w:rPr>
      </w:pPr>
      <w:r w:rsidRPr="007F2E08">
        <w:t xml:space="preserve">a zároveň </w:t>
      </w:r>
      <w:r>
        <w:t>se jedná o fyzickou nebo právnickou osobu, splní-li podmínky stanovené zákonem č. 159/1999 Sb. a je držitelem státního povolení – koncese pro provozování živnosti s předmětem podnikání „Provozování cestovní kanceláře“ v rozsahu „pořádání zájezdů“, „pořádání zájezdů a zprostředkování spojených cestovních služeb“ nebo „zprostředkování spojených cestovních služeb“.</w:t>
      </w:r>
    </w:p>
    <w:p w14:paraId="33C1E6AC" w14:textId="319CD04B" w:rsidR="00B7745E" w:rsidRDefault="00A97100" w:rsidP="00D66D7E">
      <w:pPr>
        <w:pStyle w:val="normln0"/>
        <w:numPr>
          <w:ilvl w:val="0"/>
          <w:numId w:val="3"/>
        </w:numPr>
        <w:tabs>
          <w:tab w:val="clear" w:pos="0"/>
        </w:tabs>
        <w:spacing w:before="120"/>
        <w:rPr>
          <w:rFonts w:cs="Arial"/>
          <w:spacing w:val="10"/>
          <w:szCs w:val="22"/>
        </w:rPr>
      </w:pPr>
      <w:r>
        <w:rPr>
          <w:rFonts w:cs="Arial"/>
          <w:spacing w:val="10"/>
          <w:szCs w:val="22"/>
        </w:rPr>
        <w:t>je</w:t>
      </w:r>
      <w:r w:rsidR="00B7745E">
        <w:rPr>
          <w:rFonts w:cs="Arial"/>
          <w:spacing w:val="10"/>
          <w:szCs w:val="22"/>
        </w:rPr>
        <w:t xml:space="preserve"> registrován jako poplatník daně z</w:t>
      </w:r>
      <w:r w:rsidR="00992703">
        <w:rPr>
          <w:rFonts w:cs="Arial"/>
          <w:spacing w:val="10"/>
          <w:szCs w:val="22"/>
        </w:rPr>
        <w:t> </w:t>
      </w:r>
      <w:r w:rsidR="00B7745E">
        <w:rPr>
          <w:rFonts w:cs="Arial"/>
          <w:spacing w:val="10"/>
          <w:szCs w:val="22"/>
        </w:rPr>
        <w:t>příjmu na finančním úřadě</w:t>
      </w:r>
      <w:r w:rsidR="00346655" w:rsidRPr="00346655">
        <w:t xml:space="preserve"> </w:t>
      </w:r>
      <w:r w:rsidR="00346655" w:rsidRPr="00346655">
        <w:rPr>
          <w:rFonts w:cs="Arial"/>
          <w:spacing w:val="10"/>
          <w:szCs w:val="22"/>
        </w:rPr>
        <w:t>dle § 125 zákona</w:t>
      </w:r>
      <w:r w:rsidR="009203F8">
        <w:rPr>
          <w:rFonts w:cs="Arial"/>
          <w:spacing w:val="10"/>
          <w:szCs w:val="22"/>
        </w:rPr>
        <w:t xml:space="preserve"> č. 280/2009 Sb., daňový řád, v</w:t>
      </w:r>
      <w:r w:rsidR="00031E23">
        <w:rPr>
          <w:rFonts w:cs="Arial"/>
          <w:spacing w:val="10"/>
          <w:szCs w:val="22"/>
        </w:rPr>
        <w:t xml:space="preserve">e znění </w:t>
      </w:r>
      <w:r w:rsidR="00031E23" w:rsidRPr="00516B0A">
        <w:rPr>
          <w:rFonts w:cs="Arial"/>
          <w:spacing w:val="10"/>
          <w:szCs w:val="22"/>
        </w:rPr>
        <w:t>pozdějších předpisů</w:t>
      </w:r>
      <w:r w:rsidR="00346655" w:rsidRPr="00346655">
        <w:rPr>
          <w:rFonts w:cs="Arial"/>
          <w:spacing w:val="10"/>
          <w:szCs w:val="22"/>
        </w:rPr>
        <w:t>,</w:t>
      </w:r>
    </w:p>
    <w:p w14:paraId="44F769A7" w14:textId="5D058727" w:rsidR="00A130B3" w:rsidRPr="00A130B3" w:rsidRDefault="00A130B3" w:rsidP="00A130B3">
      <w:pPr>
        <w:pStyle w:val="normln0"/>
        <w:numPr>
          <w:ilvl w:val="0"/>
          <w:numId w:val="3"/>
        </w:numPr>
        <w:spacing w:before="120"/>
        <w:rPr>
          <w:rFonts w:cs="Arial"/>
          <w:spacing w:val="10"/>
          <w:szCs w:val="22"/>
        </w:rPr>
      </w:pPr>
      <w:r w:rsidRPr="00A130B3">
        <w:rPr>
          <w:rFonts w:cs="Arial"/>
          <w:spacing w:val="10"/>
          <w:szCs w:val="22"/>
        </w:rPr>
        <w:lastRenderedPageBreak/>
        <w:t>je</w:t>
      </w:r>
      <w:r w:rsidR="005711DE">
        <w:rPr>
          <w:rFonts w:cs="Arial"/>
          <w:spacing w:val="10"/>
          <w:szCs w:val="22"/>
        </w:rPr>
        <w:t>-li</w:t>
      </w:r>
      <w:r w:rsidRPr="00A130B3">
        <w:rPr>
          <w:rFonts w:cs="Arial"/>
          <w:spacing w:val="10"/>
          <w:szCs w:val="22"/>
        </w:rPr>
        <w:t xml:space="preserve"> obchodní korporací, </w:t>
      </w:r>
      <w:r w:rsidR="005711DE">
        <w:rPr>
          <w:rFonts w:cs="Arial"/>
          <w:spacing w:val="10"/>
          <w:szCs w:val="22"/>
        </w:rPr>
        <w:t xml:space="preserve">pak takovou, </w:t>
      </w:r>
      <w:r w:rsidRPr="00A130B3">
        <w:rPr>
          <w:rFonts w:cs="Arial"/>
          <w:spacing w:val="10"/>
          <w:szCs w:val="22"/>
        </w:rPr>
        <w:t xml:space="preserve">která </w:t>
      </w:r>
      <w:bookmarkStart w:id="5" w:name="_Hlk61855373"/>
      <w:r w:rsidRPr="00A130B3">
        <w:rPr>
          <w:rFonts w:cs="Arial"/>
          <w:spacing w:val="10"/>
          <w:szCs w:val="22"/>
        </w:rPr>
        <w:t>k</w:t>
      </w:r>
      <w:r w:rsidR="007544CE">
        <w:rPr>
          <w:rFonts w:cs="Arial"/>
          <w:spacing w:val="10"/>
          <w:szCs w:val="22"/>
        </w:rPr>
        <w:t>e dni podání žádosti o podpor</w:t>
      </w:r>
      <w:bookmarkEnd w:id="5"/>
      <w:r w:rsidR="00AB0D86">
        <w:rPr>
          <w:rFonts w:cs="Arial"/>
          <w:spacing w:val="10"/>
          <w:szCs w:val="22"/>
        </w:rPr>
        <w:t xml:space="preserve">u </w:t>
      </w:r>
      <w:r w:rsidRPr="00A130B3">
        <w:rPr>
          <w:rFonts w:cs="Arial"/>
          <w:spacing w:val="10"/>
          <w:szCs w:val="22"/>
        </w:rPr>
        <w:t>byla daňovým rezidentem:</w:t>
      </w:r>
    </w:p>
    <w:p w14:paraId="3B34318E" w14:textId="4AE0FFB3" w:rsidR="00A130B3" w:rsidRPr="00A130B3" w:rsidRDefault="00A130B3" w:rsidP="00A130B3">
      <w:pPr>
        <w:pStyle w:val="normln0"/>
        <w:numPr>
          <w:ilvl w:val="0"/>
          <w:numId w:val="39"/>
        </w:numPr>
        <w:spacing w:before="120"/>
        <w:rPr>
          <w:rFonts w:cs="Arial"/>
          <w:spacing w:val="10"/>
          <w:szCs w:val="22"/>
        </w:rPr>
      </w:pPr>
      <w:r w:rsidRPr="00A130B3">
        <w:rPr>
          <w:rFonts w:cs="Arial"/>
          <w:spacing w:val="10"/>
          <w:szCs w:val="22"/>
        </w:rPr>
        <w:t>České republiky, nebo</w:t>
      </w:r>
    </w:p>
    <w:p w14:paraId="2E1E5AC0" w14:textId="4697443E" w:rsidR="00A130B3" w:rsidRDefault="00A130B3" w:rsidP="00A130B3">
      <w:pPr>
        <w:pStyle w:val="normln0"/>
        <w:numPr>
          <w:ilvl w:val="0"/>
          <w:numId w:val="39"/>
        </w:numPr>
        <w:tabs>
          <w:tab w:val="clear" w:pos="0"/>
        </w:tabs>
        <w:spacing w:before="120"/>
        <w:rPr>
          <w:rFonts w:cs="Arial"/>
          <w:spacing w:val="10"/>
          <w:szCs w:val="22"/>
        </w:rPr>
      </w:pPr>
      <w:r w:rsidRPr="00A130B3">
        <w:rPr>
          <w:rFonts w:cs="Arial"/>
          <w:spacing w:val="10"/>
          <w:szCs w:val="22"/>
        </w:rPr>
        <w:t>jiného členského státu Evropské unie nebo Evropského hospodářského prostoru a nedosáhla většiny svých příjmů za příslušné období ze zdrojů na území České republiky</w:t>
      </w:r>
      <w:r>
        <w:rPr>
          <w:rFonts w:cs="Arial"/>
          <w:spacing w:val="10"/>
          <w:szCs w:val="22"/>
        </w:rPr>
        <w:t>,</w:t>
      </w:r>
    </w:p>
    <w:p w14:paraId="278A7680" w14:textId="5E11AA75" w:rsidR="00A130B3" w:rsidRPr="00A130B3" w:rsidRDefault="00A130B3" w:rsidP="00A130B3">
      <w:pPr>
        <w:pStyle w:val="normln0"/>
        <w:numPr>
          <w:ilvl w:val="0"/>
          <w:numId w:val="3"/>
        </w:numPr>
        <w:spacing w:before="120"/>
        <w:rPr>
          <w:rFonts w:cs="Arial"/>
          <w:spacing w:val="10"/>
          <w:szCs w:val="22"/>
        </w:rPr>
      </w:pPr>
      <w:r>
        <w:rPr>
          <w:rFonts w:cs="Arial"/>
          <w:spacing w:val="10"/>
          <w:szCs w:val="22"/>
        </w:rPr>
        <w:t>j</w:t>
      </w:r>
      <w:r w:rsidRPr="00A130B3">
        <w:rPr>
          <w:rFonts w:cs="Arial"/>
          <w:spacing w:val="10"/>
          <w:szCs w:val="22"/>
        </w:rPr>
        <w:t>e</w:t>
      </w:r>
      <w:r w:rsidR="005711DE">
        <w:rPr>
          <w:rFonts w:cs="Arial"/>
          <w:spacing w:val="10"/>
          <w:szCs w:val="22"/>
        </w:rPr>
        <w:t>-li</w:t>
      </w:r>
      <w:r w:rsidRPr="00A130B3">
        <w:rPr>
          <w:rFonts w:cs="Arial"/>
          <w:spacing w:val="10"/>
          <w:szCs w:val="22"/>
        </w:rPr>
        <w:t xml:space="preserve"> fyzickou osobou, </w:t>
      </w:r>
      <w:r w:rsidR="005711DE">
        <w:rPr>
          <w:rFonts w:cs="Arial"/>
          <w:spacing w:val="10"/>
          <w:szCs w:val="22"/>
        </w:rPr>
        <w:t xml:space="preserve">pak takovou, </w:t>
      </w:r>
      <w:r w:rsidRPr="00A130B3">
        <w:rPr>
          <w:rFonts w:cs="Arial"/>
          <w:spacing w:val="10"/>
          <w:szCs w:val="22"/>
        </w:rPr>
        <w:t xml:space="preserve">která byla </w:t>
      </w:r>
      <w:r w:rsidR="007544CE" w:rsidRPr="00A130B3">
        <w:rPr>
          <w:rFonts w:cs="Arial"/>
          <w:spacing w:val="10"/>
          <w:szCs w:val="22"/>
        </w:rPr>
        <w:t>k</w:t>
      </w:r>
      <w:r w:rsidR="007544CE">
        <w:rPr>
          <w:rFonts w:cs="Arial"/>
          <w:spacing w:val="10"/>
          <w:szCs w:val="22"/>
        </w:rPr>
        <w:t>e dni podání žádosti o podporu</w:t>
      </w:r>
      <w:r w:rsidRPr="00A130B3">
        <w:rPr>
          <w:rFonts w:cs="Arial"/>
          <w:spacing w:val="10"/>
          <w:szCs w:val="22"/>
        </w:rPr>
        <w:t xml:space="preserve"> daňovým:</w:t>
      </w:r>
    </w:p>
    <w:p w14:paraId="0309C894" w14:textId="5D19080E" w:rsidR="00A130B3" w:rsidRDefault="00A130B3" w:rsidP="00A130B3">
      <w:pPr>
        <w:pStyle w:val="normln0"/>
        <w:numPr>
          <w:ilvl w:val="0"/>
          <w:numId w:val="38"/>
        </w:numPr>
        <w:spacing w:before="120"/>
        <w:rPr>
          <w:rFonts w:cs="Arial"/>
          <w:spacing w:val="10"/>
          <w:szCs w:val="22"/>
        </w:rPr>
      </w:pPr>
      <w:r w:rsidRPr="00A130B3">
        <w:rPr>
          <w:rFonts w:cs="Arial"/>
          <w:spacing w:val="10"/>
          <w:szCs w:val="22"/>
        </w:rPr>
        <w:t>rezidentem České republiky, nebo</w:t>
      </w:r>
    </w:p>
    <w:p w14:paraId="38EDA304" w14:textId="59C9E11C" w:rsidR="00A130B3" w:rsidRPr="00AB0D86" w:rsidRDefault="00A130B3" w:rsidP="00AB0D86">
      <w:pPr>
        <w:pStyle w:val="normln0"/>
        <w:numPr>
          <w:ilvl w:val="0"/>
          <w:numId w:val="38"/>
        </w:numPr>
        <w:tabs>
          <w:tab w:val="clear" w:pos="0"/>
        </w:tabs>
        <w:spacing w:before="120"/>
        <w:rPr>
          <w:rFonts w:cs="Arial"/>
          <w:spacing w:val="10"/>
          <w:szCs w:val="22"/>
        </w:rPr>
      </w:pPr>
      <w:r w:rsidRPr="00A130B3">
        <w:rPr>
          <w:rFonts w:cs="Arial"/>
          <w:spacing w:val="10"/>
          <w:szCs w:val="22"/>
        </w:rPr>
        <w:t xml:space="preserve">nerezidentem České republiky, který předpokládá, že splní všechny podmínky pro uplatnění snížení daně za zdaňovací období roku 2020 dle § 35ba odst. 2 zákona </w:t>
      </w:r>
      <w:r w:rsidR="00E47FE7">
        <w:rPr>
          <w:rFonts w:cs="Arial"/>
          <w:spacing w:val="10"/>
          <w:szCs w:val="22"/>
        </w:rPr>
        <w:t xml:space="preserve">č. 586/1992 Sb., </w:t>
      </w:r>
      <w:r w:rsidRPr="00A130B3">
        <w:rPr>
          <w:rFonts w:cs="Arial"/>
          <w:spacing w:val="10"/>
          <w:szCs w:val="22"/>
        </w:rPr>
        <w:t>o daních z</w:t>
      </w:r>
      <w:r w:rsidR="00E47FE7">
        <w:rPr>
          <w:rFonts w:cs="Arial"/>
          <w:spacing w:val="10"/>
          <w:szCs w:val="22"/>
        </w:rPr>
        <w:t> </w:t>
      </w:r>
      <w:r w:rsidRPr="00A130B3">
        <w:rPr>
          <w:rFonts w:cs="Arial"/>
          <w:spacing w:val="10"/>
          <w:szCs w:val="22"/>
        </w:rPr>
        <w:t>příjmů</w:t>
      </w:r>
      <w:r w:rsidR="00E47FE7">
        <w:rPr>
          <w:rFonts w:cs="Arial"/>
          <w:spacing w:val="10"/>
          <w:szCs w:val="22"/>
        </w:rPr>
        <w:t>,</w:t>
      </w:r>
      <w:r w:rsidR="00E47FE7" w:rsidRPr="00E47FE7">
        <w:rPr>
          <w:rFonts w:cs="Arial"/>
          <w:spacing w:val="10"/>
          <w:szCs w:val="22"/>
        </w:rPr>
        <w:t xml:space="preserve"> </w:t>
      </w:r>
      <w:r w:rsidR="00E47FE7">
        <w:rPr>
          <w:rFonts w:cs="Arial"/>
          <w:spacing w:val="10"/>
          <w:szCs w:val="22"/>
        </w:rPr>
        <w:t xml:space="preserve">ve znění </w:t>
      </w:r>
      <w:r w:rsidR="00E47FE7" w:rsidRPr="00516B0A">
        <w:rPr>
          <w:rFonts w:cs="Arial"/>
          <w:spacing w:val="10"/>
          <w:szCs w:val="22"/>
        </w:rPr>
        <w:t>pozdějších předpisů</w:t>
      </w:r>
      <w:r>
        <w:rPr>
          <w:rFonts w:cs="Arial"/>
          <w:spacing w:val="10"/>
          <w:szCs w:val="22"/>
        </w:rPr>
        <w:t>,</w:t>
      </w:r>
    </w:p>
    <w:p w14:paraId="30BB28DB" w14:textId="3EB15654" w:rsidR="00C9438D" w:rsidRPr="00B83586" w:rsidRDefault="00C9438D" w:rsidP="00D66D7E">
      <w:pPr>
        <w:pStyle w:val="normln0"/>
        <w:numPr>
          <w:ilvl w:val="0"/>
          <w:numId w:val="3"/>
        </w:numPr>
        <w:tabs>
          <w:tab w:val="clear" w:pos="0"/>
        </w:tabs>
        <w:spacing w:before="120"/>
        <w:rPr>
          <w:rFonts w:cs="Arial"/>
          <w:spacing w:val="10"/>
          <w:szCs w:val="22"/>
        </w:rPr>
      </w:pPr>
      <w:r w:rsidRPr="00B83586">
        <w:rPr>
          <w:rFonts w:cs="Arial"/>
          <w:spacing w:val="10"/>
          <w:szCs w:val="22"/>
        </w:rPr>
        <w:t>ne</w:t>
      </w:r>
      <w:r w:rsidR="00623B7D">
        <w:rPr>
          <w:rFonts w:cs="Arial"/>
          <w:spacing w:val="10"/>
          <w:szCs w:val="22"/>
        </w:rPr>
        <w:t>naplňuje znaky</w:t>
      </w:r>
      <w:r w:rsidR="00992703">
        <w:rPr>
          <w:rFonts w:cs="Arial"/>
          <w:spacing w:val="10"/>
          <w:szCs w:val="22"/>
        </w:rPr>
        <w:t> </w:t>
      </w:r>
      <w:r w:rsidRPr="00B83586">
        <w:rPr>
          <w:rFonts w:cs="Arial"/>
          <w:spacing w:val="10"/>
          <w:szCs w:val="22"/>
        </w:rPr>
        <w:t>úpadku dle ustanovení § 3 zákona č. 182/2006 Sb., insolvenční zákon,</w:t>
      </w:r>
      <w:r w:rsidR="00031E23" w:rsidRPr="00031E23">
        <w:rPr>
          <w:rFonts w:cs="Arial"/>
          <w:spacing w:val="10"/>
          <w:szCs w:val="22"/>
        </w:rPr>
        <w:t xml:space="preserve"> </w:t>
      </w:r>
      <w:r w:rsidR="00CC38A3">
        <w:rPr>
          <w:rFonts w:cs="Arial"/>
          <w:spacing w:val="10"/>
          <w:szCs w:val="22"/>
        </w:rPr>
        <w:t xml:space="preserve">ve </w:t>
      </w:r>
      <w:r w:rsidR="00031E23">
        <w:rPr>
          <w:rFonts w:cs="Arial"/>
          <w:spacing w:val="10"/>
          <w:szCs w:val="22"/>
        </w:rPr>
        <w:t xml:space="preserve">znění </w:t>
      </w:r>
      <w:r w:rsidR="00031E23" w:rsidRPr="00516B0A">
        <w:rPr>
          <w:rFonts w:cs="Arial"/>
          <w:spacing w:val="10"/>
          <w:szCs w:val="22"/>
        </w:rPr>
        <w:t>pozdějších předpisů</w:t>
      </w:r>
      <w:r w:rsidR="00031E23">
        <w:rPr>
          <w:rFonts w:cs="Arial"/>
          <w:spacing w:val="10"/>
          <w:szCs w:val="22"/>
        </w:rPr>
        <w:t>,</w:t>
      </w:r>
    </w:p>
    <w:p w14:paraId="171B2145" w14:textId="77777777" w:rsidR="00B7745E" w:rsidRDefault="00B7745E" w:rsidP="00D66D7E">
      <w:pPr>
        <w:pStyle w:val="normln0"/>
        <w:numPr>
          <w:ilvl w:val="0"/>
          <w:numId w:val="3"/>
        </w:numPr>
        <w:tabs>
          <w:tab w:val="clear" w:pos="0"/>
        </w:tabs>
        <w:spacing w:before="120"/>
        <w:rPr>
          <w:rFonts w:cs="Arial"/>
          <w:spacing w:val="10"/>
          <w:szCs w:val="22"/>
        </w:rPr>
      </w:pPr>
      <w:r>
        <w:rPr>
          <w:rFonts w:cs="Arial"/>
          <w:spacing w:val="10"/>
          <w:szCs w:val="22"/>
        </w:rPr>
        <w:t>ne</w:t>
      </w:r>
      <w:r w:rsidR="00A97100">
        <w:rPr>
          <w:rFonts w:cs="Arial"/>
          <w:spacing w:val="10"/>
          <w:szCs w:val="22"/>
        </w:rPr>
        <w:t>má</w:t>
      </w:r>
      <w:r>
        <w:rPr>
          <w:rFonts w:cs="Arial"/>
          <w:spacing w:val="10"/>
          <w:szCs w:val="22"/>
        </w:rPr>
        <w:t xml:space="preserve"> žádné nedoplatky vůči vybraným institucím</w:t>
      </w:r>
      <w:r w:rsidR="0098196E">
        <w:rPr>
          <w:rStyle w:val="Znakapoznpodarou"/>
          <w:rFonts w:cs="Arial"/>
          <w:spacing w:val="10"/>
          <w:szCs w:val="22"/>
        </w:rPr>
        <w:footnoteReference w:id="3"/>
      </w:r>
      <w:r>
        <w:rPr>
          <w:rFonts w:cs="Arial"/>
          <w:spacing w:val="10"/>
          <w:szCs w:val="22"/>
        </w:rPr>
        <w:t xml:space="preserve"> a</w:t>
      </w:r>
      <w:r w:rsidR="00992703">
        <w:rPr>
          <w:rFonts w:cs="Arial"/>
          <w:spacing w:val="10"/>
          <w:szCs w:val="22"/>
        </w:rPr>
        <w:t> </w:t>
      </w:r>
      <w:r>
        <w:rPr>
          <w:rFonts w:cs="Arial"/>
          <w:spacing w:val="10"/>
          <w:szCs w:val="22"/>
        </w:rPr>
        <w:t>vůči poskytovatelům podpory z</w:t>
      </w:r>
      <w:r w:rsidR="00992703">
        <w:rPr>
          <w:rFonts w:cs="Arial"/>
          <w:spacing w:val="10"/>
          <w:szCs w:val="22"/>
        </w:rPr>
        <w:t> </w:t>
      </w:r>
      <w:r>
        <w:rPr>
          <w:rFonts w:cs="Arial"/>
          <w:spacing w:val="10"/>
          <w:szCs w:val="22"/>
        </w:rPr>
        <w:t>projektů spolufinancovaných z</w:t>
      </w:r>
      <w:r w:rsidR="00992703">
        <w:rPr>
          <w:rFonts w:cs="Arial"/>
          <w:spacing w:val="10"/>
          <w:szCs w:val="22"/>
        </w:rPr>
        <w:t> </w:t>
      </w:r>
      <w:r>
        <w:rPr>
          <w:rFonts w:cs="Arial"/>
          <w:spacing w:val="10"/>
          <w:szCs w:val="22"/>
        </w:rPr>
        <w:t>rozpočtu Evropské unie. Posečkání s</w:t>
      </w:r>
      <w:r w:rsidR="00992703">
        <w:rPr>
          <w:rFonts w:cs="Arial"/>
          <w:spacing w:val="10"/>
          <w:szCs w:val="22"/>
        </w:rPr>
        <w:t> </w:t>
      </w:r>
      <w:r>
        <w:rPr>
          <w:rFonts w:cs="Arial"/>
          <w:spacing w:val="10"/>
          <w:szCs w:val="22"/>
        </w:rPr>
        <w:t>úhradou nedoplatků nebo dohoda o</w:t>
      </w:r>
      <w:r w:rsidR="00992703">
        <w:rPr>
          <w:rFonts w:cs="Arial"/>
          <w:spacing w:val="10"/>
          <w:szCs w:val="22"/>
        </w:rPr>
        <w:t> </w:t>
      </w:r>
      <w:r>
        <w:rPr>
          <w:rFonts w:cs="Arial"/>
          <w:spacing w:val="10"/>
          <w:szCs w:val="22"/>
        </w:rPr>
        <w:t>úhradě nedoplatků se považují za vypořádané nedoplatky,</w:t>
      </w:r>
    </w:p>
    <w:p w14:paraId="06D80107" w14:textId="77777777" w:rsidR="00B7745E" w:rsidRDefault="00B7745E" w:rsidP="00D66D7E">
      <w:pPr>
        <w:pStyle w:val="normln0"/>
        <w:numPr>
          <w:ilvl w:val="0"/>
          <w:numId w:val="3"/>
        </w:numPr>
        <w:tabs>
          <w:tab w:val="clear" w:pos="0"/>
        </w:tabs>
        <w:spacing w:before="120"/>
        <w:rPr>
          <w:rFonts w:cs="Arial"/>
          <w:spacing w:val="10"/>
          <w:szCs w:val="22"/>
        </w:rPr>
      </w:pPr>
      <w:r>
        <w:rPr>
          <w:rFonts w:cs="Arial"/>
          <w:spacing w:val="10"/>
          <w:szCs w:val="22"/>
        </w:rPr>
        <w:t>ne</w:t>
      </w:r>
      <w:r w:rsidR="00A97100">
        <w:rPr>
          <w:rFonts w:cs="Arial"/>
          <w:spacing w:val="10"/>
          <w:szCs w:val="22"/>
        </w:rPr>
        <w:t>má</w:t>
      </w:r>
      <w:r>
        <w:rPr>
          <w:rFonts w:cs="Arial"/>
          <w:spacing w:val="10"/>
          <w:szCs w:val="22"/>
        </w:rPr>
        <w:t xml:space="preserve"> nedoplatky z</w:t>
      </w:r>
      <w:r w:rsidR="00992703">
        <w:rPr>
          <w:rFonts w:cs="Arial"/>
          <w:spacing w:val="10"/>
          <w:szCs w:val="22"/>
        </w:rPr>
        <w:t> </w:t>
      </w:r>
      <w:r>
        <w:rPr>
          <w:rFonts w:cs="Arial"/>
          <w:spacing w:val="10"/>
          <w:szCs w:val="22"/>
        </w:rPr>
        <w:t xml:space="preserve">titulu mzdových nároků </w:t>
      </w:r>
      <w:r w:rsidR="003B04B1">
        <w:rPr>
          <w:rFonts w:cs="Arial"/>
          <w:spacing w:val="10"/>
          <w:szCs w:val="22"/>
        </w:rPr>
        <w:t xml:space="preserve">svých </w:t>
      </w:r>
      <w:r>
        <w:rPr>
          <w:rFonts w:cs="Arial"/>
          <w:spacing w:val="10"/>
          <w:szCs w:val="22"/>
        </w:rPr>
        <w:t>zaměstnanců,</w:t>
      </w:r>
    </w:p>
    <w:p w14:paraId="27AC1C6C" w14:textId="77777777" w:rsidR="00C217DC" w:rsidRDefault="00C217DC" w:rsidP="00D66D7E">
      <w:pPr>
        <w:pStyle w:val="normln0"/>
        <w:numPr>
          <w:ilvl w:val="0"/>
          <w:numId w:val="3"/>
        </w:numPr>
        <w:tabs>
          <w:tab w:val="clear" w:pos="0"/>
        </w:tabs>
        <w:spacing w:before="120"/>
        <w:rPr>
          <w:rFonts w:cs="Arial"/>
          <w:spacing w:val="10"/>
          <w:szCs w:val="22"/>
        </w:rPr>
      </w:pPr>
      <w:r>
        <w:rPr>
          <w:rFonts w:cs="Arial"/>
          <w:spacing w:val="10"/>
          <w:szCs w:val="22"/>
        </w:rPr>
        <w:t>není</w:t>
      </w:r>
      <w:r w:rsidRPr="000563C4">
        <w:rPr>
          <w:rFonts w:cs="Arial"/>
          <w:spacing w:val="10"/>
          <w:szCs w:val="22"/>
        </w:rPr>
        <w:t xml:space="preserve"> vedena exekuce na jeho majetek</w:t>
      </w:r>
      <w:r>
        <w:rPr>
          <w:rFonts w:cs="Arial"/>
          <w:spacing w:val="10"/>
          <w:szCs w:val="22"/>
        </w:rPr>
        <w:t>,</w:t>
      </w:r>
    </w:p>
    <w:p w14:paraId="10CB1B87" w14:textId="77777777" w:rsidR="00C217DC" w:rsidRDefault="00C217DC" w:rsidP="00D66D7E">
      <w:pPr>
        <w:pStyle w:val="normln0"/>
        <w:numPr>
          <w:ilvl w:val="0"/>
          <w:numId w:val="3"/>
        </w:numPr>
        <w:tabs>
          <w:tab w:val="clear" w:pos="0"/>
        </w:tabs>
        <w:spacing w:before="120"/>
        <w:rPr>
          <w:rFonts w:cs="Arial"/>
          <w:spacing w:val="10"/>
          <w:szCs w:val="22"/>
        </w:rPr>
      </w:pPr>
      <w:r>
        <w:rPr>
          <w:rFonts w:cs="Arial"/>
          <w:spacing w:val="10"/>
          <w:szCs w:val="22"/>
        </w:rPr>
        <w:t>není</w:t>
      </w:r>
      <w:r w:rsidRPr="002676C4">
        <w:rPr>
          <w:rFonts w:cs="Arial"/>
          <w:spacing w:val="10"/>
          <w:szCs w:val="22"/>
        </w:rPr>
        <w:t xml:space="preserve"> v</w:t>
      </w:r>
      <w:r w:rsidR="00992703">
        <w:rPr>
          <w:rFonts w:cs="Arial"/>
          <w:spacing w:val="10"/>
          <w:szCs w:val="22"/>
        </w:rPr>
        <w:t> </w:t>
      </w:r>
      <w:r w:rsidRPr="002676C4">
        <w:rPr>
          <w:rFonts w:cs="Arial"/>
          <w:spacing w:val="10"/>
          <w:szCs w:val="22"/>
        </w:rPr>
        <w:t>likvidaci</w:t>
      </w:r>
      <w:r>
        <w:rPr>
          <w:rFonts w:cs="Arial"/>
          <w:spacing w:val="10"/>
          <w:szCs w:val="22"/>
        </w:rPr>
        <w:t>,</w:t>
      </w:r>
    </w:p>
    <w:p w14:paraId="5AEBB7AC" w14:textId="77777777" w:rsidR="00C217DC" w:rsidRPr="00B83586" w:rsidRDefault="00C217DC" w:rsidP="00D66D7E">
      <w:pPr>
        <w:pStyle w:val="normln0"/>
        <w:numPr>
          <w:ilvl w:val="0"/>
          <w:numId w:val="3"/>
        </w:numPr>
        <w:tabs>
          <w:tab w:val="clear" w:pos="0"/>
        </w:tabs>
        <w:spacing w:before="120"/>
        <w:rPr>
          <w:rFonts w:cs="Arial"/>
          <w:spacing w:val="10"/>
          <w:szCs w:val="22"/>
        </w:rPr>
      </w:pPr>
      <w:r w:rsidRPr="00B83586">
        <w:rPr>
          <w:rFonts w:cs="Arial"/>
          <w:bCs w:val="0"/>
          <w:spacing w:val="10"/>
          <w:szCs w:val="22"/>
        </w:rPr>
        <w:t>nebylo rozhodnuto o</w:t>
      </w:r>
      <w:r w:rsidR="00992703">
        <w:rPr>
          <w:rFonts w:cs="Arial"/>
          <w:bCs w:val="0"/>
          <w:spacing w:val="10"/>
          <w:szCs w:val="22"/>
        </w:rPr>
        <w:t> </w:t>
      </w:r>
      <w:r w:rsidRPr="00B83586">
        <w:rPr>
          <w:rFonts w:cs="Arial"/>
          <w:bCs w:val="0"/>
          <w:spacing w:val="10"/>
          <w:szCs w:val="22"/>
        </w:rPr>
        <w:t>jeho úpadku dle ustanovení § 136 zákona č. 182/2006 Sb</w:t>
      </w:r>
      <w:r w:rsidRPr="00B83586">
        <w:rPr>
          <w:rFonts w:cs="Arial"/>
          <w:spacing w:val="10"/>
          <w:szCs w:val="22"/>
        </w:rPr>
        <w:t>.</w:t>
      </w:r>
      <w:r w:rsidRPr="00B83586">
        <w:rPr>
          <w:bCs w:val="0"/>
          <w:spacing w:val="10"/>
        </w:rPr>
        <w:t>,</w:t>
      </w:r>
      <w:r w:rsidRPr="00B83586">
        <w:rPr>
          <w:rFonts w:cs="Arial"/>
          <w:bCs w:val="0"/>
          <w:spacing w:val="10"/>
          <w:szCs w:val="22"/>
        </w:rPr>
        <w:t xml:space="preserve"> </w:t>
      </w:r>
      <w:r w:rsidRPr="00B83586">
        <w:rPr>
          <w:rFonts w:cs="Arial"/>
          <w:spacing w:val="10"/>
          <w:szCs w:val="22"/>
        </w:rPr>
        <w:t>insolvenční zákon,</w:t>
      </w:r>
      <w:r w:rsidR="00031E23" w:rsidRPr="00031E23">
        <w:rPr>
          <w:rFonts w:cs="Arial"/>
          <w:spacing w:val="10"/>
          <w:szCs w:val="22"/>
        </w:rPr>
        <w:t xml:space="preserve"> </w:t>
      </w:r>
      <w:r w:rsidR="00031E23">
        <w:rPr>
          <w:rFonts w:cs="Arial"/>
          <w:spacing w:val="10"/>
          <w:szCs w:val="22"/>
        </w:rPr>
        <w:t xml:space="preserve">ve znění </w:t>
      </w:r>
      <w:r w:rsidR="00031E23" w:rsidRPr="00516B0A">
        <w:rPr>
          <w:rFonts w:cs="Arial"/>
          <w:spacing w:val="10"/>
          <w:szCs w:val="22"/>
        </w:rPr>
        <w:t>pozdějších předpisů</w:t>
      </w:r>
      <w:r w:rsidR="00031E23">
        <w:rPr>
          <w:rFonts w:cs="Arial"/>
          <w:spacing w:val="10"/>
          <w:szCs w:val="22"/>
        </w:rPr>
        <w:t>,</w:t>
      </w:r>
    </w:p>
    <w:p w14:paraId="1FF23314" w14:textId="3449B805" w:rsidR="00C217DC" w:rsidRDefault="00DA27E1" w:rsidP="00DA27E1">
      <w:pPr>
        <w:pStyle w:val="normln0"/>
        <w:numPr>
          <w:ilvl w:val="0"/>
          <w:numId w:val="3"/>
        </w:numPr>
        <w:tabs>
          <w:tab w:val="clear" w:pos="0"/>
        </w:tabs>
        <w:spacing w:before="120"/>
        <w:rPr>
          <w:rFonts w:cs="Arial"/>
          <w:spacing w:val="10"/>
          <w:szCs w:val="22"/>
        </w:rPr>
      </w:pPr>
      <w:r w:rsidRPr="00DA27E1">
        <w:rPr>
          <w:rFonts w:cs="Arial"/>
          <w:spacing w:val="10"/>
          <w:szCs w:val="22"/>
        </w:rPr>
        <w:t xml:space="preserve">nemá neuhrazený závazek vzniklý na základě příkazu k vrácení finančních prostředků vydaného po předchozím rozhodnutí Komise prohlašujícím, že </w:t>
      </w:r>
      <w:r w:rsidRPr="00DA27E1">
        <w:rPr>
          <w:rFonts w:cs="Arial"/>
          <w:spacing w:val="10"/>
          <w:szCs w:val="22"/>
        </w:rPr>
        <w:lastRenderedPageBreak/>
        <w:t>podpora obdržená od poskytovatele z České republiky je protiprávní a</w:t>
      </w:r>
      <w:r w:rsidR="001A6337">
        <w:rPr>
          <w:rFonts w:cs="Arial"/>
          <w:spacing w:val="10"/>
          <w:szCs w:val="22"/>
        </w:rPr>
        <w:t> </w:t>
      </w:r>
      <w:r w:rsidRPr="00DA27E1">
        <w:rPr>
          <w:rFonts w:cs="Arial"/>
          <w:spacing w:val="10"/>
          <w:szCs w:val="22"/>
        </w:rPr>
        <w:t>neslučitelná se společným trhem</w:t>
      </w:r>
      <w:r w:rsidR="00C217DC" w:rsidRPr="002676C4">
        <w:rPr>
          <w:rFonts w:cs="Arial"/>
          <w:spacing w:val="10"/>
          <w:szCs w:val="22"/>
        </w:rPr>
        <w:t>,</w:t>
      </w:r>
    </w:p>
    <w:p w14:paraId="299E47D4" w14:textId="3BEFBBCB" w:rsidR="000D11C3" w:rsidRDefault="00C217DC" w:rsidP="009D27DB">
      <w:pPr>
        <w:pStyle w:val="normln0"/>
        <w:numPr>
          <w:ilvl w:val="0"/>
          <w:numId w:val="3"/>
        </w:numPr>
        <w:tabs>
          <w:tab w:val="clear" w:pos="0"/>
        </w:tabs>
        <w:spacing w:before="120"/>
        <w:rPr>
          <w:rFonts w:cs="Arial"/>
          <w:spacing w:val="10"/>
          <w:szCs w:val="22"/>
        </w:rPr>
      </w:pPr>
      <w:r w:rsidRPr="004F13AF">
        <w:rPr>
          <w:rFonts w:cs="Arial"/>
          <w:spacing w:val="10"/>
          <w:szCs w:val="22"/>
        </w:rPr>
        <w:t>nebyl mu soudem nebo správním orgánem uložen zákaz činnosti, týkající s</w:t>
      </w:r>
      <w:r w:rsidR="00B672A4" w:rsidRPr="004F13AF">
        <w:rPr>
          <w:rFonts w:cs="Arial"/>
          <w:spacing w:val="10"/>
          <w:szCs w:val="22"/>
        </w:rPr>
        <w:t>e</w:t>
      </w:r>
      <w:r w:rsidR="006541B8" w:rsidRPr="004F13AF">
        <w:rPr>
          <w:rFonts w:cs="Arial"/>
          <w:spacing w:val="10"/>
          <w:szCs w:val="22"/>
        </w:rPr>
        <w:t> </w:t>
      </w:r>
      <w:r w:rsidRPr="004F13AF">
        <w:rPr>
          <w:rFonts w:cs="Arial"/>
          <w:spacing w:val="10"/>
          <w:szCs w:val="22"/>
        </w:rPr>
        <w:t>provozování živnosti (u fyzických osob)</w:t>
      </w:r>
      <w:r w:rsidR="004F13AF">
        <w:rPr>
          <w:rFonts w:cs="Arial"/>
          <w:spacing w:val="10"/>
          <w:szCs w:val="22"/>
        </w:rPr>
        <w:t>.</w:t>
      </w:r>
    </w:p>
    <w:p w14:paraId="770433AF" w14:textId="77777777" w:rsidR="00935C89" w:rsidRPr="009D27DB" w:rsidRDefault="00935C89" w:rsidP="00935C89">
      <w:pPr>
        <w:pStyle w:val="normln0"/>
        <w:tabs>
          <w:tab w:val="clear" w:pos="0"/>
        </w:tabs>
        <w:spacing w:before="120"/>
        <w:ind w:left="360"/>
        <w:rPr>
          <w:rFonts w:cs="Arial"/>
          <w:spacing w:val="10"/>
          <w:szCs w:val="22"/>
        </w:rPr>
      </w:pPr>
    </w:p>
    <w:p w14:paraId="38366762" w14:textId="15368170" w:rsidR="00B7745E" w:rsidRDefault="00B7745E" w:rsidP="005B49EA">
      <w:pPr>
        <w:pStyle w:val="Nadpis2"/>
        <w:spacing w:before="120" w:after="0" w:line="360" w:lineRule="auto"/>
        <w:rPr>
          <w:bCs w:val="0"/>
          <w:spacing w:val="10"/>
          <w:szCs w:val="22"/>
          <w:u w:val="single"/>
        </w:rPr>
      </w:pPr>
      <w:bookmarkStart w:id="6" w:name="_Toc61518404"/>
      <w:r w:rsidRPr="00935C89">
        <w:rPr>
          <w:bCs w:val="0"/>
          <w:spacing w:val="10"/>
          <w:szCs w:val="22"/>
          <w:u w:val="single"/>
        </w:rPr>
        <w:t>Podmínky programu</w:t>
      </w:r>
      <w:bookmarkEnd w:id="6"/>
    </w:p>
    <w:p w14:paraId="671054E4" w14:textId="77777777" w:rsidR="005B3872" w:rsidRPr="005B3872" w:rsidRDefault="005B3872" w:rsidP="005B3872"/>
    <w:p w14:paraId="0A604C13" w14:textId="1AF9E9F3" w:rsidR="009E1F4C" w:rsidRPr="00AB0D86" w:rsidRDefault="009E1F4C" w:rsidP="009E1F4C">
      <w:pPr>
        <w:pStyle w:val="Nadpis3"/>
        <w:spacing w:before="120" w:after="0" w:line="360" w:lineRule="auto"/>
        <w:rPr>
          <w:bCs w:val="0"/>
          <w:spacing w:val="10"/>
          <w:szCs w:val="22"/>
        </w:rPr>
      </w:pPr>
      <w:bookmarkStart w:id="7" w:name="_Toc61518405"/>
      <w:r>
        <w:t>Podmínky přijatelnosti</w:t>
      </w:r>
      <w:bookmarkEnd w:id="7"/>
    </w:p>
    <w:p w14:paraId="15150B34" w14:textId="77777777" w:rsidR="009E1F4C" w:rsidRDefault="009E1F4C" w:rsidP="00D46D46">
      <w:pPr>
        <w:spacing w:line="360" w:lineRule="auto"/>
        <w:rPr>
          <w:rFonts w:ascii="Arial" w:hAnsi="Arial" w:cs="Arial"/>
          <w:bCs/>
          <w:spacing w:val="10"/>
          <w:sz w:val="24"/>
          <w:szCs w:val="22"/>
        </w:rPr>
      </w:pPr>
    </w:p>
    <w:p w14:paraId="43BA2C8D" w14:textId="69165C5E" w:rsidR="006D2EC1" w:rsidRPr="007544CE" w:rsidRDefault="00AC32CE" w:rsidP="00AB0D86">
      <w:pPr>
        <w:pStyle w:val="Odstavecseseznamem"/>
        <w:spacing w:line="360" w:lineRule="auto"/>
        <w:ind w:left="0"/>
        <w:contextualSpacing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Konečný příjemce</w:t>
      </w:r>
      <w:r w:rsidRPr="007544CE">
        <w:rPr>
          <w:rFonts w:ascii="Arial" w:hAnsi="Arial" w:cs="Arial"/>
          <w:spacing w:val="10"/>
        </w:rPr>
        <w:t xml:space="preserve"> </w:t>
      </w:r>
      <w:r w:rsidR="00D06E0C" w:rsidRPr="007544CE">
        <w:rPr>
          <w:rFonts w:ascii="Arial" w:hAnsi="Arial" w:cs="Arial"/>
          <w:spacing w:val="10"/>
        </w:rPr>
        <w:t xml:space="preserve">předloží jako přílohu k žádosti o podporu </w:t>
      </w:r>
      <w:r w:rsidR="006D2EC1" w:rsidRPr="007544CE">
        <w:rPr>
          <w:rFonts w:ascii="Arial" w:hAnsi="Arial" w:cs="Arial"/>
          <w:spacing w:val="10"/>
        </w:rPr>
        <w:t xml:space="preserve">pojistnou smlouvu </w:t>
      </w:r>
      <w:r w:rsidRPr="00AC32CE">
        <w:rPr>
          <w:rFonts w:ascii="Arial" w:hAnsi="Arial" w:cs="Arial"/>
          <w:spacing w:val="10"/>
        </w:rPr>
        <w:t>uzavřenou s pojišťovnou oprávněnou uzavírat pojištění záruky pro případ úpadku</w:t>
      </w:r>
      <w:r w:rsidR="005C2002">
        <w:rPr>
          <w:rFonts w:ascii="Arial" w:hAnsi="Arial" w:cs="Arial"/>
          <w:spacing w:val="10"/>
        </w:rPr>
        <w:t xml:space="preserve"> cestovní kanceláře</w:t>
      </w:r>
      <w:r w:rsidR="00B55885">
        <w:rPr>
          <w:rFonts w:ascii="Arial" w:hAnsi="Arial" w:cs="Arial"/>
          <w:spacing w:val="10"/>
        </w:rPr>
        <w:t>.</w:t>
      </w:r>
    </w:p>
    <w:p w14:paraId="6C13DD42" w14:textId="1DE6D3F4" w:rsidR="004A0706" w:rsidRPr="00D06E0C" w:rsidRDefault="004A0706" w:rsidP="00AB0D86">
      <w:pPr>
        <w:pStyle w:val="Odstavecseseznamem"/>
        <w:spacing w:line="360" w:lineRule="auto"/>
        <w:ind w:left="0"/>
        <w:contextualSpacing/>
        <w:jc w:val="both"/>
        <w:rPr>
          <w:rFonts w:ascii="Arial" w:hAnsi="Arial" w:cs="Arial"/>
          <w:spacing w:val="10"/>
        </w:rPr>
      </w:pPr>
      <w:r w:rsidRPr="00D06E0C">
        <w:rPr>
          <w:rFonts w:ascii="Arial" w:hAnsi="Arial" w:cs="Arial"/>
          <w:spacing w:val="10"/>
        </w:rPr>
        <w:t xml:space="preserve">Podíl </w:t>
      </w:r>
      <w:r w:rsidR="00AC32CE">
        <w:rPr>
          <w:rFonts w:ascii="Arial" w:hAnsi="Arial" w:cs="Arial"/>
          <w:spacing w:val="10"/>
        </w:rPr>
        <w:t>Konečného příjemce</w:t>
      </w:r>
      <w:r w:rsidR="00AC32CE" w:rsidRPr="00D06E0C">
        <w:rPr>
          <w:rFonts w:ascii="Arial" w:hAnsi="Arial" w:cs="Arial"/>
          <w:spacing w:val="10"/>
        </w:rPr>
        <w:t xml:space="preserve"> </w:t>
      </w:r>
      <w:r w:rsidRPr="00D06E0C">
        <w:rPr>
          <w:rFonts w:ascii="Arial" w:hAnsi="Arial" w:cs="Arial"/>
          <w:spacing w:val="10"/>
        </w:rPr>
        <w:t xml:space="preserve">na celkové výši </w:t>
      </w:r>
      <w:r w:rsidR="00EA728F">
        <w:rPr>
          <w:rFonts w:ascii="Arial" w:hAnsi="Arial" w:cs="Arial"/>
          <w:spacing w:val="10"/>
        </w:rPr>
        <w:t>S</w:t>
      </w:r>
      <w:r w:rsidRPr="00D06E0C">
        <w:rPr>
          <w:rFonts w:ascii="Arial" w:hAnsi="Arial" w:cs="Arial"/>
          <w:spacing w:val="10"/>
        </w:rPr>
        <w:t>poluúčasti</w:t>
      </w:r>
      <w:r w:rsidR="009E1F4C" w:rsidRPr="00D06E0C">
        <w:rPr>
          <w:rFonts w:ascii="Arial" w:hAnsi="Arial" w:cs="Arial"/>
          <w:spacing w:val="10"/>
        </w:rPr>
        <w:t xml:space="preserve">, požadované pojišťovnou </w:t>
      </w:r>
      <w:r w:rsidR="00521611">
        <w:rPr>
          <w:rFonts w:ascii="Arial" w:hAnsi="Arial" w:cs="Arial"/>
          <w:spacing w:val="10"/>
        </w:rPr>
        <w:t>pro uzavření</w:t>
      </w:r>
      <w:r w:rsidR="009E1F4C" w:rsidRPr="00D06E0C">
        <w:rPr>
          <w:rFonts w:ascii="Arial" w:hAnsi="Arial" w:cs="Arial"/>
          <w:spacing w:val="10"/>
        </w:rPr>
        <w:t xml:space="preserve"> pojistné smlouvy,</w:t>
      </w:r>
      <w:r w:rsidRPr="00D06E0C">
        <w:rPr>
          <w:rFonts w:ascii="Arial" w:hAnsi="Arial" w:cs="Arial"/>
          <w:spacing w:val="10"/>
        </w:rPr>
        <w:t xml:space="preserve"> je minimálně 25</w:t>
      </w:r>
      <w:r w:rsidR="007F0359">
        <w:rPr>
          <w:rFonts w:ascii="Arial" w:hAnsi="Arial" w:cs="Arial"/>
          <w:spacing w:val="10"/>
        </w:rPr>
        <w:t xml:space="preserve"> </w:t>
      </w:r>
      <w:r w:rsidRPr="00D06E0C">
        <w:rPr>
          <w:rFonts w:ascii="Arial" w:hAnsi="Arial" w:cs="Arial"/>
          <w:spacing w:val="10"/>
        </w:rPr>
        <w:t>%</w:t>
      </w:r>
      <w:r w:rsidR="0081079C">
        <w:rPr>
          <w:rFonts w:ascii="Arial" w:hAnsi="Arial" w:cs="Arial"/>
          <w:spacing w:val="10"/>
        </w:rPr>
        <w:t>.</w:t>
      </w:r>
    </w:p>
    <w:p w14:paraId="323AC2EA" w14:textId="77777777" w:rsidR="004A0706" w:rsidRPr="004A0706" w:rsidRDefault="004A0706" w:rsidP="004A0706">
      <w:pPr>
        <w:rPr>
          <w:rFonts w:ascii="Arial" w:hAnsi="Arial" w:cs="Arial"/>
          <w:bCs/>
          <w:spacing w:val="10"/>
          <w:sz w:val="24"/>
          <w:szCs w:val="22"/>
        </w:rPr>
      </w:pPr>
    </w:p>
    <w:p w14:paraId="6AD91D75" w14:textId="13376CD3" w:rsidR="00C91DE3" w:rsidRDefault="00A145D8" w:rsidP="00A323D6">
      <w:pPr>
        <w:pStyle w:val="normln0"/>
        <w:spacing w:before="120"/>
        <w:rPr>
          <w:rFonts w:cs="Arial"/>
          <w:spacing w:val="10"/>
          <w:szCs w:val="22"/>
        </w:rPr>
      </w:pPr>
      <w:r>
        <w:rPr>
          <w:rFonts w:cs="Arial"/>
          <w:spacing w:val="10"/>
          <w:szCs w:val="22"/>
        </w:rPr>
        <w:t>Konečný p</w:t>
      </w:r>
      <w:r w:rsidR="00737821" w:rsidRPr="00762C28">
        <w:rPr>
          <w:rFonts w:cs="Arial"/>
          <w:spacing w:val="10"/>
          <w:szCs w:val="22"/>
        </w:rPr>
        <w:t xml:space="preserve">říjemce je </w:t>
      </w:r>
      <w:r w:rsidR="00962507">
        <w:rPr>
          <w:rFonts w:cs="Arial"/>
          <w:spacing w:val="10"/>
          <w:szCs w:val="22"/>
        </w:rPr>
        <w:t>povinen</w:t>
      </w:r>
      <w:r w:rsidR="00A85461">
        <w:rPr>
          <w:rFonts w:cs="Arial"/>
          <w:spacing w:val="10"/>
          <w:szCs w:val="22"/>
        </w:rPr>
        <w:t xml:space="preserve"> </w:t>
      </w:r>
      <w:r w:rsidR="00B7745E">
        <w:rPr>
          <w:rFonts w:cs="Arial"/>
          <w:spacing w:val="10"/>
          <w:szCs w:val="22"/>
        </w:rPr>
        <w:t xml:space="preserve">souhlasit, že </w:t>
      </w:r>
      <w:r w:rsidR="00C03F05">
        <w:rPr>
          <w:rFonts w:cs="Arial"/>
          <w:spacing w:val="10"/>
          <w:szCs w:val="22"/>
        </w:rPr>
        <w:t>budou</w:t>
      </w:r>
      <w:r w:rsidR="00C03F05" w:rsidDel="00C03F05">
        <w:rPr>
          <w:rFonts w:cs="Arial"/>
          <w:spacing w:val="10"/>
          <w:szCs w:val="22"/>
        </w:rPr>
        <w:t xml:space="preserve"> </w:t>
      </w:r>
      <w:proofErr w:type="gramStart"/>
      <w:r w:rsidR="00B7745E">
        <w:rPr>
          <w:rFonts w:cs="Arial"/>
          <w:spacing w:val="10"/>
          <w:szCs w:val="22"/>
        </w:rPr>
        <w:t>Ministerstvu</w:t>
      </w:r>
      <w:proofErr w:type="gramEnd"/>
      <w:r w:rsidR="00B7745E">
        <w:rPr>
          <w:rFonts w:cs="Arial"/>
          <w:spacing w:val="10"/>
          <w:szCs w:val="22"/>
        </w:rPr>
        <w:t xml:space="preserve"> </w:t>
      </w:r>
      <w:r w:rsidR="003908C5" w:rsidRPr="003908C5">
        <w:rPr>
          <w:rFonts w:cs="Arial"/>
          <w:spacing w:val="10"/>
          <w:szCs w:val="22"/>
        </w:rPr>
        <w:t>a subjektům určeným obecně závaznými předpisy</w:t>
      </w:r>
      <w:r w:rsidR="003908C5" w:rsidRPr="003908C5" w:rsidDel="003908C5">
        <w:rPr>
          <w:rFonts w:cs="Arial"/>
          <w:spacing w:val="10"/>
          <w:szCs w:val="22"/>
        </w:rPr>
        <w:t xml:space="preserve"> </w:t>
      </w:r>
      <w:r w:rsidR="00574F50">
        <w:rPr>
          <w:rFonts w:cs="Arial"/>
          <w:spacing w:val="10"/>
          <w:szCs w:val="22"/>
        </w:rPr>
        <w:t>předá</w:t>
      </w:r>
      <w:r w:rsidR="00C91DE3">
        <w:rPr>
          <w:rFonts w:cs="Arial"/>
          <w:spacing w:val="10"/>
          <w:szCs w:val="22"/>
        </w:rPr>
        <w:t>ny</w:t>
      </w:r>
      <w:r w:rsidR="00B7745E">
        <w:rPr>
          <w:rFonts w:cs="Arial"/>
          <w:spacing w:val="10"/>
          <w:szCs w:val="22"/>
        </w:rPr>
        <w:t xml:space="preserve"> údaje</w:t>
      </w:r>
      <w:r w:rsidR="00F1120F">
        <w:rPr>
          <w:rFonts w:cs="Arial"/>
          <w:spacing w:val="10"/>
          <w:szCs w:val="22"/>
        </w:rPr>
        <w:t xml:space="preserve"> o</w:t>
      </w:r>
      <w:r w:rsidR="00992703">
        <w:rPr>
          <w:rFonts w:cs="Arial"/>
          <w:spacing w:val="10"/>
          <w:szCs w:val="22"/>
        </w:rPr>
        <w:t> </w:t>
      </w:r>
      <w:r w:rsidR="00F1120F">
        <w:rPr>
          <w:rFonts w:cs="Arial"/>
          <w:spacing w:val="10"/>
          <w:szCs w:val="22"/>
        </w:rPr>
        <w:t>jeho osobě v</w:t>
      </w:r>
      <w:r w:rsidR="00992703">
        <w:rPr>
          <w:rFonts w:cs="Arial"/>
          <w:spacing w:val="10"/>
          <w:szCs w:val="22"/>
        </w:rPr>
        <w:t> </w:t>
      </w:r>
      <w:r w:rsidR="00F1120F">
        <w:rPr>
          <w:rFonts w:cs="Arial"/>
          <w:spacing w:val="10"/>
          <w:szCs w:val="22"/>
        </w:rPr>
        <w:t xml:space="preserve">rozsahu vyžadovaném </w:t>
      </w:r>
      <w:r w:rsidR="003908C5">
        <w:rPr>
          <w:rFonts w:cs="Arial"/>
          <w:spacing w:val="10"/>
          <w:szCs w:val="22"/>
        </w:rPr>
        <w:t>těmito</w:t>
      </w:r>
      <w:r w:rsidR="007544CE">
        <w:rPr>
          <w:rFonts w:cs="Arial"/>
          <w:spacing w:val="10"/>
          <w:szCs w:val="22"/>
        </w:rPr>
        <w:t xml:space="preserve"> </w:t>
      </w:r>
      <w:r w:rsidR="00F1120F">
        <w:rPr>
          <w:rFonts w:cs="Arial"/>
          <w:spacing w:val="10"/>
          <w:szCs w:val="22"/>
        </w:rPr>
        <w:t>předpisy, zejména údaje</w:t>
      </w:r>
      <w:r w:rsidR="00574F50">
        <w:rPr>
          <w:rFonts w:cs="Arial"/>
          <w:spacing w:val="10"/>
          <w:szCs w:val="22"/>
        </w:rPr>
        <w:t xml:space="preserve"> týkající se</w:t>
      </w:r>
      <w:r w:rsidR="000933F4">
        <w:rPr>
          <w:rFonts w:cs="Arial"/>
          <w:spacing w:val="10"/>
          <w:szCs w:val="22"/>
        </w:rPr>
        <w:t xml:space="preserve"> </w:t>
      </w:r>
      <w:r w:rsidR="00B7745E">
        <w:rPr>
          <w:rFonts w:cs="Arial"/>
          <w:spacing w:val="10"/>
          <w:szCs w:val="22"/>
        </w:rPr>
        <w:t>jména</w:t>
      </w:r>
      <w:r w:rsidR="00CF14F3">
        <w:rPr>
          <w:rFonts w:cs="Arial"/>
          <w:spacing w:val="10"/>
          <w:szCs w:val="22"/>
        </w:rPr>
        <w:t xml:space="preserve"> a příjmení</w:t>
      </w:r>
      <w:r w:rsidR="000933F4">
        <w:rPr>
          <w:rFonts w:cs="Arial"/>
          <w:spacing w:val="10"/>
          <w:szCs w:val="22"/>
        </w:rPr>
        <w:t xml:space="preserve"> </w:t>
      </w:r>
      <w:r w:rsidR="00B7745E">
        <w:rPr>
          <w:rFonts w:cs="Arial"/>
          <w:spacing w:val="10"/>
          <w:szCs w:val="22"/>
        </w:rPr>
        <w:t>/názvu/</w:t>
      </w:r>
      <w:r w:rsidR="00CF14F3">
        <w:rPr>
          <w:rFonts w:cs="Arial"/>
          <w:spacing w:val="10"/>
          <w:szCs w:val="22"/>
        </w:rPr>
        <w:t xml:space="preserve">obchodní </w:t>
      </w:r>
      <w:r w:rsidR="00B7745E">
        <w:rPr>
          <w:rFonts w:cs="Arial"/>
          <w:spacing w:val="10"/>
          <w:szCs w:val="22"/>
        </w:rPr>
        <w:t>firmy, adresy</w:t>
      </w:r>
      <w:r w:rsidR="00CF14F3">
        <w:rPr>
          <w:rFonts w:cs="Arial"/>
          <w:spacing w:val="10"/>
          <w:szCs w:val="22"/>
        </w:rPr>
        <w:t xml:space="preserve"> </w:t>
      </w:r>
      <w:r w:rsidR="00B7745E">
        <w:rPr>
          <w:rFonts w:cs="Arial"/>
          <w:spacing w:val="10"/>
          <w:szCs w:val="22"/>
        </w:rPr>
        <w:t>sídla, IČ</w:t>
      </w:r>
      <w:r w:rsidR="00057E61">
        <w:rPr>
          <w:rFonts w:cs="Arial"/>
          <w:spacing w:val="10"/>
          <w:szCs w:val="22"/>
        </w:rPr>
        <w:t>O</w:t>
      </w:r>
      <w:r w:rsidR="00B7745E">
        <w:rPr>
          <w:rFonts w:cs="Arial"/>
          <w:spacing w:val="10"/>
          <w:szCs w:val="22"/>
        </w:rPr>
        <w:t xml:space="preserve">, </w:t>
      </w:r>
      <w:r w:rsidR="00C91DE3">
        <w:rPr>
          <w:rFonts w:cs="Arial"/>
          <w:spacing w:val="10"/>
          <w:szCs w:val="22"/>
        </w:rPr>
        <w:t xml:space="preserve">předmětu </w:t>
      </w:r>
      <w:r w:rsidR="00B7745E">
        <w:rPr>
          <w:rFonts w:cs="Arial"/>
          <w:spacing w:val="10"/>
          <w:szCs w:val="22"/>
        </w:rPr>
        <w:t>a</w:t>
      </w:r>
      <w:r w:rsidR="00992703">
        <w:rPr>
          <w:rFonts w:cs="Arial"/>
          <w:spacing w:val="10"/>
          <w:szCs w:val="22"/>
        </w:rPr>
        <w:t> </w:t>
      </w:r>
      <w:r w:rsidR="00B7745E">
        <w:rPr>
          <w:rFonts w:cs="Arial"/>
          <w:spacing w:val="10"/>
          <w:szCs w:val="22"/>
        </w:rPr>
        <w:t>výši poskytnuté podpory</w:t>
      </w:r>
      <w:r w:rsidR="00A323D6" w:rsidRPr="00A323D6">
        <w:rPr>
          <w:rFonts w:cs="Arial"/>
          <w:spacing w:val="10"/>
          <w:szCs w:val="22"/>
        </w:rPr>
        <w:t xml:space="preserve">, to vše za účelem zveřejnění těchto údajů a kontroly dodržování pravidel </w:t>
      </w:r>
      <w:r w:rsidR="002A3426">
        <w:rPr>
          <w:rFonts w:cs="Arial"/>
          <w:spacing w:val="10"/>
          <w:szCs w:val="22"/>
        </w:rPr>
        <w:t>podpory</w:t>
      </w:r>
      <w:r w:rsidR="00AD2EA1">
        <w:rPr>
          <w:rFonts w:cs="Arial"/>
          <w:spacing w:val="10"/>
          <w:szCs w:val="22"/>
        </w:rPr>
        <w:t xml:space="preserve"> de</w:t>
      </w:r>
      <w:r w:rsidR="000933F4">
        <w:rPr>
          <w:rFonts w:cs="Arial"/>
          <w:spacing w:val="10"/>
          <w:szCs w:val="22"/>
        </w:rPr>
        <w:t> </w:t>
      </w:r>
      <w:proofErr w:type="spellStart"/>
      <w:r w:rsidR="00AD2EA1">
        <w:rPr>
          <w:rFonts w:cs="Arial"/>
          <w:spacing w:val="10"/>
          <w:szCs w:val="22"/>
        </w:rPr>
        <w:t>minimis</w:t>
      </w:r>
      <w:proofErr w:type="spellEnd"/>
      <w:r w:rsidR="00C91DE3">
        <w:rPr>
          <w:rFonts w:cs="Arial"/>
          <w:spacing w:val="10"/>
          <w:szCs w:val="22"/>
        </w:rPr>
        <w:t>.</w:t>
      </w:r>
    </w:p>
    <w:p w14:paraId="264BF589" w14:textId="77777777" w:rsidR="00DA27E1" w:rsidRDefault="00DA27E1" w:rsidP="00C91DE3">
      <w:pPr>
        <w:pStyle w:val="normln0"/>
        <w:spacing w:before="120"/>
        <w:rPr>
          <w:rFonts w:cs="Arial"/>
          <w:spacing w:val="10"/>
          <w:szCs w:val="22"/>
        </w:rPr>
      </w:pPr>
    </w:p>
    <w:p w14:paraId="4B174F20" w14:textId="77777777" w:rsidR="00DA27E1" w:rsidRPr="00DA27E1" w:rsidRDefault="00DA27E1" w:rsidP="004B45C1">
      <w:pPr>
        <w:pStyle w:val="Nadpis3"/>
        <w:spacing w:before="120" w:after="0" w:line="360" w:lineRule="auto"/>
        <w:rPr>
          <w:bCs w:val="0"/>
          <w:spacing w:val="10"/>
          <w:szCs w:val="22"/>
        </w:rPr>
      </w:pPr>
      <w:bookmarkStart w:id="8" w:name="_Toc61518406"/>
      <w:r w:rsidRPr="00DA27E1">
        <w:rPr>
          <w:bCs w:val="0"/>
          <w:spacing w:val="10"/>
          <w:szCs w:val="22"/>
        </w:rPr>
        <w:t>Způsobilé výdaje</w:t>
      </w:r>
      <w:bookmarkEnd w:id="8"/>
      <w:r w:rsidRPr="00DA27E1">
        <w:rPr>
          <w:bCs w:val="0"/>
          <w:spacing w:val="10"/>
          <w:szCs w:val="22"/>
        </w:rPr>
        <w:t xml:space="preserve"> </w:t>
      </w:r>
    </w:p>
    <w:p w14:paraId="2DDE99CA" w14:textId="5056A6DB" w:rsidR="00926A98" w:rsidRPr="001A6337" w:rsidRDefault="00DA27E1" w:rsidP="00AC1304">
      <w:pPr>
        <w:pStyle w:val="Odstavecseseznamem"/>
        <w:spacing w:line="360" w:lineRule="auto"/>
        <w:ind w:left="0"/>
        <w:contextualSpacing/>
        <w:jc w:val="both"/>
        <w:rPr>
          <w:rFonts w:cs="Arial"/>
          <w:spacing w:val="10"/>
        </w:rPr>
      </w:pPr>
      <w:r w:rsidRPr="00AC1304">
        <w:rPr>
          <w:rFonts w:ascii="Arial" w:hAnsi="Arial" w:cs="Arial"/>
          <w:spacing w:val="10"/>
        </w:rPr>
        <w:t xml:space="preserve">Způsobilým výdajem je </w:t>
      </w:r>
      <w:r w:rsidR="00EA728F" w:rsidRPr="00AC1304">
        <w:rPr>
          <w:rFonts w:ascii="Arial" w:hAnsi="Arial" w:cs="Arial"/>
          <w:spacing w:val="10"/>
        </w:rPr>
        <w:t>S</w:t>
      </w:r>
      <w:r w:rsidR="00971CFE" w:rsidRPr="00AC1304">
        <w:rPr>
          <w:rFonts w:ascii="Arial" w:hAnsi="Arial" w:cs="Arial"/>
          <w:spacing w:val="10"/>
        </w:rPr>
        <w:t>poluúčast</w:t>
      </w:r>
      <w:r w:rsidR="00FF6DA8" w:rsidRPr="00AC1304">
        <w:rPr>
          <w:rFonts w:ascii="Arial" w:hAnsi="Arial" w:cs="Arial"/>
          <w:spacing w:val="10"/>
        </w:rPr>
        <w:t xml:space="preserve"> ve finančním vyjádření</w:t>
      </w:r>
      <w:r w:rsidRPr="00AC1304">
        <w:rPr>
          <w:rFonts w:ascii="Arial" w:hAnsi="Arial" w:cs="Arial"/>
          <w:spacing w:val="10"/>
        </w:rPr>
        <w:t xml:space="preserve"> </w:t>
      </w:r>
      <w:r w:rsidR="000879BD" w:rsidRPr="00AC1304">
        <w:rPr>
          <w:rFonts w:ascii="Arial" w:hAnsi="Arial" w:cs="Arial"/>
          <w:spacing w:val="10"/>
        </w:rPr>
        <w:t>požadovan</w:t>
      </w:r>
      <w:r w:rsidR="00FF6DA8" w:rsidRPr="00AC1304">
        <w:rPr>
          <w:rFonts w:ascii="Arial" w:hAnsi="Arial" w:cs="Arial"/>
          <w:spacing w:val="10"/>
        </w:rPr>
        <w:t>á</w:t>
      </w:r>
      <w:r w:rsidR="000879BD" w:rsidRPr="00AC1304">
        <w:rPr>
          <w:rFonts w:ascii="Arial" w:hAnsi="Arial" w:cs="Arial"/>
          <w:spacing w:val="10"/>
        </w:rPr>
        <w:t xml:space="preserve"> </w:t>
      </w:r>
      <w:r w:rsidR="00960BDE" w:rsidRPr="00AC1304">
        <w:rPr>
          <w:rFonts w:ascii="Arial" w:hAnsi="Arial" w:cs="Arial"/>
          <w:spacing w:val="10"/>
        </w:rPr>
        <w:t>p</w:t>
      </w:r>
      <w:r w:rsidR="000879BD" w:rsidRPr="00AC1304">
        <w:rPr>
          <w:rFonts w:ascii="Arial" w:hAnsi="Arial" w:cs="Arial"/>
          <w:spacing w:val="10"/>
        </w:rPr>
        <w:t xml:space="preserve">ojišťovnou </w:t>
      </w:r>
      <w:r w:rsidR="00521611" w:rsidRPr="00AC1304">
        <w:rPr>
          <w:rFonts w:ascii="Arial" w:hAnsi="Arial" w:cs="Arial"/>
          <w:spacing w:val="10"/>
        </w:rPr>
        <w:t>pro uzavření</w:t>
      </w:r>
      <w:r w:rsidR="000879BD" w:rsidRPr="00AC1304">
        <w:rPr>
          <w:rFonts w:ascii="Arial" w:hAnsi="Arial" w:cs="Arial"/>
          <w:spacing w:val="10"/>
        </w:rPr>
        <w:t xml:space="preserve"> pojistné smlouvy</w:t>
      </w:r>
      <w:r w:rsidRPr="00AC1304">
        <w:rPr>
          <w:rFonts w:ascii="Arial" w:hAnsi="Arial" w:cs="Arial"/>
          <w:spacing w:val="10"/>
        </w:rPr>
        <w:t>.</w:t>
      </w:r>
    </w:p>
    <w:p w14:paraId="42FC028F" w14:textId="77777777" w:rsidR="009114DB" w:rsidRPr="00F029FB" w:rsidRDefault="009114DB" w:rsidP="005B49EA">
      <w:pPr>
        <w:pStyle w:val="odrtecka"/>
        <w:numPr>
          <w:ilvl w:val="0"/>
          <w:numId w:val="0"/>
        </w:numPr>
        <w:tabs>
          <w:tab w:val="clear" w:pos="709"/>
        </w:tabs>
        <w:spacing w:line="360" w:lineRule="auto"/>
        <w:ind w:left="851"/>
      </w:pPr>
    </w:p>
    <w:p w14:paraId="4FBE93ED" w14:textId="6BA2B013" w:rsidR="0045550F" w:rsidRPr="00935C89" w:rsidRDefault="00B7745E" w:rsidP="005B49EA">
      <w:pPr>
        <w:pStyle w:val="Nadpis2"/>
        <w:spacing w:before="120" w:after="0" w:line="360" w:lineRule="auto"/>
        <w:ind w:left="578" w:hanging="578"/>
        <w:rPr>
          <w:spacing w:val="10"/>
          <w:szCs w:val="22"/>
          <w:u w:val="single"/>
        </w:rPr>
      </w:pPr>
      <w:bookmarkStart w:id="9" w:name="_Toc61518407"/>
      <w:r w:rsidRPr="00935C89">
        <w:rPr>
          <w:spacing w:val="10"/>
          <w:szCs w:val="22"/>
          <w:u w:val="single"/>
        </w:rPr>
        <w:t>Forma a</w:t>
      </w:r>
      <w:r w:rsidR="00992703" w:rsidRPr="00935C89">
        <w:rPr>
          <w:spacing w:val="10"/>
          <w:szCs w:val="22"/>
          <w:u w:val="single"/>
        </w:rPr>
        <w:t> </w:t>
      </w:r>
      <w:r w:rsidRPr="00935C89">
        <w:rPr>
          <w:spacing w:val="10"/>
          <w:szCs w:val="22"/>
          <w:u w:val="single"/>
        </w:rPr>
        <w:t>výše podpory</w:t>
      </w:r>
      <w:bookmarkEnd w:id="9"/>
    </w:p>
    <w:p w14:paraId="5B49B147" w14:textId="77777777" w:rsidR="00960BDE" w:rsidRDefault="00960BDE" w:rsidP="00960BDE"/>
    <w:p w14:paraId="0B0BA07E" w14:textId="787A2D28" w:rsidR="00960BDE" w:rsidRDefault="00960BDE" w:rsidP="00960BDE">
      <w:pPr>
        <w:pStyle w:val="normln0"/>
        <w:spacing w:before="120"/>
      </w:pPr>
      <w:r w:rsidRPr="00960BDE">
        <w:t xml:space="preserve">Podpora je poskytována </w:t>
      </w:r>
      <w:r w:rsidR="00EA728F">
        <w:t xml:space="preserve">Konečnému příjemci </w:t>
      </w:r>
      <w:r w:rsidRPr="00960BDE">
        <w:t xml:space="preserve">ve formě bankovní záruky za </w:t>
      </w:r>
      <w:proofErr w:type="gramStart"/>
      <w:r w:rsidR="00EA728F">
        <w:t>S</w:t>
      </w:r>
      <w:r w:rsidR="00971CFE">
        <w:t xml:space="preserve">poluúčast </w:t>
      </w:r>
      <w:r w:rsidR="00FF6DA8">
        <w:t xml:space="preserve"> </w:t>
      </w:r>
      <w:r w:rsidR="00971CFE">
        <w:t>požadovan</w:t>
      </w:r>
      <w:r w:rsidR="00EA728F">
        <w:t>ou</w:t>
      </w:r>
      <w:proofErr w:type="gramEnd"/>
      <w:r w:rsidR="00971CFE">
        <w:t xml:space="preserve"> pojišťovnou </w:t>
      </w:r>
      <w:r w:rsidR="00B96075">
        <w:t>p</w:t>
      </w:r>
      <w:r w:rsidR="00521611">
        <w:t>ro uzavření</w:t>
      </w:r>
      <w:r w:rsidR="00971CFE">
        <w:t xml:space="preserve"> pojistné smlouvy.</w:t>
      </w:r>
      <w:r>
        <w:t xml:space="preserve"> K</w:t>
      </w:r>
      <w:r w:rsidR="00971CFE">
        <w:t xml:space="preserve"> </w:t>
      </w:r>
      <w:r>
        <w:t>jedné pojistné smlouvě může být poskytnuta pouze jedna záruka</w:t>
      </w:r>
      <w:r w:rsidR="007A53E3">
        <w:t>.</w:t>
      </w:r>
      <w:r w:rsidRPr="00C91DE3">
        <w:t xml:space="preserve"> </w:t>
      </w:r>
    </w:p>
    <w:p w14:paraId="12ECB8B7" w14:textId="0090BD23" w:rsidR="00960BDE" w:rsidRPr="00AB0D86" w:rsidRDefault="00F13C7C" w:rsidP="00AB0D86">
      <w:pPr>
        <w:pStyle w:val="normln0"/>
        <w:spacing w:before="120"/>
        <w:rPr>
          <w:rFonts w:cs="Arial"/>
          <w:spacing w:val="10"/>
        </w:rPr>
      </w:pPr>
      <w:r>
        <w:rPr>
          <w:rFonts w:cs="Arial"/>
          <w:spacing w:val="10"/>
          <w:szCs w:val="22"/>
        </w:rPr>
        <w:lastRenderedPageBreak/>
        <w:t xml:space="preserve">Podporu je možné využít </w:t>
      </w:r>
      <w:r w:rsidRPr="00B55885">
        <w:rPr>
          <w:rFonts w:cs="Arial"/>
          <w:spacing w:val="10"/>
          <w:szCs w:val="22"/>
        </w:rPr>
        <w:t>jako součást</w:t>
      </w:r>
      <w:r>
        <w:rPr>
          <w:rFonts w:cs="Arial"/>
          <w:spacing w:val="10"/>
          <w:szCs w:val="22"/>
        </w:rPr>
        <w:t xml:space="preserve"> pojištění záruky pro případ úpadku nebo bankovní záruky pro případ úpadku dle odst. </w:t>
      </w:r>
      <w:r>
        <w:rPr>
          <w:rFonts w:cs="Arial"/>
          <w:spacing w:val="10"/>
        </w:rPr>
        <w:t>(1) §</w:t>
      </w:r>
      <w:r w:rsidR="0081079C">
        <w:rPr>
          <w:rFonts w:cs="Arial"/>
          <w:spacing w:val="10"/>
        </w:rPr>
        <w:t xml:space="preserve"> </w:t>
      </w:r>
      <w:r>
        <w:rPr>
          <w:rFonts w:cs="Arial"/>
          <w:spacing w:val="10"/>
        </w:rPr>
        <w:t xml:space="preserve">6 </w:t>
      </w:r>
      <w:r w:rsidR="0081079C">
        <w:rPr>
          <w:rFonts w:cs="Arial"/>
          <w:spacing w:val="10"/>
        </w:rPr>
        <w:t xml:space="preserve">odst. 1 </w:t>
      </w:r>
      <w:r>
        <w:rPr>
          <w:rFonts w:cs="Arial"/>
          <w:spacing w:val="10"/>
        </w:rPr>
        <w:t>zákona č. 159/1999 Sb.</w:t>
      </w:r>
    </w:p>
    <w:p w14:paraId="71A5F6AE" w14:textId="3EC2B2D1" w:rsidR="00960BDE" w:rsidRDefault="00960BDE" w:rsidP="00960BDE">
      <w:pPr>
        <w:pStyle w:val="normln0"/>
        <w:spacing w:before="120"/>
      </w:pPr>
      <w:r>
        <w:t>Záruka se poskytuje k</w:t>
      </w:r>
      <w:r w:rsidR="00544AA0">
        <w:t> pojistným smlouvám</w:t>
      </w:r>
      <w:r>
        <w:t xml:space="preserve"> za těchto podmínek:</w:t>
      </w:r>
    </w:p>
    <w:p w14:paraId="0D46ECB6" w14:textId="23A94C50" w:rsidR="00960BDE" w:rsidRDefault="00960BDE" w:rsidP="00960BDE">
      <w:pPr>
        <w:pStyle w:val="normln0"/>
        <w:spacing w:before="120"/>
      </w:pPr>
      <w:r>
        <w:t>•</w:t>
      </w:r>
      <w:r>
        <w:tab/>
        <w:t xml:space="preserve">až </w:t>
      </w:r>
      <w:r w:rsidRPr="008D7767">
        <w:rPr>
          <w:b/>
          <w:bCs w:val="0"/>
        </w:rPr>
        <w:t xml:space="preserve">do výše </w:t>
      </w:r>
      <w:r w:rsidR="004A0706" w:rsidRPr="008D7767">
        <w:rPr>
          <w:b/>
          <w:bCs w:val="0"/>
        </w:rPr>
        <w:t>75</w:t>
      </w:r>
      <w:r w:rsidRPr="008D7767">
        <w:rPr>
          <w:b/>
          <w:bCs w:val="0"/>
        </w:rPr>
        <w:t xml:space="preserve"> %</w:t>
      </w:r>
      <w:r w:rsidR="002B575D" w:rsidRPr="009670C1">
        <w:rPr>
          <w:szCs w:val="24"/>
        </w:rPr>
        <w:t xml:space="preserve"> </w:t>
      </w:r>
      <w:r w:rsidR="002B575D" w:rsidRPr="008D7767">
        <w:rPr>
          <w:b/>
          <w:bCs w:val="0"/>
          <w:szCs w:val="24"/>
        </w:rPr>
        <w:t xml:space="preserve">z požadované </w:t>
      </w:r>
      <w:r w:rsidR="004F2134">
        <w:rPr>
          <w:b/>
          <w:bCs w:val="0"/>
          <w:szCs w:val="24"/>
        </w:rPr>
        <w:t>S</w:t>
      </w:r>
      <w:r w:rsidR="002B575D" w:rsidRPr="008D7767">
        <w:rPr>
          <w:b/>
          <w:bCs w:val="0"/>
          <w:szCs w:val="24"/>
        </w:rPr>
        <w:t xml:space="preserve">poluúčasti CK do </w:t>
      </w:r>
      <w:r w:rsidR="00703EF8" w:rsidRPr="008D7767">
        <w:rPr>
          <w:b/>
          <w:bCs w:val="0"/>
          <w:szCs w:val="24"/>
        </w:rPr>
        <w:t xml:space="preserve">limitu </w:t>
      </w:r>
      <w:r w:rsidR="002B575D" w:rsidRPr="008D7767">
        <w:rPr>
          <w:b/>
          <w:bCs w:val="0"/>
          <w:szCs w:val="24"/>
        </w:rPr>
        <w:t>30</w:t>
      </w:r>
      <w:r w:rsidR="008602DB">
        <w:rPr>
          <w:b/>
          <w:bCs w:val="0"/>
          <w:szCs w:val="24"/>
        </w:rPr>
        <w:t xml:space="preserve"> </w:t>
      </w:r>
      <w:r w:rsidR="002B575D" w:rsidRPr="008D7767">
        <w:rPr>
          <w:b/>
          <w:bCs w:val="0"/>
          <w:szCs w:val="24"/>
        </w:rPr>
        <w:t xml:space="preserve">% </w:t>
      </w:r>
      <w:r w:rsidR="00703EF8" w:rsidRPr="008D7767">
        <w:rPr>
          <w:b/>
          <w:bCs w:val="0"/>
          <w:szCs w:val="24"/>
        </w:rPr>
        <w:t xml:space="preserve">z </w:t>
      </w:r>
      <w:r w:rsidR="002B575D" w:rsidRPr="008D7767">
        <w:rPr>
          <w:b/>
          <w:bCs w:val="0"/>
          <w:szCs w:val="24"/>
        </w:rPr>
        <w:t>pojistného plnění</w:t>
      </w:r>
      <w:r w:rsidR="002B575D" w:rsidRPr="009670C1">
        <w:rPr>
          <w:szCs w:val="24"/>
        </w:rPr>
        <w:t xml:space="preserve"> (maximální pojistné částky</w:t>
      </w:r>
      <w:r w:rsidR="00AC7742" w:rsidRPr="009670C1">
        <w:rPr>
          <w:szCs w:val="24"/>
        </w:rPr>
        <w:t>)</w:t>
      </w:r>
      <w:r w:rsidR="002B575D">
        <w:t xml:space="preserve"> </w:t>
      </w:r>
      <w:r w:rsidR="004A0706" w:rsidRPr="008D7767">
        <w:rPr>
          <w:b/>
          <w:bCs w:val="0"/>
        </w:rPr>
        <w:t xml:space="preserve">max. </w:t>
      </w:r>
      <w:r w:rsidR="0000328D" w:rsidRPr="008D7767">
        <w:rPr>
          <w:b/>
          <w:bCs w:val="0"/>
        </w:rPr>
        <w:t xml:space="preserve">však </w:t>
      </w:r>
      <w:r w:rsidR="00F43455">
        <w:rPr>
          <w:b/>
          <w:bCs w:val="0"/>
        </w:rPr>
        <w:t>1,5</w:t>
      </w:r>
      <w:r w:rsidR="004A0706" w:rsidRPr="008D7767">
        <w:rPr>
          <w:b/>
          <w:bCs w:val="0"/>
          <w:iCs/>
        </w:rPr>
        <w:t xml:space="preserve"> mil. Kč</w:t>
      </w:r>
      <w:r w:rsidRPr="009670C1">
        <w:t xml:space="preserve">, </w:t>
      </w:r>
    </w:p>
    <w:p w14:paraId="5F4DC727" w14:textId="4BB4A17C" w:rsidR="00191535" w:rsidRDefault="00960BDE" w:rsidP="00544AA0">
      <w:pPr>
        <w:pStyle w:val="normln0"/>
        <w:spacing w:before="120"/>
      </w:pPr>
      <w:r>
        <w:t>•</w:t>
      </w:r>
      <w:r>
        <w:tab/>
      </w:r>
      <w:r w:rsidR="00581D92">
        <w:t>platnost záruky může přesáhnout</w:t>
      </w:r>
      <w:r w:rsidR="0000328D">
        <w:t xml:space="preserve"> </w:t>
      </w:r>
      <w:r w:rsidR="00AC7742">
        <w:t>sjednanou pojistnou dobu</w:t>
      </w:r>
      <w:r w:rsidR="00581D92">
        <w:t xml:space="preserve"> maximálně o 6 měsíců</w:t>
      </w:r>
      <w:r w:rsidR="00AD2EA1">
        <w:t>.</w:t>
      </w:r>
    </w:p>
    <w:p w14:paraId="0E57B2D1" w14:textId="2C40B281" w:rsidR="00960BDE" w:rsidRDefault="00960BDE" w:rsidP="00960BDE">
      <w:pPr>
        <w:pStyle w:val="normln0"/>
        <w:spacing w:before="120"/>
      </w:pPr>
      <w:r>
        <w:t>Záruka se poskytuje pouze na způsobilé výdaje uvedené v bodě 4.</w:t>
      </w:r>
      <w:r w:rsidR="00327672">
        <w:t>2</w:t>
      </w:r>
      <w:r>
        <w:t>.</w:t>
      </w:r>
    </w:p>
    <w:p w14:paraId="0B334153" w14:textId="30E16EA2" w:rsidR="009A2F9F" w:rsidRDefault="00960BDE" w:rsidP="00960BDE">
      <w:pPr>
        <w:pStyle w:val="normln0"/>
        <w:spacing w:before="120"/>
      </w:pPr>
      <w:r>
        <w:t xml:space="preserve">Záruka je poskytována jako podpora de </w:t>
      </w:r>
      <w:proofErr w:type="spellStart"/>
      <w:r>
        <w:t>minimis</w:t>
      </w:r>
      <w:proofErr w:type="spellEnd"/>
      <w:r w:rsidR="00E35880">
        <w:t>.</w:t>
      </w:r>
    </w:p>
    <w:p w14:paraId="4B442822" w14:textId="42EE023D" w:rsidR="008A6279" w:rsidRDefault="008A6279" w:rsidP="004A7D19">
      <w:pPr>
        <w:pStyle w:val="normln0"/>
        <w:spacing w:before="120"/>
      </w:pPr>
      <w:r>
        <w:t xml:space="preserve">Záruka může být poskytnuta </w:t>
      </w:r>
      <w:r w:rsidR="006446D9">
        <w:t>Konečnému příjemci</w:t>
      </w:r>
      <w:r w:rsidR="00581D92">
        <w:t xml:space="preserve"> k jedné </w:t>
      </w:r>
      <w:r w:rsidR="00521611">
        <w:t xml:space="preserve">pojistné </w:t>
      </w:r>
      <w:r>
        <w:t>smlouvě se sjednanou pojistnou dobou o</w:t>
      </w:r>
      <w:r w:rsidR="001A6337">
        <w:t> </w:t>
      </w:r>
      <w:r>
        <w:t>délce maximálně 12 kalendářních měsíců</w:t>
      </w:r>
      <w:r w:rsidR="00581D92">
        <w:t>,</w:t>
      </w:r>
      <w:r w:rsidR="008D7767">
        <w:t xml:space="preserve"> </w:t>
      </w:r>
      <w:r w:rsidR="007F3050">
        <w:t>se</w:t>
      </w:r>
      <w:r w:rsidR="00E46B5C">
        <w:t xml:space="preserve"> začátk</w:t>
      </w:r>
      <w:r w:rsidR="007F3050">
        <w:t>em</w:t>
      </w:r>
      <w:r w:rsidR="00E46B5C">
        <w:t xml:space="preserve"> sjednané pojistné doby </w:t>
      </w:r>
      <w:r w:rsidR="008D7767">
        <w:t>v období</w:t>
      </w:r>
      <w:r>
        <w:t xml:space="preserve"> od 1. </w:t>
      </w:r>
      <w:r w:rsidR="00F43455">
        <w:t>7</w:t>
      </w:r>
      <w:r>
        <w:t>. 202</w:t>
      </w:r>
      <w:r w:rsidR="00F43455">
        <w:t>2</w:t>
      </w:r>
      <w:r w:rsidR="006756CF">
        <w:t xml:space="preserve"> </w:t>
      </w:r>
      <w:r>
        <w:t>do 31. 12. 202</w:t>
      </w:r>
      <w:r w:rsidR="006756CF">
        <w:t>3</w:t>
      </w:r>
      <w:r>
        <w:t>.</w:t>
      </w:r>
    </w:p>
    <w:p w14:paraId="485DC832" w14:textId="278B554D" w:rsidR="005B49EA" w:rsidRDefault="00327672" w:rsidP="004A7D19">
      <w:pPr>
        <w:pStyle w:val="normln0"/>
        <w:spacing w:before="120"/>
        <w:rPr>
          <w:i/>
          <w:iCs/>
        </w:rPr>
      </w:pPr>
      <w:r w:rsidRPr="00D3135E">
        <w:t xml:space="preserve">Po dobu ručení sjednané při uzavření smlouvy o záruce </w:t>
      </w:r>
      <w:r w:rsidR="00F05F23">
        <w:t xml:space="preserve">NRB </w:t>
      </w:r>
      <w:r w:rsidRPr="00D3135E">
        <w:t>stanoví příjemci podpory</w:t>
      </w:r>
      <w:r w:rsidRPr="009670C1">
        <w:rPr>
          <w:iCs/>
        </w:rPr>
        <w:t xml:space="preserve"> poplatek za poskytnutí záruky ve výši 1</w:t>
      </w:r>
      <w:r w:rsidR="008602DB">
        <w:rPr>
          <w:iCs/>
        </w:rPr>
        <w:t xml:space="preserve"> </w:t>
      </w:r>
      <w:proofErr w:type="gramStart"/>
      <w:r w:rsidRPr="009670C1">
        <w:rPr>
          <w:iCs/>
        </w:rPr>
        <w:t>%  z</w:t>
      </w:r>
      <w:proofErr w:type="gramEnd"/>
      <w:r w:rsidRPr="009670C1">
        <w:rPr>
          <w:iCs/>
        </w:rPr>
        <w:t> výše této záruky</w:t>
      </w:r>
      <w:r w:rsidR="0034586B">
        <w:rPr>
          <w:iCs/>
        </w:rPr>
        <w:t>, min. 5000 Kč</w:t>
      </w:r>
      <w:r w:rsidRPr="009670C1">
        <w:rPr>
          <w:i/>
          <w:iCs/>
        </w:rPr>
        <w:t>.</w:t>
      </w:r>
    </w:p>
    <w:p w14:paraId="2D1A507B" w14:textId="77777777" w:rsidR="009F448A" w:rsidRPr="004A7D19" w:rsidRDefault="009F448A" w:rsidP="004A7D19">
      <w:pPr>
        <w:pStyle w:val="normln0"/>
        <w:spacing w:before="120"/>
        <w:rPr>
          <w:i/>
          <w:iCs/>
        </w:rPr>
      </w:pPr>
    </w:p>
    <w:p w14:paraId="106C0318" w14:textId="27542186" w:rsidR="009F448A" w:rsidRPr="00AB0D86" w:rsidRDefault="00B7745E" w:rsidP="009F448A">
      <w:pPr>
        <w:pStyle w:val="Nadpis2"/>
        <w:spacing w:before="120" w:after="0" w:line="360" w:lineRule="auto"/>
        <w:rPr>
          <w:spacing w:val="10"/>
          <w:szCs w:val="22"/>
          <w:u w:val="single"/>
        </w:rPr>
      </w:pPr>
      <w:bookmarkStart w:id="10" w:name="_Toc61518408"/>
      <w:r w:rsidRPr="00935C89">
        <w:rPr>
          <w:spacing w:val="10"/>
          <w:szCs w:val="22"/>
          <w:u w:val="single"/>
        </w:rPr>
        <w:t xml:space="preserve">Výběr </w:t>
      </w:r>
      <w:r w:rsidR="001F3E5E">
        <w:rPr>
          <w:spacing w:val="10"/>
          <w:szCs w:val="22"/>
          <w:u w:val="single"/>
        </w:rPr>
        <w:t>způsobilých</w:t>
      </w:r>
      <w:r w:rsidR="00A145D8">
        <w:rPr>
          <w:spacing w:val="10"/>
          <w:szCs w:val="22"/>
          <w:u w:val="single"/>
        </w:rPr>
        <w:t xml:space="preserve"> </w:t>
      </w:r>
      <w:r w:rsidR="0005724D">
        <w:rPr>
          <w:spacing w:val="10"/>
          <w:szCs w:val="22"/>
          <w:u w:val="single"/>
        </w:rPr>
        <w:t>K</w:t>
      </w:r>
      <w:r w:rsidR="00A145D8">
        <w:rPr>
          <w:spacing w:val="10"/>
          <w:szCs w:val="22"/>
          <w:u w:val="single"/>
        </w:rPr>
        <w:t>onečných příjemců</w:t>
      </w:r>
      <w:bookmarkEnd w:id="10"/>
      <w:r w:rsidR="001F3E5E">
        <w:rPr>
          <w:spacing w:val="10"/>
          <w:szCs w:val="22"/>
          <w:u w:val="single"/>
        </w:rPr>
        <w:t xml:space="preserve"> </w:t>
      </w:r>
    </w:p>
    <w:p w14:paraId="1ABF5B41" w14:textId="77777777" w:rsidR="009F448A" w:rsidRDefault="009F448A" w:rsidP="009F448A">
      <w:pPr>
        <w:pStyle w:val="Nadpis3"/>
        <w:spacing w:before="120" w:after="0" w:line="360" w:lineRule="auto"/>
        <w:rPr>
          <w:bCs w:val="0"/>
        </w:rPr>
      </w:pPr>
      <w:bookmarkStart w:id="11" w:name="_Toc59457403"/>
      <w:bookmarkStart w:id="12" w:name="_Toc61518409"/>
      <w:r>
        <w:rPr>
          <w:bCs w:val="0"/>
          <w:spacing w:val="10"/>
          <w:szCs w:val="22"/>
        </w:rPr>
        <w:t>Výběrová kritéria</w:t>
      </w:r>
      <w:bookmarkEnd w:id="11"/>
      <w:bookmarkEnd w:id="12"/>
    </w:p>
    <w:p w14:paraId="3A1C948C" w14:textId="76ACA68C" w:rsidR="009F448A" w:rsidRPr="00E601E8" w:rsidRDefault="009F448A" w:rsidP="009F448A">
      <w:pPr>
        <w:pStyle w:val="normln0"/>
        <w:spacing w:before="120"/>
        <w:rPr>
          <w:rFonts w:cs="Arial"/>
          <w:bCs w:val="0"/>
          <w:spacing w:val="10"/>
        </w:rPr>
      </w:pPr>
      <w:r w:rsidRPr="00E601E8">
        <w:rPr>
          <w:rFonts w:cs="Arial"/>
          <w:bCs w:val="0"/>
          <w:spacing w:val="10"/>
        </w:rPr>
        <w:t xml:space="preserve">Výběrovými </w:t>
      </w:r>
      <w:r>
        <w:rPr>
          <w:rFonts w:cs="Arial"/>
          <w:bCs w:val="0"/>
          <w:spacing w:val="10"/>
        </w:rPr>
        <w:t>k</w:t>
      </w:r>
      <w:r w:rsidRPr="00E601E8">
        <w:rPr>
          <w:rFonts w:cs="Arial"/>
          <w:bCs w:val="0"/>
          <w:spacing w:val="10"/>
        </w:rPr>
        <w:t xml:space="preserve">ritérii pro </w:t>
      </w:r>
      <w:r w:rsidR="0005724D">
        <w:rPr>
          <w:rFonts w:cs="Arial"/>
          <w:bCs w:val="0"/>
          <w:spacing w:val="10"/>
        </w:rPr>
        <w:t>K</w:t>
      </w:r>
      <w:r>
        <w:rPr>
          <w:rFonts w:cs="Arial"/>
          <w:bCs w:val="0"/>
          <w:spacing w:val="10"/>
        </w:rPr>
        <w:t xml:space="preserve">onečné příjemce </w:t>
      </w:r>
      <w:r w:rsidRPr="00E601E8">
        <w:rPr>
          <w:rFonts w:cs="Arial"/>
          <w:bCs w:val="0"/>
          <w:spacing w:val="10"/>
        </w:rPr>
        <w:t>je splnění podmínek podpory, podmínek přijatelnosti</w:t>
      </w:r>
      <w:r>
        <w:rPr>
          <w:rFonts w:cs="Arial"/>
          <w:bCs w:val="0"/>
          <w:spacing w:val="10"/>
        </w:rPr>
        <w:t xml:space="preserve"> pojistné smlouvy</w:t>
      </w:r>
      <w:r w:rsidRPr="00E601E8">
        <w:rPr>
          <w:rFonts w:cs="Arial"/>
          <w:bCs w:val="0"/>
          <w:spacing w:val="10"/>
        </w:rPr>
        <w:t>, podmínek pro</w:t>
      </w:r>
      <w:r w:rsidRPr="00E601E8" w:rsidDel="00F721EF">
        <w:rPr>
          <w:rFonts w:cs="Arial"/>
          <w:bCs w:val="0"/>
          <w:spacing w:val="10"/>
        </w:rPr>
        <w:t xml:space="preserve"> </w:t>
      </w:r>
      <w:r w:rsidRPr="00E601E8">
        <w:rPr>
          <w:rFonts w:cs="Arial"/>
          <w:bCs w:val="0"/>
          <w:spacing w:val="10"/>
        </w:rPr>
        <w:t>poskytování veřejné podpory a</w:t>
      </w:r>
      <w:r>
        <w:rPr>
          <w:rFonts w:cs="Arial"/>
          <w:bCs w:val="0"/>
          <w:spacing w:val="10"/>
        </w:rPr>
        <w:t xml:space="preserve"> přijatelná míra rizika poskytnutí záruky </w:t>
      </w:r>
      <w:r w:rsidRPr="00E601E8">
        <w:rPr>
          <w:rFonts w:cs="Arial"/>
          <w:bCs w:val="0"/>
          <w:spacing w:val="10"/>
        </w:rPr>
        <w:t>stanoven</w:t>
      </w:r>
      <w:r>
        <w:rPr>
          <w:rFonts w:cs="Arial"/>
          <w:bCs w:val="0"/>
          <w:spacing w:val="10"/>
        </w:rPr>
        <w:t>á interními postupy</w:t>
      </w:r>
      <w:r w:rsidR="00667761">
        <w:rPr>
          <w:rFonts w:cs="Arial"/>
          <w:bCs w:val="0"/>
          <w:spacing w:val="10"/>
        </w:rPr>
        <w:t xml:space="preserve"> NRB</w:t>
      </w:r>
      <w:r>
        <w:rPr>
          <w:rFonts w:cs="Arial"/>
          <w:bCs w:val="0"/>
          <w:spacing w:val="10"/>
        </w:rPr>
        <w:t>.</w:t>
      </w:r>
    </w:p>
    <w:p w14:paraId="60A813DD" w14:textId="2B0EEB0A" w:rsidR="009F448A" w:rsidRDefault="009F448A" w:rsidP="009F448A">
      <w:pPr>
        <w:pStyle w:val="normln0"/>
        <w:spacing w:before="120"/>
        <w:rPr>
          <w:rFonts w:cs="Arial"/>
          <w:bCs w:val="0"/>
          <w:spacing w:val="10"/>
        </w:rPr>
      </w:pPr>
      <w:r w:rsidRPr="00E601E8">
        <w:rPr>
          <w:rFonts w:cs="Arial"/>
          <w:bCs w:val="0"/>
          <w:spacing w:val="10"/>
        </w:rPr>
        <w:t>Úplné znění výběrových kritérií stanoví správce programu při vyhlášení výzvy k</w:t>
      </w:r>
      <w:r>
        <w:rPr>
          <w:rFonts w:cs="Arial"/>
          <w:bCs w:val="0"/>
          <w:spacing w:val="10"/>
        </w:rPr>
        <w:t> </w:t>
      </w:r>
      <w:r w:rsidRPr="00E601E8">
        <w:rPr>
          <w:rFonts w:cs="Arial"/>
          <w:bCs w:val="0"/>
          <w:spacing w:val="10"/>
        </w:rPr>
        <w:t>podávání žádosti o</w:t>
      </w:r>
      <w:r>
        <w:rPr>
          <w:rFonts w:cs="Arial"/>
          <w:bCs w:val="0"/>
          <w:spacing w:val="10"/>
        </w:rPr>
        <w:t> </w:t>
      </w:r>
      <w:r w:rsidRPr="00E601E8">
        <w:rPr>
          <w:rFonts w:cs="Arial"/>
          <w:bCs w:val="0"/>
          <w:spacing w:val="10"/>
        </w:rPr>
        <w:t>podporu nebo při aktualizaci jejich podmínek.</w:t>
      </w:r>
    </w:p>
    <w:p w14:paraId="19648558" w14:textId="77777777" w:rsidR="009F448A" w:rsidRPr="00E601E8" w:rsidRDefault="009F448A" w:rsidP="009F448A">
      <w:pPr>
        <w:pStyle w:val="normln0"/>
        <w:spacing w:before="120"/>
        <w:rPr>
          <w:rFonts w:cs="Arial"/>
          <w:bCs w:val="0"/>
          <w:spacing w:val="10"/>
        </w:rPr>
      </w:pPr>
    </w:p>
    <w:p w14:paraId="1E060616" w14:textId="77777777" w:rsidR="009F448A" w:rsidRPr="00E601E8" w:rsidRDefault="009F448A" w:rsidP="009F448A">
      <w:pPr>
        <w:pStyle w:val="Nadpis3"/>
        <w:spacing w:before="120" w:after="0" w:line="360" w:lineRule="auto"/>
        <w:rPr>
          <w:bCs w:val="0"/>
          <w:sz w:val="24"/>
        </w:rPr>
      </w:pPr>
      <w:bookmarkStart w:id="13" w:name="_Toc59457404"/>
      <w:bookmarkStart w:id="14" w:name="_Toc61518410"/>
      <w:r w:rsidRPr="00E601E8">
        <w:rPr>
          <w:bCs w:val="0"/>
          <w:spacing w:val="10"/>
          <w:szCs w:val="22"/>
        </w:rPr>
        <w:t>Způsob výběru projektů</w:t>
      </w:r>
      <w:bookmarkEnd w:id="13"/>
      <w:bookmarkEnd w:id="14"/>
    </w:p>
    <w:p w14:paraId="68243B8D" w14:textId="587E3594" w:rsidR="009F448A" w:rsidRPr="00E601E8" w:rsidRDefault="009F448A" w:rsidP="009F448A">
      <w:pPr>
        <w:pStyle w:val="Normlnweb"/>
        <w:numPr>
          <w:ilvl w:val="0"/>
          <w:numId w:val="8"/>
        </w:numPr>
        <w:tabs>
          <w:tab w:val="num" w:pos="1637"/>
        </w:tabs>
        <w:spacing w:before="120" w:beforeAutospacing="0" w:after="0" w:afterAutospacing="0" w:line="360" w:lineRule="auto"/>
        <w:jc w:val="both"/>
        <w:rPr>
          <w:rFonts w:ascii="Arial" w:hAnsi="Arial" w:cs="Arial"/>
          <w:spacing w:val="10"/>
          <w:szCs w:val="22"/>
        </w:rPr>
      </w:pPr>
      <w:r w:rsidRPr="00E601E8">
        <w:rPr>
          <w:rFonts w:ascii="Arial" w:hAnsi="Arial" w:cs="Arial"/>
          <w:spacing w:val="10"/>
          <w:szCs w:val="22"/>
        </w:rPr>
        <w:t>O poskytnutí podpory</w:t>
      </w:r>
      <w:r>
        <w:rPr>
          <w:rFonts w:ascii="Arial" w:hAnsi="Arial" w:cs="Arial"/>
          <w:spacing w:val="10"/>
          <w:szCs w:val="22"/>
        </w:rPr>
        <w:t xml:space="preserve"> </w:t>
      </w:r>
      <w:r w:rsidRPr="00E601E8">
        <w:rPr>
          <w:rFonts w:ascii="Arial" w:hAnsi="Arial" w:cs="Arial"/>
          <w:spacing w:val="10"/>
          <w:szCs w:val="22"/>
        </w:rPr>
        <w:t>rozhoduje</w:t>
      </w:r>
      <w:r w:rsidR="00667761">
        <w:rPr>
          <w:rFonts w:ascii="Arial" w:hAnsi="Arial" w:cs="Arial"/>
          <w:spacing w:val="10"/>
          <w:szCs w:val="22"/>
        </w:rPr>
        <w:t xml:space="preserve"> NRB</w:t>
      </w:r>
      <w:r w:rsidRPr="00E601E8">
        <w:rPr>
          <w:rFonts w:ascii="Arial" w:hAnsi="Arial" w:cs="Arial"/>
          <w:spacing w:val="10"/>
          <w:szCs w:val="22"/>
        </w:rPr>
        <w:t>, a</w:t>
      </w:r>
      <w:r>
        <w:rPr>
          <w:rFonts w:ascii="Arial" w:hAnsi="Arial" w:cs="Arial"/>
          <w:spacing w:val="10"/>
          <w:szCs w:val="22"/>
        </w:rPr>
        <w:t> </w:t>
      </w:r>
      <w:r w:rsidRPr="00E601E8">
        <w:rPr>
          <w:rFonts w:ascii="Arial" w:hAnsi="Arial" w:cs="Arial"/>
          <w:spacing w:val="10"/>
          <w:szCs w:val="22"/>
        </w:rPr>
        <w:t>to v</w:t>
      </w:r>
      <w:r>
        <w:rPr>
          <w:rFonts w:ascii="Arial" w:hAnsi="Arial" w:cs="Arial"/>
          <w:spacing w:val="10"/>
          <w:szCs w:val="22"/>
        </w:rPr>
        <w:t> </w:t>
      </w:r>
      <w:r w:rsidRPr="00E601E8">
        <w:rPr>
          <w:rFonts w:ascii="Arial" w:hAnsi="Arial" w:cs="Arial"/>
          <w:spacing w:val="10"/>
          <w:szCs w:val="22"/>
        </w:rPr>
        <w:t>závislosti na splnění výběrových kritérií.</w:t>
      </w:r>
    </w:p>
    <w:p w14:paraId="510D8DF4" w14:textId="7CDA5E2E" w:rsidR="009F448A" w:rsidRDefault="009F448A" w:rsidP="009F448A">
      <w:pPr>
        <w:pStyle w:val="Normlnweb"/>
        <w:numPr>
          <w:ilvl w:val="0"/>
          <w:numId w:val="8"/>
        </w:numPr>
        <w:tabs>
          <w:tab w:val="num" w:pos="1637"/>
        </w:tabs>
        <w:spacing w:before="120" w:beforeAutospacing="0" w:after="0" w:afterAutospacing="0" w:line="360" w:lineRule="auto"/>
        <w:jc w:val="both"/>
        <w:rPr>
          <w:rFonts w:ascii="Arial" w:hAnsi="Arial" w:cs="Arial"/>
          <w:spacing w:val="10"/>
          <w:szCs w:val="22"/>
        </w:rPr>
      </w:pPr>
      <w:r w:rsidRPr="00E601E8">
        <w:rPr>
          <w:rFonts w:ascii="Arial" w:hAnsi="Arial" w:cs="Arial"/>
          <w:spacing w:val="10"/>
          <w:szCs w:val="22"/>
        </w:rPr>
        <w:t>Neúplné žádosti o</w:t>
      </w:r>
      <w:r>
        <w:rPr>
          <w:rFonts w:ascii="Arial" w:hAnsi="Arial" w:cs="Arial"/>
          <w:spacing w:val="10"/>
          <w:szCs w:val="22"/>
        </w:rPr>
        <w:t> </w:t>
      </w:r>
      <w:r w:rsidRPr="00E601E8">
        <w:rPr>
          <w:rFonts w:ascii="Arial" w:hAnsi="Arial" w:cs="Arial"/>
          <w:spacing w:val="10"/>
          <w:szCs w:val="22"/>
        </w:rPr>
        <w:t xml:space="preserve">podporu mohou </w:t>
      </w:r>
      <w:proofErr w:type="gramStart"/>
      <w:r w:rsidRPr="00E601E8">
        <w:rPr>
          <w:rFonts w:ascii="Arial" w:hAnsi="Arial" w:cs="Arial"/>
          <w:spacing w:val="10"/>
          <w:szCs w:val="22"/>
        </w:rPr>
        <w:t xml:space="preserve">být </w:t>
      </w:r>
      <w:r w:rsidR="00667761">
        <w:rPr>
          <w:rFonts w:ascii="Arial" w:hAnsi="Arial" w:cs="Arial"/>
          <w:spacing w:val="10"/>
          <w:szCs w:val="22"/>
        </w:rPr>
        <w:t xml:space="preserve"> NRB</w:t>
      </w:r>
      <w:proofErr w:type="gramEnd"/>
      <w:r w:rsidR="00980FC7">
        <w:rPr>
          <w:rFonts w:ascii="Arial" w:hAnsi="Arial" w:cs="Arial"/>
          <w:spacing w:val="10"/>
          <w:szCs w:val="22"/>
        </w:rPr>
        <w:t xml:space="preserve"> </w:t>
      </w:r>
      <w:r w:rsidRPr="00DA27E1">
        <w:rPr>
          <w:rFonts w:ascii="Arial" w:hAnsi="Arial" w:cs="Arial"/>
          <w:spacing w:val="10"/>
          <w:szCs w:val="22"/>
        </w:rPr>
        <w:t xml:space="preserve">zamítnuty </w:t>
      </w:r>
      <w:r w:rsidRPr="00E601E8">
        <w:rPr>
          <w:rFonts w:ascii="Arial" w:hAnsi="Arial" w:cs="Arial"/>
          <w:spacing w:val="10"/>
          <w:szCs w:val="22"/>
        </w:rPr>
        <w:t>po uplynutí 3 měsíců od data jejich podání.</w:t>
      </w:r>
    </w:p>
    <w:p w14:paraId="1F286B43" w14:textId="77777777" w:rsidR="004D2120" w:rsidRDefault="004D2120" w:rsidP="005B49EA">
      <w:pPr>
        <w:pStyle w:val="Normlnweb"/>
        <w:tabs>
          <w:tab w:val="num" w:pos="1637"/>
        </w:tabs>
        <w:spacing w:before="120" w:beforeAutospacing="0" w:after="0" w:afterAutospacing="0" w:line="360" w:lineRule="auto"/>
        <w:ind w:left="567"/>
        <w:jc w:val="both"/>
        <w:rPr>
          <w:rFonts w:ascii="Arial" w:hAnsi="Arial" w:cs="Arial"/>
          <w:spacing w:val="10"/>
          <w:szCs w:val="22"/>
        </w:rPr>
      </w:pPr>
    </w:p>
    <w:p w14:paraId="6CA7A74E" w14:textId="64F46FAF" w:rsidR="00B7745E" w:rsidRDefault="00B7745E" w:rsidP="005B49EA">
      <w:pPr>
        <w:pStyle w:val="Nadpis2"/>
        <w:spacing w:before="120" w:after="0" w:line="360" w:lineRule="auto"/>
        <w:rPr>
          <w:spacing w:val="10"/>
          <w:szCs w:val="22"/>
          <w:u w:val="single"/>
        </w:rPr>
      </w:pPr>
      <w:bookmarkStart w:id="15" w:name="_Toc61518411"/>
      <w:r w:rsidRPr="00935C89">
        <w:rPr>
          <w:spacing w:val="10"/>
          <w:szCs w:val="22"/>
          <w:u w:val="single"/>
        </w:rPr>
        <w:t>Náležitosti žádosti o</w:t>
      </w:r>
      <w:r w:rsidR="00992703" w:rsidRPr="00935C89">
        <w:rPr>
          <w:spacing w:val="10"/>
          <w:szCs w:val="22"/>
          <w:u w:val="single"/>
        </w:rPr>
        <w:t> </w:t>
      </w:r>
      <w:r w:rsidRPr="00935C89">
        <w:rPr>
          <w:spacing w:val="10"/>
          <w:szCs w:val="22"/>
          <w:u w:val="single"/>
        </w:rPr>
        <w:t>poskytnutí podpory a</w:t>
      </w:r>
      <w:r w:rsidR="00992703" w:rsidRPr="00935C89">
        <w:rPr>
          <w:spacing w:val="10"/>
          <w:szCs w:val="22"/>
          <w:u w:val="single"/>
        </w:rPr>
        <w:t> </w:t>
      </w:r>
      <w:r w:rsidRPr="00935C89">
        <w:rPr>
          <w:spacing w:val="10"/>
          <w:szCs w:val="22"/>
          <w:u w:val="single"/>
        </w:rPr>
        <w:t>způsob jejího předložení</w:t>
      </w:r>
      <w:bookmarkEnd w:id="15"/>
    </w:p>
    <w:p w14:paraId="1331BC8F" w14:textId="77777777" w:rsidR="009F448A" w:rsidRDefault="009F448A" w:rsidP="009F448A">
      <w:pPr>
        <w:pStyle w:val="Nadpis3"/>
        <w:spacing w:before="120" w:after="0" w:line="360" w:lineRule="auto"/>
      </w:pPr>
      <w:bookmarkStart w:id="16" w:name="_Toc59457406"/>
      <w:bookmarkStart w:id="17" w:name="_Toc61518412"/>
      <w:r>
        <w:t>Obsah žádosti o podporu</w:t>
      </w:r>
      <w:bookmarkEnd w:id="16"/>
      <w:bookmarkEnd w:id="17"/>
      <w:r>
        <w:t xml:space="preserve"> </w:t>
      </w:r>
    </w:p>
    <w:p w14:paraId="761B6DCC" w14:textId="77777777" w:rsidR="009F448A" w:rsidRDefault="009F448A" w:rsidP="009F448A">
      <w:pPr>
        <w:pStyle w:val="odrtecka"/>
        <w:numPr>
          <w:ilvl w:val="0"/>
          <w:numId w:val="0"/>
        </w:numPr>
        <w:spacing w:line="360" w:lineRule="auto"/>
        <w:rPr>
          <w:rFonts w:cs="Arial"/>
          <w:bCs/>
          <w:iCs/>
          <w:spacing w:val="10"/>
        </w:rPr>
      </w:pPr>
      <w:r w:rsidRPr="005E5823">
        <w:rPr>
          <w:rFonts w:cs="Arial"/>
          <w:bCs/>
          <w:iCs/>
          <w:spacing w:val="10"/>
        </w:rPr>
        <w:t>Žádost o podporu musí k datu jejího předložení obsahovat minimálně:</w:t>
      </w:r>
    </w:p>
    <w:p w14:paraId="15501FA0" w14:textId="7CABE199" w:rsidR="009F448A" w:rsidRPr="005E5823" w:rsidRDefault="00CF14F3" w:rsidP="009F448A">
      <w:pPr>
        <w:pStyle w:val="odrtecka"/>
        <w:numPr>
          <w:ilvl w:val="0"/>
          <w:numId w:val="21"/>
        </w:numPr>
        <w:spacing w:line="360" w:lineRule="auto"/>
        <w:rPr>
          <w:rFonts w:cs="Arial"/>
          <w:bCs/>
          <w:iCs/>
          <w:spacing w:val="10"/>
        </w:rPr>
      </w:pPr>
      <w:r>
        <w:rPr>
          <w:rFonts w:cs="Arial"/>
          <w:bCs/>
          <w:iCs/>
          <w:spacing w:val="10"/>
        </w:rPr>
        <w:t xml:space="preserve">obchodní firma nebo </w:t>
      </w:r>
      <w:r w:rsidR="009F448A" w:rsidRPr="005E5823">
        <w:rPr>
          <w:rFonts w:cs="Arial"/>
          <w:bCs/>
          <w:iCs/>
          <w:spacing w:val="10"/>
        </w:rPr>
        <w:t>název</w:t>
      </w:r>
      <w:r>
        <w:rPr>
          <w:rFonts w:cs="Arial"/>
          <w:bCs/>
          <w:iCs/>
          <w:spacing w:val="10"/>
        </w:rPr>
        <w:t xml:space="preserve"> nebo jméno a příjmení</w:t>
      </w:r>
      <w:r w:rsidR="009F448A">
        <w:rPr>
          <w:rFonts w:cs="Arial"/>
          <w:bCs/>
          <w:iCs/>
          <w:spacing w:val="10"/>
        </w:rPr>
        <w:t>, IČ</w:t>
      </w:r>
      <w:r>
        <w:rPr>
          <w:rFonts w:cs="Arial"/>
          <w:bCs/>
          <w:iCs/>
          <w:spacing w:val="10"/>
        </w:rPr>
        <w:t>O</w:t>
      </w:r>
      <w:r w:rsidR="009F448A">
        <w:rPr>
          <w:rFonts w:cs="Arial"/>
          <w:bCs/>
          <w:iCs/>
          <w:spacing w:val="10"/>
        </w:rPr>
        <w:t xml:space="preserve"> a sídlo</w:t>
      </w:r>
      <w:r>
        <w:rPr>
          <w:rFonts w:cs="Arial"/>
          <w:bCs/>
          <w:iCs/>
          <w:spacing w:val="10"/>
        </w:rPr>
        <w:t xml:space="preserve"> žadatele</w:t>
      </w:r>
      <w:r w:rsidR="009F448A">
        <w:rPr>
          <w:rFonts w:cs="Arial"/>
          <w:bCs/>
          <w:iCs/>
          <w:spacing w:val="10"/>
        </w:rPr>
        <w:t>,</w:t>
      </w:r>
      <w:r w:rsidR="009F448A" w:rsidRPr="005E5823">
        <w:rPr>
          <w:rFonts w:cs="Arial"/>
          <w:bCs/>
          <w:iCs/>
          <w:spacing w:val="10"/>
        </w:rPr>
        <w:t xml:space="preserve"> </w:t>
      </w:r>
    </w:p>
    <w:p w14:paraId="3DDA01FC" w14:textId="5A42792F" w:rsidR="009F448A" w:rsidRDefault="009F448A" w:rsidP="009F448A">
      <w:pPr>
        <w:pStyle w:val="odrtecka"/>
        <w:numPr>
          <w:ilvl w:val="0"/>
          <w:numId w:val="21"/>
        </w:numPr>
        <w:spacing w:line="360" w:lineRule="auto"/>
        <w:rPr>
          <w:rFonts w:cs="Arial"/>
          <w:bCs/>
          <w:iCs/>
          <w:spacing w:val="10"/>
        </w:rPr>
      </w:pPr>
      <w:r>
        <w:rPr>
          <w:rFonts w:cs="Arial"/>
          <w:bCs/>
          <w:iCs/>
          <w:spacing w:val="10"/>
        </w:rPr>
        <w:t>doklad o pojistné smlouvě</w:t>
      </w:r>
      <w:r w:rsidRPr="005E5823">
        <w:rPr>
          <w:rFonts w:cs="Arial"/>
          <w:bCs/>
          <w:iCs/>
          <w:spacing w:val="10"/>
        </w:rPr>
        <w:t>,</w:t>
      </w:r>
    </w:p>
    <w:p w14:paraId="6F8AF79C" w14:textId="7BEF4347" w:rsidR="009F448A" w:rsidRDefault="009F448A" w:rsidP="009F448A">
      <w:pPr>
        <w:pStyle w:val="odrtecka"/>
        <w:numPr>
          <w:ilvl w:val="0"/>
          <w:numId w:val="21"/>
        </w:numPr>
        <w:spacing w:line="360" w:lineRule="auto"/>
        <w:rPr>
          <w:rFonts w:cs="Arial"/>
          <w:bCs/>
          <w:iCs/>
          <w:spacing w:val="10"/>
        </w:rPr>
      </w:pPr>
      <w:r>
        <w:rPr>
          <w:rFonts w:cs="Arial"/>
          <w:bCs/>
          <w:iCs/>
          <w:spacing w:val="10"/>
        </w:rPr>
        <w:t xml:space="preserve">údaje o spojených podnikatelích pro účely poskytnutí podpory de </w:t>
      </w:r>
      <w:proofErr w:type="spellStart"/>
      <w:r>
        <w:rPr>
          <w:rFonts w:cs="Arial"/>
          <w:bCs/>
          <w:iCs/>
          <w:spacing w:val="10"/>
        </w:rPr>
        <w:t>minimis</w:t>
      </w:r>
      <w:proofErr w:type="spellEnd"/>
      <w:r>
        <w:rPr>
          <w:rFonts w:cs="Arial"/>
          <w:bCs/>
          <w:iCs/>
          <w:spacing w:val="10"/>
        </w:rPr>
        <w:t xml:space="preserve"> </w:t>
      </w:r>
    </w:p>
    <w:p w14:paraId="24F4EB90" w14:textId="605C0EBC" w:rsidR="009F448A" w:rsidRPr="005E5823" w:rsidRDefault="00667761" w:rsidP="007544CE">
      <w:pPr>
        <w:pStyle w:val="odrtecka"/>
        <w:numPr>
          <w:ilvl w:val="0"/>
          <w:numId w:val="0"/>
        </w:numPr>
        <w:spacing w:line="360" w:lineRule="auto"/>
        <w:rPr>
          <w:rFonts w:cs="Arial"/>
          <w:bCs/>
          <w:iCs/>
          <w:spacing w:val="10"/>
        </w:rPr>
      </w:pPr>
      <w:r>
        <w:rPr>
          <w:rFonts w:cs="Arial"/>
          <w:bCs/>
          <w:iCs/>
          <w:spacing w:val="10"/>
        </w:rPr>
        <w:t>NRB</w:t>
      </w:r>
      <w:r w:rsidR="00980FC7">
        <w:rPr>
          <w:rFonts w:cs="Arial"/>
          <w:bCs/>
          <w:iCs/>
          <w:spacing w:val="10"/>
        </w:rPr>
        <w:t xml:space="preserve"> </w:t>
      </w:r>
      <w:r w:rsidR="00051027" w:rsidRPr="00051027">
        <w:rPr>
          <w:rFonts w:cs="Arial"/>
          <w:bCs/>
          <w:iCs/>
          <w:spacing w:val="10"/>
        </w:rPr>
        <w:t>je oprávněna vyžádat si od příjemce podpory další údaje a podklady nezbytné k</w:t>
      </w:r>
      <w:r w:rsidR="00051027">
        <w:rPr>
          <w:rFonts w:cs="Arial"/>
          <w:bCs/>
          <w:iCs/>
          <w:spacing w:val="10"/>
        </w:rPr>
        <w:t> </w:t>
      </w:r>
      <w:r w:rsidR="00051027" w:rsidRPr="00051027">
        <w:rPr>
          <w:rFonts w:cs="Arial"/>
          <w:bCs/>
          <w:iCs/>
          <w:spacing w:val="10"/>
        </w:rPr>
        <w:t>posouzení</w:t>
      </w:r>
      <w:r w:rsidR="00051027">
        <w:rPr>
          <w:rFonts w:cs="Arial"/>
          <w:bCs/>
          <w:iCs/>
          <w:spacing w:val="10"/>
        </w:rPr>
        <w:t xml:space="preserve"> </w:t>
      </w:r>
      <w:r w:rsidR="00051027" w:rsidRPr="00051027">
        <w:rPr>
          <w:rFonts w:cs="Arial"/>
          <w:bCs/>
          <w:iCs/>
          <w:spacing w:val="10"/>
        </w:rPr>
        <w:t>žádosti o podporu.</w:t>
      </w:r>
    </w:p>
    <w:p w14:paraId="414A1E6C" w14:textId="7E9D6DFF" w:rsidR="009F448A" w:rsidRDefault="009F448A" w:rsidP="009F448A">
      <w:pPr>
        <w:pStyle w:val="Nadpis3"/>
        <w:spacing w:before="120" w:after="0" w:line="360" w:lineRule="auto"/>
      </w:pPr>
      <w:bookmarkStart w:id="18" w:name="_Toc59457407"/>
      <w:bookmarkStart w:id="19" w:name="_Toc61518413"/>
      <w:r>
        <w:t>Formulář žádosti o podporu</w:t>
      </w:r>
      <w:bookmarkEnd w:id="18"/>
      <w:bookmarkEnd w:id="19"/>
    </w:p>
    <w:p w14:paraId="537DEDB9" w14:textId="1C1F104C" w:rsidR="009F448A" w:rsidRDefault="009F448A" w:rsidP="009F448A">
      <w:pPr>
        <w:keepNext/>
        <w:spacing w:before="120" w:line="360" w:lineRule="auto"/>
        <w:jc w:val="both"/>
        <w:rPr>
          <w:rFonts w:ascii="Arial" w:hAnsi="Arial" w:cs="Arial"/>
          <w:bCs/>
          <w:spacing w:val="10"/>
          <w:sz w:val="24"/>
          <w:szCs w:val="24"/>
        </w:rPr>
      </w:pPr>
      <w:r w:rsidRPr="00203150">
        <w:rPr>
          <w:rFonts w:ascii="Arial" w:hAnsi="Arial" w:cs="Arial"/>
          <w:bCs/>
          <w:spacing w:val="10"/>
          <w:sz w:val="24"/>
          <w:szCs w:val="24"/>
        </w:rPr>
        <w:t>Formulář žádosti o</w:t>
      </w:r>
      <w:r>
        <w:rPr>
          <w:rFonts w:ascii="Arial" w:hAnsi="Arial" w:cs="Arial"/>
          <w:bCs/>
          <w:spacing w:val="10"/>
          <w:sz w:val="24"/>
          <w:szCs w:val="24"/>
        </w:rPr>
        <w:t> </w:t>
      </w:r>
      <w:r w:rsidRPr="00203150">
        <w:rPr>
          <w:rFonts w:ascii="Arial" w:hAnsi="Arial" w:cs="Arial"/>
          <w:bCs/>
          <w:spacing w:val="10"/>
          <w:sz w:val="24"/>
          <w:szCs w:val="24"/>
        </w:rPr>
        <w:t>podporu j</w:t>
      </w:r>
      <w:r>
        <w:rPr>
          <w:rFonts w:ascii="Arial" w:hAnsi="Arial" w:cs="Arial"/>
          <w:bCs/>
          <w:spacing w:val="10"/>
          <w:sz w:val="24"/>
          <w:szCs w:val="24"/>
        </w:rPr>
        <w:t>e</w:t>
      </w:r>
      <w:r w:rsidRPr="00203150">
        <w:rPr>
          <w:rFonts w:ascii="Arial" w:hAnsi="Arial" w:cs="Arial"/>
          <w:bCs/>
          <w:spacing w:val="10"/>
          <w:sz w:val="24"/>
          <w:szCs w:val="24"/>
        </w:rPr>
        <w:t xml:space="preserve"> k</w:t>
      </w:r>
      <w:r>
        <w:rPr>
          <w:rFonts w:ascii="Arial" w:hAnsi="Arial" w:cs="Arial"/>
          <w:bCs/>
          <w:spacing w:val="10"/>
          <w:sz w:val="24"/>
          <w:szCs w:val="24"/>
        </w:rPr>
        <w:t> </w:t>
      </w:r>
      <w:r w:rsidRPr="00203150">
        <w:rPr>
          <w:rFonts w:ascii="Arial" w:hAnsi="Arial" w:cs="Arial"/>
          <w:bCs/>
          <w:spacing w:val="10"/>
          <w:sz w:val="24"/>
          <w:szCs w:val="24"/>
        </w:rPr>
        <w:t xml:space="preserve">dispozici </w:t>
      </w:r>
      <w:r>
        <w:rPr>
          <w:rFonts w:ascii="Arial" w:hAnsi="Arial" w:cs="Arial"/>
          <w:bCs/>
          <w:spacing w:val="10"/>
          <w:sz w:val="24"/>
          <w:szCs w:val="24"/>
        </w:rPr>
        <w:t xml:space="preserve">na </w:t>
      </w:r>
      <w:r w:rsidRPr="00203150">
        <w:rPr>
          <w:rFonts w:ascii="Arial" w:hAnsi="Arial" w:cs="Arial"/>
          <w:bCs/>
          <w:spacing w:val="10"/>
          <w:sz w:val="24"/>
          <w:szCs w:val="24"/>
        </w:rPr>
        <w:t>internetové adrese</w:t>
      </w:r>
      <w:r w:rsidR="00980FC7"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 w:rsidR="00667761">
        <w:rPr>
          <w:rFonts w:ascii="Arial" w:hAnsi="Arial" w:cs="Arial"/>
          <w:bCs/>
          <w:spacing w:val="10"/>
          <w:sz w:val="24"/>
          <w:szCs w:val="24"/>
        </w:rPr>
        <w:t>NRB</w:t>
      </w:r>
      <w:r w:rsidRPr="00203150">
        <w:rPr>
          <w:rFonts w:ascii="Arial" w:hAnsi="Arial" w:cs="Arial"/>
          <w:bCs/>
          <w:spacing w:val="10"/>
          <w:sz w:val="24"/>
          <w:szCs w:val="24"/>
        </w:rPr>
        <w:t xml:space="preserve">: </w:t>
      </w:r>
      <w:hyperlink r:id="rId11" w:history="1">
        <w:r w:rsidR="00667761" w:rsidRPr="00667761">
          <w:rPr>
            <w:rStyle w:val="Hypertextovodkaz"/>
            <w:rFonts w:ascii="Arial" w:hAnsi="Arial" w:cs="Arial"/>
            <w:bCs/>
            <w:spacing w:val="10"/>
            <w:sz w:val="24"/>
            <w:szCs w:val="24"/>
          </w:rPr>
          <w:t>www.nrb.cz</w:t>
        </w:r>
      </w:hyperlink>
      <w:r w:rsidRPr="00203150">
        <w:rPr>
          <w:rFonts w:ascii="Arial" w:hAnsi="Arial" w:cs="Arial"/>
          <w:bCs/>
          <w:spacing w:val="10"/>
          <w:sz w:val="24"/>
          <w:szCs w:val="24"/>
        </w:rPr>
        <w:t xml:space="preserve">. </w:t>
      </w:r>
    </w:p>
    <w:p w14:paraId="3A168C7C" w14:textId="77777777" w:rsidR="009F448A" w:rsidRPr="00203150" w:rsidRDefault="009F448A" w:rsidP="009F448A">
      <w:pPr>
        <w:keepNext/>
        <w:spacing w:before="120" w:line="36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2115BFE7" w14:textId="77777777" w:rsidR="009F448A" w:rsidRDefault="009F448A" w:rsidP="009F448A">
      <w:pPr>
        <w:pStyle w:val="Nadpis3"/>
        <w:spacing w:before="120" w:after="0" w:line="360" w:lineRule="auto"/>
      </w:pPr>
      <w:bookmarkStart w:id="20" w:name="_Toc59457408"/>
      <w:bookmarkStart w:id="21" w:name="_Toc61518414"/>
      <w:r>
        <w:t>Příjem žádostí o podporu</w:t>
      </w:r>
      <w:bookmarkEnd w:id="20"/>
      <w:bookmarkEnd w:id="21"/>
    </w:p>
    <w:p w14:paraId="13893E8F" w14:textId="6A2EDADE" w:rsidR="009F448A" w:rsidRPr="004A7D19" w:rsidRDefault="009F448A" w:rsidP="009F448A">
      <w:pPr>
        <w:pStyle w:val="normln0"/>
        <w:spacing w:before="120"/>
      </w:pPr>
      <w:r w:rsidRPr="00203150">
        <w:rPr>
          <w:rFonts w:cs="Arial"/>
          <w:spacing w:val="10"/>
          <w:szCs w:val="24"/>
        </w:rPr>
        <w:t>Žádosti o</w:t>
      </w:r>
      <w:r>
        <w:rPr>
          <w:rFonts w:cs="Arial"/>
          <w:spacing w:val="10"/>
          <w:szCs w:val="24"/>
        </w:rPr>
        <w:t> </w:t>
      </w:r>
      <w:r w:rsidRPr="00203150">
        <w:rPr>
          <w:rFonts w:cs="Arial"/>
          <w:spacing w:val="10"/>
          <w:szCs w:val="24"/>
        </w:rPr>
        <w:t>podporu přijímají pobočky</w:t>
      </w:r>
      <w:r w:rsidR="00980FC7">
        <w:rPr>
          <w:rFonts w:cs="Arial"/>
          <w:spacing w:val="10"/>
          <w:szCs w:val="24"/>
        </w:rPr>
        <w:t xml:space="preserve"> NRB</w:t>
      </w:r>
      <w:r w:rsidRPr="00203150">
        <w:rPr>
          <w:rFonts w:cs="Arial"/>
          <w:spacing w:val="10"/>
          <w:szCs w:val="24"/>
        </w:rPr>
        <w:t xml:space="preserve">, jejich přehled je uveden </w:t>
      </w:r>
      <w:r>
        <w:rPr>
          <w:rFonts w:cs="Arial"/>
          <w:spacing w:val="10"/>
          <w:szCs w:val="24"/>
        </w:rPr>
        <w:t xml:space="preserve">na </w:t>
      </w:r>
      <w:r w:rsidRPr="00203150">
        <w:rPr>
          <w:rFonts w:cs="Arial"/>
          <w:spacing w:val="10"/>
          <w:szCs w:val="24"/>
        </w:rPr>
        <w:t>internetové adrese</w:t>
      </w:r>
      <w:r w:rsidR="001B1EE9">
        <w:rPr>
          <w:rFonts w:cs="Arial"/>
          <w:spacing w:val="10"/>
          <w:szCs w:val="24"/>
        </w:rPr>
        <w:t xml:space="preserve"> </w:t>
      </w:r>
      <w:r w:rsidR="00980FC7">
        <w:rPr>
          <w:rFonts w:cs="Arial"/>
          <w:spacing w:val="10"/>
          <w:szCs w:val="24"/>
        </w:rPr>
        <w:t>NRB</w:t>
      </w:r>
      <w:r w:rsidRPr="00203150">
        <w:rPr>
          <w:rFonts w:cs="Arial"/>
          <w:spacing w:val="10"/>
          <w:szCs w:val="24"/>
        </w:rPr>
        <w:t xml:space="preserve">: </w:t>
      </w:r>
      <w:hyperlink r:id="rId12" w:history="1">
        <w:r w:rsidR="00667761" w:rsidRPr="00667761">
          <w:rPr>
            <w:rStyle w:val="Hypertextovodkaz"/>
            <w:rFonts w:cs="Arial"/>
            <w:spacing w:val="10"/>
            <w:szCs w:val="24"/>
          </w:rPr>
          <w:t>www.nrb.cz</w:t>
        </w:r>
      </w:hyperlink>
      <w:r>
        <w:rPr>
          <w:rFonts w:cs="Arial"/>
          <w:spacing w:val="10"/>
          <w:szCs w:val="24"/>
        </w:rPr>
        <w:t>.</w:t>
      </w:r>
    </w:p>
    <w:p w14:paraId="76CA3D7D" w14:textId="77777777" w:rsidR="005E5823" w:rsidRPr="005E5823" w:rsidRDefault="005E5823" w:rsidP="005E5823"/>
    <w:p w14:paraId="268F6006" w14:textId="77777777" w:rsidR="00B7745E" w:rsidRPr="00935C89" w:rsidRDefault="00B7745E" w:rsidP="00EC3660">
      <w:pPr>
        <w:pStyle w:val="Nadpis2"/>
        <w:spacing w:before="360" w:after="0" w:line="360" w:lineRule="auto"/>
        <w:rPr>
          <w:u w:val="single"/>
        </w:rPr>
      </w:pPr>
      <w:bookmarkStart w:id="22" w:name="_Toc61518415"/>
      <w:r w:rsidRPr="00935C89">
        <w:rPr>
          <w:spacing w:val="10"/>
          <w:szCs w:val="22"/>
          <w:u w:val="single"/>
        </w:rPr>
        <w:t>Sankce za nedodržení podmínek programu</w:t>
      </w:r>
      <w:bookmarkEnd w:id="22"/>
    </w:p>
    <w:p w14:paraId="65638724" w14:textId="228F75A7" w:rsidR="00CA41F7" w:rsidRDefault="005E382F" w:rsidP="00F60383">
      <w:pPr>
        <w:pStyle w:val="normln0"/>
        <w:tabs>
          <w:tab w:val="clear" w:pos="0"/>
        </w:tabs>
        <w:spacing w:before="120"/>
        <w:rPr>
          <w:rFonts w:cs="Arial"/>
          <w:bCs w:val="0"/>
          <w:color w:val="000000"/>
          <w:spacing w:val="10"/>
          <w:szCs w:val="22"/>
        </w:rPr>
      </w:pPr>
      <w:r w:rsidRPr="00EE164A">
        <w:rPr>
          <w:rFonts w:cs="Arial"/>
          <w:bCs w:val="0"/>
          <w:color w:val="000000"/>
          <w:spacing w:val="10"/>
          <w:szCs w:val="22"/>
        </w:rPr>
        <w:t xml:space="preserve">V případě </w:t>
      </w:r>
      <w:r w:rsidR="004E64E4">
        <w:rPr>
          <w:rFonts w:cs="Arial"/>
          <w:bCs w:val="0"/>
          <w:color w:val="000000"/>
          <w:spacing w:val="10"/>
          <w:szCs w:val="22"/>
        </w:rPr>
        <w:t>nedodržení podmínek programu dle bodu 2–7</w:t>
      </w:r>
      <w:r w:rsidR="004A7D19">
        <w:rPr>
          <w:rFonts w:cs="Arial"/>
          <w:bCs w:val="0"/>
          <w:color w:val="000000"/>
          <w:spacing w:val="10"/>
          <w:szCs w:val="22"/>
        </w:rPr>
        <w:t xml:space="preserve"> programu</w:t>
      </w:r>
      <w:r w:rsidR="004E64E4">
        <w:rPr>
          <w:rFonts w:cs="Arial"/>
          <w:bCs w:val="0"/>
          <w:color w:val="000000"/>
          <w:spacing w:val="10"/>
          <w:szCs w:val="22"/>
        </w:rPr>
        <w:t xml:space="preserve"> je </w:t>
      </w:r>
      <w:r w:rsidR="00484FF7">
        <w:rPr>
          <w:rFonts w:cs="Arial"/>
          <w:bCs w:val="0"/>
          <w:color w:val="000000"/>
          <w:spacing w:val="10"/>
          <w:szCs w:val="22"/>
        </w:rPr>
        <w:t>K</w:t>
      </w:r>
      <w:r w:rsidR="004E64E4">
        <w:rPr>
          <w:rFonts w:cs="Arial"/>
          <w:bCs w:val="0"/>
          <w:color w:val="000000"/>
          <w:spacing w:val="10"/>
          <w:szCs w:val="22"/>
        </w:rPr>
        <w:t xml:space="preserve">onečný </w:t>
      </w:r>
      <w:r w:rsidR="008A17D0" w:rsidRPr="00837A87">
        <w:rPr>
          <w:rFonts w:cs="Arial"/>
          <w:bCs w:val="0"/>
          <w:color w:val="000000"/>
          <w:spacing w:val="10"/>
          <w:szCs w:val="22"/>
        </w:rPr>
        <w:t xml:space="preserve">příjemce </w:t>
      </w:r>
      <w:r w:rsidRPr="00837A87">
        <w:rPr>
          <w:rFonts w:cs="Arial"/>
          <w:bCs w:val="0"/>
          <w:color w:val="000000"/>
          <w:spacing w:val="10"/>
          <w:szCs w:val="22"/>
        </w:rPr>
        <w:t xml:space="preserve">povinen </w:t>
      </w:r>
      <w:r w:rsidR="00EE164A" w:rsidRPr="00837A87">
        <w:rPr>
          <w:rFonts w:cs="Arial"/>
          <w:bCs w:val="0"/>
          <w:color w:val="000000"/>
          <w:spacing w:val="10"/>
          <w:szCs w:val="22"/>
        </w:rPr>
        <w:t>uhradit</w:t>
      </w:r>
      <w:r w:rsidR="004E64E4">
        <w:rPr>
          <w:rFonts w:cs="Arial"/>
          <w:bCs w:val="0"/>
          <w:color w:val="000000"/>
          <w:spacing w:val="10"/>
          <w:szCs w:val="22"/>
        </w:rPr>
        <w:t xml:space="preserve"> sjednanou sankci.</w:t>
      </w:r>
    </w:p>
    <w:p w14:paraId="779A8E19" w14:textId="6D7731C9" w:rsidR="002E40A3" w:rsidRDefault="009F448A" w:rsidP="005B49EA">
      <w:pPr>
        <w:pStyle w:val="normln0"/>
        <w:tabs>
          <w:tab w:val="clear" w:pos="0"/>
        </w:tabs>
        <w:spacing w:before="120"/>
        <w:rPr>
          <w:rFonts w:cs="Arial"/>
          <w:bCs w:val="0"/>
          <w:color w:val="000000"/>
          <w:spacing w:val="10"/>
          <w:szCs w:val="22"/>
        </w:rPr>
      </w:pPr>
      <w:r w:rsidRPr="00504CB7">
        <w:rPr>
          <w:rFonts w:cs="Arial"/>
          <w:bCs w:val="0"/>
          <w:color w:val="000000"/>
          <w:spacing w:val="10"/>
          <w:szCs w:val="22"/>
        </w:rPr>
        <w:t>Za prodlení s</w:t>
      </w:r>
      <w:r>
        <w:rPr>
          <w:rFonts w:cs="Arial"/>
          <w:bCs w:val="0"/>
          <w:color w:val="000000"/>
          <w:spacing w:val="10"/>
          <w:szCs w:val="22"/>
        </w:rPr>
        <w:t> </w:t>
      </w:r>
      <w:r w:rsidRPr="00504CB7">
        <w:rPr>
          <w:rFonts w:cs="Arial"/>
          <w:bCs w:val="0"/>
          <w:color w:val="000000"/>
          <w:spacing w:val="10"/>
          <w:szCs w:val="22"/>
        </w:rPr>
        <w:t xml:space="preserve">úhradou smluvní pokuty je </w:t>
      </w:r>
      <w:r w:rsidR="00484FF7">
        <w:rPr>
          <w:rFonts w:cs="Arial"/>
          <w:bCs w:val="0"/>
          <w:color w:val="000000"/>
          <w:spacing w:val="10"/>
          <w:szCs w:val="22"/>
        </w:rPr>
        <w:t xml:space="preserve">Konečný </w:t>
      </w:r>
      <w:r w:rsidRPr="00504CB7">
        <w:rPr>
          <w:rFonts w:cs="Arial"/>
          <w:bCs w:val="0"/>
          <w:color w:val="000000"/>
          <w:spacing w:val="10"/>
          <w:szCs w:val="22"/>
        </w:rPr>
        <w:t>příjemce povinen zaplatit úrok z</w:t>
      </w:r>
      <w:r>
        <w:rPr>
          <w:rFonts w:cs="Arial"/>
          <w:bCs w:val="0"/>
          <w:color w:val="000000"/>
          <w:spacing w:val="10"/>
          <w:szCs w:val="22"/>
        </w:rPr>
        <w:t> </w:t>
      </w:r>
      <w:r w:rsidRPr="00504CB7">
        <w:rPr>
          <w:rFonts w:cs="Arial"/>
          <w:bCs w:val="0"/>
          <w:color w:val="000000"/>
          <w:spacing w:val="10"/>
          <w:szCs w:val="22"/>
        </w:rPr>
        <w:t xml:space="preserve">prodlení ve výši </w:t>
      </w:r>
      <w:proofErr w:type="spellStart"/>
      <w:r w:rsidR="005002F6">
        <w:rPr>
          <w:rFonts w:cs="Arial"/>
          <w:color w:val="000000"/>
          <w:spacing w:val="10"/>
          <w:szCs w:val="22"/>
        </w:rPr>
        <w:t>repo</w:t>
      </w:r>
      <w:proofErr w:type="spellEnd"/>
      <w:r w:rsidR="005002F6">
        <w:rPr>
          <w:rFonts w:cs="Arial"/>
          <w:color w:val="000000"/>
          <w:spacing w:val="10"/>
          <w:szCs w:val="22"/>
        </w:rPr>
        <w:t xml:space="preserve"> </w:t>
      </w:r>
      <w:r w:rsidR="00AD43D5" w:rsidRPr="00AD43D5">
        <w:rPr>
          <w:rFonts w:cs="Arial"/>
          <w:color w:val="000000"/>
          <w:spacing w:val="10"/>
          <w:szCs w:val="22"/>
        </w:rPr>
        <w:t xml:space="preserve">sazby stanovené ČNB pro první den kalendářního pololetí, v němž došlo k prodlení, zvýšené o </w:t>
      </w:r>
      <w:proofErr w:type="gramStart"/>
      <w:r w:rsidR="00AD43D5" w:rsidRPr="00AD43D5">
        <w:rPr>
          <w:rFonts w:cs="Arial"/>
          <w:color w:val="000000"/>
          <w:spacing w:val="10"/>
          <w:szCs w:val="22"/>
        </w:rPr>
        <w:t>8</w:t>
      </w:r>
      <w:r w:rsidR="00667761">
        <w:rPr>
          <w:rFonts w:cs="Arial"/>
          <w:color w:val="000000"/>
          <w:spacing w:val="10"/>
          <w:szCs w:val="22"/>
        </w:rPr>
        <w:t xml:space="preserve"> </w:t>
      </w:r>
      <w:r w:rsidR="00AD43D5" w:rsidRPr="00AD43D5">
        <w:rPr>
          <w:rFonts w:cs="Arial"/>
          <w:color w:val="000000"/>
          <w:spacing w:val="10"/>
          <w:szCs w:val="22"/>
        </w:rPr>
        <w:t>procentních</w:t>
      </w:r>
      <w:proofErr w:type="gramEnd"/>
      <w:r w:rsidR="00667761">
        <w:rPr>
          <w:rFonts w:cs="Arial"/>
          <w:color w:val="000000"/>
          <w:spacing w:val="10"/>
          <w:szCs w:val="22"/>
        </w:rPr>
        <w:t xml:space="preserve"> </w:t>
      </w:r>
      <w:r w:rsidR="00AD43D5" w:rsidRPr="00AD43D5">
        <w:rPr>
          <w:rFonts w:cs="Arial"/>
          <w:color w:val="000000"/>
          <w:spacing w:val="10"/>
          <w:szCs w:val="22"/>
        </w:rPr>
        <w:t>bodů</w:t>
      </w:r>
      <w:r w:rsidR="00AD43D5">
        <w:rPr>
          <w:rFonts w:cs="Arial"/>
          <w:color w:val="000000"/>
          <w:spacing w:val="10"/>
          <w:szCs w:val="22"/>
        </w:rPr>
        <w:t>.</w:t>
      </w:r>
    </w:p>
    <w:p w14:paraId="6F497AB3" w14:textId="77777777" w:rsidR="00AB0D86" w:rsidRPr="00837A87" w:rsidRDefault="00AB0D86" w:rsidP="005B49EA">
      <w:pPr>
        <w:pStyle w:val="normln0"/>
        <w:tabs>
          <w:tab w:val="clear" w:pos="0"/>
        </w:tabs>
        <w:spacing w:before="120"/>
        <w:rPr>
          <w:rFonts w:cs="Arial"/>
          <w:b/>
          <w:color w:val="000000"/>
          <w:spacing w:val="10"/>
          <w:u w:val="single"/>
        </w:rPr>
      </w:pPr>
    </w:p>
    <w:p w14:paraId="7F4A4060" w14:textId="77777777" w:rsidR="00B7745E" w:rsidRPr="00935C89" w:rsidRDefault="00B7745E" w:rsidP="005B49EA">
      <w:pPr>
        <w:pStyle w:val="Nadpis2"/>
        <w:spacing w:before="120" w:after="0" w:line="360" w:lineRule="auto"/>
        <w:rPr>
          <w:u w:val="single"/>
        </w:rPr>
      </w:pPr>
      <w:bookmarkStart w:id="23" w:name="_Toc61518416"/>
      <w:r w:rsidRPr="00935C89">
        <w:rPr>
          <w:spacing w:val="10"/>
          <w:szCs w:val="22"/>
          <w:u w:val="single"/>
        </w:rPr>
        <w:lastRenderedPageBreak/>
        <w:t>Ostatní ustanovení</w:t>
      </w:r>
      <w:bookmarkEnd w:id="23"/>
    </w:p>
    <w:p w14:paraId="5E94A746" w14:textId="77777777" w:rsidR="008D48B5" w:rsidRDefault="00B7745E" w:rsidP="005B49EA">
      <w:pPr>
        <w:keepNext/>
        <w:spacing w:before="120" w:line="360" w:lineRule="auto"/>
        <w:jc w:val="both"/>
        <w:rPr>
          <w:rFonts w:ascii="Arial" w:hAnsi="Arial" w:cs="Arial"/>
          <w:spacing w:val="10"/>
          <w:sz w:val="24"/>
        </w:rPr>
      </w:pPr>
      <w:r>
        <w:rPr>
          <w:rFonts w:ascii="Arial" w:hAnsi="Arial" w:cs="Arial"/>
          <w:spacing w:val="10"/>
          <w:sz w:val="24"/>
        </w:rPr>
        <w:t xml:space="preserve">Na podporu není právní nárok. </w:t>
      </w:r>
    </w:p>
    <w:p w14:paraId="07E200C6" w14:textId="77777777" w:rsidR="00B7745E" w:rsidRDefault="00B7745E" w:rsidP="005B49EA">
      <w:pPr>
        <w:keepNext/>
        <w:spacing w:before="120" w:line="360" w:lineRule="auto"/>
        <w:jc w:val="both"/>
        <w:rPr>
          <w:rFonts w:ascii="Arial" w:hAnsi="Arial" w:cs="Arial"/>
          <w:spacing w:val="10"/>
          <w:sz w:val="24"/>
        </w:rPr>
      </w:pPr>
      <w:r>
        <w:rPr>
          <w:rFonts w:ascii="Arial" w:hAnsi="Arial" w:cs="Arial"/>
          <w:spacing w:val="10"/>
          <w:sz w:val="24"/>
        </w:rPr>
        <w:t xml:space="preserve">Správce programu si vyhrazuje </w:t>
      </w:r>
      <w:r w:rsidR="00F90B6C">
        <w:rPr>
          <w:rFonts w:ascii="Arial" w:hAnsi="Arial" w:cs="Arial"/>
          <w:spacing w:val="10"/>
          <w:sz w:val="24"/>
        </w:rPr>
        <w:t xml:space="preserve">právo </w:t>
      </w:r>
      <w:r>
        <w:rPr>
          <w:rFonts w:ascii="Arial" w:hAnsi="Arial" w:cs="Arial"/>
          <w:spacing w:val="10"/>
          <w:sz w:val="24"/>
        </w:rPr>
        <w:t>program pozastavit nebo předčasně ukončit</w:t>
      </w:r>
      <w:r w:rsidR="008D48B5">
        <w:rPr>
          <w:rFonts w:ascii="Arial" w:hAnsi="Arial" w:cs="Arial"/>
          <w:spacing w:val="10"/>
          <w:sz w:val="24"/>
        </w:rPr>
        <w:t xml:space="preserve"> či</w:t>
      </w:r>
      <w:r w:rsidR="006541B8">
        <w:rPr>
          <w:rFonts w:ascii="Arial" w:hAnsi="Arial" w:cs="Arial"/>
          <w:spacing w:val="10"/>
          <w:sz w:val="24"/>
        </w:rPr>
        <w:t> </w:t>
      </w:r>
      <w:r w:rsidR="008D48B5">
        <w:rPr>
          <w:rFonts w:ascii="Arial" w:hAnsi="Arial" w:cs="Arial"/>
          <w:spacing w:val="10"/>
          <w:sz w:val="24"/>
        </w:rPr>
        <w:t>změnit jeho ustanovení vzhledem k</w:t>
      </w:r>
      <w:r w:rsidR="00992703">
        <w:rPr>
          <w:rFonts w:ascii="Arial" w:hAnsi="Arial" w:cs="Arial"/>
          <w:spacing w:val="10"/>
          <w:sz w:val="24"/>
        </w:rPr>
        <w:t> </w:t>
      </w:r>
      <w:r w:rsidR="008D48B5">
        <w:rPr>
          <w:rFonts w:ascii="Arial" w:hAnsi="Arial" w:cs="Arial"/>
          <w:spacing w:val="10"/>
          <w:sz w:val="24"/>
        </w:rPr>
        <w:t>vývoji podmínek na finančním trhu a</w:t>
      </w:r>
      <w:r w:rsidR="00992703">
        <w:rPr>
          <w:rFonts w:ascii="Arial" w:hAnsi="Arial" w:cs="Arial"/>
          <w:spacing w:val="10"/>
          <w:sz w:val="24"/>
        </w:rPr>
        <w:t> </w:t>
      </w:r>
      <w:r w:rsidR="008D48B5">
        <w:rPr>
          <w:rFonts w:ascii="Arial" w:hAnsi="Arial" w:cs="Arial"/>
          <w:spacing w:val="10"/>
          <w:sz w:val="24"/>
        </w:rPr>
        <w:t>výši prostředků na financování programu</w:t>
      </w:r>
      <w:r>
        <w:rPr>
          <w:rFonts w:ascii="Arial" w:hAnsi="Arial" w:cs="Arial"/>
          <w:spacing w:val="10"/>
          <w:sz w:val="24"/>
        </w:rPr>
        <w:t>.</w:t>
      </w:r>
    </w:p>
    <w:p w14:paraId="04446554" w14:textId="77777777" w:rsidR="005B49EA" w:rsidRDefault="005B49EA" w:rsidP="005B49EA">
      <w:pPr>
        <w:keepNext/>
        <w:spacing w:before="120" w:line="360" w:lineRule="auto"/>
        <w:jc w:val="both"/>
        <w:rPr>
          <w:rFonts w:ascii="Arial" w:hAnsi="Arial" w:cs="Arial"/>
          <w:spacing w:val="10"/>
          <w:sz w:val="24"/>
        </w:rPr>
      </w:pPr>
    </w:p>
    <w:p w14:paraId="4EF0003C" w14:textId="77777777" w:rsidR="00B7745E" w:rsidRPr="00935C89" w:rsidRDefault="00B7745E" w:rsidP="005B49EA">
      <w:pPr>
        <w:pStyle w:val="Nadpis2"/>
        <w:spacing w:before="120" w:after="0" w:line="360" w:lineRule="auto"/>
        <w:rPr>
          <w:u w:val="single"/>
        </w:rPr>
      </w:pPr>
      <w:bookmarkStart w:id="24" w:name="_Toc61518417"/>
      <w:r w:rsidRPr="00935C89">
        <w:rPr>
          <w:u w:val="single"/>
        </w:rPr>
        <w:t>Definice</w:t>
      </w:r>
      <w:bookmarkEnd w:id="24"/>
    </w:p>
    <w:p w14:paraId="5D5118A6" w14:textId="584BEB99" w:rsidR="007555A5" w:rsidRDefault="007555A5" w:rsidP="00A861DE">
      <w:pPr>
        <w:pStyle w:val="odrtecka"/>
        <w:numPr>
          <w:ilvl w:val="0"/>
          <w:numId w:val="0"/>
        </w:numPr>
        <w:tabs>
          <w:tab w:val="clear" w:pos="709"/>
        </w:tabs>
        <w:spacing w:line="360" w:lineRule="auto"/>
        <w:rPr>
          <w:rFonts w:cs="Arial"/>
          <w:b/>
          <w:color w:val="000000"/>
          <w:spacing w:val="10"/>
          <w:szCs w:val="22"/>
        </w:rPr>
      </w:pPr>
    </w:p>
    <w:p w14:paraId="739A2645" w14:textId="0B590894" w:rsidR="006D2EC1" w:rsidRPr="006D2EC1" w:rsidRDefault="006D2EC1" w:rsidP="006D2EC1">
      <w:pPr>
        <w:pStyle w:val="odrtecka"/>
        <w:numPr>
          <w:ilvl w:val="0"/>
          <w:numId w:val="35"/>
        </w:numPr>
        <w:tabs>
          <w:tab w:val="clear" w:pos="709"/>
        </w:tabs>
        <w:spacing w:line="360" w:lineRule="auto"/>
        <w:ind w:left="426" w:hanging="426"/>
        <w:rPr>
          <w:rFonts w:cs="Arial"/>
          <w:b/>
          <w:color w:val="000000"/>
          <w:spacing w:val="10"/>
          <w:szCs w:val="22"/>
        </w:rPr>
      </w:pPr>
      <w:r w:rsidRPr="001B1EE9">
        <w:rPr>
          <w:rFonts w:cs="Arial"/>
          <w:b/>
          <w:color w:val="000000"/>
          <w:spacing w:val="10"/>
          <w:szCs w:val="22"/>
        </w:rPr>
        <w:t>Doklad</w:t>
      </w:r>
      <w:r w:rsidRPr="006D2EC1">
        <w:rPr>
          <w:rFonts w:cs="Arial"/>
          <w:b/>
          <w:color w:val="000000"/>
          <w:spacing w:val="10"/>
          <w:szCs w:val="22"/>
        </w:rPr>
        <w:t xml:space="preserve"> o pojistné smlouvě </w:t>
      </w:r>
      <w:r w:rsidR="00521611" w:rsidRPr="00A861DE">
        <w:t>–</w:t>
      </w:r>
      <w:r w:rsidRPr="006D2EC1">
        <w:rPr>
          <w:rFonts w:cs="Arial"/>
          <w:b/>
          <w:color w:val="000000"/>
          <w:spacing w:val="10"/>
          <w:szCs w:val="22"/>
        </w:rPr>
        <w:t xml:space="preserve"> </w:t>
      </w:r>
      <w:r w:rsidR="0078512B" w:rsidRPr="00AC1304">
        <w:rPr>
          <w:rFonts w:cs="Arial"/>
          <w:color w:val="000000"/>
          <w:spacing w:val="10"/>
          <w:szCs w:val="22"/>
        </w:rPr>
        <w:t xml:space="preserve">kopie </w:t>
      </w:r>
      <w:r>
        <w:rPr>
          <w:rFonts w:cs="Arial"/>
          <w:color w:val="000000"/>
          <w:spacing w:val="10"/>
          <w:szCs w:val="22"/>
        </w:rPr>
        <w:t>pojistn</w:t>
      </w:r>
      <w:r w:rsidR="0078512B">
        <w:rPr>
          <w:rFonts w:cs="Arial"/>
          <w:color w:val="000000"/>
          <w:spacing w:val="10"/>
          <w:szCs w:val="22"/>
        </w:rPr>
        <w:t>é</w:t>
      </w:r>
      <w:r>
        <w:rPr>
          <w:rFonts w:cs="Arial"/>
          <w:color w:val="000000"/>
          <w:spacing w:val="10"/>
          <w:szCs w:val="22"/>
        </w:rPr>
        <w:t xml:space="preserve"> smlouv</w:t>
      </w:r>
      <w:r w:rsidR="0078512B">
        <w:rPr>
          <w:rFonts w:cs="Arial"/>
          <w:color w:val="000000"/>
          <w:spacing w:val="10"/>
          <w:szCs w:val="22"/>
        </w:rPr>
        <w:t>y</w:t>
      </w:r>
      <w:r w:rsidR="005C2002">
        <w:rPr>
          <w:rFonts w:cs="Arial"/>
          <w:color w:val="000000"/>
          <w:spacing w:val="10"/>
          <w:szCs w:val="22"/>
        </w:rPr>
        <w:t xml:space="preserve"> </w:t>
      </w:r>
      <w:r w:rsidR="005C2002" w:rsidRPr="00AC32CE">
        <w:rPr>
          <w:rFonts w:cs="Arial"/>
          <w:spacing w:val="10"/>
        </w:rPr>
        <w:t>uzavřen</w:t>
      </w:r>
      <w:r w:rsidR="0078512B">
        <w:rPr>
          <w:rFonts w:cs="Arial"/>
          <w:spacing w:val="10"/>
        </w:rPr>
        <w:t>é</w:t>
      </w:r>
      <w:r w:rsidR="005C2002" w:rsidRPr="00AC32CE">
        <w:rPr>
          <w:rFonts w:cs="Arial"/>
          <w:spacing w:val="10"/>
        </w:rPr>
        <w:t xml:space="preserve"> s pojišťovnou oprávněnou uzavírat pojištění záruky pro případ úpadku</w:t>
      </w:r>
      <w:r w:rsidR="005C2002">
        <w:rPr>
          <w:rFonts w:cs="Arial"/>
          <w:spacing w:val="10"/>
        </w:rPr>
        <w:t xml:space="preserve"> cestovní kanceláře</w:t>
      </w:r>
      <w:r w:rsidR="000933F4">
        <w:rPr>
          <w:rFonts w:cs="Arial"/>
          <w:spacing w:val="10"/>
        </w:rPr>
        <w:t xml:space="preserve"> </w:t>
      </w:r>
      <w:r w:rsidR="005C2002">
        <w:rPr>
          <w:rFonts w:cs="Arial"/>
          <w:color w:val="000000"/>
          <w:spacing w:val="10"/>
          <w:szCs w:val="22"/>
        </w:rPr>
        <w:t>podle z</w:t>
      </w:r>
      <w:r w:rsidR="005C2002" w:rsidRPr="005C2002">
        <w:rPr>
          <w:rFonts w:cs="Arial"/>
          <w:color w:val="000000"/>
          <w:spacing w:val="10"/>
          <w:szCs w:val="22"/>
        </w:rPr>
        <w:t>ákon</w:t>
      </w:r>
      <w:r w:rsidR="005C2002">
        <w:rPr>
          <w:rFonts w:cs="Arial"/>
          <w:color w:val="000000"/>
          <w:spacing w:val="10"/>
          <w:szCs w:val="22"/>
        </w:rPr>
        <w:t>a</w:t>
      </w:r>
      <w:r w:rsidR="005C2002" w:rsidRPr="005C2002">
        <w:rPr>
          <w:rFonts w:cs="Arial"/>
          <w:color w:val="000000"/>
          <w:spacing w:val="10"/>
          <w:szCs w:val="22"/>
        </w:rPr>
        <w:t xml:space="preserve"> č. 159/1999 Sb., o některých podmínkách podnikání a</w:t>
      </w:r>
      <w:r w:rsidR="001B1EE9">
        <w:rPr>
          <w:rFonts w:cs="Arial"/>
          <w:color w:val="000000"/>
          <w:spacing w:val="10"/>
          <w:szCs w:val="22"/>
        </w:rPr>
        <w:t> </w:t>
      </w:r>
      <w:r w:rsidR="005C2002" w:rsidRPr="005C2002">
        <w:rPr>
          <w:rFonts w:cs="Arial"/>
          <w:color w:val="000000"/>
          <w:spacing w:val="10"/>
          <w:szCs w:val="22"/>
        </w:rPr>
        <w:t>o</w:t>
      </w:r>
      <w:r w:rsidR="001B1EE9">
        <w:rPr>
          <w:rFonts w:cs="Arial"/>
          <w:color w:val="000000"/>
          <w:spacing w:val="10"/>
          <w:szCs w:val="22"/>
        </w:rPr>
        <w:t> </w:t>
      </w:r>
      <w:r w:rsidR="005C2002" w:rsidRPr="005C2002">
        <w:rPr>
          <w:rFonts w:cs="Arial"/>
          <w:color w:val="000000"/>
          <w:spacing w:val="10"/>
          <w:szCs w:val="22"/>
        </w:rPr>
        <w:t>výkonu některých činností v oblasti cestovního ruchu, ve znění pozdějších předpisů</w:t>
      </w:r>
      <w:r w:rsidR="00521611">
        <w:rPr>
          <w:rFonts w:cs="Arial"/>
          <w:color w:val="000000"/>
          <w:spacing w:val="10"/>
          <w:szCs w:val="22"/>
        </w:rPr>
        <w:t>.</w:t>
      </w:r>
      <w:r>
        <w:rPr>
          <w:rFonts w:cs="Arial"/>
          <w:color w:val="000000"/>
          <w:spacing w:val="10"/>
          <w:szCs w:val="22"/>
        </w:rPr>
        <w:t xml:space="preserve"> </w:t>
      </w:r>
    </w:p>
    <w:p w14:paraId="3053182F" w14:textId="77777777" w:rsidR="00190EB3" w:rsidRDefault="00190EB3" w:rsidP="00190EB3">
      <w:pPr>
        <w:pStyle w:val="odrtecka"/>
      </w:pPr>
      <w:r>
        <w:t xml:space="preserve">Jeden </w:t>
      </w:r>
      <w:proofErr w:type="gramStart"/>
      <w:r>
        <w:t>podnik - podnikatelé</w:t>
      </w:r>
      <w:proofErr w:type="gramEnd"/>
      <w:r>
        <w:t xml:space="preserve"> registrovaní na území ČR i mimo něj, pokud i tyto subjekty mezi sebou mají některý z následujících vztahů:</w:t>
      </w:r>
    </w:p>
    <w:p w14:paraId="7ED3956B" w14:textId="77777777" w:rsidR="00190EB3" w:rsidRDefault="00190EB3" w:rsidP="00190EB3">
      <w:pPr>
        <w:pStyle w:val="odrtecka"/>
        <w:numPr>
          <w:ilvl w:val="0"/>
          <w:numId w:val="0"/>
        </w:numPr>
        <w:ind w:left="357"/>
      </w:pPr>
      <w:r>
        <w:t>a) jeden subjekt vlastní více než 50 % hlasovacích práv, která náležejí akcionářům nebo společníkům, v jiném subjektu,</w:t>
      </w:r>
    </w:p>
    <w:p w14:paraId="16181B9D" w14:textId="77777777" w:rsidR="00190EB3" w:rsidRDefault="00190EB3" w:rsidP="00190EB3">
      <w:pPr>
        <w:pStyle w:val="odrtecka"/>
        <w:numPr>
          <w:ilvl w:val="0"/>
          <w:numId w:val="0"/>
        </w:numPr>
        <w:ind w:left="357"/>
      </w:pPr>
      <w:r>
        <w:t>b) jeden subjekt má právo jmenovat nebo odvolat více než 50 % členů správního, řídícího nebo dozorčího orgánu jiného subjektu,</w:t>
      </w:r>
    </w:p>
    <w:p w14:paraId="35E825AF" w14:textId="77777777" w:rsidR="00190EB3" w:rsidRDefault="00190EB3" w:rsidP="00190EB3">
      <w:pPr>
        <w:pStyle w:val="odrtecka"/>
        <w:numPr>
          <w:ilvl w:val="0"/>
          <w:numId w:val="0"/>
        </w:numPr>
        <w:ind w:left="357"/>
      </w:pPr>
      <w:r>
        <w:t>c) jeden subjekt má právo uplatňovat více než 50% vliv v jiném subjektu podle smlouvy uzavřené s daným subjektem nebo dle ustanovení v zakladatelské smlouvě nebo ve stanovách tohoto subjektu,</w:t>
      </w:r>
    </w:p>
    <w:p w14:paraId="25FA87A3" w14:textId="71AAD53A" w:rsidR="00190EB3" w:rsidRDefault="00190EB3" w:rsidP="00190EB3">
      <w:pPr>
        <w:pStyle w:val="odrtecka"/>
        <w:numPr>
          <w:ilvl w:val="0"/>
          <w:numId w:val="0"/>
        </w:numPr>
        <w:ind w:left="357"/>
      </w:pPr>
      <w:r>
        <w:t>d) jeden subjekt, který je akcionářem nebo společníkem jiného subjektu, ovládá sám, v</w:t>
      </w:r>
      <w:r w:rsidR="000933F4">
        <w:t> </w:t>
      </w:r>
      <w:r>
        <w:t>souladu s dohodou uzavřenou s jinými akcionáři nebo společníky daného subjektu, více než 50 % hlasovacích práv náležejících akcionářům nebo společníkům v daném subjektu.</w:t>
      </w:r>
    </w:p>
    <w:p w14:paraId="2267F7B7" w14:textId="1732429F" w:rsidR="00190EB3" w:rsidRPr="00190EB3" w:rsidRDefault="00190EB3" w:rsidP="00190EB3">
      <w:pPr>
        <w:pStyle w:val="odrtecka"/>
        <w:numPr>
          <w:ilvl w:val="0"/>
          <w:numId w:val="0"/>
        </w:numPr>
        <w:ind w:left="357"/>
      </w:pPr>
      <w:r>
        <w:t>Subjekty, které mají s žadatelem o podporu jakýkoli vztah uvedený pod písm. a) až d) prostřednictvím jednoho nebo více dalších subjektů, se také považují za jeden podnik.</w:t>
      </w:r>
    </w:p>
    <w:p w14:paraId="1074259B" w14:textId="59038B8F" w:rsidR="0099350E" w:rsidRPr="00A861DE" w:rsidRDefault="00B078F4" w:rsidP="00A861DE">
      <w:pPr>
        <w:pStyle w:val="odrtecka"/>
        <w:spacing w:line="360" w:lineRule="auto"/>
      </w:pPr>
      <w:r w:rsidRPr="00A861DE">
        <w:rPr>
          <w:b/>
        </w:rPr>
        <w:t>Konečný p</w:t>
      </w:r>
      <w:r w:rsidR="00CF3F2D" w:rsidRPr="00A861DE">
        <w:rPr>
          <w:b/>
        </w:rPr>
        <w:t xml:space="preserve">říjemce </w:t>
      </w:r>
      <w:r w:rsidR="00CF3F2D" w:rsidRPr="00A861DE">
        <w:t xml:space="preserve">– </w:t>
      </w:r>
      <w:r w:rsidRPr="00A861DE">
        <w:rPr>
          <w:rFonts w:cs="Arial"/>
          <w:bCs/>
        </w:rPr>
        <w:t xml:space="preserve">cestovní kancelář nebo cestovní agentura podnikající dle zákona č. 159/1999 Sb. </w:t>
      </w:r>
      <w:r w:rsidR="00AC32CE" w:rsidRPr="00AC32CE">
        <w:rPr>
          <w:rFonts w:cs="Arial"/>
          <w:bCs/>
        </w:rPr>
        <w:t>dle čl. 3.</w:t>
      </w:r>
    </w:p>
    <w:p w14:paraId="155D6EDD" w14:textId="1D98CDD1" w:rsidR="00B7745E" w:rsidRDefault="001A1530" w:rsidP="009670C1">
      <w:pPr>
        <w:pStyle w:val="odrtecka"/>
        <w:spacing w:line="360" w:lineRule="auto"/>
        <w:rPr>
          <w:rFonts w:cs="Arial"/>
        </w:rPr>
      </w:pPr>
      <w:r>
        <w:rPr>
          <w:rFonts w:cs="Arial"/>
          <w:b/>
          <w:color w:val="000000"/>
          <w:shd w:val="clear" w:color="auto" w:fill="FFFFFF"/>
        </w:rPr>
        <w:t xml:space="preserve">Ochrana </w:t>
      </w:r>
      <w:r w:rsidR="00AC7742" w:rsidRPr="009D14A9">
        <w:rPr>
          <w:rFonts w:cs="Arial"/>
          <w:b/>
          <w:color w:val="000000"/>
          <w:shd w:val="clear" w:color="auto" w:fill="FFFFFF"/>
        </w:rPr>
        <w:t>pro případ úpadku</w:t>
      </w:r>
      <w:r w:rsidR="009D14A9" w:rsidRPr="00805009">
        <w:t xml:space="preserve"> –</w:t>
      </w:r>
      <w:r w:rsidR="009D14A9" w:rsidRPr="00805009">
        <w:rPr>
          <w:b/>
        </w:rPr>
        <w:t xml:space="preserve"> </w:t>
      </w:r>
      <w:r w:rsidR="009D14A9" w:rsidRPr="00805009">
        <w:t xml:space="preserve">uložená CK </w:t>
      </w:r>
      <w:r w:rsidR="009D14A9" w:rsidRPr="00805009">
        <w:rPr>
          <w:rFonts w:cs="Arial"/>
        </w:rPr>
        <w:t>§ 6 zákona č. 159/1999 Sb. dále vyplývající ze Směrnice Evropského parlamentu a Rady (EU) 2015/2302 ze dne 25. listopadu 2015 o souborných cestovních službách a spojených cestovních službách, o změně nařízení Evropského parlamentu a Rady (ES) č. 2006/2004 a směrnice Evropského parlamentu a Rady 2011/83/EU a o zrušení směrnice Rady 90/314/EHS.</w:t>
      </w:r>
    </w:p>
    <w:p w14:paraId="0A1C8E97" w14:textId="0E837C07" w:rsidR="00190EB3" w:rsidRPr="00190EB3" w:rsidRDefault="00190EB3" w:rsidP="009670C1">
      <w:pPr>
        <w:pStyle w:val="odrtecka"/>
        <w:spacing w:line="360" w:lineRule="auto"/>
        <w:rPr>
          <w:rFonts w:cs="Arial"/>
        </w:rPr>
      </w:pPr>
      <w:r w:rsidRPr="359F7A47">
        <w:rPr>
          <w:b/>
          <w:bCs/>
        </w:rPr>
        <w:lastRenderedPageBreak/>
        <w:t>Podpora</w:t>
      </w:r>
      <w:r>
        <w:t xml:space="preserve"> – </w:t>
      </w:r>
      <w:r w:rsidRPr="009670C1">
        <w:rPr>
          <w:iCs/>
        </w:rPr>
        <w:t>bankovní</w:t>
      </w:r>
      <w:r>
        <w:rPr>
          <w:iCs/>
        </w:rPr>
        <w:t xml:space="preserve"> </w:t>
      </w:r>
      <w:r>
        <w:t>záruka NRB.</w:t>
      </w:r>
    </w:p>
    <w:p w14:paraId="4DDB1227" w14:textId="6539D2C3" w:rsidR="00190EB3" w:rsidRDefault="00190EB3" w:rsidP="009670C1">
      <w:pPr>
        <w:pStyle w:val="odrtecka"/>
        <w:spacing w:line="360" w:lineRule="auto"/>
        <w:rPr>
          <w:rFonts w:cs="Arial"/>
        </w:rPr>
      </w:pPr>
      <w:r w:rsidRPr="006140BA">
        <w:rPr>
          <w:rFonts w:cs="Arial"/>
          <w:b/>
        </w:rPr>
        <w:t xml:space="preserve">Podpora de </w:t>
      </w:r>
      <w:proofErr w:type="spellStart"/>
      <w:r w:rsidRPr="006140BA">
        <w:rPr>
          <w:rFonts w:cs="Arial"/>
          <w:b/>
        </w:rPr>
        <w:t>minimis</w:t>
      </w:r>
      <w:proofErr w:type="spellEnd"/>
      <w:r w:rsidRPr="00190EB3">
        <w:rPr>
          <w:rFonts w:cs="Arial"/>
        </w:rPr>
        <w:t xml:space="preserve"> – představuje podporu podle Nařízení Komise (EU) č. 1407/2013 ze dne 18. prosince 2013 o použití článků 107 a 108 Smlouvy o fungování Evropské unie na podporu de </w:t>
      </w:r>
      <w:proofErr w:type="spellStart"/>
      <w:r w:rsidRPr="00190EB3">
        <w:rPr>
          <w:rFonts w:cs="Arial"/>
        </w:rPr>
        <w:t>minimis</w:t>
      </w:r>
      <w:proofErr w:type="spellEnd"/>
      <w:r w:rsidRPr="00190EB3">
        <w:rPr>
          <w:rFonts w:cs="Arial"/>
        </w:rPr>
        <w:t xml:space="preserve"> (Úřední věstník EU, L 352. 24. 12. 2013, str. 1-8). Podpora de </w:t>
      </w:r>
      <w:proofErr w:type="spellStart"/>
      <w:r w:rsidRPr="00190EB3">
        <w:rPr>
          <w:rFonts w:cs="Arial"/>
        </w:rPr>
        <w:t>minimis</w:t>
      </w:r>
      <w:proofErr w:type="spellEnd"/>
      <w:r w:rsidRPr="00190EB3">
        <w:rPr>
          <w:rFonts w:cs="Arial"/>
        </w:rPr>
        <w:t xml:space="preserve"> představuje takovou podporu, která nesmí spolu s ostatními podporami de </w:t>
      </w:r>
      <w:proofErr w:type="spellStart"/>
      <w:r w:rsidRPr="00190EB3">
        <w:rPr>
          <w:rFonts w:cs="Arial"/>
        </w:rPr>
        <w:t>minimis</w:t>
      </w:r>
      <w:proofErr w:type="spellEnd"/>
      <w:r w:rsidRPr="00190EB3">
        <w:rPr>
          <w:rFonts w:cs="Arial"/>
        </w:rPr>
        <w:t xml:space="preserve"> poskytnutými jednomu podniku (viz definice pojmu „Jeden podnik“) za dobu současného a dvou předchozích účetních období přesáhnout výši odpovídající </w:t>
      </w:r>
      <w:r w:rsidR="005E6DAF">
        <w:rPr>
          <w:rFonts w:cs="Arial"/>
        </w:rPr>
        <w:t xml:space="preserve">stanovené </w:t>
      </w:r>
      <w:r w:rsidRPr="00190EB3">
        <w:rPr>
          <w:rFonts w:cs="Arial"/>
        </w:rPr>
        <w:t>částce . Pro přepočet se používá měnový kurz Evropské centrální banky platný v den vydání Rozhodnutí o poskytnutí podpory.</w:t>
      </w:r>
    </w:p>
    <w:p w14:paraId="440BDC7C" w14:textId="607E2752" w:rsidR="00EA728F" w:rsidRDefault="00EA728F" w:rsidP="009670C1">
      <w:pPr>
        <w:pStyle w:val="odrtecka"/>
        <w:spacing w:line="360" w:lineRule="auto"/>
        <w:rPr>
          <w:rFonts w:cs="Arial"/>
        </w:rPr>
      </w:pPr>
      <w:proofErr w:type="gramStart"/>
      <w:r w:rsidRPr="006140BA">
        <w:rPr>
          <w:rFonts w:cs="Arial"/>
          <w:b/>
        </w:rPr>
        <w:t>Spoluúčas</w:t>
      </w:r>
      <w:r w:rsidRPr="00AC1304">
        <w:rPr>
          <w:rFonts w:cs="Arial"/>
          <w:b/>
        </w:rPr>
        <w:t>t</w:t>
      </w:r>
      <w:r w:rsidRPr="00EA728F">
        <w:rPr>
          <w:rFonts w:cs="Arial"/>
        </w:rPr>
        <w:t xml:space="preserve"> - spoluúčast</w:t>
      </w:r>
      <w:proofErr w:type="gramEnd"/>
      <w:r w:rsidRPr="00EA728F">
        <w:rPr>
          <w:rFonts w:cs="Arial"/>
        </w:rPr>
        <w:t xml:space="preserve"> na maximálním limitu pojistného plnění požadovaná pojišťovnou pro uzavření smlouvy o pojištění záruky pro případ úpadku.</w:t>
      </w:r>
    </w:p>
    <w:p w14:paraId="3C72C404" w14:textId="77777777" w:rsidR="00F60383" w:rsidRPr="00A3001B" w:rsidRDefault="00F60383" w:rsidP="00F60383">
      <w:pPr>
        <w:spacing w:before="120" w:line="360" w:lineRule="auto"/>
        <w:jc w:val="right"/>
        <w:rPr>
          <w:rFonts w:ascii="Arial" w:hAnsi="Arial" w:cs="Arial"/>
          <w:b/>
          <w:sz w:val="24"/>
        </w:rPr>
      </w:pPr>
    </w:p>
    <w:sectPr w:rsidR="00F60383" w:rsidRPr="00A3001B" w:rsidSect="003A4550">
      <w:type w:val="continuous"/>
      <w:pgSz w:w="11906" w:h="16838" w:code="9"/>
      <w:pgMar w:top="1418" w:right="1133" w:bottom="1418" w:left="1276" w:header="709" w:footer="709" w:gutter="0"/>
      <w:cols w:space="720"/>
      <w:formProt w:val="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07BF" w16cex:dateUtc="2022-11-28T09:11:00Z"/>
  <w16cex:commentExtensible w16cex:durableId="27262A34" w16cex:dateUtc="2022-11-21T15:47:00Z"/>
  <w16cex:commentExtensible w16cex:durableId="272F09AA" w16cex:dateUtc="2022-11-28T09:19:00Z"/>
  <w16cex:commentExtensible w16cex:durableId="272F09AE" w16cex:dateUtc="2022-11-28T09:19:00Z"/>
  <w16cex:commentExtensible w16cex:durableId="272F0AB9" w16cex:dateUtc="2022-11-28T09:23:00Z"/>
  <w16cex:commentExtensible w16cex:durableId="272F0BB7" w16cex:dateUtc="2022-11-28T09:28:00Z"/>
  <w16cex:commentExtensible w16cex:durableId="27262B18" w16cex:dateUtc="2022-11-21T15:51:00Z"/>
  <w16cex:commentExtensible w16cex:durableId="272F20C0" w16cex:dateUtc="2022-11-28T10:57:00Z"/>
  <w16cex:commentExtensible w16cex:durableId="272F222C" w16cex:dateUtc="2022-11-28T11:03:00Z"/>
  <w16cex:commentExtensible w16cex:durableId="272F0F67" w16cex:dateUtc="2022-11-28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D860" w14:textId="77777777" w:rsidR="00645C84" w:rsidRDefault="00645C84">
      <w:r>
        <w:separator/>
      </w:r>
    </w:p>
  </w:endnote>
  <w:endnote w:type="continuationSeparator" w:id="0">
    <w:p w14:paraId="639F99D1" w14:textId="77777777" w:rsidR="00645C84" w:rsidRDefault="0064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7311" w14:textId="01E8C573" w:rsidR="007542D3" w:rsidRDefault="007542D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4A6">
      <w:rPr>
        <w:noProof/>
      </w:rPr>
      <w:t>11</w:t>
    </w:r>
    <w:r>
      <w:fldChar w:fldCharType="end"/>
    </w:r>
  </w:p>
  <w:p w14:paraId="129F5328" w14:textId="77777777" w:rsidR="007542D3" w:rsidRDefault="007542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635C" w14:textId="6A71038B" w:rsidR="007542D3" w:rsidRDefault="0035515F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D29917" wp14:editId="639F1EE4">
              <wp:simplePos x="0" y="0"/>
              <wp:positionH relativeFrom="column">
                <wp:posOffset>-900430</wp:posOffset>
              </wp:positionH>
              <wp:positionV relativeFrom="paragraph">
                <wp:posOffset>-476250</wp:posOffset>
              </wp:positionV>
              <wp:extent cx="381000" cy="1066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1066800"/>
                      </a:xfrm>
                      <a:prstGeom prst="rect">
                        <a:avLst/>
                      </a:prstGeom>
                      <a:solidFill>
                        <a:srgbClr val="0D3D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rect w14:anchorId="776BA036" id="Rectangle 1" o:spid="_x0000_s1026" style="position:absolute;margin-left:-70.9pt;margin-top:-37.5pt;width:30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" fillcolor="#0d3d8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D1A6F" w14:textId="77777777" w:rsidR="00645C84" w:rsidRDefault="00645C84">
      <w:r>
        <w:separator/>
      </w:r>
    </w:p>
  </w:footnote>
  <w:footnote w:type="continuationSeparator" w:id="0">
    <w:p w14:paraId="668D3691" w14:textId="77777777" w:rsidR="00645C84" w:rsidRDefault="00645C84">
      <w:r>
        <w:continuationSeparator/>
      </w:r>
    </w:p>
  </w:footnote>
  <w:footnote w:id="1">
    <w:p w14:paraId="1D47BC42" w14:textId="77777777" w:rsidR="007542D3" w:rsidRPr="00B84D4F" w:rsidRDefault="007542D3" w:rsidP="00E46B5C">
      <w:pPr>
        <w:pStyle w:val="Textpoznpodarou"/>
        <w:spacing w:before="0" w:after="60"/>
        <w:rPr>
          <w:rFonts w:ascii="Arial" w:hAnsi="Arial" w:cs="Arial"/>
          <w:sz w:val="16"/>
          <w:szCs w:val="16"/>
        </w:rPr>
      </w:pPr>
      <w:r w:rsidRPr="00B84D4F">
        <w:rPr>
          <w:rStyle w:val="Znakapoznpodarou"/>
          <w:rFonts w:ascii="Arial" w:hAnsi="Arial" w:cs="Arial"/>
          <w:sz w:val="16"/>
          <w:szCs w:val="16"/>
        </w:rPr>
        <w:footnoteRef/>
      </w:r>
      <w:r w:rsidRPr="00E46B5C">
        <w:rPr>
          <w:rFonts w:ascii="Arial" w:hAnsi="Arial" w:cs="Arial"/>
          <w:sz w:val="16"/>
          <w:szCs w:val="16"/>
        </w:rPr>
        <w:t xml:space="preserve"> </w:t>
      </w:r>
      <w:r w:rsidRPr="00B84D4F">
        <w:rPr>
          <w:rFonts w:ascii="Arial" w:hAnsi="Arial" w:cs="Arial"/>
          <w:sz w:val="16"/>
          <w:szCs w:val="16"/>
        </w:rPr>
        <w:t>Úřední věstník EU, L 352. 24. 12. 2013, str.  1- 8.</w:t>
      </w:r>
    </w:p>
  </w:footnote>
  <w:footnote w:id="2">
    <w:p w14:paraId="053A5B0A" w14:textId="258508DB" w:rsidR="000F0968" w:rsidRPr="00B84D4F" w:rsidRDefault="000F0968" w:rsidP="00E46B5C">
      <w:pPr>
        <w:spacing w:after="60"/>
        <w:rPr>
          <w:rFonts w:ascii="Arial" w:hAnsi="Arial" w:cs="Arial"/>
          <w:sz w:val="16"/>
          <w:szCs w:val="16"/>
          <w:lang w:val="x-none" w:eastAsia="x-none"/>
        </w:rPr>
      </w:pPr>
      <w:r w:rsidRPr="00B84D4F">
        <w:rPr>
          <w:rStyle w:val="Znakapoznpodarou"/>
          <w:rFonts w:ascii="Arial" w:hAnsi="Arial" w:cs="Arial"/>
          <w:sz w:val="16"/>
          <w:szCs w:val="16"/>
        </w:rPr>
        <w:footnoteRef/>
      </w:r>
      <w:r w:rsidRPr="00B84D4F">
        <w:rPr>
          <w:rFonts w:ascii="Arial" w:hAnsi="Arial" w:cs="Arial"/>
          <w:sz w:val="16"/>
          <w:szCs w:val="16"/>
        </w:rPr>
        <w:t xml:space="preserve"> </w:t>
      </w:r>
      <w:r w:rsidRPr="00B84D4F">
        <w:rPr>
          <w:rFonts w:ascii="Arial" w:hAnsi="Arial" w:cs="Arial"/>
          <w:sz w:val="16"/>
          <w:szCs w:val="16"/>
          <w:lang w:val="x-none" w:eastAsia="x-none"/>
        </w:rPr>
        <w:t xml:space="preserve">Příjemci podpory si mohou vyhledat informace o podporách de minimis, které jim (nebo s nimi </w:t>
      </w:r>
      <w:r w:rsidRPr="006A26A0">
        <w:rPr>
          <w:rFonts w:ascii="Arial" w:hAnsi="Arial" w:cs="Arial"/>
          <w:sz w:val="16"/>
          <w:szCs w:val="16"/>
          <w:lang w:val="x-none" w:eastAsia="x-none"/>
        </w:rPr>
        <w:t>spojeným osobám) byly poskytnuty od 1. 1. 2010, v Centrálním registru podpor de minimis, na adrese: http://eagri.cz/public/app/RDM/Portal.</w:t>
      </w:r>
    </w:p>
  </w:footnote>
  <w:footnote w:id="3">
    <w:p w14:paraId="1F1F859B" w14:textId="0F58C084" w:rsidR="007542D3" w:rsidRPr="005458C0" w:rsidRDefault="007542D3" w:rsidP="005458C0">
      <w:pPr>
        <w:pStyle w:val="Textpoznpodarou"/>
        <w:spacing w:before="0"/>
        <w:rPr>
          <w:rFonts w:ascii="Arial" w:hAnsi="Arial" w:cs="Arial"/>
          <w:sz w:val="16"/>
          <w:szCs w:val="16"/>
          <w:lang w:val="cs-CZ"/>
        </w:rPr>
      </w:pPr>
      <w:r w:rsidRPr="00D11812">
        <w:rPr>
          <w:rStyle w:val="Znakapoznpodarou"/>
          <w:rFonts w:ascii="Arial" w:hAnsi="Arial" w:cs="Arial"/>
          <w:sz w:val="16"/>
          <w:szCs w:val="16"/>
        </w:rPr>
        <w:footnoteRef/>
      </w:r>
      <w:r w:rsidRPr="00D11812">
        <w:rPr>
          <w:rFonts w:ascii="Arial" w:hAnsi="Arial" w:cs="Arial"/>
          <w:sz w:val="16"/>
          <w:szCs w:val="16"/>
        </w:rPr>
        <w:t xml:space="preserve"> Finančnímu úřadu, České správě sociálního zabezpečení, zdravotním pojišťovnám, Státnímu pozemkovému úřadu, Ministerstvu financí, jako právnímu nástupci Fondu národního majetku, St</w:t>
      </w:r>
      <w:r w:rsidRPr="00297B26">
        <w:rPr>
          <w:rFonts w:ascii="Arial" w:hAnsi="Arial" w:cs="Arial"/>
          <w:sz w:val="16"/>
          <w:szCs w:val="16"/>
        </w:rPr>
        <w:t xml:space="preserve">átnímu fondu životního prostředí, </w:t>
      </w:r>
      <w:r w:rsidR="00A323D6" w:rsidRPr="00A323D6">
        <w:rPr>
          <w:rFonts w:ascii="Arial" w:hAnsi="Arial" w:cs="Arial"/>
          <w:sz w:val="16"/>
          <w:szCs w:val="16"/>
        </w:rPr>
        <w:t>Státní</w:t>
      </w:r>
      <w:r w:rsidR="00A323D6">
        <w:rPr>
          <w:rFonts w:ascii="Arial" w:hAnsi="Arial" w:cs="Arial"/>
          <w:sz w:val="16"/>
          <w:szCs w:val="16"/>
          <w:lang w:val="cs-CZ"/>
        </w:rPr>
        <w:t>mu</w:t>
      </w:r>
      <w:r w:rsidR="00A323D6" w:rsidRPr="00A323D6">
        <w:rPr>
          <w:rFonts w:ascii="Arial" w:hAnsi="Arial" w:cs="Arial"/>
          <w:sz w:val="16"/>
          <w:szCs w:val="16"/>
        </w:rPr>
        <w:t xml:space="preserve"> fond</w:t>
      </w:r>
      <w:r w:rsidR="00A323D6">
        <w:rPr>
          <w:rFonts w:ascii="Arial" w:hAnsi="Arial" w:cs="Arial"/>
          <w:sz w:val="16"/>
          <w:szCs w:val="16"/>
          <w:lang w:val="cs-CZ"/>
        </w:rPr>
        <w:t>u</w:t>
      </w:r>
      <w:r w:rsidR="00A323D6" w:rsidRPr="00A323D6">
        <w:rPr>
          <w:rFonts w:ascii="Arial" w:hAnsi="Arial" w:cs="Arial"/>
          <w:sz w:val="16"/>
          <w:szCs w:val="16"/>
        </w:rPr>
        <w:t xml:space="preserve"> podpory investic</w:t>
      </w:r>
      <w:r w:rsidRPr="00297B26">
        <w:rPr>
          <w:rFonts w:ascii="Arial" w:hAnsi="Arial" w:cs="Arial"/>
          <w:sz w:val="16"/>
          <w:szCs w:val="16"/>
        </w:rPr>
        <w:t>, Celní</w:t>
      </w:r>
      <w:r w:rsidR="00E274C3" w:rsidRPr="00297B26">
        <w:rPr>
          <w:rFonts w:ascii="Arial" w:hAnsi="Arial" w:cs="Arial"/>
          <w:sz w:val="16"/>
          <w:szCs w:val="16"/>
          <w:lang w:val="cs-CZ"/>
        </w:rPr>
        <w:t>mu</w:t>
      </w:r>
      <w:r w:rsidRPr="005458C0">
        <w:rPr>
          <w:rFonts w:ascii="Arial" w:hAnsi="Arial" w:cs="Arial"/>
          <w:sz w:val="16"/>
          <w:szCs w:val="16"/>
        </w:rPr>
        <w:t xml:space="preserve"> </w:t>
      </w:r>
      <w:r w:rsidR="00E274C3" w:rsidRPr="005458C0">
        <w:rPr>
          <w:rFonts w:ascii="Arial" w:hAnsi="Arial" w:cs="Arial"/>
          <w:sz w:val="16"/>
          <w:szCs w:val="16"/>
          <w:lang w:val="cs-CZ"/>
        </w:rPr>
        <w:t>úřadu</w:t>
      </w:r>
      <w:r w:rsidRPr="005458C0">
        <w:rPr>
          <w:rFonts w:ascii="Arial" w:hAnsi="Arial" w:cs="Arial"/>
          <w:sz w:val="16"/>
          <w:szCs w:val="16"/>
        </w:rPr>
        <w:t>, Státnímu fondu kultury, Státnímu fondu kinematografie, Státnímu zemědělskému intervenčnímu fondu, krajům, obcím a</w:t>
      </w:r>
      <w:r w:rsidRPr="005458C0">
        <w:rPr>
          <w:rFonts w:ascii="Arial" w:hAnsi="Arial" w:cs="Arial"/>
          <w:sz w:val="16"/>
          <w:szCs w:val="16"/>
          <w:lang w:val="cs-CZ"/>
        </w:rPr>
        <w:t> </w:t>
      </w:r>
      <w:r w:rsidRPr="005458C0">
        <w:rPr>
          <w:rFonts w:ascii="Arial" w:hAnsi="Arial" w:cs="Arial"/>
          <w:sz w:val="16"/>
          <w:szCs w:val="16"/>
        </w:rPr>
        <w:t>svazkům obcí</w:t>
      </w:r>
      <w:r w:rsidR="00027854" w:rsidRPr="005458C0">
        <w:rPr>
          <w:rFonts w:ascii="Arial" w:hAnsi="Arial" w:cs="Arial"/>
          <w:sz w:val="16"/>
          <w:szCs w:val="16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EE7"/>
    <w:multiLevelType w:val="multilevel"/>
    <w:tmpl w:val="39A4A62C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%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8"/>
      </w:rPr>
    </w:lvl>
    <w:lvl w:ilvl="4">
      <w:start w:val="1"/>
      <w:numFmt w:val="decimal"/>
      <w:pStyle w:val="Nadpis5"/>
      <w:lvlText w:val="%1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4A7B5C"/>
    <w:multiLevelType w:val="hybridMultilevel"/>
    <w:tmpl w:val="1A5694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A2546"/>
    <w:multiLevelType w:val="hybridMultilevel"/>
    <w:tmpl w:val="3AECD6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74BD6"/>
    <w:multiLevelType w:val="hybridMultilevel"/>
    <w:tmpl w:val="0C509B6A"/>
    <w:lvl w:ilvl="0" w:tplc="A5E261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341B"/>
    <w:multiLevelType w:val="hybridMultilevel"/>
    <w:tmpl w:val="4C2A4040"/>
    <w:lvl w:ilvl="0" w:tplc="A5E261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60F91"/>
    <w:multiLevelType w:val="hybridMultilevel"/>
    <w:tmpl w:val="003C7B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6AD9"/>
    <w:multiLevelType w:val="hybridMultilevel"/>
    <w:tmpl w:val="AD20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49F9"/>
    <w:multiLevelType w:val="hybridMultilevel"/>
    <w:tmpl w:val="296456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59C5"/>
    <w:multiLevelType w:val="hybridMultilevel"/>
    <w:tmpl w:val="4AC28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33F83"/>
    <w:multiLevelType w:val="hybridMultilevel"/>
    <w:tmpl w:val="AE00EA22"/>
    <w:lvl w:ilvl="0" w:tplc="E2903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2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485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4D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AF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A8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2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6C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C0907"/>
    <w:multiLevelType w:val="hybridMultilevel"/>
    <w:tmpl w:val="004A71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C5CB5"/>
    <w:multiLevelType w:val="hybridMultilevel"/>
    <w:tmpl w:val="C6765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04CD6"/>
    <w:multiLevelType w:val="multilevel"/>
    <w:tmpl w:val="163A02B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375"/>
      </w:pPr>
      <w:rPr>
        <w:rFonts w:hint="default"/>
        <w:b w:val="0"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 w15:restartNumberingAfterBreak="0">
    <w:nsid w:val="4DDC4142"/>
    <w:multiLevelType w:val="hybridMultilevel"/>
    <w:tmpl w:val="6890D1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320B89"/>
    <w:multiLevelType w:val="hybridMultilevel"/>
    <w:tmpl w:val="5E24E2CC"/>
    <w:lvl w:ilvl="0" w:tplc="2E363E64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E9BC51EC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F66B9B"/>
    <w:multiLevelType w:val="hybridMultilevel"/>
    <w:tmpl w:val="F940D49A"/>
    <w:lvl w:ilvl="0" w:tplc="3014BA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17908"/>
    <w:multiLevelType w:val="hybridMultilevel"/>
    <w:tmpl w:val="1AA2165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68D63339"/>
    <w:multiLevelType w:val="hybridMultilevel"/>
    <w:tmpl w:val="F9F27E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12794A"/>
    <w:multiLevelType w:val="hybridMultilevel"/>
    <w:tmpl w:val="25FCB032"/>
    <w:lvl w:ilvl="0" w:tplc="A5E261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9B009A"/>
    <w:multiLevelType w:val="hybridMultilevel"/>
    <w:tmpl w:val="81ECB4A4"/>
    <w:lvl w:ilvl="0" w:tplc="E9BC51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7BBA5240"/>
    <w:multiLevelType w:val="hybridMultilevel"/>
    <w:tmpl w:val="753E3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C3E6D"/>
    <w:multiLevelType w:val="hybridMultilevel"/>
    <w:tmpl w:val="1368F730"/>
    <w:lvl w:ilvl="0" w:tplc="9790E198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36B50"/>
    <w:multiLevelType w:val="hybridMultilevel"/>
    <w:tmpl w:val="64161638"/>
    <w:lvl w:ilvl="0" w:tplc="1B503B5A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302AB5"/>
    <w:multiLevelType w:val="hybridMultilevel"/>
    <w:tmpl w:val="25FCB032"/>
    <w:lvl w:ilvl="0" w:tplc="A5E2615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1"/>
  </w:num>
  <w:num w:numId="6">
    <w:abstractNumId w:val="14"/>
  </w:num>
  <w:num w:numId="7">
    <w:abstractNumId w:val="6"/>
  </w:num>
  <w:num w:numId="8">
    <w:abstractNumId w:val="19"/>
  </w:num>
  <w:num w:numId="9">
    <w:abstractNumId w:val="5"/>
  </w:num>
  <w:num w:numId="10">
    <w:abstractNumId w:val="18"/>
  </w:num>
  <w:num w:numId="11">
    <w:abstractNumId w:val="23"/>
  </w:num>
  <w:num w:numId="12">
    <w:abstractNumId w:val="15"/>
  </w:num>
  <w:num w:numId="13">
    <w:abstractNumId w:val="22"/>
  </w:num>
  <w:num w:numId="14">
    <w:abstractNumId w:val="1"/>
  </w:num>
  <w:num w:numId="15">
    <w:abstractNumId w:val="9"/>
  </w:num>
  <w:num w:numId="16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21"/>
  </w:num>
  <w:num w:numId="19">
    <w:abstractNumId w:val="21"/>
  </w:num>
  <w:num w:numId="20">
    <w:abstractNumId w:val="0"/>
  </w:num>
  <w:num w:numId="21">
    <w:abstractNumId w:val="1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8"/>
  </w:num>
  <w:num w:numId="30">
    <w:abstractNumId w:val="0"/>
  </w:num>
  <w:num w:numId="31">
    <w:abstractNumId w:val="0"/>
  </w:num>
  <w:num w:numId="32">
    <w:abstractNumId w:val="0"/>
  </w:num>
  <w:num w:numId="33">
    <w:abstractNumId w:val="7"/>
  </w:num>
  <w:num w:numId="34">
    <w:abstractNumId w:val="10"/>
  </w:num>
  <w:num w:numId="35">
    <w:abstractNumId w:val="20"/>
  </w:num>
  <w:num w:numId="36">
    <w:abstractNumId w:val="12"/>
  </w:num>
  <w:num w:numId="37">
    <w:abstractNumId w:val="2"/>
  </w:num>
  <w:num w:numId="38">
    <w:abstractNumId w:val="17"/>
  </w:num>
  <w:num w:numId="39">
    <w:abstractNumId w:val="13"/>
  </w:num>
  <w:num w:numId="4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6C"/>
    <w:rsid w:val="000010B3"/>
    <w:rsid w:val="0000328D"/>
    <w:rsid w:val="000119E0"/>
    <w:rsid w:val="00011EA0"/>
    <w:rsid w:val="0001659A"/>
    <w:rsid w:val="00020A5C"/>
    <w:rsid w:val="0002138B"/>
    <w:rsid w:val="00022AA5"/>
    <w:rsid w:val="00022DB7"/>
    <w:rsid w:val="000247DA"/>
    <w:rsid w:val="00027854"/>
    <w:rsid w:val="00031BE0"/>
    <w:rsid w:val="00031E23"/>
    <w:rsid w:val="00032179"/>
    <w:rsid w:val="000359C1"/>
    <w:rsid w:val="00037C7A"/>
    <w:rsid w:val="00040A22"/>
    <w:rsid w:val="00043615"/>
    <w:rsid w:val="000456DA"/>
    <w:rsid w:val="00045F94"/>
    <w:rsid w:val="00047444"/>
    <w:rsid w:val="00051027"/>
    <w:rsid w:val="00053BC5"/>
    <w:rsid w:val="00055051"/>
    <w:rsid w:val="0005558A"/>
    <w:rsid w:val="000563C4"/>
    <w:rsid w:val="0005724D"/>
    <w:rsid w:val="00057E61"/>
    <w:rsid w:val="0006160E"/>
    <w:rsid w:val="00065FDE"/>
    <w:rsid w:val="0006687E"/>
    <w:rsid w:val="00066A4C"/>
    <w:rsid w:val="00072771"/>
    <w:rsid w:val="000739AB"/>
    <w:rsid w:val="00074B13"/>
    <w:rsid w:val="00076B18"/>
    <w:rsid w:val="000806C0"/>
    <w:rsid w:val="00082764"/>
    <w:rsid w:val="00083554"/>
    <w:rsid w:val="00083D90"/>
    <w:rsid w:val="00084134"/>
    <w:rsid w:val="0008618A"/>
    <w:rsid w:val="00087402"/>
    <w:rsid w:val="000879BD"/>
    <w:rsid w:val="00087B95"/>
    <w:rsid w:val="00091C04"/>
    <w:rsid w:val="000933F4"/>
    <w:rsid w:val="00093D5A"/>
    <w:rsid w:val="000948EC"/>
    <w:rsid w:val="000966DE"/>
    <w:rsid w:val="000A0636"/>
    <w:rsid w:val="000A3C5C"/>
    <w:rsid w:val="000A4F13"/>
    <w:rsid w:val="000B1D69"/>
    <w:rsid w:val="000B1DAF"/>
    <w:rsid w:val="000B4DCC"/>
    <w:rsid w:val="000B66C1"/>
    <w:rsid w:val="000B6C69"/>
    <w:rsid w:val="000B7166"/>
    <w:rsid w:val="000C0E6C"/>
    <w:rsid w:val="000C389A"/>
    <w:rsid w:val="000C613B"/>
    <w:rsid w:val="000C7330"/>
    <w:rsid w:val="000D11C3"/>
    <w:rsid w:val="000D2CE5"/>
    <w:rsid w:val="000D47C5"/>
    <w:rsid w:val="000E16D4"/>
    <w:rsid w:val="000E206D"/>
    <w:rsid w:val="000E2A63"/>
    <w:rsid w:val="000E2AF3"/>
    <w:rsid w:val="000E39BF"/>
    <w:rsid w:val="000E45DB"/>
    <w:rsid w:val="000E4C23"/>
    <w:rsid w:val="000F0968"/>
    <w:rsid w:val="000F1EDA"/>
    <w:rsid w:val="000F3841"/>
    <w:rsid w:val="000F3897"/>
    <w:rsid w:val="000F44C3"/>
    <w:rsid w:val="000F748E"/>
    <w:rsid w:val="001012DC"/>
    <w:rsid w:val="001023FD"/>
    <w:rsid w:val="00102977"/>
    <w:rsid w:val="0011293E"/>
    <w:rsid w:val="00112D11"/>
    <w:rsid w:val="001226F0"/>
    <w:rsid w:val="00124E8D"/>
    <w:rsid w:val="0012517A"/>
    <w:rsid w:val="00125EBD"/>
    <w:rsid w:val="001266CF"/>
    <w:rsid w:val="00127DC4"/>
    <w:rsid w:val="00130F4A"/>
    <w:rsid w:val="00131577"/>
    <w:rsid w:val="0013575B"/>
    <w:rsid w:val="00135DC4"/>
    <w:rsid w:val="00137A67"/>
    <w:rsid w:val="00137CE4"/>
    <w:rsid w:val="001448B2"/>
    <w:rsid w:val="0014715A"/>
    <w:rsid w:val="0015099E"/>
    <w:rsid w:val="001557B3"/>
    <w:rsid w:val="0016149F"/>
    <w:rsid w:val="00170C73"/>
    <w:rsid w:val="001752B1"/>
    <w:rsid w:val="00182D22"/>
    <w:rsid w:val="00183021"/>
    <w:rsid w:val="001830DC"/>
    <w:rsid w:val="00183291"/>
    <w:rsid w:val="00185589"/>
    <w:rsid w:val="001907BB"/>
    <w:rsid w:val="00190EB3"/>
    <w:rsid w:val="00191535"/>
    <w:rsid w:val="0019423B"/>
    <w:rsid w:val="00197060"/>
    <w:rsid w:val="001970F1"/>
    <w:rsid w:val="001A1530"/>
    <w:rsid w:val="001A4A92"/>
    <w:rsid w:val="001A6061"/>
    <w:rsid w:val="001A6337"/>
    <w:rsid w:val="001A67C0"/>
    <w:rsid w:val="001B1EE9"/>
    <w:rsid w:val="001B26A8"/>
    <w:rsid w:val="001B5CE3"/>
    <w:rsid w:val="001C4DBE"/>
    <w:rsid w:val="001C7827"/>
    <w:rsid w:val="001D44F8"/>
    <w:rsid w:val="001E3823"/>
    <w:rsid w:val="001E7906"/>
    <w:rsid w:val="001E793E"/>
    <w:rsid w:val="001F10AF"/>
    <w:rsid w:val="001F3BFA"/>
    <w:rsid w:val="001F3E5E"/>
    <w:rsid w:val="001F5643"/>
    <w:rsid w:val="001F5F6F"/>
    <w:rsid w:val="0020283C"/>
    <w:rsid w:val="00203150"/>
    <w:rsid w:val="0020550F"/>
    <w:rsid w:val="00205BAB"/>
    <w:rsid w:val="0021361E"/>
    <w:rsid w:val="00214EED"/>
    <w:rsid w:val="0021619F"/>
    <w:rsid w:val="00216DAA"/>
    <w:rsid w:val="00223F05"/>
    <w:rsid w:val="00225A33"/>
    <w:rsid w:val="002317FB"/>
    <w:rsid w:val="002328BD"/>
    <w:rsid w:val="00233F40"/>
    <w:rsid w:val="00233F67"/>
    <w:rsid w:val="00234471"/>
    <w:rsid w:val="002360D1"/>
    <w:rsid w:val="0023652A"/>
    <w:rsid w:val="00236B73"/>
    <w:rsid w:val="002413B9"/>
    <w:rsid w:val="002417DA"/>
    <w:rsid w:val="00242ECC"/>
    <w:rsid w:val="00246E8E"/>
    <w:rsid w:val="002471AA"/>
    <w:rsid w:val="00247FF7"/>
    <w:rsid w:val="002541E4"/>
    <w:rsid w:val="0025645A"/>
    <w:rsid w:val="0026072A"/>
    <w:rsid w:val="002611EA"/>
    <w:rsid w:val="00261F6B"/>
    <w:rsid w:val="00263DDE"/>
    <w:rsid w:val="00264257"/>
    <w:rsid w:val="0026661F"/>
    <w:rsid w:val="00266F8D"/>
    <w:rsid w:val="002676C4"/>
    <w:rsid w:val="00274C4C"/>
    <w:rsid w:val="00274FD6"/>
    <w:rsid w:val="00277306"/>
    <w:rsid w:val="00277500"/>
    <w:rsid w:val="00277DC6"/>
    <w:rsid w:val="00280A67"/>
    <w:rsid w:val="00280D97"/>
    <w:rsid w:val="002815D8"/>
    <w:rsid w:val="002816F1"/>
    <w:rsid w:val="002860DD"/>
    <w:rsid w:val="002867E4"/>
    <w:rsid w:val="00292E69"/>
    <w:rsid w:val="00295820"/>
    <w:rsid w:val="00296C07"/>
    <w:rsid w:val="00297B26"/>
    <w:rsid w:val="002A2C1A"/>
    <w:rsid w:val="002A3426"/>
    <w:rsid w:val="002A38D8"/>
    <w:rsid w:val="002A4AAA"/>
    <w:rsid w:val="002A6554"/>
    <w:rsid w:val="002A759A"/>
    <w:rsid w:val="002B0607"/>
    <w:rsid w:val="002B300B"/>
    <w:rsid w:val="002B3C14"/>
    <w:rsid w:val="002B575D"/>
    <w:rsid w:val="002C3626"/>
    <w:rsid w:val="002C397A"/>
    <w:rsid w:val="002C3DEF"/>
    <w:rsid w:val="002D4061"/>
    <w:rsid w:val="002E1D0B"/>
    <w:rsid w:val="002E2553"/>
    <w:rsid w:val="002E3607"/>
    <w:rsid w:val="002E40A3"/>
    <w:rsid w:val="002E4BB2"/>
    <w:rsid w:val="002E798B"/>
    <w:rsid w:val="002F04FD"/>
    <w:rsid w:val="002F09F6"/>
    <w:rsid w:val="002F0E03"/>
    <w:rsid w:val="002F1324"/>
    <w:rsid w:val="00301EC2"/>
    <w:rsid w:val="00303091"/>
    <w:rsid w:val="00303EC3"/>
    <w:rsid w:val="00304C50"/>
    <w:rsid w:val="003157E6"/>
    <w:rsid w:val="00321AC5"/>
    <w:rsid w:val="00325570"/>
    <w:rsid w:val="003263BC"/>
    <w:rsid w:val="00326CE7"/>
    <w:rsid w:val="00327672"/>
    <w:rsid w:val="003302A7"/>
    <w:rsid w:val="003312D6"/>
    <w:rsid w:val="003315FC"/>
    <w:rsid w:val="0033172A"/>
    <w:rsid w:val="00332304"/>
    <w:rsid w:val="00332B6D"/>
    <w:rsid w:val="003339DE"/>
    <w:rsid w:val="00333DCA"/>
    <w:rsid w:val="003360AC"/>
    <w:rsid w:val="00337CD0"/>
    <w:rsid w:val="00341358"/>
    <w:rsid w:val="00341F44"/>
    <w:rsid w:val="0034396B"/>
    <w:rsid w:val="00344077"/>
    <w:rsid w:val="0034453B"/>
    <w:rsid w:val="00344BE2"/>
    <w:rsid w:val="0034586B"/>
    <w:rsid w:val="003461B2"/>
    <w:rsid w:val="00346655"/>
    <w:rsid w:val="0034735C"/>
    <w:rsid w:val="00350CF0"/>
    <w:rsid w:val="0035515F"/>
    <w:rsid w:val="00355C84"/>
    <w:rsid w:val="0035725C"/>
    <w:rsid w:val="0036331F"/>
    <w:rsid w:val="0036435A"/>
    <w:rsid w:val="00367A04"/>
    <w:rsid w:val="00371BDC"/>
    <w:rsid w:val="00372CD6"/>
    <w:rsid w:val="00374B12"/>
    <w:rsid w:val="00375C85"/>
    <w:rsid w:val="00377B23"/>
    <w:rsid w:val="00380DD3"/>
    <w:rsid w:val="00383BAC"/>
    <w:rsid w:val="003908C5"/>
    <w:rsid w:val="00390EE8"/>
    <w:rsid w:val="00394EAE"/>
    <w:rsid w:val="003956A6"/>
    <w:rsid w:val="00395E1C"/>
    <w:rsid w:val="003963B5"/>
    <w:rsid w:val="0039687D"/>
    <w:rsid w:val="00397AD3"/>
    <w:rsid w:val="003A13C7"/>
    <w:rsid w:val="003A184C"/>
    <w:rsid w:val="003A4550"/>
    <w:rsid w:val="003B04B1"/>
    <w:rsid w:val="003B36AA"/>
    <w:rsid w:val="003B6F6B"/>
    <w:rsid w:val="003C15D6"/>
    <w:rsid w:val="003C414F"/>
    <w:rsid w:val="003C577F"/>
    <w:rsid w:val="003D0179"/>
    <w:rsid w:val="003D0FD5"/>
    <w:rsid w:val="003D115A"/>
    <w:rsid w:val="003D2BAE"/>
    <w:rsid w:val="003D5C67"/>
    <w:rsid w:val="003D7981"/>
    <w:rsid w:val="003E150F"/>
    <w:rsid w:val="003E43FC"/>
    <w:rsid w:val="003E506E"/>
    <w:rsid w:val="003E7228"/>
    <w:rsid w:val="003F76E8"/>
    <w:rsid w:val="0040535F"/>
    <w:rsid w:val="00406AA8"/>
    <w:rsid w:val="00407040"/>
    <w:rsid w:val="00410B0F"/>
    <w:rsid w:val="00410EF0"/>
    <w:rsid w:val="004118A2"/>
    <w:rsid w:val="0041389A"/>
    <w:rsid w:val="00413C70"/>
    <w:rsid w:val="004142E8"/>
    <w:rsid w:val="00421344"/>
    <w:rsid w:val="00422233"/>
    <w:rsid w:val="00430C23"/>
    <w:rsid w:val="004339AF"/>
    <w:rsid w:val="00433CF5"/>
    <w:rsid w:val="00435F80"/>
    <w:rsid w:val="00435FB3"/>
    <w:rsid w:val="004403BF"/>
    <w:rsid w:val="00440C7E"/>
    <w:rsid w:val="00440F46"/>
    <w:rsid w:val="004410DB"/>
    <w:rsid w:val="0044227B"/>
    <w:rsid w:val="004427F7"/>
    <w:rsid w:val="00442A2F"/>
    <w:rsid w:val="00443650"/>
    <w:rsid w:val="0044476E"/>
    <w:rsid w:val="00445A9F"/>
    <w:rsid w:val="004506BE"/>
    <w:rsid w:val="004508C3"/>
    <w:rsid w:val="0045219D"/>
    <w:rsid w:val="004534BC"/>
    <w:rsid w:val="0045550F"/>
    <w:rsid w:val="004564E0"/>
    <w:rsid w:val="00460F41"/>
    <w:rsid w:val="0046571A"/>
    <w:rsid w:val="00466346"/>
    <w:rsid w:val="00467417"/>
    <w:rsid w:val="00467CFD"/>
    <w:rsid w:val="004705C4"/>
    <w:rsid w:val="00471329"/>
    <w:rsid w:val="004724A0"/>
    <w:rsid w:val="00473088"/>
    <w:rsid w:val="00473C31"/>
    <w:rsid w:val="00475499"/>
    <w:rsid w:val="00475E15"/>
    <w:rsid w:val="00476FCC"/>
    <w:rsid w:val="004777A1"/>
    <w:rsid w:val="004836DD"/>
    <w:rsid w:val="00484FF7"/>
    <w:rsid w:val="00485407"/>
    <w:rsid w:val="00486ADD"/>
    <w:rsid w:val="00491E32"/>
    <w:rsid w:val="00494BDB"/>
    <w:rsid w:val="00494DB3"/>
    <w:rsid w:val="00496174"/>
    <w:rsid w:val="0049763B"/>
    <w:rsid w:val="004A0706"/>
    <w:rsid w:val="004A48C9"/>
    <w:rsid w:val="004A6419"/>
    <w:rsid w:val="004A7D19"/>
    <w:rsid w:val="004B0C61"/>
    <w:rsid w:val="004B173E"/>
    <w:rsid w:val="004B45C1"/>
    <w:rsid w:val="004B4C9F"/>
    <w:rsid w:val="004B535B"/>
    <w:rsid w:val="004B7207"/>
    <w:rsid w:val="004C0E70"/>
    <w:rsid w:val="004C3133"/>
    <w:rsid w:val="004C57D7"/>
    <w:rsid w:val="004C7E10"/>
    <w:rsid w:val="004D0329"/>
    <w:rsid w:val="004D09F4"/>
    <w:rsid w:val="004D2120"/>
    <w:rsid w:val="004D6237"/>
    <w:rsid w:val="004D65DF"/>
    <w:rsid w:val="004E3053"/>
    <w:rsid w:val="004E6240"/>
    <w:rsid w:val="004E64E4"/>
    <w:rsid w:val="004E6BF8"/>
    <w:rsid w:val="004F13AF"/>
    <w:rsid w:val="004F2134"/>
    <w:rsid w:val="004F24FF"/>
    <w:rsid w:val="004F3B35"/>
    <w:rsid w:val="004F3DF0"/>
    <w:rsid w:val="004F488F"/>
    <w:rsid w:val="005002F6"/>
    <w:rsid w:val="005017B1"/>
    <w:rsid w:val="00501A08"/>
    <w:rsid w:val="005049D2"/>
    <w:rsid w:val="00504CB7"/>
    <w:rsid w:val="005071A5"/>
    <w:rsid w:val="00507F14"/>
    <w:rsid w:val="00510712"/>
    <w:rsid w:val="005107A9"/>
    <w:rsid w:val="0051453C"/>
    <w:rsid w:val="00515E32"/>
    <w:rsid w:val="00520631"/>
    <w:rsid w:val="00521611"/>
    <w:rsid w:val="005220AA"/>
    <w:rsid w:val="00523465"/>
    <w:rsid w:val="00524310"/>
    <w:rsid w:val="00530D83"/>
    <w:rsid w:val="00531BCD"/>
    <w:rsid w:val="0053400F"/>
    <w:rsid w:val="005360E5"/>
    <w:rsid w:val="0054003E"/>
    <w:rsid w:val="0054202A"/>
    <w:rsid w:val="005430E0"/>
    <w:rsid w:val="00543AB0"/>
    <w:rsid w:val="00543D22"/>
    <w:rsid w:val="00544AA0"/>
    <w:rsid w:val="005458C0"/>
    <w:rsid w:val="00552C7D"/>
    <w:rsid w:val="00552EB3"/>
    <w:rsid w:val="00553537"/>
    <w:rsid w:val="0055362F"/>
    <w:rsid w:val="005546FB"/>
    <w:rsid w:val="005548E8"/>
    <w:rsid w:val="00557989"/>
    <w:rsid w:val="0056079C"/>
    <w:rsid w:val="005618DB"/>
    <w:rsid w:val="0056435E"/>
    <w:rsid w:val="00565267"/>
    <w:rsid w:val="00565B48"/>
    <w:rsid w:val="00565F6D"/>
    <w:rsid w:val="00567578"/>
    <w:rsid w:val="005711DE"/>
    <w:rsid w:val="00571F0C"/>
    <w:rsid w:val="00572599"/>
    <w:rsid w:val="00572A42"/>
    <w:rsid w:val="0057312D"/>
    <w:rsid w:val="00574F50"/>
    <w:rsid w:val="005751E5"/>
    <w:rsid w:val="00575B34"/>
    <w:rsid w:val="005764E8"/>
    <w:rsid w:val="00577496"/>
    <w:rsid w:val="00580456"/>
    <w:rsid w:val="00581D92"/>
    <w:rsid w:val="00581F04"/>
    <w:rsid w:val="00583B85"/>
    <w:rsid w:val="00587651"/>
    <w:rsid w:val="00590A43"/>
    <w:rsid w:val="0059129C"/>
    <w:rsid w:val="005A19C5"/>
    <w:rsid w:val="005A3834"/>
    <w:rsid w:val="005A4424"/>
    <w:rsid w:val="005A5FD8"/>
    <w:rsid w:val="005B22FC"/>
    <w:rsid w:val="005B3872"/>
    <w:rsid w:val="005B44B9"/>
    <w:rsid w:val="005B4866"/>
    <w:rsid w:val="005B49EA"/>
    <w:rsid w:val="005C1565"/>
    <w:rsid w:val="005C2002"/>
    <w:rsid w:val="005C3331"/>
    <w:rsid w:val="005C3523"/>
    <w:rsid w:val="005C3F5B"/>
    <w:rsid w:val="005C4C18"/>
    <w:rsid w:val="005C6E20"/>
    <w:rsid w:val="005C7975"/>
    <w:rsid w:val="005D0BD2"/>
    <w:rsid w:val="005D108C"/>
    <w:rsid w:val="005D39C0"/>
    <w:rsid w:val="005D3ED4"/>
    <w:rsid w:val="005D7BF5"/>
    <w:rsid w:val="005E1F50"/>
    <w:rsid w:val="005E1FC8"/>
    <w:rsid w:val="005E2175"/>
    <w:rsid w:val="005E382F"/>
    <w:rsid w:val="005E46EB"/>
    <w:rsid w:val="005E52CD"/>
    <w:rsid w:val="005E5823"/>
    <w:rsid w:val="005E5A2E"/>
    <w:rsid w:val="005E6DAF"/>
    <w:rsid w:val="005F39D5"/>
    <w:rsid w:val="005F404C"/>
    <w:rsid w:val="005F4966"/>
    <w:rsid w:val="005F6EAA"/>
    <w:rsid w:val="006008A9"/>
    <w:rsid w:val="00601506"/>
    <w:rsid w:val="00603774"/>
    <w:rsid w:val="00604A14"/>
    <w:rsid w:val="00605540"/>
    <w:rsid w:val="00606334"/>
    <w:rsid w:val="006068CB"/>
    <w:rsid w:val="00611B9E"/>
    <w:rsid w:val="006140BA"/>
    <w:rsid w:val="006218DA"/>
    <w:rsid w:val="00623748"/>
    <w:rsid w:val="00623B7D"/>
    <w:rsid w:val="00623FDE"/>
    <w:rsid w:val="0063010F"/>
    <w:rsid w:val="0063333C"/>
    <w:rsid w:val="00633E13"/>
    <w:rsid w:val="006344F9"/>
    <w:rsid w:val="0063495C"/>
    <w:rsid w:val="006354D9"/>
    <w:rsid w:val="00636EB4"/>
    <w:rsid w:val="006376A4"/>
    <w:rsid w:val="006409D4"/>
    <w:rsid w:val="006446D9"/>
    <w:rsid w:val="00645256"/>
    <w:rsid w:val="006455E9"/>
    <w:rsid w:val="00645C84"/>
    <w:rsid w:val="006505F1"/>
    <w:rsid w:val="00651D6A"/>
    <w:rsid w:val="00652391"/>
    <w:rsid w:val="00654163"/>
    <w:rsid w:val="006541B8"/>
    <w:rsid w:val="006614D4"/>
    <w:rsid w:val="00664866"/>
    <w:rsid w:val="00664AC0"/>
    <w:rsid w:val="00665822"/>
    <w:rsid w:val="00667761"/>
    <w:rsid w:val="00667AC2"/>
    <w:rsid w:val="006711BC"/>
    <w:rsid w:val="00673910"/>
    <w:rsid w:val="0067427F"/>
    <w:rsid w:val="006756CF"/>
    <w:rsid w:val="00675991"/>
    <w:rsid w:val="006760EB"/>
    <w:rsid w:val="00676600"/>
    <w:rsid w:val="00676E0B"/>
    <w:rsid w:val="00677830"/>
    <w:rsid w:val="00682A1A"/>
    <w:rsid w:val="00685D8A"/>
    <w:rsid w:val="006873A9"/>
    <w:rsid w:val="00690214"/>
    <w:rsid w:val="00691264"/>
    <w:rsid w:val="00693348"/>
    <w:rsid w:val="00693C4C"/>
    <w:rsid w:val="00695B2B"/>
    <w:rsid w:val="00695CF0"/>
    <w:rsid w:val="006A03E9"/>
    <w:rsid w:val="006A26A0"/>
    <w:rsid w:val="006A4DA1"/>
    <w:rsid w:val="006A6EE8"/>
    <w:rsid w:val="006C16E4"/>
    <w:rsid w:val="006C1D29"/>
    <w:rsid w:val="006C21A7"/>
    <w:rsid w:val="006C4A30"/>
    <w:rsid w:val="006C5A32"/>
    <w:rsid w:val="006D0C8C"/>
    <w:rsid w:val="006D0D5D"/>
    <w:rsid w:val="006D23FF"/>
    <w:rsid w:val="006D2EC1"/>
    <w:rsid w:val="006D3789"/>
    <w:rsid w:val="006D4879"/>
    <w:rsid w:val="006D56AB"/>
    <w:rsid w:val="006D62E2"/>
    <w:rsid w:val="006D6FD1"/>
    <w:rsid w:val="006D7143"/>
    <w:rsid w:val="006E784D"/>
    <w:rsid w:val="006F0D37"/>
    <w:rsid w:val="006F24B7"/>
    <w:rsid w:val="006F2B7D"/>
    <w:rsid w:val="006F36E6"/>
    <w:rsid w:val="006F45E8"/>
    <w:rsid w:val="006F7200"/>
    <w:rsid w:val="006F77C1"/>
    <w:rsid w:val="007008BB"/>
    <w:rsid w:val="007027CD"/>
    <w:rsid w:val="00703EF8"/>
    <w:rsid w:val="00707552"/>
    <w:rsid w:val="00710545"/>
    <w:rsid w:val="0071067E"/>
    <w:rsid w:val="00710BBD"/>
    <w:rsid w:val="007114AF"/>
    <w:rsid w:val="00717B60"/>
    <w:rsid w:val="0072108D"/>
    <w:rsid w:val="0072117B"/>
    <w:rsid w:val="00725B51"/>
    <w:rsid w:val="0072674C"/>
    <w:rsid w:val="007277BD"/>
    <w:rsid w:val="00731CAB"/>
    <w:rsid w:val="00733B23"/>
    <w:rsid w:val="007347DA"/>
    <w:rsid w:val="00737821"/>
    <w:rsid w:val="007404A6"/>
    <w:rsid w:val="00742418"/>
    <w:rsid w:val="00743E70"/>
    <w:rsid w:val="00746C88"/>
    <w:rsid w:val="00746FBE"/>
    <w:rsid w:val="007542D3"/>
    <w:rsid w:val="007544CE"/>
    <w:rsid w:val="007555A5"/>
    <w:rsid w:val="00756DB3"/>
    <w:rsid w:val="00757DE7"/>
    <w:rsid w:val="00761215"/>
    <w:rsid w:val="007620C6"/>
    <w:rsid w:val="00762C28"/>
    <w:rsid w:val="0076728E"/>
    <w:rsid w:val="00767620"/>
    <w:rsid w:val="00767C44"/>
    <w:rsid w:val="0077256C"/>
    <w:rsid w:val="00772E7F"/>
    <w:rsid w:val="00775094"/>
    <w:rsid w:val="00775AD2"/>
    <w:rsid w:val="00781905"/>
    <w:rsid w:val="0078230E"/>
    <w:rsid w:val="00783D98"/>
    <w:rsid w:val="0078512B"/>
    <w:rsid w:val="00786342"/>
    <w:rsid w:val="007876DD"/>
    <w:rsid w:val="0079074D"/>
    <w:rsid w:val="00790CF5"/>
    <w:rsid w:val="00791AB4"/>
    <w:rsid w:val="0079539D"/>
    <w:rsid w:val="007969AD"/>
    <w:rsid w:val="007A13FF"/>
    <w:rsid w:val="007A2BB3"/>
    <w:rsid w:val="007A53E3"/>
    <w:rsid w:val="007A5434"/>
    <w:rsid w:val="007B0130"/>
    <w:rsid w:val="007B066A"/>
    <w:rsid w:val="007B0F3A"/>
    <w:rsid w:val="007B24EC"/>
    <w:rsid w:val="007B25AB"/>
    <w:rsid w:val="007B334F"/>
    <w:rsid w:val="007B3FD8"/>
    <w:rsid w:val="007B70FA"/>
    <w:rsid w:val="007C69F4"/>
    <w:rsid w:val="007D1543"/>
    <w:rsid w:val="007E0300"/>
    <w:rsid w:val="007E11C6"/>
    <w:rsid w:val="007E1200"/>
    <w:rsid w:val="007E2215"/>
    <w:rsid w:val="007E7AEA"/>
    <w:rsid w:val="007F0359"/>
    <w:rsid w:val="007F03F4"/>
    <w:rsid w:val="007F2B79"/>
    <w:rsid w:val="007F2E08"/>
    <w:rsid w:val="007F3050"/>
    <w:rsid w:val="007F539C"/>
    <w:rsid w:val="008020E5"/>
    <w:rsid w:val="00802BDA"/>
    <w:rsid w:val="00805009"/>
    <w:rsid w:val="00805D2E"/>
    <w:rsid w:val="00806025"/>
    <w:rsid w:val="0081079C"/>
    <w:rsid w:val="0081600F"/>
    <w:rsid w:val="00817ADD"/>
    <w:rsid w:val="00822AA0"/>
    <w:rsid w:val="00822CC6"/>
    <w:rsid w:val="008248B5"/>
    <w:rsid w:val="00825536"/>
    <w:rsid w:val="00825666"/>
    <w:rsid w:val="00825673"/>
    <w:rsid w:val="00826879"/>
    <w:rsid w:val="00837A64"/>
    <w:rsid w:val="00837A87"/>
    <w:rsid w:val="00837D0D"/>
    <w:rsid w:val="00840F7D"/>
    <w:rsid w:val="00843E03"/>
    <w:rsid w:val="008443E0"/>
    <w:rsid w:val="00844C2F"/>
    <w:rsid w:val="00851EE3"/>
    <w:rsid w:val="008602DB"/>
    <w:rsid w:val="00860323"/>
    <w:rsid w:val="00861758"/>
    <w:rsid w:val="00861A05"/>
    <w:rsid w:val="008640E3"/>
    <w:rsid w:val="00870940"/>
    <w:rsid w:val="00871E19"/>
    <w:rsid w:val="00874C14"/>
    <w:rsid w:val="00880CE3"/>
    <w:rsid w:val="0088267B"/>
    <w:rsid w:val="00884696"/>
    <w:rsid w:val="0088532E"/>
    <w:rsid w:val="00887209"/>
    <w:rsid w:val="00890C6C"/>
    <w:rsid w:val="00891874"/>
    <w:rsid w:val="008938B4"/>
    <w:rsid w:val="00895C38"/>
    <w:rsid w:val="0089645A"/>
    <w:rsid w:val="008A17D0"/>
    <w:rsid w:val="008A2C4D"/>
    <w:rsid w:val="008A3AC0"/>
    <w:rsid w:val="008A6279"/>
    <w:rsid w:val="008B07A2"/>
    <w:rsid w:val="008B09F9"/>
    <w:rsid w:val="008B0F57"/>
    <w:rsid w:val="008B3D7D"/>
    <w:rsid w:val="008B6267"/>
    <w:rsid w:val="008C3234"/>
    <w:rsid w:val="008C47F3"/>
    <w:rsid w:val="008C5C6C"/>
    <w:rsid w:val="008C6783"/>
    <w:rsid w:val="008C7F22"/>
    <w:rsid w:val="008D0164"/>
    <w:rsid w:val="008D271B"/>
    <w:rsid w:val="008D48B5"/>
    <w:rsid w:val="008D7767"/>
    <w:rsid w:val="008E0849"/>
    <w:rsid w:val="008E293C"/>
    <w:rsid w:val="008E3611"/>
    <w:rsid w:val="008F101B"/>
    <w:rsid w:val="008F1E48"/>
    <w:rsid w:val="00902F4D"/>
    <w:rsid w:val="009114DB"/>
    <w:rsid w:val="00912287"/>
    <w:rsid w:val="0091679C"/>
    <w:rsid w:val="009203F8"/>
    <w:rsid w:val="009241F8"/>
    <w:rsid w:val="00924668"/>
    <w:rsid w:val="009248EF"/>
    <w:rsid w:val="00926A98"/>
    <w:rsid w:val="00926D0D"/>
    <w:rsid w:val="00932A21"/>
    <w:rsid w:val="00935C89"/>
    <w:rsid w:val="00940BE0"/>
    <w:rsid w:val="00941B20"/>
    <w:rsid w:val="009436DE"/>
    <w:rsid w:val="00943A3B"/>
    <w:rsid w:val="00944AAB"/>
    <w:rsid w:val="0095041F"/>
    <w:rsid w:val="009516CB"/>
    <w:rsid w:val="0095336B"/>
    <w:rsid w:val="00953A5F"/>
    <w:rsid w:val="00957128"/>
    <w:rsid w:val="0095715C"/>
    <w:rsid w:val="00957AD3"/>
    <w:rsid w:val="00957EE5"/>
    <w:rsid w:val="00960BDE"/>
    <w:rsid w:val="00962507"/>
    <w:rsid w:val="00963AA7"/>
    <w:rsid w:val="00964A69"/>
    <w:rsid w:val="00966755"/>
    <w:rsid w:val="009670C1"/>
    <w:rsid w:val="009672E5"/>
    <w:rsid w:val="00971CFE"/>
    <w:rsid w:val="00973BDD"/>
    <w:rsid w:val="00976DBE"/>
    <w:rsid w:val="00977794"/>
    <w:rsid w:val="0098021F"/>
    <w:rsid w:val="00980FC7"/>
    <w:rsid w:val="0098196E"/>
    <w:rsid w:val="00984D56"/>
    <w:rsid w:val="00987843"/>
    <w:rsid w:val="00987D8E"/>
    <w:rsid w:val="0099015E"/>
    <w:rsid w:val="00992703"/>
    <w:rsid w:val="0099350E"/>
    <w:rsid w:val="009957C0"/>
    <w:rsid w:val="009A1361"/>
    <w:rsid w:val="009A1ABE"/>
    <w:rsid w:val="009A1CCA"/>
    <w:rsid w:val="009A1DA6"/>
    <w:rsid w:val="009A2F9F"/>
    <w:rsid w:val="009A7183"/>
    <w:rsid w:val="009B1BE9"/>
    <w:rsid w:val="009B1CEE"/>
    <w:rsid w:val="009C0155"/>
    <w:rsid w:val="009C22AB"/>
    <w:rsid w:val="009C7B91"/>
    <w:rsid w:val="009D14A9"/>
    <w:rsid w:val="009D16F9"/>
    <w:rsid w:val="009D27DB"/>
    <w:rsid w:val="009D5178"/>
    <w:rsid w:val="009E174C"/>
    <w:rsid w:val="009E1F4C"/>
    <w:rsid w:val="009E383E"/>
    <w:rsid w:val="009E38A9"/>
    <w:rsid w:val="009E788C"/>
    <w:rsid w:val="009F0B23"/>
    <w:rsid w:val="009F151F"/>
    <w:rsid w:val="009F448A"/>
    <w:rsid w:val="009F67AC"/>
    <w:rsid w:val="00A00787"/>
    <w:rsid w:val="00A0215D"/>
    <w:rsid w:val="00A03153"/>
    <w:rsid w:val="00A03ECF"/>
    <w:rsid w:val="00A0592F"/>
    <w:rsid w:val="00A05C31"/>
    <w:rsid w:val="00A12F22"/>
    <w:rsid w:val="00A130B3"/>
    <w:rsid w:val="00A133CF"/>
    <w:rsid w:val="00A145D8"/>
    <w:rsid w:val="00A20653"/>
    <w:rsid w:val="00A21DE9"/>
    <w:rsid w:val="00A22C3F"/>
    <w:rsid w:val="00A2305F"/>
    <w:rsid w:val="00A238DE"/>
    <w:rsid w:val="00A245CC"/>
    <w:rsid w:val="00A3001B"/>
    <w:rsid w:val="00A323D6"/>
    <w:rsid w:val="00A33382"/>
    <w:rsid w:val="00A339E0"/>
    <w:rsid w:val="00A33F1A"/>
    <w:rsid w:val="00A34E5F"/>
    <w:rsid w:val="00A35766"/>
    <w:rsid w:val="00A36B10"/>
    <w:rsid w:val="00A40251"/>
    <w:rsid w:val="00A42749"/>
    <w:rsid w:val="00A42C3F"/>
    <w:rsid w:val="00A461D7"/>
    <w:rsid w:val="00A46871"/>
    <w:rsid w:val="00A521D7"/>
    <w:rsid w:val="00A541DE"/>
    <w:rsid w:val="00A6083A"/>
    <w:rsid w:val="00A61DC8"/>
    <w:rsid w:val="00A63224"/>
    <w:rsid w:val="00A63871"/>
    <w:rsid w:val="00A661B0"/>
    <w:rsid w:val="00A66FF8"/>
    <w:rsid w:val="00A70558"/>
    <w:rsid w:val="00A71C3E"/>
    <w:rsid w:val="00A723A3"/>
    <w:rsid w:val="00A7283F"/>
    <w:rsid w:val="00A7292C"/>
    <w:rsid w:val="00A769C5"/>
    <w:rsid w:val="00A76B07"/>
    <w:rsid w:val="00A8195A"/>
    <w:rsid w:val="00A82091"/>
    <w:rsid w:val="00A85461"/>
    <w:rsid w:val="00A861DE"/>
    <w:rsid w:val="00A862CA"/>
    <w:rsid w:val="00A87856"/>
    <w:rsid w:val="00A9023A"/>
    <w:rsid w:val="00A906B0"/>
    <w:rsid w:val="00A90C91"/>
    <w:rsid w:val="00A918DA"/>
    <w:rsid w:val="00A94506"/>
    <w:rsid w:val="00A957BE"/>
    <w:rsid w:val="00A95B30"/>
    <w:rsid w:val="00A97100"/>
    <w:rsid w:val="00A97214"/>
    <w:rsid w:val="00AA2693"/>
    <w:rsid w:val="00AA4404"/>
    <w:rsid w:val="00AA6BEB"/>
    <w:rsid w:val="00AA7A83"/>
    <w:rsid w:val="00AB0D86"/>
    <w:rsid w:val="00AB7D98"/>
    <w:rsid w:val="00AC1304"/>
    <w:rsid w:val="00AC2C52"/>
    <w:rsid w:val="00AC32CE"/>
    <w:rsid w:val="00AC3339"/>
    <w:rsid w:val="00AC4055"/>
    <w:rsid w:val="00AC6544"/>
    <w:rsid w:val="00AC7742"/>
    <w:rsid w:val="00AD2EA1"/>
    <w:rsid w:val="00AD43D5"/>
    <w:rsid w:val="00AE2AEF"/>
    <w:rsid w:val="00AE5D1C"/>
    <w:rsid w:val="00AE6FA1"/>
    <w:rsid w:val="00AF1451"/>
    <w:rsid w:val="00AF2340"/>
    <w:rsid w:val="00AF64FF"/>
    <w:rsid w:val="00B00A2A"/>
    <w:rsid w:val="00B04664"/>
    <w:rsid w:val="00B078F4"/>
    <w:rsid w:val="00B07B45"/>
    <w:rsid w:val="00B100F4"/>
    <w:rsid w:val="00B1205F"/>
    <w:rsid w:val="00B14983"/>
    <w:rsid w:val="00B16E0C"/>
    <w:rsid w:val="00B2069C"/>
    <w:rsid w:val="00B23579"/>
    <w:rsid w:val="00B266B0"/>
    <w:rsid w:val="00B27801"/>
    <w:rsid w:val="00B307C1"/>
    <w:rsid w:val="00B34101"/>
    <w:rsid w:val="00B364E4"/>
    <w:rsid w:val="00B3650D"/>
    <w:rsid w:val="00B36855"/>
    <w:rsid w:val="00B37FB4"/>
    <w:rsid w:val="00B42E7D"/>
    <w:rsid w:val="00B437A1"/>
    <w:rsid w:val="00B442D8"/>
    <w:rsid w:val="00B45F8F"/>
    <w:rsid w:val="00B46184"/>
    <w:rsid w:val="00B50156"/>
    <w:rsid w:val="00B52D0C"/>
    <w:rsid w:val="00B534DA"/>
    <w:rsid w:val="00B55885"/>
    <w:rsid w:val="00B56D0E"/>
    <w:rsid w:val="00B57CFB"/>
    <w:rsid w:val="00B57D9C"/>
    <w:rsid w:val="00B57EBF"/>
    <w:rsid w:val="00B62484"/>
    <w:rsid w:val="00B67001"/>
    <w:rsid w:val="00B672A4"/>
    <w:rsid w:val="00B70509"/>
    <w:rsid w:val="00B71C7B"/>
    <w:rsid w:val="00B7564C"/>
    <w:rsid w:val="00B7745E"/>
    <w:rsid w:val="00B805A8"/>
    <w:rsid w:val="00B81BA8"/>
    <w:rsid w:val="00B83586"/>
    <w:rsid w:val="00B83636"/>
    <w:rsid w:val="00B84D4F"/>
    <w:rsid w:val="00B8546E"/>
    <w:rsid w:val="00B87825"/>
    <w:rsid w:val="00B93DC9"/>
    <w:rsid w:val="00B959DE"/>
    <w:rsid w:val="00B96075"/>
    <w:rsid w:val="00B96758"/>
    <w:rsid w:val="00BA1378"/>
    <w:rsid w:val="00BA4578"/>
    <w:rsid w:val="00BA6B41"/>
    <w:rsid w:val="00BB215D"/>
    <w:rsid w:val="00BB38DB"/>
    <w:rsid w:val="00BB44BD"/>
    <w:rsid w:val="00BB5DCC"/>
    <w:rsid w:val="00BB5F90"/>
    <w:rsid w:val="00BB60FD"/>
    <w:rsid w:val="00BC0108"/>
    <w:rsid w:val="00BC1CA5"/>
    <w:rsid w:val="00BC650A"/>
    <w:rsid w:val="00BC6B7B"/>
    <w:rsid w:val="00BD35C4"/>
    <w:rsid w:val="00BE319C"/>
    <w:rsid w:val="00BE51AB"/>
    <w:rsid w:val="00BE5CF0"/>
    <w:rsid w:val="00BE684B"/>
    <w:rsid w:val="00BE68AE"/>
    <w:rsid w:val="00BF0722"/>
    <w:rsid w:val="00BF14B0"/>
    <w:rsid w:val="00BF1E66"/>
    <w:rsid w:val="00BF307F"/>
    <w:rsid w:val="00BF5521"/>
    <w:rsid w:val="00BF6BDD"/>
    <w:rsid w:val="00BF746A"/>
    <w:rsid w:val="00BF77CF"/>
    <w:rsid w:val="00C03F05"/>
    <w:rsid w:val="00C11675"/>
    <w:rsid w:val="00C11B50"/>
    <w:rsid w:val="00C138C3"/>
    <w:rsid w:val="00C146B8"/>
    <w:rsid w:val="00C152CA"/>
    <w:rsid w:val="00C212C0"/>
    <w:rsid w:val="00C217DC"/>
    <w:rsid w:val="00C2184B"/>
    <w:rsid w:val="00C23312"/>
    <w:rsid w:val="00C24D6A"/>
    <w:rsid w:val="00C3157E"/>
    <w:rsid w:val="00C31679"/>
    <w:rsid w:val="00C329F6"/>
    <w:rsid w:val="00C32F1F"/>
    <w:rsid w:val="00C40021"/>
    <w:rsid w:val="00C41461"/>
    <w:rsid w:val="00C41E69"/>
    <w:rsid w:val="00C4501D"/>
    <w:rsid w:val="00C47533"/>
    <w:rsid w:val="00C51012"/>
    <w:rsid w:val="00C526A1"/>
    <w:rsid w:val="00C5322D"/>
    <w:rsid w:val="00C54182"/>
    <w:rsid w:val="00C561D9"/>
    <w:rsid w:val="00C57540"/>
    <w:rsid w:val="00C60D7D"/>
    <w:rsid w:val="00C6106C"/>
    <w:rsid w:val="00C6278F"/>
    <w:rsid w:val="00C63212"/>
    <w:rsid w:val="00C63482"/>
    <w:rsid w:val="00C63E35"/>
    <w:rsid w:val="00C64AAC"/>
    <w:rsid w:val="00C64BA1"/>
    <w:rsid w:val="00C67249"/>
    <w:rsid w:val="00C7382A"/>
    <w:rsid w:val="00C73AA1"/>
    <w:rsid w:val="00C762F2"/>
    <w:rsid w:val="00C772B9"/>
    <w:rsid w:val="00C77846"/>
    <w:rsid w:val="00C81112"/>
    <w:rsid w:val="00C91DE3"/>
    <w:rsid w:val="00C91E67"/>
    <w:rsid w:val="00C93CFA"/>
    <w:rsid w:val="00C9438D"/>
    <w:rsid w:val="00C94736"/>
    <w:rsid w:val="00C95098"/>
    <w:rsid w:val="00C96633"/>
    <w:rsid w:val="00C97848"/>
    <w:rsid w:val="00C97F9D"/>
    <w:rsid w:val="00CA13E4"/>
    <w:rsid w:val="00CA3259"/>
    <w:rsid w:val="00CA41F7"/>
    <w:rsid w:val="00CA5699"/>
    <w:rsid w:val="00CA6F84"/>
    <w:rsid w:val="00CB02F7"/>
    <w:rsid w:val="00CB0E11"/>
    <w:rsid w:val="00CB5171"/>
    <w:rsid w:val="00CC1A6E"/>
    <w:rsid w:val="00CC1A8E"/>
    <w:rsid w:val="00CC388F"/>
    <w:rsid w:val="00CC38A3"/>
    <w:rsid w:val="00CC38E3"/>
    <w:rsid w:val="00CC536B"/>
    <w:rsid w:val="00CD22E1"/>
    <w:rsid w:val="00CD7B51"/>
    <w:rsid w:val="00CE2137"/>
    <w:rsid w:val="00CE37E2"/>
    <w:rsid w:val="00CE437C"/>
    <w:rsid w:val="00CF1498"/>
    <w:rsid w:val="00CF14F3"/>
    <w:rsid w:val="00CF2A4A"/>
    <w:rsid w:val="00CF3F2D"/>
    <w:rsid w:val="00CF728C"/>
    <w:rsid w:val="00D0311E"/>
    <w:rsid w:val="00D05122"/>
    <w:rsid w:val="00D05A12"/>
    <w:rsid w:val="00D06E0C"/>
    <w:rsid w:val="00D11812"/>
    <w:rsid w:val="00D12750"/>
    <w:rsid w:val="00D13F79"/>
    <w:rsid w:val="00D2068D"/>
    <w:rsid w:val="00D21E91"/>
    <w:rsid w:val="00D23BF1"/>
    <w:rsid w:val="00D24D35"/>
    <w:rsid w:val="00D25A4B"/>
    <w:rsid w:val="00D3000D"/>
    <w:rsid w:val="00D30FFC"/>
    <w:rsid w:val="00D3135E"/>
    <w:rsid w:val="00D31B18"/>
    <w:rsid w:val="00D34721"/>
    <w:rsid w:val="00D42EBE"/>
    <w:rsid w:val="00D4570C"/>
    <w:rsid w:val="00D46D46"/>
    <w:rsid w:val="00D51007"/>
    <w:rsid w:val="00D51591"/>
    <w:rsid w:val="00D547CC"/>
    <w:rsid w:val="00D5748B"/>
    <w:rsid w:val="00D6163D"/>
    <w:rsid w:val="00D64710"/>
    <w:rsid w:val="00D66D7E"/>
    <w:rsid w:val="00D71778"/>
    <w:rsid w:val="00D75BE9"/>
    <w:rsid w:val="00D76E45"/>
    <w:rsid w:val="00D80A6F"/>
    <w:rsid w:val="00D80C20"/>
    <w:rsid w:val="00D80DF6"/>
    <w:rsid w:val="00D83A63"/>
    <w:rsid w:val="00D84472"/>
    <w:rsid w:val="00D855CF"/>
    <w:rsid w:val="00D86E64"/>
    <w:rsid w:val="00D8731A"/>
    <w:rsid w:val="00D902CC"/>
    <w:rsid w:val="00D92A0F"/>
    <w:rsid w:val="00D96448"/>
    <w:rsid w:val="00D9694D"/>
    <w:rsid w:val="00D97343"/>
    <w:rsid w:val="00D97589"/>
    <w:rsid w:val="00DA2409"/>
    <w:rsid w:val="00DA27E1"/>
    <w:rsid w:val="00DA2F7B"/>
    <w:rsid w:val="00DA3B64"/>
    <w:rsid w:val="00DA4964"/>
    <w:rsid w:val="00DA49A0"/>
    <w:rsid w:val="00DA5E27"/>
    <w:rsid w:val="00DA62D3"/>
    <w:rsid w:val="00DA79AB"/>
    <w:rsid w:val="00DB0738"/>
    <w:rsid w:val="00DB2934"/>
    <w:rsid w:val="00DB4422"/>
    <w:rsid w:val="00DB77CA"/>
    <w:rsid w:val="00DC0A94"/>
    <w:rsid w:val="00DC16F1"/>
    <w:rsid w:val="00DC1CBB"/>
    <w:rsid w:val="00DC2910"/>
    <w:rsid w:val="00DC2B63"/>
    <w:rsid w:val="00DC5423"/>
    <w:rsid w:val="00DC6DCE"/>
    <w:rsid w:val="00DD2A2A"/>
    <w:rsid w:val="00DD7AA1"/>
    <w:rsid w:val="00DE0E10"/>
    <w:rsid w:val="00DE2B4C"/>
    <w:rsid w:val="00DE4E61"/>
    <w:rsid w:val="00DE6076"/>
    <w:rsid w:val="00DE6D62"/>
    <w:rsid w:val="00DE7373"/>
    <w:rsid w:val="00DF1078"/>
    <w:rsid w:val="00DF3075"/>
    <w:rsid w:val="00DF55C8"/>
    <w:rsid w:val="00DF665A"/>
    <w:rsid w:val="00E00127"/>
    <w:rsid w:val="00E03DF9"/>
    <w:rsid w:val="00E10A41"/>
    <w:rsid w:val="00E151A3"/>
    <w:rsid w:val="00E21007"/>
    <w:rsid w:val="00E21AF0"/>
    <w:rsid w:val="00E21C54"/>
    <w:rsid w:val="00E21C75"/>
    <w:rsid w:val="00E234FA"/>
    <w:rsid w:val="00E24AEF"/>
    <w:rsid w:val="00E24C18"/>
    <w:rsid w:val="00E26D6A"/>
    <w:rsid w:val="00E2704D"/>
    <w:rsid w:val="00E274C3"/>
    <w:rsid w:val="00E32A48"/>
    <w:rsid w:val="00E32D57"/>
    <w:rsid w:val="00E344A9"/>
    <w:rsid w:val="00E35880"/>
    <w:rsid w:val="00E35DD5"/>
    <w:rsid w:val="00E36914"/>
    <w:rsid w:val="00E37952"/>
    <w:rsid w:val="00E43FEF"/>
    <w:rsid w:val="00E454AA"/>
    <w:rsid w:val="00E46B5C"/>
    <w:rsid w:val="00E47FE7"/>
    <w:rsid w:val="00E5022E"/>
    <w:rsid w:val="00E56316"/>
    <w:rsid w:val="00E601E8"/>
    <w:rsid w:val="00E625FA"/>
    <w:rsid w:val="00E6271F"/>
    <w:rsid w:val="00E63428"/>
    <w:rsid w:val="00E63BFA"/>
    <w:rsid w:val="00E651CF"/>
    <w:rsid w:val="00E6684E"/>
    <w:rsid w:val="00E6685B"/>
    <w:rsid w:val="00E71B23"/>
    <w:rsid w:val="00E73017"/>
    <w:rsid w:val="00E737BD"/>
    <w:rsid w:val="00E7401A"/>
    <w:rsid w:val="00E75374"/>
    <w:rsid w:val="00E774D6"/>
    <w:rsid w:val="00E778B1"/>
    <w:rsid w:val="00E80EFD"/>
    <w:rsid w:val="00E821B8"/>
    <w:rsid w:val="00E902B8"/>
    <w:rsid w:val="00E94E52"/>
    <w:rsid w:val="00E94FDA"/>
    <w:rsid w:val="00EA11B5"/>
    <w:rsid w:val="00EA29FC"/>
    <w:rsid w:val="00EA68CD"/>
    <w:rsid w:val="00EA728F"/>
    <w:rsid w:val="00EB308C"/>
    <w:rsid w:val="00EB427E"/>
    <w:rsid w:val="00EC1D4C"/>
    <w:rsid w:val="00EC3660"/>
    <w:rsid w:val="00EC6625"/>
    <w:rsid w:val="00EC7898"/>
    <w:rsid w:val="00ED40C0"/>
    <w:rsid w:val="00ED7B02"/>
    <w:rsid w:val="00EE029E"/>
    <w:rsid w:val="00EE164A"/>
    <w:rsid w:val="00EE37C5"/>
    <w:rsid w:val="00EE417A"/>
    <w:rsid w:val="00EE56FB"/>
    <w:rsid w:val="00EE7CEB"/>
    <w:rsid w:val="00EF16D5"/>
    <w:rsid w:val="00EF3EE8"/>
    <w:rsid w:val="00EF6DD7"/>
    <w:rsid w:val="00F014EE"/>
    <w:rsid w:val="00F02816"/>
    <w:rsid w:val="00F029FB"/>
    <w:rsid w:val="00F0361C"/>
    <w:rsid w:val="00F03C4D"/>
    <w:rsid w:val="00F05A27"/>
    <w:rsid w:val="00F05F23"/>
    <w:rsid w:val="00F06479"/>
    <w:rsid w:val="00F07439"/>
    <w:rsid w:val="00F1120F"/>
    <w:rsid w:val="00F114DC"/>
    <w:rsid w:val="00F125FF"/>
    <w:rsid w:val="00F127FD"/>
    <w:rsid w:val="00F13C7C"/>
    <w:rsid w:val="00F13D85"/>
    <w:rsid w:val="00F140F3"/>
    <w:rsid w:val="00F159DE"/>
    <w:rsid w:val="00F1618F"/>
    <w:rsid w:val="00F16F99"/>
    <w:rsid w:val="00F2081C"/>
    <w:rsid w:val="00F210AF"/>
    <w:rsid w:val="00F213BB"/>
    <w:rsid w:val="00F21C13"/>
    <w:rsid w:val="00F25C4C"/>
    <w:rsid w:val="00F274CF"/>
    <w:rsid w:val="00F33068"/>
    <w:rsid w:val="00F34809"/>
    <w:rsid w:val="00F359CE"/>
    <w:rsid w:val="00F43147"/>
    <w:rsid w:val="00F43455"/>
    <w:rsid w:val="00F60383"/>
    <w:rsid w:val="00F7038A"/>
    <w:rsid w:val="00F721EF"/>
    <w:rsid w:val="00F75AB4"/>
    <w:rsid w:val="00F7669F"/>
    <w:rsid w:val="00F80C2C"/>
    <w:rsid w:val="00F82438"/>
    <w:rsid w:val="00F826B4"/>
    <w:rsid w:val="00F84062"/>
    <w:rsid w:val="00F84D73"/>
    <w:rsid w:val="00F86407"/>
    <w:rsid w:val="00F86D48"/>
    <w:rsid w:val="00F9072A"/>
    <w:rsid w:val="00F90B6C"/>
    <w:rsid w:val="00F91B46"/>
    <w:rsid w:val="00F927FE"/>
    <w:rsid w:val="00F937CD"/>
    <w:rsid w:val="00F94BEF"/>
    <w:rsid w:val="00F97474"/>
    <w:rsid w:val="00FA1203"/>
    <w:rsid w:val="00FA1998"/>
    <w:rsid w:val="00FA5BAD"/>
    <w:rsid w:val="00FA6188"/>
    <w:rsid w:val="00FA6F36"/>
    <w:rsid w:val="00FA717F"/>
    <w:rsid w:val="00FB4C09"/>
    <w:rsid w:val="00FC14D7"/>
    <w:rsid w:val="00FC3174"/>
    <w:rsid w:val="00FC3BE6"/>
    <w:rsid w:val="00FC441E"/>
    <w:rsid w:val="00FC46EF"/>
    <w:rsid w:val="00FC4C6A"/>
    <w:rsid w:val="00FC78E9"/>
    <w:rsid w:val="00FD1E28"/>
    <w:rsid w:val="00FD2DCB"/>
    <w:rsid w:val="00FD5419"/>
    <w:rsid w:val="00FD5B21"/>
    <w:rsid w:val="00FD75FC"/>
    <w:rsid w:val="00FE0941"/>
    <w:rsid w:val="00FE353A"/>
    <w:rsid w:val="00FE50C7"/>
    <w:rsid w:val="00FF3B67"/>
    <w:rsid w:val="00FF3C8F"/>
    <w:rsid w:val="00FF5294"/>
    <w:rsid w:val="00FF55B2"/>
    <w:rsid w:val="00FF56A5"/>
    <w:rsid w:val="00FF6DA8"/>
    <w:rsid w:val="17D038DF"/>
    <w:rsid w:val="196C0940"/>
    <w:rsid w:val="30B8EB71"/>
    <w:rsid w:val="359F7A47"/>
    <w:rsid w:val="45125600"/>
    <w:rsid w:val="5D1D8B7B"/>
    <w:rsid w:val="6AE08EDD"/>
    <w:rsid w:val="6FE0CBB5"/>
    <w:rsid w:val="7131B97E"/>
    <w:rsid w:val="73A6BA07"/>
    <w:rsid w:val="762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4116A"/>
  <w15:docId w15:val="{CA0AD78C-90CB-4466-AFD9-585E924E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verflowPunct/>
      <w:jc w:val="center"/>
      <w:textAlignment w:val="auto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verflowPunct/>
      <w:spacing w:before="240" w:after="12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verflowPunct/>
      <w:spacing w:before="240" w:after="120"/>
      <w:textAlignment w:val="auto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enter" w:pos="4536"/>
      </w:tabs>
      <w:spacing w:before="240" w:after="120"/>
      <w:outlineLvl w:val="3"/>
    </w:pPr>
    <w:rPr>
      <w:rFonts w:ascii="Arial" w:hAnsi="Arial" w:cs="Arial"/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240" w:after="120"/>
      <w:ind w:left="0" w:firstLine="0"/>
      <w:outlineLvl w:val="4"/>
    </w:pPr>
    <w:rPr>
      <w:rFonts w:ascii="Arial" w:hAnsi="Arial" w:cs="Arial"/>
      <w:b/>
      <w:bCs/>
      <w:i/>
      <w:iCs/>
      <w:sz w:val="24"/>
    </w:rPr>
  </w:style>
  <w:style w:type="paragraph" w:styleId="Nadpis6">
    <w:name w:val="heading 6"/>
    <w:basedOn w:val="Normln"/>
    <w:next w:val="Normln"/>
    <w:qFormat/>
    <w:pPr>
      <w:keepNext/>
      <w:pageBreakBefore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verflowPunct/>
      <w:spacing w:before="3360"/>
      <w:jc w:val="center"/>
      <w:textAlignment w:val="auto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verflowPunct/>
      <w:spacing w:after="960"/>
      <w:jc w:val="center"/>
      <w:textAlignment w:val="auto"/>
      <w:outlineLvl w:val="8"/>
    </w:pPr>
    <w:rPr>
      <w:rFonts w:ascii="Arial" w:hAnsi="Arial" w:cs="Arial"/>
      <w:b/>
      <w:bCs/>
      <w:color w:val="0D3D84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680"/>
      <w:jc w:val="center"/>
    </w:pPr>
    <w:rPr>
      <w:b/>
      <w:bCs/>
      <w:sz w:val="3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bsah1">
    <w:name w:val="toc 1"/>
    <w:basedOn w:val="Normln"/>
    <w:next w:val="Normln"/>
    <w:autoRedefine/>
    <w:uiPriority w:val="39"/>
    <w:rsid w:val="00DA79AB"/>
    <w:pPr>
      <w:tabs>
        <w:tab w:val="left" w:pos="426"/>
        <w:tab w:val="right" w:leader="dot" w:pos="9487"/>
      </w:tabs>
      <w:spacing w:before="120" w:after="120"/>
    </w:pPr>
    <w:rPr>
      <w:b/>
      <w:bCs/>
      <w:caps/>
      <w:szCs w:val="24"/>
    </w:rPr>
  </w:style>
  <w:style w:type="paragraph" w:styleId="Obsah2">
    <w:name w:val="toc 2"/>
    <w:basedOn w:val="Normln"/>
    <w:next w:val="Normln"/>
    <w:autoRedefine/>
    <w:uiPriority w:val="39"/>
    <w:rsid w:val="00941B20"/>
    <w:pPr>
      <w:tabs>
        <w:tab w:val="left" w:pos="1276"/>
        <w:tab w:val="right" w:leader="dot" w:pos="9498"/>
      </w:tabs>
      <w:ind w:left="567"/>
    </w:pPr>
    <w:rPr>
      <w:smallCaps/>
      <w:szCs w:val="24"/>
    </w:rPr>
  </w:style>
  <w:style w:type="paragraph" w:styleId="Obsah3">
    <w:name w:val="toc 3"/>
    <w:basedOn w:val="Normln"/>
    <w:next w:val="Normln"/>
    <w:autoRedefine/>
    <w:uiPriority w:val="39"/>
    <w:rsid w:val="00941B20"/>
    <w:pPr>
      <w:tabs>
        <w:tab w:val="left" w:leader="dot" w:pos="1400"/>
        <w:tab w:val="right" w:leader="dot" w:pos="9498"/>
      </w:tabs>
      <w:ind w:left="1395" w:hanging="828"/>
      <w:jc w:val="both"/>
    </w:pPr>
    <w:rPr>
      <w:noProof/>
      <w:spacing w:val="10"/>
      <w:szCs w:val="24"/>
    </w:rPr>
  </w:style>
  <w:style w:type="paragraph" w:styleId="Obsah4">
    <w:name w:val="toc 4"/>
    <w:basedOn w:val="Normln"/>
    <w:next w:val="Normln"/>
    <w:autoRedefine/>
    <w:semiHidden/>
    <w:pPr>
      <w:ind w:left="600"/>
    </w:pPr>
    <w:rPr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kladntextodsazen">
    <w:name w:val="Body Text Indent"/>
    <w:basedOn w:val="Normln"/>
    <w:semiHidden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 w:cs="Arial"/>
      <w:sz w:val="22"/>
      <w:szCs w:val="24"/>
    </w:rPr>
  </w:style>
  <w:style w:type="paragraph" w:customStyle="1" w:styleId="dka">
    <w:name w:val="Řádka"/>
    <w:basedOn w:val="Normln"/>
    <w:pPr>
      <w:tabs>
        <w:tab w:val="left" w:pos="851"/>
      </w:tabs>
      <w:overflowPunct/>
      <w:autoSpaceDE/>
      <w:autoSpaceDN/>
      <w:adjustRightInd/>
      <w:spacing w:before="60" w:after="60"/>
      <w:jc w:val="both"/>
      <w:textAlignment w:val="auto"/>
    </w:pPr>
    <w:rPr>
      <w:rFonts w:ascii="Arial" w:hAnsi="Arial"/>
      <w:kern w:val="24"/>
      <w:sz w:val="24"/>
    </w:rPr>
  </w:style>
  <w:style w:type="character" w:styleId="Znakapoznpodarou">
    <w:name w:val="footnote reference"/>
    <w:uiPriority w:val="99"/>
    <w:semiHidden/>
    <w:rPr>
      <w:sz w:val="20"/>
      <w:vertAlign w:val="superscript"/>
    </w:rPr>
  </w:style>
  <w:style w:type="paragraph" w:customStyle="1" w:styleId="normln0">
    <w:name w:val="normální"/>
    <w:basedOn w:val="Normln"/>
    <w:pPr>
      <w:tabs>
        <w:tab w:val="left" w:pos="0"/>
      </w:tabs>
      <w:spacing w:line="360" w:lineRule="auto"/>
      <w:jc w:val="both"/>
    </w:pPr>
    <w:rPr>
      <w:rFonts w:ascii="Arial" w:hAnsi="Arial"/>
      <w:bCs/>
      <w:sz w:val="24"/>
    </w:rPr>
  </w:style>
  <w:style w:type="paragraph" w:styleId="Textpoznpodarou">
    <w:name w:val="footnote text"/>
    <w:basedOn w:val="Normln"/>
    <w:link w:val="TextpoznpodarouChar"/>
    <w:uiPriority w:val="99"/>
    <w:pPr>
      <w:overflowPunct/>
      <w:autoSpaceDE/>
      <w:autoSpaceDN/>
      <w:adjustRightInd/>
      <w:spacing w:before="120"/>
      <w:jc w:val="both"/>
      <w:textAlignment w:val="auto"/>
    </w:pPr>
    <w:rPr>
      <w:rFonts w:ascii="Tms Rmn" w:hAnsi="Tms Rmn"/>
      <w:sz w:val="22"/>
      <w:lang w:val="x-none" w:eastAsia="x-none"/>
    </w:rPr>
  </w:style>
  <w:style w:type="paragraph" w:styleId="Zkladntextodsazen3">
    <w:name w:val="Body Text Indent 3"/>
    <w:basedOn w:val="Normln"/>
    <w:semiHidden/>
    <w:pPr>
      <w:overflowPunct/>
      <w:autoSpaceDE/>
      <w:autoSpaceDN/>
      <w:adjustRightInd/>
      <w:spacing w:before="120"/>
      <w:ind w:left="360"/>
      <w:jc w:val="both"/>
      <w:textAlignment w:val="auto"/>
    </w:pPr>
    <w:rPr>
      <w:rFonts w:ascii="Arial" w:hAnsi="Arial"/>
      <w:sz w:val="22"/>
      <w:szCs w:val="24"/>
    </w:rPr>
  </w:style>
  <w:style w:type="paragraph" w:customStyle="1" w:styleId="odrtecka">
    <w:name w:val="odr_tecka"/>
    <w:basedOn w:val="Normln"/>
    <w:pPr>
      <w:numPr>
        <w:numId w:val="5"/>
      </w:numPr>
      <w:tabs>
        <w:tab w:val="left" w:pos="709"/>
      </w:tabs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szCs w:val="24"/>
    </w:rPr>
  </w:style>
  <w:style w:type="paragraph" w:styleId="Normlnweb">
    <w:name w:val="Normal (Web)"/>
    <w:basedOn w:val="Normln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3">
    <w:name w:val="Body Text 3"/>
    <w:basedOn w:val="Normln"/>
    <w:link w:val="Zkladntext3Char"/>
    <w:semiHidden/>
    <w:pPr>
      <w:overflowPunct/>
      <w:autoSpaceDE/>
      <w:autoSpaceDN/>
      <w:adjustRightInd/>
      <w:textAlignment w:val="auto"/>
    </w:pPr>
    <w:rPr>
      <w:rFonts w:ascii="Arial" w:hAnsi="Arial"/>
      <w:sz w:val="22"/>
      <w:szCs w:val="24"/>
      <w:lang w:val="x-none" w:eastAsia="x-none"/>
    </w:rPr>
  </w:style>
  <w:style w:type="paragraph" w:styleId="Zkladntext">
    <w:name w:val="Body Text"/>
    <w:basedOn w:val="Normln"/>
    <w:semiHidden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customStyle="1" w:styleId="odsaz1">
    <w:name w:val="odsaz1"/>
    <w:basedOn w:val="Normln"/>
    <w:pPr>
      <w:overflowPunct/>
      <w:autoSpaceDE/>
      <w:autoSpaceDN/>
      <w:adjustRightInd/>
      <w:spacing w:before="60"/>
      <w:textAlignment w:val="auto"/>
    </w:pPr>
    <w:rPr>
      <w:sz w:val="24"/>
    </w:rPr>
  </w:style>
  <w:style w:type="paragraph" w:customStyle="1" w:styleId="rovenadpisu1">
    <w:name w:val="úroveň nadpisu 1"/>
    <w:basedOn w:val="Normln"/>
    <w:pPr>
      <w:keepNext/>
      <w:overflowPunct/>
      <w:autoSpaceDE/>
      <w:autoSpaceDN/>
      <w:adjustRightInd/>
      <w:spacing w:before="240" w:line="360" w:lineRule="auto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rovenadpisu2">
    <w:name w:val="úroveň nadpisu 2"/>
    <w:basedOn w:val="Zkladntextodsazen"/>
    <w:pPr>
      <w:keepNext/>
      <w:spacing w:line="360" w:lineRule="auto"/>
    </w:pPr>
    <w:rPr>
      <w:b/>
      <w:bCs/>
      <w:sz w:val="24"/>
    </w:rPr>
  </w:style>
  <w:style w:type="paragraph" w:customStyle="1" w:styleId="rovenadpisu3">
    <w:name w:val="úroveň nadpisu 3"/>
    <w:basedOn w:val="rovenadpisu2"/>
    <w:pPr>
      <w:tabs>
        <w:tab w:val="num" w:pos="720"/>
      </w:tabs>
    </w:pPr>
    <w:rPr>
      <w:bCs w:val="0"/>
    </w:rPr>
  </w:style>
  <w:style w:type="character" w:styleId="Siln">
    <w:name w:val="Strong"/>
    <w:uiPriority w:val="22"/>
    <w:qFormat/>
    <w:rPr>
      <w:b/>
      <w:bCs/>
    </w:rPr>
  </w:style>
  <w:style w:type="character" w:styleId="Odkaznakoment">
    <w:name w:val="annotation reference"/>
    <w:uiPriority w:val="99"/>
    <w:semiHidden/>
    <w:unhideWhenUsed/>
    <w:rsid w:val="00CF2A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2A4A"/>
  </w:style>
  <w:style w:type="character" w:customStyle="1" w:styleId="TextkomenteChar">
    <w:name w:val="Text komentáře Char"/>
    <w:basedOn w:val="Standardnpsmoodstavce"/>
    <w:link w:val="Textkomente"/>
    <w:uiPriority w:val="99"/>
    <w:rsid w:val="00CF2A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A4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CF2A4A"/>
    <w:rPr>
      <w:b/>
      <w:bCs/>
    </w:rPr>
  </w:style>
  <w:style w:type="character" w:customStyle="1" w:styleId="TextpoznpodarouChar">
    <w:name w:val="Text pozn. pod čarou Char"/>
    <w:link w:val="Textpoznpodarou"/>
    <w:uiPriority w:val="99"/>
    <w:rsid w:val="00CF2A4A"/>
    <w:rPr>
      <w:rFonts w:ascii="Tms Rmn" w:hAnsi="Tms Rmn"/>
      <w:sz w:val="22"/>
    </w:rPr>
  </w:style>
  <w:style w:type="paragraph" w:styleId="Revize">
    <w:name w:val="Revision"/>
    <w:hidden/>
    <w:uiPriority w:val="99"/>
    <w:semiHidden/>
    <w:rsid w:val="00B3650D"/>
  </w:style>
  <w:style w:type="paragraph" w:styleId="Odstavecseseznamem">
    <w:name w:val="List Paragraph"/>
    <w:basedOn w:val="Normln"/>
    <w:uiPriority w:val="34"/>
    <w:qFormat/>
    <w:rsid w:val="00A3001B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A3001B"/>
    <w:pPr>
      <w:overflowPunct/>
      <w:textAlignment w:val="auto"/>
    </w:pPr>
    <w:rPr>
      <w:rFonts w:ascii="EUAlbertina" w:hAnsi="EUAlbertina"/>
      <w:sz w:val="24"/>
      <w:szCs w:val="24"/>
    </w:rPr>
  </w:style>
  <w:style w:type="character" w:customStyle="1" w:styleId="Zkladntext3Char">
    <w:name w:val="Základní text 3 Char"/>
    <w:link w:val="Zkladntext3"/>
    <w:semiHidden/>
    <w:rsid w:val="000A0636"/>
    <w:rPr>
      <w:rFonts w:ascii="Arial" w:hAnsi="Arial" w:cs="Arial"/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2091"/>
  </w:style>
  <w:style w:type="character" w:styleId="Sledovanodkaz">
    <w:name w:val="FollowedHyperlink"/>
    <w:basedOn w:val="Standardnpsmoodstavce"/>
    <w:uiPriority w:val="99"/>
    <w:semiHidden/>
    <w:unhideWhenUsed/>
    <w:rsid w:val="00A90C91"/>
    <w:rPr>
      <w:color w:val="954F72" w:themeColor="followedHyperlink"/>
      <w:u w:val="single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9F448A"/>
    <w:pPr>
      <w:keepLines/>
      <w:pBdr>
        <w:top w:val="single" w:sz="4" w:space="10" w:color="000000" w:themeColor="text1"/>
        <w:bottom w:val="single" w:sz="4" w:space="10" w:color="000000" w:themeColor="text1"/>
      </w:pBdr>
      <w:overflowPunct/>
      <w:autoSpaceDE/>
      <w:autoSpaceDN/>
      <w:adjustRightInd/>
      <w:spacing w:before="240" w:after="240" w:line="293" w:lineRule="auto"/>
      <w:ind w:left="357" w:right="357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9F448A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rb.cz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b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C584-368C-4797-AD2A-C1BD8D80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B3615DCC.dotm</Template>
  <TotalTime>3</TotalTime>
  <Pages>10</Pages>
  <Words>1859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Záruka OPPI, Výzva III</vt:lpstr>
    </vt:vector>
  </TitlesOfParts>
  <Company>Česká národní banka</Company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Záruka OPPI, Výzva III</dc:title>
  <dc:creator>Hříbek Ivo</dc:creator>
  <cp:lastModifiedBy>Karásková Dana</cp:lastModifiedBy>
  <cp:revision>5</cp:revision>
  <cp:lastPrinted>2021-01-12T08:29:00Z</cp:lastPrinted>
  <dcterms:created xsi:type="dcterms:W3CDTF">2022-12-20T11:38:00Z</dcterms:created>
  <dcterms:modified xsi:type="dcterms:W3CDTF">2023-01-05T09:27:00Z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