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D3" w:rsidRPr="009357D3" w:rsidRDefault="009357D3" w:rsidP="009357D3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</w:pP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Výzva k předkládání žádostí na pozici </w:t>
      </w:r>
      <w:bookmarkStart w:id="0" w:name="_Hlk76022915"/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koordinátora/ koordinátorky </w:t>
      </w:r>
      <w:r w:rsidR="008E3E0F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2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BCO pro 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agendu </w:t>
      </w:r>
      <w:r w:rsidR="006832BE" w:rsidRPr="006832BE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socioekonomických aktérů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v rámci OP PIK</w:t>
      </w:r>
      <w:bookmarkEnd w:id="0"/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Pr="009357D3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Ministerstvo průmyslu a obchodu v rámci Operačního programu Podnikání a inovace pro konkurenceschopnost 2014-2020 (dále jen „OP PIK“) vyhlašuje </w:t>
      </w:r>
      <w:r w:rsidRPr="00D83DBD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dne </w:t>
      </w:r>
      <w:r w:rsidR="000C5EEB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1. září</w:t>
      </w:r>
      <w:r w:rsidR="008076DE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r w:rsidRPr="00D83DBD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2021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na 1</w:t>
      </w:r>
      <w:r w:rsidR="00ED7D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5</w:t>
      </w:r>
      <w:bookmarkStart w:id="1" w:name="_GoBack"/>
      <w:bookmarkEnd w:id="1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 kalendářních dnů výběrové řízení na pozici koordinátora/ koordinátorky </w:t>
      </w:r>
      <w:r w:rsidR="008E3E0F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2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Broadband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Competence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Office Česká Republika (dále jen BCO) pro 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agendu </w:t>
      </w:r>
      <w:r w:rsidR="006832BE" w:rsidRPr="006832BE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socioekonomických aktérů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.</w:t>
      </w:r>
    </w:p>
    <w:p w:rsidR="009357D3" w:rsidRPr="009357D3" w:rsidRDefault="009357D3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br/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Motivační dopis se strukturovaným životopisem lze podat písemně prostřednictvím provozovatele poštovních služeb na adresu služebního úřadu Ministerstvo průmyslu a obchodu, Na Františku 32, 110 15 Praha 1 nebo osobně podané na podatelnu služebního úřadu na výše uvedené adrese s dodáním nejpozději </w:t>
      </w:r>
      <w:r w:rsidR="00BD50C3" w:rsidRPr="00D83DBD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1</w:t>
      </w:r>
      <w:r w:rsidR="000C5EE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6</w:t>
      </w:r>
      <w:r w:rsidR="00BD50C3" w:rsidRPr="00D83DBD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. </w:t>
      </w:r>
      <w:r w:rsidR="008076D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září</w:t>
      </w:r>
      <w:r w:rsidR="00BD50C3" w:rsidRPr="00D83DBD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D83DBD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2021.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Motivační dopis se strukturovaným životopisem lze podat ve stejné lhůtě rovněž v elektronické podobě, a to podepsanou uznávaným elektronickým podpisem na adresu elektronické pošty kavi@mpo.cz a současně na adresu pirochova@mpo.cz nebo prostřednictvím datové schránky (ID datové schránky: bxtaaw4).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Obálka, resp. datová zpráva, obsahující žádost včetně požadovaných listin (příloh) musí být označena slovy: „Neotvírat“ a slovy „Výběrové řízení na pozici 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8E3E0F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</w:t>
      </w:r>
      <w:r w:rsidR="006832BE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socioekonomických aktérů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- 71630“. Elektronická žádost zaslaná na</w:t>
      </w:r>
      <w:r w:rsidR="00BD50C3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uvedenou adresu elektronické pošty bude obsahovat označení slovy „</w:t>
      </w:r>
      <w:r w:rsidR="0014087A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V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ýběrové řízení na pozici 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</w:t>
      </w:r>
      <w:r w:rsidR="006832BE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socioekonomických aktérů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“ v předmětu zprávy.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Náplň činnosti na uvedené pozici obsahuje zejména:</w:t>
      </w:r>
    </w:p>
    <w:p w:rsidR="00B72F1B" w:rsidRPr="00B72F1B" w:rsidRDefault="00B72F1B" w:rsidP="00B72F1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příprava odborných stanovisek a analýz pro agendu socioekonomických aktérů, případně koordinace této činnosti zadané externím specialistům;</w:t>
      </w:r>
    </w:p>
    <w:p w:rsidR="00B72F1B" w:rsidRPr="00B72F1B" w:rsidRDefault="00B72F1B" w:rsidP="00B72F1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>příprava podkladů pro jednání se socioekonomickými aktéry ve vazbě na státní správu a samosprávu, asociace obcí, měst a krajů, případně asociacemi sektoru elektronických komunikací;</w:t>
      </w:r>
    </w:p>
    <w:p w:rsidR="0014087A" w:rsidRPr="0014087A" w:rsidRDefault="00B72F1B" w:rsidP="00B72F1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podpora realizace projektů starostů pro žádosti o dotaci</w:t>
      </w: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.</w:t>
      </w:r>
    </w:p>
    <w:p w:rsidR="009357D3" w:rsidRDefault="0014087A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</w:t>
      </w:r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oordinátor/</w:t>
      </w:r>
      <w:proofErr w:type="spellStart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bude pro svou práci vybaven/a služebním notebookem s kancelářským balíkem softwaru a služebním mobilem s datovým přenosem.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ředpokládají se pracovní cesty tuzemské i zahraniční</w:t>
      </w:r>
      <w:r w:rsidR="00BD50C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 vlastní motorové vozidlo je výhodou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. </w:t>
      </w:r>
    </w:p>
    <w:p w:rsidR="00BD50C3" w:rsidRPr="009357D3" w:rsidRDefault="00BD50C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 xml:space="preserve"> o uvedenou pozici musí splňovat tyto požadavky: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státní občanství České republiky, popřípadě cizí státní občanství (např. občanství jiného členského státu Evropské unie nebo státu, který je smluvním státem Dohody o Evropském hospodářském prostoru), přičemž má v České republice trvalý pobyt;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bezúhonnost (dokládá se při podpisu Dohody o pracovní činnosti, a to výpisem z trestního rejstříku ne starším 3 měsíce);</w:t>
      </w:r>
    </w:p>
    <w:p w:rsidR="009357D3" w:rsidRPr="00F051FE" w:rsidRDefault="00F051FE" w:rsidP="0019695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vysokoškolské vzdělání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je výhodou</w:t>
      </w: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Default="006832BE" w:rsidP="004E6A4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znalosti fungování samosprávy, základní znalosti telekomunikačního trhu, projektového řízení, vč. přípravy smluvní dokumentace</w:t>
      </w:r>
      <w:r w:rsidR="009357D3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(prokáže se při pohovoru)</w:t>
      </w: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Pr="006832BE" w:rsidRDefault="00B72F1B" w:rsidP="004E6A4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velmi dobrá orientace v oblasti práce s počítačem (programy Office)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(prokáže se při pohovoru)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Default="00B72F1B" w:rsidP="006832B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analytické myšlení a hledání řešení je podmínkou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(prokáže se při pohovoru)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9357D3" w:rsidRPr="006832BE" w:rsidRDefault="006832BE" w:rsidP="000446B6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předložení formuláře strukturovaného životopisu, který je součástí této výzvy, a motivačního dopisu.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Posouzení předložených žádostí, znalostí a zkušeností uchazečů bude provedeno komisionálně a vybranému uchazeči/vybrané uchazečce bude předložen návrh na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uzavření Dohody o pracovní činnosti na rok 2021 (max. ½ běžné pracovní doby v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rozsahu zbývajícím do konce kalendářního roku 2021).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podáním žádosti stvrzuje, že si není vědom/a osobních ani profesních vazeb, které by při výkonu výše uvedené pracovní činnosti znamenaly střet zájmů.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Zasláním žádosti uděluje 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souhlas se zpracováním poskytnutých osobních údajů ve smyslu zákona č. 110/2019 Sb., o zpracování osobních údajů, pro účely příslušného výběrového řízení.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br/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>Příloha 1: Strukturovaný životopis</w:t>
      </w:r>
    </w:p>
    <w:p w:rsidR="009357D3" w:rsidRPr="009357D3" w:rsidRDefault="009357D3" w:rsidP="009357D3">
      <w:pPr>
        <w:spacing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hd w:val="clear" w:color="auto" w:fill="F3F3F3"/>
        <w:spacing w:after="0" w:line="240" w:lineRule="auto"/>
        <w:outlineLvl w:val="2"/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</w:pPr>
      <w:r w:rsidRPr="009357D3"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  <w:t>Přílohy ke stažení</w:t>
      </w:r>
    </w:p>
    <w:p w:rsidR="009357D3" w:rsidRPr="009357D3" w:rsidRDefault="00ED7DD3" w:rsidP="009357D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hyperlink r:id="rId7" w:history="1">
        <w:r w:rsidR="009357D3" w:rsidRPr="009357D3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  <w:lang w:eastAsia="cs-CZ"/>
          </w:rPr>
          <w:t>Strukturovaný životopis BCO</w:t>
        </w:r>
      </w:hyperlink>
      <w:r w:rsidR="009357D3"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t xml:space="preserve"> </w:t>
      </w:r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[</w:t>
      </w:r>
      <w:proofErr w:type="spellStart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docx</w:t>
      </w:r>
      <w:proofErr w:type="spellEnd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, 80 kB]</w:t>
      </w:r>
    </w:p>
    <w:p w:rsidR="00713948" w:rsidRPr="00605759" w:rsidRDefault="00713948" w:rsidP="00605759"/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D3" w:rsidRDefault="009357D3" w:rsidP="00677FE0">
      <w:pPr>
        <w:spacing w:after="0" w:line="240" w:lineRule="auto"/>
      </w:pPr>
      <w:r>
        <w:separator/>
      </w:r>
    </w:p>
  </w:endnote>
  <w:end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D3" w:rsidRDefault="009357D3" w:rsidP="00677FE0">
      <w:pPr>
        <w:spacing w:after="0" w:line="240" w:lineRule="auto"/>
      </w:pPr>
      <w:r>
        <w:separator/>
      </w:r>
    </w:p>
  </w:footnote>
  <w:foot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B075E0"/>
    <w:multiLevelType w:val="multilevel"/>
    <w:tmpl w:val="DBA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3536A2"/>
    <w:multiLevelType w:val="hybridMultilevel"/>
    <w:tmpl w:val="66543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4C010C8"/>
    <w:multiLevelType w:val="multilevel"/>
    <w:tmpl w:val="DC9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62A6D6C"/>
    <w:multiLevelType w:val="multilevel"/>
    <w:tmpl w:val="3A6C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8"/>
  </w:num>
  <w:num w:numId="2">
    <w:abstractNumId w:val="36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2"/>
  </w:num>
  <w:num w:numId="18">
    <w:abstractNumId w:val="6"/>
  </w:num>
  <w:num w:numId="19">
    <w:abstractNumId w:val="14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3"/>
  </w:num>
  <w:num w:numId="25">
    <w:abstractNumId w:val="17"/>
  </w:num>
  <w:num w:numId="26">
    <w:abstractNumId w:val="31"/>
  </w:num>
  <w:num w:numId="27">
    <w:abstractNumId w:val="28"/>
  </w:num>
  <w:num w:numId="28">
    <w:abstractNumId w:val="27"/>
  </w:num>
  <w:num w:numId="29">
    <w:abstractNumId w:val="20"/>
  </w:num>
  <w:num w:numId="30">
    <w:abstractNumId w:val="33"/>
  </w:num>
  <w:num w:numId="31">
    <w:abstractNumId w:val="37"/>
  </w:num>
  <w:num w:numId="32">
    <w:abstractNumId w:val="25"/>
  </w:num>
  <w:num w:numId="33">
    <w:abstractNumId w:val="19"/>
  </w:num>
  <w:num w:numId="34">
    <w:abstractNumId w:val="9"/>
  </w:num>
  <w:num w:numId="35">
    <w:abstractNumId w:val="26"/>
  </w:num>
  <w:num w:numId="36">
    <w:abstractNumId w:val="15"/>
  </w:num>
  <w:num w:numId="37">
    <w:abstractNumId w:val="24"/>
  </w:num>
  <w:num w:numId="38">
    <w:abstractNumId w:val="10"/>
  </w:num>
  <w:num w:numId="39">
    <w:abstractNumId w:val="30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D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C5EEB"/>
    <w:rsid w:val="00121485"/>
    <w:rsid w:val="001239B5"/>
    <w:rsid w:val="001268B0"/>
    <w:rsid w:val="0014087A"/>
    <w:rsid w:val="00161731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2F72E8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832BE"/>
    <w:rsid w:val="006D04EF"/>
    <w:rsid w:val="006E2FB0"/>
    <w:rsid w:val="007102D2"/>
    <w:rsid w:val="00713948"/>
    <w:rsid w:val="00753A27"/>
    <w:rsid w:val="0079342A"/>
    <w:rsid w:val="007B4949"/>
    <w:rsid w:val="007F0BC6"/>
    <w:rsid w:val="008076DE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3E0F"/>
    <w:rsid w:val="008E7760"/>
    <w:rsid w:val="00922001"/>
    <w:rsid w:val="00922C17"/>
    <w:rsid w:val="009357D3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4043"/>
    <w:rsid w:val="00AB523B"/>
    <w:rsid w:val="00AD7E40"/>
    <w:rsid w:val="00B05054"/>
    <w:rsid w:val="00B1477A"/>
    <w:rsid w:val="00B20993"/>
    <w:rsid w:val="00B42E96"/>
    <w:rsid w:val="00B50EE6"/>
    <w:rsid w:val="00B52185"/>
    <w:rsid w:val="00B65F6A"/>
    <w:rsid w:val="00B72F1B"/>
    <w:rsid w:val="00B9753A"/>
    <w:rsid w:val="00BA0E0E"/>
    <w:rsid w:val="00BB479C"/>
    <w:rsid w:val="00BC4720"/>
    <w:rsid w:val="00BD50C3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83DBD"/>
    <w:rsid w:val="00DA7591"/>
    <w:rsid w:val="00DC23CE"/>
    <w:rsid w:val="00E32798"/>
    <w:rsid w:val="00E33CC8"/>
    <w:rsid w:val="00E51C91"/>
    <w:rsid w:val="00E667C1"/>
    <w:rsid w:val="00EC3F88"/>
    <w:rsid w:val="00ED36D8"/>
    <w:rsid w:val="00ED7DD3"/>
    <w:rsid w:val="00EE6BD7"/>
    <w:rsid w:val="00F051FE"/>
    <w:rsid w:val="00F0689D"/>
    <w:rsid w:val="00FB01B5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AEC049"/>
  <w15:chartTrackingRefBased/>
  <w15:docId w15:val="{899457DE-165D-4107-8EB2-1897433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93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7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9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3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6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po.cz/assets/cz/podnikani/dotace-a-podpora-podnikani/oppik-2014-2020/aktualni-informace/2021/2/Strukturovany-zivotopis-BCO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319DF4A4.dotm</Template>
  <TotalTime>5</TotalTime>
  <Pages>3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 Annelies</dc:creator>
  <cp:keywords/>
  <dc:description/>
  <cp:lastModifiedBy>Janová Pavlína</cp:lastModifiedBy>
  <cp:revision>3</cp:revision>
  <cp:lastPrinted>2021-07-01T07:35:00Z</cp:lastPrinted>
  <dcterms:created xsi:type="dcterms:W3CDTF">2021-08-31T10:17:00Z</dcterms:created>
  <dcterms:modified xsi:type="dcterms:W3CDTF">2021-09-01T10:09:00Z</dcterms:modified>
</cp:coreProperties>
</file>