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55"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7906"/>
        <w:gridCol w:w="5103"/>
      </w:tblGrid>
      <w:tr w:rsidR="00033438" w:rsidRPr="00045CB4">
        <w:trPr>
          <w:tblHeader/>
        </w:trPr>
        <w:tc>
          <w:tcPr>
            <w:tcW w:w="1646" w:type="dxa"/>
            <w:shd w:val="clear" w:color="auto" w:fill="8DB3E2"/>
            <w:vAlign w:val="center"/>
          </w:tcPr>
          <w:p w:rsidR="00033438" w:rsidRPr="005E5D05" w:rsidRDefault="00033438" w:rsidP="002740E2">
            <w:pPr>
              <w:spacing w:before="60"/>
              <w:jc w:val="center"/>
              <w:rPr>
                <w:rFonts w:ascii="Calibri" w:hAnsi="Calibri" w:cs="Arial"/>
                <w:b/>
                <w:bCs/>
                <w:sz w:val="18"/>
                <w:szCs w:val="18"/>
              </w:rPr>
            </w:pPr>
            <w:bookmarkStart w:id="0" w:name="_GoBack"/>
            <w:bookmarkEnd w:id="0"/>
            <w:r w:rsidRPr="005E5D05">
              <w:rPr>
                <w:rFonts w:ascii="Calibri" w:hAnsi="Calibri" w:cs="Arial"/>
                <w:b/>
                <w:bCs/>
                <w:sz w:val="18"/>
                <w:szCs w:val="18"/>
              </w:rPr>
              <w:t>Autor připomínky</w:t>
            </w:r>
          </w:p>
        </w:tc>
        <w:tc>
          <w:tcPr>
            <w:tcW w:w="7906" w:type="dxa"/>
            <w:shd w:val="clear" w:color="auto" w:fill="8DB3E2"/>
            <w:vAlign w:val="center"/>
          </w:tcPr>
          <w:p w:rsidR="00033438" w:rsidRPr="00045CB4" w:rsidRDefault="005E5D05" w:rsidP="002740E2">
            <w:pPr>
              <w:spacing w:before="60"/>
              <w:jc w:val="center"/>
              <w:rPr>
                <w:rFonts w:ascii="Calibri" w:hAnsi="Calibri" w:cs="Arial"/>
                <w:b/>
                <w:bCs/>
                <w:sz w:val="18"/>
                <w:szCs w:val="18"/>
              </w:rPr>
            </w:pPr>
            <w:r>
              <w:rPr>
                <w:rFonts w:ascii="Calibri" w:hAnsi="Calibri" w:cs="Arial"/>
                <w:b/>
                <w:bCs/>
                <w:sz w:val="18"/>
                <w:szCs w:val="18"/>
              </w:rPr>
              <w:t>Připomínky</w:t>
            </w:r>
          </w:p>
        </w:tc>
        <w:tc>
          <w:tcPr>
            <w:tcW w:w="5103" w:type="dxa"/>
            <w:shd w:val="clear" w:color="auto" w:fill="8DB3E2"/>
            <w:vAlign w:val="center"/>
          </w:tcPr>
          <w:p w:rsidR="00033438" w:rsidRPr="00045CB4" w:rsidRDefault="00033438" w:rsidP="002740E2">
            <w:pPr>
              <w:spacing w:before="60"/>
              <w:jc w:val="center"/>
              <w:rPr>
                <w:rFonts w:ascii="Calibri" w:hAnsi="Calibri" w:cs="Arial"/>
                <w:b/>
                <w:bCs/>
                <w:sz w:val="18"/>
                <w:szCs w:val="18"/>
              </w:rPr>
            </w:pPr>
            <w:r w:rsidRPr="00045CB4">
              <w:rPr>
                <w:rFonts w:ascii="Calibri" w:hAnsi="Calibri" w:cs="Arial"/>
                <w:b/>
                <w:bCs/>
                <w:sz w:val="18"/>
                <w:szCs w:val="18"/>
              </w:rPr>
              <w:t>Vypořádání</w:t>
            </w:r>
          </w:p>
        </w:tc>
      </w:tr>
      <w:tr w:rsidR="006D48A6" w:rsidRPr="00BC3FF2">
        <w:tc>
          <w:tcPr>
            <w:tcW w:w="1646" w:type="dxa"/>
          </w:tcPr>
          <w:p w:rsidR="006D48A6" w:rsidRDefault="006D48A6" w:rsidP="002740E2">
            <w:pPr>
              <w:spacing w:before="60"/>
              <w:rPr>
                <w:rFonts w:ascii="Calibri" w:hAnsi="Calibri" w:cs="Arial"/>
                <w:b/>
                <w:sz w:val="18"/>
                <w:szCs w:val="18"/>
              </w:rPr>
            </w:pPr>
            <w:r>
              <w:rPr>
                <w:rFonts w:ascii="Calibri" w:hAnsi="Calibri" w:cs="Arial"/>
                <w:b/>
                <w:sz w:val="18"/>
                <w:szCs w:val="18"/>
              </w:rPr>
              <w:t>Ministerstvo zdravotnictví</w:t>
            </w:r>
          </w:p>
        </w:tc>
        <w:tc>
          <w:tcPr>
            <w:tcW w:w="7906" w:type="dxa"/>
          </w:tcPr>
          <w:p w:rsidR="006D48A6" w:rsidRDefault="006C559B" w:rsidP="006C559B">
            <w:pPr>
              <w:spacing w:line="240" w:lineRule="auto"/>
              <w:jc w:val="both"/>
              <w:rPr>
                <w:rFonts w:ascii="Calibri" w:hAnsi="Calibri" w:cs="Arial"/>
                <w:sz w:val="18"/>
                <w:szCs w:val="18"/>
              </w:rPr>
            </w:pPr>
            <w:r>
              <w:rPr>
                <w:rFonts w:ascii="Calibri" w:hAnsi="Calibri" w:cs="Arial"/>
                <w:sz w:val="18"/>
                <w:szCs w:val="18"/>
              </w:rPr>
              <w:t>Z hlediska vlivu Operačního programu na veřejné zdraví lze v obecné rovině konstatovat, že OP PIK 2014-2020 nebude mít zásadní negativní vliv na veřejné zdraví. Přinese pravděpodobnou šanci na zaměstnání absolventům i nezaměstnaným za předpokladu, že budou splněny podmínky pro realizaci projektů v oblastech, kde je nejvíce senzitivních skupin populace a nejvíce nezaměstnaných. V dalších zásadních bodech je nutné dodržet, aby v oblastech, kde ještě zcela neproběhly strukturální změny, byly zváženy technologie významně vyžadující vzdělávání, průběžné vzdělávání, vysokoškolské vzdělávání (Ústecký kraj, Karlovarský kraj, Moravskoslezský kraj).</w:t>
            </w:r>
          </w:p>
          <w:p w:rsidR="0059127A" w:rsidRDefault="0059127A" w:rsidP="006C559B">
            <w:pPr>
              <w:spacing w:line="240" w:lineRule="auto"/>
              <w:jc w:val="both"/>
              <w:rPr>
                <w:rFonts w:ascii="Calibri" w:hAnsi="Calibri" w:cs="Arial"/>
                <w:sz w:val="18"/>
                <w:szCs w:val="18"/>
              </w:rPr>
            </w:pPr>
            <w:r w:rsidRPr="0059127A">
              <w:rPr>
                <w:rFonts w:ascii="Calibri" w:hAnsi="Calibri" w:cs="Arial"/>
                <w:sz w:val="18"/>
                <w:szCs w:val="18"/>
              </w:rPr>
              <w:t>Rozvoj energetiky nesmí přinášet znečištění perzistentními polutanty a obecně zdravotní rizika. Projekty k využívání infrastruktury v oblastech spojených s ekologickými zátěžemi musí být navrženy jen při splnění podmínek předběžné opatrnosti a po vyhodnocení zdravotních rizik. Navržené technologie nesmějí přinášet nadlimitní hluk pro okolní prostředí. Vzdělávání k inovacím musí obsahovat ochranu zdraví při práci, prevenci a podporu zdraví. Takto nastavené cíle jsou z hlediska ochrany veřejného zdraví akceptovatelné.</w:t>
            </w:r>
          </w:p>
        </w:tc>
        <w:tc>
          <w:tcPr>
            <w:tcW w:w="5103" w:type="dxa"/>
          </w:tcPr>
          <w:p w:rsidR="006D48A6" w:rsidRDefault="0059127A" w:rsidP="00D57890">
            <w:pPr>
              <w:spacing w:before="60"/>
              <w:rPr>
                <w:rFonts w:ascii="Calibri" w:hAnsi="Calibri" w:cs="Arial"/>
                <w:sz w:val="18"/>
                <w:szCs w:val="18"/>
              </w:rPr>
            </w:pPr>
            <w:r>
              <w:rPr>
                <w:rFonts w:ascii="Calibri" w:hAnsi="Calibri" w:cs="Arial"/>
                <w:sz w:val="18"/>
                <w:szCs w:val="18"/>
              </w:rPr>
              <w:t xml:space="preserve">Jsou citovány závěry vyhodnocení vlivů na veřejné zdraví, které v rámci SEA hodnocení zpracovala autorizovaná osoba. </w:t>
            </w:r>
          </w:p>
          <w:p w:rsidR="0059127A" w:rsidRDefault="0059127A" w:rsidP="00D57890">
            <w:pPr>
              <w:spacing w:before="60"/>
              <w:rPr>
                <w:rFonts w:ascii="Calibri" w:hAnsi="Calibri" w:cs="Arial"/>
                <w:sz w:val="18"/>
                <w:szCs w:val="18"/>
              </w:rPr>
            </w:pPr>
            <w:r>
              <w:rPr>
                <w:rFonts w:ascii="Calibri" w:hAnsi="Calibri" w:cs="Arial"/>
                <w:sz w:val="18"/>
                <w:szCs w:val="18"/>
              </w:rPr>
              <w:t>SEA hodnotitel doporučuje, aby tyto závěry byly zohledněny při naplňování OP PIK.</w:t>
            </w:r>
          </w:p>
        </w:tc>
      </w:tr>
      <w:tr w:rsidR="006D48A6" w:rsidRPr="003243DB">
        <w:tc>
          <w:tcPr>
            <w:tcW w:w="1646" w:type="dxa"/>
            <w:vMerge w:val="restart"/>
            <w:shd w:val="clear" w:color="auto" w:fill="auto"/>
          </w:tcPr>
          <w:p w:rsidR="006D48A6" w:rsidRPr="00AC566F" w:rsidRDefault="006D48A6" w:rsidP="00AC566F">
            <w:pPr>
              <w:spacing w:before="60"/>
              <w:rPr>
                <w:rFonts w:ascii="Calibri" w:hAnsi="Calibri" w:cs="Arial"/>
                <w:b/>
                <w:sz w:val="18"/>
                <w:szCs w:val="18"/>
              </w:rPr>
            </w:pPr>
            <w:r w:rsidRPr="00AC566F">
              <w:rPr>
                <w:rFonts w:ascii="Calibri" w:hAnsi="Calibri" w:cs="Arial"/>
                <w:b/>
                <w:sz w:val="18"/>
                <w:szCs w:val="18"/>
              </w:rPr>
              <w:t>KÚ Středočeského kraje</w:t>
            </w:r>
          </w:p>
          <w:p w:rsidR="006D48A6" w:rsidRDefault="006D48A6" w:rsidP="00AC566F">
            <w:pPr>
              <w:spacing w:before="60"/>
              <w:rPr>
                <w:rFonts w:ascii="Calibri" w:hAnsi="Calibri" w:cs="Arial"/>
                <w:b/>
                <w:sz w:val="18"/>
                <w:szCs w:val="18"/>
              </w:rPr>
            </w:pPr>
            <w:r w:rsidRPr="00AC566F">
              <w:rPr>
                <w:rFonts w:ascii="Calibri" w:hAnsi="Calibri" w:cs="Arial"/>
                <w:b/>
                <w:sz w:val="18"/>
                <w:szCs w:val="18"/>
              </w:rPr>
              <w:t>Odbor ŽP a zem.</w:t>
            </w:r>
          </w:p>
        </w:tc>
        <w:tc>
          <w:tcPr>
            <w:tcW w:w="7906" w:type="dxa"/>
          </w:tcPr>
          <w:p w:rsidR="006D48A6" w:rsidRPr="00A154DB" w:rsidRDefault="006D48A6" w:rsidP="0059127A">
            <w:pPr>
              <w:spacing w:before="60"/>
              <w:jc w:val="both"/>
              <w:rPr>
                <w:rFonts w:ascii="Calibri" w:hAnsi="Calibri" w:cs="Arial"/>
                <w:sz w:val="18"/>
                <w:szCs w:val="18"/>
              </w:rPr>
            </w:pPr>
            <w:r w:rsidRPr="006D48A6">
              <w:rPr>
                <w:rFonts w:ascii="Calibri" w:hAnsi="Calibri" w:cs="Arial"/>
                <w:sz w:val="18"/>
                <w:szCs w:val="18"/>
              </w:rPr>
              <w:t>Z hlediska zákona č. 289/1995 Sb., o lesích a o změně a doplnění některých zákonů (dále</w:t>
            </w:r>
            <w:r w:rsidR="00D06D94">
              <w:rPr>
                <w:rFonts w:ascii="Calibri" w:hAnsi="Calibri" w:cs="Arial"/>
                <w:sz w:val="18"/>
                <w:szCs w:val="18"/>
              </w:rPr>
              <w:t xml:space="preserve"> </w:t>
            </w:r>
            <w:r w:rsidRPr="006D48A6">
              <w:rPr>
                <w:rFonts w:ascii="Calibri" w:hAnsi="Calibri" w:cs="Arial"/>
                <w:sz w:val="18"/>
                <w:szCs w:val="18"/>
              </w:rPr>
              <w:t>jen zákon). K připomínkám k oznámení této koncepce nebylo přihlédnuto, proto je uplatňujeme i</w:t>
            </w:r>
            <w:r w:rsidR="00D06D94">
              <w:rPr>
                <w:rFonts w:ascii="Calibri" w:hAnsi="Calibri" w:cs="Arial"/>
                <w:sz w:val="18"/>
                <w:szCs w:val="18"/>
              </w:rPr>
              <w:t xml:space="preserve"> </w:t>
            </w:r>
            <w:r w:rsidRPr="006D48A6">
              <w:rPr>
                <w:rFonts w:ascii="Calibri" w:hAnsi="Calibri" w:cs="Arial"/>
                <w:sz w:val="18"/>
                <w:szCs w:val="18"/>
              </w:rPr>
              <w:t>nadále: zaměřit se na zjištění dopadu na pozemky určené k plnění funkcí lesa s lesními porosty,</w:t>
            </w:r>
            <w:r w:rsidR="00D06D94">
              <w:rPr>
                <w:rFonts w:ascii="Calibri" w:hAnsi="Calibri" w:cs="Arial"/>
                <w:sz w:val="18"/>
                <w:szCs w:val="18"/>
              </w:rPr>
              <w:t xml:space="preserve"> </w:t>
            </w:r>
            <w:r w:rsidRPr="006D48A6">
              <w:rPr>
                <w:rFonts w:ascii="Calibri" w:hAnsi="Calibri" w:cs="Arial"/>
                <w:sz w:val="18"/>
                <w:szCs w:val="18"/>
              </w:rPr>
              <w:t>ve kterých je dle analytické části koncepce nevhodná druhová a prostorová skladba, a ve kterých</w:t>
            </w:r>
            <w:r w:rsidR="00D06D94">
              <w:rPr>
                <w:rFonts w:ascii="Calibri" w:hAnsi="Calibri" w:cs="Arial"/>
                <w:sz w:val="18"/>
                <w:szCs w:val="18"/>
              </w:rPr>
              <w:t xml:space="preserve"> </w:t>
            </w:r>
            <w:r w:rsidRPr="006D48A6">
              <w:rPr>
                <w:rFonts w:ascii="Calibri" w:hAnsi="Calibri" w:cs="Arial"/>
                <w:sz w:val="18"/>
                <w:szCs w:val="18"/>
              </w:rPr>
              <w:t>se uniformně hospodaří a upouští se od tradičních způsobů hospodaření. Pokud bude zjištěno, že</w:t>
            </w:r>
            <w:r w:rsidR="00D06D94">
              <w:rPr>
                <w:rFonts w:ascii="Calibri" w:hAnsi="Calibri" w:cs="Arial"/>
                <w:sz w:val="18"/>
                <w:szCs w:val="18"/>
              </w:rPr>
              <w:t xml:space="preserve"> </w:t>
            </w:r>
            <w:r w:rsidRPr="006D48A6">
              <w:rPr>
                <w:rFonts w:ascii="Calibri" w:hAnsi="Calibri" w:cs="Arial"/>
                <w:sz w:val="18"/>
                <w:szCs w:val="18"/>
              </w:rPr>
              <w:t>dopady jsou poněkud větší, bylo by nutno případné aktivity z těchto území vyloučit</w:t>
            </w:r>
            <w:r w:rsidR="00D06D94">
              <w:rPr>
                <w:rFonts w:ascii="Calibri" w:hAnsi="Calibri" w:cs="Arial"/>
                <w:sz w:val="18"/>
                <w:szCs w:val="18"/>
              </w:rPr>
              <w:t>,</w:t>
            </w:r>
            <w:r w:rsidRPr="006D48A6">
              <w:rPr>
                <w:rFonts w:ascii="Calibri" w:hAnsi="Calibri" w:cs="Arial"/>
                <w:sz w:val="18"/>
                <w:szCs w:val="18"/>
              </w:rPr>
              <w:t xml:space="preserve"> anebo</w:t>
            </w:r>
            <w:r w:rsidR="00D06D94">
              <w:rPr>
                <w:rFonts w:ascii="Calibri" w:hAnsi="Calibri" w:cs="Arial"/>
                <w:sz w:val="18"/>
                <w:szCs w:val="18"/>
              </w:rPr>
              <w:t xml:space="preserve"> </w:t>
            </w:r>
            <w:r w:rsidRPr="006D48A6">
              <w:rPr>
                <w:rFonts w:ascii="Calibri" w:hAnsi="Calibri" w:cs="Arial"/>
                <w:sz w:val="18"/>
                <w:szCs w:val="18"/>
              </w:rPr>
              <w:t>dosáhnout přeměny porostů, které budou více odolávat plánovaným aktivitám v</w:t>
            </w:r>
            <w:r w:rsidR="00D06D94">
              <w:rPr>
                <w:rFonts w:ascii="Calibri" w:hAnsi="Calibri" w:cs="Arial"/>
                <w:sz w:val="18"/>
                <w:szCs w:val="18"/>
              </w:rPr>
              <w:t> </w:t>
            </w:r>
            <w:r w:rsidRPr="006D48A6">
              <w:rPr>
                <w:rFonts w:ascii="Calibri" w:hAnsi="Calibri" w:cs="Arial"/>
                <w:sz w:val="18"/>
                <w:szCs w:val="18"/>
              </w:rPr>
              <w:t>bezprostředním</w:t>
            </w:r>
            <w:r w:rsidR="00D06D94">
              <w:rPr>
                <w:rFonts w:ascii="Calibri" w:hAnsi="Calibri" w:cs="Arial"/>
                <w:sz w:val="18"/>
                <w:szCs w:val="18"/>
              </w:rPr>
              <w:t xml:space="preserve"> </w:t>
            </w:r>
            <w:r w:rsidRPr="006D48A6">
              <w:rPr>
                <w:rFonts w:ascii="Calibri" w:hAnsi="Calibri" w:cs="Arial"/>
                <w:sz w:val="18"/>
                <w:szCs w:val="18"/>
              </w:rPr>
              <w:t>okolí těchto lesů. Krajskému úřadu není sice známo, že by v převážné většině lesů Středočeského</w:t>
            </w:r>
            <w:r w:rsidR="00D06D94">
              <w:rPr>
                <w:rFonts w:ascii="Calibri" w:hAnsi="Calibri" w:cs="Arial"/>
                <w:sz w:val="18"/>
                <w:szCs w:val="18"/>
              </w:rPr>
              <w:t xml:space="preserve"> </w:t>
            </w:r>
            <w:r w:rsidRPr="006D48A6">
              <w:rPr>
                <w:rFonts w:ascii="Calibri" w:hAnsi="Calibri" w:cs="Arial"/>
                <w:sz w:val="18"/>
                <w:szCs w:val="18"/>
              </w:rPr>
              <w:t>kraje byla nevhodná druhová a prostorová skladba, a že by se upouštělo od tradičních způsobů</w:t>
            </w:r>
            <w:r w:rsidR="00D06D94">
              <w:rPr>
                <w:rFonts w:ascii="Calibri" w:hAnsi="Calibri" w:cs="Arial"/>
                <w:sz w:val="18"/>
                <w:szCs w:val="18"/>
              </w:rPr>
              <w:t xml:space="preserve"> </w:t>
            </w:r>
            <w:r w:rsidRPr="006D48A6">
              <w:rPr>
                <w:rFonts w:ascii="Calibri" w:hAnsi="Calibri" w:cs="Arial"/>
                <w:sz w:val="18"/>
                <w:szCs w:val="18"/>
              </w:rPr>
              <w:t>hospodaření, ale pokud tomu tak je na zbytku území státu, pak by zřejmě bylo na místě tyto</w:t>
            </w:r>
            <w:r w:rsidR="00D06D94">
              <w:rPr>
                <w:rFonts w:ascii="Calibri" w:hAnsi="Calibri" w:cs="Arial"/>
                <w:sz w:val="18"/>
                <w:szCs w:val="18"/>
              </w:rPr>
              <w:t xml:space="preserve"> </w:t>
            </w:r>
            <w:r w:rsidRPr="006D48A6">
              <w:rPr>
                <w:rFonts w:ascii="Calibri" w:hAnsi="Calibri" w:cs="Arial"/>
                <w:sz w:val="18"/>
                <w:szCs w:val="18"/>
              </w:rPr>
              <w:t>dopady zjistit.</w:t>
            </w:r>
          </w:p>
        </w:tc>
        <w:tc>
          <w:tcPr>
            <w:tcW w:w="5103" w:type="dxa"/>
          </w:tcPr>
          <w:p w:rsidR="006D48A6" w:rsidRDefault="0059127A" w:rsidP="0059127A">
            <w:pPr>
              <w:spacing w:before="60"/>
              <w:rPr>
                <w:rFonts w:ascii="Calibri" w:hAnsi="Calibri" w:cs="Arial"/>
                <w:sz w:val="18"/>
                <w:szCs w:val="18"/>
              </w:rPr>
            </w:pPr>
            <w:r>
              <w:rPr>
                <w:rFonts w:ascii="Calibri" w:hAnsi="Calibri" w:cs="Arial"/>
                <w:sz w:val="18"/>
                <w:szCs w:val="18"/>
              </w:rPr>
              <w:t xml:space="preserve">Analytická část SEA hodnocení byla z hlediska problematiky lesů upravena. V rámci povolování jednotlivých projektů bude zohledněn případný zásah do PUPFL a možné ovlivnění lesních pozemků. </w:t>
            </w:r>
          </w:p>
        </w:tc>
      </w:tr>
      <w:tr w:rsidR="006D48A6" w:rsidRPr="003243DB">
        <w:tc>
          <w:tcPr>
            <w:tcW w:w="1646" w:type="dxa"/>
            <w:vMerge/>
            <w:shd w:val="clear" w:color="auto" w:fill="auto"/>
          </w:tcPr>
          <w:p w:rsidR="006D48A6" w:rsidRPr="00AC566F" w:rsidRDefault="006D48A6" w:rsidP="00AC566F">
            <w:pPr>
              <w:spacing w:before="60"/>
              <w:rPr>
                <w:rFonts w:ascii="Calibri" w:hAnsi="Calibri" w:cs="Arial"/>
                <w:b/>
                <w:sz w:val="18"/>
                <w:szCs w:val="18"/>
              </w:rPr>
            </w:pPr>
          </w:p>
        </w:tc>
        <w:tc>
          <w:tcPr>
            <w:tcW w:w="7906" w:type="dxa"/>
          </w:tcPr>
          <w:p w:rsidR="006D48A6" w:rsidRPr="006D48A6" w:rsidRDefault="006D48A6" w:rsidP="00D06D94">
            <w:pPr>
              <w:spacing w:before="60"/>
              <w:jc w:val="both"/>
              <w:rPr>
                <w:rFonts w:ascii="Calibri" w:hAnsi="Calibri" w:cs="Arial"/>
                <w:sz w:val="18"/>
                <w:szCs w:val="18"/>
              </w:rPr>
            </w:pPr>
            <w:r w:rsidRPr="006D48A6">
              <w:rPr>
                <w:rFonts w:ascii="Calibri" w:hAnsi="Calibri" w:cs="Arial"/>
                <w:sz w:val="18"/>
                <w:szCs w:val="18"/>
              </w:rPr>
              <w:t>Z hlediska jednotlivých složkových zákonů nemá Krajský úřad Středočeského kraje po</w:t>
            </w:r>
            <w:r w:rsidR="00D06D94">
              <w:rPr>
                <w:rFonts w:ascii="Calibri" w:hAnsi="Calibri" w:cs="Arial"/>
                <w:sz w:val="18"/>
                <w:szCs w:val="18"/>
              </w:rPr>
              <w:t xml:space="preserve"> </w:t>
            </w:r>
            <w:r w:rsidRPr="006D48A6">
              <w:rPr>
                <w:rFonts w:ascii="Calibri" w:hAnsi="Calibri" w:cs="Arial"/>
                <w:sz w:val="18"/>
                <w:szCs w:val="18"/>
              </w:rPr>
              <w:t>projednání žádné připomínky.</w:t>
            </w:r>
          </w:p>
        </w:tc>
        <w:tc>
          <w:tcPr>
            <w:tcW w:w="5103" w:type="dxa"/>
          </w:tcPr>
          <w:p w:rsidR="006D48A6" w:rsidRDefault="0059127A" w:rsidP="00CB3D0E">
            <w:pPr>
              <w:spacing w:before="60"/>
              <w:rPr>
                <w:rFonts w:ascii="Calibri" w:hAnsi="Calibri" w:cs="Arial"/>
                <w:sz w:val="18"/>
                <w:szCs w:val="18"/>
              </w:rPr>
            </w:pPr>
            <w:r>
              <w:rPr>
                <w:rFonts w:ascii="Calibri" w:hAnsi="Calibri" w:cs="Arial"/>
                <w:sz w:val="18"/>
                <w:szCs w:val="18"/>
              </w:rPr>
              <w:t>Bez připomínek</w:t>
            </w:r>
          </w:p>
        </w:tc>
      </w:tr>
      <w:tr w:rsidR="007F0CA9" w:rsidRPr="003243DB">
        <w:trPr>
          <w:trHeight w:val="819"/>
        </w:trPr>
        <w:tc>
          <w:tcPr>
            <w:tcW w:w="1646" w:type="dxa"/>
            <w:shd w:val="clear" w:color="auto" w:fill="auto"/>
          </w:tcPr>
          <w:p w:rsidR="007F0CA9" w:rsidRPr="006D48A6" w:rsidRDefault="007F0CA9" w:rsidP="002740E2">
            <w:pPr>
              <w:spacing w:before="60"/>
              <w:rPr>
                <w:rFonts w:ascii="Calibri" w:hAnsi="Calibri" w:cs="Arial"/>
                <w:b/>
                <w:sz w:val="18"/>
                <w:szCs w:val="18"/>
              </w:rPr>
            </w:pPr>
            <w:r w:rsidRPr="006D48A6">
              <w:rPr>
                <w:rFonts w:ascii="Calibri" w:hAnsi="Calibri" w:cs="Arial"/>
                <w:b/>
                <w:sz w:val="18"/>
                <w:szCs w:val="18"/>
              </w:rPr>
              <w:t>KÚ Pardubického kraje</w:t>
            </w:r>
          </w:p>
          <w:p w:rsidR="007F0CA9" w:rsidRPr="006D48A6" w:rsidRDefault="007F0CA9" w:rsidP="002740E2">
            <w:pPr>
              <w:spacing w:before="60"/>
              <w:rPr>
                <w:rFonts w:ascii="Calibri" w:hAnsi="Calibri" w:cs="Arial"/>
                <w:b/>
                <w:sz w:val="18"/>
                <w:szCs w:val="18"/>
              </w:rPr>
            </w:pPr>
            <w:r w:rsidRPr="006D48A6">
              <w:rPr>
                <w:rFonts w:ascii="Calibri" w:hAnsi="Calibri" w:cs="Arial"/>
                <w:b/>
                <w:sz w:val="18"/>
                <w:szCs w:val="18"/>
              </w:rPr>
              <w:t>OŽPZ</w:t>
            </w:r>
          </w:p>
          <w:p w:rsidR="007F0CA9" w:rsidRPr="00AC566F" w:rsidRDefault="007F0CA9" w:rsidP="002740E2">
            <w:pPr>
              <w:spacing w:before="60"/>
              <w:rPr>
                <w:rFonts w:ascii="Calibri" w:hAnsi="Calibri" w:cs="Arial"/>
                <w:b/>
                <w:sz w:val="18"/>
                <w:szCs w:val="18"/>
                <w:highlight w:val="yellow"/>
              </w:rPr>
            </w:pPr>
            <w:r w:rsidRPr="006D48A6">
              <w:rPr>
                <w:rFonts w:ascii="Calibri" w:hAnsi="Calibri" w:cs="Arial"/>
                <w:b/>
                <w:sz w:val="18"/>
                <w:szCs w:val="18"/>
              </w:rPr>
              <w:t>odd. integrované prevence</w:t>
            </w:r>
          </w:p>
        </w:tc>
        <w:tc>
          <w:tcPr>
            <w:tcW w:w="7906" w:type="dxa"/>
          </w:tcPr>
          <w:p w:rsidR="006D48A6" w:rsidRPr="006D48A6" w:rsidRDefault="006D48A6" w:rsidP="006D48A6">
            <w:pPr>
              <w:spacing w:before="60"/>
              <w:jc w:val="both"/>
              <w:rPr>
                <w:rFonts w:ascii="Calibri" w:hAnsi="Calibri" w:cs="Arial"/>
                <w:sz w:val="18"/>
                <w:szCs w:val="18"/>
              </w:rPr>
            </w:pPr>
            <w:r w:rsidRPr="006D48A6">
              <w:rPr>
                <w:rFonts w:ascii="Calibri" w:hAnsi="Calibri" w:cs="Arial"/>
                <w:sz w:val="18"/>
                <w:szCs w:val="18"/>
              </w:rPr>
              <w:t>Org</w:t>
            </w:r>
            <w:r w:rsidR="00D06D94">
              <w:rPr>
                <w:rFonts w:ascii="Calibri" w:hAnsi="Calibri" w:cs="Arial"/>
                <w:sz w:val="18"/>
                <w:szCs w:val="18"/>
              </w:rPr>
              <w:t>án ochrany přírody</w:t>
            </w:r>
          </w:p>
          <w:p w:rsidR="007F0CA9" w:rsidRPr="00E61284" w:rsidRDefault="006D48A6" w:rsidP="00D06D94">
            <w:pPr>
              <w:spacing w:before="60"/>
              <w:jc w:val="both"/>
              <w:rPr>
                <w:rFonts w:ascii="Calibri" w:hAnsi="Calibri" w:cs="Arial"/>
                <w:sz w:val="18"/>
                <w:szCs w:val="18"/>
              </w:rPr>
            </w:pPr>
            <w:r w:rsidRPr="006D48A6">
              <w:rPr>
                <w:rFonts w:ascii="Calibri" w:hAnsi="Calibri" w:cs="Arial"/>
                <w:sz w:val="18"/>
                <w:szCs w:val="18"/>
              </w:rPr>
              <w:t>Z hlediska ochrany přírody a krajiny není proti navrhované koncepci námitek. Požadujeme důsledně</w:t>
            </w:r>
            <w:r w:rsidR="00D06D94">
              <w:rPr>
                <w:rFonts w:ascii="Calibri" w:hAnsi="Calibri" w:cs="Arial"/>
                <w:sz w:val="18"/>
                <w:szCs w:val="18"/>
              </w:rPr>
              <w:t xml:space="preserve"> </w:t>
            </w:r>
            <w:r w:rsidRPr="006D48A6">
              <w:rPr>
                <w:rFonts w:ascii="Calibri" w:hAnsi="Calibri" w:cs="Arial"/>
                <w:sz w:val="18"/>
                <w:szCs w:val="18"/>
              </w:rPr>
              <w:t>dodržovat opatření, uvedená jak v koncepci (kapitola 4.1.3 – str. 69 – 70; kapitola 7 – str. 97 – 98),</w:t>
            </w:r>
            <w:r w:rsidR="00D06D94">
              <w:rPr>
                <w:rFonts w:ascii="Calibri" w:hAnsi="Calibri" w:cs="Arial"/>
                <w:sz w:val="18"/>
                <w:szCs w:val="18"/>
              </w:rPr>
              <w:t xml:space="preserve"> </w:t>
            </w:r>
            <w:r w:rsidRPr="006D48A6">
              <w:rPr>
                <w:rFonts w:ascii="Calibri" w:hAnsi="Calibri" w:cs="Arial"/>
                <w:sz w:val="18"/>
                <w:szCs w:val="18"/>
              </w:rPr>
              <w:t>tak i v dokumentaci hodnocení vlivů na soustavu Natura 2000 (str. 20 - 21).</w:t>
            </w:r>
          </w:p>
        </w:tc>
        <w:tc>
          <w:tcPr>
            <w:tcW w:w="5103" w:type="dxa"/>
          </w:tcPr>
          <w:p w:rsidR="007F0CA9" w:rsidRDefault="006049C1" w:rsidP="002740E2">
            <w:pPr>
              <w:spacing w:before="60"/>
              <w:rPr>
                <w:rFonts w:ascii="Calibri" w:hAnsi="Calibri" w:cs="Arial"/>
                <w:sz w:val="18"/>
                <w:szCs w:val="18"/>
              </w:rPr>
            </w:pPr>
            <w:r>
              <w:rPr>
                <w:rFonts w:ascii="Calibri" w:hAnsi="Calibri" w:cs="Arial"/>
                <w:sz w:val="18"/>
                <w:szCs w:val="18"/>
              </w:rPr>
              <w:t>Navržená opatření jsou součástí návrhu stanoviska SEA příslušného úřadu k posuzování (MŽP).</w:t>
            </w:r>
          </w:p>
        </w:tc>
      </w:tr>
      <w:tr w:rsidR="007F0CA9" w:rsidRPr="003243DB">
        <w:tc>
          <w:tcPr>
            <w:tcW w:w="1646" w:type="dxa"/>
            <w:vMerge w:val="restart"/>
            <w:shd w:val="clear" w:color="auto" w:fill="auto"/>
          </w:tcPr>
          <w:p w:rsidR="007F0CA9" w:rsidRPr="005E5D05" w:rsidRDefault="007F0CA9" w:rsidP="002740E2">
            <w:pPr>
              <w:spacing w:before="60"/>
              <w:rPr>
                <w:rFonts w:ascii="Calibri" w:hAnsi="Calibri" w:cs="Arial"/>
                <w:b/>
                <w:sz w:val="18"/>
                <w:szCs w:val="18"/>
              </w:rPr>
            </w:pPr>
            <w:r>
              <w:rPr>
                <w:rFonts w:ascii="Calibri" w:hAnsi="Calibri" w:cs="Arial"/>
                <w:b/>
                <w:sz w:val="18"/>
                <w:szCs w:val="18"/>
              </w:rPr>
              <w:t>Správa CHKO Křivoklátsko</w:t>
            </w:r>
          </w:p>
        </w:tc>
        <w:tc>
          <w:tcPr>
            <w:tcW w:w="7906" w:type="dxa"/>
          </w:tcPr>
          <w:p w:rsidR="007F0CA9" w:rsidRPr="00AD6368" w:rsidRDefault="006D48A6" w:rsidP="00D06D94">
            <w:pPr>
              <w:spacing w:before="60"/>
              <w:jc w:val="both"/>
              <w:rPr>
                <w:rFonts w:ascii="Calibri" w:hAnsi="Calibri" w:cs="Arial"/>
                <w:sz w:val="18"/>
                <w:szCs w:val="18"/>
              </w:rPr>
            </w:pPr>
            <w:r w:rsidRPr="006D48A6">
              <w:rPr>
                <w:rFonts w:ascii="Calibri" w:hAnsi="Calibri" w:cs="Arial"/>
                <w:sz w:val="18"/>
                <w:szCs w:val="18"/>
              </w:rPr>
              <w:t>Jak Správa CHKO Křivoklátsko uvedla ve svém stanovisku ke zjišťovacímu řízení, za zvlášť</w:t>
            </w:r>
            <w:r w:rsidR="00D06D94">
              <w:rPr>
                <w:rFonts w:ascii="Calibri" w:hAnsi="Calibri" w:cs="Arial"/>
                <w:sz w:val="18"/>
                <w:szCs w:val="18"/>
              </w:rPr>
              <w:t xml:space="preserve"> </w:t>
            </w:r>
            <w:r w:rsidRPr="006D48A6">
              <w:rPr>
                <w:rFonts w:ascii="Calibri" w:hAnsi="Calibri" w:cs="Arial"/>
                <w:sz w:val="18"/>
                <w:szCs w:val="18"/>
              </w:rPr>
              <w:t>významnou oblast podpory, z pohledu ochrany přírody a krajiny, považujeme prioritní osu 3 – Udržitelné</w:t>
            </w:r>
            <w:r w:rsidR="00D06D94">
              <w:rPr>
                <w:rFonts w:ascii="Calibri" w:hAnsi="Calibri" w:cs="Arial"/>
                <w:sz w:val="18"/>
                <w:szCs w:val="18"/>
              </w:rPr>
              <w:t xml:space="preserve"> </w:t>
            </w:r>
            <w:r w:rsidRPr="006D48A6">
              <w:rPr>
                <w:rFonts w:ascii="Calibri" w:hAnsi="Calibri" w:cs="Arial"/>
                <w:sz w:val="18"/>
                <w:szCs w:val="18"/>
              </w:rPr>
              <w:t>hospodaření s energií, podpora OZE a rozvoj inovací v energetice. Sem patří, jednak úspory energie a</w:t>
            </w:r>
            <w:r w:rsidR="00D06D94">
              <w:rPr>
                <w:rFonts w:ascii="Calibri" w:hAnsi="Calibri" w:cs="Arial"/>
                <w:sz w:val="18"/>
                <w:szCs w:val="18"/>
              </w:rPr>
              <w:t xml:space="preserve"> </w:t>
            </w:r>
            <w:r w:rsidRPr="006D48A6">
              <w:rPr>
                <w:rFonts w:ascii="Calibri" w:hAnsi="Calibri" w:cs="Arial"/>
                <w:sz w:val="18"/>
                <w:szCs w:val="18"/>
              </w:rPr>
              <w:t>také využívání obnovitelných zdrojů energie (OZE – fotovoltaických, vodních a větrných elektráren,</w:t>
            </w:r>
            <w:r w:rsidR="00D06D94">
              <w:rPr>
                <w:rFonts w:ascii="Calibri" w:hAnsi="Calibri" w:cs="Arial"/>
                <w:sz w:val="18"/>
                <w:szCs w:val="18"/>
              </w:rPr>
              <w:t xml:space="preserve"> </w:t>
            </w:r>
            <w:r w:rsidRPr="006D48A6">
              <w:rPr>
                <w:rFonts w:ascii="Calibri" w:hAnsi="Calibri" w:cs="Arial"/>
                <w:sz w:val="18"/>
                <w:szCs w:val="18"/>
              </w:rPr>
              <w:t>energetické biomasy). Podpora úspor a snižování energetické náročnosti, jsou veskrze pozitivní aktivity,</w:t>
            </w:r>
            <w:r w:rsidR="00D06D94">
              <w:rPr>
                <w:rFonts w:ascii="Calibri" w:hAnsi="Calibri" w:cs="Arial"/>
                <w:sz w:val="18"/>
                <w:szCs w:val="18"/>
              </w:rPr>
              <w:t xml:space="preserve"> </w:t>
            </w:r>
            <w:r w:rsidRPr="006D48A6">
              <w:rPr>
                <w:rFonts w:ascii="Calibri" w:hAnsi="Calibri" w:cs="Arial"/>
                <w:sz w:val="18"/>
                <w:szCs w:val="18"/>
              </w:rPr>
              <w:t xml:space="preserve">s </w:t>
            </w:r>
            <w:r w:rsidRPr="006D48A6">
              <w:rPr>
                <w:rFonts w:ascii="Calibri" w:hAnsi="Calibri" w:cs="Arial"/>
                <w:sz w:val="18"/>
                <w:szCs w:val="18"/>
              </w:rPr>
              <w:lastRenderedPageBreak/>
              <w:t>minimálním rizikem nepříznivého vlivu na přírodu a krajinu. Naopak podpora využívání OZE, zejména</w:t>
            </w:r>
            <w:r w:rsidR="00D06D94">
              <w:rPr>
                <w:rFonts w:ascii="Calibri" w:hAnsi="Calibri" w:cs="Arial"/>
                <w:sz w:val="18"/>
                <w:szCs w:val="18"/>
              </w:rPr>
              <w:t xml:space="preserve"> </w:t>
            </w:r>
            <w:r w:rsidRPr="006D48A6">
              <w:rPr>
                <w:rFonts w:ascii="Calibri" w:hAnsi="Calibri" w:cs="Arial"/>
                <w:sz w:val="18"/>
                <w:szCs w:val="18"/>
              </w:rPr>
              <w:t>tak, jak je formulován specifický cíl 3.1, je mnohem rizikovější z pohledu možného vlivu na krajinný ráz,</w:t>
            </w:r>
            <w:r w:rsidR="00D06D94">
              <w:rPr>
                <w:rFonts w:ascii="Calibri" w:hAnsi="Calibri" w:cs="Arial"/>
                <w:sz w:val="18"/>
                <w:szCs w:val="18"/>
              </w:rPr>
              <w:t xml:space="preserve"> </w:t>
            </w:r>
            <w:r w:rsidRPr="006D48A6">
              <w:rPr>
                <w:rFonts w:ascii="Calibri" w:hAnsi="Calibri" w:cs="Arial"/>
                <w:sz w:val="18"/>
                <w:szCs w:val="18"/>
              </w:rPr>
              <w:t>vlivu na ochranu zemědělské půdy, rozšiřování nepůvodních a geneticky upravených druhů a odrůd</w:t>
            </w:r>
            <w:r w:rsidR="00D06D94">
              <w:rPr>
                <w:rFonts w:ascii="Calibri" w:hAnsi="Calibri" w:cs="Arial"/>
                <w:sz w:val="18"/>
                <w:szCs w:val="18"/>
              </w:rPr>
              <w:t xml:space="preserve"> </w:t>
            </w:r>
            <w:r w:rsidRPr="006D48A6">
              <w:rPr>
                <w:rFonts w:ascii="Calibri" w:hAnsi="Calibri" w:cs="Arial"/>
                <w:sz w:val="18"/>
                <w:szCs w:val="18"/>
              </w:rPr>
              <w:t>rostlin ve zvláště chráněných územích. Vyhodnocení vlivů na ŽP tato rizika zohledňuje a navrhuje</w:t>
            </w:r>
            <w:r w:rsidR="00D06D94">
              <w:rPr>
                <w:rFonts w:ascii="Calibri" w:hAnsi="Calibri" w:cs="Arial"/>
                <w:sz w:val="18"/>
                <w:szCs w:val="18"/>
              </w:rPr>
              <w:t xml:space="preserve"> </w:t>
            </w:r>
            <w:r w:rsidRPr="006D48A6">
              <w:rPr>
                <w:rFonts w:ascii="Calibri" w:hAnsi="Calibri" w:cs="Arial"/>
                <w:sz w:val="18"/>
                <w:szCs w:val="18"/>
              </w:rPr>
              <w:t>potřebná kompenzační opatření k omezení negativních vli</w:t>
            </w:r>
            <w:r w:rsidR="00D06D94">
              <w:rPr>
                <w:rFonts w:ascii="Calibri" w:hAnsi="Calibri" w:cs="Arial"/>
                <w:sz w:val="18"/>
                <w:szCs w:val="18"/>
              </w:rPr>
              <w:t>v</w:t>
            </w:r>
            <w:r w:rsidRPr="006D48A6">
              <w:rPr>
                <w:rFonts w:ascii="Calibri" w:hAnsi="Calibri" w:cs="Arial"/>
                <w:sz w:val="18"/>
                <w:szCs w:val="18"/>
              </w:rPr>
              <w:t>ů.</w:t>
            </w:r>
          </w:p>
        </w:tc>
        <w:tc>
          <w:tcPr>
            <w:tcW w:w="5103" w:type="dxa"/>
          </w:tcPr>
          <w:p w:rsidR="007F0CA9" w:rsidRDefault="006D48A6" w:rsidP="006F23E5">
            <w:pPr>
              <w:spacing w:before="60"/>
              <w:rPr>
                <w:rFonts w:ascii="Calibri" w:hAnsi="Calibri" w:cs="Arial"/>
                <w:sz w:val="18"/>
                <w:szCs w:val="18"/>
              </w:rPr>
            </w:pPr>
            <w:r>
              <w:rPr>
                <w:rFonts w:ascii="Calibri" w:hAnsi="Calibri" w:cs="Arial"/>
                <w:sz w:val="18"/>
                <w:szCs w:val="18"/>
              </w:rPr>
              <w:lastRenderedPageBreak/>
              <w:t>konstatování</w:t>
            </w:r>
          </w:p>
        </w:tc>
      </w:tr>
      <w:tr w:rsidR="007F0CA9" w:rsidRPr="003243DB">
        <w:tc>
          <w:tcPr>
            <w:tcW w:w="1646" w:type="dxa"/>
            <w:vMerge/>
            <w:shd w:val="clear" w:color="auto" w:fill="auto"/>
          </w:tcPr>
          <w:p w:rsidR="007F0CA9" w:rsidRPr="005E5D05" w:rsidRDefault="007F0CA9" w:rsidP="002740E2">
            <w:pPr>
              <w:spacing w:before="60"/>
              <w:rPr>
                <w:rFonts w:ascii="Calibri" w:hAnsi="Calibri" w:cs="Arial"/>
                <w:b/>
                <w:sz w:val="18"/>
                <w:szCs w:val="18"/>
              </w:rPr>
            </w:pPr>
          </w:p>
        </w:tc>
        <w:tc>
          <w:tcPr>
            <w:tcW w:w="7906" w:type="dxa"/>
          </w:tcPr>
          <w:p w:rsidR="006D48A6" w:rsidRPr="006D48A6" w:rsidRDefault="006D48A6" w:rsidP="006D48A6">
            <w:pPr>
              <w:spacing w:before="60"/>
              <w:jc w:val="both"/>
              <w:rPr>
                <w:rFonts w:ascii="Calibri" w:hAnsi="Calibri" w:cs="Arial"/>
                <w:sz w:val="18"/>
                <w:szCs w:val="18"/>
              </w:rPr>
            </w:pPr>
            <w:r w:rsidRPr="006D48A6">
              <w:rPr>
                <w:rFonts w:ascii="Calibri" w:hAnsi="Calibri" w:cs="Arial"/>
                <w:sz w:val="18"/>
                <w:szCs w:val="18"/>
              </w:rPr>
              <w:t>V textu koncepce je uvedeno – investiční podpora 1, prioritní osa 3, indikativní výčet</w:t>
            </w:r>
            <w:r w:rsidR="00D06D94">
              <w:rPr>
                <w:rFonts w:ascii="Calibri" w:hAnsi="Calibri" w:cs="Arial"/>
                <w:sz w:val="18"/>
                <w:szCs w:val="18"/>
              </w:rPr>
              <w:t xml:space="preserve"> </w:t>
            </w:r>
            <w:r w:rsidRPr="006D48A6">
              <w:rPr>
                <w:rFonts w:ascii="Calibri" w:hAnsi="Calibri" w:cs="Arial"/>
                <w:sz w:val="18"/>
                <w:szCs w:val="18"/>
              </w:rPr>
              <w:t>podporovaných aktivit (str. 78) – že podporována bude:</w:t>
            </w:r>
            <w:r w:rsidR="00D06D94">
              <w:rPr>
                <w:rFonts w:ascii="Calibri" w:hAnsi="Calibri" w:cs="Arial"/>
                <w:sz w:val="18"/>
                <w:szCs w:val="18"/>
              </w:rPr>
              <w:t xml:space="preserve"> </w:t>
            </w:r>
          </w:p>
          <w:p w:rsidR="007F0CA9" w:rsidRPr="00E61284" w:rsidRDefault="006D48A6" w:rsidP="00D06D94">
            <w:pPr>
              <w:spacing w:before="60"/>
              <w:jc w:val="both"/>
              <w:rPr>
                <w:rFonts w:ascii="Calibri" w:hAnsi="Calibri" w:cs="Arial"/>
                <w:sz w:val="18"/>
                <w:szCs w:val="18"/>
              </w:rPr>
            </w:pPr>
            <w:r w:rsidRPr="006D48A6">
              <w:rPr>
                <w:rFonts w:ascii="Calibri" w:hAnsi="Calibri" w:cs="Arial"/>
                <w:sz w:val="18"/>
                <w:szCs w:val="18"/>
              </w:rPr>
              <w:t>„Výstavba nových a rekonstrukce a modernizace stávajících výroben elektřiny a tepla z OZE s tím, že</w:t>
            </w:r>
            <w:r w:rsidR="00D06D94">
              <w:rPr>
                <w:rFonts w:ascii="Calibri" w:hAnsi="Calibri" w:cs="Arial"/>
                <w:sz w:val="18"/>
                <w:szCs w:val="18"/>
              </w:rPr>
              <w:t xml:space="preserve"> </w:t>
            </w:r>
            <w:r w:rsidRPr="006D48A6">
              <w:rPr>
                <w:rFonts w:ascii="Calibri" w:hAnsi="Calibri" w:cs="Arial"/>
                <w:sz w:val="18"/>
                <w:szCs w:val="18"/>
              </w:rPr>
              <w:t>vyrobená energie bude určena primárně pro distribuci, nikoli vlastní spotřebu;“</w:t>
            </w:r>
            <w:r w:rsidR="00D06D94">
              <w:rPr>
                <w:rFonts w:ascii="Calibri" w:hAnsi="Calibri" w:cs="Arial"/>
                <w:sz w:val="18"/>
                <w:szCs w:val="18"/>
              </w:rPr>
              <w:t xml:space="preserve"> </w:t>
            </w:r>
            <w:r w:rsidRPr="006D48A6">
              <w:rPr>
                <w:rFonts w:ascii="Calibri" w:hAnsi="Calibri" w:cs="Arial"/>
                <w:sz w:val="18"/>
                <w:szCs w:val="18"/>
              </w:rPr>
              <w:t>Tuto formulaci považujeme za rizikovou. Podpora by měla být dána především tam, kde bude energie</w:t>
            </w:r>
            <w:r w:rsidR="00D06D94">
              <w:rPr>
                <w:rFonts w:ascii="Calibri" w:hAnsi="Calibri" w:cs="Arial"/>
                <w:sz w:val="18"/>
                <w:szCs w:val="18"/>
              </w:rPr>
              <w:t xml:space="preserve"> </w:t>
            </w:r>
            <w:r w:rsidRPr="006D48A6">
              <w:rPr>
                <w:rFonts w:ascii="Calibri" w:hAnsi="Calibri" w:cs="Arial"/>
                <w:sz w:val="18"/>
                <w:szCs w:val="18"/>
              </w:rPr>
              <w:t>z OZE určena pro vlastní spotřebu, a to tak, že bude hodnocena úspora, tedy neodebraná energie</w:t>
            </w:r>
            <w:r w:rsidR="00D06D94">
              <w:rPr>
                <w:rFonts w:ascii="Calibri" w:hAnsi="Calibri" w:cs="Arial"/>
                <w:sz w:val="18"/>
                <w:szCs w:val="18"/>
              </w:rPr>
              <w:t xml:space="preserve"> </w:t>
            </w:r>
            <w:r w:rsidRPr="006D48A6">
              <w:rPr>
                <w:rFonts w:ascii="Calibri" w:hAnsi="Calibri" w:cs="Arial"/>
                <w:sz w:val="18"/>
                <w:szCs w:val="18"/>
              </w:rPr>
              <w:t>z distribuční soustavy, v ideálním případě dosažení úplné nezávislosti na ní. Distribuce energie z OZE je</w:t>
            </w:r>
            <w:r w:rsidR="00D06D94">
              <w:rPr>
                <w:rFonts w:ascii="Calibri" w:hAnsi="Calibri" w:cs="Arial"/>
                <w:sz w:val="18"/>
                <w:szCs w:val="18"/>
              </w:rPr>
              <w:t xml:space="preserve"> </w:t>
            </w:r>
            <w:r w:rsidRPr="006D48A6">
              <w:rPr>
                <w:rFonts w:ascii="Calibri" w:hAnsi="Calibri" w:cs="Arial"/>
                <w:sz w:val="18"/>
                <w:szCs w:val="18"/>
              </w:rPr>
              <w:t>výnosné podnikání, takže zde není podpora potřebná! Pouze tehdy, pokud je distribuce směrována do</w:t>
            </w:r>
            <w:r w:rsidR="00D06D94">
              <w:rPr>
                <w:rFonts w:ascii="Calibri" w:hAnsi="Calibri" w:cs="Arial"/>
                <w:sz w:val="18"/>
                <w:szCs w:val="18"/>
              </w:rPr>
              <w:t xml:space="preserve"> </w:t>
            </w:r>
            <w:r w:rsidRPr="006D48A6">
              <w:rPr>
                <w:rFonts w:ascii="Calibri" w:hAnsi="Calibri" w:cs="Arial"/>
                <w:sz w:val="18"/>
                <w:szCs w:val="18"/>
              </w:rPr>
              <w:t>nekomerční sféry v místě, např. pro veřejné budovy, školy apod. Tato investiční podpora by měla být</w:t>
            </w:r>
            <w:r w:rsidR="00D06D94">
              <w:rPr>
                <w:rFonts w:ascii="Calibri" w:hAnsi="Calibri" w:cs="Arial"/>
                <w:sz w:val="18"/>
                <w:szCs w:val="18"/>
              </w:rPr>
              <w:t xml:space="preserve"> </w:t>
            </w:r>
            <w:r w:rsidRPr="006D48A6">
              <w:rPr>
                <w:rFonts w:ascii="Calibri" w:hAnsi="Calibri" w:cs="Arial"/>
                <w:sz w:val="18"/>
                <w:szCs w:val="18"/>
              </w:rPr>
              <w:t>zrušena nebo silně omezena, a to ve prospěch investiční podpory 2 v této prioritní ose.</w:t>
            </w:r>
            <w:r w:rsidR="00D06D94">
              <w:rPr>
                <w:rFonts w:ascii="Calibri" w:hAnsi="Calibri" w:cs="Arial"/>
                <w:sz w:val="18"/>
                <w:szCs w:val="18"/>
              </w:rPr>
              <w:t xml:space="preserve"> </w:t>
            </w:r>
            <w:r w:rsidRPr="006D48A6">
              <w:rPr>
                <w:rFonts w:ascii="Calibri" w:hAnsi="Calibri" w:cs="Arial"/>
                <w:sz w:val="18"/>
                <w:szCs w:val="18"/>
              </w:rPr>
              <w:t>Považujeme za vhodné, aby OP PIK směroval podporu především do úspor energie a snižování</w:t>
            </w:r>
            <w:r w:rsidR="00D06D94">
              <w:rPr>
                <w:rFonts w:ascii="Calibri" w:hAnsi="Calibri" w:cs="Arial"/>
                <w:sz w:val="18"/>
                <w:szCs w:val="18"/>
              </w:rPr>
              <w:t xml:space="preserve"> </w:t>
            </w:r>
            <w:r w:rsidRPr="006D48A6">
              <w:rPr>
                <w:rFonts w:ascii="Calibri" w:hAnsi="Calibri" w:cs="Arial"/>
                <w:sz w:val="18"/>
                <w:szCs w:val="18"/>
              </w:rPr>
              <w:t>energetické náročnosti na fosilních zdrojích a jen opravdu všestranně efektivní způsoby využívání OZE</w:t>
            </w:r>
            <w:r w:rsidR="00D06D94">
              <w:rPr>
                <w:rFonts w:ascii="Calibri" w:hAnsi="Calibri" w:cs="Arial"/>
                <w:sz w:val="18"/>
                <w:szCs w:val="18"/>
              </w:rPr>
              <w:t xml:space="preserve"> </w:t>
            </w:r>
            <w:r w:rsidRPr="006D48A6">
              <w:rPr>
                <w:rFonts w:ascii="Calibri" w:hAnsi="Calibri" w:cs="Arial"/>
                <w:sz w:val="18"/>
                <w:szCs w:val="18"/>
              </w:rPr>
              <w:t>byly i nadále podporovány (např. fotovoltaika na střechách pro místní spotřebu, energetická biomasa</w:t>
            </w:r>
            <w:r w:rsidR="00D06D94">
              <w:rPr>
                <w:rFonts w:ascii="Calibri" w:hAnsi="Calibri" w:cs="Arial"/>
                <w:sz w:val="18"/>
                <w:szCs w:val="18"/>
              </w:rPr>
              <w:t xml:space="preserve"> </w:t>
            </w:r>
            <w:r w:rsidRPr="006D48A6">
              <w:rPr>
                <w:rFonts w:ascii="Calibri" w:hAnsi="Calibri" w:cs="Arial"/>
                <w:sz w:val="18"/>
                <w:szCs w:val="18"/>
              </w:rPr>
              <w:t>pouze tam, kde je jí nadbytek a její produkce nebude mít negativní vlivy na ochranu půdy). A to i mimo</w:t>
            </w:r>
            <w:r w:rsidR="00D06D94">
              <w:rPr>
                <w:rFonts w:ascii="Calibri" w:hAnsi="Calibri" w:cs="Arial"/>
                <w:sz w:val="18"/>
                <w:szCs w:val="18"/>
              </w:rPr>
              <w:t xml:space="preserve"> </w:t>
            </w:r>
            <w:r w:rsidRPr="006D48A6">
              <w:rPr>
                <w:rFonts w:ascii="Calibri" w:hAnsi="Calibri" w:cs="Arial"/>
                <w:sz w:val="18"/>
                <w:szCs w:val="18"/>
              </w:rPr>
              <w:t>území CHKO, v CHKO ještě přísněji. Za velmi důležité naopak považujeme podporu výzkumu a vývoje</w:t>
            </w:r>
            <w:r w:rsidR="00D06D94">
              <w:rPr>
                <w:rFonts w:ascii="Calibri" w:hAnsi="Calibri" w:cs="Arial"/>
                <w:sz w:val="18"/>
                <w:szCs w:val="18"/>
              </w:rPr>
              <w:t xml:space="preserve"> </w:t>
            </w:r>
            <w:r w:rsidRPr="006D48A6">
              <w:rPr>
                <w:rFonts w:ascii="Calibri" w:hAnsi="Calibri" w:cs="Arial"/>
                <w:sz w:val="18"/>
                <w:szCs w:val="18"/>
              </w:rPr>
              <w:t>v oblasti energetických úspor, nezávislosti na fosilních e</w:t>
            </w:r>
            <w:r w:rsidR="00D06D94">
              <w:rPr>
                <w:rFonts w:ascii="Calibri" w:hAnsi="Calibri" w:cs="Arial"/>
                <w:sz w:val="18"/>
                <w:szCs w:val="18"/>
              </w:rPr>
              <w:t>nergetických zdrojích a zvyšová</w:t>
            </w:r>
            <w:r w:rsidRPr="006D48A6">
              <w:rPr>
                <w:rFonts w:ascii="Calibri" w:hAnsi="Calibri" w:cs="Arial"/>
                <w:sz w:val="18"/>
                <w:szCs w:val="18"/>
              </w:rPr>
              <w:t>ní efektivity</w:t>
            </w:r>
            <w:r w:rsidR="00D06D94">
              <w:rPr>
                <w:rFonts w:ascii="Calibri" w:hAnsi="Calibri" w:cs="Arial"/>
                <w:sz w:val="18"/>
                <w:szCs w:val="18"/>
              </w:rPr>
              <w:t xml:space="preserve"> </w:t>
            </w:r>
            <w:r w:rsidRPr="006D48A6">
              <w:rPr>
                <w:rFonts w:ascii="Calibri" w:hAnsi="Calibri" w:cs="Arial"/>
                <w:sz w:val="18"/>
                <w:szCs w:val="18"/>
              </w:rPr>
              <w:t>využití OZE. Vyhodnocení vlivů na ŽP na tyto skutečnosti rovněž upozorňuje a jsou obsaženy</w:t>
            </w:r>
            <w:r w:rsidR="00D06D94">
              <w:rPr>
                <w:rFonts w:ascii="Calibri" w:hAnsi="Calibri" w:cs="Arial"/>
                <w:sz w:val="18"/>
                <w:szCs w:val="18"/>
              </w:rPr>
              <w:t xml:space="preserve"> </w:t>
            </w:r>
            <w:r w:rsidRPr="006D48A6">
              <w:rPr>
                <w:rFonts w:ascii="Calibri" w:hAnsi="Calibri" w:cs="Arial"/>
                <w:sz w:val="18"/>
                <w:szCs w:val="18"/>
              </w:rPr>
              <w:t>v navrhovaných podmínkách souhlasného stanoviska.</w:t>
            </w:r>
          </w:p>
        </w:tc>
        <w:tc>
          <w:tcPr>
            <w:tcW w:w="5103" w:type="dxa"/>
          </w:tcPr>
          <w:p w:rsidR="004249C0" w:rsidRPr="004249C0" w:rsidRDefault="004249C0" w:rsidP="004249C0">
            <w:pPr>
              <w:spacing w:before="60"/>
              <w:rPr>
                <w:rFonts w:ascii="Calibri" w:hAnsi="Calibri" w:cs="Arial"/>
                <w:sz w:val="18"/>
                <w:szCs w:val="18"/>
              </w:rPr>
            </w:pPr>
            <w:r w:rsidRPr="004249C0">
              <w:rPr>
                <w:rFonts w:ascii="Calibri" w:hAnsi="Calibri" w:cs="Arial"/>
                <w:sz w:val="18"/>
                <w:szCs w:val="18"/>
              </w:rPr>
              <w:t>V rámci OP PIK nebude podpořen žádný projekt negativním vlivem na ŽP (jde o jedno z horizontálních kritérií pro výběr projektů). Zároveň platí, že projekty v SC 3.1 budou muset mít stavební povolení, tedy vč. EIA. Pokud by projekt tato kritéria nesplňoval, nedostane ani Rozhodnutí o poskytnutí dotace, tedy příslib peněz.</w:t>
            </w:r>
          </w:p>
          <w:p w:rsidR="004249C0" w:rsidRPr="004249C0" w:rsidRDefault="004249C0" w:rsidP="004249C0">
            <w:pPr>
              <w:spacing w:before="60"/>
              <w:rPr>
                <w:rFonts w:ascii="Calibri" w:hAnsi="Calibri" w:cs="Arial"/>
                <w:sz w:val="18"/>
                <w:szCs w:val="18"/>
              </w:rPr>
            </w:pPr>
            <w:r w:rsidRPr="004249C0">
              <w:rPr>
                <w:rFonts w:ascii="Calibri" w:hAnsi="Calibri" w:cs="Arial"/>
                <w:sz w:val="18"/>
                <w:szCs w:val="18"/>
              </w:rPr>
              <w:t>Oblast OZE je v OP PIK záměrně rozčleněna do dvou specifických cílů. SC 3.2 je mj. zaměřen na podporu energie z OZE pro vlastní spotřebu z důvodu naplnění směrnice o energetické náročnosti. Naproti tomu SC 3.1 je určen pro distribuci, tak aby bylo možno podporovat i projekty, které sice dodávají elektrickou energii do sítě, ale tepelnou energii dodávají v rámci regionu. V případě náhrady konvenčních paliv (např. uhlí, mazut apod.) za biomasu lze očekávat velmi pozitivní efekty na životní prostředí.  Současně se nastavením prováděcích dokumentů bude podpora zaměřovat zejména na efektivní využití tepla. Tedy typickým příkladem SC 3.1 by měl být projekt soukromé společnosti, která postaví spalovnu biomasy v režimu KVET a bude dodávat teplo do obce či  jinému subjektu. Bude se jednat o malé a střední zařízení respektující možnosti daného regionu zabezpečit dostatek vstupních surovin a maximálně využít/spotřebovat energii v blízkosti své výroby (opět jde o jedno z výběrových kritérií). Finanční alokace pro tento SC je v poměru k ostatním specifických cílům OP PIK jedna z nejmenších a snahou bude podpořit pouze projekty s vysokou efektivitou využití tepla.</w:t>
            </w:r>
          </w:p>
          <w:p w:rsidR="004249C0" w:rsidRPr="004249C0" w:rsidRDefault="004249C0" w:rsidP="004249C0">
            <w:pPr>
              <w:spacing w:before="60"/>
              <w:rPr>
                <w:rFonts w:ascii="Calibri" w:hAnsi="Calibri" w:cs="Arial"/>
                <w:sz w:val="18"/>
                <w:szCs w:val="18"/>
              </w:rPr>
            </w:pPr>
            <w:r w:rsidRPr="004249C0">
              <w:rPr>
                <w:rFonts w:ascii="Calibri" w:hAnsi="Calibri" w:cs="Arial"/>
                <w:sz w:val="18"/>
                <w:szCs w:val="18"/>
              </w:rPr>
              <w:t>Dále je potřeba upozornit na to, že distribuce energie z OZE už nebude tak ekonomicky výhodná jako tomu bylo v minulosti, neboť provozní podpora pro nové zařízení již nebude, (kromě malých vodních elektráren, které ji ovšem mají velmi nízkou a pouze kombinace s investiční dotací může vést investory ke stimulaci výstavby či rekonstrukci těchto zařízení).</w:t>
            </w:r>
          </w:p>
          <w:p w:rsidR="007F0CA9" w:rsidRDefault="004249C0" w:rsidP="004249C0">
            <w:pPr>
              <w:spacing w:before="60"/>
              <w:rPr>
                <w:rFonts w:ascii="Calibri" w:hAnsi="Calibri" w:cs="Arial"/>
                <w:sz w:val="18"/>
                <w:szCs w:val="18"/>
              </w:rPr>
            </w:pPr>
            <w:r w:rsidRPr="004249C0">
              <w:rPr>
                <w:rFonts w:ascii="Calibri" w:hAnsi="Calibri" w:cs="Arial"/>
                <w:sz w:val="18"/>
                <w:szCs w:val="18"/>
              </w:rPr>
              <w:lastRenderedPageBreak/>
              <w:t>Pro úplnost dodáváme, že se ČR zavázala ve vládou schváleném Národním akčním plánu pro energii z OZE k naplnění cíle dosáhnout podílu energie z OZE na hrubé konečné spotřebě energie ve výši 13 % do r. 2020, k čemuž by měl SC 3.1 přispět.</w:t>
            </w:r>
          </w:p>
        </w:tc>
      </w:tr>
      <w:tr w:rsidR="007F0CA9" w:rsidRPr="003243DB">
        <w:tc>
          <w:tcPr>
            <w:tcW w:w="1646" w:type="dxa"/>
            <w:vMerge/>
            <w:shd w:val="clear" w:color="auto" w:fill="auto"/>
          </w:tcPr>
          <w:p w:rsidR="007F0CA9" w:rsidRPr="005E5D05" w:rsidRDefault="007F0CA9" w:rsidP="002740E2">
            <w:pPr>
              <w:spacing w:before="60"/>
              <w:rPr>
                <w:rFonts w:ascii="Calibri" w:hAnsi="Calibri" w:cs="Arial"/>
                <w:b/>
                <w:sz w:val="18"/>
                <w:szCs w:val="18"/>
              </w:rPr>
            </w:pPr>
          </w:p>
        </w:tc>
        <w:tc>
          <w:tcPr>
            <w:tcW w:w="7906" w:type="dxa"/>
          </w:tcPr>
          <w:p w:rsidR="006C559B" w:rsidRPr="00E61284" w:rsidRDefault="006D48A6" w:rsidP="00D06D94">
            <w:pPr>
              <w:spacing w:before="60"/>
              <w:jc w:val="both"/>
              <w:rPr>
                <w:rFonts w:ascii="Calibri" w:hAnsi="Calibri" w:cs="Arial"/>
                <w:sz w:val="18"/>
                <w:szCs w:val="18"/>
              </w:rPr>
            </w:pPr>
            <w:r w:rsidRPr="006D48A6">
              <w:rPr>
                <w:rFonts w:ascii="Calibri" w:hAnsi="Calibri" w:cs="Arial"/>
                <w:sz w:val="18"/>
                <w:szCs w:val="18"/>
              </w:rPr>
              <w:t>Vzhledem k dosavadním nepříliš dobrým zkušenostem s podporou využívání OZE považujeme</w:t>
            </w:r>
            <w:r w:rsidR="00D06D94">
              <w:rPr>
                <w:rFonts w:ascii="Calibri" w:hAnsi="Calibri" w:cs="Arial"/>
                <w:sz w:val="18"/>
                <w:szCs w:val="18"/>
              </w:rPr>
              <w:t xml:space="preserve"> </w:t>
            </w:r>
            <w:r w:rsidRPr="006D48A6">
              <w:rPr>
                <w:rFonts w:ascii="Calibri" w:hAnsi="Calibri" w:cs="Arial"/>
                <w:sz w:val="18"/>
                <w:szCs w:val="18"/>
              </w:rPr>
              <w:t>za významné také správné nastavení indikátorů pro hodnocení záměrů. V minulém období byly</w:t>
            </w:r>
            <w:r w:rsidR="00D06D94">
              <w:rPr>
                <w:rFonts w:ascii="Calibri" w:hAnsi="Calibri" w:cs="Arial"/>
                <w:sz w:val="18"/>
                <w:szCs w:val="18"/>
              </w:rPr>
              <w:t xml:space="preserve"> </w:t>
            </w:r>
            <w:r w:rsidRPr="006D48A6">
              <w:rPr>
                <w:rFonts w:ascii="Calibri" w:hAnsi="Calibri" w:cs="Arial"/>
                <w:sz w:val="18"/>
                <w:szCs w:val="18"/>
              </w:rPr>
              <w:t>zaměřeny především na kvantitativní (počet podpořených projektů a podíl výroby elektřiny z OZE na</w:t>
            </w:r>
            <w:r w:rsidR="00D06D94">
              <w:rPr>
                <w:rFonts w:ascii="Calibri" w:hAnsi="Calibri" w:cs="Arial"/>
                <w:sz w:val="18"/>
                <w:szCs w:val="18"/>
              </w:rPr>
              <w:t xml:space="preserve"> </w:t>
            </w:r>
            <w:r w:rsidRPr="006D48A6">
              <w:rPr>
                <w:rFonts w:ascii="Calibri" w:hAnsi="Calibri" w:cs="Arial"/>
                <w:sz w:val="18"/>
                <w:szCs w:val="18"/>
              </w:rPr>
              <w:t>celkové hrubé spotřebě), málo na kvalitativní (úspora energie) ukazatele. Správě formulované indikátory</w:t>
            </w:r>
            <w:r w:rsidR="006C559B">
              <w:rPr>
                <w:rFonts w:ascii="Calibri" w:hAnsi="Calibri" w:cs="Arial"/>
                <w:sz w:val="18"/>
                <w:szCs w:val="18"/>
              </w:rPr>
              <w:t xml:space="preserve"> </w:t>
            </w:r>
            <w:r w:rsidR="006C559B" w:rsidRPr="006C559B">
              <w:rPr>
                <w:rFonts w:ascii="Calibri" w:hAnsi="Calibri" w:cs="Arial"/>
                <w:sz w:val="18"/>
                <w:szCs w:val="18"/>
              </w:rPr>
              <w:t>by měly vyjadřovat jednak efektivitu a kvalitu realizovaných projektů, ale také jejich dopad na prostředí,</w:t>
            </w:r>
            <w:r w:rsidR="00D06D94">
              <w:rPr>
                <w:rFonts w:ascii="Calibri" w:hAnsi="Calibri" w:cs="Arial"/>
                <w:sz w:val="18"/>
                <w:szCs w:val="18"/>
              </w:rPr>
              <w:t xml:space="preserve"> </w:t>
            </w:r>
            <w:r w:rsidR="006C559B" w:rsidRPr="006C559B">
              <w:rPr>
                <w:rFonts w:ascii="Calibri" w:hAnsi="Calibri" w:cs="Arial"/>
                <w:sz w:val="18"/>
                <w:szCs w:val="18"/>
              </w:rPr>
              <w:t>aby vyjádřily i všestranně společensky prospěšný efekt programu. Vyhodnocení vlivů na ŽP takové</w:t>
            </w:r>
            <w:r w:rsidR="00D06D94">
              <w:rPr>
                <w:rFonts w:ascii="Calibri" w:hAnsi="Calibri" w:cs="Arial"/>
                <w:sz w:val="18"/>
                <w:szCs w:val="18"/>
              </w:rPr>
              <w:t xml:space="preserve"> </w:t>
            </w:r>
            <w:r w:rsidR="006C559B" w:rsidRPr="006C559B">
              <w:rPr>
                <w:rFonts w:ascii="Calibri" w:hAnsi="Calibri" w:cs="Arial"/>
                <w:sz w:val="18"/>
                <w:szCs w:val="18"/>
              </w:rPr>
              <w:t>indikátory obsahuje. Důležité bude jim dát potřebnou váhu při hodnocení projektů.</w:t>
            </w:r>
          </w:p>
        </w:tc>
        <w:tc>
          <w:tcPr>
            <w:tcW w:w="5103" w:type="dxa"/>
          </w:tcPr>
          <w:p w:rsidR="007F0CA9" w:rsidRDefault="006049C1" w:rsidP="006049C1">
            <w:pPr>
              <w:spacing w:before="60"/>
              <w:rPr>
                <w:rFonts w:ascii="Calibri" w:hAnsi="Calibri" w:cs="Arial"/>
                <w:sz w:val="18"/>
                <w:szCs w:val="18"/>
              </w:rPr>
            </w:pPr>
            <w:r>
              <w:rPr>
                <w:rFonts w:ascii="Calibri" w:hAnsi="Calibri" w:cs="Arial"/>
                <w:sz w:val="18"/>
                <w:szCs w:val="18"/>
              </w:rPr>
              <w:t xml:space="preserve">Jak vyplývá z OP PIK, navržené ENVI indikátory jsou součástí celkového systému sledování implementace OP PIK na životní prostředí. </w:t>
            </w:r>
          </w:p>
          <w:p w:rsidR="006049C1" w:rsidRDefault="00907BE4" w:rsidP="001A2DE3">
            <w:pPr>
              <w:spacing w:before="60"/>
              <w:rPr>
                <w:rFonts w:ascii="Calibri" w:hAnsi="Calibri" w:cs="Arial"/>
                <w:sz w:val="18"/>
                <w:szCs w:val="18"/>
              </w:rPr>
            </w:pPr>
            <w:r w:rsidRPr="00907BE4">
              <w:rPr>
                <w:rFonts w:ascii="Calibri" w:hAnsi="Calibri" w:cs="Arial"/>
                <w:sz w:val="18"/>
                <w:szCs w:val="18"/>
              </w:rPr>
              <w:t xml:space="preserve">Indikátorová soustava byla </w:t>
            </w:r>
            <w:r w:rsidR="001A2DE3">
              <w:rPr>
                <w:rFonts w:ascii="Calibri" w:hAnsi="Calibri" w:cs="Arial"/>
                <w:sz w:val="18"/>
                <w:szCs w:val="18"/>
              </w:rPr>
              <w:t>dopracována v souladu s připomínkami</w:t>
            </w:r>
            <w:r w:rsidRPr="00907BE4">
              <w:rPr>
                <w:rFonts w:ascii="Calibri" w:hAnsi="Calibri" w:cs="Arial"/>
                <w:sz w:val="18"/>
                <w:szCs w:val="18"/>
              </w:rPr>
              <w:t xml:space="preserve"> E</w:t>
            </w:r>
            <w:r>
              <w:rPr>
                <w:rFonts w:ascii="Calibri" w:hAnsi="Calibri" w:cs="Arial"/>
                <w:sz w:val="18"/>
                <w:szCs w:val="18"/>
              </w:rPr>
              <w:t>vropské komise</w:t>
            </w:r>
            <w:r w:rsidRPr="00907BE4">
              <w:rPr>
                <w:rFonts w:ascii="Calibri" w:hAnsi="Calibri" w:cs="Arial"/>
                <w:sz w:val="18"/>
                <w:szCs w:val="18"/>
              </w:rPr>
              <w:t xml:space="preserve"> a dalších relevantních partnerů včetně SEA hodnotitele přepracována. V textu operačního programu jsou, dle požadavků EK, sledovány ukazatele kontextového charakteru, nicméně na úrovni projektů budeme sledovat množství indikátorů, které mají vazbu na Vámi definované charakteristiky. Půjde zejména o „Užitečné teplo“, „Výrobu elektrické energie z obnovitelných zdrojů celkem“, „Výrobu tepla z obnovitelných zdrojů celkem“, „Snížení emisí CO2“, „Snížení emisí primárních částic a prekurzorů sekundárních částic“, „Zvýšení instalovaného tepelného výkonu u podpořených subjektů“ a „Zvýšení instalovaného elektrického výkonu u podpořených subjektů“.</w:t>
            </w:r>
          </w:p>
        </w:tc>
      </w:tr>
      <w:tr w:rsidR="007F0CA9" w:rsidRPr="003243DB">
        <w:tc>
          <w:tcPr>
            <w:tcW w:w="1646" w:type="dxa"/>
            <w:vMerge/>
            <w:shd w:val="clear" w:color="auto" w:fill="auto"/>
          </w:tcPr>
          <w:p w:rsidR="007F0CA9" w:rsidRPr="005E5D05" w:rsidRDefault="007F0CA9" w:rsidP="002740E2">
            <w:pPr>
              <w:spacing w:before="60"/>
              <w:rPr>
                <w:rFonts w:ascii="Calibri" w:hAnsi="Calibri" w:cs="Arial"/>
                <w:b/>
                <w:sz w:val="18"/>
                <w:szCs w:val="18"/>
              </w:rPr>
            </w:pPr>
          </w:p>
        </w:tc>
        <w:tc>
          <w:tcPr>
            <w:tcW w:w="7906" w:type="dxa"/>
          </w:tcPr>
          <w:p w:rsidR="007F0CA9" w:rsidRPr="00E61284" w:rsidRDefault="006C559B" w:rsidP="00D06D94">
            <w:pPr>
              <w:spacing w:before="60"/>
              <w:jc w:val="both"/>
              <w:rPr>
                <w:rFonts w:ascii="Calibri" w:hAnsi="Calibri" w:cs="Arial"/>
                <w:sz w:val="18"/>
                <w:szCs w:val="18"/>
              </w:rPr>
            </w:pPr>
            <w:r w:rsidRPr="006C559B">
              <w:rPr>
                <w:rFonts w:ascii="Calibri" w:hAnsi="Calibri" w:cs="Arial"/>
                <w:sz w:val="18"/>
                <w:szCs w:val="18"/>
              </w:rPr>
              <w:t>Dále považujeme za důležité, aby důležitá váha byla při hodnocení dána využívání tzv.</w:t>
            </w:r>
            <w:r w:rsidR="00D06D94">
              <w:rPr>
                <w:rFonts w:ascii="Calibri" w:hAnsi="Calibri" w:cs="Arial"/>
                <w:sz w:val="18"/>
                <w:szCs w:val="18"/>
              </w:rPr>
              <w:t xml:space="preserve"> </w:t>
            </w:r>
            <w:r w:rsidRPr="006C559B">
              <w:rPr>
                <w:rFonts w:ascii="Calibri" w:hAnsi="Calibri" w:cs="Arial"/>
                <w:sz w:val="18"/>
                <w:szCs w:val="18"/>
              </w:rPr>
              <w:t>brow</w:t>
            </w:r>
            <w:r w:rsidR="001B33B1">
              <w:rPr>
                <w:rFonts w:ascii="Calibri" w:hAnsi="Calibri" w:cs="Arial"/>
                <w:sz w:val="18"/>
                <w:szCs w:val="18"/>
              </w:rPr>
              <w:t>n</w:t>
            </w:r>
            <w:r w:rsidRPr="006C559B">
              <w:rPr>
                <w:rFonts w:ascii="Calibri" w:hAnsi="Calibri" w:cs="Arial"/>
                <w:sz w:val="18"/>
                <w:szCs w:val="18"/>
              </w:rPr>
              <w:t>fields. Tedy stimulovat rekonstrukce a využívání prázdných areálů bývalých podniků, v</w:t>
            </w:r>
            <w:r w:rsidR="00D06D94">
              <w:rPr>
                <w:rFonts w:ascii="Calibri" w:hAnsi="Calibri" w:cs="Arial"/>
                <w:sz w:val="18"/>
                <w:szCs w:val="18"/>
              </w:rPr>
              <w:t> </w:t>
            </w:r>
            <w:r w:rsidRPr="006C559B">
              <w:rPr>
                <w:rFonts w:ascii="Calibri" w:hAnsi="Calibri" w:cs="Arial"/>
                <w:sz w:val="18"/>
                <w:szCs w:val="18"/>
              </w:rPr>
              <w:t>poměrech</w:t>
            </w:r>
            <w:r w:rsidR="00D06D94">
              <w:rPr>
                <w:rFonts w:ascii="Calibri" w:hAnsi="Calibri" w:cs="Arial"/>
                <w:sz w:val="18"/>
                <w:szCs w:val="18"/>
              </w:rPr>
              <w:t xml:space="preserve"> </w:t>
            </w:r>
            <w:r w:rsidRPr="006C559B">
              <w:rPr>
                <w:rFonts w:ascii="Calibri" w:hAnsi="Calibri" w:cs="Arial"/>
                <w:sz w:val="18"/>
                <w:szCs w:val="18"/>
              </w:rPr>
              <w:t>venkova především státních statků a JZD, z nichž mnohé dodnes chátrají, jsou často velmi výraznou,</w:t>
            </w:r>
            <w:r w:rsidR="00D06D94">
              <w:rPr>
                <w:rFonts w:ascii="Calibri" w:hAnsi="Calibri" w:cs="Arial"/>
                <w:sz w:val="18"/>
                <w:szCs w:val="18"/>
              </w:rPr>
              <w:t xml:space="preserve"> </w:t>
            </w:r>
            <w:r w:rsidRPr="006C559B">
              <w:rPr>
                <w:rFonts w:ascii="Calibri" w:hAnsi="Calibri" w:cs="Arial"/>
                <w:sz w:val="18"/>
                <w:szCs w:val="18"/>
              </w:rPr>
              <w:t>ale zápornou dominantou krajiny. Naopak jakékoli stavby na „zelené louce“, vyžadující zábor</w:t>
            </w:r>
            <w:r w:rsidR="00D06D94">
              <w:rPr>
                <w:rFonts w:ascii="Calibri" w:hAnsi="Calibri" w:cs="Arial"/>
                <w:sz w:val="18"/>
                <w:szCs w:val="18"/>
              </w:rPr>
              <w:t xml:space="preserve"> </w:t>
            </w:r>
            <w:r w:rsidRPr="006C559B">
              <w:rPr>
                <w:rFonts w:ascii="Calibri" w:hAnsi="Calibri" w:cs="Arial"/>
                <w:sz w:val="18"/>
                <w:szCs w:val="18"/>
              </w:rPr>
              <w:t>zemědělské půdy i ostatních přírodních ploch, by měly být znevýhodněny. Vyhodnocení vlivů na ŽP se</w:t>
            </w:r>
            <w:r w:rsidR="00D06D94">
              <w:rPr>
                <w:rFonts w:ascii="Calibri" w:hAnsi="Calibri" w:cs="Arial"/>
                <w:sz w:val="18"/>
                <w:szCs w:val="18"/>
              </w:rPr>
              <w:t xml:space="preserve"> </w:t>
            </w:r>
            <w:r w:rsidRPr="006C559B">
              <w:rPr>
                <w:rFonts w:ascii="Calibri" w:hAnsi="Calibri" w:cs="Arial"/>
                <w:sz w:val="18"/>
                <w:szCs w:val="18"/>
              </w:rPr>
              <w:t>v tomto směru také shoduje s naším názorem a požadavek minimálního záboru půdy zohledňuje.</w:t>
            </w:r>
          </w:p>
        </w:tc>
        <w:tc>
          <w:tcPr>
            <w:tcW w:w="5103" w:type="dxa"/>
          </w:tcPr>
          <w:p w:rsidR="00502F03" w:rsidRDefault="00AC3B33" w:rsidP="00B81C08">
            <w:pPr>
              <w:spacing w:before="60"/>
              <w:rPr>
                <w:rFonts w:ascii="Calibri" w:hAnsi="Calibri" w:cs="Arial"/>
                <w:sz w:val="18"/>
                <w:szCs w:val="18"/>
              </w:rPr>
            </w:pPr>
            <w:r>
              <w:rPr>
                <w:rFonts w:ascii="Calibri" w:hAnsi="Calibri" w:cs="Arial"/>
                <w:sz w:val="18"/>
                <w:szCs w:val="18"/>
              </w:rPr>
              <w:t>Připomínka je plně v souladu s podporovanými aktivitami OP PIK. Jedním z cílů je z</w:t>
            </w:r>
            <w:r w:rsidRPr="00AC3B33">
              <w:rPr>
                <w:rFonts w:ascii="Calibri" w:hAnsi="Calibri" w:cs="Arial"/>
                <w:sz w:val="18"/>
                <w:szCs w:val="18"/>
              </w:rPr>
              <w:t>výšit využitelnost infrastruktury pro podnikání</w:t>
            </w:r>
            <w:r>
              <w:rPr>
                <w:rFonts w:ascii="Calibri" w:hAnsi="Calibri" w:cs="Arial"/>
                <w:sz w:val="18"/>
                <w:szCs w:val="18"/>
              </w:rPr>
              <w:t>, včetně rekonstrukce brownfieldů. Bude podporována m</w:t>
            </w:r>
            <w:r w:rsidRPr="00AC3B33">
              <w:rPr>
                <w:rFonts w:ascii="Calibri" w:hAnsi="Calibri" w:cs="Arial"/>
                <w:sz w:val="18"/>
                <w:szCs w:val="18"/>
              </w:rPr>
              <w:t>odernizace výrobních provozů a rekonstrukce stávající zastaralé infrastruktury</w:t>
            </w:r>
            <w:r>
              <w:rPr>
                <w:rFonts w:ascii="Calibri" w:hAnsi="Calibri" w:cs="Arial"/>
                <w:sz w:val="18"/>
                <w:szCs w:val="18"/>
              </w:rPr>
              <w:t xml:space="preserve">, přičemž </w:t>
            </w:r>
            <w:r w:rsidR="00B81C08">
              <w:rPr>
                <w:rFonts w:ascii="Calibri" w:hAnsi="Calibri" w:cs="Arial"/>
                <w:sz w:val="18"/>
                <w:szCs w:val="18"/>
              </w:rPr>
              <w:t>z podpory budou vyloučeny projekty, které by vedly k záboru</w:t>
            </w:r>
            <w:r w:rsidR="00907BE4">
              <w:rPr>
                <w:rFonts w:ascii="Calibri" w:hAnsi="Calibri" w:cs="Arial"/>
                <w:sz w:val="18"/>
                <w:szCs w:val="18"/>
              </w:rPr>
              <w:t xml:space="preserve"> zemědělského půdního fondu</w:t>
            </w:r>
            <w:r>
              <w:rPr>
                <w:rFonts w:ascii="Calibri" w:hAnsi="Calibri" w:cs="Arial"/>
                <w:sz w:val="18"/>
                <w:szCs w:val="18"/>
              </w:rPr>
              <w:t>.</w:t>
            </w:r>
            <w:r w:rsidR="00B81C08">
              <w:rPr>
                <w:rFonts w:ascii="Calibri" w:hAnsi="Calibri" w:cs="Arial"/>
                <w:sz w:val="18"/>
                <w:szCs w:val="18"/>
              </w:rPr>
              <w:t xml:space="preserve"> </w:t>
            </w:r>
            <w:r w:rsidR="00B81C08" w:rsidRPr="00B81C08">
              <w:rPr>
                <w:rFonts w:ascii="Calibri" w:hAnsi="Calibri" w:cs="Arial"/>
                <w:sz w:val="18"/>
                <w:szCs w:val="18"/>
              </w:rPr>
              <w:t xml:space="preserve">Nad rámec </w:t>
            </w:r>
            <w:r w:rsidR="00B81C08">
              <w:rPr>
                <w:rFonts w:ascii="Calibri" w:hAnsi="Calibri" w:cs="Arial"/>
                <w:sz w:val="18"/>
                <w:szCs w:val="18"/>
              </w:rPr>
              <w:t>výsledkového</w:t>
            </w:r>
            <w:r w:rsidR="00B81C08" w:rsidRPr="00B81C08">
              <w:rPr>
                <w:rFonts w:ascii="Calibri" w:hAnsi="Calibri" w:cs="Arial"/>
                <w:sz w:val="18"/>
                <w:szCs w:val="18"/>
              </w:rPr>
              <w:t xml:space="preserve"> indikátoru </w:t>
            </w:r>
            <w:r w:rsidR="00B81C08">
              <w:rPr>
                <w:rFonts w:ascii="Calibri" w:hAnsi="Calibri" w:cs="Arial"/>
                <w:sz w:val="18"/>
                <w:szCs w:val="18"/>
              </w:rPr>
              <w:t>„</w:t>
            </w:r>
            <w:r w:rsidR="00B81C08" w:rsidRPr="00B81C08">
              <w:rPr>
                <w:rFonts w:ascii="Calibri" w:hAnsi="Calibri" w:cs="Arial"/>
                <w:sz w:val="18"/>
                <w:szCs w:val="18"/>
              </w:rPr>
              <w:t>Celková rozloha regenerovaných lokalit v Národní databázi brownfieldů</w:t>
            </w:r>
            <w:r w:rsidR="00B81C08">
              <w:rPr>
                <w:rFonts w:ascii="Calibri" w:hAnsi="Calibri" w:cs="Arial"/>
                <w:sz w:val="18"/>
                <w:szCs w:val="18"/>
              </w:rPr>
              <w:t>“</w:t>
            </w:r>
            <w:r w:rsidR="00B81C08" w:rsidRPr="00B81C08">
              <w:rPr>
                <w:rFonts w:ascii="Calibri" w:hAnsi="Calibri" w:cs="Arial"/>
                <w:sz w:val="18"/>
                <w:szCs w:val="18"/>
              </w:rPr>
              <w:t xml:space="preserve"> bude na projektové úrovni interně monitorován vliv daného projektu na oblast půdy prostřednictvím indikátoru „Rozšířené, zrekonstruované nebo nově vybudované kapacity bez záboru zemědělského půdního fondu“. </w:t>
            </w:r>
          </w:p>
        </w:tc>
      </w:tr>
      <w:tr w:rsidR="007F0CA9" w:rsidRPr="003243DB">
        <w:tc>
          <w:tcPr>
            <w:tcW w:w="1646" w:type="dxa"/>
            <w:vMerge/>
            <w:shd w:val="clear" w:color="auto" w:fill="auto"/>
          </w:tcPr>
          <w:p w:rsidR="007F0CA9" w:rsidRPr="005E5D05" w:rsidRDefault="007F0CA9" w:rsidP="002740E2">
            <w:pPr>
              <w:spacing w:before="60"/>
              <w:rPr>
                <w:rFonts w:ascii="Calibri" w:hAnsi="Calibri" w:cs="Arial"/>
                <w:b/>
                <w:sz w:val="18"/>
                <w:szCs w:val="18"/>
              </w:rPr>
            </w:pPr>
          </w:p>
        </w:tc>
        <w:tc>
          <w:tcPr>
            <w:tcW w:w="7906" w:type="dxa"/>
          </w:tcPr>
          <w:p w:rsidR="007F0CA9" w:rsidRPr="00E61284" w:rsidRDefault="006C559B" w:rsidP="00D06D94">
            <w:pPr>
              <w:spacing w:before="60"/>
              <w:jc w:val="both"/>
              <w:rPr>
                <w:rFonts w:ascii="Calibri" w:hAnsi="Calibri" w:cs="Arial"/>
                <w:sz w:val="18"/>
                <w:szCs w:val="18"/>
              </w:rPr>
            </w:pPr>
            <w:r w:rsidRPr="006C559B">
              <w:rPr>
                <w:rFonts w:ascii="Calibri" w:hAnsi="Calibri" w:cs="Arial"/>
                <w:sz w:val="18"/>
                <w:szCs w:val="18"/>
              </w:rPr>
              <w:t>Správa CHKO Křivoklátsko v zásadě souhlasí s vyhodnocením vlivů OP PIK na životní prostředí</w:t>
            </w:r>
            <w:r w:rsidR="00D06D94">
              <w:rPr>
                <w:rFonts w:ascii="Calibri" w:hAnsi="Calibri" w:cs="Arial"/>
                <w:sz w:val="18"/>
                <w:szCs w:val="18"/>
              </w:rPr>
              <w:t xml:space="preserve"> </w:t>
            </w:r>
            <w:r w:rsidRPr="006C559B">
              <w:rPr>
                <w:rFonts w:ascii="Calibri" w:hAnsi="Calibri" w:cs="Arial"/>
                <w:sz w:val="18"/>
                <w:szCs w:val="18"/>
              </w:rPr>
              <w:t>a lidské zdraví, se závěry a podmínkami souhlasného stanoviska. Ve smyslu výše uvedených</w:t>
            </w:r>
            <w:r w:rsidR="00D06D94">
              <w:rPr>
                <w:rFonts w:ascii="Calibri" w:hAnsi="Calibri" w:cs="Arial"/>
                <w:sz w:val="18"/>
                <w:szCs w:val="18"/>
              </w:rPr>
              <w:t xml:space="preserve"> </w:t>
            </w:r>
            <w:r w:rsidRPr="006C559B">
              <w:rPr>
                <w:rFonts w:ascii="Calibri" w:hAnsi="Calibri" w:cs="Arial"/>
                <w:sz w:val="18"/>
                <w:szCs w:val="18"/>
              </w:rPr>
              <w:t>připomínek je doporučuje zdůraznit a požadovat úpravy v textu koncepce.</w:t>
            </w:r>
          </w:p>
        </w:tc>
        <w:tc>
          <w:tcPr>
            <w:tcW w:w="5103" w:type="dxa"/>
          </w:tcPr>
          <w:p w:rsidR="005E3421" w:rsidRDefault="001A2DE3" w:rsidP="001A2DE3">
            <w:pPr>
              <w:spacing w:before="60"/>
              <w:rPr>
                <w:rFonts w:ascii="Calibri" w:hAnsi="Calibri" w:cs="Arial"/>
                <w:sz w:val="18"/>
                <w:szCs w:val="18"/>
              </w:rPr>
            </w:pPr>
            <w:r>
              <w:rPr>
                <w:rFonts w:ascii="Calibri" w:hAnsi="Calibri" w:cs="Arial"/>
                <w:sz w:val="18"/>
                <w:szCs w:val="18"/>
              </w:rPr>
              <w:t>Problematika podpory OZE v OP PIK – viz vysvětlení výše. Otázka indikátorů pro aktivity týkající se OZE a otázka brownfieldů je v OP PIK již zohledněna dle výše uvedených připomínek.</w:t>
            </w:r>
          </w:p>
        </w:tc>
      </w:tr>
      <w:tr w:rsidR="009B0766" w:rsidRPr="003243DB">
        <w:tc>
          <w:tcPr>
            <w:tcW w:w="1646" w:type="dxa"/>
            <w:vMerge w:val="restart"/>
            <w:shd w:val="clear" w:color="auto" w:fill="auto"/>
          </w:tcPr>
          <w:p w:rsidR="009B0766" w:rsidRPr="005E5D05" w:rsidRDefault="009B0766" w:rsidP="002740E2">
            <w:pPr>
              <w:spacing w:before="60"/>
              <w:rPr>
                <w:rFonts w:ascii="Calibri" w:hAnsi="Calibri" w:cs="Arial"/>
                <w:b/>
                <w:sz w:val="18"/>
                <w:szCs w:val="18"/>
              </w:rPr>
            </w:pPr>
            <w:r>
              <w:rPr>
                <w:rFonts w:ascii="Calibri" w:hAnsi="Calibri" w:cs="Arial"/>
                <w:b/>
                <w:sz w:val="18"/>
                <w:szCs w:val="18"/>
              </w:rPr>
              <w:lastRenderedPageBreak/>
              <w:t>CEE Bankwatch</w:t>
            </w:r>
          </w:p>
        </w:tc>
        <w:tc>
          <w:tcPr>
            <w:tcW w:w="7906" w:type="dxa"/>
          </w:tcPr>
          <w:p w:rsidR="009B0766" w:rsidRPr="009B0766" w:rsidRDefault="009B0766" w:rsidP="009B0766">
            <w:pPr>
              <w:spacing w:before="60"/>
              <w:jc w:val="both"/>
              <w:rPr>
                <w:rFonts w:ascii="Calibri" w:hAnsi="Calibri" w:cs="Arial"/>
                <w:sz w:val="18"/>
                <w:szCs w:val="18"/>
              </w:rPr>
            </w:pPr>
            <w:r>
              <w:rPr>
                <w:rFonts w:ascii="Calibri" w:hAnsi="Calibri" w:cs="Arial"/>
                <w:sz w:val="18"/>
                <w:szCs w:val="18"/>
              </w:rPr>
              <w:t xml:space="preserve">Str. 94, stejně tak 132: </w:t>
            </w:r>
            <w:r w:rsidRPr="009B0766">
              <w:rPr>
                <w:rFonts w:ascii="Calibri" w:hAnsi="Calibri" w:cs="Arial"/>
                <w:sz w:val="18"/>
                <w:szCs w:val="18"/>
              </w:rPr>
              <w:t>V rámci SC 1.1 a 1.2 se doporučuje pozitivně</w:t>
            </w:r>
            <w:r>
              <w:rPr>
                <w:rFonts w:ascii="Calibri" w:hAnsi="Calibri" w:cs="Arial"/>
                <w:sz w:val="18"/>
                <w:szCs w:val="18"/>
              </w:rPr>
              <w:t xml:space="preserve"> </w:t>
            </w:r>
            <w:r w:rsidRPr="009B0766">
              <w:rPr>
                <w:rFonts w:ascii="Calibri" w:hAnsi="Calibri" w:cs="Arial"/>
                <w:sz w:val="18"/>
                <w:szCs w:val="18"/>
              </w:rPr>
              <w:t>bonifikovat žádosti o podporu</w:t>
            </w:r>
            <w:r>
              <w:rPr>
                <w:rFonts w:ascii="Calibri" w:hAnsi="Calibri" w:cs="Arial"/>
                <w:sz w:val="18"/>
                <w:szCs w:val="18"/>
              </w:rPr>
              <w:t xml:space="preserve"> </w:t>
            </w:r>
            <w:r w:rsidRPr="009B0766">
              <w:rPr>
                <w:rFonts w:ascii="Calibri" w:hAnsi="Calibri" w:cs="Arial"/>
                <w:sz w:val="18"/>
                <w:szCs w:val="18"/>
              </w:rPr>
              <w:t>(resp. klastrová uskupení působící v</w:t>
            </w:r>
            <w:r>
              <w:rPr>
                <w:rFonts w:ascii="Calibri" w:hAnsi="Calibri" w:cs="Arial"/>
                <w:sz w:val="18"/>
                <w:szCs w:val="18"/>
              </w:rPr>
              <w:t xml:space="preserve"> </w:t>
            </w:r>
            <w:r w:rsidRPr="009B0766">
              <w:rPr>
                <w:rFonts w:ascii="Calibri" w:hAnsi="Calibri" w:cs="Arial"/>
                <w:sz w:val="18"/>
                <w:szCs w:val="18"/>
              </w:rPr>
              <w:t>oblastech), které jsou zaměřeny na:</w:t>
            </w:r>
          </w:p>
          <w:p w:rsidR="009B0766" w:rsidRPr="009B0766" w:rsidRDefault="009B0766" w:rsidP="009B0766">
            <w:pPr>
              <w:spacing w:before="60"/>
              <w:jc w:val="both"/>
              <w:rPr>
                <w:rFonts w:ascii="Calibri" w:hAnsi="Calibri" w:cs="Arial"/>
                <w:strike/>
                <w:sz w:val="18"/>
                <w:szCs w:val="18"/>
              </w:rPr>
            </w:pPr>
            <w:r w:rsidRPr="009B0766">
              <w:rPr>
                <w:rFonts w:ascii="Calibri" w:hAnsi="Calibri" w:cs="Arial"/>
                <w:strike/>
                <w:sz w:val="18"/>
                <w:szCs w:val="18"/>
              </w:rPr>
              <w:t>energetické využití odpadů</w:t>
            </w:r>
          </w:p>
          <w:p w:rsidR="009B0766" w:rsidRDefault="009B0766" w:rsidP="009B0766">
            <w:pPr>
              <w:spacing w:before="60"/>
              <w:jc w:val="both"/>
              <w:rPr>
                <w:rFonts w:ascii="Calibri" w:hAnsi="Calibri" w:cs="Arial"/>
                <w:sz w:val="18"/>
                <w:szCs w:val="18"/>
              </w:rPr>
            </w:pPr>
            <w:r w:rsidRPr="009B0766">
              <w:rPr>
                <w:rFonts w:ascii="Calibri" w:hAnsi="Calibri" w:cs="Arial"/>
                <w:sz w:val="18"/>
                <w:szCs w:val="18"/>
              </w:rPr>
              <w:t>Nahradit:</w:t>
            </w:r>
            <w:r>
              <w:rPr>
                <w:rFonts w:ascii="Calibri" w:hAnsi="Calibri" w:cs="Arial"/>
                <w:sz w:val="18"/>
                <w:szCs w:val="18"/>
              </w:rPr>
              <w:t xml:space="preserve"> </w:t>
            </w:r>
            <w:r w:rsidRPr="009B0766">
              <w:rPr>
                <w:rFonts w:ascii="Calibri" w:hAnsi="Calibri" w:cs="Arial"/>
                <w:sz w:val="18"/>
                <w:szCs w:val="18"/>
              </w:rPr>
              <w:t>předcházení, znovuvyužití, recyklaci a</w:t>
            </w:r>
            <w:r>
              <w:rPr>
                <w:rFonts w:ascii="Calibri" w:hAnsi="Calibri" w:cs="Arial"/>
                <w:sz w:val="18"/>
                <w:szCs w:val="18"/>
              </w:rPr>
              <w:t xml:space="preserve"> </w:t>
            </w:r>
            <w:r w:rsidRPr="009B0766">
              <w:rPr>
                <w:rFonts w:ascii="Calibri" w:hAnsi="Calibri" w:cs="Arial"/>
                <w:sz w:val="18"/>
                <w:szCs w:val="18"/>
              </w:rPr>
              <w:t>materiálové využití odpadů</w:t>
            </w:r>
            <w:r>
              <w:rPr>
                <w:rFonts w:ascii="Calibri" w:hAnsi="Calibri" w:cs="Arial"/>
                <w:sz w:val="18"/>
                <w:szCs w:val="18"/>
              </w:rPr>
              <w:t xml:space="preserve"> </w:t>
            </w:r>
          </w:p>
          <w:p w:rsidR="009B0766" w:rsidRPr="00E61284" w:rsidRDefault="009B0766" w:rsidP="009B0766">
            <w:pPr>
              <w:spacing w:before="60"/>
              <w:jc w:val="both"/>
              <w:rPr>
                <w:rFonts w:ascii="Calibri" w:hAnsi="Calibri" w:cs="Arial"/>
                <w:sz w:val="18"/>
                <w:szCs w:val="18"/>
              </w:rPr>
            </w:pPr>
            <w:r>
              <w:rPr>
                <w:rFonts w:ascii="Calibri" w:hAnsi="Calibri" w:cs="Arial"/>
                <w:sz w:val="18"/>
                <w:szCs w:val="18"/>
              </w:rPr>
              <w:t xml:space="preserve">Zdůvodnění: </w:t>
            </w:r>
            <w:r w:rsidRPr="009B0766">
              <w:rPr>
                <w:rFonts w:ascii="Calibri" w:hAnsi="Calibri" w:cs="Arial"/>
                <w:sz w:val="18"/>
                <w:szCs w:val="18"/>
              </w:rPr>
              <w:t>Podobně jako u podpory samotných</w:t>
            </w:r>
            <w:r>
              <w:rPr>
                <w:rFonts w:ascii="Calibri" w:hAnsi="Calibri" w:cs="Arial"/>
                <w:sz w:val="18"/>
                <w:szCs w:val="18"/>
              </w:rPr>
              <w:t xml:space="preserve"> </w:t>
            </w:r>
            <w:r w:rsidRPr="009B0766">
              <w:rPr>
                <w:rFonts w:ascii="Calibri" w:hAnsi="Calibri" w:cs="Arial"/>
                <w:sz w:val="18"/>
                <w:szCs w:val="18"/>
              </w:rPr>
              <w:t>projektů odpadového hospodářství, je i</w:t>
            </w:r>
            <w:r>
              <w:rPr>
                <w:rFonts w:ascii="Calibri" w:hAnsi="Calibri" w:cs="Arial"/>
                <w:sz w:val="18"/>
                <w:szCs w:val="18"/>
              </w:rPr>
              <w:t xml:space="preserve"> </w:t>
            </w:r>
            <w:r w:rsidRPr="009B0766">
              <w:rPr>
                <w:rFonts w:ascii="Calibri" w:hAnsi="Calibri" w:cs="Arial"/>
                <w:sz w:val="18"/>
                <w:szCs w:val="18"/>
              </w:rPr>
              <w:t>ve výzkumu potřeba podporovat</w:t>
            </w:r>
            <w:r>
              <w:rPr>
                <w:rFonts w:ascii="Calibri" w:hAnsi="Calibri" w:cs="Arial"/>
                <w:sz w:val="18"/>
                <w:szCs w:val="18"/>
              </w:rPr>
              <w:t xml:space="preserve"> </w:t>
            </w:r>
            <w:r w:rsidRPr="009B0766">
              <w:rPr>
                <w:rFonts w:ascii="Calibri" w:hAnsi="Calibri" w:cs="Arial"/>
                <w:sz w:val="18"/>
                <w:szCs w:val="18"/>
              </w:rPr>
              <w:t>technologie vedoucí k</w:t>
            </w:r>
            <w:r>
              <w:rPr>
                <w:rFonts w:ascii="Calibri" w:hAnsi="Calibri" w:cs="Arial"/>
                <w:sz w:val="18"/>
                <w:szCs w:val="18"/>
              </w:rPr>
              <w:t> </w:t>
            </w:r>
            <w:r w:rsidRPr="009B0766">
              <w:rPr>
                <w:rFonts w:ascii="Calibri" w:hAnsi="Calibri" w:cs="Arial"/>
                <w:sz w:val="18"/>
                <w:szCs w:val="18"/>
              </w:rPr>
              <w:t>naplňování</w:t>
            </w:r>
            <w:r>
              <w:rPr>
                <w:rFonts w:ascii="Calibri" w:hAnsi="Calibri" w:cs="Arial"/>
                <w:sz w:val="18"/>
                <w:szCs w:val="18"/>
              </w:rPr>
              <w:t xml:space="preserve"> </w:t>
            </w:r>
            <w:r w:rsidRPr="009B0766">
              <w:rPr>
                <w:rFonts w:ascii="Calibri" w:hAnsi="Calibri" w:cs="Arial"/>
                <w:sz w:val="18"/>
                <w:szCs w:val="18"/>
              </w:rPr>
              <w:t>prvních, nikoli posledních stupňů</w:t>
            </w:r>
            <w:r>
              <w:rPr>
                <w:rFonts w:ascii="Calibri" w:hAnsi="Calibri" w:cs="Arial"/>
                <w:sz w:val="18"/>
                <w:szCs w:val="18"/>
              </w:rPr>
              <w:t xml:space="preserve"> </w:t>
            </w:r>
            <w:r w:rsidRPr="009B0766">
              <w:rPr>
                <w:rFonts w:ascii="Calibri" w:hAnsi="Calibri" w:cs="Arial"/>
                <w:sz w:val="18"/>
                <w:szCs w:val="18"/>
              </w:rPr>
              <w:t>odpadové hierarchie. Navrhované</w:t>
            </w:r>
            <w:r>
              <w:rPr>
                <w:rFonts w:ascii="Calibri" w:hAnsi="Calibri" w:cs="Arial"/>
                <w:sz w:val="18"/>
                <w:szCs w:val="18"/>
              </w:rPr>
              <w:t xml:space="preserve"> </w:t>
            </w:r>
            <w:r w:rsidRPr="009B0766">
              <w:rPr>
                <w:rFonts w:ascii="Calibri" w:hAnsi="Calibri" w:cs="Arial"/>
                <w:sz w:val="18"/>
                <w:szCs w:val="18"/>
              </w:rPr>
              <w:t>opatření může přinést pozitivní dopady</w:t>
            </w:r>
            <w:r>
              <w:rPr>
                <w:rFonts w:ascii="Calibri" w:hAnsi="Calibri" w:cs="Arial"/>
                <w:sz w:val="18"/>
                <w:szCs w:val="18"/>
              </w:rPr>
              <w:t xml:space="preserve"> </w:t>
            </w:r>
            <w:r w:rsidRPr="009B0766">
              <w:rPr>
                <w:rFonts w:ascii="Calibri" w:hAnsi="Calibri" w:cs="Arial"/>
                <w:sz w:val="18"/>
                <w:szCs w:val="18"/>
              </w:rPr>
              <w:t>snížení emisí skleníkových plynů,</w:t>
            </w:r>
            <w:r>
              <w:rPr>
                <w:rFonts w:ascii="Calibri" w:hAnsi="Calibri" w:cs="Arial"/>
                <w:sz w:val="18"/>
                <w:szCs w:val="18"/>
              </w:rPr>
              <w:t xml:space="preserve"> </w:t>
            </w:r>
            <w:r w:rsidRPr="009B0766">
              <w:rPr>
                <w:rFonts w:ascii="Calibri" w:hAnsi="Calibri" w:cs="Arial"/>
                <w:sz w:val="18"/>
                <w:szCs w:val="18"/>
              </w:rPr>
              <w:t>spotřeby neobnovitelných zdrojů a</w:t>
            </w:r>
            <w:r>
              <w:rPr>
                <w:rFonts w:ascii="Calibri" w:hAnsi="Calibri" w:cs="Arial"/>
                <w:sz w:val="18"/>
                <w:szCs w:val="18"/>
              </w:rPr>
              <w:t xml:space="preserve"> </w:t>
            </w:r>
            <w:r w:rsidRPr="009B0766">
              <w:rPr>
                <w:rFonts w:ascii="Calibri" w:hAnsi="Calibri" w:cs="Arial"/>
                <w:sz w:val="18"/>
                <w:szCs w:val="18"/>
              </w:rPr>
              <w:t>emisí dalších látek.</w:t>
            </w:r>
          </w:p>
        </w:tc>
        <w:tc>
          <w:tcPr>
            <w:tcW w:w="5103" w:type="dxa"/>
          </w:tcPr>
          <w:p w:rsidR="009B0766" w:rsidRDefault="009B0766" w:rsidP="00426B75">
            <w:pPr>
              <w:spacing w:before="60"/>
              <w:rPr>
                <w:rFonts w:ascii="Calibri" w:hAnsi="Calibri" w:cs="Arial"/>
                <w:sz w:val="18"/>
                <w:szCs w:val="18"/>
              </w:rPr>
            </w:pPr>
            <w:r w:rsidRPr="001B33B1">
              <w:rPr>
                <w:rFonts w:ascii="Calibri" w:hAnsi="Calibri" w:cs="Arial"/>
                <w:sz w:val="18"/>
                <w:szCs w:val="18"/>
              </w:rPr>
              <w:t>SEA</w:t>
            </w:r>
            <w:r>
              <w:rPr>
                <w:rFonts w:ascii="Calibri" w:hAnsi="Calibri" w:cs="Arial"/>
                <w:sz w:val="18"/>
                <w:szCs w:val="18"/>
              </w:rPr>
              <w:t xml:space="preserve"> </w:t>
            </w:r>
            <w:r w:rsidR="001B33B1">
              <w:rPr>
                <w:rFonts w:ascii="Calibri" w:hAnsi="Calibri" w:cs="Arial"/>
                <w:sz w:val="18"/>
                <w:szCs w:val="18"/>
              </w:rPr>
              <w:t>hodnotitel s úpravou podmínky v návrhu stanoviska souhlasí.</w:t>
            </w:r>
          </w:p>
        </w:tc>
      </w:tr>
      <w:tr w:rsidR="009B0766" w:rsidRPr="003243DB">
        <w:tc>
          <w:tcPr>
            <w:tcW w:w="1646" w:type="dxa"/>
            <w:vMerge/>
            <w:shd w:val="clear" w:color="auto" w:fill="auto"/>
          </w:tcPr>
          <w:p w:rsidR="009B0766" w:rsidRPr="005E5D05" w:rsidRDefault="009B0766" w:rsidP="002740E2">
            <w:pPr>
              <w:spacing w:before="60"/>
              <w:rPr>
                <w:rFonts w:ascii="Calibri" w:hAnsi="Calibri" w:cs="Arial"/>
                <w:b/>
                <w:sz w:val="18"/>
                <w:szCs w:val="18"/>
              </w:rPr>
            </w:pPr>
          </w:p>
        </w:tc>
        <w:tc>
          <w:tcPr>
            <w:tcW w:w="7906" w:type="dxa"/>
          </w:tcPr>
          <w:p w:rsidR="009B0766" w:rsidRPr="009B0766" w:rsidRDefault="009B0766" w:rsidP="009B0766">
            <w:pPr>
              <w:spacing w:before="60"/>
              <w:jc w:val="both"/>
              <w:rPr>
                <w:rFonts w:ascii="Calibri" w:hAnsi="Calibri" w:cs="Arial"/>
                <w:sz w:val="18"/>
                <w:szCs w:val="18"/>
              </w:rPr>
            </w:pPr>
            <w:r>
              <w:rPr>
                <w:rFonts w:ascii="Calibri" w:hAnsi="Calibri" w:cs="Arial"/>
                <w:sz w:val="18"/>
                <w:szCs w:val="18"/>
              </w:rPr>
              <w:t xml:space="preserve">Str. 94, stejně tak 133: </w:t>
            </w:r>
            <w:r w:rsidRPr="009B0766">
              <w:rPr>
                <w:rFonts w:ascii="Calibri" w:hAnsi="Calibri" w:cs="Arial"/>
                <w:strike/>
                <w:sz w:val="18"/>
                <w:szCs w:val="18"/>
              </w:rPr>
              <w:t>ostrovní energetické systémy</w:t>
            </w:r>
            <w:r>
              <w:rPr>
                <w:rFonts w:ascii="Calibri" w:hAnsi="Calibri" w:cs="Arial"/>
                <w:strike/>
                <w:sz w:val="18"/>
                <w:szCs w:val="18"/>
              </w:rPr>
              <w:t xml:space="preserve"> </w:t>
            </w:r>
          </w:p>
          <w:p w:rsidR="009B0766" w:rsidRDefault="009B0766" w:rsidP="009B0766">
            <w:pPr>
              <w:spacing w:before="60"/>
              <w:jc w:val="both"/>
              <w:rPr>
                <w:rFonts w:ascii="Calibri" w:hAnsi="Calibri" w:cs="Arial"/>
                <w:sz w:val="18"/>
                <w:szCs w:val="18"/>
              </w:rPr>
            </w:pPr>
            <w:r w:rsidRPr="009B0766">
              <w:rPr>
                <w:rFonts w:ascii="Calibri" w:hAnsi="Calibri" w:cs="Arial"/>
                <w:sz w:val="18"/>
                <w:szCs w:val="18"/>
              </w:rPr>
              <w:t>Nahradit:</w:t>
            </w:r>
            <w:r>
              <w:rPr>
                <w:rFonts w:ascii="Calibri" w:hAnsi="Calibri" w:cs="Arial"/>
                <w:sz w:val="18"/>
                <w:szCs w:val="18"/>
              </w:rPr>
              <w:t xml:space="preserve"> </w:t>
            </w:r>
            <w:r w:rsidRPr="009B0766">
              <w:rPr>
                <w:rFonts w:ascii="Calibri" w:hAnsi="Calibri" w:cs="Arial"/>
                <w:sz w:val="18"/>
                <w:szCs w:val="18"/>
              </w:rPr>
              <w:t>systémy OZE pro lokální soběstačnost</w:t>
            </w:r>
          </w:p>
          <w:p w:rsidR="009B0766" w:rsidRPr="00E61284" w:rsidRDefault="009B0766" w:rsidP="009B0766">
            <w:pPr>
              <w:spacing w:before="60"/>
              <w:jc w:val="both"/>
              <w:rPr>
                <w:rFonts w:ascii="Calibri" w:hAnsi="Calibri" w:cs="Arial"/>
                <w:sz w:val="18"/>
                <w:szCs w:val="18"/>
              </w:rPr>
            </w:pPr>
            <w:r>
              <w:rPr>
                <w:rFonts w:ascii="Calibri" w:hAnsi="Calibri" w:cs="Arial"/>
                <w:sz w:val="18"/>
                <w:szCs w:val="18"/>
              </w:rPr>
              <w:t xml:space="preserve">Zdůvodnění: </w:t>
            </w:r>
            <w:r w:rsidRPr="009B0766">
              <w:rPr>
                <w:rFonts w:ascii="Calibri" w:hAnsi="Calibri" w:cs="Arial"/>
                <w:sz w:val="18"/>
                <w:szCs w:val="18"/>
              </w:rPr>
              <w:t>Navrhujeme širší pojem. Ostrovní</w:t>
            </w:r>
            <w:r>
              <w:rPr>
                <w:rFonts w:ascii="Calibri" w:hAnsi="Calibri" w:cs="Arial"/>
                <w:sz w:val="18"/>
                <w:szCs w:val="18"/>
              </w:rPr>
              <w:t xml:space="preserve"> </w:t>
            </w:r>
            <w:r w:rsidRPr="009B0766">
              <w:rPr>
                <w:rFonts w:ascii="Calibri" w:hAnsi="Calibri" w:cs="Arial"/>
                <w:sz w:val="18"/>
                <w:szCs w:val="18"/>
              </w:rPr>
              <w:t>systémy mají v energetice jen</w:t>
            </w:r>
            <w:r>
              <w:rPr>
                <w:rFonts w:ascii="Calibri" w:hAnsi="Calibri" w:cs="Arial"/>
                <w:sz w:val="18"/>
                <w:szCs w:val="18"/>
              </w:rPr>
              <w:t xml:space="preserve"> </w:t>
            </w:r>
            <w:r w:rsidRPr="009B0766">
              <w:rPr>
                <w:rFonts w:ascii="Calibri" w:hAnsi="Calibri" w:cs="Arial"/>
                <w:sz w:val="18"/>
                <w:szCs w:val="18"/>
              </w:rPr>
              <w:t>limitované využití, naproti tomu</w:t>
            </w:r>
            <w:r>
              <w:rPr>
                <w:rFonts w:ascii="Calibri" w:hAnsi="Calibri" w:cs="Arial"/>
                <w:sz w:val="18"/>
                <w:szCs w:val="18"/>
              </w:rPr>
              <w:t xml:space="preserve"> </w:t>
            </w:r>
            <w:r w:rsidRPr="009B0766">
              <w:rPr>
                <w:rFonts w:ascii="Calibri" w:hAnsi="Calibri" w:cs="Arial"/>
                <w:sz w:val="18"/>
                <w:szCs w:val="18"/>
              </w:rPr>
              <w:t>systémy posilující energetickou</w:t>
            </w:r>
            <w:r>
              <w:rPr>
                <w:rFonts w:ascii="Calibri" w:hAnsi="Calibri" w:cs="Arial"/>
                <w:sz w:val="18"/>
                <w:szCs w:val="18"/>
              </w:rPr>
              <w:t xml:space="preserve"> </w:t>
            </w:r>
            <w:r w:rsidRPr="009B0766">
              <w:rPr>
                <w:rFonts w:ascii="Calibri" w:hAnsi="Calibri" w:cs="Arial"/>
                <w:sz w:val="18"/>
                <w:szCs w:val="18"/>
              </w:rPr>
              <w:t>soběstačnost mohou pracovat v</w:t>
            </w:r>
            <w:r>
              <w:rPr>
                <w:rFonts w:ascii="Calibri" w:hAnsi="Calibri" w:cs="Arial"/>
                <w:sz w:val="18"/>
                <w:szCs w:val="18"/>
              </w:rPr>
              <w:t xml:space="preserve"> </w:t>
            </w:r>
            <w:r w:rsidRPr="009B0766">
              <w:rPr>
                <w:rFonts w:ascii="Calibri" w:hAnsi="Calibri" w:cs="Arial"/>
                <w:sz w:val="18"/>
                <w:szCs w:val="18"/>
              </w:rPr>
              <w:t>ostrovním režimu, je-li to nutné, jinak</w:t>
            </w:r>
            <w:r>
              <w:rPr>
                <w:rFonts w:ascii="Calibri" w:hAnsi="Calibri" w:cs="Arial"/>
                <w:sz w:val="18"/>
                <w:szCs w:val="18"/>
              </w:rPr>
              <w:t xml:space="preserve"> </w:t>
            </w:r>
            <w:r w:rsidRPr="009B0766">
              <w:rPr>
                <w:rFonts w:ascii="Calibri" w:hAnsi="Calibri" w:cs="Arial"/>
                <w:sz w:val="18"/>
                <w:szCs w:val="18"/>
              </w:rPr>
              <w:t>vhodně kombinují vlastní produkci a</w:t>
            </w:r>
            <w:r>
              <w:rPr>
                <w:rFonts w:ascii="Calibri" w:hAnsi="Calibri" w:cs="Arial"/>
                <w:sz w:val="18"/>
                <w:szCs w:val="18"/>
              </w:rPr>
              <w:t xml:space="preserve"> </w:t>
            </w:r>
            <w:r w:rsidRPr="009B0766">
              <w:rPr>
                <w:rFonts w:ascii="Calibri" w:hAnsi="Calibri" w:cs="Arial"/>
                <w:sz w:val="18"/>
                <w:szCs w:val="18"/>
              </w:rPr>
              <w:t>spotřebu s možností dodávat/odebírat</w:t>
            </w:r>
            <w:r>
              <w:rPr>
                <w:rFonts w:ascii="Calibri" w:hAnsi="Calibri" w:cs="Arial"/>
                <w:sz w:val="18"/>
                <w:szCs w:val="18"/>
              </w:rPr>
              <w:t xml:space="preserve"> </w:t>
            </w:r>
            <w:r w:rsidRPr="009B0766">
              <w:rPr>
                <w:rFonts w:ascii="Calibri" w:hAnsi="Calibri" w:cs="Arial"/>
                <w:sz w:val="18"/>
                <w:szCs w:val="18"/>
              </w:rPr>
              <w:t>energii v síti. Tyto systémy jsou</w:t>
            </w:r>
            <w:r>
              <w:rPr>
                <w:rFonts w:ascii="Calibri" w:hAnsi="Calibri" w:cs="Arial"/>
                <w:sz w:val="18"/>
                <w:szCs w:val="18"/>
              </w:rPr>
              <w:t xml:space="preserve"> </w:t>
            </w:r>
            <w:r w:rsidRPr="009B0766">
              <w:rPr>
                <w:rFonts w:ascii="Calibri" w:hAnsi="Calibri" w:cs="Arial"/>
                <w:sz w:val="18"/>
                <w:szCs w:val="18"/>
              </w:rPr>
              <w:t>obvyklou cestou k</w:t>
            </w:r>
            <w:r>
              <w:rPr>
                <w:rFonts w:ascii="Calibri" w:hAnsi="Calibri" w:cs="Arial"/>
                <w:sz w:val="18"/>
                <w:szCs w:val="18"/>
              </w:rPr>
              <w:t> </w:t>
            </w:r>
            <w:r w:rsidRPr="009B0766">
              <w:rPr>
                <w:rFonts w:ascii="Calibri" w:hAnsi="Calibri" w:cs="Arial"/>
                <w:sz w:val="18"/>
                <w:szCs w:val="18"/>
              </w:rPr>
              <w:t>energetické</w:t>
            </w:r>
            <w:r>
              <w:rPr>
                <w:rFonts w:ascii="Calibri" w:hAnsi="Calibri" w:cs="Arial"/>
                <w:sz w:val="18"/>
                <w:szCs w:val="18"/>
              </w:rPr>
              <w:t xml:space="preserve"> </w:t>
            </w:r>
            <w:r w:rsidRPr="009B0766">
              <w:rPr>
                <w:rFonts w:ascii="Calibri" w:hAnsi="Calibri" w:cs="Arial"/>
                <w:sz w:val="18"/>
                <w:szCs w:val="18"/>
              </w:rPr>
              <w:t>bezpečnosti v zahraničí.</w:t>
            </w:r>
          </w:p>
        </w:tc>
        <w:tc>
          <w:tcPr>
            <w:tcW w:w="5103" w:type="dxa"/>
          </w:tcPr>
          <w:p w:rsidR="009B0766" w:rsidRDefault="009B0766" w:rsidP="00F53215">
            <w:pPr>
              <w:spacing w:before="60"/>
              <w:rPr>
                <w:rFonts w:ascii="Calibri" w:hAnsi="Calibri" w:cs="Arial"/>
                <w:sz w:val="18"/>
                <w:szCs w:val="18"/>
              </w:rPr>
            </w:pPr>
            <w:r>
              <w:rPr>
                <w:rFonts w:ascii="Calibri" w:hAnsi="Calibri" w:cs="Arial"/>
                <w:sz w:val="18"/>
                <w:szCs w:val="18"/>
              </w:rPr>
              <w:t xml:space="preserve">MPO </w:t>
            </w:r>
            <w:r w:rsidR="00F53215">
              <w:rPr>
                <w:rFonts w:ascii="Calibri" w:hAnsi="Calibri" w:cs="Arial"/>
                <w:sz w:val="18"/>
                <w:szCs w:val="18"/>
              </w:rPr>
              <w:t>n</w:t>
            </w:r>
            <w:r w:rsidR="00F53215" w:rsidRPr="00F53215">
              <w:rPr>
                <w:rFonts w:ascii="Calibri" w:hAnsi="Calibri" w:cs="Arial"/>
                <w:sz w:val="18"/>
                <w:szCs w:val="18"/>
              </w:rPr>
              <w:t xml:space="preserve">esouhlasí, že nahrazení „ostrovní energetické systémy“ za „systémy OZE pro lokální soběstačnost“ znamená širší pojem. </w:t>
            </w:r>
            <w:r w:rsidR="00F53215">
              <w:rPr>
                <w:rFonts w:ascii="Calibri" w:hAnsi="Calibri" w:cs="Arial"/>
                <w:sz w:val="18"/>
                <w:szCs w:val="18"/>
              </w:rPr>
              <w:t>Jedná se o zúžení</w:t>
            </w:r>
            <w:r w:rsidR="00F53215" w:rsidRPr="00F53215">
              <w:rPr>
                <w:rFonts w:ascii="Calibri" w:hAnsi="Calibri" w:cs="Arial"/>
                <w:sz w:val="18"/>
                <w:szCs w:val="18"/>
              </w:rPr>
              <w:t xml:space="preserve"> pouze na oblast OZE. </w:t>
            </w:r>
            <w:r w:rsidR="00F53215">
              <w:rPr>
                <w:rFonts w:ascii="Calibri" w:hAnsi="Calibri" w:cs="Arial"/>
                <w:sz w:val="18"/>
                <w:szCs w:val="18"/>
              </w:rPr>
              <w:t>MPO d</w:t>
            </w:r>
            <w:r w:rsidR="00F53215" w:rsidRPr="00F53215">
              <w:rPr>
                <w:rFonts w:ascii="Calibri" w:hAnsi="Calibri" w:cs="Arial"/>
                <w:sz w:val="18"/>
                <w:szCs w:val="18"/>
              </w:rPr>
              <w:t>oporučuje po</w:t>
            </w:r>
            <w:r w:rsidR="00F53215">
              <w:rPr>
                <w:rFonts w:ascii="Calibri" w:hAnsi="Calibri" w:cs="Arial"/>
                <w:sz w:val="18"/>
                <w:szCs w:val="18"/>
              </w:rPr>
              <w:t>nechat ve stávajícím ustanovení</w:t>
            </w:r>
            <w:r w:rsidR="00F53215" w:rsidRPr="00F53215">
              <w:rPr>
                <w:rFonts w:ascii="Calibri" w:hAnsi="Calibri" w:cs="Arial"/>
                <w:sz w:val="18"/>
                <w:szCs w:val="18"/>
              </w:rPr>
              <w:t xml:space="preserve">. Samozřejmě, že OZE bude preferovanou oblastí, nicméně </w:t>
            </w:r>
            <w:r w:rsidR="00F53215">
              <w:rPr>
                <w:rFonts w:ascii="Calibri" w:hAnsi="Calibri" w:cs="Arial"/>
                <w:sz w:val="18"/>
                <w:szCs w:val="18"/>
              </w:rPr>
              <w:t xml:space="preserve">MPO </w:t>
            </w:r>
            <w:r w:rsidR="00F53215" w:rsidRPr="00F53215">
              <w:rPr>
                <w:rFonts w:ascii="Calibri" w:hAnsi="Calibri" w:cs="Arial"/>
                <w:sz w:val="18"/>
                <w:szCs w:val="18"/>
              </w:rPr>
              <w:t>nechce zužovat oblast pouze na ni.</w:t>
            </w:r>
          </w:p>
        </w:tc>
      </w:tr>
      <w:tr w:rsidR="009B0766" w:rsidRPr="003243DB">
        <w:tc>
          <w:tcPr>
            <w:tcW w:w="1646" w:type="dxa"/>
            <w:vMerge/>
            <w:shd w:val="clear" w:color="auto" w:fill="auto"/>
          </w:tcPr>
          <w:p w:rsidR="009B0766" w:rsidRPr="005E5D05" w:rsidRDefault="009B0766" w:rsidP="002740E2">
            <w:pPr>
              <w:spacing w:before="60"/>
              <w:rPr>
                <w:rFonts w:ascii="Calibri" w:hAnsi="Calibri" w:cs="Arial"/>
                <w:b/>
                <w:sz w:val="18"/>
                <w:szCs w:val="18"/>
              </w:rPr>
            </w:pPr>
          </w:p>
        </w:tc>
        <w:tc>
          <w:tcPr>
            <w:tcW w:w="7906" w:type="dxa"/>
          </w:tcPr>
          <w:p w:rsidR="009B0766" w:rsidRDefault="009B0766" w:rsidP="009B0766">
            <w:pPr>
              <w:spacing w:before="60"/>
              <w:jc w:val="both"/>
              <w:rPr>
                <w:rFonts w:ascii="Calibri" w:hAnsi="Calibri" w:cs="Arial"/>
                <w:sz w:val="18"/>
                <w:szCs w:val="18"/>
              </w:rPr>
            </w:pPr>
            <w:r>
              <w:rPr>
                <w:rFonts w:ascii="Calibri" w:hAnsi="Calibri" w:cs="Arial"/>
                <w:sz w:val="18"/>
                <w:szCs w:val="18"/>
              </w:rPr>
              <w:t xml:space="preserve">Str. 95, stejně tak 133: </w:t>
            </w:r>
            <w:r w:rsidRPr="009B0766">
              <w:rPr>
                <w:rFonts w:ascii="Calibri" w:hAnsi="Calibri" w:cs="Arial"/>
                <w:sz w:val="18"/>
                <w:szCs w:val="18"/>
              </w:rPr>
              <w:t>Doplnit:</w:t>
            </w:r>
            <w:r>
              <w:rPr>
                <w:rFonts w:ascii="Calibri" w:hAnsi="Calibri" w:cs="Arial"/>
                <w:sz w:val="18"/>
                <w:szCs w:val="18"/>
              </w:rPr>
              <w:t xml:space="preserve"> </w:t>
            </w:r>
            <w:r w:rsidRPr="009B0766">
              <w:rPr>
                <w:rFonts w:ascii="Calibri" w:hAnsi="Calibri" w:cs="Arial"/>
                <w:sz w:val="18"/>
                <w:szCs w:val="18"/>
              </w:rPr>
              <w:t>Pro SC 1.1:</w:t>
            </w:r>
            <w:r>
              <w:rPr>
                <w:rFonts w:ascii="Calibri" w:hAnsi="Calibri" w:cs="Arial"/>
                <w:sz w:val="18"/>
                <w:szCs w:val="18"/>
              </w:rPr>
              <w:t xml:space="preserve"> </w:t>
            </w:r>
            <w:r w:rsidRPr="009B0766">
              <w:rPr>
                <w:rFonts w:ascii="Calibri" w:hAnsi="Calibri" w:cs="Arial"/>
                <w:sz w:val="18"/>
                <w:szCs w:val="18"/>
              </w:rPr>
              <w:t>1. Limitující podmínkou pro poskytnutí</w:t>
            </w:r>
            <w:r>
              <w:rPr>
                <w:rFonts w:ascii="Calibri" w:hAnsi="Calibri" w:cs="Arial"/>
                <w:sz w:val="18"/>
                <w:szCs w:val="18"/>
              </w:rPr>
              <w:t xml:space="preserve"> </w:t>
            </w:r>
            <w:r w:rsidRPr="009B0766">
              <w:rPr>
                <w:rFonts w:ascii="Calibri" w:hAnsi="Calibri" w:cs="Arial"/>
                <w:sz w:val="18"/>
                <w:szCs w:val="18"/>
              </w:rPr>
              <w:t>podpory všech projektů</w:t>
            </w:r>
            <w:r>
              <w:rPr>
                <w:rFonts w:ascii="Calibri" w:hAnsi="Calibri" w:cs="Arial"/>
                <w:sz w:val="18"/>
                <w:szCs w:val="18"/>
              </w:rPr>
              <w:t xml:space="preserve"> </w:t>
            </w:r>
            <w:r w:rsidRPr="009B0766">
              <w:rPr>
                <w:rFonts w:ascii="Calibri" w:hAnsi="Calibri" w:cs="Arial"/>
                <w:sz w:val="18"/>
                <w:szCs w:val="18"/>
              </w:rPr>
              <w:t>zaměřených na modernizace stávajících</w:t>
            </w:r>
            <w:r>
              <w:rPr>
                <w:rFonts w:ascii="Calibri" w:hAnsi="Calibri" w:cs="Arial"/>
                <w:sz w:val="18"/>
                <w:szCs w:val="18"/>
              </w:rPr>
              <w:t xml:space="preserve"> </w:t>
            </w:r>
            <w:r w:rsidRPr="009B0766">
              <w:rPr>
                <w:rFonts w:ascii="Calibri" w:hAnsi="Calibri" w:cs="Arial"/>
                <w:sz w:val="18"/>
                <w:szCs w:val="18"/>
              </w:rPr>
              <w:t>technologií je relativní</w:t>
            </w:r>
            <w:r>
              <w:rPr>
                <w:rFonts w:ascii="Calibri" w:hAnsi="Calibri" w:cs="Arial"/>
                <w:sz w:val="18"/>
                <w:szCs w:val="18"/>
              </w:rPr>
              <w:t xml:space="preserve"> </w:t>
            </w:r>
            <w:r w:rsidRPr="009B0766">
              <w:rPr>
                <w:rFonts w:ascii="Calibri" w:hAnsi="Calibri" w:cs="Arial"/>
                <w:sz w:val="18"/>
                <w:szCs w:val="18"/>
              </w:rPr>
              <w:t xml:space="preserve">snížení měrné výrobní emise </w:t>
            </w:r>
            <w:r w:rsidRPr="009B0766">
              <w:rPr>
                <w:rFonts w:ascii="Calibri" w:hAnsi="Calibri" w:cs="Arial"/>
                <w:b/>
                <w:sz w:val="18"/>
                <w:szCs w:val="18"/>
              </w:rPr>
              <w:t>CO2</w:t>
            </w:r>
            <w:r w:rsidRPr="009B0766">
              <w:rPr>
                <w:rFonts w:ascii="Calibri" w:hAnsi="Calibri" w:cs="Arial"/>
                <w:sz w:val="18"/>
                <w:szCs w:val="18"/>
              </w:rPr>
              <w:t>, TZL, NOx,</w:t>
            </w:r>
            <w:r>
              <w:rPr>
                <w:rFonts w:ascii="Calibri" w:hAnsi="Calibri" w:cs="Arial"/>
                <w:sz w:val="18"/>
                <w:szCs w:val="18"/>
              </w:rPr>
              <w:t xml:space="preserve"> </w:t>
            </w:r>
            <w:r w:rsidRPr="009B0766">
              <w:rPr>
                <w:rFonts w:ascii="Calibri" w:hAnsi="Calibri" w:cs="Arial"/>
                <w:sz w:val="18"/>
                <w:szCs w:val="18"/>
              </w:rPr>
              <w:t>SO2 a PAH do ovzduší (platí</w:t>
            </w:r>
            <w:r>
              <w:rPr>
                <w:rFonts w:ascii="Calibri" w:hAnsi="Calibri" w:cs="Arial"/>
                <w:sz w:val="18"/>
                <w:szCs w:val="18"/>
              </w:rPr>
              <w:t xml:space="preserve"> </w:t>
            </w:r>
            <w:r w:rsidRPr="009B0766">
              <w:rPr>
                <w:rFonts w:ascii="Calibri" w:hAnsi="Calibri" w:cs="Arial"/>
                <w:sz w:val="18"/>
                <w:szCs w:val="18"/>
              </w:rPr>
              <w:t>pouze v případech, kdy je stávající</w:t>
            </w:r>
            <w:r>
              <w:rPr>
                <w:rFonts w:ascii="Calibri" w:hAnsi="Calibri" w:cs="Arial"/>
                <w:sz w:val="18"/>
                <w:szCs w:val="18"/>
              </w:rPr>
              <w:t xml:space="preserve"> </w:t>
            </w:r>
            <w:r w:rsidRPr="009B0766">
              <w:rPr>
                <w:rFonts w:ascii="Calibri" w:hAnsi="Calibri" w:cs="Arial"/>
                <w:sz w:val="18"/>
                <w:szCs w:val="18"/>
              </w:rPr>
              <w:t>technologie zdrojem některé</w:t>
            </w:r>
            <w:r>
              <w:rPr>
                <w:rFonts w:ascii="Calibri" w:hAnsi="Calibri" w:cs="Arial"/>
                <w:sz w:val="18"/>
                <w:szCs w:val="18"/>
              </w:rPr>
              <w:t xml:space="preserve"> </w:t>
            </w:r>
            <w:r w:rsidRPr="009B0766">
              <w:rPr>
                <w:rFonts w:ascii="Calibri" w:hAnsi="Calibri" w:cs="Arial"/>
                <w:sz w:val="18"/>
                <w:szCs w:val="18"/>
              </w:rPr>
              <w:t>z těchto znečišťujících látek).</w:t>
            </w:r>
          </w:p>
          <w:p w:rsidR="009B0766" w:rsidRPr="00E61284" w:rsidRDefault="009B0766" w:rsidP="009B0766">
            <w:pPr>
              <w:spacing w:before="60"/>
              <w:jc w:val="both"/>
              <w:rPr>
                <w:rFonts w:ascii="Calibri" w:hAnsi="Calibri" w:cs="Arial"/>
                <w:sz w:val="18"/>
                <w:szCs w:val="18"/>
              </w:rPr>
            </w:pPr>
            <w:r>
              <w:rPr>
                <w:rFonts w:ascii="Calibri" w:hAnsi="Calibri" w:cs="Arial"/>
                <w:sz w:val="18"/>
                <w:szCs w:val="18"/>
              </w:rPr>
              <w:t xml:space="preserve">Zdůvodnění: </w:t>
            </w:r>
            <w:r w:rsidRPr="009B0766">
              <w:rPr>
                <w:rFonts w:ascii="Calibri" w:hAnsi="Calibri" w:cs="Arial"/>
                <w:sz w:val="18"/>
                <w:szCs w:val="18"/>
              </w:rPr>
              <w:t>Dodáno CO2 jako prioritní skleníkový plyn, jehož emise jsou sledovány i v indikátorech Strategie Evropa 2020 a v Dohodě o partnerství</w:t>
            </w:r>
          </w:p>
        </w:tc>
        <w:tc>
          <w:tcPr>
            <w:tcW w:w="5103" w:type="dxa"/>
          </w:tcPr>
          <w:p w:rsidR="00F53215" w:rsidRDefault="00F53215" w:rsidP="00F53215">
            <w:pPr>
              <w:spacing w:before="60"/>
              <w:rPr>
                <w:rFonts w:ascii="Calibri" w:hAnsi="Calibri" w:cs="Arial"/>
                <w:sz w:val="18"/>
                <w:szCs w:val="18"/>
              </w:rPr>
            </w:pPr>
            <w:r>
              <w:rPr>
                <w:rFonts w:ascii="Calibri" w:hAnsi="Calibri" w:cs="Arial"/>
                <w:sz w:val="18"/>
                <w:szCs w:val="18"/>
              </w:rPr>
              <w:t xml:space="preserve">Z pohledu SEA hodnotitele: </w:t>
            </w:r>
            <w:r w:rsidRPr="00F53215">
              <w:rPr>
                <w:rFonts w:ascii="Calibri" w:hAnsi="Calibri" w:cs="Arial"/>
                <w:sz w:val="18"/>
                <w:szCs w:val="18"/>
              </w:rPr>
              <w:t>CO</w:t>
            </w:r>
            <w:r w:rsidRPr="001B33B1">
              <w:rPr>
                <w:rFonts w:ascii="Calibri" w:hAnsi="Calibri" w:cs="Arial"/>
                <w:sz w:val="18"/>
                <w:szCs w:val="18"/>
                <w:vertAlign w:val="subscript"/>
              </w:rPr>
              <w:t>2</w:t>
            </w:r>
            <w:r w:rsidRPr="00F53215">
              <w:rPr>
                <w:rFonts w:ascii="Calibri" w:hAnsi="Calibri" w:cs="Arial"/>
                <w:sz w:val="18"/>
                <w:szCs w:val="18"/>
              </w:rPr>
              <w:t xml:space="preserve"> se týká ochrany klimatu, nikoliv ochrany ovzduší. Principiálně je tento požadavek rozumný, ale technicky je problematický. Projekty se budou týkat malých podnikatelských subjektů. Výpočet emisí CO</w:t>
            </w:r>
            <w:r w:rsidRPr="001B33B1">
              <w:rPr>
                <w:rFonts w:ascii="Calibri" w:hAnsi="Calibri" w:cs="Arial"/>
                <w:sz w:val="18"/>
                <w:szCs w:val="18"/>
                <w:vertAlign w:val="subscript"/>
              </w:rPr>
              <w:t>2</w:t>
            </w:r>
            <w:r w:rsidRPr="00F53215">
              <w:rPr>
                <w:rFonts w:ascii="Calibri" w:hAnsi="Calibri" w:cs="Arial"/>
                <w:sz w:val="18"/>
                <w:szCs w:val="18"/>
              </w:rPr>
              <w:t xml:space="preserve"> před a po realizaci je poměrně náročný a zvýší administrativní zátěž žadatelů. Spíše než výpočet CO</w:t>
            </w:r>
            <w:r w:rsidRPr="001B33B1">
              <w:rPr>
                <w:rFonts w:ascii="Calibri" w:hAnsi="Calibri" w:cs="Arial"/>
                <w:sz w:val="18"/>
                <w:szCs w:val="18"/>
                <w:vertAlign w:val="subscript"/>
              </w:rPr>
              <w:t>2</w:t>
            </w:r>
            <w:r w:rsidRPr="00F53215">
              <w:rPr>
                <w:rFonts w:ascii="Calibri" w:hAnsi="Calibri" w:cs="Arial"/>
                <w:sz w:val="18"/>
                <w:szCs w:val="18"/>
              </w:rPr>
              <w:t>, který je stejně v řadě případů hodně nepřesný, lze zavést jako podmínku požadavek na vyhodnocení souladu s BAT v žádostech. Pokud bude projekt ve všech ohledech v souladu s BAT, bude zřejmé, že ani v oblasti emisí skleníkových plynů již nelze uvažovat o významně lepším řešení.</w:t>
            </w:r>
          </w:p>
          <w:p w:rsidR="001B33B1" w:rsidRDefault="001B33B1" w:rsidP="00F53215">
            <w:pPr>
              <w:spacing w:before="60"/>
              <w:rPr>
                <w:rFonts w:ascii="Calibri" w:hAnsi="Calibri" w:cs="Arial"/>
                <w:sz w:val="18"/>
                <w:szCs w:val="18"/>
              </w:rPr>
            </w:pPr>
            <w:r>
              <w:rPr>
                <w:rFonts w:ascii="Calibri" w:hAnsi="Calibri" w:cs="Arial"/>
                <w:sz w:val="18"/>
                <w:szCs w:val="18"/>
              </w:rPr>
              <w:t>Je navrženo doplnění tohoto požadavku do návrhu OP PIK (Hlavní zásady pro výběr operací).</w:t>
            </w:r>
          </w:p>
        </w:tc>
      </w:tr>
      <w:tr w:rsidR="009B0766" w:rsidRPr="003243DB">
        <w:tc>
          <w:tcPr>
            <w:tcW w:w="1646" w:type="dxa"/>
            <w:vMerge/>
            <w:shd w:val="clear" w:color="auto" w:fill="auto"/>
          </w:tcPr>
          <w:p w:rsidR="009B0766" w:rsidRPr="005E5D05" w:rsidRDefault="009B0766" w:rsidP="002740E2">
            <w:pPr>
              <w:spacing w:before="60"/>
              <w:rPr>
                <w:rFonts w:ascii="Calibri" w:hAnsi="Calibri" w:cs="Arial"/>
                <w:b/>
                <w:sz w:val="18"/>
                <w:szCs w:val="18"/>
              </w:rPr>
            </w:pPr>
          </w:p>
        </w:tc>
        <w:tc>
          <w:tcPr>
            <w:tcW w:w="7906" w:type="dxa"/>
          </w:tcPr>
          <w:p w:rsidR="009B0766" w:rsidRDefault="009B0766" w:rsidP="009B0766">
            <w:pPr>
              <w:spacing w:before="60"/>
              <w:jc w:val="both"/>
              <w:rPr>
                <w:rFonts w:ascii="Calibri" w:hAnsi="Calibri" w:cs="Arial"/>
                <w:sz w:val="18"/>
                <w:szCs w:val="18"/>
              </w:rPr>
            </w:pPr>
            <w:r>
              <w:rPr>
                <w:rFonts w:ascii="Calibri" w:hAnsi="Calibri" w:cs="Arial"/>
                <w:sz w:val="18"/>
                <w:szCs w:val="18"/>
              </w:rPr>
              <w:t xml:space="preserve">Str. 95, stejně tak 133: </w:t>
            </w:r>
            <w:r w:rsidRPr="009B0766">
              <w:rPr>
                <w:rFonts w:ascii="Calibri" w:hAnsi="Calibri" w:cs="Arial"/>
                <w:sz w:val="18"/>
                <w:szCs w:val="18"/>
              </w:rPr>
              <w:t>Nahradit: Pilotní projekty a zavádění</w:t>
            </w:r>
            <w:r>
              <w:rPr>
                <w:rFonts w:ascii="Calibri" w:hAnsi="Calibri" w:cs="Arial"/>
                <w:sz w:val="18"/>
                <w:szCs w:val="18"/>
              </w:rPr>
              <w:t xml:space="preserve"> </w:t>
            </w:r>
            <w:r w:rsidRPr="009B0766">
              <w:rPr>
                <w:rFonts w:ascii="Calibri" w:hAnsi="Calibri" w:cs="Arial"/>
                <w:sz w:val="18"/>
                <w:szCs w:val="18"/>
              </w:rPr>
              <w:t>systémů akumulace energie,</w:t>
            </w:r>
            <w:r>
              <w:rPr>
                <w:rFonts w:ascii="Calibri" w:hAnsi="Calibri" w:cs="Arial"/>
                <w:sz w:val="18"/>
                <w:szCs w:val="18"/>
              </w:rPr>
              <w:t xml:space="preserve"> </w:t>
            </w:r>
            <w:r w:rsidRPr="009B0766">
              <w:rPr>
                <w:rFonts w:ascii="Calibri" w:hAnsi="Calibri" w:cs="Arial"/>
                <w:sz w:val="18"/>
                <w:szCs w:val="18"/>
              </w:rPr>
              <w:t>používání energeticky šetrných</w:t>
            </w:r>
            <w:r>
              <w:rPr>
                <w:rFonts w:ascii="Calibri" w:hAnsi="Calibri" w:cs="Arial"/>
                <w:sz w:val="18"/>
                <w:szCs w:val="18"/>
              </w:rPr>
              <w:t xml:space="preserve"> </w:t>
            </w:r>
            <w:r w:rsidRPr="009B0766">
              <w:rPr>
                <w:rFonts w:ascii="Calibri" w:hAnsi="Calibri" w:cs="Arial"/>
                <w:sz w:val="18"/>
                <w:szCs w:val="18"/>
              </w:rPr>
              <w:t xml:space="preserve">materiálů, </w:t>
            </w:r>
            <w:r w:rsidRPr="009B0766">
              <w:rPr>
                <w:rFonts w:ascii="Calibri" w:hAnsi="Calibri" w:cs="Arial"/>
                <w:strike/>
                <w:sz w:val="18"/>
                <w:szCs w:val="18"/>
              </w:rPr>
              <w:t>ostrovních</w:t>
            </w:r>
            <w:r>
              <w:rPr>
                <w:rFonts w:ascii="Calibri" w:hAnsi="Calibri" w:cs="Arial"/>
                <w:sz w:val="18"/>
                <w:szCs w:val="18"/>
              </w:rPr>
              <w:t xml:space="preserve"> </w:t>
            </w:r>
            <w:r w:rsidRPr="009B0766">
              <w:rPr>
                <w:rFonts w:ascii="Calibri" w:hAnsi="Calibri" w:cs="Arial"/>
                <w:sz w:val="18"/>
                <w:szCs w:val="18"/>
              </w:rPr>
              <w:t xml:space="preserve">systémů </w:t>
            </w:r>
            <w:r w:rsidRPr="009B0766">
              <w:rPr>
                <w:rFonts w:ascii="Calibri" w:hAnsi="Calibri" w:cs="Arial"/>
                <w:b/>
                <w:sz w:val="18"/>
                <w:szCs w:val="18"/>
              </w:rPr>
              <w:t xml:space="preserve">lokální energetické soběstačnosti </w:t>
            </w:r>
            <w:r w:rsidRPr="009B0766">
              <w:rPr>
                <w:rFonts w:ascii="Calibri" w:hAnsi="Calibri" w:cs="Arial"/>
                <w:sz w:val="18"/>
                <w:szCs w:val="18"/>
              </w:rPr>
              <w:t>a</w:t>
            </w:r>
            <w:r>
              <w:rPr>
                <w:rFonts w:ascii="Calibri" w:hAnsi="Calibri" w:cs="Arial"/>
                <w:sz w:val="18"/>
                <w:szCs w:val="18"/>
              </w:rPr>
              <w:t xml:space="preserve"> </w:t>
            </w:r>
            <w:r w:rsidRPr="009B0766">
              <w:rPr>
                <w:rFonts w:ascii="Calibri" w:hAnsi="Calibri" w:cs="Arial"/>
                <w:sz w:val="18"/>
                <w:szCs w:val="18"/>
              </w:rPr>
              <w:t>systémů inteligentního řízení budov.</w:t>
            </w:r>
          </w:p>
          <w:p w:rsidR="009B0766" w:rsidRPr="00E61284" w:rsidRDefault="009B0766" w:rsidP="009B0766">
            <w:pPr>
              <w:spacing w:before="60"/>
              <w:jc w:val="both"/>
              <w:rPr>
                <w:rFonts w:ascii="Calibri" w:hAnsi="Calibri" w:cs="Arial"/>
                <w:sz w:val="18"/>
                <w:szCs w:val="18"/>
              </w:rPr>
            </w:pPr>
            <w:r>
              <w:rPr>
                <w:rFonts w:ascii="Calibri" w:hAnsi="Calibri" w:cs="Arial"/>
                <w:sz w:val="18"/>
                <w:szCs w:val="18"/>
              </w:rPr>
              <w:t>Zdůvodnění: opět rozšíření pojmu</w:t>
            </w:r>
          </w:p>
        </w:tc>
        <w:tc>
          <w:tcPr>
            <w:tcW w:w="5103" w:type="dxa"/>
          </w:tcPr>
          <w:p w:rsidR="009B0766" w:rsidRDefault="00F53215" w:rsidP="00426B75">
            <w:pPr>
              <w:spacing w:before="60"/>
              <w:rPr>
                <w:rFonts w:ascii="Calibri" w:hAnsi="Calibri" w:cs="Arial"/>
                <w:sz w:val="18"/>
                <w:szCs w:val="18"/>
              </w:rPr>
            </w:pPr>
            <w:r>
              <w:rPr>
                <w:rFonts w:ascii="Calibri" w:hAnsi="Calibri" w:cs="Arial"/>
                <w:sz w:val="18"/>
                <w:szCs w:val="18"/>
              </w:rPr>
              <w:t>MPO nesouhlasí se změnou (viz výše k bodu 2 stanoviska).</w:t>
            </w:r>
          </w:p>
          <w:p w:rsidR="00F53215" w:rsidRDefault="00F53215" w:rsidP="00426B75">
            <w:pPr>
              <w:spacing w:before="60"/>
              <w:rPr>
                <w:rFonts w:ascii="Calibri" w:hAnsi="Calibri" w:cs="Arial"/>
                <w:sz w:val="18"/>
                <w:szCs w:val="18"/>
              </w:rPr>
            </w:pPr>
          </w:p>
        </w:tc>
      </w:tr>
      <w:tr w:rsidR="009B0766" w:rsidRPr="003243DB">
        <w:tc>
          <w:tcPr>
            <w:tcW w:w="1646" w:type="dxa"/>
            <w:vMerge/>
            <w:shd w:val="clear" w:color="auto" w:fill="auto"/>
          </w:tcPr>
          <w:p w:rsidR="009B0766" w:rsidRPr="005E5D05" w:rsidRDefault="009B0766" w:rsidP="002740E2">
            <w:pPr>
              <w:spacing w:before="60"/>
              <w:rPr>
                <w:rFonts w:ascii="Calibri" w:hAnsi="Calibri" w:cs="Arial"/>
                <w:b/>
                <w:sz w:val="18"/>
                <w:szCs w:val="18"/>
              </w:rPr>
            </w:pPr>
          </w:p>
        </w:tc>
        <w:tc>
          <w:tcPr>
            <w:tcW w:w="7906" w:type="dxa"/>
          </w:tcPr>
          <w:p w:rsidR="009B0766" w:rsidRDefault="009B0766" w:rsidP="009B0766">
            <w:pPr>
              <w:spacing w:before="60"/>
              <w:jc w:val="both"/>
              <w:rPr>
                <w:rFonts w:ascii="Calibri" w:hAnsi="Calibri" w:cs="Arial"/>
                <w:sz w:val="18"/>
                <w:szCs w:val="18"/>
              </w:rPr>
            </w:pPr>
            <w:r>
              <w:rPr>
                <w:rFonts w:ascii="Calibri" w:hAnsi="Calibri" w:cs="Arial"/>
                <w:sz w:val="18"/>
                <w:szCs w:val="18"/>
              </w:rPr>
              <w:t xml:space="preserve">Str. 97 stejně tak 133: </w:t>
            </w:r>
            <w:r w:rsidRPr="009B0766">
              <w:rPr>
                <w:rFonts w:ascii="Calibri" w:hAnsi="Calibri" w:cs="Arial"/>
                <w:sz w:val="18"/>
                <w:szCs w:val="18"/>
              </w:rPr>
              <w:t>Doplnit: v případě instalace a rekonstrukce</w:t>
            </w:r>
            <w:r>
              <w:rPr>
                <w:rFonts w:ascii="Calibri" w:hAnsi="Calibri" w:cs="Arial"/>
                <w:sz w:val="18"/>
                <w:szCs w:val="18"/>
              </w:rPr>
              <w:t xml:space="preserve"> </w:t>
            </w:r>
            <w:r w:rsidRPr="00C5354D">
              <w:rPr>
                <w:rFonts w:ascii="Calibri" w:hAnsi="Calibri" w:cs="Arial"/>
                <w:b/>
                <w:sz w:val="18"/>
                <w:szCs w:val="18"/>
              </w:rPr>
              <w:t>spalovacích</w:t>
            </w:r>
            <w:r w:rsidRPr="009B0766">
              <w:rPr>
                <w:rFonts w:ascii="Calibri" w:hAnsi="Calibri" w:cs="Arial"/>
                <w:sz w:val="18"/>
                <w:szCs w:val="18"/>
              </w:rPr>
              <w:t xml:space="preserve"> zdrojů </w:t>
            </w:r>
            <w:r w:rsidRPr="00C5354D">
              <w:rPr>
                <w:rFonts w:ascii="Calibri" w:hAnsi="Calibri" w:cs="Arial"/>
                <w:strike/>
                <w:sz w:val="18"/>
                <w:szCs w:val="18"/>
              </w:rPr>
              <w:t>využívajících pevná paliva z biomasy</w:t>
            </w:r>
            <w:r w:rsidRPr="009B0766">
              <w:rPr>
                <w:rFonts w:ascii="Calibri" w:hAnsi="Calibri" w:cs="Arial"/>
                <w:sz w:val="18"/>
                <w:szCs w:val="18"/>
              </w:rPr>
              <w:t xml:space="preserve"> se doporučuje podporovat</w:t>
            </w:r>
            <w:r>
              <w:rPr>
                <w:rFonts w:ascii="Calibri" w:hAnsi="Calibri" w:cs="Arial"/>
                <w:sz w:val="18"/>
                <w:szCs w:val="18"/>
              </w:rPr>
              <w:t xml:space="preserve"> </w:t>
            </w:r>
            <w:r w:rsidRPr="009B0766">
              <w:rPr>
                <w:rFonts w:ascii="Calibri" w:hAnsi="Calibri" w:cs="Arial"/>
                <w:sz w:val="18"/>
                <w:szCs w:val="18"/>
              </w:rPr>
              <w:t>pouze projekty splňující požadavky</w:t>
            </w:r>
            <w:r>
              <w:rPr>
                <w:rFonts w:ascii="Calibri" w:hAnsi="Calibri" w:cs="Arial"/>
                <w:sz w:val="18"/>
                <w:szCs w:val="18"/>
              </w:rPr>
              <w:t xml:space="preserve"> </w:t>
            </w:r>
            <w:r w:rsidRPr="009B0766">
              <w:rPr>
                <w:rFonts w:ascii="Calibri" w:hAnsi="Calibri" w:cs="Arial"/>
                <w:sz w:val="18"/>
                <w:szCs w:val="18"/>
              </w:rPr>
              <w:t>kladené na dolní emisní úroveň BAT</w:t>
            </w:r>
            <w:r>
              <w:rPr>
                <w:rFonts w:ascii="Calibri" w:hAnsi="Calibri" w:cs="Arial"/>
                <w:sz w:val="18"/>
                <w:szCs w:val="18"/>
              </w:rPr>
              <w:t xml:space="preserve"> </w:t>
            </w:r>
            <w:r w:rsidRPr="009B0766">
              <w:rPr>
                <w:rFonts w:ascii="Calibri" w:hAnsi="Calibri" w:cs="Arial"/>
                <w:sz w:val="18"/>
                <w:szCs w:val="18"/>
              </w:rPr>
              <w:t>(podobně jako v případě priorit 3.1. a 3.2)</w:t>
            </w:r>
          </w:p>
          <w:p w:rsidR="009B0766" w:rsidRPr="00E61284" w:rsidRDefault="009B0766" w:rsidP="009B0766">
            <w:pPr>
              <w:spacing w:before="60"/>
              <w:jc w:val="both"/>
              <w:rPr>
                <w:rFonts w:ascii="Calibri" w:hAnsi="Calibri" w:cs="Arial"/>
                <w:sz w:val="18"/>
                <w:szCs w:val="18"/>
              </w:rPr>
            </w:pPr>
            <w:r>
              <w:rPr>
                <w:rFonts w:ascii="Calibri" w:hAnsi="Calibri" w:cs="Arial"/>
                <w:sz w:val="18"/>
                <w:szCs w:val="18"/>
              </w:rPr>
              <w:lastRenderedPageBreak/>
              <w:t xml:space="preserve">Zdůvodnění: </w:t>
            </w:r>
            <w:r w:rsidRPr="009B0766">
              <w:rPr>
                <w:rFonts w:ascii="Calibri" w:hAnsi="Calibri" w:cs="Arial"/>
                <w:sz w:val="18"/>
                <w:szCs w:val="18"/>
              </w:rPr>
              <w:t>Požadavek na využití technologií BAT je</w:t>
            </w:r>
            <w:r>
              <w:rPr>
                <w:rFonts w:ascii="Calibri" w:hAnsi="Calibri" w:cs="Arial"/>
                <w:sz w:val="18"/>
                <w:szCs w:val="18"/>
              </w:rPr>
              <w:t xml:space="preserve"> </w:t>
            </w:r>
            <w:r w:rsidRPr="009B0766">
              <w:rPr>
                <w:rFonts w:ascii="Calibri" w:hAnsi="Calibri" w:cs="Arial"/>
                <w:sz w:val="18"/>
                <w:szCs w:val="18"/>
              </w:rPr>
              <w:t>zcela správný, není ale důvod proč jej</w:t>
            </w:r>
            <w:r>
              <w:rPr>
                <w:rFonts w:ascii="Calibri" w:hAnsi="Calibri" w:cs="Arial"/>
                <w:sz w:val="18"/>
                <w:szCs w:val="18"/>
              </w:rPr>
              <w:t xml:space="preserve"> </w:t>
            </w:r>
            <w:r w:rsidRPr="009B0766">
              <w:rPr>
                <w:rFonts w:ascii="Calibri" w:hAnsi="Calibri" w:cs="Arial"/>
                <w:sz w:val="18"/>
                <w:szCs w:val="18"/>
              </w:rPr>
              <w:t>uplatňovat jen na biomasu a nikoli na</w:t>
            </w:r>
            <w:r>
              <w:rPr>
                <w:rFonts w:ascii="Calibri" w:hAnsi="Calibri" w:cs="Arial"/>
                <w:sz w:val="18"/>
                <w:szCs w:val="18"/>
              </w:rPr>
              <w:t xml:space="preserve"> </w:t>
            </w:r>
            <w:r w:rsidRPr="009B0766">
              <w:rPr>
                <w:rFonts w:ascii="Calibri" w:hAnsi="Calibri" w:cs="Arial"/>
                <w:sz w:val="18"/>
                <w:szCs w:val="18"/>
              </w:rPr>
              <w:t>veškeré spalovací zdroje.</w:t>
            </w:r>
          </w:p>
        </w:tc>
        <w:tc>
          <w:tcPr>
            <w:tcW w:w="5103" w:type="dxa"/>
          </w:tcPr>
          <w:p w:rsidR="009B0766" w:rsidRDefault="00F53215" w:rsidP="00426B75">
            <w:pPr>
              <w:spacing w:before="60"/>
              <w:rPr>
                <w:rFonts w:ascii="Calibri" w:hAnsi="Calibri" w:cs="Arial"/>
                <w:sz w:val="18"/>
                <w:szCs w:val="18"/>
              </w:rPr>
            </w:pPr>
            <w:r>
              <w:rPr>
                <w:rFonts w:ascii="Calibri" w:hAnsi="Calibri" w:cs="Arial"/>
                <w:sz w:val="18"/>
                <w:szCs w:val="18"/>
              </w:rPr>
              <w:lastRenderedPageBreak/>
              <w:t>MPO</w:t>
            </w:r>
            <w:r w:rsidR="0073187A">
              <w:rPr>
                <w:rFonts w:ascii="Calibri" w:hAnsi="Calibri" w:cs="Arial"/>
                <w:sz w:val="18"/>
                <w:szCs w:val="18"/>
              </w:rPr>
              <w:t xml:space="preserve"> s</w:t>
            </w:r>
            <w:r w:rsidRPr="00F53215">
              <w:rPr>
                <w:rFonts w:ascii="Calibri" w:hAnsi="Calibri" w:cs="Arial"/>
                <w:sz w:val="18"/>
                <w:szCs w:val="18"/>
              </w:rPr>
              <w:t>ouhl</w:t>
            </w:r>
            <w:r w:rsidR="0073187A">
              <w:rPr>
                <w:rFonts w:ascii="Calibri" w:hAnsi="Calibri" w:cs="Arial"/>
                <w:sz w:val="18"/>
                <w:szCs w:val="18"/>
              </w:rPr>
              <w:t>así</w:t>
            </w:r>
            <w:r w:rsidRPr="00F53215">
              <w:rPr>
                <w:rFonts w:ascii="Calibri" w:hAnsi="Calibri" w:cs="Arial"/>
                <w:sz w:val="18"/>
                <w:szCs w:val="18"/>
              </w:rPr>
              <w:t>, respektive je již obsaženo v Hlavních zásadách pro výběr operací.</w:t>
            </w:r>
          </w:p>
          <w:p w:rsidR="00F53215" w:rsidRDefault="00F53215" w:rsidP="00F53215">
            <w:pPr>
              <w:spacing w:before="60"/>
              <w:rPr>
                <w:rFonts w:ascii="Calibri" w:hAnsi="Calibri" w:cs="Arial"/>
                <w:sz w:val="18"/>
                <w:szCs w:val="18"/>
              </w:rPr>
            </w:pPr>
            <w:r>
              <w:rPr>
                <w:rFonts w:ascii="Calibri" w:hAnsi="Calibri" w:cs="Arial"/>
                <w:sz w:val="18"/>
                <w:szCs w:val="18"/>
              </w:rPr>
              <w:lastRenderedPageBreak/>
              <w:t xml:space="preserve">SEA hodnotitel: </w:t>
            </w:r>
            <w:r w:rsidRPr="00F53215">
              <w:rPr>
                <w:rFonts w:ascii="Calibri" w:hAnsi="Calibri" w:cs="Arial"/>
                <w:sz w:val="18"/>
                <w:szCs w:val="18"/>
              </w:rPr>
              <w:t xml:space="preserve">Kromě pevné biomasy nebudou v rámci OP PIK podporovány žádné aktivity, které by mohly významně ovlivnit imisní situaci. U jiných podporovaných projektů, než zaměřených na spalování pevné biomasy, je proto </w:t>
            </w:r>
            <w:r w:rsidRPr="00F53215">
              <w:rPr>
                <w:rFonts w:ascii="Calibri" w:hAnsi="Calibri" w:cs="Arial"/>
                <w:sz w:val="18"/>
                <w:szCs w:val="18"/>
                <w:u w:val="single"/>
              </w:rPr>
              <w:t>z hlediska ochrany ovzduší</w:t>
            </w:r>
            <w:r w:rsidRPr="00F53215">
              <w:rPr>
                <w:rFonts w:ascii="Calibri" w:hAnsi="Calibri" w:cs="Arial"/>
                <w:sz w:val="18"/>
                <w:szCs w:val="18"/>
              </w:rPr>
              <w:t xml:space="preserve"> tento požadavek neúčelný a zbytečně by zvyšoval administrativní zátěž jak žadatelů, tak hodnotících orgánů.</w:t>
            </w:r>
          </w:p>
        </w:tc>
      </w:tr>
      <w:tr w:rsidR="009B0766" w:rsidRPr="003243DB">
        <w:tc>
          <w:tcPr>
            <w:tcW w:w="1646" w:type="dxa"/>
            <w:vMerge/>
            <w:shd w:val="clear" w:color="auto" w:fill="auto"/>
          </w:tcPr>
          <w:p w:rsidR="009B0766" w:rsidRPr="005E5D05" w:rsidRDefault="009B0766" w:rsidP="002740E2">
            <w:pPr>
              <w:spacing w:before="60"/>
              <w:rPr>
                <w:rFonts w:ascii="Calibri" w:hAnsi="Calibri" w:cs="Arial"/>
                <w:b/>
                <w:sz w:val="18"/>
                <w:szCs w:val="18"/>
              </w:rPr>
            </w:pPr>
          </w:p>
        </w:tc>
        <w:tc>
          <w:tcPr>
            <w:tcW w:w="7906" w:type="dxa"/>
          </w:tcPr>
          <w:p w:rsidR="009B0766" w:rsidRDefault="00C5354D" w:rsidP="00257D0A">
            <w:pPr>
              <w:spacing w:before="60"/>
              <w:jc w:val="both"/>
              <w:rPr>
                <w:rFonts w:ascii="Calibri" w:hAnsi="Calibri" w:cs="Arial"/>
                <w:sz w:val="18"/>
                <w:szCs w:val="18"/>
              </w:rPr>
            </w:pPr>
            <w:r w:rsidRPr="00C5354D">
              <w:rPr>
                <w:rFonts w:ascii="Calibri" w:hAnsi="Calibri" w:cs="Arial"/>
                <w:sz w:val="18"/>
                <w:szCs w:val="18"/>
              </w:rPr>
              <w:t>Komentáře se vztahují</w:t>
            </w:r>
            <w:r>
              <w:rPr>
                <w:rFonts w:ascii="Calibri" w:hAnsi="Calibri" w:cs="Arial"/>
                <w:sz w:val="18"/>
                <w:szCs w:val="18"/>
              </w:rPr>
              <w:t xml:space="preserve"> k 6. verzi OPPIK z května 2014:</w:t>
            </w:r>
          </w:p>
          <w:p w:rsidR="00C5354D" w:rsidRDefault="00C5354D" w:rsidP="00C5354D">
            <w:pPr>
              <w:spacing w:before="60"/>
              <w:jc w:val="both"/>
              <w:rPr>
                <w:rFonts w:ascii="Calibri" w:hAnsi="Calibri" w:cs="Arial"/>
                <w:sz w:val="18"/>
                <w:szCs w:val="18"/>
              </w:rPr>
            </w:pPr>
            <w:r>
              <w:rPr>
                <w:rFonts w:ascii="Calibri" w:hAnsi="Calibri" w:cs="Arial"/>
                <w:sz w:val="18"/>
                <w:szCs w:val="18"/>
              </w:rPr>
              <w:t xml:space="preserve">SC 3.5, str. 97: </w:t>
            </w:r>
            <w:r w:rsidRPr="00C5354D">
              <w:rPr>
                <w:rFonts w:ascii="Calibri" w:hAnsi="Calibri" w:cs="Arial"/>
                <w:sz w:val="18"/>
                <w:szCs w:val="18"/>
              </w:rPr>
              <w:t>Vyřadit: (s výjimkou</w:t>
            </w:r>
            <w:r>
              <w:rPr>
                <w:rFonts w:ascii="Calibri" w:hAnsi="Calibri" w:cs="Arial"/>
                <w:sz w:val="18"/>
                <w:szCs w:val="18"/>
              </w:rPr>
              <w:t xml:space="preserve"> </w:t>
            </w:r>
            <w:r w:rsidRPr="00C5354D">
              <w:rPr>
                <w:rFonts w:ascii="Calibri" w:hAnsi="Calibri" w:cs="Arial"/>
                <w:sz w:val="18"/>
                <w:szCs w:val="18"/>
              </w:rPr>
              <w:t>kogeneračních jednotek</w:t>
            </w:r>
            <w:r>
              <w:rPr>
                <w:rFonts w:ascii="Calibri" w:hAnsi="Calibri" w:cs="Arial"/>
                <w:sz w:val="18"/>
                <w:szCs w:val="18"/>
              </w:rPr>
              <w:t xml:space="preserve"> </w:t>
            </w:r>
            <w:r w:rsidRPr="00C5354D">
              <w:rPr>
                <w:rFonts w:ascii="Calibri" w:hAnsi="Calibri" w:cs="Arial"/>
                <w:sz w:val="18"/>
                <w:szCs w:val="18"/>
              </w:rPr>
              <w:t>využívajících biomasu a</w:t>
            </w:r>
            <w:r>
              <w:rPr>
                <w:rFonts w:ascii="Calibri" w:hAnsi="Calibri" w:cs="Arial"/>
                <w:sz w:val="18"/>
                <w:szCs w:val="18"/>
              </w:rPr>
              <w:t xml:space="preserve"> </w:t>
            </w:r>
            <w:r w:rsidRPr="00C5354D">
              <w:rPr>
                <w:rFonts w:ascii="Calibri" w:hAnsi="Calibri" w:cs="Arial"/>
                <w:sz w:val="18"/>
                <w:szCs w:val="18"/>
              </w:rPr>
              <w:t>bioplyn)</w:t>
            </w:r>
          </w:p>
          <w:p w:rsidR="00C5354D" w:rsidRPr="00E61284" w:rsidRDefault="00C5354D" w:rsidP="00C5354D">
            <w:pPr>
              <w:spacing w:before="60"/>
              <w:jc w:val="both"/>
              <w:rPr>
                <w:rFonts w:ascii="Calibri" w:hAnsi="Calibri" w:cs="Arial"/>
                <w:sz w:val="18"/>
                <w:szCs w:val="18"/>
              </w:rPr>
            </w:pPr>
            <w:r>
              <w:rPr>
                <w:rFonts w:ascii="Calibri" w:hAnsi="Calibri" w:cs="Arial"/>
                <w:sz w:val="18"/>
                <w:szCs w:val="18"/>
              </w:rPr>
              <w:t xml:space="preserve">Zdůvodnění: </w:t>
            </w:r>
            <w:r w:rsidRPr="00C5354D">
              <w:rPr>
                <w:rFonts w:ascii="Calibri" w:hAnsi="Calibri" w:cs="Arial"/>
                <w:sz w:val="18"/>
                <w:szCs w:val="18"/>
              </w:rPr>
              <w:t>Jsme si vědomi, že podpora OZE je cílem v SC 3.1.</w:t>
            </w:r>
            <w:r>
              <w:rPr>
                <w:rFonts w:ascii="Calibri" w:hAnsi="Calibri" w:cs="Arial"/>
                <w:sz w:val="18"/>
                <w:szCs w:val="18"/>
              </w:rPr>
              <w:t xml:space="preserve"> </w:t>
            </w:r>
            <w:r w:rsidRPr="00C5354D">
              <w:rPr>
                <w:rFonts w:ascii="Calibri" w:hAnsi="Calibri" w:cs="Arial"/>
                <w:sz w:val="18"/>
                <w:szCs w:val="18"/>
              </w:rPr>
              <w:t>Nicméně SC 3.5 umožňuje širší, systematickou</w:t>
            </w:r>
            <w:r>
              <w:rPr>
                <w:rFonts w:ascii="Calibri" w:hAnsi="Calibri" w:cs="Arial"/>
                <w:sz w:val="18"/>
                <w:szCs w:val="18"/>
              </w:rPr>
              <w:t xml:space="preserve"> </w:t>
            </w:r>
            <w:r w:rsidRPr="00C5354D">
              <w:rPr>
                <w:rFonts w:ascii="Calibri" w:hAnsi="Calibri" w:cs="Arial"/>
                <w:sz w:val="18"/>
                <w:szCs w:val="18"/>
              </w:rPr>
              <w:t>podporu efektivity v sítích CZT, včetně výměny</w:t>
            </w:r>
            <w:r>
              <w:rPr>
                <w:rFonts w:ascii="Calibri" w:hAnsi="Calibri" w:cs="Arial"/>
                <w:sz w:val="18"/>
                <w:szCs w:val="18"/>
              </w:rPr>
              <w:t xml:space="preserve"> </w:t>
            </w:r>
            <w:r w:rsidRPr="00C5354D">
              <w:rPr>
                <w:rFonts w:ascii="Calibri" w:hAnsi="Calibri" w:cs="Arial"/>
                <w:sz w:val="18"/>
                <w:szCs w:val="18"/>
              </w:rPr>
              <w:t>zdrojů. Nabízí optimální možnost propojení</w:t>
            </w:r>
            <w:r>
              <w:rPr>
                <w:rFonts w:ascii="Calibri" w:hAnsi="Calibri" w:cs="Arial"/>
                <w:sz w:val="18"/>
                <w:szCs w:val="18"/>
              </w:rPr>
              <w:t xml:space="preserve"> </w:t>
            </w:r>
            <w:r w:rsidRPr="00C5354D">
              <w:rPr>
                <w:rFonts w:ascii="Calibri" w:hAnsi="Calibri" w:cs="Arial"/>
                <w:sz w:val="18"/>
                <w:szCs w:val="18"/>
              </w:rPr>
              <w:t>zefektivnění soustavy i zdroje i s</w:t>
            </w:r>
            <w:r>
              <w:rPr>
                <w:rFonts w:ascii="Calibri" w:hAnsi="Calibri" w:cs="Arial"/>
                <w:sz w:val="18"/>
                <w:szCs w:val="18"/>
              </w:rPr>
              <w:t> </w:t>
            </w:r>
            <w:r w:rsidRPr="00C5354D">
              <w:rPr>
                <w:rFonts w:ascii="Calibri" w:hAnsi="Calibri" w:cs="Arial"/>
                <w:sz w:val="18"/>
                <w:szCs w:val="18"/>
              </w:rPr>
              <w:t>případným</w:t>
            </w:r>
            <w:r>
              <w:rPr>
                <w:rFonts w:ascii="Calibri" w:hAnsi="Calibri" w:cs="Arial"/>
                <w:sz w:val="18"/>
                <w:szCs w:val="18"/>
              </w:rPr>
              <w:t xml:space="preserve"> </w:t>
            </w:r>
            <w:r w:rsidRPr="00C5354D">
              <w:rPr>
                <w:rFonts w:ascii="Calibri" w:hAnsi="Calibri" w:cs="Arial"/>
                <w:sz w:val="18"/>
                <w:szCs w:val="18"/>
              </w:rPr>
              <w:t>využitím OZE. V tomto smyslu nedává žádný smysl</w:t>
            </w:r>
            <w:r>
              <w:rPr>
                <w:rFonts w:ascii="Calibri" w:hAnsi="Calibri" w:cs="Arial"/>
                <w:sz w:val="18"/>
                <w:szCs w:val="18"/>
              </w:rPr>
              <w:t xml:space="preserve"> </w:t>
            </w:r>
            <w:r w:rsidRPr="00C5354D">
              <w:rPr>
                <w:rFonts w:ascii="Calibri" w:hAnsi="Calibri" w:cs="Arial"/>
                <w:sz w:val="18"/>
                <w:szCs w:val="18"/>
              </w:rPr>
              <w:t>limitovat příjemce tak, že dotaci nemůže využít na</w:t>
            </w:r>
            <w:r>
              <w:rPr>
                <w:rFonts w:ascii="Calibri" w:hAnsi="Calibri" w:cs="Arial"/>
                <w:sz w:val="18"/>
                <w:szCs w:val="18"/>
              </w:rPr>
              <w:t xml:space="preserve"> </w:t>
            </w:r>
            <w:r w:rsidRPr="00C5354D">
              <w:rPr>
                <w:rFonts w:ascii="Calibri" w:hAnsi="Calibri" w:cs="Arial"/>
                <w:sz w:val="18"/>
                <w:szCs w:val="18"/>
              </w:rPr>
              <w:t>zdroje OZE. Je velmi pravděpodobné, že v</w:t>
            </w:r>
            <w:r>
              <w:rPr>
                <w:rFonts w:ascii="Calibri" w:hAnsi="Calibri" w:cs="Arial"/>
                <w:sz w:val="18"/>
                <w:szCs w:val="18"/>
              </w:rPr>
              <w:t> </w:t>
            </w:r>
            <w:r w:rsidRPr="00C5354D">
              <w:rPr>
                <w:rFonts w:ascii="Calibri" w:hAnsi="Calibri" w:cs="Arial"/>
                <w:sz w:val="18"/>
                <w:szCs w:val="18"/>
              </w:rPr>
              <w:t>průběhu</w:t>
            </w:r>
            <w:r>
              <w:rPr>
                <w:rFonts w:ascii="Calibri" w:hAnsi="Calibri" w:cs="Arial"/>
                <w:sz w:val="18"/>
                <w:szCs w:val="18"/>
              </w:rPr>
              <w:t xml:space="preserve"> </w:t>
            </w:r>
            <w:r w:rsidRPr="00C5354D">
              <w:rPr>
                <w:rFonts w:ascii="Calibri" w:hAnsi="Calibri" w:cs="Arial"/>
                <w:sz w:val="18"/>
                <w:szCs w:val="18"/>
              </w:rPr>
              <w:t>let 2015 – 2021, kdy bude program</w:t>
            </w:r>
            <w:r>
              <w:rPr>
                <w:rFonts w:ascii="Calibri" w:hAnsi="Calibri" w:cs="Arial"/>
                <w:sz w:val="18"/>
                <w:szCs w:val="18"/>
              </w:rPr>
              <w:t xml:space="preserve"> </w:t>
            </w:r>
            <w:r w:rsidRPr="00C5354D">
              <w:rPr>
                <w:rFonts w:ascii="Calibri" w:hAnsi="Calibri" w:cs="Arial"/>
                <w:sz w:val="18"/>
                <w:szCs w:val="18"/>
              </w:rPr>
              <w:t>implementován, se najde řada příjemců, kteří</w:t>
            </w:r>
            <w:r>
              <w:rPr>
                <w:rFonts w:ascii="Calibri" w:hAnsi="Calibri" w:cs="Arial"/>
                <w:sz w:val="18"/>
                <w:szCs w:val="18"/>
              </w:rPr>
              <w:t xml:space="preserve"> </w:t>
            </w:r>
            <w:r w:rsidRPr="00C5354D">
              <w:rPr>
                <w:rFonts w:ascii="Calibri" w:hAnsi="Calibri" w:cs="Arial"/>
                <w:sz w:val="18"/>
                <w:szCs w:val="18"/>
              </w:rPr>
              <w:t>budou rekonstruovat soustavy a budou mít zájem</w:t>
            </w:r>
            <w:r>
              <w:rPr>
                <w:rFonts w:ascii="Calibri" w:hAnsi="Calibri" w:cs="Arial"/>
                <w:sz w:val="18"/>
                <w:szCs w:val="18"/>
              </w:rPr>
              <w:t xml:space="preserve"> </w:t>
            </w:r>
            <w:r w:rsidRPr="00C5354D">
              <w:rPr>
                <w:rFonts w:ascii="Calibri" w:hAnsi="Calibri" w:cs="Arial"/>
                <w:sz w:val="18"/>
                <w:szCs w:val="18"/>
              </w:rPr>
              <w:t>buď o výhradní, nebo částečnou výměnu za zdroj</w:t>
            </w:r>
            <w:r>
              <w:rPr>
                <w:rFonts w:ascii="Calibri" w:hAnsi="Calibri" w:cs="Arial"/>
                <w:sz w:val="18"/>
                <w:szCs w:val="18"/>
              </w:rPr>
              <w:t xml:space="preserve"> </w:t>
            </w:r>
            <w:r w:rsidRPr="00C5354D">
              <w:rPr>
                <w:rFonts w:ascii="Calibri" w:hAnsi="Calibri" w:cs="Arial"/>
                <w:sz w:val="18"/>
                <w:szCs w:val="18"/>
              </w:rPr>
              <w:t>na biomasu či bioplyn. Tuto formulaci, která vede k</w:t>
            </w:r>
            <w:r>
              <w:rPr>
                <w:rFonts w:ascii="Calibri" w:hAnsi="Calibri" w:cs="Arial"/>
                <w:sz w:val="18"/>
                <w:szCs w:val="18"/>
              </w:rPr>
              <w:t xml:space="preserve"> </w:t>
            </w:r>
            <w:r w:rsidRPr="00C5354D">
              <w:rPr>
                <w:rFonts w:ascii="Calibri" w:hAnsi="Calibri" w:cs="Arial"/>
                <w:sz w:val="18"/>
                <w:szCs w:val="18"/>
              </w:rPr>
              <w:t>preferenci zdrojů s vyššími emisemi CO2, případně</w:t>
            </w:r>
            <w:r>
              <w:rPr>
                <w:rFonts w:ascii="Calibri" w:hAnsi="Calibri" w:cs="Arial"/>
                <w:sz w:val="18"/>
                <w:szCs w:val="18"/>
              </w:rPr>
              <w:t xml:space="preserve"> </w:t>
            </w:r>
            <w:r w:rsidRPr="00C5354D">
              <w:rPr>
                <w:rFonts w:ascii="Calibri" w:hAnsi="Calibri" w:cs="Arial"/>
                <w:sz w:val="18"/>
                <w:szCs w:val="18"/>
              </w:rPr>
              <w:t>dalších znečišťujících látek je proto třeba odstranit.</w:t>
            </w:r>
          </w:p>
        </w:tc>
        <w:tc>
          <w:tcPr>
            <w:tcW w:w="5103" w:type="dxa"/>
          </w:tcPr>
          <w:p w:rsidR="009B0766" w:rsidRDefault="0073187A" w:rsidP="0073187A">
            <w:pPr>
              <w:spacing w:before="60"/>
              <w:rPr>
                <w:rFonts w:ascii="Calibri" w:hAnsi="Calibri" w:cs="Arial"/>
                <w:sz w:val="18"/>
                <w:szCs w:val="18"/>
              </w:rPr>
            </w:pPr>
            <w:r>
              <w:rPr>
                <w:rFonts w:ascii="Calibri" w:hAnsi="Calibri" w:cs="Arial"/>
                <w:sz w:val="18"/>
                <w:szCs w:val="18"/>
              </w:rPr>
              <w:t>MPO s</w:t>
            </w:r>
            <w:r w:rsidRPr="0073187A">
              <w:rPr>
                <w:rFonts w:ascii="Calibri" w:hAnsi="Calibri" w:cs="Arial"/>
                <w:sz w:val="18"/>
                <w:szCs w:val="18"/>
              </w:rPr>
              <w:t>ouhlasí s vyškrtnutím „(s výjimkou kogeneračních jednotek využívajících biomasu a bioplyn)“ – změna provedena již v</w:t>
            </w:r>
            <w:r>
              <w:rPr>
                <w:rFonts w:ascii="Calibri" w:hAnsi="Calibri" w:cs="Arial"/>
                <w:sz w:val="18"/>
                <w:szCs w:val="18"/>
              </w:rPr>
              <w:t xml:space="preserve"> nové verzi </w:t>
            </w:r>
            <w:r w:rsidRPr="0073187A">
              <w:rPr>
                <w:rFonts w:ascii="Calibri" w:hAnsi="Calibri" w:cs="Arial"/>
                <w:sz w:val="18"/>
                <w:szCs w:val="18"/>
              </w:rPr>
              <w:t>OP</w:t>
            </w:r>
            <w:r>
              <w:rPr>
                <w:rFonts w:ascii="Calibri" w:hAnsi="Calibri" w:cs="Arial"/>
                <w:sz w:val="18"/>
                <w:szCs w:val="18"/>
              </w:rPr>
              <w:t xml:space="preserve"> PIK</w:t>
            </w:r>
            <w:r w:rsidRPr="0073187A">
              <w:rPr>
                <w:rFonts w:ascii="Calibri" w:hAnsi="Calibri" w:cs="Arial"/>
                <w:sz w:val="18"/>
                <w:szCs w:val="18"/>
              </w:rPr>
              <w:t>.</w:t>
            </w:r>
          </w:p>
        </w:tc>
      </w:tr>
      <w:tr w:rsidR="009B0766" w:rsidRPr="003243DB">
        <w:tc>
          <w:tcPr>
            <w:tcW w:w="1646" w:type="dxa"/>
            <w:vMerge/>
            <w:shd w:val="clear" w:color="auto" w:fill="auto"/>
          </w:tcPr>
          <w:p w:rsidR="009B0766" w:rsidRPr="005E5D05" w:rsidRDefault="009B0766" w:rsidP="002740E2">
            <w:pPr>
              <w:spacing w:before="60"/>
              <w:rPr>
                <w:rFonts w:ascii="Calibri" w:hAnsi="Calibri" w:cs="Arial"/>
                <w:b/>
                <w:sz w:val="18"/>
                <w:szCs w:val="18"/>
              </w:rPr>
            </w:pPr>
          </w:p>
        </w:tc>
        <w:tc>
          <w:tcPr>
            <w:tcW w:w="7906" w:type="dxa"/>
          </w:tcPr>
          <w:p w:rsidR="009B0766" w:rsidRDefault="00C5354D" w:rsidP="00C5354D">
            <w:pPr>
              <w:spacing w:before="60"/>
              <w:jc w:val="both"/>
              <w:rPr>
                <w:rFonts w:ascii="Calibri" w:hAnsi="Calibri" w:cs="Arial"/>
                <w:sz w:val="18"/>
                <w:szCs w:val="18"/>
              </w:rPr>
            </w:pPr>
            <w:r>
              <w:rPr>
                <w:rFonts w:ascii="Calibri" w:hAnsi="Calibri" w:cs="Arial"/>
                <w:sz w:val="18"/>
                <w:szCs w:val="18"/>
              </w:rPr>
              <w:t xml:space="preserve">SC 3.5, str. 99: </w:t>
            </w:r>
            <w:r w:rsidRPr="00C5354D">
              <w:rPr>
                <w:rFonts w:ascii="Calibri" w:hAnsi="Calibri" w:cs="Arial"/>
                <w:sz w:val="18"/>
                <w:szCs w:val="18"/>
              </w:rPr>
              <w:t>Doplnit</w:t>
            </w:r>
            <w:r>
              <w:rPr>
                <w:rFonts w:ascii="Calibri" w:hAnsi="Calibri" w:cs="Arial"/>
                <w:sz w:val="18"/>
                <w:szCs w:val="18"/>
              </w:rPr>
              <w:t xml:space="preserve"> </w:t>
            </w:r>
            <w:r w:rsidRPr="00C5354D">
              <w:rPr>
                <w:rFonts w:ascii="Calibri" w:hAnsi="Calibri" w:cs="Arial"/>
                <w:sz w:val="18"/>
                <w:szCs w:val="18"/>
              </w:rPr>
              <w:t>Hlavní zásady pro výběr</w:t>
            </w:r>
            <w:r>
              <w:rPr>
                <w:rFonts w:ascii="Calibri" w:hAnsi="Calibri" w:cs="Arial"/>
                <w:sz w:val="18"/>
                <w:szCs w:val="18"/>
              </w:rPr>
              <w:t xml:space="preserve"> </w:t>
            </w:r>
            <w:r w:rsidRPr="00C5354D">
              <w:rPr>
                <w:rFonts w:ascii="Calibri" w:hAnsi="Calibri" w:cs="Arial"/>
                <w:sz w:val="18"/>
                <w:szCs w:val="18"/>
              </w:rPr>
              <w:t>operací:</w:t>
            </w:r>
            <w:r>
              <w:rPr>
                <w:rFonts w:ascii="Calibri" w:hAnsi="Calibri" w:cs="Arial"/>
                <w:sz w:val="18"/>
                <w:szCs w:val="18"/>
              </w:rPr>
              <w:t xml:space="preserve"> </w:t>
            </w:r>
            <w:r w:rsidRPr="00C5354D">
              <w:rPr>
                <w:rFonts w:ascii="Calibri" w:hAnsi="Calibri" w:cs="Arial"/>
                <w:sz w:val="18"/>
                <w:szCs w:val="18"/>
              </w:rPr>
              <w:t>Projekty zapojující do</w:t>
            </w:r>
            <w:r>
              <w:rPr>
                <w:rFonts w:ascii="Calibri" w:hAnsi="Calibri" w:cs="Arial"/>
                <w:sz w:val="18"/>
                <w:szCs w:val="18"/>
              </w:rPr>
              <w:t xml:space="preserve"> </w:t>
            </w:r>
            <w:r w:rsidRPr="00C5354D">
              <w:rPr>
                <w:rFonts w:ascii="Calibri" w:hAnsi="Calibri" w:cs="Arial"/>
                <w:sz w:val="18"/>
                <w:szCs w:val="18"/>
              </w:rPr>
              <w:t>CZT obnovitelné zdroje</w:t>
            </w:r>
            <w:r>
              <w:rPr>
                <w:rFonts w:ascii="Calibri" w:hAnsi="Calibri" w:cs="Arial"/>
                <w:sz w:val="18"/>
                <w:szCs w:val="18"/>
              </w:rPr>
              <w:t xml:space="preserve"> </w:t>
            </w:r>
            <w:r w:rsidRPr="00C5354D">
              <w:rPr>
                <w:rFonts w:ascii="Calibri" w:hAnsi="Calibri" w:cs="Arial"/>
                <w:sz w:val="18"/>
                <w:szCs w:val="18"/>
              </w:rPr>
              <w:t>energie budou</w:t>
            </w:r>
            <w:r>
              <w:rPr>
                <w:rFonts w:ascii="Calibri" w:hAnsi="Calibri" w:cs="Arial"/>
                <w:sz w:val="18"/>
                <w:szCs w:val="18"/>
              </w:rPr>
              <w:t xml:space="preserve"> </w:t>
            </w:r>
            <w:r w:rsidRPr="00C5354D">
              <w:rPr>
                <w:rFonts w:ascii="Calibri" w:hAnsi="Calibri" w:cs="Arial"/>
                <w:sz w:val="18"/>
                <w:szCs w:val="18"/>
              </w:rPr>
              <w:t>zvýhodněny.</w:t>
            </w:r>
          </w:p>
          <w:p w:rsidR="00C5354D" w:rsidRPr="00E61284" w:rsidRDefault="00C5354D" w:rsidP="00C5354D">
            <w:pPr>
              <w:spacing w:before="60"/>
              <w:jc w:val="both"/>
              <w:rPr>
                <w:rFonts w:ascii="Calibri" w:hAnsi="Calibri" w:cs="Arial"/>
                <w:sz w:val="18"/>
                <w:szCs w:val="18"/>
              </w:rPr>
            </w:pPr>
            <w:r>
              <w:rPr>
                <w:rFonts w:ascii="Calibri" w:hAnsi="Calibri" w:cs="Arial"/>
                <w:sz w:val="18"/>
                <w:szCs w:val="18"/>
              </w:rPr>
              <w:t xml:space="preserve">Zdůvodnění: </w:t>
            </w:r>
            <w:r w:rsidRPr="00C5354D">
              <w:rPr>
                <w:rFonts w:ascii="Calibri" w:hAnsi="Calibri" w:cs="Arial"/>
                <w:sz w:val="18"/>
                <w:szCs w:val="18"/>
              </w:rPr>
              <w:t>Naopak je vhodné projekty OZE zvýhodnit, a to i z</w:t>
            </w:r>
            <w:r>
              <w:rPr>
                <w:rFonts w:ascii="Calibri" w:hAnsi="Calibri" w:cs="Arial"/>
                <w:sz w:val="18"/>
                <w:szCs w:val="18"/>
              </w:rPr>
              <w:t xml:space="preserve"> </w:t>
            </w:r>
            <w:r w:rsidRPr="00C5354D">
              <w:rPr>
                <w:rFonts w:ascii="Calibri" w:hAnsi="Calibri" w:cs="Arial"/>
                <w:sz w:val="18"/>
                <w:szCs w:val="18"/>
              </w:rPr>
              <w:t>hlediska efektů, které si již nyní klade SC 3.5 za cíl,</w:t>
            </w:r>
            <w:r>
              <w:rPr>
                <w:rFonts w:ascii="Calibri" w:hAnsi="Calibri" w:cs="Arial"/>
                <w:sz w:val="18"/>
                <w:szCs w:val="18"/>
              </w:rPr>
              <w:t xml:space="preserve"> </w:t>
            </w:r>
            <w:r w:rsidRPr="00C5354D">
              <w:rPr>
                <w:rFonts w:ascii="Calibri" w:hAnsi="Calibri" w:cs="Arial"/>
                <w:sz w:val="18"/>
                <w:szCs w:val="18"/>
              </w:rPr>
              <w:t>tedy zejména snížení emisí skleníkových plynů, je</w:t>
            </w:r>
            <w:r>
              <w:rPr>
                <w:rFonts w:ascii="Calibri" w:hAnsi="Calibri" w:cs="Arial"/>
                <w:sz w:val="18"/>
                <w:szCs w:val="18"/>
              </w:rPr>
              <w:t xml:space="preserve"> </w:t>
            </w:r>
            <w:r w:rsidRPr="00C5354D">
              <w:rPr>
                <w:rFonts w:ascii="Calibri" w:hAnsi="Calibri" w:cs="Arial"/>
                <w:sz w:val="18"/>
                <w:szCs w:val="18"/>
              </w:rPr>
              <w:t>také zcela v souladu uplatňování principů</w:t>
            </w:r>
            <w:r>
              <w:rPr>
                <w:rFonts w:ascii="Calibri" w:hAnsi="Calibri" w:cs="Arial"/>
                <w:sz w:val="18"/>
                <w:szCs w:val="18"/>
              </w:rPr>
              <w:t xml:space="preserve"> </w:t>
            </w:r>
            <w:r w:rsidRPr="00C5354D">
              <w:rPr>
                <w:rFonts w:ascii="Calibri" w:hAnsi="Calibri" w:cs="Arial"/>
                <w:sz w:val="18"/>
                <w:szCs w:val="18"/>
              </w:rPr>
              <w:t>udržitelného rozvoje, na který OPPIK klade důraz. Je</w:t>
            </w:r>
            <w:r>
              <w:rPr>
                <w:rFonts w:ascii="Calibri" w:hAnsi="Calibri" w:cs="Arial"/>
                <w:sz w:val="18"/>
                <w:szCs w:val="18"/>
              </w:rPr>
              <w:t xml:space="preserve"> </w:t>
            </w:r>
            <w:r w:rsidRPr="00C5354D">
              <w:rPr>
                <w:rFonts w:ascii="Calibri" w:hAnsi="Calibri" w:cs="Arial"/>
                <w:sz w:val="18"/>
                <w:szCs w:val="18"/>
              </w:rPr>
              <w:t>vhodné podpořit zejm. solární termické systémy,</w:t>
            </w:r>
            <w:r>
              <w:rPr>
                <w:rFonts w:ascii="Calibri" w:hAnsi="Calibri" w:cs="Arial"/>
                <w:sz w:val="18"/>
                <w:szCs w:val="18"/>
              </w:rPr>
              <w:t xml:space="preserve"> </w:t>
            </w:r>
            <w:r w:rsidRPr="00C5354D">
              <w:rPr>
                <w:rFonts w:ascii="Calibri" w:hAnsi="Calibri" w:cs="Arial"/>
                <w:sz w:val="18"/>
                <w:szCs w:val="18"/>
              </w:rPr>
              <w:t>zdroje na biomasu a bioplyn.</w:t>
            </w:r>
          </w:p>
        </w:tc>
        <w:tc>
          <w:tcPr>
            <w:tcW w:w="5103" w:type="dxa"/>
          </w:tcPr>
          <w:p w:rsidR="009B0766" w:rsidRDefault="0073187A" w:rsidP="0073187A">
            <w:pPr>
              <w:spacing w:before="60"/>
              <w:rPr>
                <w:rFonts w:ascii="Calibri" w:hAnsi="Calibri" w:cs="Arial"/>
                <w:sz w:val="18"/>
                <w:szCs w:val="18"/>
              </w:rPr>
            </w:pPr>
            <w:r>
              <w:rPr>
                <w:rFonts w:ascii="Calibri" w:hAnsi="Calibri" w:cs="Arial"/>
                <w:sz w:val="18"/>
                <w:szCs w:val="18"/>
              </w:rPr>
              <w:t>MPO s</w:t>
            </w:r>
            <w:r w:rsidRPr="0073187A">
              <w:rPr>
                <w:rFonts w:ascii="Calibri" w:hAnsi="Calibri" w:cs="Arial"/>
                <w:sz w:val="18"/>
                <w:szCs w:val="18"/>
              </w:rPr>
              <w:t>ouhlasí. Projekty zapojující OZE do soustavy CZT mohou být bonifikovány – změna provedena již v</w:t>
            </w:r>
            <w:r>
              <w:rPr>
                <w:rFonts w:ascii="Calibri" w:hAnsi="Calibri" w:cs="Arial"/>
                <w:sz w:val="18"/>
                <w:szCs w:val="18"/>
              </w:rPr>
              <w:t> nové verzi</w:t>
            </w:r>
            <w:r w:rsidRPr="0073187A">
              <w:rPr>
                <w:rFonts w:ascii="Calibri" w:hAnsi="Calibri" w:cs="Arial"/>
                <w:sz w:val="18"/>
                <w:szCs w:val="18"/>
              </w:rPr>
              <w:t xml:space="preserve"> OP</w:t>
            </w:r>
            <w:r>
              <w:rPr>
                <w:rFonts w:ascii="Calibri" w:hAnsi="Calibri" w:cs="Arial"/>
                <w:sz w:val="18"/>
                <w:szCs w:val="18"/>
              </w:rPr>
              <w:t xml:space="preserve"> PIK</w:t>
            </w:r>
            <w:r w:rsidRPr="0073187A">
              <w:rPr>
                <w:rFonts w:ascii="Calibri" w:hAnsi="Calibri" w:cs="Arial"/>
                <w:sz w:val="18"/>
                <w:szCs w:val="18"/>
              </w:rPr>
              <w:t>.</w:t>
            </w:r>
          </w:p>
        </w:tc>
      </w:tr>
      <w:tr w:rsidR="009B0766" w:rsidRPr="003243DB">
        <w:tc>
          <w:tcPr>
            <w:tcW w:w="1646" w:type="dxa"/>
            <w:vMerge/>
            <w:shd w:val="clear" w:color="auto" w:fill="auto"/>
          </w:tcPr>
          <w:p w:rsidR="009B0766" w:rsidRPr="005E5D05" w:rsidRDefault="009B0766" w:rsidP="002740E2">
            <w:pPr>
              <w:spacing w:before="60"/>
              <w:rPr>
                <w:rFonts w:ascii="Calibri" w:hAnsi="Calibri" w:cs="Arial"/>
                <w:b/>
                <w:sz w:val="18"/>
                <w:szCs w:val="18"/>
              </w:rPr>
            </w:pPr>
          </w:p>
        </w:tc>
        <w:tc>
          <w:tcPr>
            <w:tcW w:w="7906" w:type="dxa"/>
          </w:tcPr>
          <w:p w:rsidR="009B0766" w:rsidRDefault="005709E4" w:rsidP="005709E4">
            <w:pPr>
              <w:spacing w:before="60"/>
              <w:jc w:val="both"/>
              <w:rPr>
                <w:rFonts w:ascii="Calibri" w:hAnsi="Calibri" w:cs="Arial"/>
                <w:sz w:val="18"/>
                <w:szCs w:val="18"/>
              </w:rPr>
            </w:pPr>
            <w:r>
              <w:rPr>
                <w:rFonts w:ascii="Calibri" w:hAnsi="Calibri" w:cs="Arial"/>
                <w:sz w:val="18"/>
                <w:szCs w:val="18"/>
              </w:rPr>
              <w:t xml:space="preserve">SC 3.1, str. 79: </w:t>
            </w:r>
            <w:r w:rsidRPr="005709E4">
              <w:rPr>
                <w:rFonts w:ascii="Calibri" w:hAnsi="Calibri" w:cs="Arial"/>
                <w:sz w:val="18"/>
                <w:szCs w:val="18"/>
              </w:rPr>
              <w:t>Typy příjemců:</w:t>
            </w:r>
            <w:r>
              <w:rPr>
                <w:rFonts w:ascii="Calibri" w:hAnsi="Calibri" w:cs="Arial"/>
                <w:sz w:val="18"/>
                <w:szCs w:val="18"/>
              </w:rPr>
              <w:t xml:space="preserve"> </w:t>
            </w:r>
            <w:r w:rsidRPr="005709E4">
              <w:rPr>
                <w:rFonts w:ascii="Calibri" w:hAnsi="Calibri" w:cs="Arial"/>
                <w:sz w:val="18"/>
                <w:szCs w:val="18"/>
              </w:rPr>
              <w:t>Doplnit: družstva, obce</w:t>
            </w:r>
            <w:r>
              <w:rPr>
                <w:rFonts w:ascii="Calibri" w:hAnsi="Calibri" w:cs="Arial"/>
                <w:sz w:val="18"/>
                <w:szCs w:val="18"/>
              </w:rPr>
              <w:t xml:space="preserve"> </w:t>
            </w:r>
            <w:r w:rsidRPr="005709E4">
              <w:rPr>
                <w:rFonts w:ascii="Calibri" w:hAnsi="Calibri" w:cs="Arial"/>
                <w:sz w:val="18"/>
                <w:szCs w:val="18"/>
              </w:rPr>
              <w:t>a sdružení osob s</w:t>
            </w:r>
            <w:r>
              <w:rPr>
                <w:rFonts w:ascii="Calibri" w:hAnsi="Calibri" w:cs="Arial"/>
                <w:sz w:val="18"/>
                <w:szCs w:val="18"/>
              </w:rPr>
              <w:t xml:space="preserve"> </w:t>
            </w:r>
            <w:r w:rsidRPr="005709E4">
              <w:rPr>
                <w:rFonts w:ascii="Calibri" w:hAnsi="Calibri" w:cs="Arial"/>
                <w:sz w:val="18"/>
                <w:szCs w:val="18"/>
              </w:rPr>
              <w:t>majetkovým základem</w:t>
            </w:r>
            <w:r>
              <w:rPr>
                <w:rFonts w:ascii="Calibri" w:hAnsi="Calibri" w:cs="Arial"/>
                <w:sz w:val="18"/>
                <w:szCs w:val="18"/>
              </w:rPr>
              <w:t xml:space="preserve"> </w:t>
            </w:r>
            <w:r w:rsidRPr="005709E4">
              <w:rPr>
                <w:rFonts w:ascii="Calibri" w:hAnsi="Calibri" w:cs="Arial"/>
                <w:sz w:val="18"/>
                <w:szCs w:val="18"/>
              </w:rPr>
              <w:t>podle NOZ</w:t>
            </w:r>
          </w:p>
          <w:p w:rsidR="005709E4" w:rsidRPr="00E61284" w:rsidRDefault="005709E4" w:rsidP="005709E4">
            <w:pPr>
              <w:spacing w:before="60"/>
              <w:jc w:val="both"/>
              <w:rPr>
                <w:rFonts w:ascii="Calibri" w:hAnsi="Calibri" w:cs="Arial"/>
                <w:sz w:val="18"/>
                <w:szCs w:val="18"/>
              </w:rPr>
            </w:pPr>
            <w:r>
              <w:rPr>
                <w:rFonts w:ascii="Calibri" w:hAnsi="Calibri" w:cs="Arial"/>
                <w:sz w:val="18"/>
                <w:szCs w:val="18"/>
              </w:rPr>
              <w:t xml:space="preserve">Zdůvodnění: </w:t>
            </w:r>
            <w:r w:rsidRPr="005709E4">
              <w:rPr>
                <w:rFonts w:ascii="Calibri" w:hAnsi="Calibri" w:cs="Arial"/>
                <w:sz w:val="18"/>
                <w:szCs w:val="18"/>
              </w:rPr>
              <w:t>Velmi vítáme zařazení podpory komunitních a</w:t>
            </w:r>
            <w:r>
              <w:rPr>
                <w:rFonts w:ascii="Calibri" w:hAnsi="Calibri" w:cs="Arial"/>
                <w:sz w:val="18"/>
                <w:szCs w:val="18"/>
              </w:rPr>
              <w:t xml:space="preserve"> </w:t>
            </w:r>
            <w:r w:rsidRPr="005709E4">
              <w:rPr>
                <w:rFonts w:ascii="Calibri" w:hAnsi="Calibri" w:cs="Arial"/>
                <w:sz w:val="18"/>
                <w:szCs w:val="18"/>
              </w:rPr>
              <w:t>malých městských zdrojů tepla v SC 3.1. Je nicméně</w:t>
            </w:r>
            <w:r>
              <w:rPr>
                <w:rFonts w:ascii="Calibri" w:hAnsi="Calibri" w:cs="Arial"/>
                <w:sz w:val="18"/>
                <w:szCs w:val="18"/>
              </w:rPr>
              <w:t xml:space="preserve"> </w:t>
            </w:r>
            <w:r w:rsidRPr="005709E4">
              <w:rPr>
                <w:rFonts w:ascii="Calibri" w:hAnsi="Calibri" w:cs="Arial"/>
                <w:sz w:val="18"/>
                <w:szCs w:val="18"/>
              </w:rPr>
              <w:t>nutné, aby tyto projekty mohly fungovat, zařadit</w:t>
            </w:r>
            <w:r>
              <w:rPr>
                <w:rFonts w:ascii="Calibri" w:hAnsi="Calibri" w:cs="Arial"/>
                <w:sz w:val="18"/>
                <w:szCs w:val="18"/>
              </w:rPr>
              <w:t xml:space="preserve"> </w:t>
            </w:r>
            <w:r w:rsidRPr="005709E4">
              <w:rPr>
                <w:rFonts w:ascii="Calibri" w:hAnsi="Calibri" w:cs="Arial"/>
                <w:sz w:val="18"/>
                <w:szCs w:val="18"/>
              </w:rPr>
              <w:t>mezi příjemce právě také města, obce a komunity.</w:t>
            </w:r>
            <w:r>
              <w:rPr>
                <w:rFonts w:ascii="Calibri" w:hAnsi="Calibri" w:cs="Arial"/>
                <w:sz w:val="18"/>
                <w:szCs w:val="18"/>
              </w:rPr>
              <w:t xml:space="preserve"> </w:t>
            </w:r>
            <w:r w:rsidRPr="005709E4">
              <w:rPr>
                <w:rFonts w:ascii="Calibri" w:hAnsi="Calibri" w:cs="Arial"/>
                <w:sz w:val="18"/>
                <w:szCs w:val="18"/>
              </w:rPr>
              <w:t>MPO si velmi zdárně poradilo s</w:t>
            </w:r>
            <w:r>
              <w:rPr>
                <w:rFonts w:ascii="Calibri" w:hAnsi="Calibri" w:cs="Arial"/>
                <w:sz w:val="18"/>
                <w:szCs w:val="18"/>
              </w:rPr>
              <w:t> </w:t>
            </w:r>
            <w:r w:rsidRPr="005709E4">
              <w:rPr>
                <w:rFonts w:ascii="Calibri" w:hAnsi="Calibri" w:cs="Arial"/>
                <w:sz w:val="18"/>
                <w:szCs w:val="18"/>
              </w:rPr>
              <w:t>odůvodněním</w:t>
            </w:r>
            <w:r>
              <w:rPr>
                <w:rFonts w:ascii="Calibri" w:hAnsi="Calibri" w:cs="Arial"/>
                <w:sz w:val="18"/>
                <w:szCs w:val="18"/>
              </w:rPr>
              <w:t xml:space="preserve"> </w:t>
            </w:r>
            <w:r w:rsidRPr="005709E4">
              <w:rPr>
                <w:rFonts w:ascii="Calibri" w:hAnsi="Calibri" w:cs="Arial"/>
                <w:sz w:val="18"/>
                <w:szCs w:val="18"/>
              </w:rPr>
              <w:t>velkých podniků v tomto a dalších SC, věřím proto,</w:t>
            </w:r>
            <w:r>
              <w:rPr>
                <w:rFonts w:ascii="Calibri" w:hAnsi="Calibri" w:cs="Arial"/>
                <w:sz w:val="18"/>
                <w:szCs w:val="18"/>
              </w:rPr>
              <w:t xml:space="preserve"> </w:t>
            </w:r>
            <w:r w:rsidRPr="005709E4">
              <w:rPr>
                <w:rFonts w:ascii="Calibri" w:hAnsi="Calibri" w:cs="Arial"/>
                <w:sz w:val="18"/>
                <w:szCs w:val="18"/>
              </w:rPr>
              <w:t>že EK přijme i tuto argumentaci:</w:t>
            </w:r>
            <w:r>
              <w:rPr>
                <w:rFonts w:ascii="Calibri" w:hAnsi="Calibri" w:cs="Arial"/>
                <w:sz w:val="18"/>
                <w:szCs w:val="18"/>
              </w:rPr>
              <w:t xml:space="preserve"> </w:t>
            </w:r>
            <w:r w:rsidRPr="005709E4">
              <w:rPr>
                <w:rFonts w:ascii="Calibri" w:hAnsi="Calibri" w:cs="Arial"/>
                <w:sz w:val="18"/>
                <w:szCs w:val="18"/>
              </w:rPr>
              <w:t>Malé městské a komunitní zdroje mohou být</w:t>
            </w:r>
            <w:r>
              <w:rPr>
                <w:rFonts w:ascii="Calibri" w:hAnsi="Calibri" w:cs="Arial"/>
                <w:sz w:val="18"/>
                <w:szCs w:val="18"/>
              </w:rPr>
              <w:t xml:space="preserve"> </w:t>
            </w:r>
            <w:r w:rsidRPr="005709E4">
              <w:rPr>
                <w:rFonts w:ascii="Calibri" w:hAnsi="Calibri" w:cs="Arial"/>
                <w:sz w:val="18"/>
                <w:szCs w:val="18"/>
              </w:rPr>
              <w:t>provozovány i bytovými družstvy, obcemi a</w:t>
            </w:r>
            <w:r>
              <w:rPr>
                <w:rFonts w:ascii="Calibri" w:hAnsi="Calibri" w:cs="Arial"/>
                <w:sz w:val="18"/>
                <w:szCs w:val="18"/>
              </w:rPr>
              <w:t xml:space="preserve"> </w:t>
            </w:r>
            <w:r w:rsidRPr="005709E4">
              <w:rPr>
                <w:rFonts w:ascii="Calibri" w:hAnsi="Calibri" w:cs="Arial"/>
                <w:sz w:val="18"/>
                <w:szCs w:val="18"/>
              </w:rPr>
              <w:t>sdruženími osob s majetkovým základem (dříve</w:t>
            </w:r>
            <w:r>
              <w:rPr>
                <w:rFonts w:ascii="Calibri" w:hAnsi="Calibri" w:cs="Arial"/>
                <w:sz w:val="18"/>
                <w:szCs w:val="18"/>
              </w:rPr>
              <w:t xml:space="preserve"> </w:t>
            </w:r>
            <w:r w:rsidRPr="005709E4">
              <w:rPr>
                <w:rFonts w:ascii="Calibri" w:hAnsi="Calibri" w:cs="Arial"/>
                <w:sz w:val="18"/>
                <w:szCs w:val="18"/>
              </w:rPr>
              <w:t>obecně prospěšné společnosti, nyní ústavy nebo</w:t>
            </w:r>
            <w:r>
              <w:rPr>
                <w:rFonts w:ascii="Calibri" w:hAnsi="Calibri" w:cs="Arial"/>
                <w:sz w:val="18"/>
                <w:szCs w:val="18"/>
              </w:rPr>
              <w:t xml:space="preserve"> </w:t>
            </w:r>
            <w:r w:rsidRPr="005709E4">
              <w:rPr>
                <w:rFonts w:ascii="Calibri" w:hAnsi="Calibri" w:cs="Arial"/>
                <w:sz w:val="18"/>
                <w:szCs w:val="18"/>
              </w:rPr>
              <w:t>nadace). Pro využití v malých zdrojích by bylo</w:t>
            </w:r>
            <w:r>
              <w:rPr>
                <w:rFonts w:ascii="Calibri" w:hAnsi="Calibri" w:cs="Arial"/>
                <w:sz w:val="18"/>
                <w:szCs w:val="18"/>
              </w:rPr>
              <w:t xml:space="preserve"> </w:t>
            </w:r>
            <w:r w:rsidRPr="005709E4">
              <w:rPr>
                <w:rFonts w:ascii="Calibri" w:hAnsi="Calibri" w:cs="Arial"/>
                <w:sz w:val="18"/>
                <w:szCs w:val="18"/>
              </w:rPr>
              <w:t>zbytečnou administrativní komplikací požadovat po</w:t>
            </w:r>
            <w:r>
              <w:rPr>
                <w:rFonts w:ascii="Calibri" w:hAnsi="Calibri" w:cs="Arial"/>
                <w:sz w:val="18"/>
                <w:szCs w:val="18"/>
              </w:rPr>
              <w:t xml:space="preserve"> </w:t>
            </w:r>
            <w:r w:rsidRPr="005709E4">
              <w:rPr>
                <w:rFonts w:ascii="Calibri" w:hAnsi="Calibri" w:cs="Arial"/>
                <w:sz w:val="18"/>
                <w:szCs w:val="18"/>
              </w:rPr>
              <w:t>těchto žadatelích vytvoření právní osoby, která by</w:t>
            </w:r>
            <w:r>
              <w:rPr>
                <w:rFonts w:ascii="Calibri" w:hAnsi="Calibri" w:cs="Arial"/>
                <w:sz w:val="18"/>
                <w:szCs w:val="18"/>
              </w:rPr>
              <w:t xml:space="preserve"> </w:t>
            </w:r>
            <w:r w:rsidRPr="005709E4">
              <w:rPr>
                <w:rFonts w:ascii="Calibri" w:hAnsi="Calibri" w:cs="Arial"/>
                <w:sz w:val="18"/>
                <w:szCs w:val="18"/>
              </w:rPr>
              <w:t>spadala pod definici MSP.</w:t>
            </w:r>
          </w:p>
        </w:tc>
        <w:tc>
          <w:tcPr>
            <w:tcW w:w="5103" w:type="dxa"/>
          </w:tcPr>
          <w:p w:rsidR="009B0766" w:rsidRDefault="0073187A" w:rsidP="0073187A">
            <w:pPr>
              <w:spacing w:before="60"/>
              <w:rPr>
                <w:rFonts w:ascii="Calibri" w:hAnsi="Calibri" w:cs="Arial"/>
                <w:sz w:val="18"/>
                <w:szCs w:val="18"/>
              </w:rPr>
            </w:pPr>
            <w:r>
              <w:rPr>
                <w:rFonts w:ascii="Calibri" w:hAnsi="Calibri" w:cs="Arial"/>
                <w:sz w:val="18"/>
                <w:szCs w:val="18"/>
              </w:rPr>
              <w:t>MPO p</w:t>
            </w:r>
            <w:r w:rsidRPr="0073187A">
              <w:rPr>
                <w:rFonts w:ascii="Calibri" w:hAnsi="Calibri" w:cs="Arial"/>
                <w:sz w:val="18"/>
                <w:szCs w:val="18"/>
              </w:rPr>
              <w:t>řipomínku akceptuje jenom z</w:t>
            </w:r>
            <w:r>
              <w:rPr>
                <w:rFonts w:ascii="Calibri" w:hAnsi="Calibri" w:cs="Arial"/>
                <w:sz w:val="18"/>
                <w:szCs w:val="18"/>
              </w:rPr>
              <w:t> </w:t>
            </w:r>
            <w:r w:rsidRPr="0073187A">
              <w:rPr>
                <w:rFonts w:ascii="Calibri" w:hAnsi="Calibri" w:cs="Arial"/>
                <w:sz w:val="18"/>
                <w:szCs w:val="18"/>
              </w:rPr>
              <w:t>části</w:t>
            </w:r>
            <w:r>
              <w:rPr>
                <w:rFonts w:ascii="Calibri" w:hAnsi="Calibri" w:cs="Arial"/>
                <w:sz w:val="18"/>
                <w:szCs w:val="18"/>
              </w:rPr>
              <w:t xml:space="preserve">: </w:t>
            </w:r>
            <w:r w:rsidRPr="0073187A">
              <w:rPr>
                <w:rFonts w:ascii="Calibri" w:hAnsi="Calibri" w:cs="Arial"/>
                <w:sz w:val="18"/>
                <w:szCs w:val="18"/>
              </w:rPr>
              <w:t xml:space="preserve">Družstva budou moci žádat. Nicméně </w:t>
            </w:r>
            <w:r>
              <w:rPr>
                <w:rFonts w:ascii="Calibri" w:hAnsi="Calibri" w:cs="Arial"/>
                <w:sz w:val="18"/>
                <w:szCs w:val="18"/>
              </w:rPr>
              <w:t>je nutné</w:t>
            </w:r>
            <w:r w:rsidRPr="0073187A">
              <w:rPr>
                <w:rFonts w:ascii="Calibri" w:hAnsi="Calibri" w:cs="Arial"/>
                <w:sz w:val="18"/>
                <w:szCs w:val="18"/>
              </w:rPr>
              <w:t xml:space="preserve"> </w:t>
            </w:r>
            <w:r>
              <w:rPr>
                <w:rFonts w:ascii="Calibri" w:hAnsi="Calibri" w:cs="Arial"/>
                <w:sz w:val="18"/>
                <w:szCs w:val="18"/>
              </w:rPr>
              <w:t>z</w:t>
            </w:r>
            <w:r w:rsidRPr="0073187A">
              <w:rPr>
                <w:rFonts w:ascii="Calibri" w:hAnsi="Calibri" w:cs="Arial"/>
                <w:sz w:val="18"/>
                <w:szCs w:val="18"/>
              </w:rPr>
              <w:t>opakovat dlouhodobou pozici</w:t>
            </w:r>
            <w:r>
              <w:rPr>
                <w:rFonts w:ascii="Calibri" w:hAnsi="Calibri" w:cs="Arial"/>
                <w:sz w:val="18"/>
                <w:szCs w:val="18"/>
              </w:rPr>
              <w:t xml:space="preserve"> MPO</w:t>
            </w:r>
            <w:r w:rsidRPr="0073187A">
              <w:rPr>
                <w:rFonts w:ascii="Calibri" w:hAnsi="Calibri" w:cs="Arial"/>
                <w:sz w:val="18"/>
                <w:szCs w:val="18"/>
              </w:rPr>
              <w:t xml:space="preserve">, že OP PIK je primárně zaměřený na podporu konkurenceschopnosti podnikatelských subjektů a tudíž podpora rozvoje OZE směřuje zejména k podnikatelům/firmám. Nicméně z praktického hlediska komunální projekty nikterak nevylučuje. V případě, že si obec (samostatně) nebo i ve spolupráci s dalšími subjekty založí společný podnik, např. s.r.o., tak se může stát příjemcem. </w:t>
            </w:r>
          </w:p>
        </w:tc>
      </w:tr>
      <w:tr w:rsidR="009B0766" w:rsidRPr="003243DB">
        <w:tc>
          <w:tcPr>
            <w:tcW w:w="1646" w:type="dxa"/>
            <w:vMerge/>
            <w:shd w:val="clear" w:color="auto" w:fill="auto"/>
          </w:tcPr>
          <w:p w:rsidR="009B0766" w:rsidRPr="005E5D05" w:rsidRDefault="009B0766" w:rsidP="002740E2">
            <w:pPr>
              <w:spacing w:before="60"/>
              <w:rPr>
                <w:rFonts w:ascii="Calibri" w:hAnsi="Calibri" w:cs="Arial"/>
                <w:b/>
                <w:sz w:val="18"/>
                <w:szCs w:val="18"/>
              </w:rPr>
            </w:pPr>
          </w:p>
        </w:tc>
        <w:tc>
          <w:tcPr>
            <w:tcW w:w="7906" w:type="dxa"/>
          </w:tcPr>
          <w:p w:rsidR="009B0766" w:rsidRDefault="005709E4" w:rsidP="005709E4">
            <w:pPr>
              <w:spacing w:before="60"/>
              <w:jc w:val="both"/>
              <w:rPr>
                <w:rFonts w:ascii="Calibri" w:hAnsi="Calibri" w:cs="Arial"/>
                <w:sz w:val="18"/>
                <w:szCs w:val="18"/>
              </w:rPr>
            </w:pPr>
            <w:r>
              <w:rPr>
                <w:rFonts w:ascii="Calibri" w:hAnsi="Calibri" w:cs="Arial"/>
                <w:sz w:val="18"/>
                <w:szCs w:val="18"/>
              </w:rPr>
              <w:t xml:space="preserve">SC 3.6, str. 87: </w:t>
            </w:r>
            <w:r w:rsidRPr="005709E4">
              <w:rPr>
                <w:rFonts w:ascii="Calibri" w:hAnsi="Calibri" w:cs="Arial"/>
                <w:sz w:val="18"/>
                <w:szCs w:val="18"/>
              </w:rPr>
              <w:t>Doplnit: potřebnost</w:t>
            </w:r>
            <w:r>
              <w:rPr>
                <w:rFonts w:ascii="Calibri" w:hAnsi="Calibri" w:cs="Arial"/>
                <w:sz w:val="18"/>
                <w:szCs w:val="18"/>
              </w:rPr>
              <w:t xml:space="preserve"> </w:t>
            </w:r>
            <w:r w:rsidRPr="005709E4">
              <w:rPr>
                <w:rFonts w:ascii="Calibri" w:hAnsi="Calibri" w:cs="Arial"/>
                <w:sz w:val="18"/>
                <w:szCs w:val="18"/>
              </w:rPr>
              <w:t>projektu s ohledem na</w:t>
            </w:r>
            <w:r>
              <w:rPr>
                <w:rFonts w:ascii="Calibri" w:hAnsi="Calibri" w:cs="Arial"/>
                <w:sz w:val="18"/>
                <w:szCs w:val="18"/>
              </w:rPr>
              <w:t xml:space="preserve"> </w:t>
            </w:r>
            <w:r w:rsidRPr="005709E4">
              <w:rPr>
                <w:rFonts w:ascii="Calibri" w:hAnsi="Calibri" w:cs="Arial"/>
                <w:sz w:val="18"/>
                <w:szCs w:val="18"/>
              </w:rPr>
              <w:t>jeho přínosy pro</w:t>
            </w:r>
            <w:r>
              <w:rPr>
                <w:rFonts w:ascii="Calibri" w:hAnsi="Calibri" w:cs="Arial"/>
                <w:sz w:val="18"/>
                <w:szCs w:val="18"/>
              </w:rPr>
              <w:t xml:space="preserve"> </w:t>
            </w:r>
            <w:r w:rsidRPr="005709E4">
              <w:rPr>
                <w:rFonts w:ascii="Calibri" w:hAnsi="Calibri" w:cs="Arial"/>
                <w:sz w:val="18"/>
                <w:szCs w:val="18"/>
              </w:rPr>
              <w:t>připojování</w:t>
            </w:r>
            <w:r>
              <w:rPr>
                <w:rFonts w:ascii="Calibri" w:hAnsi="Calibri" w:cs="Arial"/>
                <w:sz w:val="18"/>
                <w:szCs w:val="18"/>
              </w:rPr>
              <w:t xml:space="preserve"> </w:t>
            </w:r>
            <w:r w:rsidRPr="005709E4">
              <w:rPr>
                <w:rFonts w:ascii="Calibri" w:hAnsi="Calibri" w:cs="Arial"/>
                <w:sz w:val="18"/>
                <w:szCs w:val="18"/>
              </w:rPr>
              <w:t>přerušovaných a</w:t>
            </w:r>
            <w:r>
              <w:rPr>
                <w:rFonts w:ascii="Calibri" w:hAnsi="Calibri" w:cs="Arial"/>
                <w:sz w:val="18"/>
                <w:szCs w:val="18"/>
              </w:rPr>
              <w:t xml:space="preserve"> </w:t>
            </w:r>
            <w:r w:rsidRPr="005709E4">
              <w:rPr>
                <w:rFonts w:ascii="Calibri" w:hAnsi="Calibri" w:cs="Arial"/>
                <w:sz w:val="18"/>
                <w:szCs w:val="18"/>
              </w:rPr>
              <w:t>distribuovaných zdrojů</w:t>
            </w:r>
          </w:p>
          <w:p w:rsidR="005709E4" w:rsidRPr="00E61284" w:rsidRDefault="005709E4" w:rsidP="005709E4">
            <w:pPr>
              <w:spacing w:before="60"/>
              <w:jc w:val="both"/>
              <w:rPr>
                <w:rFonts w:ascii="Calibri" w:hAnsi="Calibri" w:cs="Arial"/>
                <w:sz w:val="18"/>
                <w:szCs w:val="18"/>
              </w:rPr>
            </w:pPr>
            <w:r>
              <w:rPr>
                <w:rFonts w:ascii="Calibri" w:hAnsi="Calibri" w:cs="Arial"/>
                <w:sz w:val="18"/>
                <w:szCs w:val="18"/>
              </w:rPr>
              <w:t xml:space="preserve">Zdůvodnění: </w:t>
            </w:r>
            <w:r w:rsidRPr="005709E4">
              <w:rPr>
                <w:rFonts w:ascii="Calibri" w:hAnsi="Calibri" w:cs="Arial"/>
                <w:sz w:val="18"/>
                <w:szCs w:val="18"/>
              </w:rPr>
              <w:t>Potřeba zapojovat distribuované, decentralizované</w:t>
            </w:r>
            <w:r>
              <w:rPr>
                <w:rFonts w:ascii="Calibri" w:hAnsi="Calibri" w:cs="Arial"/>
                <w:sz w:val="18"/>
                <w:szCs w:val="18"/>
              </w:rPr>
              <w:t xml:space="preserve"> </w:t>
            </w:r>
            <w:r w:rsidRPr="005709E4">
              <w:rPr>
                <w:rFonts w:ascii="Calibri" w:hAnsi="Calibri" w:cs="Arial"/>
                <w:sz w:val="18"/>
                <w:szCs w:val="18"/>
              </w:rPr>
              <w:t xml:space="preserve">zdroje s možností odpojování a </w:t>
            </w:r>
            <w:r w:rsidRPr="005709E4">
              <w:rPr>
                <w:rFonts w:ascii="Calibri" w:hAnsi="Calibri" w:cs="Arial"/>
                <w:sz w:val="18"/>
                <w:szCs w:val="18"/>
              </w:rPr>
              <w:lastRenderedPageBreak/>
              <w:t>s</w:t>
            </w:r>
            <w:r>
              <w:rPr>
                <w:rFonts w:ascii="Calibri" w:hAnsi="Calibri" w:cs="Arial"/>
                <w:sz w:val="18"/>
                <w:szCs w:val="18"/>
              </w:rPr>
              <w:t> </w:t>
            </w:r>
            <w:r w:rsidRPr="005709E4">
              <w:rPr>
                <w:rFonts w:ascii="Calibri" w:hAnsi="Calibri" w:cs="Arial"/>
                <w:sz w:val="18"/>
                <w:szCs w:val="18"/>
              </w:rPr>
              <w:t>přerušovanou</w:t>
            </w:r>
            <w:r>
              <w:rPr>
                <w:rFonts w:ascii="Calibri" w:hAnsi="Calibri" w:cs="Arial"/>
                <w:sz w:val="18"/>
                <w:szCs w:val="18"/>
              </w:rPr>
              <w:t xml:space="preserve"> </w:t>
            </w:r>
            <w:r w:rsidRPr="005709E4">
              <w:rPr>
                <w:rFonts w:ascii="Calibri" w:hAnsi="Calibri" w:cs="Arial"/>
                <w:sz w:val="18"/>
                <w:szCs w:val="18"/>
              </w:rPr>
              <w:t>dodávkou je základní podmínkou rozvoje OZE v</w:t>
            </w:r>
            <w:r>
              <w:rPr>
                <w:rFonts w:ascii="Calibri" w:hAnsi="Calibri" w:cs="Arial"/>
                <w:sz w:val="18"/>
                <w:szCs w:val="18"/>
              </w:rPr>
              <w:t> </w:t>
            </w:r>
            <w:r w:rsidRPr="005709E4">
              <w:rPr>
                <w:rFonts w:ascii="Calibri" w:hAnsi="Calibri" w:cs="Arial"/>
                <w:sz w:val="18"/>
                <w:szCs w:val="18"/>
              </w:rPr>
              <w:t>ČR</w:t>
            </w:r>
            <w:r>
              <w:rPr>
                <w:rFonts w:ascii="Calibri" w:hAnsi="Calibri" w:cs="Arial"/>
                <w:sz w:val="18"/>
                <w:szCs w:val="18"/>
              </w:rPr>
              <w:t xml:space="preserve"> </w:t>
            </w:r>
            <w:r w:rsidRPr="005709E4">
              <w:rPr>
                <w:rFonts w:ascii="Calibri" w:hAnsi="Calibri" w:cs="Arial"/>
                <w:sz w:val="18"/>
                <w:szCs w:val="18"/>
              </w:rPr>
              <w:t>vedoucí ke zlepšení ŽP – snížení emisí CO2. Cíl</w:t>
            </w:r>
            <w:r>
              <w:rPr>
                <w:rFonts w:ascii="Calibri" w:hAnsi="Calibri" w:cs="Arial"/>
                <w:sz w:val="18"/>
                <w:szCs w:val="18"/>
              </w:rPr>
              <w:t xml:space="preserve"> </w:t>
            </w:r>
            <w:r w:rsidRPr="005709E4">
              <w:rPr>
                <w:rFonts w:ascii="Calibri" w:hAnsi="Calibri" w:cs="Arial"/>
                <w:sz w:val="18"/>
                <w:szCs w:val="18"/>
              </w:rPr>
              <w:t>stanovený v části Výsledky, kterých chceme</w:t>
            </w:r>
            <w:r>
              <w:rPr>
                <w:rFonts w:ascii="Calibri" w:hAnsi="Calibri" w:cs="Arial"/>
                <w:sz w:val="18"/>
                <w:szCs w:val="18"/>
              </w:rPr>
              <w:t xml:space="preserve"> </w:t>
            </w:r>
            <w:r w:rsidRPr="005709E4">
              <w:rPr>
                <w:rFonts w:ascii="Calibri" w:hAnsi="Calibri" w:cs="Arial"/>
                <w:sz w:val="18"/>
                <w:szCs w:val="18"/>
              </w:rPr>
              <w:t>dosáhnout u SC 3.3 je potřeba formulovat do</w:t>
            </w:r>
            <w:r>
              <w:rPr>
                <w:rFonts w:ascii="Calibri" w:hAnsi="Calibri" w:cs="Arial"/>
                <w:sz w:val="18"/>
                <w:szCs w:val="18"/>
              </w:rPr>
              <w:t xml:space="preserve"> </w:t>
            </w:r>
            <w:r w:rsidRPr="005709E4">
              <w:rPr>
                <w:rFonts w:ascii="Calibri" w:hAnsi="Calibri" w:cs="Arial"/>
                <w:sz w:val="18"/>
                <w:szCs w:val="18"/>
              </w:rPr>
              <w:t>výběru projektů. Podmínka začleňovat OZE vychází</w:t>
            </w:r>
            <w:r>
              <w:rPr>
                <w:rFonts w:ascii="Calibri" w:hAnsi="Calibri" w:cs="Arial"/>
                <w:sz w:val="18"/>
                <w:szCs w:val="18"/>
              </w:rPr>
              <w:t xml:space="preserve"> </w:t>
            </w:r>
            <w:r w:rsidRPr="005709E4">
              <w:rPr>
                <w:rFonts w:ascii="Calibri" w:hAnsi="Calibri" w:cs="Arial"/>
                <w:sz w:val="18"/>
                <w:szCs w:val="18"/>
              </w:rPr>
              <w:t xml:space="preserve">také ze zaměření tohoto </w:t>
            </w:r>
            <w:r>
              <w:rPr>
                <w:rFonts w:ascii="Calibri" w:hAnsi="Calibri" w:cs="Arial"/>
                <w:sz w:val="18"/>
                <w:szCs w:val="18"/>
              </w:rPr>
              <w:t>SC na Te</w:t>
            </w:r>
            <w:r w:rsidRPr="005709E4">
              <w:rPr>
                <w:rFonts w:ascii="Calibri" w:hAnsi="Calibri" w:cs="Arial"/>
                <w:sz w:val="18"/>
                <w:szCs w:val="18"/>
              </w:rPr>
              <w:t>matický cíl 4 a</w:t>
            </w:r>
            <w:r>
              <w:rPr>
                <w:rFonts w:ascii="Calibri" w:hAnsi="Calibri" w:cs="Arial"/>
                <w:sz w:val="18"/>
                <w:szCs w:val="18"/>
              </w:rPr>
              <w:t xml:space="preserve"> </w:t>
            </w:r>
            <w:r w:rsidRPr="005709E4">
              <w:rPr>
                <w:rFonts w:ascii="Calibri" w:hAnsi="Calibri" w:cs="Arial"/>
                <w:sz w:val="18"/>
                <w:szCs w:val="18"/>
              </w:rPr>
              <w:t>vykazování financování SC 3.3 do povinného podílu</w:t>
            </w:r>
            <w:r>
              <w:rPr>
                <w:rFonts w:ascii="Calibri" w:hAnsi="Calibri" w:cs="Arial"/>
                <w:sz w:val="18"/>
                <w:szCs w:val="18"/>
              </w:rPr>
              <w:t xml:space="preserve"> </w:t>
            </w:r>
            <w:r w:rsidRPr="005709E4">
              <w:rPr>
                <w:rFonts w:ascii="Calibri" w:hAnsi="Calibri" w:cs="Arial"/>
                <w:sz w:val="18"/>
                <w:szCs w:val="18"/>
              </w:rPr>
              <w:t>financí na TC 4.</w:t>
            </w:r>
          </w:p>
        </w:tc>
        <w:tc>
          <w:tcPr>
            <w:tcW w:w="5103" w:type="dxa"/>
          </w:tcPr>
          <w:p w:rsidR="009B0766" w:rsidRDefault="0073187A" w:rsidP="0073187A">
            <w:pPr>
              <w:spacing w:before="60"/>
              <w:rPr>
                <w:rFonts w:ascii="Calibri" w:hAnsi="Calibri" w:cs="Arial"/>
                <w:sz w:val="18"/>
                <w:szCs w:val="18"/>
              </w:rPr>
            </w:pPr>
            <w:r>
              <w:rPr>
                <w:rFonts w:ascii="Calibri" w:hAnsi="Calibri" w:cs="Arial"/>
                <w:sz w:val="18"/>
                <w:szCs w:val="18"/>
              </w:rPr>
              <w:lastRenderedPageBreak/>
              <w:t>MPO doplnění n</w:t>
            </w:r>
            <w:r w:rsidRPr="0073187A">
              <w:rPr>
                <w:rFonts w:ascii="Calibri" w:hAnsi="Calibri" w:cs="Arial"/>
                <w:sz w:val="18"/>
                <w:szCs w:val="18"/>
              </w:rPr>
              <w:t>eakcept</w:t>
            </w:r>
            <w:r>
              <w:rPr>
                <w:rFonts w:ascii="Calibri" w:hAnsi="Calibri" w:cs="Arial"/>
                <w:sz w:val="18"/>
                <w:szCs w:val="18"/>
              </w:rPr>
              <w:t>uje, n</w:t>
            </w:r>
            <w:r w:rsidRPr="0073187A">
              <w:rPr>
                <w:rFonts w:ascii="Calibri" w:hAnsi="Calibri" w:cs="Arial"/>
                <w:sz w:val="18"/>
                <w:szCs w:val="18"/>
              </w:rPr>
              <w:t>elze vztahovat pouze pro oblast připojování OZE. Je potřeba řešit v kontextu zlepšení kvality, spolehlivosti a bezpečnosti elektrizační soustavy, s</w:t>
            </w:r>
            <w:r>
              <w:rPr>
                <w:rFonts w:ascii="Calibri" w:hAnsi="Calibri" w:cs="Arial"/>
                <w:sz w:val="18"/>
                <w:szCs w:val="18"/>
              </w:rPr>
              <w:t> </w:t>
            </w:r>
            <w:r w:rsidRPr="0073187A">
              <w:rPr>
                <w:rFonts w:ascii="Calibri" w:hAnsi="Calibri" w:cs="Arial"/>
                <w:sz w:val="18"/>
                <w:szCs w:val="18"/>
              </w:rPr>
              <w:t>tím</w:t>
            </w:r>
            <w:r>
              <w:rPr>
                <w:rFonts w:ascii="Calibri" w:hAnsi="Calibri" w:cs="Arial"/>
                <w:sz w:val="18"/>
                <w:szCs w:val="18"/>
              </w:rPr>
              <w:t xml:space="preserve"> </w:t>
            </w:r>
            <w:r w:rsidRPr="0073187A">
              <w:rPr>
                <w:rFonts w:ascii="Calibri" w:hAnsi="Calibri" w:cs="Arial"/>
                <w:sz w:val="18"/>
                <w:szCs w:val="18"/>
              </w:rPr>
              <w:t xml:space="preserve">že bude </w:t>
            </w:r>
            <w:r w:rsidRPr="0073187A">
              <w:rPr>
                <w:rFonts w:ascii="Calibri" w:hAnsi="Calibri" w:cs="Arial"/>
                <w:sz w:val="18"/>
                <w:szCs w:val="18"/>
              </w:rPr>
              <w:lastRenderedPageBreak/>
              <w:t>zajištěna udržitelnosti dodávek elektřiny konečným zákazníkům.</w:t>
            </w:r>
          </w:p>
        </w:tc>
      </w:tr>
      <w:tr w:rsidR="009B0766" w:rsidRPr="003243DB">
        <w:tc>
          <w:tcPr>
            <w:tcW w:w="1646" w:type="dxa"/>
            <w:vMerge/>
            <w:shd w:val="clear" w:color="auto" w:fill="auto"/>
          </w:tcPr>
          <w:p w:rsidR="009B0766" w:rsidRPr="005E5D05" w:rsidRDefault="009B0766" w:rsidP="002740E2">
            <w:pPr>
              <w:spacing w:before="60"/>
              <w:rPr>
                <w:rFonts w:ascii="Calibri" w:hAnsi="Calibri" w:cs="Arial"/>
                <w:b/>
                <w:sz w:val="18"/>
                <w:szCs w:val="18"/>
              </w:rPr>
            </w:pPr>
          </w:p>
        </w:tc>
        <w:tc>
          <w:tcPr>
            <w:tcW w:w="7906" w:type="dxa"/>
          </w:tcPr>
          <w:p w:rsidR="009B0766" w:rsidRDefault="005709E4" w:rsidP="005709E4">
            <w:pPr>
              <w:spacing w:before="60"/>
              <w:jc w:val="both"/>
              <w:rPr>
                <w:rFonts w:ascii="Calibri" w:hAnsi="Calibri" w:cs="Arial"/>
                <w:sz w:val="18"/>
                <w:szCs w:val="18"/>
              </w:rPr>
            </w:pPr>
            <w:r>
              <w:rPr>
                <w:rFonts w:ascii="Calibri" w:hAnsi="Calibri" w:cs="Arial"/>
                <w:sz w:val="18"/>
                <w:szCs w:val="18"/>
              </w:rPr>
              <w:t xml:space="preserve">SC 3.3, str. 87: </w:t>
            </w:r>
            <w:r w:rsidRPr="005709E4">
              <w:rPr>
                <w:rFonts w:ascii="Calibri" w:hAnsi="Calibri" w:cs="Arial"/>
                <w:sz w:val="18"/>
                <w:szCs w:val="18"/>
              </w:rPr>
              <w:t>Změnit indikátory:</w:t>
            </w:r>
            <w:r>
              <w:rPr>
                <w:rFonts w:ascii="Calibri" w:hAnsi="Calibri" w:cs="Arial"/>
                <w:sz w:val="18"/>
                <w:szCs w:val="18"/>
              </w:rPr>
              <w:t xml:space="preserve"> </w:t>
            </w:r>
            <w:r w:rsidRPr="005709E4">
              <w:rPr>
                <w:rFonts w:ascii="Calibri" w:hAnsi="Calibri" w:cs="Arial"/>
                <w:strike/>
                <w:sz w:val="18"/>
                <w:szCs w:val="18"/>
              </w:rPr>
              <w:t>SAIFI, SAIDI</w:t>
            </w:r>
            <w:r>
              <w:rPr>
                <w:rFonts w:ascii="Calibri" w:hAnsi="Calibri" w:cs="Arial"/>
                <w:sz w:val="18"/>
                <w:szCs w:val="18"/>
              </w:rPr>
              <w:t xml:space="preserve"> </w:t>
            </w:r>
            <w:r w:rsidRPr="005709E4">
              <w:rPr>
                <w:rFonts w:ascii="Calibri" w:hAnsi="Calibri" w:cs="Arial"/>
                <w:sz w:val="18"/>
                <w:szCs w:val="18"/>
              </w:rPr>
              <w:t>Kapacita připojení</w:t>
            </w:r>
            <w:r>
              <w:rPr>
                <w:rFonts w:ascii="Calibri" w:hAnsi="Calibri" w:cs="Arial"/>
                <w:sz w:val="18"/>
                <w:szCs w:val="18"/>
              </w:rPr>
              <w:t xml:space="preserve"> </w:t>
            </w:r>
            <w:r w:rsidRPr="005709E4">
              <w:rPr>
                <w:rFonts w:ascii="Calibri" w:hAnsi="Calibri" w:cs="Arial"/>
                <w:sz w:val="18"/>
                <w:szCs w:val="18"/>
              </w:rPr>
              <w:t>distribuovaných zdrojů</w:t>
            </w:r>
            <w:r>
              <w:rPr>
                <w:rFonts w:ascii="Calibri" w:hAnsi="Calibri" w:cs="Arial"/>
                <w:sz w:val="18"/>
                <w:szCs w:val="18"/>
              </w:rPr>
              <w:t xml:space="preserve"> energie v DS</w:t>
            </w:r>
          </w:p>
          <w:p w:rsidR="005709E4" w:rsidRDefault="005709E4" w:rsidP="005709E4">
            <w:pPr>
              <w:spacing w:before="60"/>
              <w:jc w:val="both"/>
              <w:rPr>
                <w:rFonts w:ascii="Calibri" w:hAnsi="Calibri" w:cs="Arial"/>
                <w:sz w:val="18"/>
                <w:szCs w:val="18"/>
              </w:rPr>
            </w:pPr>
            <w:r>
              <w:rPr>
                <w:rFonts w:ascii="Calibri" w:hAnsi="Calibri" w:cs="Arial"/>
                <w:sz w:val="18"/>
                <w:szCs w:val="18"/>
              </w:rPr>
              <w:t xml:space="preserve">Zdůvodnění: </w:t>
            </w:r>
            <w:r w:rsidRPr="005709E4">
              <w:rPr>
                <w:rFonts w:ascii="Calibri" w:hAnsi="Calibri" w:cs="Arial"/>
                <w:sz w:val="18"/>
                <w:szCs w:val="18"/>
              </w:rPr>
              <w:t>Vzhledem k tomu, že jak v SC 3.3 tak jinde v OP je</w:t>
            </w:r>
            <w:r>
              <w:rPr>
                <w:rFonts w:ascii="Calibri" w:hAnsi="Calibri" w:cs="Arial"/>
                <w:sz w:val="18"/>
                <w:szCs w:val="18"/>
              </w:rPr>
              <w:t xml:space="preserve"> </w:t>
            </w:r>
            <w:r w:rsidRPr="005709E4">
              <w:rPr>
                <w:rFonts w:ascii="Calibri" w:hAnsi="Calibri" w:cs="Arial"/>
                <w:sz w:val="18"/>
                <w:szCs w:val="18"/>
              </w:rPr>
              <w:t>připojování distribuovaných zdrojů, zejména OZE a</w:t>
            </w:r>
            <w:r>
              <w:rPr>
                <w:rFonts w:ascii="Calibri" w:hAnsi="Calibri" w:cs="Arial"/>
                <w:sz w:val="18"/>
                <w:szCs w:val="18"/>
              </w:rPr>
              <w:t xml:space="preserve"> </w:t>
            </w:r>
            <w:r w:rsidRPr="005709E4">
              <w:rPr>
                <w:rFonts w:ascii="Calibri" w:hAnsi="Calibri" w:cs="Arial"/>
                <w:sz w:val="18"/>
                <w:szCs w:val="18"/>
              </w:rPr>
              <w:t>KVET, jedním z cílů intervencí, je vhodné postup k</w:t>
            </w:r>
            <w:r>
              <w:rPr>
                <w:rFonts w:ascii="Calibri" w:hAnsi="Calibri" w:cs="Arial"/>
                <w:sz w:val="18"/>
                <w:szCs w:val="18"/>
              </w:rPr>
              <w:t xml:space="preserve"> </w:t>
            </w:r>
            <w:r w:rsidRPr="005709E4">
              <w:rPr>
                <w:rFonts w:ascii="Calibri" w:hAnsi="Calibri" w:cs="Arial"/>
                <w:sz w:val="18"/>
                <w:szCs w:val="18"/>
              </w:rPr>
              <w:t>tomuto cíli také měřit.</w:t>
            </w:r>
          </w:p>
          <w:p w:rsidR="005709E4" w:rsidRPr="005709E4" w:rsidRDefault="005709E4" w:rsidP="005709E4">
            <w:pPr>
              <w:spacing w:before="60"/>
              <w:jc w:val="both"/>
              <w:rPr>
                <w:rFonts w:ascii="Calibri" w:hAnsi="Calibri" w:cs="Arial"/>
                <w:sz w:val="18"/>
                <w:szCs w:val="18"/>
              </w:rPr>
            </w:pPr>
            <w:r w:rsidRPr="005709E4">
              <w:rPr>
                <w:rFonts w:ascii="Calibri" w:hAnsi="Calibri" w:cs="Arial"/>
                <w:sz w:val="18"/>
                <w:szCs w:val="18"/>
              </w:rPr>
              <w:t>Navržené indikátory SAIFI a SAIDI měří veličinu,</w:t>
            </w:r>
            <w:r>
              <w:rPr>
                <w:rFonts w:ascii="Calibri" w:hAnsi="Calibri" w:cs="Arial"/>
                <w:sz w:val="18"/>
                <w:szCs w:val="18"/>
              </w:rPr>
              <w:t xml:space="preserve"> </w:t>
            </w:r>
            <w:r w:rsidRPr="005709E4">
              <w:rPr>
                <w:rFonts w:ascii="Calibri" w:hAnsi="Calibri" w:cs="Arial"/>
                <w:sz w:val="18"/>
                <w:szCs w:val="18"/>
              </w:rPr>
              <w:t>která není v ČR kritická – počet a trvání výpadků</w:t>
            </w:r>
            <w:r>
              <w:rPr>
                <w:rFonts w:ascii="Calibri" w:hAnsi="Calibri" w:cs="Arial"/>
                <w:sz w:val="18"/>
                <w:szCs w:val="18"/>
              </w:rPr>
              <w:t xml:space="preserve"> </w:t>
            </w:r>
            <w:r w:rsidRPr="005709E4">
              <w:rPr>
                <w:rFonts w:ascii="Calibri" w:hAnsi="Calibri" w:cs="Arial"/>
                <w:sz w:val="18"/>
                <w:szCs w:val="18"/>
              </w:rPr>
              <w:t>dodávek el. energie. Díky celé intervenci v SC 3.3 ve</w:t>
            </w:r>
            <w:r>
              <w:rPr>
                <w:rFonts w:ascii="Calibri" w:hAnsi="Calibri" w:cs="Arial"/>
                <w:sz w:val="18"/>
                <w:szCs w:val="18"/>
              </w:rPr>
              <w:t xml:space="preserve"> </w:t>
            </w:r>
            <w:r w:rsidRPr="005709E4">
              <w:rPr>
                <w:rFonts w:ascii="Calibri" w:hAnsi="Calibri" w:cs="Arial"/>
                <w:sz w:val="18"/>
                <w:szCs w:val="18"/>
              </w:rPr>
              <w:t>výši cca. 1 mld. Kč tak dojde jen ke snížení počtu</w:t>
            </w:r>
            <w:r>
              <w:rPr>
                <w:rFonts w:ascii="Calibri" w:hAnsi="Calibri" w:cs="Arial"/>
                <w:sz w:val="18"/>
                <w:szCs w:val="18"/>
              </w:rPr>
              <w:t xml:space="preserve"> </w:t>
            </w:r>
            <w:r w:rsidRPr="005709E4">
              <w:rPr>
                <w:rFonts w:ascii="Calibri" w:hAnsi="Calibri" w:cs="Arial"/>
                <w:sz w:val="18"/>
                <w:szCs w:val="18"/>
              </w:rPr>
              <w:t>výpadků z 2,41 na 1,84. To není posun, který by v</w:t>
            </w:r>
            <w:r>
              <w:rPr>
                <w:rFonts w:ascii="Calibri" w:hAnsi="Calibri" w:cs="Arial"/>
                <w:sz w:val="18"/>
                <w:szCs w:val="18"/>
              </w:rPr>
              <w:t xml:space="preserve"> </w:t>
            </w:r>
            <w:r w:rsidRPr="005709E4">
              <w:rPr>
                <w:rFonts w:ascii="Calibri" w:hAnsi="Calibri" w:cs="Arial"/>
                <w:sz w:val="18"/>
                <w:szCs w:val="18"/>
              </w:rPr>
              <w:t>ČR znamenal příklon ke skutečným smart grids.</w:t>
            </w:r>
          </w:p>
          <w:p w:rsidR="005709E4" w:rsidRDefault="005709E4" w:rsidP="005709E4">
            <w:pPr>
              <w:spacing w:before="60"/>
              <w:jc w:val="both"/>
              <w:rPr>
                <w:rFonts w:ascii="Calibri" w:hAnsi="Calibri" w:cs="Arial"/>
                <w:sz w:val="18"/>
                <w:szCs w:val="18"/>
              </w:rPr>
            </w:pPr>
            <w:r w:rsidRPr="005709E4">
              <w:rPr>
                <w:rFonts w:ascii="Calibri" w:hAnsi="Calibri" w:cs="Arial"/>
                <w:sz w:val="18"/>
                <w:szCs w:val="18"/>
              </w:rPr>
              <w:t>Je proto nutno zavést indikátor, který měří</w:t>
            </w:r>
            <w:r>
              <w:rPr>
                <w:rFonts w:ascii="Calibri" w:hAnsi="Calibri" w:cs="Arial"/>
                <w:sz w:val="18"/>
                <w:szCs w:val="18"/>
              </w:rPr>
              <w:t xml:space="preserve"> </w:t>
            </w:r>
            <w:r w:rsidRPr="005709E4">
              <w:rPr>
                <w:rFonts w:ascii="Calibri" w:hAnsi="Calibri" w:cs="Arial"/>
                <w:sz w:val="18"/>
                <w:szCs w:val="18"/>
              </w:rPr>
              <w:t>„inteligenci“ sítí, schopnost vyrovnat se s</w:t>
            </w:r>
            <w:r>
              <w:rPr>
                <w:rFonts w:ascii="Calibri" w:hAnsi="Calibri" w:cs="Arial"/>
                <w:sz w:val="18"/>
                <w:szCs w:val="18"/>
              </w:rPr>
              <w:t xml:space="preserve"> </w:t>
            </w:r>
            <w:r w:rsidRPr="005709E4">
              <w:rPr>
                <w:rFonts w:ascii="Calibri" w:hAnsi="Calibri" w:cs="Arial"/>
                <w:sz w:val="18"/>
                <w:szCs w:val="18"/>
              </w:rPr>
              <w:t>přerušovanými a distribuovanými zdroji energie.</w:t>
            </w:r>
            <w:r>
              <w:rPr>
                <w:rFonts w:ascii="Calibri" w:hAnsi="Calibri" w:cs="Arial"/>
                <w:sz w:val="18"/>
                <w:szCs w:val="18"/>
              </w:rPr>
              <w:t xml:space="preserve"> </w:t>
            </w:r>
          </w:p>
          <w:p w:rsidR="005709E4" w:rsidRPr="00E61284" w:rsidRDefault="005709E4" w:rsidP="005709E4">
            <w:pPr>
              <w:spacing w:before="60"/>
              <w:jc w:val="both"/>
              <w:rPr>
                <w:rFonts w:ascii="Calibri" w:hAnsi="Calibri" w:cs="Arial"/>
                <w:sz w:val="18"/>
                <w:szCs w:val="18"/>
              </w:rPr>
            </w:pPr>
            <w:r w:rsidRPr="005709E4">
              <w:rPr>
                <w:rFonts w:ascii="Calibri" w:hAnsi="Calibri" w:cs="Arial"/>
                <w:sz w:val="18"/>
                <w:szCs w:val="18"/>
              </w:rPr>
              <w:t>Indikátor „Hosting capacity for distributed energy</w:t>
            </w:r>
            <w:r>
              <w:rPr>
                <w:rFonts w:ascii="Calibri" w:hAnsi="Calibri" w:cs="Arial"/>
                <w:sz w:val="18"/>
                <w:szCs w:val="18"/>
              </w:rPr>
              <w:t xml:space="preserve"> </w:t>
            </w:r>
            <w:r w:rsidRPr="005709E4">
              <w:rPr>
                <w:rFonts w:ascii="Calibri" w:hAnsi="Calibri" w:cs="Arial"/>
                <w:sz w:val="18"/>
                <w:szCs w:val="18"/>
              </w:rPr>
              <w:t>resources in distribution grids“ je doporučen</w:t>
            </w:r>
            <w:r>
              <w:rPr>
                <w:rFonts w:ascii="Calibri" w:hAnsi="Calibri" w:cs="Arial"/>
                <w:sz w:val="18"/>
                <w:szCs w:val="18"/>
              </w:rPr>
              <w:t xml:space="preserve"> </w:t>
            </w:r>
            <w:r w:rsidRPr="005709E4">
              <w:rPr>
                <w:rFonts w:ascii="Calibri" w:hAnsi="Calibri" w:cs="Arial"/>
                <w:sz w:val="18"/>
                <w:szCs w:val="18"/>
              </w:rPr>
              <w:t>například EU Commission Task Force for Smart</w:t>
            </w:r>
            <w:r>
              <w:rPr>
                <w:rFonts w:ascii="Calibri" w:hAnsi="Calibri" w:cs="Arial"/>
                <w:sz w:val="18"/>
                <w:szCs w:val="18"/>
              </w:rPr>
              <w:t xml:space="preserve"> </w:t>
            </w:r>
            <w:r w:rsidRPr="005709E4">
              <w:rPr>
                <w:rFonts w:ascii="Calibri" w:hAnsi="Calibri" w:cs="Arial"/>
                <w:sz w:val="18"/>
                <w:szCs w:val="18"/>
              </w:rPr>
              <w:t>Grids</w:t>
            </w:r>
            <w:r>
              <w:rPr>
                <w:rFonts w:ascii="Calibri" w:hAnsi="Calibri" w:cs="Arial"/>
                <w:sz w:val="18"/>
                <w:szCs w:val="18"/>
              </w:rPr>
              <w:t xml:space="preserve"> </w:t>
            </w:r>
            <w:r w:rsidRPr="005709E4">
              <w:rPr>
                <w:rFonts w:ascii="Calibri" w:hAnsi="Calibri" w:cs="Arial"/>
                <w:sz w:val="18"/>
                <w:szCs w:val="18"/>
              </w:rPr>
              <w:t>(http://ec.europa.eu/energy/gas_electricity/smartg</w:t>
            </w:r>
            <w:r>
              <w:rPr>
                <w:rFonts w:ascii="Calibri" w:hAnsi="Calibri" w:cs="Arial"/>
                <w:sz w:val="18"/>
                <w:szCs w:val="18"/>
              </w:rPr>
              <w:t xml:space="preserve"> </w:t>
            </w:r>
            <w:r w:rsidRPr="005709E4">
              <w:rPr>
                <w:rFonts w:ascii="Calibri" w:hAnsi="Calibri" w:cs="Arial"/>
                <w:sz w:val="18"/>
                <w:szCs w:val="18"/>
              </w:rPr>
              <w:t>rids/doc/expert_group3.pdf)</w:t>
            </w:r>
          </w:p>
        </w:tc>
        <w:tc>
          <w:tcPr>
            <w:tcW w:w="5103" w:type="dxa"/>
          </w:tcPr>
          <w:p w:rsidR="009B0766" w:rsidRDefault="0073187A" w:rsidP="0073187A">
            <w:pPr>
              <w:spacing w:before="60"/>
              <w:rPr>
                <w:rFonts w:ascii="Calibri" w:hAnsi="Calibri" w:cs="Arial"/>
                <w:sz w:val="18"/>
                <w:szCs w:val="18"/>
              </w:rPr>
            </w:pPr>
            <w:r>
              <w:rPr>
                <w:rFonts w:ascii="Calibri" w:hAnsi="Calibri" w:cs="Arial"/>
                <w:sz w:val="18"/>
                <w:szCs w:val="18"/>
              </w:rPr>
              <w:t>MPO návrh n</w:t>
            </w:r>
            <w:r w:rsidRPr="0073187A">
              <w:rPr>
                <w:rFonts w:ascii="Calibri" w:hAnsi="Calibri" w:cs="Arial"/>
                <w:sz w:val="18"/>
                <w:szCs w:val="18"/>
              </w:rPr>
              <w:t>eakcept</w:t>
            </w:r>
            <w:r>
              <w:rPr>
                <w:rFonts w:ascii="Calibri" w:hAnsi="Calibri" w:cs="Arial"/>
                <w:sz w:val="18"/>
                <w:szCs w:val="18"/>
              </w:rPr>
              <w:t xml:space="preserve">uje. </w:t>
            </w:r>
            <w:r w:rsidRPr="0073187A">
              <w:rPr>
                <w:rFonts w:ascii="Calibri" w:hAnsi="Calibri" w:cs="Arial"/>
                <w:sz w:val="18"/>
                <w:szCs w:val="18"/>
              </w:rPr>
              <w:t>Také je důležité zmínit, že indikátory byly dlouhodobě diskutovány v rámci Pracovní skupiny pro rozpracování prioritní osy 3 OP PIK a výsledný návrh je výsledkem společného kompromisu.</w:t>
            </w:r>
          </w:p>
        </w:tc>
      </w:tr>
      <w:tr w:rsidR="009B0766" w:rsidRPr="003243DB">
        <w:tc>
          <w:tcPr>
            <w:tcW w:w="1646" w:type="dxa"/>
            <w:vMerge/>
            <w:shd w:val="clear" w:color="auto" w:fill="auto"/>
          </w:tcPr>
          <w:p w:rsidR="009B0766" w:rsidRPr="005E5D05" w:rsidRDefault="009B0766" w:rsidP="002740E2">
            <w:pPr>
              <w:spacing w:before="60"/>
              <w:rPr>
                <w:rFonts w:ascii="Calibri" w:hAnsi="Calibri" w:cs="Arial"/>
                <w:b/>
                <w:sz w:val="18"/>
                <w:szCs w:val="18"/>
              </w:rPr>
            </w:pPr>
          </w:p>
        </w:tc>
        <w:tc>
          <w:tcPr>
            <w:tcW w:w="7906" w:type="dxa"/>
          </w:tcPr>
          <w:p w:rsidR="009B0766" w:rsidRDefault="005709E4" w:rsidP="005709E4">
            <w:pPr>
              <w:spacing w:before="60"/>
              <w:jc w:val="both"/>
              <w:rPr>
                <w:rFonts w:ascii="Calibri" w:hAnsi="Calibri" w:cs="Arial"/>
                <w:sz w:val="18"/>
                <w:szCs w:val="18"/>
              </w:rPr>
            </w:pPr>
            <w:r>
              <w:rPr>
                <w:rFonts w:ascii="Calibri" w:hAnsi="Calibri" w:cs="Arial"/>
                <w:sz w:val="18"/>
                <w:szCs w:val="18"/>
              </w:rPr>
              <w:t xml:space="preserve">SC 3.6, str. 104: </w:t>
            </w:r>
            <w:r w:rsidRPr="005709E4">
              <w:rPr>
                <w:rFonts w:ascii="Calibri" w:hAnsi="Calibri" w:cs="Arial"/>
                <w:sz w:val="18"/>
                <w:szCs w:val="18"/>
              </w:rPr>
              <w:t>Doplnit: potřebnost</w:t>
            </w:r>
            <w:r>
              <w:rPr>
                <w:rFonts w:ascii="Calibri" w:hAnsi="Calibri" w:cs="Arial"/>
                <w:sz w:val="18"/>
                <w:szCs w:val="18"/>
              </w:rPr>
              <w:t xml:space="preserve"> </w:t>
            </w:r>
            <w:r w:rsidRPr="005709E4">
              <w:rPr>
                <w:rFonts w:ascii="Calibri" w:hAnsi="Calibri" w:cs="Arial"/>
                <w:sz w:val="18"/>
                <w:szCs w:val="18"/>
              </w:rPr>
              <w:t>projektu s ohledem na</w:t>
            </w:r>
            <w:r>
              <w:rPr>
                <w:rFonts w:ascii="Calibri" w:hAnsi="Calibri" w:cs="Arial"/>
                <w:sz w:val="18"/>
                <w:szCs w:val="18"/>
              </w:rPr>
              <w:t xml:space="preserve"> </w:t>
            </w:r>
            <w:r w:rsidRPr="005709E4">
              <w:rPr>
                <w:rFonts w:ascii="Calibri" w:hAnsi="Calibri" w:cs="Arial"/>
                <w:sz w:val="18"/>
                <w:szCs w:val="18"/>
              </w:rPr>
              <w:t>jeho přínosy pro</w:t>
            </w:r>
            <w:r>
              <w:rPr>
                <w:rFonts w:ascii="Calibri" w:hAnsi="Calibri" w:cs="Arial"/>
                <w:sz w:val="18"/>
                <w:szCs w:val="18"/>
              </w:rPr>
              <w:t xml:space="preserve"> </w:t>
            </w:r>
            <w:r w:rsidRPr="005709E4">
              <w:rPr>
                <w:rFonts w:ascii="Calibri" w:hAnsi="Calibri" w:cs="Arial"/>
                <w:sz w:val="18"/>
                <w:szCs w:val="18"/>
              </w:rPr>
              <w:t>připojování</w:t>
            </w:r>
            <w:r>
              <w:rPr>
                <w:rFonts w:ascii="Calibri" w:hAnsi="Calibri" w:cs="Arial"/>
                <w:sz w:val="18"/>
                <w:szCs w:val="18"/>
              </w:rPr>
              <w:t xml:space="preserve"> </w:t>
            </w:r>
            <w:r w:rsidRPr="005709E4">
              <w:rPr>
                <w:rFonts w:ascii="Calibri" w:hAnsi="Calibri" w:cs="Arial"/>
                <w:sz w:val="18"/>
                <w:szCs w:val="18"/>
              </w:rPr>
              <w:t>přerušovaných a</w:t>
            </w:r>
            <w:r>
              <w:rPr>
                <w:rFonts w:ascii="Calibri" w:hAnsi="Calibri" w:cs="Arial"/>
                <w:sz w:val="18"/>
                <w:szCs w:val="18"/>
              </w:rPr>
              <w:t xml:space="preserve"> </w:t>
            </w:r>
            <w:r w:rsidRPr="005709E4">
              <w:rPr>
                <w:rFonts w:ascii="Calibri" w:hAnsi="Calibri" w:cs="Arial"/>
                <w:sz w:val="18"/>
                <w:szCs w:val="18"/>
              </w:rPr>
              <w:t>distribuovaných zdrojů</w:t>
            </w:r>
          </w:p>
          <w:p w:rsidR="005709E4" w:rsidRPr="00E61284" w:rsidRDefault="005709E4" w:rsidP="005709E4">
            <w:pPr>
              <w:spacing w:before="60"/>
              <w:jc w:val="both"/>
              <w:rPr>
                <w:rFonts w:ascii="Calibri" w:hAnsi="Calibri" w:cs="Arial"/>
                <w:sz w:val="18"/>
                <w:szCs w:val="18"/>
              </w:rPr>
            </w:pPr>
            <w:r>
              <w:rPr>
                <w:rFonts w:ascii="Calibri" w:hAnsi="Calibri" w:cs="Arial"/>
                <w:sz w:val="18"/>
                <w:szCs w:val="18"/>
              </w:rPr>
              <w:t xml:space="preserve">Zdůvodnění: </w:t>
            </w:r>
            <w:r w:rsidRPr="005709E4">
              <w:rPr>
                <w:rFonts w:ascii="Calibri" w:hAnsi="Calibri" w:cs="Arial"/>
                <w:sz w:val="18"/>
                <w:szCs w:val="18"/>
              </w:rPr>
              <w:t>Potřeba zapojovat distribuované, decentralizované</w:t>
            </w:r>
            <w:r>
              <w:rPr>
                <w:rFonts w:ascii="Calibri" w:hAnsi="Calibri" w:cs="Arial"/>
                <w:sz w:val="18"/>
                <w:szCs w:val="18"/>
              </w:rPr>
              <w:t xml:space="preserve"> </w:t>
            </w:r>
            <w:r w:rsidRPr="005709E4">
              <w:rPr>
                <w:rFonts w:ascii="Calibri" w:hAnsi="Calibri" w:cs="Arial"/>
                <w:sz w:val="18"/>
                <w:szCs w:val="18"/>
              </w:rPr>
              <w:t>zdroje s možností odpojování a s</w:t>
            </w:r>
            <w:r>
              <w:rPr>
                <w:rFonts w:ascii="Calibri" w:hAnsi="Calibri" w:cs="Arial"/>
                <w:sz w:val="18"/>
                <w:szCs w:val="18"/>
              </w:rPr>
              <w:t> </w:t>
            </w:r>
            <w:r w:rsidRPr="005709E4">
              <w:rPr>
                <w:rFonts w:ascii="Calibri" w:hAnsi="Calibri" w:cs="Arial"/>
                <w:sz w:val="18"/>
                <w:szCs w:val="18"/>
              </w:rPr>
              <w:t>přerušovanou</w:t>
            </w:r>
            <w:r>
              <w:rPr>
                <w:rFonts w:ascii="Calibri" w:hAnsi="Calibri" w:cs="Arial"/>
                <w:sz w:val="18"/>
                <w:szCs w:val="18"/>
              </w:rPr>
              <w:t xml:space="preserve"> </w:t>
            </w:r>
            <w:r w:rsidRPr="005709E4">
              <w:rPr>
                <w:rFonts w:ascii="Calibri" w:hAnsi="Calibri" w:cs="Arial"/>
                <w:sz w:val="18"/>
                <w:szCs w:val="18"/>
              </w:rPr>
              <w:t>dodávkou je základní podmínkou rozvoje OZE v ČR.</w:t>
            </w:r>
            <w:r>
              <w:rPr>
                <w:rFonts w:ascii="Calibri" w:hAnsi="Calibri" w:cs="Arial"/>
                <w:sz w:val="18"/>
                <w:szCs w:val="18"/>
              </w:rPr>
              <w:t xml:space="preserve"> </w:t>
            </w:r>
            <w:r w:rsidRPr="005709E4">
              <w:rPr>
                <w:rFonts w:ascii="Calibri" w:hAnsi="Calibri" w:cs="Arial"/>
                <w:sz w:val="18"/>
                <w:szCs w:val="18"/>
              </w:rPr>
              <w:t>To je také obsaženo v části Výsledky, kterých</w:t>
            </w:r>
            <w:r>
              <w:rPr>
                <w:rFonts w:ascii="Calibri" w:hAnsi="Calibri" w:cs="Arial"/>
                <w:sz w:val="18"/>
                <w:szCs w:val="18"/>
              </w:rPr>
              <w:t xml:space="preserve"> </w:t>
            </w:r>
            <w:r w:rsidRPr="005709E4">
              <w:rPr>
                <w:rFonts w:ascii="Calibri" w:hAnsi="Calibri" w:cs="Arial"/>
                <w:sz w:val="18"/>
                <w:szCs w:val="18"/>
              </w:rPr>
              <w:t>chceme dosáhnout u SC 3.6. Proto je potřeba tento</w:t>
            </w:r>
            <w:r>
              <w:rPr>
                <w:rFonts w:ascii="Calibri" w:hAnsi="Calibri" w:cs="Arial"/>
                <w:sz w:val="18"/>
                <w:szCs w:val="18"/>
              </w:rPr>
              <w:t xml:space="preserve"> </w:t>
            </w:r>
            <w:r w:rsidRPr="005709E4">
              <w:rPr>
                <w:rFonts w:ascii="Calibri" w:hAnsi="Calibri" w:cs="Arial"/>
                <w:sz w:val="18"/>
                <w:szCs w:val="18"/>
              </w:rPr>
              <w:t>cíl zohlednit při plánování a hodnocení projektů.</w:t>
            </w:r>
          </w:p>
        </w:tc>
        <w:tc>
          <w:tcPr>
            <w:tcW w:w="5103" w:type="dxa"/>
          </w:tcPr>
          <w:p w:rsidR="009B0766" w:rsidRDefault="0073187A" w:rsidP="0073187A">
            <w:pPr>
              <w:spacing w:before="60"/>
              <w:rPr>
                <w:rFonts w:ascii="Calibri" w:hAnsi="Calibri" w:cs="Arial"/>
                <w:sz w:val="18"/>
                <w:szCs w:val="18"/>
              </w:rPr>
            </w:pPr>
            <w:r>
              <w:rPr>
                <w:rFonts w:ascii="Calibri" w:hAnsi="Calibri" w:cs="Arial"/>
                <w:sz w:val="18"/>
                <w:szCs w:val="18"/>
              </w:rPr>
              <w:t>MPO doplnění n</w:t>
            </w:r>
            <w:r w:rsidRPr="0073187A">
              <w:rPr>
                <w:rFonts w:ascii="Calibri" w:hAnsi="Calibri" w:cs="Arial"/>
                <w:sz w:val="18"/>
                <w:szCs w:val="18"/>
              </w:rPr>
              <w:t>eakcept</w:t>
            </w:r>
            <w:r>
              <w:rPr>
                <w:rFonts w:ascii="Calibri" w:hAnsi="Calibri" w:cs="Arial"/>
                <w:sz w:val="18"/>
                <w:szCs w:val="18"/>
              </w:rPr>
              <w:t>uje. O</w:t>
            </w:r>
            <w:r w:rsidRPr="0073187A">
              <w:rPr>
                <w:rFonts w:ascii="Calibri" w:hAnsi="Calibri" w:cs="Arial"/>
                <w:sz w:val="18"/>
                <w:szCs w:val="18"/>
              </w:rPr>
              <w:t>pět nelze zužovat pouze na připojování decentrálních zdrojů. Výsledkem musí být zlepšení kvality, bezpečnosti a udržitelnosti cel</w:t>
            </w:r>
            <w:r>
              <w:rPr>
                <w:rFonts w:ascii="Calibri" w:hAnsi="Calibri" w:cs="Arial"/>
                <w:sz w:val="18"/>
                <w:szCs w:val="18"/>
              </w:rPr>
              <w:t>é</w:t>
            </w:r>
            <w:r w:rsidRPr="0073187A">
              <w:rPr>
                <w:rFonts w:ascii="Calibri" w:hAnsi="Calibri" w:cs="Arial"/>
                <w:sz w:val="18"/>
                <w:szCs w:val="18"/>
              </w:rPr>
              <w:t xml:space="preserve"> přenosové soustavy, což samozřejmě bude mít také přínos z hlediska připojování dalších decentralizovaných zdrojů.</w:t>
            </w:r>
          </w:p>
        </w:tc>
      </w:tr>
      <w:tr w:rsidR="009B0766" w:rsidRPr="003243DB">
        <w:tc>
          <w:tcPr>
            <w:tcW w:w="1646" w:type="dxa"/>
            <w:vMerge/>
            <w:shd w:val="clear" w:color="auto" w:fill="auto"/>
          </w:tcPr>
          <w:p w:rsidR="009B0766" w:rsidRPr="005E5D05" w:rsidRDefault="009B0766" w:rsidP="002740E2">
            <w:pPr>
              <w:spacing w:before="60"/>
              <w:rPr>
                <w:rFonts w:ascii="Calibri" w:hAnsi="Calibri" w:cs="Arial"/>
                <w:b/>
                <w:sz w:val="18"/>
                <w:szCs w:val="18"/>
              </w:rPr>
            </w:pPr>
          </w:p>
        </w:tc>
        <w:tc>
          <w:tcPr>
            <w:tcW w:w="7906" w:type="dxa"/>
          </w:tcPr>
          <w:p w:rsidR="009B0766" w:rsidRDefault="005709E4" w:rsidP="005709E4">
            <w:pPr>
              <w:spacing w:before="60"/>
              <w:jc w:val="both"/>
              <w:rPr>
                <w:rFonts w:ascii="Calibri" w:hAnsi="Calibri" w:cs="Arial"/>
                <w:sz w:val="18"/>
                <w:szCs w:val="18"/>
              </w:rPr>
            </w:pPr>
            <w:r>
              <w:rPr>
                <w:rFonts w:ascii="Calibri" w:hAnsi="Calibri" w:cs="Arial"/>
                <w:sz w:val="18"/>
                <w:szCs w:val="18"/>
              </w:rPr>
              <w:t xml:space="preserve">SC 3.6, str. 104: </w:t>
            </w:r>
            <w:r w:rsidRPr="005709E4">
              <w:rPr>
                <w:rFonts w:ascii="Calibri" w:hAnsi="Calibri" w:cs="Arial"/>
                <w:sz w:val="18"/>
                <w:szCs w:val="18"/>
              </w:rPr>
              <w:t>Doplnit indikátor:</w:t>
            </w:r>
            <w:r>
              <w:rPr>
                <w:rFonts w:ascii="Calibri" w:hAnsi="Calibri" w:cs="Arial"/>
                <w:sz w:val="18"/>
                <w:szCs w:val="18"/>
              </w:rPr>
              <w:t xml:space="preserve"> </w:t>
            </w:r>
            <w:r w:rsidRPr="005709E4">
              <w:rPr>
                <w:rFonts w:ascii="Calibri" w:hAnsi="Calibri" w:cs="Arial"/>
                <w:sz w:val="18"/>
                <w:szCs w:val="18"/>
              </w:rPr>
              <w:t>Kapacita připojení</w:t>
            </w:r>
            <w:r>
              <w:rPr>
                <w:rFonts w:ascii="Calibri" w:hAnsi="Calibri" w:cs="Arial"/>
                <w:sz w:val="18"/>
                <w:szCs w:val="18"/>
              </w:rPr>
              <w:t xml:space="preserve"> </w:t>
            </w:r>
            <w:r w:rsidRPr="005709E4">
              <w:rPr>
                <w:rFonts w:ascii="Calibri" w:hAnsi="Calibri" w:cs="Arial"/>
                <w:sz w:val="18"/>
                <w:szCs w:val="18"/>
              </w:rPr>
              <w:t>distribuovaných zdrojů</w:t>
            </w:r>
            <w:r>
              <w:rPr>
                <w:rFonts w:ascii="Calibri" w:hAnsi="Calibri" w:cs="Arial"/>
                <w:sz w:val="18"/>
                <w:szCs w:val="18"/>
              </w:rPr>
              <w:t xml:space="preserve"> </w:t>
            </w:r>
            <w:r w:rsidRPr="005709E4">
              <w:rPr>
                <w:rFonts w:ascii="Calibri" w:hAnsi="Calibri" w:cs="Arial"/>
                <w:sz w:val="18"/>
                <w:szCs w:val="18"/>
              </w:rPr>
              <w:t>energie v DS/PS</w:t>
            </w:r>
          </w:p>
          <w:p w:rsidR="005709E4" w:rsidRPr="00E61284" w:rsidRDefault="005709E4" w:rsidP="005709E4">
            <w:pPr>
              <w:spacing w:before="60"/>
              <w:jc w:val="both"/>
              <w:rPr>
                <w:rFonts w:ascii="Calibri" w:hAnsi="Calibri" w:cs="Arial"/>
                <w:sz w:val="18"/>
                <w:szCs w:val="18"/>
              </w:rPr>
            </w:pPr>
            <w:r>
              <w:rPr>
                <w:rFonts w:ascii="Calibri" w:hAnsi="Calibri" w:cs="Arial"/>
                <w:sz w:val="18"/>
                <w:szCs w:val="18"/>
              </w:rPr>
              <w:t xml:space="preserve">Zdůvodnění: </w:t>
            </w:r>
            <w:r w:rsidRPr="005709E4">
              <w:rPr>
                <w:rFonts w:ascii="Calibri" w:hAnsi="Calibri" w:cs="Arial"/>
                <w:sz w:val="18"/>
                <w:szCs w:val="18"/>
              </w:rPr>
              <w:t>Chybí indikátor k výši zmíněnému výsledku.</w:t>
            </w:r>
            <w:r>
              <w:rPr>
                <w:rFonts w:ascii="Calibri" w:hAnsi="Calibri" w:cs="Arial"/>
                <w:sz w:val="18"/>
                <w:szCs w:val="18"/>
              </w:rPr>
              <w:t xml:space="preserve"> </w:t>
            </w:r>
            <w:r w:rsidRPr="005709E4">
              <w:rPr>
                <w:rFonts w:ascii="Calibri" w:hAnsi="Calibri" w:cs="Arial"/>
                <w:sz w:val="18"/>
                <w:szCs w:val="18"/>
              </w:rPr>
              <w:t>Navržený indikátor transformační kapacita neříká</w:t>
            </w:r>
            <w:r>
              <w:rPr>
                <w:rFonts w:ascii="Calibri" w:hAnsi="Calibri" w:cs="Arial"/>
                <w:sz w:val="18"/>
                <w:szCs w:val="18"/>
              </w:rPr>
              <w:t xml:space="preserve"> </w:t>
            </w:r>
            <w:r w:rsidRPr="005709E4">
              <w:rPr>
                <w:rFonts w:ascii="Calibri" w:hAnsi="Calibri" w:cs="Arial"/>
                <w:sz w:val="18"/>
                <w:szCs w:val="18"/>
              </w:rPr>
              <w:t>nic o aplikaci chytrých prvků na PS. Více o</w:t>
            </w:r>
            <w:r>
              <w:rPr>
                <w:rFonts w:ascii="Calibri" w:hAnsi="Calibri" w:cs="Arial"/>
                <w:sz w:val="18"/>
                <w:szCs w:val="18"/>
              </w:rPr>
              <w:t xml:space="preserve"> </w:t>
            </w:r>
            <w:r w:rsidRPr="005709E4">
              <w:rPr>
                <w:rFonts w:ascii="Calibri" w:hAnsi="Calibri" w:cs="Arial"/>
                <w:sz w:val="18"/>
                <w:szCs w:val="18"/>
              </w:rPr>
              <w:t>indikátoru viz výše. Zde agregovaný indikátor</w:t>
            </w:r>
            <w:r>
              <w:rPr>
                <w:rFonts w:ascii="Calibri" w:hAnsi="Calibri" w:cs="Arial"/>
                <w:sz w:val="18"/>
                <w:szCs w:val="18"/>
              </w:rPr>
              <w:t xml:space="preserve"> </w:t>
            </w:r>
            <w:r w:rsidRPr="005709E4">
              <w:rPr>
                <w:rFonts w:ascii="Calibri" w:hAnsi="Calibri" w:cs="Arial"/>
                <w:sz w:val="18"/>
                <w:szCs w:val="18"/>
              </w:rPr>
              <w:t>společně pro celou elektrizační soustavu od úrovně</w:t>
            </w:r>
            <w:r>
              <w:rPr>
                <w:rFonts w:ascii="Calibri" w:hAnsi="Calibri" w:cs="Arial"/>
                <w:sz w:val="18"/>
                <w:szCs w:val="18"/>
              </w:rPr>
              <w:t xml:space="preserve"> </w:t>
            </w:r>
            <w:r w:rsidRPr="005709E4">
              <w:rPr>
                <w:rFonts w:ascii="Calibri" w:hAnsi="Calibri" w:cs="Arial"/>
                <w:sz w:val="18"/>
                <w:szCs w:val="18"/>
              </w:rPr>
              <w:t>DS.</w:t>
            </w:r>
          </w:p>
        </w:tc>
        <w:tc>
          <w:tcPr>
            <w:tcW w:w="5103" w:type="dxa"/>
          </w:tcPr>
          <w:p w:rsidR="009B0766" w:rsidRDefault="0073187A" w:rsidP="00426B75">
            <w:pPr>
              <w:spacing w:before="60"/>
              <w:rPr>
                <w:rFonts w:ascii="Calibri" w:hAnsi="Calibri" w:cs="Arial"/>
                <w:sz w:val="18"/>
                <w:szCs w:val="18"/>
              </w:rPr>
            </w:pPr>
            <w:r>
              <w:rPr>
                <w:rFonts w:ascii="Calibri" w:hAnsi="Calibri" w:cs="Arial"/>
                <w:sz w:val="18"/>
                <w:szCs w:val="18"/>
              </w:rPr>
              <w:t>MPO doplnění neakceptuje (vysvětlení viz výše).</w:t>
            </w:r>
          </w:p>
        </w:tc>
      </w:tr>
      <w:tr w:rsidR="009B0766" w:rsidRPr="003243DB">
        <w:tc>
          <w:tcPr>
            <w:tcW w:w="1646" w:type="dxa"/>
            <w:shd w:val="clear" w:color="auto" w:fill="auto"/>
          </w:tcPr>
          <w:p w:rsidR="009B0766" w:rsidRPr="005E5D05" w:rsidRDefault="001B33B1" w:rsidP="002740E2">
            <w:pPr>
              <w:spacing w:before="60"/>
              <w:rPr>
                <w:rFonts w:ascii="Calibri" w:hAnsi="Calibri" w:cs="Arial"/>
                <w:b/>
                <w:sz w:val="18"/>
                <w:szCs w:val="18"/>
              </w:rPr>
            </w:pPr>
            <w:r>
              <w:rPr>
                <w:rFonts w:ascii="Calibri" w:hAnsi="Calibri" w:cs="Arial"/>
                <w:b/>
                <w:sz w:val="18"/>
                <w:szCs w:val="18"/>
              </w:rPr>
              <w:t>Správa KRNAP</w:t>
            </w:r>
          </w:p>
        </w:tc>
        <w:tc>
          <w:tcPr>
            <w:tcW w:w="7906" w:type="dxa"/>
          </w:tcPr>
          <w:p w:rsidR="009B0766" w:rsidRPr="00E61284" w:rsidRDefault="001B33B1" w:rsidP="001B33B1">
            <w:pPr>
              <w:spacing w:before="60"/>
              <w:jc w:val="both"/>
              <w:rPr>
                <w:rFonts w:ascii="Calibri" w:hAnsi="Calibri" w:cs="Arial"/>
                <w:sz w:val="18"/>
                <w:szCs w:val="18"/>
              </w:rPr>
            </w:pPr>
            <w:r w:rsidRPr="001B33B1">
              <w:rPr>
                <w:rFonts w:ascii="Calibri" w:hAnsi="Calibri" w:cs="Arial"/>
                <w:sz w:val="18"/>
                <w:szCs w:val="18"/>
              </w:rPr>
              <w:t>Správa KRNAP s návrhem předložené koncepce souhlasí za respektování uvedených</w:t>
            </w:r>
            <w:r>
              <w:rPr>
                <w:rFonts w:ascii="Calibri" w:hAnsi="Calibri" w:cs="Arial"/>
                <w:sz w:val="18"/>
                <w:szCs w:val="18"/>
              </w:rPr>
              <w:t xml:space="preserve"> </w:t>
            </w:r>
            <w:r w:rsidRPr="001B33B1">
              <w:rPr>
                <w:rFonts w:ascii="Calibri" w:hAnsi="Calibri" w:cs="Arial"/>
                <w:sz w:val="18"/>
                <w:szCs w:val="18"/>
              </w:rPr>
              <w:t>podmínek ve stanovisku SEA. K návrhu koncepce samotné a k vyhodnocení jejích vlivů na</w:t>
            </w:r>
            <w:r>
              <w:rPr>
                <w:rFonts w:ascii="Calibri" w:hAnsi="Calibri" w:cs="Arial"/>
                <w:sz w:val="18"/>
                <w:szCs w:val="18"/>
              </w:rPr>
              <w:t xml:space="preserve"> </w:t>
            </w:r>
            <w:r w:rsidRPr="001B33B1">
              <w:rPr>
                <w:rFonts w:ascii="Calibri" w:hAnsi="Calibri" w:cs="Arial"/>
                <w:sz w:val="18"/>
                <w:szCs w:val="18"/>
              </w:rPr>
              <w:t>životní prostředí nemá připomínek.</w:t>
            </w:r>
          </w:p>
        </w:tc>
        <w:tc>
          <w:tcPr>
            <w:tcW w:w="5103" w:type="dxa"/>
          </w:tcPr>
          <w:p w:rsidR="009B0766" w:rsidRDefault="001B33B1" w:rsidP="00426B75">
            <w:pPr>
              <w:spacing w:before="60"/>
              <w:rPr>
                <w:rFonts w:ascii="Calibri" w:hAnsi="Calibri" w:cs="Arial"/>
                <w:sz w:val="18"/>
                <w:szCs w:val="18"/>
              </w:rPr>
            </w:pPr>
            <w:r>
              <w:rPr>
                <w:rFonts w:ascii="Calibri" w:hAnsi="Calibri" w:cs="Arial"/>
                <w:sz w:val="18"/>
                <w:szCs w:val="18"/>
              </w:rPr>
              <w:t>Bez připomínek</w:t>
            </w:r>
          </w:p>
        </w:tc>
      </w:tr>
      <w:tr w:rsidR="009B0766" w:rsidRPr="003243DB">
        <w:tc>
          <w:tcPr>
            <w:tcW w:w="1646" w:type="dxa"/>
            <w:shd w:val="clear" w:color="auto" w:fill="auto"/>
          </w:tcPr>
          <w:p w:rsidR="009B0766" w:rsidRPr="005E5D05" w:rsidRDefault="001B33B1" w:rsidP="002740E2">
            <w:pPr>
              <w:spacing w:before="60"/>
              <w:rPr>
                <w:rFonts w:ascii="Calibri" w:hAnsi="Calibri" w:cs="Arial"/>
                <w:b/>
                <w:sz w:val="18"/>
                <w:szCs w:val="18"/>
              </w:rPr>
            </w:pPr>
            <w:r>
              <w:rPr>
                <w:rFonts w:ascii="Calibri" w:hAnsi="Calibri" w:cs="Arial"/>
                <w:b/>
                <w:sz w:val="18"/>
                <w:szCs w:val="18"/>
              </w:rPr>
              <w:t>SCHKO Žďárské vrchy</w:t>
            </w:r>
          </w:p>
        </w:tc>
        <w:tc>
          <w:tcPr>
            <w:tcW w:w="7906" w:type="dxa"/>
          </w:tcPr>
          <w:p w:rsidR="001B33B1" w:rsidRPr="001B33B1" w:rsidRDefault="001B33B1" w:rsidP="001B33B1">
            <w:pPr>
              <w:spacing w:before="60"/>
              <w:jc w:val="both"/>
              <w:rPr>
                <w:rFonts w:ascii="Calibri" w:hAnsi="Calibri" w:cs="Arial"/>
                <w:sz w:val="18"/>
                <w:szCs w:val="18"/>
              </w:rPr>
            </w:pPr>
            <w:r w:rsidRPr="001B33B1">
              <w:rPr>
                <w:rFonts w:ascii="Calibri" w:hAnsi="Calibri" w:cs="Arial"/>
                <w:sz w:val="18"/>
                <w:szCs w:val="18"/>
              </w:rPr>
              <w:t>Vzhledem k charakteru OP PIK je zřejmé, že z důvodu obecně formulovaných opatření</w:t>
            </w:r>
            <w:r>
              <w:rPr>
                <w:rFonts w:ascii="Calibri" w:hAnsi="Calibri" w:cs="Arial"/>
                <w:sz w:val="18"/>
                <w:szCs w:val="18"/>
              </w:rPr>
              <w:t xml:space="preserve"> </w:t>
            </w:r>
            <w:r w:rsidRPr="001B33B1">
              <w:rPr>
                <w:rFonts w:ascii="Calibri" w:hAnsi="Calibri" w:cs="Arial"/>
                <w:sz w:val="18"/>
                <w:szCs w:val="18"/>
              </w:rPr>
              <w:t>budou vlivy na životní prostředí a veřejné zdraví záviset z převážné části na způsobu</w:t>
            </w:r>
            <w:r>
              <w:rPr>
                <w:rFonts w:ascii="Calibri" w:hAnsi="Calibri" w:cs="Arial"/>
                <w:sz w:val="18"/>
                <w:szCs w:val="18"/>
              </w:rPr>
              <w:t xml:space="preserve"> </w:t>
            </w:r>
            <w:r w:rsidRPr="001B33B1">
              <w:rPr>
                <w:rFonts w:ascii="Calibri" w:hAnsi="Calibri" w:cs="Arial"/>
                <w:sz w:val="18"/>
                <w:szCs w:val="18"/>
              </w:rPr>
              <w:t>naplňování koncepce, tj. na konkrétních projektech a na jejich umístění v rámci ČR.</w:t>
            </w:r>
            <w:r>
              <w:rPr>
                <w:rFonts w:ascii="Calibri" w:hAnsi="Calibri" w:cs="Arial"/>
                <w:sz w:val="18"/>
                <w:szCs w:val="18"/>
              </w:rPr>
              <w:t xml:space="preserve"> </w:t>
            </w:r>
          </w:p>
          <w:p w:rsidR="009B0766" w:rsidRPr="00E61284" w:rsidRDefault="001B33B1" w:rsidP="00F32BFB">
            <w:pPr>
              <w:spacing w:before="60"/>
              <w:jc w:val="both"/>
              <w:rPr>
                <w:rFonts w:ascii="Calibri" w:hAnsi="Calibri" w:cs="Arial"/>
                <w:sz w:val="18"/>
                <w:szCs w:val="18"/>
              </w:rPr>
            </w:pPr>
            <w:r w:rsidRPr="001B33B1">
              <w:rPr>
                <w:rFonts w:ascii="Calibri" w:hAnsi="Calibri" w:cs="Arial"/>
                <w:sz w:val="18"/>
                <w:szCs w:val="18"/>
              </w:rPr>
              <w:t>Podmínkou realizace konkrétních projektů je jejich posouzení podle §§ 45h a 45i zákona.</w:t>
            </w:r>
            <w:r>
              <w:rPr>
                <w:rFonts w:ascii="Calibri" w:hAnsi="Calibri" w:cs="Arial"/>
                <w:sz w:val="18"/>
                <w:szCs w:val="18"/>
              </w:rPr>
              <w:t xml:space="preserve"> </w:t>
            </w:r>
            <w:r w:rsidRPr="001B33B1">
              <w:rPr>
                <w:rFonts w:ascii="Calibri" w:hAnsi="Calibri" w:cs="Arial"/>
                <w:sz w:val="18"/>
                <w:szCs w:val="18"/>
              </w:rPr>
              <w:t xml:space="preserve">Opatřením na </w:t>
            </w:r>
            <w:r w:rsidRPr="001B33B1">
              <w:rPr>
                <w:rFonts w:ascii="Calibri" w:hAnsi="Calibri" w:cs="Arial"/>
                <w:sz w:val="18"/>
                <w:szCs w:val="18"/>
              </w:rPr>
              <w:lastRenderedPageBreak/>
              <w:t>zmírnění negativních vlivů, které je uvedeno v koncepci, je uplatnění principů</w:t>
            </w:r>
            <w:r w:rsidR="00F32BFB">
              <w:rPr>
                <w:rFonts w:ascii="Calibri" w:hAnsi="Calibri" w:cs="Arial"/>
                <w:sz w:val="18"/>
                <w:szCs w:val="18"/>
              </w:rPr>
              <w:t xml:space="preserve"> </w:t>
            </w:r>
            <w:r w:rsidRPr="001B33B1">
              <w:rPr>
                <w:rFonts w:ascii="Calibri" w:hAnsi="Calibri" w:cs="Arial"/>
                <w:sz w:val="18"/>
                <w:szCs w:val="18"/>
              </w:rPr>
              <w:t>udržitelného rozvoje ve výběrových kritériích. Zejména je třeba minimalizovat zásahy do</w:t>
            </w:r>
            <w:r w:rsidR="00F32BFB">
              <w:rPr>
                <w:rFonts w:ascii="Calibri" w:hAnsi="Calibri" w:cs="Arial"/>
                <w:sz w:val="18"/>
                <w:szCs w:val="18"/>
              </w:rPr>
              <w:t xml:space="preserve"> </w:t>
            </w:r>
            <w:r w:rsidRPr="001B33B1">
              <w:rPr>
                <w:rFonts w:ascii="Calibri" w:hAnsi="Calibri" w:cs="Arial"/>
                <w:sz w:val="18"/>
                <w:szCs w:val="18"/>
              </w:rPr>
              <w:t>zvláště chráněných území (ZCHÚ) a území soustavy Natura 2000 a hledat optimální řešení</w:t>
            </w:r>
            <w:r w:rsidR="00F32BFB">
              <w:rPr>
                <w:rFonts w:ascii="Calibri" w:hAnsi="Calibri" w:cs="Arial"/>
                <w:sz w:val="18"/>
                <w:szCs w:val="18"/>
              </w:rPr>
              <w:t xml:space="preserve"> </w:t>
            </w:r>
            <w:r w:rsidRPr="001B33B1">
              <w:rPr>
                <w:rFonts w:ascii="Calibri" w:hAnsi="Calibri" w:cs="Arial"/>
                <w:sz w:val="18"/>
                <w:szCs w:val="18"/>
              </w:rPr>
              <w:t>při umístění nových zařízení tak, aby nedocházelo k negativnímu ovlivnění ekosystémů a</w:t>
            </w:r>
            <w:r w:rsidR="00F32BFB">
              <w:rPr>
                <w:rFonts w:ascii="Calibri" w:hAnsi="Calibri" w:cs="Arial"/>
                <w:sz w:val="18"/>
                <w:szCs w:val="18"/>
              </w:rPr>
              <w:t xml:space="preserve"> </w:t>
            </w:r>
            <w:r w:rsidRPr="001B33B1">
              <w:rPr>
                <w:rFonts w:ascii="Calibri" w:hAnsi="Calibri" w:cs="Arial"/>
                <w:sz w:val="18"/>
                <w:szCs w:val="18"/>
              </w:rPr>
              <w:t>biodiverzity, např. znečištěním ovzduší a vody.</w:t>
            </w:r>
            <w:r w:rsidR="00F32BFB">
              <w:rPr>
                <w:rFonts w:ascii="Calibri" w:hAnsi="Calibri" w:cs="Arial"/>
                <w:sz w:val="18"/>
                <w:szCs w:val="18"/>
              </w:rPr>
              <w:t xml:space="preserve"> </w:t>
            </w:r>
            <w:r w:rsidRPr="001B33B1">
              <w:rPr>
                <w:rFonts w:ascii="Calibri" w:hAnsi="Calibri" w:cs="Arial"/>
                <w:sz w:val="18"/>
                <w:szCs w:val="18"/>
              </w:rPr>
              <w:t>Při respektování těchto podmínek ve Vyhodnocení nepředpokládáme významný vliv</w:t>
            </w:r>
            <w:r w:rsidR="00F32BFB">
              <w:rPr>
                <w:rFonts w:ascii="Calibri" w:hAnsi="Calibri" w:cs="Arial"/>
                <w:sz w:val="18"/>
                <w:szCs w:val="18"/>
              </w:rPr>
              <w:t xml:space="preserve"> </w:t>
            </w:r>
            <w:r w:rsidRPr="001B33B1">
              <w:rPr>
                <w:rFonts w:ascii="Calibri" w:hAnsi="Calibri" w:cs="Arial"/>
                <w:sz w:val="18"/>
                <w:szCs w:val="18"/>
              </w:rPr>
              <w:t>koncepce na žádnou ze složek životního prostředí ani veřejné zdraví.</w:t>
            </w:r>
          </w:p>
        </w:tc>
        <w:tc>
          <w:tcPr>
            <w:tcW w:w="5103" w:type="dxa"/>
          </w:tcPr>
          <w:p w:rsidR="009B0766" w:rsidRDefault="00F32BFB" w:rsidP="00426B75">
            <w:pPr>
              <w:spacing w:before="60"/>
              <w:rPr>
                <w:rFonts w:ascii="Calibri" w:hAnsi="Calibri" w:cs="Arial"/>
                <w:sz w:val="18"/>
                <w:szCs w:val="18"/>
              </w:rPr>
            </w:pPr>
            <w:r>
              <w:rPr>
                <w:rFonts w:ascii="Calibri" w:hAnsi="Calibri" w:cs="Arial"/>
                <w:sz w:val="18"/>
                <w:szCs w:val="18"/>
              </w:rPr>
              <w:lastRenderedPageBreak/>
              <w:t>Podmínky z hlediska ochrany přírody a krajiny a území soustavy Natura 2000 jsou součástí návrhu stanoviska SEA příslušného úřadu.</w:t>
            </w:r>
          </w:p>
        </w:tc>
      </w:tr>
    </w:tbl>
    <w:p w:rsidR="00033438" w:rsidRPr="0035309D" w:rsidRDefault="00033438" w:rsidP="004249C0"/>
    <w:sectPr w:rsidR="00033438" w:rsidRPr="0035309D" w:rsidSect="0035309D">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F6" w:rsidRDefault="00025BF6" w:rsidP="007D1C5A">
      <w:pPr>
        <w:spacing w:line="240" w:lineRule="auto"/>
      </w:pPr>
      <w:r>
        <w:separator/>
      </w:r>
    </w:p>
  </w:endnote>
  <w:endnote w:type="continuationSeparator" w:id="0">
    <w:p w:rsidR="00025BF6" w:rsidRDefault="00025BF6" w:rsidP="007D1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2F" w:rsidRDefault="00785C94">
    <w:pPr>
      <w:pStyle w:val="Zpat"/>
      <w:jc w:val="center"/>
    </w:pPr>
    <w:r w:rsidRPr="005E5D05">
      <w:rPr>
        <w:rFonts w:ascii="Calibri" w:hAnsi="Calibri"/>
        <w:sz w:val="18"/>
        <w:szCs w:val="18"/>
      </w:rPr>
      <w:fldChar w:fldCharType="begin"/>
    </w:r>
    <w:r w:rsidR="000A712F" w:rsidRPr="005E5D05">
      <w:rPr>
        <w:rFonts w:ascii="Calibri" w:hAnsi="Calibri"/>
        <w:sz w:val="18"/>
        <w:szCs w:val="18"/>
      </w:rPr>
      <w:instrText>PAGE   \* MERGEFORMAT</w:instrText>
    </w:r>
    <w:r w:rsidRPr="005E5D05">
      <w:rPr>
        <w:rFonts w:ascii="Calibri" w:hAnsi="Calibri"/>
        <w:sz w:val="18"/>
        <w:szCs w:val="18"/>
      </w:rPr>
      <w:fldChar w:fldCharType="separate"/>
    </w:r>
    <w:r w:rsidR="00661688">
      <w:rPr>
        <w:rFonts w:ascii="Calibri" w:hAnsi="Calibri"/>
        <w:noProof/>
        <w:sz w:val="18"/>
        <w:szCs w:val="18"/>
      </w:rPr>
      <w:t>2</w:t>
    </w:r>
    <w:r w:rsidRPr="005E5D05">
      <w:rPr>
        <w:rFonts w:ascii="Calibri" w:hAnsi="Calibri"/>
        <w:sz w:val="18"/>
        <w:szCs w:val="18"/>
      </w:rPr>
      <w:fldChar w:fldCharType="end"/>
    </w:r>
  </w:p>
  <w:p w:rsidR="000A712F" w:rsidRDefault="000A71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F6" w:rsidRDefault="00025BF6" w:rsidP="007D1C5A">
      <w:pPr>
        <w:spacing w:line="240" w:lineRule="auto"/>
      </w:pPr>
      <w:r>
        <w:separator/>
      </w:r>
    </w:p>
  </w:footnote>
  <w:footnote w:type="continuationSeparator" w:id="0">
    <w:p w:rsidR="00025BF6" w:rsidRDefault="00025BF6" w:rsidP="007D1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2F" w:rsidRPr="007F5B9C" w:rsidRDefault="000A712F" w:rsidP="00F10286">
    <w:pPr>
      <w:rPr>
        <w:rFonts w:ascii="Calibri" w:hAnsi="Calibri"/>
      </w:rPr>
    </w:pPr>
    <w:r>
      <w:rPr>
        <w:rFonts w:ascii="Calibri" w:hAnsi="Calibri"/>
      </w:rPr>
      <w:t>V</w:t>
    </w:r>
    <w:r w:rsidRPr="007F5B9C">
      <w:rPr>
        <w:rFonts w:ascii="Calibri" w:hAnsi="Calibri"/>
      </w:rPr>
      <w:t xml:space="preserve">ypořádání připomínek </w:t>
    </w:r>
    <w:r w:rsidR="009A5D87">
      <w:rPr>
        <w:rFonts w:ascii="Calibri" w:hAnsi="Calibri"/>
      </w:rPr>
      <w:t>k SEA hodnocení a návrhu</w:t>
    </w:r>
    <w:r>
      <w:rPr>
        <w:rFonts w:ascii="Calibri" w:hAnsi="Calibri"/>
      </w:rPr>
      <w:t xml:space="preserve"> koncepce</w:t>
    </w:r>
    <w:r w:rsidRPr="007F5B9C">
      <w:rPr>
        <w:rFonts w:ascii="Calibri" w:hAnsi="Calibri"/>
      </w:rPr>
      <w:t> </w:t>
    </w:r>
    <w:r>
      <w:rPr>
        <w:rFonts w:ascii="Calibri" w:hAnsi="Calibri"/>
      </w:rPr>
      <w:t>OP PIK pro období 2014 - 2020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24F"/>
    <w:multiLevelType w:val="hybridMultilevel"/>
    <w:tmpl w:val="FBA0AE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964832"/>
    <w:multiLevelType w:val="hybridMultilevel"/>
    <w:tmpl w:val="1D7A34AC"/>
    <w:lvl w:ilvl="0" w:tplc="0B36505C">
      <w:start w:val="1"/>
      <w:numFmt w:val="decimal"/>
      <w:lvlText w:val="%1)"/>
      <w:lvlJc w:val="left"/>
      <w:pPr>
        <w:ind w:left="720" w:hanging="360"/>
      </w:pPr>
      <w:rPr>
        <w:rFonts w:ascii="Calibri" w:hAnsi="Calibri" w:cs="Calibri" w:hint="default"/>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98F6CF0"/>
    <w:multiLevelType w:val="hybridMultilevel"/>
    <w:tmpl w:val="C1B01A3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B2C5511"/>
    <w:multiLevelType w:val="hybridMultilevel"/>
    <w:tmpl w:val="9E20C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4723A"/>
    <w:multiLevelType w:val="hybridMultilevel"/>
    <w:tmpl w:val="D918E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392399"/>
    <w:multiLevelType w:val="hybridMultilevel"/>
    <w:tmpl w:val="89B8D164"/>
    <w:lvl w:ilvl="0" w:tplc="0B36505C">
      <w:start w:val="1"/>
      <w:numFmt w:val="decimal"/>
      <w:lvlText w:val="%1)"/>
      <w:lvlJc w:val="left"/>
      <w:pPr>
        <w:ind w:left="720" w:hanging="360"/>
      </w:pPr>
      <w:rPr>
        <w:rFonts w:ascii="Calibri" w:hAnsi="Calibri" w:cs="Calibri" w:hint="default"/>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CA0164F"/>
    <w:multiLevelType w:val="hybridMultilevel"/>
    <w:tmpl w:val="F19695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A37540"/>
    <w:multiLevelType w:val="hybridMultilevel"/>
    <w:tmpl w:val="A266B160"/>
    <w:lvl w:ilvl="0" w:tplc="0B36505C">
      <w:start w:val="1"/>
      <w:numFmt w:val="decimal"/>
      <w:lvlText w:val="%1)"/>
      <w:lvlJc w:val="left"/>
      <w:pPr>
        <w:ind w:left="720" w:hanging="360"/>
      </w:pPr>
      <w:rPr>
        <w:rFonts w:ascii="Calibri" w:hAnsi="Calibri" w:cs="Calibri" w:hint="default"/>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935CAF"/>
    <w:multiLevelType w:val="hybridMultilevel"/>
    <w:tmpl w:val="C722F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9959E3"/>
    <w:multiLevelType w:val="hybridMultilevel"/>
    <w:tmpl w:val="0D5CCDB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00C6D4A"/>
    <w:multiLevelType w:val="hybridMultilevel"/>
    <w:tmpl w:val="934A1A62"/>
    <w:lvl w:ilvl="0" w:tplc="8508FE1E">
      <w:numFmt w:val="bullet"/>
      <w:lvlText w:val="–"/>
      <w:lvlJc w:val="left"/>
      <w:pPr>
        <w:tabs>
          <w:tab w:val="num" w:pos="720"/>
        </w:tabs>
        <w:ind w:left="720" w:hanging="360"/>
      </w:pPr>
      <w:rPr>
        <w:rFonts w:ascii="Corbel" w:eastAsia="SimSun" w:hAnsi="Corbe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C4B11"/>
    <w:multiLevelType w:val="hybridMultilevel"/>
    <w:tmpl w:val="CC4873B2"/>
    <w:lvl w:ilvl="0" w:tplc="0B36505C">
      <w:start w:val="1"/>
      <w:numFmt w:val="decimal"/>
      <w:lvlText w:val="%1)"/>
      <w:lvlJc w:val="left"/>
      <w:pPr>
        <w:ind w:left="720" w:hanging="360"/>
      </w:pPr>
      <w:rPr>
        <w:rFonts w:ascii="Calibri" w:hAnsi="Calibri" w:cs="Calibri" w:hint="default"/>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DD9652C"/>
    <w:multiLevelType w:val="hybridMultilevel"/>
    <w:tmpl w:val="2FE25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0F744E"/>
    <w:multiLevelType w:val="hybridMultilevel"/>
    <w:tmpl w:val="572ED78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5B3234"/>
    <w:multiLevelType w:val="hybridMultilevel"/>
    <w:tmpl w:val="229C003E"/>
    <w:lvl w:ilvl="0" w:tplc="0B36505C">
      <w:start w:val="1"/>
      <w:numFmt w:val="decimal"/>
      <w:lvlText w:val="%1)"/>
      <w:lvlJc w:val="left"/>
      <w:pPr>
        <w:ind w:left="720" w:hanging="360"/>
      </w:pPr>
      <w:rPr>
        <w:rFonts w:ascii="Calibri" w:hAnsi="Calibri" w:cs="Calibri" w:hint="default"/>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889640B"/>
    <w:multiLevelType w:val="hybridMultilevel"/>
    <w:tmpl w:val="E1283B8C"/>
    <w:lvl w:ilvl="0" w:tplc="0B36505C">
      <w:start w:val="1"/>
      <w:numFmt w:val="decimal"/>
      <w:lvlText w:val="%1)"/>
      <w:lvlJc w:val="left"/>
      <w:pPr>
        <w:ind w:left="720" w:hanging="360"/>
      </w:pPr>
      <w:rPr>
        <w:rFonts w:ascii="Calibri" w:hAnsi="Calibri" w:cs="Calibri" w:hint="default"/>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B536323"/>
    <w:multiLevelType w:val="multilevel"/>
    <w:tmpl w:val="EE4A5184"/>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57231B2A"/>
    <w:multiLevelType w:val="hybridMultilevel"/>
    <w:tmpl w:val="62688BB0"/>
    <w:lvl w:ilvl="0" w:tplc="0B36505C">
      <w:start w:val="1"/>
      <w:numFmt w:val="decimal"/>
      <w:lvlText w:val="%1)"/>
      <w:lvlJc w:val="left"/>
      <w:pPr>
        <w:ind w:left="720" w:hanging="360"/>
      </w:pPr>
      <w:rPr>
        <w:rFonts w:ascii="Calibri" w:hAnsi="Calibri" w:cs="Calibri" w:hint="default"/>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8EB656F"/>
    <w:multiLevelType w:val="hybridMultilevel"/>
    <w:tmpl w:val="20FA6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A0C389D"/>
    <w:multiLevelType w:val="hybridMultilevel"/>
    <w:tmpl w:val="CE588F3E"/>
    <w:lvl w:ilvl="0" w:tplc="0B36505C">
      <w:start w:val="1"/>
      <w:numFmt w:val="decimal"/>
      <w:lvlText w:val="%1)"/>
      <w:lvlJc w:val="left"/>
      <w:pPr>
        <w:ind w:left="720" w:hanging="360"/>
      </w:pPr>
      <w:rPr>
        <w:rFonts w:ascii="Calibri" w:hAnsi="Calibri" w:cs="Calibri" w:hint="default"/>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0C81DB6"/>
    <w:multiLevelType w:val="hybridMultilevel"/>
    <w:tmpl w:val="1F962208"/>
    <w:lvl w:ilvl="0" w:tplc="0B36505C">
      <w:start w:val="1"/>
      <w:numFmt w:val="decimal"/>
      <w:lvlText w:val="%1)"/>
      <w:lvlJc w:val="left"/>
      <w:pPr>
        <w:ind w:left="720" w:hanging="360"/>
      </w:pPr>
      <w:rPr>
        <w:rFonts w:ascii="Calibri" w:hAnsi="Calibri" w:cs="Calibri" w:hint="default"/>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56D412F"/>
    <w:multiLevelType w:val="hybridMultilevel"/>
    <w:tmpl w:val="C36EC64E"/>
    <w:lvl w:ilvl="0" w:tplc="E1E0CBB6">
      <w:numFmt w:val="bullet"/>
      <w:lvlText w:val="-"/>
      <w:lvlJc w:val="left"/>
      <w:pPr>
        <w:ind w:left="720" w:hanging="360"/>
      </w:pPr>
      <w:rPr>
        <w:rFonts w:ascii="Calibri" w:eastAsia="SimSun" w:hAnsi="Calibri"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7A6FF1"/>
    <w:multiLevelType w:val="hybridMultilevel"/>
    <w:tmpl w:val="487E9EA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3210AE3"/>
    <w:multiLevelType w:val="hybridMultilevel"/>
    <w:tmpl w:val="72B28E30"/>
    <w:lvl w:ilvl="0" w:tplc="0B36505C">
      <w:start w:val="1"/>
      <w:numFmt w:val="decimal"/>
      <w:lvlText w:val="%1)"/>
      <w:lvlJc w:val="left"/>
      <w:pPr>
        <w:ind w:left="720" w:hanging="360"/>
      </w:pPr>
      <w:rPr>
        <w:rFonts w:ascii="Calibri" w:hAnsi="Calibri" w:cs="Calibri" w:hint="default"/>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B07020A"/>
    <w:multiLevelType w:val="hybridMultilevel"/>
    <w:tmpl w:val="21A03DB4"/>
    <w:lvl w:ilvl="0" w:tplc="0B36505C">
      <w:start w:val="1"/>
      <w:numFmt w:val="decimal"/>
      <w:lvlText w:val="%1)"/>
      <w:lvlJc w:val="left"/>
      <w:pPr>
        <w:ind w:left="720" w:hanging="360"/>
      </w:pPr>
      <w:rPr>
        <w:rFonts w:ascii="Calibri" w:hAnsi="Calibri" w:cs="Calibri" w:hint="default"/>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22"/>
  </w:num>
  <w:num w:numId="3">
    <w:abstractNumId w:val="2"/>
  </w:num>
  <w:num w:numId="4">
    <w:abstractNumId w:val="7"/>
  </w:num>
  <w:num w:numId="5">
    <w:abstractNumId w:val="16"/>
  </w:num>
  <w:num w:numId="6">
    <w:abstractNumId w:val="20"/>
  </w:num>
  <w:num w:numId="7">
    <w:abstractNumId w:val="1"/>
  </w:num>
  <w:num w:numId="8">
    <w:abstractNumId w:val="19"/>
  </w:num>
  <w:num w:numId="9">
    <w:abstractNumId w:val="24"/>
  </w:num>
  <w:num w:numId="10">
    <w:abstractNumId w:val="15"/>
  </w:num>
  <w:num w:numId="11">
    <w:abstractNumId w:val="23"/>
  </w:num>
  <w:num w:numId="12">
    <w:abstractNumId w:val="11"/>
  </w:num>
  <w:num w:numId="13">
    <w:abstractNumId w:val="14"/>
  </w:num>
  <w:num w:numId="14">
    <w:abstractNumId w:val="17"/>
  </w:num>
  <w:num w:numId="15">
    <w:abstractNumId w:val="5"/>
  </w:num>
  <w:num w:numId="16">
    <w:abstractNumId w:val="6"/>
  </w:num>
  <w:num w:numId="17">
    <w:abstractNumId w:val="13"/>
  </w:num>
  <w:num w:numId="18">
    <w:abstractNumId w:val="18"/>
  </w:num>
  <w:num w:numId="19">
    <w:abstractNumId w:val="0"/>
  </w:num>
  <w:num w:numId="20">
    <w:abstractNumId w:val="12"/>
  </w:num>
  <w:num w:numId="21">
    <w:abstractNumId w:val="9"/>
  </w:num>
  <w:num w:numId="22">
    <w:abstractNumId w:val="4"/>
  </w:num>
  <w:num w:numId="23">
    <w:abstractNumId w:val="3"/>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9D"/>
    <w:rsid w:val="00005952"/>
    <w:rsid w:val="0000616F"/>
    <w:rsid w:val="00006F6A"/>
    <w:rsid w:val="00016F43"/>
    <w:rsid w:val="00021053"/>
    <w:rsid w:val="00025BF6"/>
    <w:rsid w:val="00030666"/>
    <w:rsid w:val="000312C0"/>
    <w:rsid w:val="00033438"/>
    <w:rsid w:val="000378C0"/>
    <w:rsid w:val="00040F46"/>
    <w:rsid w:val="00043862"/>
    <w:rsid w:val="00045CB4"/>
    <w:rsid w:val="00052359"/>
    <w:rsid w:val="00056355"/>
    <w:rsid w:val="00064CA8"/>
    <w:rsid w:val="0006527A"/>
    <w:rsid w:val="000711AF"/>
    <w:rsid w:val="00082075"/>
    <w:rsid w:val="000849B0"/>
    <w:rsid w:val="00097321"/>
    <w:rsid w:val="000A2396"/>
    <w:rsid w:val="000A51E2"/>
    <w:rsid w:val="000A712F"/>
    <w:rsid w:val="000B3811"/>
    <w:rsid w:val="000C162D"/>
    <w:rsid w:val="000C3307"/>
    <w:rsid w:val="000C5CAE"/>
    <w:rsid w:val="000C7234"/>
    <w:rsid w:val="000D1D9F"/>
    <w:rsid w:val="000D3E97"/>
    <w:rsid w:val="000D6D87"/>
    <w:rsid w:val="000E1F7B"/>
    <w:rsid w:val="000F13DF"/>
    <w:rsid w:val="000F79EB"/>
    <w:rsid w:val="00100EBA"/>
    <w:rsid w:val="00104B30"/>
    <w:rsid w:val="001076A2"/>
    <w:rsid w:val="00115884"/>
    <w:rsid w:val="00117BD5"/>
    <w:rsid w:val="00131356"/>
    <w:rsid w:val="00133686"/>
    <w:rsid w:val="0013614D"/>
    <w:rsid w:val="001441EC"/>
    <w:rsid w:val="00157CA2"/>
    <w:rsid w:val="00161E7C"/>
    <w:rsid w:val="00163B2B"/>
    <w:rsid w:val="0017317B"/>
    <w:rsid w:val="00173BAA"/>
    <w:rsid w:val="001857CE"/>
    <w:rsid w:val="00192CD3"/>
    <w:rsid w:val="00194C90"/>
    <w:rsid w:val="001A117F"/>
    <w:rsid w:val="001A2DE3"/>
    <w:rsid w:val="001A7672"/>
    <w:rsid w:val="001A7E75"/>
    <w:rsid w:val="001B0DC0"/>
    <w:rsid w:val="001B33B1"/>
    <w:rsid w:val="001B4D30"/>
    <w:rsid w:val="001C18F3"/>
    <w:rsid w:val="001C6761"/>
    <w:rsid w:val="001D13A3"/>
    <w:rsid w:val="001D7723"/>
    <w:rsid w:val="001E4449"/>
    <w:rsid w:val="001F3396"/>
    <w:rsid w:val="00204F25"/>
    <w:rsid w:val="00205654"/>
    <w:rsid w:val="0020680B"/>
    <w:rsid w:val="0021124C"/>
    <w:rsid w:val="00215D54"/>
    <w:rsid w:val="00221428"/>
    <w:rsid w:val="002257EF"/>
    <w:rsid w:val="0023592F"/>
    <w:rsid w:val="00243979"/>
    <w:rsid w:val="00246671"/>
    <w:rsid w:val="0024798E"/>
    <w:rsid w:val="00251554"/>
    <w:rsid w:val="00255C2C"/>
    <w:rsid w:val="00257D0A"/>
    <w:rsid w:val="00271885"/>
    <w:rsid w:val="002740E2"/>
    <w:rsid w:val="00287DB5"/>
    <w:rsid w:val="00292830"/>
    <w:rsid w:val="00292C49"/>
    <w:rsid w:val="002B2534"/>
    <w:rsid w:val="002C0900"/>
    <w:rsid w:val="002C4770"/>
    <w:rsid w:val="002D41C4"/>
    <w:rsid w:val="002E027A"/>
    <w:rsid w:val="002E34EB"/>
    <w:rsid w:val="002E366B"/>
    <w:rsid w:val="002F1B72"/>
    <w:rsid w:val="002F5D50"/>
    <w:rsid w:val="00304892"/>
    <w:rsid w:val="00305584"/>
    <w:rsid w:val="003072C5"/>
    <w:rsid w:val="0032029A"/>
    <w:rsid w:val="00324349"/>
    <w:rsid w:val="003243DB"/>
    <w:rsid w:val="00326D6A"/>
    <w:rsid w:val="00336DDF"/>
    <w:rsid w:val="00341961"/>
    <w:rsid w:val="00342BD2"/>
    <w:rsid w:val="00344FA3"/>
    <w:rsid w:val="003474E6"/>
    <w:rsid w:val="0035238A"/>
    <w:rsid w:val="0035309D"/>
    <w:rsid w:val="003563BE"/>
    <w:rsid w:val="00361495"/>
    <w:rsid w:val="00365596"/>
    <w:rsid w:val="003A0282"/>
    <w:rsid w:val="003B0CFB"/>
    <w:rsid w:val="003B59D8"/>
    <w:rsid w:val="003C123E"/>
    <w:rsid w:val="003C3E58"/>
    <w:rsid w:val="003D242E"/>
    <w:rsid w:val="003D2A4E"/>
    <w:rsid w:val="003E1E89"/>
    <w:rsid w:val="003E4604"/>
    <w:rsid w:val="003F7372"/>
    <w:rsid w:val="00402B78"/>
    <w:rsid w:val="004107C9"/>
    <w:rsid w:val="00413D30"/>
    <w:rsid w:val="00416D29"/>
    <w:rsid w:val="00421B43"/>
    <w:rsid w:val="00422740"/>
    <w:rsid w:val="004249C0"/>
    <w:rsid w:val="0043065B"/>
    <w:rsid w:val="00435518"/>
    <w:rsid w:val="0044195A"/>
    <w:rsid w:val="00441C94"/>
    <w:rsid w:val="00443794"/>
    <w:rsid w:val="00452276"/>
    <w:rsid w:val="00474F53"/>
    <w:rsid w:val="0047500A"/>
    <w:rsid w:val="004778C8"/>
    <w:rsid w:val="00487458"/>
    <w:rsid w:val="004B0619"/>
    <w:rsid w:val="004C07D5"/>
    <w:rsid w:val="004C4600"/>
    <w:rsid w:val="004D0B9F"/>
    <w:rsid w:val="004D22FD"/>
    <w:rsid w:val="004D58B5"/>
    <w:rsid w:val="004D6D4F"/>
    <w:rsid w:val="004E0DBF"/>
    <w:rsid w:val="004E0DC9"/>
    <w:rsid w:val="004E5F15"/>
    <w:rsid w:val="004E74D6"/>
    <w:rsid w:val="004F0583"/>
    <w:rsid w:val="004F0F59"/>
    <w:rsid w:val="004F10DE"/>
    <w:rsid w:val="004F549B"/>
    <w:rsid w:val="004F5512"/>
    <w:rsid w:val="00501541"/>
    <w:rsid w:val="00502F03"/>
    <w:rsid w:val="005072F9"/>
    <w:rsid w:val="005146BD"/>
    <w:rsid w:val="00520061"/>
    <w:rsid w:val="00522240"/>
    <w:rsid w:val="00533DFC"/>
    <w:rsid w:val="00534BDE"/>
    <w:rsid w:val="00551C44"/>
    <w:rsid w:val="0055290C"/>
    <w:rsid w:val="00555B3C"/>
    <w:rsid w:val="0055657A"/>
    <w:rsid w:val="00556696"/>
    <w:rsid w:val="00560BBB"/>
    <w:rsid w:val="005709E4"/>
    <w:rsid w:val="00572318"/>
    <w:rsid w:val="0058216F"/>
    <w:rsid w:val="00583088"/>
    <w:rsid w:val="00583641"/>
    <w:rsid w:val="0058612D"/>
    <w:rsid w:val="0059127A"/>
    <w:rsid w:val="0059349C"/>
    <w:rsid w:val="0059533A"/>
    <w:rsid w:val="005977D6"/>
    <w:rsid w:val="005A1FE2"/>
    <w:rsid w:val="005A2686"/>
    <w:rsid w:val="005A53EF"/>
    <w:rsid w:val="005B40ED"/>
    <w:rsid w:val="005B49A2"/>
    <w:rsid w:val="005B5300"/>
    <w:rsid w:val="005B7A77"/>
    <w:rsid w:val="005C2C67"/>
    <w:rsid w:val="005C3F89"/>
    <w:rsid w:val="005C6F63"/>
    <w:rsid w:val="005D106F"/>
    <w:rsid w:val="005D57C7"/>
    <w:rsid w:val="005E1F86"/>
    <w:rsid w:val="005E229D"/>
    <w:rsid w:val="005E2752"/>
    <w:rsid w:val="005E3421"/>
    <w:rsid w:val="005E4A7D"/>
    <w:rsid w:val="005E5D05"/>
    <w:rsid w:val="005F0AF6"/>
    <w:rsid w:val="00600EB5"/>
    <w:rsid w:val="0060134F"/>
    <w:rsid w:val="006049C1"/>
    <w:rsid w:val="00604E7C"/>
    <w:rsid w:val="00612845"/>
    <w:rsid w:val="00614A00"/>
    <w:rsid w:val="00617602"/>
    <w:rsid w:val="00620FCB"/>
    <w:rsid w:val="0062180C"/>
    <w:rsid w:val="00643661"/>
    <w:rsid w:val="00643FDF"/>
    <w:rsid w:val="00651159"/>
    <w:rsid w:val="00651A82"/>
    <w:rsid w:val="00657390"/>
    <w:rsid w:val="00661688"/>
    <w:rsid w:val="00663CCA"/>
    <w:rsid w:val="00667E7F"/>
    <w:rsid w:val="006713E3"/>
    <w:rsid w:val="00685F97"/>
    <w:rsid w:val="00690783"/>
    <w:rsid w:val="00690F53"/>
    <w:rsid w:val="00693F11"/>
    <w:rsid w:val="00696285"/>
    <w:rsid w:val="006972CE"/>
    <w:rsid w:val="006A07B2"/>
    <w:rsid w:val="006A1AC6"/>
    <w:rsid w:val="006B0A79"/>
    <w:rsid w:val="006B7B12"/>
    <w:rsid w:val="006C3B29"/>
    <w:rsid w:val="006C559B"/>
    <w:rsid w:val="006C60B8"/>
    <w:rsid w:val="006C692B"/>
    <w:rsid w:val="006D48A6"/>
    <w:rsid w:val="006D580B"/>
    <w:rsid w:val="006D6B84"/>
    <w:rsid w:val="006D783E"/>
    <w:rsid w:val="006E61BD"/>
    <w:rsid w:val="006F23E5"/>
    <w:rsid w:val="006F4F57"/>
    <w:rsid w:val="006F7D19"/>
    <w:rsid w:val="007127A4"/>
    <w:rsid w:val="00717979"/>
    <w:rsid w:val="00722169"/>
    <w:rsid w:val="00725D4E"/>
    <w:rsid w:val="00727A17"/>
    <w:rsid w:val="0073187A"/>
    <w:rsid w:val="00733AC3"/>
    <w:rsid w:val="00734C5E"/>
    <w:rsid w:val="00736715"/>
    <w:rsid w:val="007413C8"/>
    <w:rsid w:val="007456FC"/>
    <w:rsid w:val="007473E6"/>
    <w:rsid w:val="007506CA"/>
    <w:rsid w:val="00751308"/>
    <w:rsid w:val="00751A15"/>
    <w:rsid w:val="0076498D"/>
    <w:rsid w:val="00767F9A"/>
    <w:rsid w:val="00770B36"/>
    <w:rsid w:val="00785C94"/>
    <w:rsid w:val="007C204B"/>
    <w:rsid w:val="007C3DEC"/>
    <w:rsid w:val="007C492E"/>
    <w:rsid w:val="007D1C5A"/>
    <w:rsid w:val="007D3A80"/>
    <w:rsid w:val="007D5609"/>
    <w:rsid w:val="007D5BA0"/>
    <w:rsid w:val="007D7FE0"/>
    <w:rsid w:val="007E3B81"/>
    <w:rsid w:val="007F0CA9"/>
    <w:rsid w:val="007F5B9C"/>
    <w:rsid w:val="008043F4"/>
    <w:rsid w:val="00812A53"/>
    <w:rsid w:val="00815AFD"/>
    <w:rsid w:val="00817DBC"/>
    <w:rsid w:val="008251A0"/>
    <w:rsid w:val="00826C18"/>
    <w:rsid w:val="008357FA"/>
    <w:rsid w:val="00836750"/>
    <w:rsid w:val="0084614F"/>
    <w:rsid w:val="00850D87"/>
    <w:rsid w:val="008522B9"/>
    <w:rsid w:val="008647A6"/>
    <w:rsid w:val="008664EF"/>
    <w:rsid w:val="00872088"/>
    <w:rsid w:val="00873EA7"/>
    <w:rsid w:val="008864A0"/>
    <w:rsid w:val="0089702C"/>
    <w:rsid w:val="008A05E1"/>
    <w:rsid w:val="008A1A5F"/>
    <w:rsid w:val="008A556F"/>
    <w:rsid w:val="008B2278"/>
    <w:rsid w:val="008B6E16"/>
    <w:rsid w:val="008B71B0"/>
    <w:rsid w:val="008C27BB"/>
    <w:rsid w:val="008C7E01"/>
    <w:rsid w:val="008D3637"/>
    <w:rsid w:val="008D3CFC"/>
    <w:rsid w:val="008D5186"/>
    <w:rsid w:val="008D6DD0"/>
    <w:rsid w:val="008E0913"/>
    <w:rsid w:val="008E230E"/>
    <w:rsid w:val="008F10B5"/>
    <w:rsid w:val="008F3D8E"/>
    <w:rsid w:val="008F3E90"/>
    <w:rsid w:val="009015B1"/>
    <w:rsid w:val="009024CD"/>
    <w:rsid w:val="0090251B"/>
    <w:rsid w:val="009049FB"/>
    <w:rsid w:val="00907BE4"/>
    <w:rsid w:val="009118C8"/>
    <w:rsid w:val="0092643C"/>
    <w:rsid w:val="009361E0"/>
    <w:rsid w:val="009369FC"/>
    <w:rsid w:val="00940E99"/>
    <w:rsid w:val="00944916"/>
    <w:rsid w:val="00945A65"/>
    <w:rsid w:val="0095066B"/>
    <w:rsid w:val="009513E1"/>
    <w:rsid w:val="00951E2E"/>
    <w:rsid w:val="009554A8"/>
    <w:rsid w:val="00955874"/>
    <w:rsid w:val="00956F5C"/>
    <w:rsid w:val="00961254"/>
    <w:rsid w:val="009651D2"/>
    <w:rsid w:val="0097125E"/>
    <w:rsid w:val="00972680"/>
    <w:rsid w:val="00974D04"/>
    <w:rsid w:val="009828DC"/>
    <w:rsid w:val="009830C1"/>
    <w:rsid w:val="009866E5"/>
    <w:rsid w:val="00987808"/>
    <w:rsid w:val="009936ED"/>
    <w:rsid w:val="00997A50"/>
    <w:rsid w:val="009A0B89"/>
    <w:rsid w:val="009A5D87"/>
    <w:rsid w:val="009B0766"/>
    <w:rsid w:val="009B22F5"/>
    <w:rsid w:val="009B5A1F"/>
    <w:rsid w:val="009D2FBD"/>
    <w:rsid w:val="009E5A20"/>
    <w:rsid w:val="009F1DEE"/>
    <w:rsid w:val="00A019A6"/>
    <w:rsid w:val="00A06EC0"/>
    <w:rsid w:val="00A154DB"/>
    <w:rsid w:val="00A21DF7"/>
    <w:rsid w:val="00A25041"/>
    <w:rsid w:val="00A44853"/>
    <w:rsid w:val="00A452CA"/>
    <w:rsid w:val="00A46C6A"/>
    <w:rsid w:val="00A541F2"/>
    <w:rsid w:val="00A71BC9"/>
    <w:rsid w:val="00A73793"/>
    <w:rsid w:val="00A758B8"/>
    <w:rsid w:val="00A75ECA"/>
    <w:rsid w:val="00A77EBD"/>
    <w:rsid w:val="00A801D4"/>
    <w:rsid w:val="00A847CC"/>
    <w:rsid w:val="00A90505"/>
    <w:rsid w:val="00A95007"/>
    <w:rsid w:val="00AA1215"/>
    <w:rsid w:val="00AA6797"/>
    <w:rsid w:val="00AA7603"/>
    <w:rsid w:val="00AB1077"/>
    <w:rsid w:val="00AB4B04"/>
    <w:rsid w:val="00AC3B33"/>
    <w:rsid w:val="00AC566F"/>
    <w:rsid w:val="00AC5A13"/>
    <w:rsid w:val="00AD29CB"/>
    <w:rsid w:val="00AD6368"/>
    <w:rsid w:val="00AE14F6"/>
    <w:rsid w:val="00AE5F48"/>
    <w:rsid w:val="00AE73F3"/>
    <w:rsid w:val="00AF1035"/>
    <w:rsid w:val="00AF1E3E"/>
    <w:rsid w:val="00AF1ED6"/>
    <w:rsid w:val="00AF369A"/>
    <w:rsid w:val="00B0074D"/>
    <w:rsid w:val="00B022A7"/>
    <w:rsid w:val="00B0337A"/>
    <w:rsid w:val="00B07028"/>
    <w:rsid w:val="00B111FA"/>
    <w:rsid w:val="00B20F73"/>
    <w:rsid w:val="00B34F05"/>
    <w:rsid w:val="00B36190"/>
    <w:rsid w:val="00B44A44"/>
    <w:rsid w:val="00B46BB5"/>
    <w:rsid w:val="00B633B7"/>
    <w:rsid w:val="00B72D5F"/>
    <w:rsid w:val="00B74A2E"/>
    <w:rsid w:val="00B81C08"/>
    <w:rsid w:val="00BB0CE8"/>
    <w:rsid w:val="00BC3FF2"/>
    <w:rsid w:val="00BC78BC"/>
    <w:rsid w:val="00BD7C91"/>
    <w:rsid w:val="00BE1495"/>
    <w:rsid w:val="00BE2A9F"/>
    <w:rsid w:val="00BE4531"/>
    <w:rsid w:val="00BF5BC2"/>
    <w:rsid w:val="00BF5DAD"/>
    <w:rsid w:val="00C04EBE"/>
    <w:rsid w:val="00C06AF7"/>
    <w:rsid w:val="00C10BF3"/>
    <w:rsid w:val="00C11F8E"/>
    <w:rsid w:val="00C138A5"/>
    <w:rsid w:val="00C231AA"/>
    <w:rsid w:val="00C37FC1"/>
    <w:rsid w:val="00C42A31"/>
    <w:rsid w:val="00C431A6"/>
    <w:rsid w:val="00C46B49"/>
    <w:rsid w:val="00C5354D"/>
    <w:rsid w:val="00C64690"/>
    <w:rsid w:val="00C65B59"/>
    <w:rsid w:val="00C65B63"/>
    <w:rsid w:val="00C71FFB"/>
    <w:rsid w:val="00C73BDA"/>
    <w:rsid w:val="00C757ED"/>
    <w:rsid w:val="00C77899"/>
    <w:rsid w:val="00C80177"/>
    <w:rsid w:val="00C81913"/>
    <w:rsid w:val="00C8449A"/>
    <w:rsid w:val="00C858BD"/>
    <w:rsid w:val="00C961A7"/>
    <w:rsid w:val="00C97540"/>
    <w:rsid w:val="00CA531C"/>
    <w:rsid w:val="00CB6ED4"/>
    <w:rsid w:val="00CC2360"/>
    <w:rsid w:val="00CC31BE"/>
    <w:rsid w:val="00CC33B9"/>
    <w:rsid w:val="00CC73DC"/>
    <w:rsid w:val="00CD1C38"/>
    <w:rsid w:val="00CD2E52"/>
    <w:rsid w:val="00CD37C0"/>
    <w:rsid w:val="00CE6A5B"/>
    <w:rsid w:val="00CF28F1"/>
    <w:rsid w:val="00D00177"/>
    <w:rsid w:val="00D05A91"/>
    <w:rsid w:val="00D06D94"/>
    <w:rsid w:val="00D06FE7"/>
    <w:rsid w:val="00D0703D"/>
    <w:rsid w:val="00D11313"/>
    <w:rsid w:val="00D14515"/>
    <w:rsid w:val="00D2120A"/>
    <w:rsid w:val="00D251F1"/>
    <w:rsid w:val="00D35803"/>
    <w:rsid w:val="00D367E3"/>
    <w:rsid w:val="00D43CE1"/>
    <w:rsid w:val="00D57890"/>
    <w:rsid w:val="00D65260"/>
    <w:rsid w:val="00D7444B"/>
    <w:rsid w:val="00D814EE"/>
    <w:rsid w:val="00D81798"/>
    <w:rsid w:val="00D852E4"/>
    <w:rsid w:val="00D918DB"/>
    <w:rsid w:val="00D92F53"/>
    <w:rsid w:val="00DA0454"/>
    <w:rsid w:val="00DA0D23"/>
    <w:rsid w:val="00DA7B15"/>
    <w:rsid w:val="00DA7DD7"/>
    <w:rsid w:val="00DB1207"/>
    <w:rsid w:val="00DB5EA3"/>
    <w:rsid w:val="00DB67CC"/>
    <w:rsid w:val="00DC1F33"/>
    <w:rsid w:val="00DC262F"/>
    <w:rsid w:val="00DC42AF"/>
    <w:rsid w:val="00DC5938"/>
    <w:rsid w:val="00DD292D"/>
    <w:rsid w:val="00DD4F91"/>
    <w:rsid w:val="00DE7722"/>
    <w:rsid w:val="00DF26CB"/>
    <w:rsid w:val="00DF51DC"/>
    <w:rsid w:val="00E00E05"/>
    <w:rsid w:val="00E0275F"/>
    <w:rsid w:val="00E04905"/>
    <w:rsid w:val="00E0572C"/>
    <w:rsid w:val="00E14DCE"/>
    <w:rsid w:val="00E207AB"/>
    <w:rsid w:val="00E31E21"/>
    <w:rsid w:val="00E33889"/>
    <w:rsid w:val="00E33A6C"/>
    <w:rsid w:val="00E3760C"/>
    <w:rsid w:val="00E46C28"/>
    <w:rsid w:val="00E5077A"/>
    <w:rsid w:val="00E55D1A"/>
    <w:rsid w:val="00E574DB"/>
    <w:rsid w:val="00E61284"/>
    <w:rsid w:val="00E64862"/>
    <w:rsid w:val="00E674C4"/>
    <w:rsid w:val="00E71942"/>
    <w:rsid w:val="00E72540"/>
    <w:rsid w:val="00E77AB8"/>
    <w:rsid w:val="00E95B2B"/>
    <w:rsid w:val="00E96BB2"/>
    <w:rsid w:val="00E9773B"/>
    <w:rsid w:val="00EA37F4"/>
    <w:rsid w:val="00EA4584"/>
    <w:rsid w:val="00EB068C"/>
    <w:rsid w:val="00EB3414"/>
    <w:rsid w:val="00EB5BCF"/>
    <w:rsid w:val="00EC200C"/>
    <w:rsid w:val="00ED0743"/>
    <w:rsid w:val="00EE0A9F"/>
    <w:rsid w:val="00EE429C"/>
    <w:rsid w:val="00EE4818"/>
    <w:rsid w:val="00EE7764"/>
    <w:rsid w:val="00F00338"/>
    <w:rsid w:val="00F0389E"/>
    <w:rsid w:val="00F10286"/>
    <w:rsid w:val="00F10378"/>
    <w:rsid w:val="00F11E8A"/>
    <w:rsid w:val="00F134C9"/>
    <w:rsid w:val="00F17A78"/>
    <w:rsid w:val="00F20841"/>
    <w:rsid w:val="00F21C16"/>
    <w:rsid w:val="00F22A75"/>
    <w:rsid w:val="00F25236"/>
    <w:rsid w:val="00F26332"/>
    <w:rsid w:val="00F32BFB"/>
    <w:rsid w:val="00F402E9"/>
    <w:rsid w:val="00F53215"/>
    <w:rsid w:val="00F56C6A"/>
    <w:rsid w:val="00F57BAA"/>
    <w:rsid w:val="00F65FDB"/>
    <w:rsid w:val="00F72BC6"/>
    <w:rsid w:val="00F83448"/>
    <w:rsid w:val="00F84CDE"/>
    <w:rsid w:val="00FB12D9"/>
    <w:rsid w:val="00FB6C92"/>
    <w:rsid w:val="00FC527D"/>
    <w:rsid w:val="00FC662E"/>
    <w:rsid w:val="00FC6BA9"/>
    <w:rsid w:val="00FC73C8"/>
    <w:rsid w:val="00FC7429"/>
    <w:rsid w:val="00FD6068"/>
    <w:rsid w:val="00FE20E1"/>
    <w:rsid w:val="00FE2440"/>
    <w:rsid w:val="00FE44FD"/>
    <w:rsid w:val="00FE65A1"/>
    <w:rsid w:val="00FF2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CE7054-C6D6-408D-9647-9704C59B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309D"/>
    <w:pPr>
      <w:overflowPunct w:val="0"/>
      <w:autoSpaceDE w:val="0"/>
      <w:autoSpaceDN w:val="0"/>
      <w:adjustRightInd w:val="0"/>
      <w:spacing w:line="264" w:lineRule="auto"/>
      <w:textAlignment w:val="baseline"/>
    </w:pPr>
    <w:rPr>
      <w:rFonts w:ascii="Corbel" w:eastAsia="SimSun" w:hAnsi="Corbel"/>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35309D"/>
    <w:pPr>
      <w:spacing w:line="240" w:lineRule="auto"/>
    </w:pPr>
    <w:rPr>
      <w:rFonts w:ascii="Tahoma" w:hAnsi="Tahoma" w:cs="Tahoma"/>
      <w:sz w:val="16"/>
      <w:szCs w:val="16"/>
    </w:rPr>
  </w:style>
  <w:style w:type="character" w:customStyle="1" w:styleId="TextbublinyChar">
    <w:name w:val="Text bubliny Char"/>
    <w:link w:val="Textbubliny"/>
    <w:uiPriority w:val="99"/>
    <w:semiHidden/>
    <w:locked/>
    <w:rsid w:val="0035309D"/>
    <w:rPr>
      <w:rFonts w:ascii="Tahoma" w:eastAsia="SimSun" w:hAnsi="Tahoma" w:cs="Tahoma"/>
      <w:sz w:val="16"/>
      <w:szCs w:val="16"/>
      <w:lang w:val="en-GB"/>
    </w:rPr>
  </w:style>
  <w:style w:type="paragraph" w:styleId="Normlnweb">
    <w:name w:val="Normal (Web)"/>
    <w:basedOn w:val="Normln"/>
    <w:uiPriority w:val="99"/>
    <w:semiHidden/>
    <w:rsid w:val="006F7D19"/>
    <w:pPr>
      <w:overflowPunct/>
      <w:autoSpaceDE/>
      <w:autoSpaceDN/>
      <w:adjustRightInd/>
      <w:spacing w:before="100" w:beforeAutospacing="1" w:after="100" w:afterAutospacing="1" w:line="240" w:lineRule="auto"/>
      <w:textAlignment w:val="auto"/>
    </w:pPr>
    <w:rPr>
      <w:rFonts w:ascii="Times New Roman" w:eastAsia="Times New Roman" w:hAnsi="Times New Roman"/>
      <w:sz w:val="24"/>
      <w:szCs w:val="24"/>
      <w:lang w:eastAsia="cs-CZ"/>
    </w:rPr>
  </w:style>
  <w:style w:type="paragraph" w:customStyle="1" w:styleId="Zkladntex0">
    <w:name w:val="Základní tex0"/>
    <w:uiPriority w:val="99"/>
    <w:rsid w:val="00FC662E"/>
    <w:pPr>
      <w:autoSpaceDE w:val="0"/>
      <w:autoSpaceDN w:val="0"/>
      <w:adjustRightInd w:val="0"/>
      <w:jc w:val="both"/>
    </w:pPr>
    <w:rPr>
      <w:rFonts w:ascii="Arial" w:eastAsia="Times New Roman" w:hAnsi="Arial" w:cs="Arial"/>
      <w:sz w:val="22"/>
      <w:szCs w:val="22"/>
    </w:rPr>
  </w:style>
  <w:style w:type="paragraph" w:styleId="Odstavecseseznamem">
    <w:name w:val="List Paragraph"/>
    <w:basedOn w:val="Normln"/>
    <w:uiPriority w:val="99"/>
    <w:qFormat/>
    <w:rsid w:val="00FC662E"/>
    <w:pPr>
      <w:overflowPunct/>
      <w:autoSpaceDE/>
      <w:autoSpaceDN/>
      <w:adjustRightInd/>
      <w:spacing w:after="200" w:line="276" w:lineRule="auto"/>
      <w:ind w:left="720"/>
      <w:contextualSpacing/>
      <w:textAlignment w:val="auto"/>
    </w:pPr>
    <w:rPr>
      <w:rFonts w:ascii="Calibri" w:eastAsia="Calibri" w:hAnsi="Calibri"/>
      <w:szCs w:val="22"/>
    </w:rPr>
  </w:style>
  <w:style w:type="character" w:styleId="Siln">
    <w:name w:val="Strong"/>
    <w:uiPriority w:val="99"/>
    <w:qFormat/>
    <w:locked/>
    <w:rsid w:val="00FC662E"/>
    <w:rPr>
      <w:rFonts w:cs="Times New Roman"/>
      <w:b/>
    </w:rPr>
  </w:style>
  <w:style w:type="paragraph" w:styleId="Titulek">
    <w:name w:val="caption"/>
    <w:basedOn w:val="Normln"/>
    <w:next w:val="Normln"/>
    <w:uiPriority w:val="99"/>
    <w:qFormat/>
    <w:locked/>
    <w:rsid w:val="007D1C5A"/>
    <w:pPr>
      <w:overflowPunct/>
      <w:spacing w:after="187" w:line="240" w:lineRule="auto"/>
      <w:textAlignment w:val="auto"/>
    </w:pPr>
    <w:rPr>
      <w:rFonts w:ascii="Arial Black" w:eastAsia="Times New Roman" w:hAnsi="Arial Black" w:cs="Arial Black"/>
      <w:color w:val="17964C"/>
      <w:sz w:val="28"/>
      <w:szCs w:val="28"/>
      <w:lang w:eastAsia="cs-CZ"/>
    </w:rPr>
  </w:style>
  <w:style w:type="paragraph" w:styleId="Textpoznpodarou">
    <w:name w:val="footnote text"/>
    <w:basedOn w:val="Normln"/>
    <w:link w:val="TextpoznpodarouChar"/>
    <w:uiPriority w:val="99"/>
    <w:semiHidden/>
    <w:rsid w:val="007D1C5A"/>
    <w:pPr>
      <w:overflowPunct/>
      <w:autoSpaceDE/>
      <w:autoSpaceDN/>
      <w:adjustRightInd/>
      <w:spacing w:line="240" w:lineRule="auto"/>
      <w:textAlignment w:val="auto"/>
    </w:pPr>
    <w:rPr>
      <w:rFonts w:ascii="Times New Roman" w:eastAsia="Times New Roman" w:hAnsi="Times New Roman"/>
      <w:sz w:val="20"/>
      <w:lang w:eastAsia="cs-CZ"/>
    </w:rPr>
  </w:style>
  <w:style w:type="character" w:customStyle="1" w:styleId="TextpoznpodarouChar">
    <w:name w:val="Text pozn. pod čarou Char"/>
    <w:link w:val="Textpoznpodarou"/>
    <w:uiPriority w:val="99"/>
    <w:semiHidden/>
    <w:locked/>
    <w:rsid w:val="007D1C5A"/>
    <w:rPr>
      <w:rFonts w:ascii="Times New Roman" w:hAnsi="Times New Roman" w:cs="Times New Roman"/>
      <w:sz w:val="20"/>
      <w:szCs w:val="20"/>
    </w:rPr>
  </w:style>
  <w:style w:type="character" w:styleId="Znakapoznpodarou">
    <w:name w:val="footnote reference"/>
    <w:uiPriority w:val="99"/>
    <w:semiHidden/>
    <w:rsid w:val="007D1C5A"/>
    <w:rPr>
      <w:rFonts w:cs="Times New Roman"/>
      <w:vertAlign w:val="superscript"/>
    </w:rPr>
  </w:style>
  <w:style w:type="paragraph" w:styleId="Zhlav">
    <w:name w:val="header"/>
    <w:basedOn w:val="Normln"/>
    <w:link w:val="ZhlavChar"/>
    <w:uiPriority w:val="99"/>
    <w:semiHidden/>
    <w:rsid w:val="00F10286"/>
    <w:pPr>
      <w:tabs>
        <w:tab w:val="center" w:pos="4536"/>
        <w:tab w:val="right" w:pos="9072"/>
      </w:tabs>
    </w:pPr>
  </w:style>
  <w:style w:type="character" w:customStyle="1" w:styleId="ZhlavChar">
    <w:name w:val="Záhlaví Char"/>
    <w:link w:val="Zhlav"/>
    <w:uiPriority w:val="99"/>
    <w:semiHidden/>
    <w:locked/>
    <w:rsid w:val="00F10286"/>
    <w:rPr>
      <w:rFonts w:ascii="Corbel" w:eastAsia="SimSun" w:hAnsi="Corbel" w:cs="Times New Roman"/>
      <w:sz w:val="20"/>
      <w:szCs w:val="20"/>
      <w:lang w:val="en-GB" w:eastAsia="en-US"/>
    </w:rPr>
  </w:style>
  <w:style w:type="paragraph" w:styleId="Zpat">
    <w:name w:val="footer"/>
    <w:basedOn w:val="Normln"/>
    <w:link w:val="ZpatChar"/>
    <w:uiPriority w:val="99"/>
    <w:rsid w:val="00F10286"/>
    <w:pPr>
      <w:tabs>
        <w:tab w:val="center" w:pos="4536"/>
        <w:tab w:val="right" w:pos="9072"/>
      </w:tabs>
    </w:pPr>
  </w:style>
  <w:style w:type="character" w:customStyle="1" w:styleId="ZpatChar">
    <w:name w:val="Zápatí Char"/>
    <w:link w:val="Zpat"/>
    <w:uiPriority w:val="99"/>
    <w:locked/>
    <w:rsid w:val="00F10286"/>
    <w:rPr>
      <w:rFonts w:ascii="Corbel" w:eastAsia="SimSun" w:hAnsi="Corbel" w:cs="Times New Roman"/>
      <w:sz w:val="20"/>
      <w:szCs w:val="20"/>
      <w:lang w:val="en-GB" w:eastAsia="en-US"/>
    </w:rPr>
  </w:style>
  <w:style w:type="character" w:styleId="Odkaznakoment">
    <w:name w:val="annotation reference"/>
    <w:uiPriority w:val="99"/>
    <w:semiHidden/>
    <w:unhideWhenUsed/>
    <w:rsid w:val="004E0DC9"/>
    <w:rPr>
      <w:sz w:val="16"/>
      <w:szCs w:val="16"/>
    </w:rPr>
  </w:style>
  <w:style w:type="paragraph" w:styleId="Textkomente">
    <w:name w:val="annotation text"/>
    <w:basedOn w:val="Normln"/>
    <w:link w:val="TextkomenteChar"/>
    <w:uiPriority w:val="99"/>
    <w:unhideWhenUsed/>
    <w:rsid w:val="004E0DC9"/>
    <w:pPr>
      <w:spacing w:line="240" w:lineRule="auto"/>
    </w:pPr>
    <w:rPr>
      <w:sz w:val="20"/>
    </w:rPr>
  </w:style>
  <w:style w:type="character" w:customStyle="1" w:styleId="TextkomenteChar">
    <w:name w:val="Text komentáře Char"/>
    <w:link w:val="Textkomente"/>
    <w:uiPriority w:val="99"/>
    <w:rsid w:val="004E0DC9"/>
    <w:rPr>
      <w:rFonts w:ascii="Corbel" w:eastAsia="SimSun" w:hAnsi="Corbel"/>
      <w:sz w:val="20"/>
      <w:szCs w:val="20"/>
      <w:lang w:eastAsia="en-US"/>
    </w:rPr>
  </w:style>
  <w:style w:type="paragraph" w:styleId="Pedmtkomente">
    <w:name w:val="annotation subject"/>
    <w:basedOn w:val="Textkomente"/>
    <w:next w:val="Textkomente"/>
    <w:link w:val="PedmtkomenteChar"/>
    <w:uiPriority w:val="99"/>
    <w:semiHidden/>
    <w:unhideWhenUsed/>
    <w:rsid w:val="004E0DC9"/>
    <w:rPr>
      <w:b/>
      <w:bCs/>
    </w:rPr>
  </w:style>
  <w:style w:type="character" w:customStyle="1" w:styleId="PedmtkomenteChar">
    <w:name w:val="Předmět komentáře Char"/>
    <w:link w:val="Pedmtkomente"/>
    <w:uiPriority w:val="99"/>
    <w:semiHidden/>
    <w:rsid w:val="004E0DC9"/>
    <w:rPr>
      <w:rFonts w:ascii="Corbel" w:eastAsia="SimSun" w:hAnsi="Corbel"/>
      <w:b/>
      <w:bCs/>
      <w:sz w:val="20"/>
      <w:szCs w:val="20"/>
      <w:lang w:eastAsia="en-US"/>
    </w:rPr>
  </w:style>
  <w:style w:type="character" w:styleId="Hypertextovodkaz">
    <w:name w:val="Hyperlink"/>
    <w:basedOn w:val="Standardnpsmoodstavce"/>
    <w:uiPriority w:val="99"/>
    <w:unhideWhenUsed/>
    <w:rsid w:val="00570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868462">
      <w:marLeft w:val="0"/>
      <w:marRight w:val="0"/>
      <w:marTop w:val="0"/>
      <w:marBottom w:val="0"/>
      <w:divBdr>
        <w:top w:val="none" w:sz="0" w:space="0" w:color="auto"/>
        <w:left w:val="none" w:sz="0" w:space="0" w:color="auto"/>
        <w:bottom w:val="none" w:sz="0" w:space="0" w:color="auto"/>
        <w:right w:val="none" w:sz="0" w:space="0" w:color="auto"/>
      </w:divBdr>
      <w:divsChild>
        <w:div w:id="1792868439">
          <w:marLeft w:val="0"/>
          <w:marRight w:val="0"/>
          <w:marTop w:val="0"/>
          <w:marBottom w:val="0"/>
          <w:divBdr>
            <w:top w:val="none" w:sz="0" w:space="0" w:color="auto"/>
            <w:left w:val="none" w:sz="0" w:space="0" w:color="auto"/>
            <w:bottom w:val="none" w:sz="0" w:space="0" w:color="auto"/>
            <w:right w:val="none" w:sz="0" w:space="0" w:color="auto"/>
          </w:divBdr>
        </w:div>
        <w:div w:id="1792868440">
          <w:marLeft w:val="0"/>
          <w:marRight w:val="0"/>
          <w:marTop w:val="0"/>
          <w:marBottom w:val="0"/>
          <w:divBdr>
            <w:top w:val="none" w:sz="0" w:space="0" w:color="auto"/>
            <w:left w:val="none" w:sz="0" w:space="0" w:color="auto"/>
            <w:bottom w:val="none" w:sz="0" w:space="0" w:color="auto"/>
            <w:right w:val="none" w:sz="0" w:space="0" w:color="auto"/>
          </w:divBdr>
        </w:div>
        <w:div w:id="1792868441">
          <w:marLeft w:val="0"/>
          <w:marRight w:val="0"/>
          <w:marTop w:val="0"/>
          <w:marBottom w:val="0"/>
          <w:divBdr>
            <w:top w:val="none" w:sz="0" w:space="0" w:color="auto"/>
            <w:left w:val="none" w:sz="0" w:space="0" w:color="auto"/>
            <w:bottom w:val="none" w:sz="0" w:space="0" w:color="auto"/>
            <w:right w:val="none" w:sz="0" w:space="0" w:color="auto"/>
          </w:divBdr>
        </w:div>
        <w:div w:id="1792868443">
          <w:marLeft w:val="0"/>
          <w:marRight w:val="0"/>
          <w:marTop w:val="0"/>
          <w:marBottom w:val="0"/>
          <w:divBdr>
            <w:top w:val="none" w:sz="0" w:space="0" w:color="auto"/>
            <w:left w:val="none" w:sz="0" w:space="0" w:color="auto"/>
            <w:bottom w:val="none" w:sz="0" w:space="0" w:color="auto"/>
            <w:right w:val="none" w:sz="0" w:space="0" w:color="auto"/>
          </w:divBdr>
        </w:div>
        <w:div w:id="1792868444">
          <w:marLeft w:val="0"/>
          <w:marRight w:val="0"/>
          <w:marTop w:val="0"/>
          <w:marBottom w:val="0"/>
          <w:divBdr>
            <w:top w:val="none" w:sz="0" w:space="0" w:color="auto"/>
            <w:left w:val="none" w:sz="0" w:space="0" w:color="auto"/>
            <w:bottom w:val="none" w:sz="0" w:space="0" w:color="auto"/>
            <w:right w:val="none" w:sz="0" w:space="0" w:color="auto"/>
          </w:divBdr>
        </w:div>
        <w:div w:id="1792868455">
          <w:marLeft w:val="0"/>
          <w:marRight w:val="0"/>
          <w:marTop w:val="0"/>
          <w:marBottom w:val="0"/>
          <w:divBdr>
            <w:top w:val="none" w:sz="0" w:space="0" w:color="auto"/>
            <w:left w:val="none" w:sz="0" w:space="0" w:color="auto"/>
            <w:bottom w:val="none" w:sz="0" w:space="0" w:color="auto"/>
            <w:right w:val="none" w:sz="0" w:space="0" w:color="auto"/>
          </w:divBdr>
        </w:div>
        <w:div w:id="1792868456">
          <w:marLeft w:val="0"/>
          <w:marRight w:val="0"/>
          <w:marTop w:val="0"/>
          <w:marBottom w:val="0"/>
          <w:divBdr>
            <w:top w:val="none" w:sz="0" w:space="0" w:color="auto"/>
            <w:left w:val="none" w:sz="0" w:space="0" w:color="auto"/>
            <w:bottom w:val="none" w:sz="0" w:space="0" w:color="auto"/>
            <w:right w:val="none" w:sz="0" w:space="0" w:color="auto"/>
          </w:divBdr>
        </w:div>
        <w:div w:id="1792868458">
          <w:marLeft w:val="0"/>
          <w:marRight w:val="0"/>
          <w:marTop w:val="0"/>
          <w:marBottom w:val="0"/>
          <w:divBdr>
            <w:top w:val="none" w:sz="0" w:space="0" w:color="auto"/>
            <w:left w:val="none" w:sz="0" w:space="0" w:color="auto"/>
            <w:bottom w:val="none" w:sz="0" w:space="0" w:color="auto"/>
            <w:right w:val="none" w:sz="0" w:space="0" w:color="auto"/>
          </w:divBdr>
        </w:div>
        <w:div w:id="1792868459">
          <w:marLeft w:val="0"/>
          <w:marRight w:val="0"/>
          <w:marTop w:val="0"/>
          <w:marBottom w:val="0"/>
          <w:divBdr>
            <w:top w:val="none" w:sz="0" w:space="0" w:color="auto"/>
            <w:left w:val="none" w:sz="0" w:space="0" w:color="auto"/>
            <w:bottom w:val="none" w:sz="0" w:space="0" w:color="auto"/>
            <w:right w:val="none" w:sz="0" w:space="0" w:color="auto"/>
          </w:divBdr>
        </w:div>
        <w:div w:id="1792868461">
          <w:marLeft w:val="0"/>
          <w:marRight w:val="0"/>
          <w:marTop w:val="0"/>
          <w:marBottom w:val="0"/>
          <w:divBdr>
            <w:top w:val="none" w:sz="0" w:space="0" w:color="auto"/>
            <w:left w:val="none" w:sz="0" w:space="0" w:color="auto"/>
            <w:bottom w:val="none" w:sz="0" w:space="0" w:color="auto"/>
            <w:right w:val="none" w:sz="0" w:space="0" w:color="auto"/>
          </w:divBdr>
        </w:div>
        <w:div w:id="1792868463">
          <w:marLeft w:val="0"/>
          <w:marRight w:val="0"/>
          <w:marTop w:val="0"/>
          <w:marBottom w:val="0"/>
          <w:divBdr>
            <w:top w:val="none" w:sz="0" w:space="0" w:color="auto"/>
            <w:left w:val="none" w:sz="0" w:space="0" w:color="auto"/>
            <w:bottom w:val="none" w:sz="0" w:space="0" w:color="auto"/>
            <w:right w:val="none" w:sz="0" w:space="0" w:color="auto"/>
          </w:divBdr>
        </w:div>
        <w:div w:id="1792868464">
          <w:marLeft w:val="0"/>
          <w:marRight w:val="0"/>
          <w:marTop w:val="0"/>
          <w:marBottom w:val="0"/>
          <w:divBdr>
            <w:top w:val="none" w:sz="0" w:space="0" w:color="auto"/>
            <w:left w:val="none" w:sz="0" w:space="0" w:color="auto"/>
            <w:bottom w:val="none" w:sz="0" w:space="0" w:color="auto"/>
            <w:right w:val="none" w:sz="0" w:space="0" w:color="auto"/>
          </w:divBdr>
        </w:div>
        <w:div w:id="1792868466">
          <w:marLeft w:val="0"/>
          <w:marRight w:val="0"/>
          <w:marTop w:val="0"/>
          <w:marBottom w:val="0"/>
          <w:divBdr>
            <w:top w:val="none" w:sz="0" w:space="0" w:color="auto"/>
            <w:left w:val="none" w:sz="0" w:space="0" w:color="auto"/>
            <w:bottom w:val="none" w:sz="0" w:space="0" w:color="auto"/>
            <w:right w:val="none" w:sz="0" w:space="0" w:color="auto"/>
          </w:divBdr>
        </w:div>
        <w:div w:id="1792868467">
          <w:marLeft w:val="0"/>
          <w:marRight w:val="0"/>
          <w:marTop w:val="0"/>
          <w:marBottom w:val="0"/>
          <w:divBdr>
            <w:top w:val="none" w:sz="0" w:space="0" w:color="auto"/>
            <w:left w:val="none" w:sz="0" w:space="0" w:color="auto"/>
            <w:bottom w:val="none" w:sz="0" w:space="0" w:color="auto"/>
            <w:right w:val="none" w:sz="0" w:space="0" w:color="auto"/>
          </w:divBdr>
        </w:div>
        <w:div w:id="1792868469">
          <w:marLeft w:val="0"/>
          <w:marRight w:val="0"/>
          <w:marTop w:val="0"/>
          <w:marBottom w:val="0"/>
          <w:divBdr>
            <w:top w:val="none" w:sz="0" w:space="0" w:color="auto"/>
            <w:left w:val="none" w:sz="0" w:space="0" w:color="auto"/>
            <w:bottom w:val="none" w:sz="0" w:space="0" w:color="auto"/>
            <w:right w:val="none" w:sz="0" w:space="0" w:color="auto"/>
          </w:divBdr>
        </w:div>
        <w:div w:id="1792868470">
          <w:marLeft w:val="0"/>
          <w:marRight w:val="0"/>
          <w:marTop w:val="0"/>
          <w:marBottom w:val="0"/>
          <w:divBdr>
            <w:top w:val="none" w:sz="0" w:space="0" w:color="auto"/>
            <w:left w:val="none" w:sz="0" w:space="0" w:color="auto"/>
            <w:bottom w:val="none" w:sz="0" w:space="0" w:color="auto"/>
            <w:right w:val="none" w:sz="0" w:space="0" w:color="auto"/>
          </w:divBdr>
        </w:div>
        <w:div w:id="1792868472">
          <w:marLeft w:val="0"/>
          <w:marRight w:val="0"/>
          <w:marTop w:val="0"/>
          <w:marBottom w:val="0"/>
          <w:divBdr>
            <w:top w:val="none" w:sz="0" w:space="0" w:color="auto"/>
            <w:left w:val="none" w:sz="0" w:space="0" w:color="auto"/>
            <w:bottom w:val="none" w:sz="0" w:space="0" w:color="auto"/>
            <w:right w:val="none" w:sz="0" w:space="0" w:color="auto"/>
          </w:divBdr>
        </w:div>
        <w:div w:id="1792868474">
          <w:marLeft w:val="0"/>
          <w:marRight w:val="0"/>
          <w:marTop w:val="0"/>
          <w:marBottom w:val="0"/>
          <w:divBdr>
            <w:top w:val="none" w:sz="0" w:space="0" w:color="auto"/>
            <w:left w:val="none" w:sz="0" w:space="0" w:color="auto"/>
            <w:bottom w:val="none" w:sz="0" w:space="0" w:color="auto"/>
            <w:right w:val="none" w:sz="0" w:space="0" w:color="auto"/>
          </w:divBdr>
        </w:div>
        <w:div w:id="1792868477">
          <w:marLeft w:val="0"/>
          <w:marRight w:val="0"/>
          <w:marTop w:val="0"/>
          <w:marBottom w:val="0"/>
          <w:divBdr>
            <w:top w:val="none" w:sz="0" w:space="0" w:color="auto"/>
            <w:left w:val="none" w:sz="0" w:space="0" w:color="auto"/>
            <w:bottom w:val="none" w:sz="0" w:space="0" w:color="auto"/>
            <w:right w:val="none" w:sz="0" w:space="0" w:color="auto"/>
          </w:divBdr>
        </w:div>
        <w:div w:id="1792868480">
          <w:marLeft w:val="0"/>
          <w:marRight w:val="0"/>
          <w:marTop w:val="0"/>
          <w:marBottom w:val="0"/>
          <w:divBdr>
            <w:top w:val="none" w:sz="0" w:space="0" w:color="auto"/>
            <w:left w:val="none" w:sz="0" w:space="0" w:color="auto"/>
            <w:bottom w:val="none" w:sz="0" w:space="0" w:color="auto"/>
            <w:right w:val="none" w:sz="0" w:space="0" w:color="auto"/>
          </w:divBdr>
        </w:div>
        <w:div w:id="1792868481">
          <w:marLeft w:val="0"/>
          <w:marRight w:val="0"/>
          <w:marTop w:val="0"/>
          <w:marBottom w:val="0"/>
          <w:divBdr>
            <w:top w:val="none" w:sz="0" w:space="0" w:color="auto"/>
            <w:left w:val="none" w:sz="0" w:space="0" w:color="auto"/>
            <w:bottom w:val="none" w:sz="0" w:space="0" w:color="auto"/>
            <w:right w:val="none" w:sz="0" w:space="0" w:color="auto"/>
          </w:divBdr>
        </w:div>
        <w:div w:id="1792868485">
          <w:marLeft w:val="0"/>
          <w:marRight w:val="0"/>
          <w:marTop w:val="0"/>
          <w:marBottom w:val="0"/>
          <w:divBdr>
            <w:top w:val="none" w:sz="0" w:space="0" w:color="auto"/>
            <w:left w:val="none" w:sz="0" w:space="0" w:color="auto"/>
            <w:bottom w:val="none" w:sz="0" w:space="0" w:color="auto"/>
            <w:right w:val="none" w:sz="0" w:space="0" w:color="auto"/>
          </w:divBdr>
        </w:div>
        <w:div w:id="1792868487">
          <w:marLeft w:val="0"/>
          <w:marRight w:val="0"/>
          <w:marTop w:val="0"/>
          <w:marBottom w:val="0"/>
          <w:divBdr>
            <w:top w:val="none" w:sz="0" w:space="0" w:color="auto"/>
            <w:left w:val="none" w:sz="0" w:space="0" w:color="auto"/>
            <w:bottom w:val="none" w:sz="0" w:space="0" w:color="auto"/>
            <w:right w:val="none" w:sz="0" w:space="0" w:color="auto"/>
          </w:divBdr>
        </w:div>
        <w:div w:id="1792868488">
          <w:marLeft w:val="0"/>
          <w:marRight w:val="0"/>
          <w:marTop w:val="0"/>
          <w:marBottom w:val="0"/>
          <w:divBdr>
            <w:top w:val="none" w:sz="0" w:space="0" w:color="auto"/>
            <w:left w:val="none" w:sz="0" w:space="0" w:color="auto"/>
            <w:bottom w:val="none" w:sz="0" w:space="0" w:color="auto"/>
            <w:right w:val="none" w:sz="0" w:space="0" w:color="auto"/>
          </w:divBdr>
        </w:div>
        <w:div w:id="1792868494">
          <w:marLeft w:val="0"/>
          <w:marRight w:val="0"/>
          <w:marTop w:val="0"/>
          <w:marBottom w:val="0"/>
          <w:divBdr>
            <w:top w:val="none" w:sz="0" w:space="0" w:color="auto"/>
            <w:left w:val="none" w:sz="0" w:space="0" w:color="auto"/>
            <w:bottom w:val="none" w:sz="0" w:space="0" w:color="auto"/>
            <w:right w:val="none" w:sz="0" w:space="0" w:color="auto"/>
          </w:divBdr>
        </w:div>
        <w:div w:id="1792868498">
          <w:marLeft w:val="0"/>
          <w:marRight w:val="0"/>
          <w:marTop w:val="0"/>
          <w:marBottom w:val="0"/>
          <w:divBdr>
            <w:top w:val="none" w:sz="0" w:space="0" w:color="auto"/>
            <w:left w:val="none" w:sz="0" w:space="0" w:color="auto"/>
            <w:bottom w:val="none" w:sz="0" w:space="0" w:color="auto"/>
            <w:right w:val="none" w:sz="0" w:space="0" w:color="auto"/>
          </w:divBdr>
        </w:div>
        <w:div w:id="1792868500">
          <w:marLeft w:val="0"/>
          <w:marRight w:val="0"/>
          <w:marTop w:val="0"/>
          <w:marBottom w:val="0"/>
          <w:divBdr>
            <w:top w:val="none" w:sz="0" w:space="0" w:color="auto"/>
            <w:left w:val="none" w:sz="0" w:space="0" w:color="auto"/>
            <w:bottom w:val="none" w:sz="0" w:space="0" w:color="auto"/>
            <w:right w:val="none" w:sz="0" w:space="0" w:color="auto"/>
          </w:divBdr>
        </w:div>
        <w:div w:id="1792868508">
          <w:marLeft w:val="0"/>
          <w:marRight w:val="0"/>
          <w:marTop w:val="0"/>
          <w:marBottom w:val="0"/>
          <w:divBdr>
            <w:top w:val="none" w:sz="0" w:space="0" w:color="auto"/>
            <w:left w:val="none" w:sz="0" w:space="0" w:color="auto"/>
            <w:bottom w:val="none" w:sz="0" w:space="0" w:color="auto"/>
            <w:right w:val="none" w:sz="0" w:space="0" w:color="auto"/>
          </w:divBdr>
        </w:div>
        <w:div w:id="1792868514">
          <w:marLeft w:val="0"/>
          <w:marRight w:val="0"/>
          <w:marTop w:val="0"/>
          <w:marBottom w:val="0"/>
          <w:divBdr>
            <w:top w:val="none" w:sz="0" w:space="0" w:color="auto"/>
            <w:left w:val="none" w:sz="0" w:space="0" w:color="auto"/>
            <w:bottom w:val="none" w:sz="0" w:space="0" w:color="auto"/>
            <w:right w:val="none" w:sz="0" w:space="0" w:color="auto"/>
          </w:divBdr>
        </w:div>
        <w:div w:id="1792868515">
          <w:marLeft w:val="0"/>
          <w:marRight w:val="0"/>
          <w:marTop w:val="0"/>
          <w:marBottom w:val="0"/>
          <w:divBdr>
            <w:top w:val="none" w:sz="0" w:space="0" w:color="auto"/>
            <w:left w:val="none" w:sz="0" w:space="0" w:color="auto"/>
            <w:bottom w:val="none" w:sz="0" w:space="0" w:color="auto"/>
            <w:right w:val="none" w:sz="0" w:space="0" w:color="auto"/>
          </w:divBdr>
        </w:div>
        <w:div w:id="1792868516">
          <w:marLeft w:val="0"/>
          <w:marRight w:val="0"/>
          <w:marTop w:val="0"/>
          <w:marBottom w:val="0"/>
          <w:divBdr>
            <w:top w:val="none" w:sz="0" w:space="0" w:color="auto"/>
            <w:left w:val="none" w:sz="0" w:space="0" w:color="auto"/>
            <w:bottom w:val="none" w:sz="0" w:space="0" w:color="auto"/>
            <w:right w:val="none" w:sz="0" w:space="0" w:color="auto"/>
          </w:divBdr>
        </w:div>
        <w:div w:id="1792868517">
          <w:marLeft w:val="0"/>
          <w:marRight w:val="0"/>
          <w:marTop w:val="0"/>
          <w:marBottom w:val="0"/>
          <w:divBdr>
            <w:top w:val="none" w:sz="0" w:space="0" w:color="auto"/>
            <w:left w:val="none" w:sz="0" w:space="0" w:color="auto"/>
            <w:bottom w:val="none" w:sz="0" w:space="0" w:color="auto"/>
            <w:right w:val="none" w:sz="0" w:space="0" w:color="auto"/>
          </w:divBdr>
        </w:div>
        <w:div w:id="1792868518">
          <w:marLeft w:val="0"/>
          <w:marRight w:val="0"/>
          <w:marTop w:val="0"/>
          <w:marBottom w:val="0"/>
          <w:divBdr>
            <w:top w:val="none" w:sz="0" w:space="0" w:color="auto"/>
            <w:left w:val="none" w:sz="0" w:space="0" w:color="auto"/>
            <w:bottom w:val="none" w:sz="0" w:space="0" w:color="auto"/>
            <w:right w:val="none" w:sz="0" w:space="0" w:color="auto"/>
          </w:divBdr>
        </w:div>
        <w:div w:id="1792868522">
          <w:marLeft w:val="0"/>
          <w:marRight w:val="0"/>
          <w:marTop w:val="0"/>
          <w:marBottom w:val="0"/>
          <w:divBdr>
            <w:top w:val="none" w:sz="0" w:space="0" w:color="auto"/>
            <w:left w:val="none" w:sz="0" w:space="0" w:color="auto"/>
            <w:bottom w:val="none" w:sz="0" w:space="0" w:color="auto"/>
            <w:right w:val="none" w:sz="0" w:space="0" w:color="auto"/>
          </w:divBdr>
        </w:div>
        <w:div w:id="1792868527">
          <w:marLeft w:val="0"/>
          <w:marRight w:val="0"/>
          <w:marTop w:val="0"/>
          <w:marBottom w:val="0"/>
          <w:divBdr>
            <w:top w:val="none" w:sz="0" w:space="0" w:color="auto"/>
            <w:left w:val="none" w:sz="0" w:space="0" w:color="auto"/>
            <w:bottom w:val="none" w:sz="0" w:space="0" w:color="auto"/>
            <w:right w:val="none" w:sz="0" w:space="0" w:color="auto"/>
          </w:divBdr>
        </w:div>
        <w:div w:id="1792868531">
          <w:marLeft w:val="0"/>
          <w:marRight w:val="0"/>
          <w:marTop w:val="0"/>
          <w:marBottom w:val="0"/>
          <w:divBdr>
            <w:top w:val="none" w:sz="0" w:space="0" w:color="auto"/>
            <w:left w:val="none" w:sz="0" w:space="0" w:color="auto"/>
            <w:bottom w:val="none" w:sz="0" w:space="0" w:color="auto"/>
            <w:right w:val="none" w:sz="0" w:space="0" w:color="auto"/>
          </w:divBdr>
        </w:div>
        <w:div w:id="1792868533">
          <w:marLeft w:val="0"/>
          <w:marRight w:val="0"/>
          <w:marTop w:val="0"/>
          <w:marBottom w:val="0"/>
          <w:divBdr>
            <w:top w:val="none" w:sz="0" w:space="0" w:color="auto"/>
            <w:left w:val="none" w:sz="0" w:space="0" w:color="auto"/>
            <w:bottom w:val="none" w:sz="0" w:space="0" w:color="auto"/>
            <w:right w:val="none" w:sz="0" w:space="0" w:color="auto"/>
          </w:divBdr>
        </w:div>
        <w:div w:id="1792868534">
          <w:marLeft w:val="0"/>
          <w:marRight w:val="0"/>
          <w:marTop w:val="0"/>
          <w:marBottom w:val="0"/>
          <w:divBdr>
            <w:top w:val="none" w:sz="0" w:space="0" w:color="auto"/>
            <w:left w:val="none" w:sz="0" w:space="0" w:color="auto"/>
            <w:bottom w:val="none" w:sz="0" w:space="0" w:color="auto"/>
            <w:right w:val="none" w:sz="0" w:space="0" w:color="auto"/>
          </w:divBdr>
        </w:div>
        <w:div w:id="1792868535">
          <w:marLeft w:val="0"/>
          <w:marRight w:val="0"/>
          <w:marTop w:val="0"/>
          <w:marBottom w:val="0"/>
          <w:divBdr>
            <w:top w:val="none" w:sz="0" w:space="0" w:color="auto"/>
            <w:left w:val="none" w:sz="0" w:space="0" w:color="auto"/>
            <w:bottom w:val="none" w:sz="0" w:space="0" w:color="auto"/>
            <w:right w:val="none" w:sz="0" w:space="0" w:color="auto"/>
          </w:divBdr>
        </w:div>
        <w:div w:id="1792868536">
          <w:marLeft w:val="0"/>
          <w:marRight w:val="0"/>
          <w:marTop w:val="0"/>
          <w:marBottom w:val="0"/>
          <w:divBdr>
            <w:top w:val="none" w:sz="0" w:space="0" w:color="auto"/>
            <w:left w:val="none" w:sz="0" w:space="0" w:color="auto"/>
            <w:bottom w:val="none" w:sz="0" w:space="0" w:color="auto"/>
            <w:right w:val="none" w:sz="0" w:space="0" w:color="auto"/>
          </w:divBdr>
        </w:div>
        <w:div w:id="1792868537">
          <w:marLeft w:val="0"/>
          <w:marRight w:val="0"/>
          <w:marTop w:val="0"/>
          <w:marBottom w:val="0"/>
          <w:divBdr>
            <w:top w:val="none" w:sz="0" w:space="0" w:color="auto"/>
            <w:left w:val="none" w:sz="0" w:space="0" w:color="auto"/>
            <w:bottom w:val="none" w:sz="0" w:space="0" w:color="auto"/>
            <w:right w:val="none" w:sz="0" w:space="0" w:color="auto"/>
          </w:divBdr>
        </w:div>
        <w:div w:id="1792868538">
          <w:marLeft w:val="0"/>
          <w:marRight w:val="0"/>
          <w:marTop w:val="0"/>
          <w:marBottom w:val="0"/>
          <w:divBdr>
            <w:top w:val="none" w:sz="0" w:space="0" w:color="auto"/>
            <w:left w:val="none" w:sz="0" w:space="0" w:color="auto"/>
            <w:bottom w:val="none" w:sz="0" w:space="0" w:color="auto"/>
            <w:right w:val="none" w:sz="0" w:space="0" w:color="auto"/>
          </w:divBdr>
        </w:div>
        <w:div w:id="1792868539">
          <w:marLeft w:val="0"/>
          <w:marRight w:val="0"/>
          <w:marTop w:val="0"/>
          <w:marBottom w:val="0"/>
          <w:divBdr>
            <w:top w:val="none" w:sz="0" w:space="0" w:color="auto"/>
            <w:left w:val="none" w:sz="0" w:space="0" w:color="auto"/>
            <w:bottom w:val="none" w:sz="0" w:space="0" w:color="auto"/>
            <w:right w:val="none" w:sz="0" w:space="0" w:color="auto"/>
          </w:divBdr>
        </w:div>
        <w:div w:id="1792868540">
          <w:marLeft w:val="0"/>
          <w:marRight w:val="0"/>
          <w:marTop w:val="0"/>
          <w:marBottom w:val="0"/>
          <w:divBdr>
            <w:top w:val="none" w:sz="0" w:space="0" w:color="auto"/>
            <w:left w:val="none" w:sz="0" w:space="0" w:color="auto"/>
            <w:bottom w:val="none" w:sz="0" w:space="0" w:color="auto"/>
            <w:right w:val="none" w:sz="0" w:space="0" w:color="auto"/>
          </w:divBdr>
        </w:div>
        <w:div w:id="1792868544">
          <w:marLeft w:val="0"/>
          <w:marRight w:val="0"/>
          <w:marTop w:val="0"/>
          <w:marBottom w:val="0"/>
          <w:divBdr>
            <w:top w:val="none" w:sz="0" w:space="0" w:color="auto"/>
            <w:left w:val="none" w:sz="0" w:space="0" w:color="auto"/>
            <w:bottom w:val="none" w:sz="0" w:space="0" w:color="auto"/>
            <w:right w:val="none" w:sz="0" w:space="0" w:color="auto"/>
          </w:divBdr>
        </w:div>
        <w:div w:id="1792868547">
          <w:marLeft w:val="0"/>
          <w:marRight w:val="0"/>
          <w:marTop w:val="0"/>
          <w:marBottom w:val="0"/>
          <w:divBdr>
            <w:top w:val="none" w:sz="0" w:space="0" w:color="auto"/>
            <w:left w:val="none" w:sz="0" w:space="0" w:color="auto"/>
            <w:bottom w:val="none" w:sz="0" w:space="0" w:color="auto"/>
            <w:right w:val="none" w:sz="0" w:space="0" w:color="auto"/>
          </w:divBdr>
        </w:div>
        <w:div w:id="1792868548">
          <w:marLeft w:val="0"/>
          <w:marRight w:val="0"/>
          <w:marTop w:val="0"/>
          <w:marBottom w:val="0"/>
          <w:divBdr>
            <w:top w:val="none" w:sz="0" w:space="0" w:color="auto"/>
            <w:left w:val="none" w:sz="0" w:space="0" w:color="auto"/>
            <w:bottom w:val="none" w:sz="0" w:space="0" w:color="auto"/>
            <w:right w:val="none" w:sz="0" w:space="0" w:color="auto"/>
          </w:divBdr>
        </w:div>
      </w:divsChild>
    </w:div>
    <w:div w:id="1792868465">
      <w:marLeft w:val="0"/>
      <w:marRight w:val="0"/>
      <w:marTop w:val="0"/>
      <w:marBottom w:val="0"/>
      <w:divBdr>
        <w:top w:val="none" w:sz="0" w:space="0" w:color="auto"/>
        <w:left w:val="none" w:sz="0" w:space="0" w:color="auto"/>
        <w:bottom w:val="none" w:sz="0" w:space="0" w:color="auto"/>
        <w:right w:val="none" w:sz="0" w:space="0" w:color="auto"/>
      </w:divBdr>
    </w:div>
    <w:div w:id="1792868479">
      <w:marLeft w:val="0"/>
      <w:marRight w:val="0"/>
      <w:marTop w:val="0"/>
      <w:marBottom w:val="0"/>
      <w:divBdr>
        <w:top w:val="none" w:sz="0" w:space="0" w:color="auto"/>
        <w:left w:val="none" w:sz="0" w:space="0" w:color="auto"/>
        <w:bottom w:val="none" w:sz="0" w:space="0" w:color="auto"/>
        <w:right w:val="none" w:sz="0" w:space="0" w:color="auto"/>
      </w:divBdr>
    </w:div>
    <w:div w:id="1792868482">
      <w:marLeft w:val="0"/>
      <w:marRight w:val="0"/>
      <w:marTop w:val="0"/>
      <w:marBottom w:val="0"/>
      <w:divBdr>
        <w:top w:val="none" w:sz="0" w:space="0" w:color="auto"/>
        <w:left w:val="none" w:sz="0" w:space="0" w:color="auto"/>
        <w:bottom w:val="none" w:sz="0" w:space="0" w:color="auto"/>
        <w:right w:val="none" w:sz="0" w:space="0" w:color="auto"/>
      </w:divBdr>
    </w:div>
    <w:div w:id="1792868486">
      <w:marLeft w:val="0"/>
      <w:marRight w:val="0"/>
      <w:marTop w:val="0"/>
      <w:marBottom w:val="0"/>
      <w:divBdr>
        <w:top w:val="none" w:sz="0" w:space="0" w:color="auto"/>
        <w:left w:val="none" w:sz="0" w:space="0" w:color="auto"/>
        <w:bottom w:val="none" w:sz="0" w:space="0" w:color="auto"/>
        <w:right w:val="none" w:sz="0" w:space="0" w:color="auto"/>
      </w:divBdr>
      <w:divsChild>
        <w:div w:id="1792868442">
          <w:marLeft w:val="0"/>
          <w:marRight w:val="0"/>
          <w:marTop w:val="0"/>
          <w:marBottom w:val="0"/>
          <w:divBdr>
            <w:top w:val="none" w:sz="0" w:space="0" w:color="auto"/>
            <w:left w:val="none" w:sz="0" w:space="0" w:color="auto"/>
            <w:bottom w:val="none" w:sz="0" w:space="0" w:color="auto"/>
            <w:right w:val="none" w:sz="0" w:space="0" w:color="auto"/>
          </w:divBdr>
        </w:div>
        <w:div w:id="1792868449">
          <w:marLeft w:val="0"/>
          <w:marRight w:val="0"/>
          <w:marTop w:val="0"/>
          <w:marBottom w:val="0"/>
          <w:divBdr>
            <w:top w:val="none" w:sz="0" w:space="0" w:color="auto"/>
            <w:left w:val="none" w:sz="0" w:space="0" w:color="auto"/>
            <w:bottom w:val="none" w:sz="0" w:space="0" w:color="auto"/>
            <w:right w:val="none" w:sz="0" w:space="0" w:color="auto"/>
          </w:divBdr>
        </w:div>
        <w:div w:id="1792868451">
          <w:marLeft w:val="0"/>
          <w:marRight w:val="0"/>
          <w:marTop w:val="0"/>
          <w:marBottom w:val="0"/>
          <w:divBdr>
            <w:top w:val="none" w:sz="0" w:space="0" w:color="auto"/>
            <w:left w:val="none" w:sz="0" w:space="0" w:color="auto"/>
            <w:bottom w:val="none" w:sz="0" w:space="0" w:color="auto"/>
            <w:right w:val="none" w:sz="0" w:space="0" w:color="auto"/>
          </w:divBdr>
        </w:div>
        <w:div w:id="1792868454">
          <w:marLeft w:val="0"/>
          <w:marRight w:val="0"/>
          <w:marTop w:val="0"/>
          <w:marBottom w:val="0"/>
          <w:divBdr>
            <w:top w:val="none" w:sz="0" w:space="0" w:color="auto"/>
            <w:left w:val="none" w:sz="0" w:space="0" w:color="auto"/>
            <w:bottom w:val="none" w:sz="0" w:space="0" w:color="auto"/>
            <w:right w:val="none" w:sz="0" w:space="0" w:color="auto"/>
          </w:divBdr>
        </w:div>
        <w:div w:id="1792868506">
          <w:marLeft w:val="0"/>
          <w:marRight w:val="0"/>
          <w:marTop w:val="0"/>
          <w:marBottom w:val="0"/>
          <w:divBdr>
            <w:top w:val="none" w:sz="0" w:space="0" w:color="auto"/>
            <w:left w:val="none" w:sz="0" w:space="0" w:color="auto"/>
            <w:bottom w:val="none" w:sz="0" w:space="0" w:color="auto"/>
            <w:right w:val="none" w:sz="0" w:space="0" w:color="auto"/>
          </w:divBdr>
        </w:div>
        <w:div w:id="1792868510">
          <w:marLeft w:val="0"/>
          <w:marRight w:val="0"/>
          <w:marTop w:val="0"/>
          <w:marBottom w:val="0"/>
          <w:divBdr>
            <w:top w:val="none" w:sz="0" w:space="0" w:color="auto"/>
            <w:left w:val="none" w:sz="0" w:space="0" w:color="auto"/>
            <w:bottom w:val="none" w:sz="0" w:space="0" w:color="auto"/>
            <w:right w:val="none" w:sz="0" w:space="0" w:color="auto"/>
          </w:divBdr>
        </w:div>
        <w:div w:id="1792868521">
          <w:marLeft w:val="0"/>
          <w:marRight w:val="0"/>
          <w:marTop w:val="0"/>
          <w:marBottom w:val="0"/>
          <w:divBdr>
            <w:top w:val="none" w:sz="0" w:space="0" w:color="auto"/>
            <w:left w:val="none" w:sz="0" w:space="0" w:color="auto"/>
            <w:bottom w:val="none" w:sz="0" w:space="0" w:color="auto"/>
            <w:right w:val="none" w:sz="0" w:space="0" w:color="auto"/>
          </w:divBdr>
        </w:div>
        <w:div w:id="1792868524">
          <w:marLeft w:val="0"/>
          <w:marRight w:val="0"/>
          <w:marTop w:val="0"/>
          <w:marBottom w:val="0"/>
          <w:divBdr>
            <w:top w:val="none" w:sz="0" w:space="0" w:color="auto"/>
            <w:left w:val="none" w:sz="0" w:space="0" w:color="auto"/>
            <w:bottom w:val="none" w:sz="0" w:space="0" w:color="auto"/>
            <w:right w:val="none" w:sz="0" w:space="0" w:color="auto"/>
          </w:divBdr>
        </w:div>
        <w:div w:id="1792868528">
          <w:marLeft w:val="0"/>
          <w:marRight w:val="0"/>
          <w:marTop w:val="0"/>
          <w:marBottom w:val="0"/>
          <w:divBdr>
            <w:top w:val="none" w:sz="0" w:space="0" w:color="auto"/>
            <w:left w:val="none" w:sz="0" w:space="0" w:color="auto"/>
            <w:bottom w:val="none" w:sz="0" w:space="0" w:color="auto"/>
            <w:right w:val="none" w:sz="0" w:space="0" w:color="auto"/>
          </w:divBdr>
        </w:div>
        <w:div w:id="1792868545">
          <w:marLeft w:val="0"/>
          <w:marRight w:val="0"/>
          <w:marTop w:val="0"/>
          <w:marBottom w:val="0"/>
          <w:divBdr>
            <w:top w:val="none" w:sz="0" w:space="0" w:color="auto"/>
            <w:left w:val="none" w:sz="0" w:space="0" w:color="auto"/>
            <w:bottom w:val="none" w:sz="0" w:space="0" w:color="auto"/>
            <w:right w:val="none" w:sz="0" w:space="0" w:color="auto"/>
          </w:divBdr>
        </w:div>
      </w:divsChild>
    </w:div>
    <w:div w:id="1792868497">
      <w:marLeft w:val="0"/>
      <w:marRight w:val="0"/>
      <w:marTop w:val="0"/>
      <w:marBottom w:val="0"/>
      <w:divBdr>
        <w:top w:val="none" w:sz="0" w:space="0" w:color="auto"/>
        <w:left w:val="none" w:sz="0" w:space="0" w:color="auto"/>
        <w:bottom w:val="none" w:sz="0" w:space="0" w:color="auto"/>
        <w:right w:val="none" w:sz="0" w:space="0" w:color="auto"/>
      </w:divBdr>
    </w:div>
    <w:div w:id="1792868502">
      <w:marLeft w:val="0"/>
      <w:marRight w:val="0"/>
      <w:marTop w:val="0"/>
      <w:marBottom w:val="0"/>
      <w:divBdr>
        <w:top w:val="none" w:sz="0" w:space="0" w:color="auto"/>
        <w:left w:val="none" w:sz="0" w:space="0" w:color="auto"/>
        <w:bottom w:val="none" w:sz="0" w:space="0" w:color="auto"/>
        <w:right w:val="none" w:sz="0" w:space="0" w:color="auto"/>
      </w:divBdr>
      <w:divsChild>
        <w:div w:id="1792868445">
          <w:marLeft w:val="0"/>
          <w:marRight w:val="0"/>
          <w:marTop w:val="0"/>
          <w:marBottom w:val="0"/>
          <w:divBdr>
            <w:top w:val="none" w:sz="0" w:space="0" w:color="auto"/>
            <w:left w:val="none" w:sz="0" w:space="0" w:color="auto"/>
            <w:bottom w:val="none" w:sz="0" w:space="0" w:color="auto"/>
            <w:right w:val="none" w:sz="0" w:space="0" w:color="auto"/>
          </w:divBdr>
        </w:div>
        <w:div w:id="1792868446">
          <w:marLeft w:val="0"/>
          <w:marRight w:val="0"/>
          <w:marTop w:val="0"/>
          <w:marBottom w:val="0"/>
          <w:divBdr>
            <w:top w:val="none" w:sz="0" w:space="0" w:color="auto"/>
            <w:left w:val="none" w:sz="0" w:space="0" w:color="auto"/>
            <w:bottom w:val="none" w:sz="0" w:space="0" w:color="auto"/>
            <w:right w:val="none" w:sz="0" w:space="0" w:color="auto"/>
          </w:divBdr>
        </w:div>
        <w:div w:id="1792868447">
          <w:marLeft w:val="0"/>
          <w:marRight w:val="0"/>
          <w:marTop w:val="0"/>
          <w:marBottom w:val="0"/>
          <w:divBdr>
            <w:top w:val="none" w:sz="0" w:space="0" w:color="auto"/>
            <w:left w:val="none" w:sz="0" w:space="0" w:color="auto"/>
            <w:bottom w:val="none" w:sz="0" w:space="0" w:color="auto"/>
            <w:right w:val="none" w:sz="0" w:space="0" w:color="auto"/>
          </w:divBdr>
        </w:div>
        <w:div w:id="1792868448">
          <w:marLeft w:val="0"/>
          <w:marRight w:val="0"/>
          <w:marTop w:val="0"/>
          <w:marBottom w:val="0"/>
          <w:divBdr>
            <w:top w:val="none" w:sz="0" w:space="0" w:color="auto"/>
            <w:left w:val="none" w:sz="0" w:space="0" w:color="auto"/>
            <w:bottom w:val="none" w:sz="0" w:space="0" w:color="auto"/>
            <w:right w:val="none" w:sz="0" w:space="0" w:color="auto"/>
          </w:divBdr>
        </w:div>
        <w:div w:id="1792868450">
          <w:marLeft w:val="0"/>
          <w:marRight w:val="0"/>
          <w:marTop w:val="0"/>
          <w:marBottom w:val="0"/>
          <w:divBdr>
            <w:top w:val="none" w:sz="0" w:space="0" w:color="auto"/>
            <w:left w:val="none" w:sz="0" w:space="0" w:color="auto"/>
            <w:bottom w:val="none" w:sz="0" w:space="0" w:color="auto"/>
            <w:right w:val="none" w:sz="0" w:space="0" w:color="auto"/>
          </w:divBdr>
        </w:div>
        <w:div w:id="1792868452">
          <w:marLeft w:val="0"/>
          <w:marRight w:val="0"/>
          <w:marTop w:val="0"/>
          <w:marBottom w:val="0"/>
          <w:divBdr>
            <w:top w:val="none" w:sz="0" w:space="0" w:color="auto"/>
            <w:left w:val="none" w:sz="0" w:space="0" w:color="auto"/>
            <w:bottom w:val="none" w:sz="0" w:space="0" w:color="auto"/>
            <w:right w:val="none" w:sz="0" w:space="0" w:color="auto"/>
          </w:divBdr>
        </w:div>
        <w:div w:id="1792868453">
          <w:marLeft w:val="0"/>
          <w:marRight w:val="0"/>
          <w:marTop w:val="0"/>
          <w:marBottom w:val="0"/>
          <w:divBdr>
            <w:top w:val="none" w:sz="0" w:space="0" w:color="auto"/>
            <w:left w:val="none" w:sz="0" w:space="0" w:color="auto"/>
            <w:bottom w:val="none" w:sz="0" w:space="0" w:color="auto"/>
            <w:right w:val="none" w:sz="0" w:space="0" w:color="auto"/>
          </w:divBdr>
        </w:div>
        <w:div w:id="1792868457">
          <w:marLeft w:val="0"/>
          <w:marRight w:val="0"/>
          <w:marTop w:val="0"/>
          <w:marBottom w:val="0"/>
          <w:divBdr>
            <w:top w:val="none" w:sz="0" w:space="0" w:color="auto"/>
            <w:left w:val="none" w:sz="0" w:space="0" w:color="auto"/>
            <w:bottom w:val="none" w:sz="0" w:space="0" w:color="auto"/>
            <w:right w:val="none" w:sz="0" w:space="0" w:color="auto"/>
          </w:divBdr>
        </w:div>
        <w:div w:id="1792868460">
          <w:marLeft w:val="0"/>
          <w:marRight w:val="0"/>
          <w:marTop w:val="0"/>
          <w:marBottom w:val="0"/>
          <w:divBdr>
            <w:top w:val="none" w:sz="0" w:space="0" w:color="auto"/>
            <w:left w:val="none" w:sz="0" w:space="0" w:color="auto"/>
            <w:bottom w:val="none" w:sz="0" w:space="0" w:color="auto"/>
            <w:right w:val="none" w:sz="0" w:space="0" w:color="auto"/>
          </w:divBdr>
        </w:div>
        <w:div w:id="1792868468">
          <w:marLeft w:val="0"/>
          <w:marRight w:val="0"/>
          <w:marTop w:val="0"/>
          <w:marBottom w:val="0"/>
          <w:divBdr>
            <w:top w:val="none" w:sz="0" w:space="0" w:color="auto"/>
            <w:left w:val="none" w:sz="0" w:space="0" w:color="auto"/>
            <w:bottom w:val="none" w:sz="0" w:space="0" w:color="auto"/>
            <w:right w:val="none" w:sz="0" w:space="0" w:color="auto"/>
          </w:divBdr>
        </w:div>
        <w:div w:id="1792868471">
          <w:marLeft w:val="0"/>
          <w:marRight w:val="0"/>
          <w:marTop w:val="0"/>
          <w:marBottom w:val="0"/>
          <w:divBdr>
            <w:top w:val="none" w:sz="0" w:space="0" w:color="auto"/>
            <w:left w:val="none" w:sz="0" w:space="0" w:color="auto"/>
            <w:bottom w:val="none" w:sz="0" w:space="0" w:color="auto"/>
            <w:right w:val="none" w:sz="0" w:space="0" w:color="auto"/>
          </w:divBdr>
        </w:div>
        <w:div w:id="1792868473">
          <w:marLeft w:val="0"/>
          <w:marRight w:val="0"/>
          <w:marTop w:val="0"/>
          <w:marBottom w:val="0"/>
          <w:divBdr>
            <w:top w:val="none" w:sz="0" w:space="0" w:color="auto"/>
            <w:left w:val="none" w:sz="0" w:space="0" w:color="auto"/>
            <w:bottom w:val="none" w:sz="0" w:space="0" w:color="auto"/>
            <w:right w:val="none" w:sz="0" w:space="0" w:color="auto"/>
          </w:divBdr>
        </w:div>
        <w:div w:id="1792868475">
          <w:marLeft w:val="0"/>
          <w:marRight w:val="0"/>
          <w:marTop w:val="0"/>
          <w:marBottom w:val="0"/>
          <w:divBdr>
            <w:top w:val="none" w:sz="0" w:space="0" w:color="auto"/>
            <w:left w:val="none" w:sz="0" w:space="0" w:color="auto"/>
            <w:bottom w:val="none" w:sz="0" w:space="0" w:color="auto"/>
            <w:right w:val="none" w:sz="0" w:space="0" w:color="auto"/>
          </w:divBdr>
        </w:div>
        <w:div w:id="1792868476">
          <w:marLeft w:val="0"/>
          <w:marRight w:val="0"/>
          <w:marTop w:val="0"/>
          <w:marBottom w:val="0"/>
          <w:divBdr>
            <w:top w:val="none" w:sz="0" w:space="0" w:color="auto"/>
            <w:left w:val="none" w:sz="0" w:space="0" w:color="auto"/>
            <w:bottom w:val="none" w:sz="0" w:space="0" w:color="auto"/>
            <w:right w:val="none" w:sz="0" w:space="0" w:color="auto"/>
          </w:divBdr>
        </w:div>
        <w:div w:id="1792868478">
          <w:marLeft w:val="0"/>
          <w:marRight w:val="0"/>
          <w:marTop w:val="0"/>
          <w:marBottom w:val="0"/>
          <w:divBdr>
            <w:top w:val="none" w:sz="0" w:space="0" w:color="auto"/>
            <w:left w:val="none" w:sz="0" w:space="0" w:color="auto"/>
            <w:bottom w:val="none" w:sz="0" w:space="0" w:color="auto"/>
            <w:right w:val="none" w:sz="0" w:space="0" w:color="auto"/>
          </w:divBdr>
        </w:div>
        <w:div w:id="1792868483">
          <w:marLeft w:val="0"/>
          <w:marRight w:val="0"/>
          <w:marTop w:val="0"/>
          <w:marBottom w:val="0"/>
          <w:divBdr>
            <w:top w:val="none" w:sz="0" w:space="0" w:color="auto"/>
            <w:left w:val="none" w:sz="0" w:space="0" w:color="auto"/>
            <w:bottom w:val="none" w:sz="0" w:space="0" w:color="auto"/>
            <w:right w:val="none" w:sz="0" w:space="0" w:color="auto"/>
          </w:divBdr>
        </w:div>
        <w:div w:id="1792868484">
          <w:marLeft w:val="0"/>
          <w:marRight w:val="0"/>
          <w:marTop w:val="0"/>
          <w:marBottom w:val="0"/>
          <w:divBdr>
            <w:top w:val="none" w:sz="0" w:space="0" w:color="auto"/>
            <w:left w:val="none" w:sz="0" w:space="0" w:color="auto"/>
            <w:bottom w:val="none" w:sz="0" w:space="0" w:color="auto"/>
            <w:right w:val="none" w:sz="0" w:space="0" w:color="auto"/>
          </w:divBdr>
        </w:div>
        <w:div w:id="1792868489">
          <w:marLeft w:val="0"/>
          <w:marRight w:val="0"/>
          <w:marTop w:val="0"/>
          <w:marBottom w:val="0"/>
          <w:divBdr>
            <w:top w:val="none" w:sz="0" w:space="0" w:color="auto"/>
            <w:left w:val="none" w:sz="0" w:space="0" w:color="auto"/>
            <w:bottom w:val="none" w:sz="0" w:space="0" w:color="auto"/>
            <w:right w:val="none" w:sz="0" w:space="0" w:color="auto"/>
          </w:divBdr>
        </w:div>
        <w:div w:id="1792868490">
          <w:marLeft w:val="0"/>
          <w:marRight w:val="0"/>
          <w:marTop w:val="0"/>
          <w:marBottom w:val="0"/>
          <w:divBdr>
            <w:top w:val="none" w:sz="0" w:space="0" w:color="auto"/>
            <w:left w:val="none" w:sz="0" w:space="0" w:color="auto"/>
            <w:bottom w:val="none" w:sz="0" w:space="0" w:color="auto"/>
            <w:right w:val="none" w:sz="0" w:space="0" w:color="auto"/>
          </w:divBdr>
        </w:div>
        <w:div w:id="1792868491">
          <w:marLeft w:val="0"/>
          <w:marRight w:val="0"/>
          <w:marTop w:val="0"/>
          <w:marBottom w:val="0"/>
          <w:divBdr>
            <w:top w:val="none" w:sz="0" w:space="0" w:color="auto"/>
            <w:left w:val="none" w:sz="0" w:space="0" w:color="auto"/>
            <w:bottom w:val="none" w:sz="0" w:space="0" w:color="auto"/>
            <w:right w:val="none" w:sz="0" w:space="0" w:color="auto"/>
          </w:divBdr>
        </w:div>
        <w:div w:id="1792868492">
          <w:marLeft w:val="0"/>
          <w:marRight w:val="0"/>
          <w:marTop w:val="0"/>
          <w:marBottom w:val="0"/>
          <w:divBdr>
            <w:top w:val="none" w:sz="0" w:space="0" w:color="auto"/>
            <w:left w:val="none" w:sz="0" w:space="0" w:color="auto"/>
            <w:bottom w:val="none" w:sz="0" w:space="0" w:color="auto"/>
            <w:right w:val="none" w:sz="0" w:space="0" w:color="auto"/>
          </w:divBdr>
        </w:div>
        <w:div w:id="1792868493">
          <w:marLeft w:val="0"/>
          <w:marRight w:val="0"/>
          <w:marTop w:val="0"/>
          <w:marBottom w:val="0"/>
          <w:divBdr>
            <w:top w:val="none" w:sz="0" w:space="0" w:color="auto"/>
            <w:left w:val="none" w:sz="0" w:space="0" w:color="auto"/>
            <w:bottom w:val="none" w:sz="0" w:space="0" w:color="auto"/>
            <w:right w:val="none" w:sz="0" w:space="0" w:color="auto"/>
          </w:divBdr>
        </w:div>
        <w:div w:id="1792868495">
          <w:marLeft w:val="0"/>
          <w:marRight w:val="0"/>
          <w:marTop w:val="0"/>
          <w:marBottom w:val="0"/>
          <w:divBdr>
            <w:top w:val="none" w:sz="0" w:space="0" w:color="auto"/>
            <w:left w:val="none" w:sz="0" w:space="0" w:color="auto"/>
            <w:bottom w:val="none" w:sz="0" w:space="0" w:color="auto"/>
            <w:right w:val="none" w:sz="0" w:space="0" w:color="auto"/>
          </w:divBdr>
        </w:div>
        <w:div w:id="1792868496">
          <w:marLeft w:val="0"/>
          <w:marRight w:val="0"/>
          <w:marTop w:val="0"/>
          <w:marBottom w:val="0"/>
          <w:divBdr>
            <w:top w:val="none" w:sz="0" w:space="0" w:color="auto"/>
            <w:left w:val="none" w:sz="0" w:space="0" w:color="auto"/>
            <w:bottom w:val="none" w:sz="0" w:space="0" w:color="auto"/>
            <w:right w:val="none" w:sz="0" w:space="0" w:color="auto"/>
          </w:divBdr>
        </w:div>
        <w:div w:id="1792868499">
          <w:marLeft w:val="0"/>
          <w:marRight w:val="0"/>
          <w:marTop w:val="0"/>
          <w:marBottom w:val="0"/>
          <w:divBdr>
            <w:top w:val="none" w:sz="0" w:space="0" w:color="auto"/>
            <w:left w:val="none" w:sz="0" w:space="0" w:color="auto"/>
            <w:bottom w:val="none" w:sz="0" w:space="0" w:color="auto"/>
            <w:right w:val="none" w:sz="0" w:space="0" w:color="auto"/>
          </w:divBdr>
        </w:div>
        <w:div w:id="1792868501">
          <w:marLeft w:val="0"/>
          <w:marRight w:val="0"/>
          <w:marTop w:val="0"/>
          <w:marBottom w:val="0"/>
          <w:divBdr>
            <w:top w:val="none" w:sz="0" w:space="0" w:color="auto"/>
            <w:left w:val="none" w:sz="0" w:space="0" w:color="auto"/>
            <w:bottom w:val="none" w:sz="0" w:space="0" w:color="auto"/>
            <w:right w:val="none" w:sz="0" w:space="0" w:color="auto"/>
          </w:divBdr>
        </w:div>
        <w:div w:id="1792868503">
          <w:marLeft w:val="0"/>
          <w:marRight w:val="0"/>
          <w:marTop w:val="0"/>
          <w:marBottom w:val="0"/>
          <w:divBdr>
            <w:top w:val="none" w:sz="0" w:space="0" w:color="auto"/>
            <w:left w:val="none" w:sz="0" w:space="0" w:color="auto"/>
            <w:bottom w:val="none" w:sz="0" w:space="0" w:color="auto"/>
            <w:right w:val="none" w:sz="0" w:space="0" w:color="auto"/>
          </w:divBdr>
        </w:div>
        <w:div w:id="1792868504">
          <w:marLeft w:val="0"/>
          <w:marRight w:val="0"/>
          <w:marTop w:val="0"/>
          <w:marBottom w:val="0"/>
          <w:divBdr>
            <w:top w:val="none" w:sz="0" w:space="0" w:color="auto"/>
            <w:left w:val="none" w:sz="0" w:space="0" w:color="auto"/>
            <w:bottom w:val="none" w:sz="0" w:space="0" w:color="auto"/>
            <w:right w:val="none" w:sz="0" w:space="0" w:color="auto"/>
          </w:divBdr>
        </w:div>
        <w:div w:id="1792868505">
          <w:marLeft w:val="0"/>
          <w:marRight w:val="0"/>
          <w:marTop w:val="0"/>
          <w:marBottom w:val="0"/>
          <w:divBdr>
            <w:top w:val="none" w:sz="0" w:space="0" w:color="auto"/>
            <w:left w:val="none" w:sz="0" w:space="0" w:color="auto"/>
            <w:bottom w:val="none" w:sz="0" w:space="0" w:color="auto"/>
            <w:right w:val="none" w:sz="0" w:space="0" w:color="auto"/>
          </w:divBdr>
        </w:div>
        <w:div w:id="1792868507">
          <w:marLeft w:val="0"/>
          <w:marRight w:val="0"/>
          <w:marTop w:val="0"/>
          <w:marBottom w:val="0"/>
          <w:divBdr>
            <w:top w:val="none" w:sz="0" w:space="0" w:color="auto"/>
            <w:left w:val="none" w:sz="0" w:space="0" w:color="auto"/>
            <w:bottom w:val="none" w:sz="0" w:space="0" w:color="auto"/>
            <w:right w:val="none" w:sz="0" w:space="0" w:color="auto"/>
          </w:divBdr>
        </w:div>
        <w:div w:id="1792868509">
          <w:marLeft w:val="0"/>
          <w:marRight w:val="0"/>
          <w:marTop w:val="0"/>
          <w:marBottom w:val="0"/>
          <w:divBdr>
            <w:top w:val="none" w:sz="0" w:space="0" w:color="auto"/>
            <w:left w:val="none" w:sz="0" w:space="0" w:color="auto"/>
            <w:bottom w:val="none" w:sz="0" w:space="0" w:color="auto"/>
            <w:right w:val="none" w:sz="0" w:space="0" w:color="auto"/>
          </w:divBdr>
        </w:div>
        <w:div w:id="1792868512">
          <w:marLeft w:val="0"/>
          <w:marRight w:val="0"/>
          <w:marTop w:val="0"/>
          <w:marBottom w:val="0"/>
          <w:divBdr>
            <w:top w:val="none" w:sz="0" w:space="0" w:color="auto"/>
            <w:left w:val="none" w:sz="0" w:space="0" w:color="auto"/>
            <w:bottom w:val="none" w:sz="0" w:space="0" w:color="auto"/>
            <w:right w:val="none" w:sz="0" w:space="0" w:color="auto"/>
          </w:divBdr>
        </w:div>
        <w:div w:id="1792868513">
          <w:marLeft w:val="0"/>
          <w:marRight w:val="0"/>
          <w:marTop w:val="0"/>
          <w:marBottom w:val="0"/>
          <w:divBdr>
            <w:top w:val="none" w:sz="0" w:space="0" w:color="auto"/>
            <w:left w:val="none" w:sz="0" w:space="0" w:color="auto"/>
            <w:bottom w:val="none" w:sz="0" w:space="0" w:color="auto"/>
            <w:right w:val="none" w:sz="0" w:space="0" w:color="auto"/>
          </w:divBdr>
        </w:div>
        <w:div w:id="1792868519">
          <w:marLeft w:val="0"/>
          <w:marRight w:val="0"/>
          <w:marTop w:val="0"/>
          <w:marBottom w:val="0"/>
          <w:divBdr>
            <w:top w:val="none" w:sz="0" w:space="0" w:color="auto"/>
            <w:left w:val="none" w:sz="0" w:space="0" w:color="auto"/>
            <w:bottom w:val="none" w:sz="0" w:space="0" w:color="auto"/>
            <w:right w:val="none" w:sz="0" w:space="0" w:color="auto"/>
          </w:divBdr>
        </w:div>
        <w:div w:id="1792868520">
          <w:marLeft w:val="0"/>
          <w:marRight w:val="0"/>
          <w:marTop w:val="0"/>
          <w:marBottom w:val="0"/>
          <w:divBdr>
            <w:top w:val="none" w:sz="0" w:space="0" w:color="auto"/>
            <w:left w:val="none" w:sz="0" w:space="0" w:color="auto"/>
            <w:bottom w:val="none" w:sz="0" w:space="0" w:color="auto"/>
            <w:right w:val="none" w:sz="0" w:space="0" w:color="auto"/>
          </w:divBdr>
        </w:div>
        <w:div w:id="1792868523">
          <w:marLeft w:val="0"/>
          <w:marRight w:val="0"/>
          <w:marTop w:val="0"/>
          <w:marBottom w:val="0"/>
          <w:divBdr>
            <w:top w:val="none" w:sz="0" w:space="0" w:color="auto"/>
            <w:left w:val="none" w:sz="0" w:space="0" w:color="auto"/>
            <w:bottom w:val="none" w:sz="0" w:space="0" w:color="auto"/>
            <w:right w:val="none" w:sz="0" w:space="0" w:color="auto"/>
          </w:divBdr>
        </w:div>
        <w:div w:id="1792868525">
          <w:marLeft w:val="0"/>
          <w:marRight w:val="0"/>
          <w:marTop w:val="0"/>
          <w:marBottom w:val="0"/>
          <w:divBdr>
            <w:top w:val="none" w:sz="0" w:space="0" w:color="auto"/>
            <w:left w:val="none" w:sz="0" w:space="0" w:color="auto"/>
            <w:bottom w:val="none" w:sz="0" w:space="0" w:color="auto"/>
            <w:right w:val="none" w:sz="0" w:space="0" w:color="auto"/>
          </w:divBdr>
        </w:div>
        <w:div w:id="1792868526">
          <w:marLeft w:val="0"/>
          <w:marRight w:val="0"/>
          <w:marTop w:val="0"/>
          <w:marBottom w:val="0"/>
          <w:divBdr>
            <w:top w:val="none" w:sz="0" w:space="0" w:color="auto"/>
            <w:left w:val="none" w:sz="0" w:space="0" w:color="auto"/>
            <w:bottom w:val="none" w:sz="0" w:space="0" w:color="auto"/>
            <w:right w:val="none" w:sz="0" w:space="0" w:color="auto"/>
          </w:divBdr>
        </w:div>
        <w:div w:id="1792868529">
          <w:marLeft w:val="0"/>
          <w:marRight w:val="0"/>
          <w:marTop w:val="0"/>
          <w:marBottom w:val="0"/>
          <w:divBdr>
            <w:top w:val="none" w:sz="0" w:space="0" w:color="auto"/>
            <w:left w:val="none" w:sz="0" w:space="0" w:color="auto"/>
            <w:bottom w:val="none" w:sz="0" w:space="0" w:color="auto"/>
            <w:right w:val="none" w:sz="0" w:space="0" w:color="auto"/>
          </w:divBdr>
        </w:div>
        <w:div w:id="1792868530">
          <w:marLeft w:val="0"/>
          <w:marRight w:val="0"/>
          <w:marTop w:val="0"/>
          <w:marBottom w:val="0"/>
          <w:divBdr>
            <w:top w:val="none" w:sz="0" w:space="0" w:color="auto"/>
            <w:left w:val="none" w:sz="0" w:space="0" w:color="auto"/>
            <w:bottom w:val="none" w:sz="0" w:space="0" w:color="auto"/>
            <w:right w:val="none" w:sz="0" w:space="0" w:color="auto"/>
          </w:divBdr>
        </w:div>
        <w:div w:id="1792868532">
          <w:marLeft w:val="0"/>
          <w:marRight w:val="0"/>
          <w:marTop w:val="0"/>
          <w:marBottom w:val="0"/>
          <w:divBdr>
            <w:top w:val="none" w:sz="0" w:space="0" w:color="auto"/>
            <w:left w:val="none" w:sz="0" w:space="0" w:color="auto"/>
            <w:bottom w:val="none" w:sz="0" w:space="0" w:color="auto"/>
            <w:right w:val="none" w:sz="0" w:space="0" w:color="auto"/>
          </w:divBdr>
        </w:div>
        <w:div w:id="1792868541">
          <w:marLeft w:val="0"/>
          <w:marRight w:val="0"/>
          <w:marTop w:val="0"/>
          <w:marBottom w:val="0"/>
          <w:divBdr>
            <w:top w:val="none" w:sz="0" w:space="0" w:color="auto"/>
            <w:left w:val="none" w:sz="0" w:space="0" w:color="auto"/>
            <w:bottom w:val="none" w:sz="0" w:space="0" w:color="auto"/>
            <w:right w:val="none" w:sz="0" w:space="0" w:color="auto"/>
          </w:divBdr>
        </w:div>
        <w:div w:id="1792868542">
          <w:marLeft w:val="0"/>
          <w:marRight w:val="0"/>
          <w:marTop w:val="0"/>
          <w:marBottom w:val="0"/>
          <w:divBdr>
            <w:top w:val="none" w:sz="0" w:space="0" w:color="auto"/>
            <w:left w:val="none" w:sz="0" w:space="0" w:color="auto"/>
            <w:bottom w:val="none" w:sz="0" w:space="0" w:color="auto"/>
            <w:right w:val="none" w:sz="0" w:space="0" w:color="auto"/>
          </w:divBdr>
        </w:div>
        <w:div w:id="1792868543">
          <w:marLeft w:val="0"/>
          <w:marRight w:val="0"/>
          <w:marTop w:val="0"/>
          <w:marBottom w:val="0"/>
          <w:divBdr>
            <w:top w:val="none" w:sz="0" w:space="0" w:color="auto"/>
            <w:left w:val="none" w:sz="0" w:space="0" w:color="auto"/>
            <w:bottom w:val="none" w:sz="0" w:space="0" w:color="auto"/>
            <w:right w:val="none" w:sz="0" w:space="0" w:color="auto"/>
          </w:divBdr>
        </w:div>
        <w:div w:id="1792868546">
          <w:marLeft w:val="0"/>
          <w:marRight w:val="0"/>
          <w:marTop w:val="0"/>
          <w:marBottom w:val="0"/>
          <w:divBdr>
            <w:top w:val="none" w:sz="0" w:space="0" w:color="auto"/>
            <w:left w:val="none" w:sz="0" w:space="0" w:color="auto"/>
            <w:bottom w:val="none" w:sz="0" w:space="0" w:color="auto"/>
            <w:right w:val="none" w:sz="0" w:space="0" w:color="auto"/>
          </w:divBdr>
        </w:div>
      </w:divsChild>
    </w:div>
    <w:div w:id="1792868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3E2A79A3.dotm</Template>
  <TotalTime>1</TotalTime>
  <Pages>7</Pages>
  <Words>3216</Words>
  <Characters>18975</Characters>
  <Application>Microsoft Office Word</Application>
  <DocSecurity>4</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 PIK pripominky</vt:lpstr>
      <vt:lpstr>SR KHK pripominky</vt:lpstr>
    </vt:vector>
  </TitlesOfParts>
  <Company>INTEGRA</Company>
  <LinksUpToDate>false</LinksUpToDate>
  <CharactersWithSpaces>22147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PIK pripominky</dc:title>
  <dc:creator>Katerina Ambrozova</dc:creator>
  <cp:lastModifiedBy>Ptáčková Gabriela</cp:lastModifiedBy>
  <cp:revision>2</cp:revision>
  <cp:lastPrinted>2014-03-17T08:22:00Z</cp:lastPrinted>
  <dcterms:created xsi:type="dcterms:W3CDTF">2017-06-26T14:26:00Z</dcterms:created>
  <dcterms:modified xsi:type="dcterms:W3CDTF">2017-06-26T14:26:00Z</dcterms:modified>
</cp:coreProperties>
</file>