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D2570" w14:textId="77777777" w:rsidR="001041B1" w:rsidRPr="00B61281" w:rsidRDefault="001041B1" w:rsidP="00E118FD">
      <w:pPr>
        <w:pStyle w:val="Nzev"/>
        <w:spacing w:line="276" w:lineRule="auto"/>
        <w:jc w:val="center"/>
        <w:rPr>
          <w:rFonts w:ascii="Calibri" w:hAnsi="Calibri" w:cs="Calibri"/>
        </w:rPr>
      </w:pPr>
      <w:bookmarkStart w:id="0" w:name="_GoBack"/>
      <w:bookmarkEnd w:id="0"/>
    </w:p>
    <w:p w14:paraId="71820570" w14:textId="77777777" w:rsidR="00367B11" w:rsidRPr="00B61281" w:rsidRDefault="00367B11" w:rsidP="00E118FD">
      <w:pPr>
        <w:pStyle w:val="Nzev"/>
        <w:spacing w:line="276" w:lineRule="auto"/>
        <w:jc w:val="center"/>
        <w:rPr>
          <w:rFonts w:ascii="Calibri" w:hAnsi="Calibri" w:cs="Calibri"/>
        </w:rPr>
      </w:pPr>
    </w:p>
    <w:p w14:paraId="24178C08" w14:textId="77777777" w:rsidR="007A372D" w:rsidRPr="00B61281" w:rsidRDefault="007A372D" w:rsidP="00E118FD">
      <w:pPr>
        <w:pStyle w:val="Nzev"/>
        <w:spacing w:line="276" w:lineRule="auto"/>
        <w:jc w:val="center"/>
        <w:rPr>
          <w:rFonts w:ascii="Calibri" w:hAnsi="Calibri" w:cs="Calibri"/>
        </w:rPr>
      </w:pPr>
    </w:p>
    <w:p w14:paraId="3663C993" w14:textId="77777777" w:rsidR="007A372D" w:rsidRPr="00B61281" w:rsidRDefault="007A372D" w:rsidP="00E118FD">
      <w:pPr>
        <w:pStyle w:val="Nzev"/>
        <w:spacing w:line="276" w:lineRule="auto"/>
        <w:jc w:val="center"/>
        <w:rPr>
          <w:rFonts w:ascii="Calibri" w:hAnsi="Calibri" w:cs="Calibri"/>
        </w:rPr>
      </w:pPr>
    </w:p>
    <w:p w14:paraId="2D38EEDC" w14:textId="77777777" w:rsidR="00C41C92" w:rsidRPr="00B61281" w:rsidRDefault="00C41C92" w:rsidP="00E118FD">
      <w:pPr>
        <w:pStyle w:val="Nzev"/>
        <w:spacing w:line="276" w:lineRule="auto"/>
        <w:jc w:val="center"/>
        <w:rPr>
          <w:rFonts w:ascii="Calibri" w:hAnsi="Calibri" w:cs="Calibri"/>
        </w:rPr>
      </w:pPr>
    </w:p>
    <w:p w14:paraId="7C303B52" w14:textId="77777777" w:rsidR="007A372D" w:rsidRPr="00B61281" w:rsidRDefault="007A372D" w:rsidP="00E118FD">
      <w:pPr>
        <w:pStyle w:val="Nzev"/>
        <w:spacing w:line="276" w:lineRule="auto"/>
        <w:jc w:val="center"/>
        <w:rPr>
          <w:rFonts w:ascii="Calibri" w:hAnsi="Calibri" w:cs="Calibri"/>
        </w:rPr>
      </w:pPr>
    </w:p>
    <w:p w14:paraId="6160AAFA" w14:textId="77777777" w:rsidR="00830835" w:rsidRPr="00B61281" w:rsidRDefault="00111433" w:rsidP="00E118FD">
      <w:pPr>
        <w:pStyle w:val="Nzev"/>
        <w:spacing w:line="276" w:lineRule="auto"/>
        <w:jc w:val="center"/>
        <w:rPr>
          <w:rFonts w:ascii="Calibri" w:hAnsi="Calibri" w:cs="Calibri"/>
        </w:rPr>
      </w:pPr>
      <w:r>
        <w:rPr>
          <w:rFonts w:ascii="Calibri" w:hAnsi="Calibri" w:cs="Calibri"/>
        </w:rPr>
        <w:t>ZÁVĚREČNÁ</w:t>
      </w:r>
      <w:r w:rsidR="00C255A9" w:rsidRPr="00B61281">
        <w:rPr>
          <w:rFonts w:ascii="Calibri" w:hAnsi="Calibri" w:cs="Calibri"/>
        </w:rPr>
        <w:t xml:space="preserve"> ZPRÁVA</w:t>
      </w:r>
      <w:r w:rsidR="00830835" w:rsidRPr="00B61281">
        <w:rPr>
          <w:rFonts w:ascii="Calibri" w:hAnsi="Calibri" w:cs="Calibri"/>
        </w:rPr>
        <w:t xml:space="preserve"> </w:t>
      </w:r>
    </w:p>
    <w:p w14:paraId="548C3221" w14:textId="77777777" w:rsidR="00830835" w:rsidRPr="00B61281" w:rsidRDefault="00830835" w:rsidP="00E118FD">
      <w:pPr>
        <w:pStyle w:val="Nzev"/>
        <w:spacing w:line="276" w:lineRule="auto"/>
        <w:jc w:val="center"/>
        <w:rPr>
          <w:rFonts w:ascii="Calibri" w:hAnsi="Calibri" w:cs="Calibri"/>
          <w:sz w:val="32"/>
        </w:rPr>
      </w:pPr>
    </w:p>
    <w:p w14:paraId="216BF8C0" w14:textId="77777777" w:rsidR="0034096B" w:rsidRPr="00B61281" w:rsidRDefault="0034096B" w:rsidP="00E118FD">
      <w:pPr>
        <w:pStyle w:val="Nzev"/>
        <w:spacing w:line="276" w:lineRule="auto"/>
        <w:jc w:val="center"/>
        <w:rPr>
          <w:rFonts w:ascii="Calibri" w:hAnsi="Calibri" w:cs="Calibri"/>
        </w:rPr>
      </w:pPr>
      <w:r w:rsidRPr="00B61281">
        <w:rPr>
          <w:rFonts w:ascii="Calibri" w:hAnsi="Calibri" w:cs="Calibri"/>
        </w:rPr>
        <w:t xml:space="preserve">Výsledková evaluace specifických cílů </w:t>
      </w:r>
      <w:r w:rsidR="00111433">
        <w:rPr>
          <w:rFonts w:ascii="Calibri" w:hAnsi="Calibri" w:cs="Calibri"/>
        </w:rPr>
        <w:t>2.1 a 2.2</w:t>
      </w:r>
      <w:r w:rsidR="00B61281">
        <w:rPr>
          <w:rFonts w:ascii="Calibri" w:hAnsi="Calibri" w:cs="Calibri"/>
        </w:rPr>
        <w:t xml:space="preserve"> </w:t>
      </w:r>
      <w:r w:rsidRPr="00B61281">
        <w:rPr>
          <w:rFonts w:ascii="Calibri" w:hAnsi="Calibri" w:cs="Calibri"/>
        </w:rPr>
        <w:t>OP PIK</w:t>
      </w:r>
    </w:p>
    <w:p w14:paraId="4632B2A5" w14:textId="77777777" w:rsidR="001041B1" w:rsidRPr="00B61281" w:rsidRDefault="001041B1" w:rsidP="00E118FD">
      <w:pPr>
        <w:pStyle w:val="Nzev"/>
        <w:spacing w:line="276" w:lineRule="auto"/>
        <w:jc w:val="center"/>
        <w:rPr>
          <w:rFonts w:ascii="Calibri" w:hAnsi="Calibri" w:cs="Calibri"/>
          <w:b w:val="0"/>
        </w:rPr>
      </w:pPr>
    </w:p>
    <w:p w14:paraId="21FC3611" w14:textId="472A78E8" w:rsidR="00C41C92" w:rsidRPr="00B61281" w:rsidRDefault="009E19E3" w:rsidP="00E118FD">
      <w:pPr>
        <w:pStyle w:val="Nzev"/>
        <w:spacing w:line="276" w:lineRule="auto"/>
        <w:jc w:val="center"/>
        <w:rPr>
          <w:rFonts w:ascii="Calibri" w:hAnsi="Calibri" w:cs="Calibri"/>
          <w:b w:val="0"/>
        </w:rPr>
      </w:pPr>
      <w:r>
        <w:rPr>
          <w:rFonts w:ascii="Calibri" w:hAnsi="Calibri" w:cs="Calibri"/>
          <w:b w:val="0"/>
        </w:rPr>
        <w:t xml:space="preserve">Manažerské shrnutí / </w:t>
      </w:r>
      <w:r w:rsidRPr="009E19E3">
        <w:rPr>
          <w:rFonts w:ascii="Calibri" w:hAnsi="Calibri" w:cs="Calibri"/>
          <w:b w:val="0"/>
          <w:i/>
        </w:rPr>
        <w:t>Executive Summary</w:t>
      </w:r>
    </w:p>
    <w:p w14:paraId="63B2E0A6" w14:textId="77777777" w:rsidR="00C41C92" w:rsidRDefault="00C41C92" w:rsidP="00E118FD">
      <w:pPr>
        <w:pStyle w:val="Nzev"/>
        <w:spacing w:line="276" w:lineRule="auto"/>
        <w:jc w:val="center"/>
        <w:rPr>
          <w:rFonts w:ascii="Calibri" w:hAnsi="Calibri" w:cs="Calibri"/>
          <w:b w:val="0"/>
        </w:rPr>
      </w:pPr>
    </w:p>
    <w:p w14:paraId="7F540ED8" w14:textId="77777777" w:rsidR="00F751E2" w:rsidRDefault="00F751E2" w:rsidP="00E118FD">
      <w:pPr>
        <w:pStyle w:val="Nzev"/>
        <w:spacing w:line="276" w:lineRule="auto"/>
        <w:jc w:val="center"/>
        <w:rPr>
          <w:rFonts w:ascii="Calibri" w:hAnsi="Calibri" w:cs="Calibri"/>
          <w:b w:val="0"/>
        </w:rPr>
      </w:pPr>
    </w:p>
    <w:p w14:paraId="60611C2A" w14:textId="77777777" w:rsidR="00D3770C" w:rsidRPr="00B61281" w:rsidRDefault="00D3770C" w:rsidP="00E118FD">
      <w:pPr>
        <w:pStyle w:val="Nzev"/>
        <w:spacing w:line="276" w:lineRule="auto"/>
        <w:jc w:val="center"/>
        <w:rPr>
          <w:rFonts w:ascii="Calibri" w:hAnsi="Calibri" w:cs="Calibri"/>
          <w:b w:val="0"/>
        </w:rPr>
      </w:pPr>
    </w:p>
    <w:p w14:paraId="08826BA0" w14:textId="77777777" w:rsidR="007A372D" w:rsidRPr="00B61281" w:rsidRDefault="00C41C92" w:rsidP="00E118FD">
      <w:pPr>
        <w:pStyle w:val="Nzev"/>
        <w:spacing w:line="276" w:lineRule="auto"/>
        <w:jc w:val="center"/>
        <w:rPr>
          <w:rFonts w:ascii="Calibri" w:hAnsi="Calibri" w:cs="Calibri"/>
        </w:rPr>
      </w:pPr>
      <w:r w:rsidRPr="00B61281">
        <w:rPr>
          <w:rFonts w:ascii="Calibri" w:hAnsi="Calibri" w:cs="Calibri"/>
          <w:noProof/>
          <w:lang w:eastAsia="cs-CZ"/>
        </w:rPr>
        <w:drawing>
          <wp:inline distT="0" distB="0" distL="0" distR="0" wp14:anchorId="5C614E2D" wp14:editId="1C010079">
            <wp:extent cx="1597025" cy="1109345"/>
            <wp:effectExtent l="0" t="0" r="317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7025" cy="1109345"/>
                    </a:xfrm>
                    <a:prstGeom prst="rect">
                      <a:avLst/>
                    </a:prstGeom>
                    <a:noFill/>
                  </pic:spPr>
                </pic:pic>
              </a:graphicData>
            </a:graphic>
          </wp:inline>
        </w:drawing>
      </w:r>
    </w:p>
    <w:p w14:paraId="0E678FFA" w14:textId="77777777" w:rsidR="007A372D" w:rsidRPr="00B61281" w:rsidRDefault="007A372D" w:rsidP="00E118FD">
      <w:pPr>
        <w:pStyle w:val="Nzev"/>
        <w:spacing w:line="276" w:lineRule="auto"/>
        <w:jc w:val="center"/>
        <w:rPr>
          <w:rFonts w:ascii="Calibri" w:hAnsi="Calibri" w:cs="Calibri"/>
        </w:rPr>
      </w:pPr>
    </w:p>
    <w:p w14:paraId="360B1BCC" w14:textId="77777777" w:rsidR="007A372D" w:rsidRPr="00B61281" w:rsidRDefault="007A372D" w:rsidP="00E118FD">
      <w:pPr>
        <w:pStyle w:val="Nzev"/>
        <w:spacing w:line="276" w:lineRule="auto"/>
        <w:jc w:val="center"/>
        <w:rPr>
          <w:rFonts w:ascii="Calibri" w:hAnsi="Calibri" w:cs="Calibri"/>
        </w:rPr>
      </w:pPr>
    </w:p>
    <w:p w14:paraId="336363BC" w14:textId="77777777" w:rsidR="00830835" w:rsidRDefault="00A10392" w:rsidP="00E118FD">
      <w:pPr>
        <w:spacing w:after="0"/>
        <w:jc w:val="center"/>
        <w:rPr>
          <w:rFonts w:ascii="Calibri" w:hAnsi="Calibri" w:cs="Calibri"/>
        </w:rPr>
      </w:pPr>
      <w:r>
        <w:rPr>
          <w:rFonts w:ascii="Calibri" w:hAnsi="Calibri" w:cs="Calibri"/>
        </w:rPr>
        <w:t>únor</w:t>
      </w:r>
      <w:r w:rsidR="007A372D" w:rsidRPr="00B61281">
        <w:rPr>
          <w:rFonts w:ascii="Calibri" w:hAnsi="Calibri" w:cs="Calibri"/>
        </w:rPr>
        <w:t xml:space="preserve"> 201</w:t>
      </w:r>
      <w:r w:rsidR="00B61281">
        <w:rPr>
          <w:rFonts w:ascii="Calibri" w:hAnsi="Calibri" w:cs="Calibri"/>
        </w:rPr>
        <w:t>9</w:t>
      </w:r>
      <w:r w:rsidR="00830835" w:rsidRPr="00B61281">
        <w:rPr>
          <w:rFonts w:ascii="Calibri" w:hAnsi="Calibri" w:cs="Calibri"/>
        </w:rPr>
        <w:t xml:space="preserve"> </w:t>
      </w:r>
    </w:p>
    <w:p w14:paraId="06F5EA08" w14:textId="77777777" w:rsidR="00D3770C" w:rsidRPr="00B61281" w:rsidRDefault="00D3770C" w:rsidP="00E118FD">
      <w:pPr>
        <w:spacing w:after="0"/>
        <w:jc w:val="center"/>
        <w:rPr>
          <w:rFonts w:ascii="Calibri" w:hAnsi="Calibri" w:cs="Calibri"/>
        </w:rPr>
      </w:pPr>
    </w:p>
    <w:bookmarkStart w:id="1" w:name="_Toc518115754" w:displacedByCustomXml="next"/>
    <w:sdt>
      <w:sdtPr>
        <w:rPr>
          <w:rFonts w:ascii="Calibri" w:hAnsi="Calibri" w:cs="Calibri"/>
          <w:b/>
          <w:bCs/>
          <w:caps/>
        </w:rPr>
        <w:id w:val="1056892766"/>
        <w:docPartObj>
          <w:docPartGallery w:val="Table of Contents"/>
          <w:docPartUnique/>
        </w:docPartObj>
      </w:sdtPr>
      <w:sdtEndPr>
        <w:rPr>
          <w:b w:val="0"/>
          <w:bCs w:val="0"/>
          <w:caps w:val="0"/>
        </w:rPr>
      </w:sdtEndPr>
      <w:sdtContent>
        <w:p w14:paraId="231FFA5E" w14:textId="77777777" w:rsidR="00E118FD" w:rsidRDefault="00E118FD" w:rsidP="00E118FD">
          <w:pPr>
            <w:spacing w:after="0"/>
            <w:rPr>
              <w:rFonts w:ascii="Calibri" w:hAnsi="Calibri" w:cs="Calibri"/>
              <w:b/>
              <w:bCs/>
              <w:caps/>
            </w:rPr>
          </w:pPr>
        </w:p>
        <w:p w14:paraId="1CD4AA3D" w14:textId="77777777" w:rsidR="00E118FD" w:rsidRDefault="00E118FD">
          <w:pPr>
            <w:rPr>
              <w:rFonts w:ascii="Calibri" w:hAnsi="Calibri" w:cs="Calibri"/>
              <w:b/>
              <w:bCs/>
              <w:caps/>
            </w:rPr>
          </w:pPr>
          <w:r>
            <w:rPr>
              <w:rFonts w:ascii="Calibri" w:hAnsi="Calibri" w:cs="Calibri"/>
              <w:b/>
              <w:bCs/>
              <w:caps/>
            </w:rPr>
            <w:br w:type="page"/>
          </w:r>
        </w:p>
        <w:p w14:paraId="2593A195" w14:textId="77777777" w:rsidR="001041B1" w:rsidRDefault="001041B1" w:rsidP="00EC3461">
          <w:pPr>
            <w:spacing w:after="0"/>
            <w:rPr>
              <w:rFonts w:eastAsia="Times New Roman" w:cstheme="minorHAnsi"/>
              <w:b/>
              <w:bCs/>
              <w:caps/>
              <w:color w:val="232E83"/>
              <w:kern w:val="32"/>
              <w:sz w:val="26"/>
              <w:szCs w:val="32"/>
              <w:lang w:eastAsia="sk-SK"/>
            </w:rPr>
          </w:pPr>
          <w:r w:rsidRPr="00EC3461">
            <w:rPr>
              <w:rFonts w:eastAsia="Times New Roman" w:cstheme="minorHAnsi"/>
              <w:b/>
              <w:bCs/>
              <w:caps/>
              <w:color w:val="232E83"/>
              <w:kern w:val="32"/>
              <w:sz w:val="26"/>
              <w:szCs w:val="32"/>
              <w:lang w:eastAsia="sk-SK"/>
            </w:rPr>
            <w:lastRenderedPageBreak/>
            <w:t>OBSAH</w:t>
          </w:r>
          <w:bookmarkEnd w:id="1"/>
        </w:p>
        <w:p w14:paraId="43DB18A6" w14:textId="77777777" w:rsidR="00501FB8" w:rsidRPr="00EC3461" w:rsidRDefault="00501FB8" w:rsidP="00EC3461">
          <w:pPr>
            <w:spacing w:after="0"/>
            <w:rPr>
              <w:rFonts w:eastAsia="Times New Roman" w:cstheme="minorHAnsi"/>
              <w:b/>
              <w:bCs/>
              <w:caps/>
              <w:color w:val="232E83"/>
              <w:kern w:val="32"/>
              <w:sz w:val="26"/>
              <w:szCs w:val="32"/>
              <w:lang w:eastAsia="sk-SK"/>
            </w:rPr>
          </w:pPr>
        </w:p>
        <w:p w14:paraId="71650B32" w14:textId="77777777" w:rsidR="001D2514" w:rsidRPr="001D2514" w:rsidRDefault="001E5696">
          <w:pPr>
            <w:pStyle w:val="Obsah1"/>
            <w:rPr>
              <w:rFonts w:ascii="Calibri" w:hAnsi="Calibri" w:cs="Calibri"/>
              <w:b w:val="0"/>
              <w:caps w:val="0"/>
              <w:lang w:eastAsia="cs-CZ"/>
            </w:rPr>
          </w:pPr>
          <w:r w:rsidRPr="001D2514">
            <w:rPr>
              <w:rFonts w:ascii="Calibri" w:hAnsi="Calibri" w:cs="Calibri"/>
              <w:b w:val="0"/>
            </w:rPr>
            <w:fldChar w:fldCharType="begin"/>
          </w:r>
          <w:r w:rsidR="001041B1" w:rsidRPr="001D2514">
            <w:rPr>
              <w:rFonts w:ascii="Calibri" w:hAnsi="Calibri" w:cs="Calibri"/>
            </w:rPr>
            <w:instrText xml:space="preserve"> TOC \o "1-3" \h \z \u </w:instrText>
          </w:r>
          <w:r w:rsidRPr="001D2514">
            <w:rPr>
              <w:rFonts w:ascii="Calibri" w:hAnsi="Calibri" w:cs="Calibri"/>
              <w:b w:val="0"/>
            </w:rPr>
            <w:fldChar w:fldCharType="separate"/>
          </w:r>
          <w:hyperlink w:anchor="_Toc1408090" w:history="1">
            <w:r w:rsidR="001D2514" w:rsidRPr="001D2514">
              <w:rPr>
                <w:rStyle w:val="Hypertextovodkaz"/>
                <w:rFonts w:ascii="Calibri" w:hAnsi="Calibri" w:cs="Calibri"/>
              </w:rPr>
              <w:t>1</w:t>
            </w:r>
            <w:r w:rsidR="001D2514" w:rsidRPr="001D2514">
              <w:rPr>
                <w:rFonts w:ascii="Calibri" w:hAnsi="Calibri" w:cs="Calibri"/>
                <w:b w:val="0"/>
                <w:caps w:val="0"/>
                <w:lang w:eastAsia="cs-CZ"/>
              </w:rPr>
              <w:tab/>
            </w:r>
            <w:r w:rsidR="001D2514" w:rsidRPr="001D2514">
              <w:rPr>
                <w:rStyle w:val="Hypertextovodkaz"/>
                <w:rFonts w:ascii="Calibri" w:hAnsi="Calibri" w:cs="Calibri"/>
              </w:rPr>
              <w:t xml:space="preserve">úvod / </w:t>
            </w:r>
            <w:r w:rsidR="001D2514" w:rsidRPr="001D2514">
              <w:rPr>
                <w:rStyle w:val="Hypertextovodkaz"/>
                <w:rFonts w:ascii="Calibri" w:hAnsi="Calibri" w:cs="Calibri"/>
                <w:i/>
              </w:rPr>
              <w:t>INTROduction</w:t>
            </w:r>
            <w:r w:rsidR="001D2514" w:rsidRPr="001D2514">
              <w:rPr>
                <w:rFonts w:ascii="Calibri" w:hAnsi="Calibri" w:cs="Calibri"/>
                <w:webHidden/>
              </w:rPr>
              <w:tab/>
            </w:r>
            <w:r w:rsidR="001D2514" w:rsidRPr="001D2514">
              <w:rPr>
                <w:rFonts w:ascii="Calibri" w:hAnsi="Calibri" w:cs="Calibri"/>
                <w:webHidden/>
              </w:rPr>
              <w:fldChar w:fldCharType="begin"/>
            </w:r>
            <w:r w:rsidR="001D2514" w:rsidRPr="001D2514">
              <w:rPr>
                <w:rFonts w:ascii="Calibri" w:hAnsi="Calibri" w:cs="Calibri"/>
                <w:webHidden/>
              </w:rPr>
              <w:instrText xml:space="preserve"> PAGEREF _Toc1408090 \h </w:instrText>
            </w:r>
            <w:r w:rsidR="001D2514" w:rsidRPr="001D2514">
              <w:rPr>
                <w:rFonts w:ascii="Calibri" w:hAnsi="Calibri" w:cs="Calibri"/>
                <w:webHidden/>
              </w:rPr>
            </w:r>
            <w:r w:rsidR="001D2514" w:rsidRPr="001D2514">
              <w:rPr>
                <w:rFonts w:ascii="Calibri" w:hAnsi="Calibri" w:cs="Calibri"/>
                <w:webHidden/>
              </w:rPr>
              <w:fldChar w:fldCharType="separate"/>
            </w:r>
            <w:r w:rsidR="00766E64">
              <w:rPr>
                <w:rFonts w:ascii="Calibri" w:hAnsi="Calibri" w:cs="Calibri"/>
                <w:webHidden/>
              </w:rPr>
              <w:t>3</w:t>
            </w:r>
            <w:r w:rsidR="001D2514" w:rsidRPr="001D2514">
              <w:rPr>
                <w:rFonts w:ascii="Calibri" w:hAnsi="Calibri" w:cs="Calibri"/>
                <w:webHidden/>
              </w:rPr>
              <w:fldChar w:fldCharType="end"/>
            </w:r>
          </w:hyperlink>
        </w:p>
        <w:p w14:paraId="4C6B6811" w14:textId="77777777" w:rsidR="001D2514" w:rsidRPr="001D2514" w:rsidRDefault="001C1694">
          <w:pPr>
            <w:pStyle w:val="Obsah2"/>
            <w:tabs>
              <w:tab w:val="left" w:pos="880"/>
              <w:tab w:val="right" w:leader="dot" w:pos="9316"/>
            </w:tabs>
            <w:rPr>
              <w:rFonts w:ascii="Calibri" w:eastAsiaTheme="minorEastAsia" w:hAnsi="Calibri" w:cs="Calibri"/>
              <w:noProof/>
              <w:lang w:eastAsia="cs-CZ"/>
            </w:rPr>
          </w:pPr>
          <w:hyperlink w:anchor="_Toc1408091" w:history="1">
            <w:r w:rsidR="001D2514" w:rsidRPr="001D2514">
              <w:rPr>
                <w:rStyle w:val="Hypertextovodkaz"/>
                <w:rFonts w:ascii="Calibri" w:hAnsi="Calibri" w:cs="Calibri"/>
                <w:iCs/>
                <w:noProof/>
                <w:lang w:val="en-GB"/>
              </w:rPr>
              <w:t>1.1</w:t>
            </w:r>
            <w:r w:rsidR="001D2514" w:rsidRPr="001D2514">
              <w:rPr>
                <w:rFonts w:ascii="Calibri" w:eastAsiaTheme="minorEastAsia" w:hAnsi="Calibri" w:cs="Calibri"/>
                <w:noProof/>
                <w:lang w:eastAsia="cs-CZ"/>
              </w:rPr>
              <w:tab/>
            </w:r>
            <w:r w:rsidR="001D2514" w:rsidRPr="001D2514">
              <w:rPr>
                <w:rStyle w:val="Hypertextovodkaz"/>
                <w:rFonts w:ascii="Calibri" w:hAnsi="Calibri" w:cs="Calibri"/>
                <w:noProof/>
              </w:rPr>
              <w:t xml:space="preserve">Identifikace objednatele a dodavatele / </w:t>
            </w:r>
            <w:r w:rsidR="001D2514" w:rsidRPr="001D2514">
              <w:rPr>
                <w:rStyle w:val="Hypertextovodkaz"/>
                <w:rFonts w:ascii="Calibri" w:hAnsi="Calibri" w:cs="Calibri"/>
                <w:i/>
                <w:iCs/>
                <w:noProof/>
                <w:lang w:val="en-GB"/>
              </w:rPr>
              <w:t>Identification of the contracting authority and of the contractor</w:t>
            </w:r>
            <w:r w:rsidR="001D2514" w:rsidRPr="001D2514">
              <w:rPr>
                <w:rFonts w:ascii="Calibri" w:hAnsi="Calibri" w:cs="Calibri"/>
                <w:noProof/>
                <w:webHidden/>
              </w:rPr>
              <w:tab/>
            </w:r>
            <w:r w:rsidR="001D2514" w:rsidRPr="001D2514">
              <w:rPr>
                <w:rFonts w:ascii="Calibri" w:hAnsi="Calibri" w:cs="Calibri"/>
                <w:noProof/>
                <w:webHidden/>
              </w:rPr>
              <w:fldChar w:fldCharType="begin"/>
            </w:r>
            <w:r w:rsidR="001D2514" w:rsidRPr="001D2514">
              <w:rPr>
                <w:rFonts w:ascii="Calibri" w:hAnsi="Calibri" w:cs="Calibri"/>
                <w:noProof/>
                <w:webHidden/>
              </w:rPr>
              <w:instrText xml:space="preserve"> PAGEREF _Toc1408091 \h </w:instrText>
            </w:r>
            <w:r w:rsidR="001D2514" w:rsidRPr="001D2514">
              <w:rPr>
                <w:rFonts w:ascii="Calibri" w:hAnsi="Calibri" w:cs="Calibri"/>
                <w:noProof/>
                <w:webHidden/>
              </w:rPr>
            </w:r>
            <w:r w:rsidR="001D2514" w:rsidRPr="001D2514">
              <w:rPr>
                <w:rFonts w:ascii="Calibri" w:hAnsi="Calibri" w:cs="Calibri"/>
                <w:noProof/>
                <w:webHidden/>
              </w:rPr>
              <w:fldChar w:fldCharType="separate"/>
            </w:r>
            <w:r w:rsidR="00766E64">
              <w:rPr>
                <w:rFonts w:ascii="Calibri" w:hAnsi="Calibri" w:cs="Calibri"/>
                <w:noProof/>
                <w:webHidden/>
              </w:rPr>
              <w:t>3</w:t>
            </w:r>
            <w:r w:rsidR="001D2514" w:rsidRPr="001D2514">
              <w:rPr>
                <w:rFonts w:ascii="Calibri" w:hAnsi="Calibri" w:cs="Calibri"/>
                <w:noProof/>
                <w:webHidden/>
              </w:rPr>
              <w:fldChar w:fldCharType="end"/>
            </w:r>
          </w:hyperlink>
        </w:p>
        <w:p w14:paraId="4F843D99" w14:textId="77777777" w:rsidR="001D2514" w:rsidRPr="001D2514" w:rsidRDefault="001C1694">
          <w:pPr>
            <w:pStyle w:val="Obsah2"/>
            <w:tabs>
              <w:tab w:val="left" w:pos="880"/>
              <w:tab w:val="right" w:leader="dot" w:pos="9316"/>
            </w:tabs>
            <w:rPr>
              <w:rFonts w:ascii="Calibri" w:eastAsiaTheme="minorEastAsia" w:hAnsi="Calibri" w:cs="Calibri"/>
              <w:noProof/>
              <w:lang w:eastAsia="cs-CZ"/>
            </w:rPr>
          </w:pPr>
          <w:hyperlink w:anchor="_Toc1408092" w:history="1">
            <w:r w:rsidR="001D2514" w:rsidRPr="001D2514">
              <w:rPr>
                <w:rStyle w:val="Hypertextovodkaz"/>
                <w:rFonts w:ascii="Calibri" w:hAnsi="Calibri" w:cs="Calibri"/>
                <w:noProof/>
              </w:rPr>
              <w:t>1.2</w:t>
            </w:r>
            <w:r w:rsidR="001D2514" w:rsidRPr="001D2514">
              <w:rPr>
                <w:rFonts w:ascii="Calibri" w:eastAsiaTheme="minorEastAsia" w:hAnsi="Calibri" w:cs="Calibri"/>
                <w:noProof/>
                <w:lang w:eastAsia="cs-CZ"/>
              </w:rPr>
              <w:tab/>
            </w:r>
            <w:r w:rsidR="001D2514" w:rsidRPr="001D2514">
              <w:rPr>
                <w:rStyle w:val="Hypertextovodkaz"/>
                <w:rFonts w:ascii="Calibri" w:hAnsi="Calibri" w:cs="Calibri"/>
                <w:noProof/>
              </w:rPr>
              <w:t xml:space="preserve">Cíle evaluačního projektu / </w:t>
            </w:r>
            <w:r w:rsidR="001D2514" w:rsidRPr="001D2514">
              <w:rPr>
                <w:rStyle w:val="Hypertextovodkaz"/>
                <w:rFonts w:ascii="Calibri" w:hAnsi="Calibri" w:cs="Calibri"/>
                <w:i/>
                <w:noProof/>
              </w:rPr>
              <w:t>Scopes of the evaluation project</w:t>
            </w:r>
            <w:r w:rsidR="001D2514" w:rsidRPr="001D2514">
              <w:rPr>
                <w:rFonts w:ascii="Calibri" w:hAnsi="Calibri" w:cs="Calibri"/>
                <w:noProof/>
                <w:webHidden/>
              </w:rPr>
              <w:tab/>
            </w:r>
            <w:r w:rsidR="001D2514" w:rsidRPr="001D2514">
              <w:rPr>
                <w:rFonts w:ascii="Calibri" w:hAnsi="Calibri" w:cs="Calibri"/>
                <w:noProof/>
                <w:webHidden/>
              </w:rPr>
              <w:fldChar w:fldCharType="begin"/>
            </w:r>
            <w:r w:rsidR="001D2514" w:rsidRPr="001D2514">
              <w:rPr>
                <w:rFonts w:ascii="Calibri" w:hAnsi="Calibri" w:cs="Calibri"/>
                <w:noProof/>
                <w:webHidden/>
              </w:rPr>
              <w:instrText xml:space="preserve"> PAGEREF _Toc1408092 \h </w:instrText>
            </w:r>
            <w:r w:rsidR="001D2514" w:rsidRPr="001D2514">
              <w:rPr>
                <w:rFonts w:ascii="Calibri" w:hAnsi="Calibri" w:cs="Calibri"/>
                <w:noProof/>
                <w:webHidden/>
              </w:rPr>
            </w:r>
            <w:r w:rsidR="001D2514" w:rsidRPr="001D2514">
              <w:rPr>
                <w:rFonts w:ascii="Calibri" w:hAnsi="Calibri" w:cs="Calibri"/>
                <w:noProof/>
                <w:webHidden/>
              </w:rPr>
              <w:fldChar w:fldCharType="separate"/>
            </w:r>
            <w:r w:rsidR="00766E64">
              <w:rPr>
                <w:rFonts w:ascii="Calibri" w:hAnsi="Calibri" w:cs="Calibri"/>
                <w:noProof/>
                <w:webHidden/>
              </w:rPr>
              <w:t>3</w:t>
            </w:r>
            <w:r w:rsidR="001D2514" w:rsidRPr="001D2514">
              <w:rPr>
                <w:rFonts w:ascii="Calibri" w:hAnsi="Calibri" w:cs="Calibri"/>
                <w:noProof/>
                <w:webHidden/>
              </w:rPr>
              <w:fldChar w:fldCharType="end"/>
            </w:r>
          </w:hyperlink>
        </w:p>
        <w:p w14:paraId="1F3C063A" w14:textId="77777777" w:rsidR="001D2514" w:rsidRPr="001D2514" w:rsidRDefault="001C1694">
          <w:pPr>
            <w:pStyle w:val="Obsah2"/>
            <w:tabs>
              <w:tab w:val="left" w:pos="880"/>
              <w:tab w:val="right" w:leader="dot" w:pos="9316"/>
            </w:tabs>
            <w:rPr>
              <w:rFonts w:ascii="Calibri" w:eastAsiaTheme="minorEastAsia" w:hAnsi="Calibri" w:cs="Calibri"/>
              <w:noProof/>
              <w:lang w:eastAsia="cs-CZ"/>
            </w:rPr>
          </w:pPr>
          <w:hyperlink w:anchor="_Toc1408093" w:history="1">
            <w:r w:rsidR="001D2514" w:rsidRPr="001D2514">
              <w:rPr>
                <w:rStyle w:val="Hypertextovodkaz"/>
                <w:rFonts w:ascii="Calibri" w:hAnsi="Calibri" w:cs="Calibri"/>
                <w:noProof/>
              </w:rPr>
              <w:t>1.3</w:t>
            </w:r>
            <w:r w:rsidR="001D2514" w:rsidRPr="001D2514">
              <w:rPr>
                <w:rFonts w:ascii="Calibri" w:eastAsiaTheme="minorEastAsia" w:hAnsi="Calibri" w:cs="Calibri"/>
                <w:noProof/>
                <w:lang w:eastAsia="cs-CZ"/>
              </w:rPr>
              <w:tab/>
            </w:r>
            <w:r w:rsidR="001D2514" w:rsidRPr="001D2514">
              <w:rPr>
                <w:rStyle w:val="Hypertextovodkaz"/>
                <w:rFonts w:ascii="Calibri" w:hAnsi="Calibri" w:cs="Calibri"/>
                <w:noProof/>
              </w:rPr>
              <w:t xml:space="preserve">Účel zprávy / </w:t>
            </w:r>
            <w:r w:rsidR="001D2514" w:rsidRPr="001D2514">
              <w:rPr>
                <w:rStyle w:val="Hypertextovodkaz"/>
                <w:rFonts w:ascii="Calibri" w:hAnsi="Calibri" w:cs="Calibri"/>
                <w:i/>
                <w:noProof/>
              </w:rPr>
              <w:t>Purpose of this report</w:t>
            </w:r>
            <w:r w:rsidR="001D2514" w:rsidRPr="001D2514">
              <w:rPr>
                <w:rFonts w:ascii="Calibri" w:hAnsi="Calibri" w:cs="Calibri"/>
                <w:noProof/>
                <w:webHidden/>
              </w:rPr>
              <w:tab/>
            </w:r>
            <w:r w:rsidR="001D2514" w:rsidRPr="001D2514">
              <w:rPr>
                <w:rFonts w:ascii="Calibri" w:hAnsi="Calibri" w:cs="Calibri"/>
                <w:noProof/>
                <w:webHidden/>
              </w:rPr>
              <w:fldChar w:fldCharType="begin"/>
            </w:r>
            <w:r w:rsidR="001D2514" w:rsidRPr="001D2514">
              <w:rPr>
                <w:rFonts w:ascii="Calibri" w:hAnsi="Calibri" w:cs="Calibri"/>
                <w:noProof/>
                <w:webHidden/>
              </w:rPr>
              <w:instrText xml:space="preserve"> PAGEREF _Toc1408093 \h </w:instrText>
            </w:r>
            <w:r w:rsidR="001D2514" w:rsidRPr="001D2514">
              <w:rPr>
                <w:rFonts w:ascii="Calibri" w:hAnsi="Calibri" w:cs="Calibri"/>
                <w:noProof/>
                <w:webHidden/>
              </w:rPr>
            </w:r>
            <w:r w:rsidR="001D2514" w:rsidRPr="001D2514">
              <w:rPr>
                <w:rFonts w:ascii="Calibri" w:hAnsi="Calibri" w:cs="Calibri"/>
                <w:noProof/>
                <w:webHidden/>
              </w:rPr>
              <w:fldChar w:fldCharType="separate"/>
            </w:r>
            <w:r w:rsidR="00766E64">
              <w:rPr>
                <w:rFonts w:ascii="Calibri" w:hAnsi="Calibri" w:cs="Calibri"/>
                <w:noProof/>
                <w:webHidden/>
              </w:rPr>
              <w:t>4</w:t>
            </w:r>
            <w:r w:rsidR="001D2514" w:rsidRPr="001D2514">
              <w:rPr>
                <w:rFonts w:ascii="Calibri" w:hAnsi="Calibri" w:cs="Calibri"/>
                <w:noProof/>
                <w:webHidden/>
              </w:rPr>
              <w:fldChar w:fldCharType="end"/>
            </w:r>
          </w:hyperlink>
        </w:p>
        <w:p w14:paraId="5CC7AB45" w14:textId="77777777" w:rsidR="001D2514" w:rsidRPr="001D2514" w:rsidRDefault="001C1694">
          <w:pPr>
            <w:pStyle w:val="Obsah1"/>
            <w:rPr>
              <w:rFonts w:ascii="Calibri" w:hAnsi="Calibri" w:cs="Calibri"/>
              <w:b w:val="0"/>
              <w:caps w:val="0"/>
              <w:lang w:eastAsia="cs-CZ"/>
            </w:rPr>
          </w:pPr>
          <w:hyperlink w:anchor="_Toc1408094" w:history="1">
            <w:r w:rsidR="001D2514" w:rsidRPr="001D2514">
              <w:rPr>
                <w:rStyle w:val="Hypertextovodkaz"/>
                <w:rFonts w:ascii="Calibri" w:hAnsi="Calibri" w:cs="Calibri"/>
              </w:rPr>
              <w:t>2</w:t>
            </w:r>
            <w:r w:rsidR="001D2514" w:rsidRPr="001D2514">
              <w:rPr>
                <w:rFonts w:ascii="Calibri" w:hAnsi="Calibri" w:cs="Calibri"/>
                <w:b w:val="0"/>
                <w:caps w:val="0"/>
                <w:lang w:eastAsia="cs-CZ"/>
              </w:rPr>
              <w:tab/>
            </w:r>
            <w:r w:rsidR="001D2514" w:rsidRPr="001D2514">
              <w:rPr>
                <w:rStyle w:val="Hypertextovodkaz"/>
                <w:rFonts w:ascii="Calibri" w:hAnsi="Calibri" w:cs="Calibri"/>
              </w:rPr>
              <w:t>Manažerské shrnutí</w:t>
            </w:r>
            <w:r w:rsidR="001D2514" w:rsidRPr="001D2514">
              <w:rPr>
                <w:rFonts w:ascii="Calibri" w:hAnsi="Calibri" w:cs="Calibri"/>
                <w:webHidden/>
              </w:rPr>
              <w:tab/>
            </w:r>
            <w:r w:rsidR="001D2514" w:rsidRPr="001D2514">
              <w:rPr>
                <w:rFonts w:ascii="Calibri" w:hAnsi="Calibri" w:cs="Calibri"/>
                <w:webHidden/>
              </w:rPr>
              <w:fldChar w:fldCharType="begin"/>
            </w:r>
            <w:r w:rsidR="001D2514" w:rsidRPr="001D2514">
              <w:rPr>
                <w:rFonts w:ascii="Calibri" w:hAnsi="Calibri" w:cs="Calibri"/>
                <w:webHidden/>
              </w:rPr>
              <w:instrText xml:space="preserve"> PAGEREF _Toc1408094 \h </w:instrText>
            </w:r>
            <w:r w:rsidR="001D2514" w:rsidRPr="001D2514">
              <w:rPr>
                <w:rFonts w:ascii="Calibri" w:hAnsi="Calibri" w:cs="Calibri"/>
                <w:webHidden/>
              </w:rPr>
            </w:r>
            <w:r w:rsidR="001D2514" w:rsidRPr="001D2514">
              <w:rPr>
                <w:rFonts w:ascii="Calibri" w:hAnsi="Calibri" w:cs="Calibri"/>
                <w:webHidden/>
              </w:rPr>
              <w:fldChar w:fldCharType="separate"/>
            </w:r>
            <w:r w:rsidR="00766E64">
              <w:rPr>
                <w:rFonts w:ascii="Calibri" w:hAnsi="Calibri" w:cs="Calibri"/>
                <w:webHidden/>
              </w:rPr>
              <w:t>5</w:t>
            </w:r>
            <w:r w:rsidR="001D2514" w:rsidRPr="001D2514">
              <w:rPr>
                <w:rFonts w:ascii="Calibri" w:hAnsi="Calibri" w:cs="Calibri"/>
                <w:webHidden/>
              </w:rPr>
              <w:fldChar w:fldCharType="end"/>
            </w:r>
          </w:hyperlink>
        </w:p>
        <w:p w14:paraId="73026BDA" w14:textId="77777777" w:rsidR="001D2514" w:rsidRPr="001D2514" w:rsidRDefault="001C1694">
          <w:pPr>
            <w:pStyle w:val="Obsah1"/>
            <w:rPr>
              <w:rFonts w:ascii="Calibri" w:hAnsi="Calibri" w:cs="Calibri"/>
              <w:b w:val="0"/>
              <w:caps w:val="0"/>
              <w:lang w:eastAsia="cs-CZ"/>
            </w:rPr>
          </w:pPr>
          <w:hyperlink w:anchor="_Toc1408095" w:history="1">
            <w:r w:rsidR="001D2514" w:rsidRPr="001D2514">
              <w:rPr>
                <w:rStyle w:val="Hypertextovodkaz"/>
                <w:rFonts w:ascii="Calibri" w:hAnsi="Calibri" w:cs="Calibri"/>
              </w:rPr>
              <w:t>3</w:t>
            </w:r>
            <w:r w:rsidR="001D2514" w:rsidRPr="001D2514">
              <w:rPr>
                <w:rFonts w:ascii="Calibri" w:hAnsi="Calibri" w:cs="Calibri"/>
                <w:b w:val="0"/>
                <w:caps w:val="0"/>
                <w:lang w:eastAsia="cs-CZ"/>
              </w:rPr>
              <w:tab/>
            </w:r>
            <w:r w:rsidR="001D2514" w:rsidRPr="001D2514">
              <w:rPr>
                <w:rStyle w:val="Hypertextovodkaz"/>
                <w:rFonts w:ascii="Calibri" w:hAnsi="Calibri" w:cs="Calibri"/>
              </w:rPr>
              <w:t>Executive summary</w:t>
            </w:r>
            <w:r w:rsidR="001D2514" w:rsidRPr="001D2514">
              <w:rPr>
                <w:rFonts w:ascii="Calibri" w:hAnsi="Calibri" w:cs="Calibri"/>
                <w:webHidden/>
              </w:rPr>
              <w:tab/>
            </w:r>
            <w:r w:rsidR="001D2514" w:rsidRPr="001D2514">
              <w:rPr>
                <w:rFonts w:ascii="Calibri" w:hAnsi="Calibri" w:cs="Calibri"/>
                <w:webHidden/>
              </w:rPr>
              <w:fldChar w:fldCharType="begin"/>
            </w:r>
            <w:r w:rsidR="001D2514" w:rsidRPr="001D2514">
              <w:rPr>
                <w:rFonts w:ascii="Calibri" w:hAnsi="Calibri" w:cs="Calibri"/>
                <w:webHidden/>
              </w:rPr>
              <w:instrText xml:space="preserve"> PAGEREF _Toc1408095 \h </w:instrText>
            </w:r>
            <w:r w:rsidR="001D2514" w:rsidRPr="001D2514">
              <w:rPr>
                <w:rFonts w:ascii="Calibri" w:hAnsi="Calibri" w:cs="Calibri"/>
                <w:webHidden/>
              </w:rPr>
            </w:r>
            <w:r w:rsidR="001D2514" w:rsidRPr="001D2514">
              <w:rPr>
                <w:rFonts w:ascii="Calibri" w:hAnsi="Calibri" w:cs="Calibri"/>
                <w:webHidden/>
              </w:rPr>
              <w:fldChar w:fldCharType="separate"/>
            </w:r>
            <w:r w:rsidR="00766E64">
              <w:rPr>
                <w:rFonts w:ascii="Calibri" w:hAnsi="Calibri" w:cs="Calibri"/>
                <w:webHidden/>
              </w:rPr>
              <w:t>9</w:t>
            </w:r>
            <w:r w:rsidR="001D2514" w:rsidRPr="001D2514">
              <w:rPr>
                <w:rFonts w:ascii="Calibri" w:hAnsi="Calibri" w:cs="Calibri"/>
                <w:webHidden/>
              </w:rPr>
              <w:fldChar w:fldCharType="end"/>
            </w:r>
          </w:hyperlink>
        </w:p>
        <w:p w14:paraId="189E8DA2" w14:textId="77777777" w:rsidR="00A80531" w:rsidRPr="00B61281" w:rsidRDefault="001E5696" w:rsidP="00501FB8">
          <w:pPr>
            <w:spacing w:after="0"/>
            <w:jc w:val="both"/>
            <w:rPr>
              <w:rFonts w:ascii="Calibri" w:hAnsi="Calibri" w:cs="Calibri"/>
              <w:bCs/>
            </w:rPr>
          </w:pPr>
          <w:r w:rsidRPr="001D2514">
            <w:rPr>
              <w:rFonts w:ascii="Calibri" w:hAnsi="Calibri" w:cs="Calibri"/>
              <w:b/>
              <w:bCs/>
            </w:rPr>
            <w:fldChar w:fldCharType="end"/>
          </w:r>
        </w:p>
      </w:sdtContent>
    </w:sdt>
    <w:p w14:paraId="15AC2FE2" w14:textId="77777777" w:rsidR="00A80531" w:rsidRPr="00B61281" w:rsidRDefault="00A80531" w:rsidP="00E118FD">
      <w:pPr>
        <w:spacing w:after="0"/>
        <w:rPr>
          <w:rFonts w:ascii="Calibri" w:hAnsi="Calibri" w:cs="Calibri"/>
        </w:rPr>
      </w:pPr>
    </w:p>
    <w:p w14:paraId="09B5B524" w14:textId="77777777" w:rsidR="00111433" w:rsidRDefault="00111433" w:rsidP="00E118FD">
      <w:pPr>
        <w:spacing w:after="0"/>
        <w:rPr>
          <w:rFonts w:ascii="Calibri" w:hAnsi="Calibri" w:cs="Calibri"/>
        </w:rPr>
      </w:pPr>
      <w:r>
        <w:rPr>
          <w:rFonts w:ascii="Calibri" w:hAnsi="Calibri" w:cs="Calibri"/>
        </w:rPr>
        <w:br w:type="page"/>
      </w:r>
    </w:p>
    <w:p w14:paraId="48A589D4" w14:textId="79F4678E" w:rsidR="00830835" w:rsidRPr="009D4FB5" w:rsidRDefault="0092260F" w:rsidP="009D4FB5">
      <w:pPr>
        <w:pStyle w:val="Nadpis1"/>
      </w:pPr>
      <w:bookmarkStart w:id="2" w:name="_Toc492628397"/>
      <w:bookmarkStart w:id="3" w:name="_Toc1408090"/>
      <w:r w:rsidRPr="00053DA8">
        <w:lastRenderedPageBreak/>
        <w:t>úvod</w:t>
      </w:r>
      <w:bookmarkEnd w:id="2"/>
      <w:r w:rsidR="009D4FB5">
        <w:t xml:space="preserve"> </w:t>
      </w:r>
      <w:r w:rsidR="009D4FB5" w:rsidRPr="009D4FB5">
        <w:t xml:space="preserve">/ </w:t>
      </w:r>
      <w:r w:rsidR="009D4FB5" w:rsidRPr="009D4FB5">
        <w:rPr>
          <w:i/>
        </w:rPr>
        <w:t>INTROduction</w:t>
      </w:r>
      <w:bookmarkEnd w:id="3"/>
    </w:p>
    <w:p w14:paraId="11A56B5A" w14:textId="3FDD6D9E" w:rsidR="00830835" w:rsidRPr="00AC69E7" w:rsidRDefault="00830835" w:rsidP="00AC69E7">
      <w:pPr>
        <w:pStyle w:val="Nadpis2"/>
        <w:rPr>
          <w:iCs/>
          <w:lang w:val="en-GB"/>
        </w:rPr>
      </w:pPr>
      <w:bookmarkStart w:id="4" w:name="_Toc492628398"/>
      <w:bookmarkStart w:id="5" w:name="_Toc518115756"/>
      <w:bookmarkStart w:id="6" w:name="_Toc1408091"/>
      <w:r w:rsidRPr="00053DA8">
        <w:t>Identifika</w:t>
      </w:r>
      <w:r w:rsidR="0092260F" w:rsidRPr="00053DA8">
        <w:t>ce objednatele a dodavatele</w:t>
      </w:r>
      <w:bookmarkEnd w:id="4"/>
      <w:bookmarkEnd w:id="5"/>
      <w:r w:rsidR="00AC69E7">
        <w:t xml:space="preserve"> / </w:t>
      </w:r>
      <w:bookmarkStart w:id="7" w:name="_Toc478480567"/>
      <w:r w:rsidR="00AC69E7" w:rsidRPr="00AC69E7">
        <w:rPr>
          <w:i/>
          <w:iCs/>
          <w:lang w:val="en-GB"/>
        </w:rPr>
        <w:t>Identification of the contracting authority and of the contractor</w:t>
      </w:r>
      <w:bookmarkEnd w:id="7"/>
      <w:bookmarkEnd w:id="6"/>
    </w:p>
    <w:p w14:paraId="12140D4D" w14:textId="29854D54" w:rsidR="0092260F" w:rsidRPr="00B61281" w:rsidRDefault="0092260F" w:rsidP="00E118FD">
      <w:pPr>
        <w:tabs>
          <w:tab w:val="left" w:pos="1843"/>
        </w:tabs>
        <w:spacing w:after="0"/>
        <w:jc w:val="both"/>
        <w:rPr>
          <w:rFonts w:ascii="Calibri" w:hAnsi="Calibri" w:cs="Calibri"/>
          <w:u w:val="single"/>
        </w:rPr>
      </w:pPr>
      <w:bookmarkStart w:id="8" w:name="_Toc492628400"/>
      <w:r w:rsidRPr="00B61281">
        <w:rPr>
          <w:rFonts w:ascii="Calibri" w:hAnsi="Calibri" w:cs="Calibri"/>
          <w:u w:val="single"/>
        </w:rPr>
        <w:t>Objednatel</w:t>
      </w:r>
      <w:r w:rsidR="009D4FB5" w:rsidRPr="009D4FB5">
        <w:rPr>
          <w:rFonts w:ascii="Calibri" w:eastAsia="Calibri" w:hAnsi="Calibri" w:cs="Tahoma"/>
          <w:szCs w:val="20"/>
          <w:u w:val="single"/>
          <w:lang w:val="en-GB"/>
        </w:rPr>
        <w:t xml:space="preserve"> </w:t>
      </w:r>
      <w:r w:rsidR="009D4FB5">
        <w:rPr>
          <w:rFonts w:ascii="Calibri" w:eastAsia="Calibri" w:hAnsi="Calibri" w:cs="Tahoma"/>
          <w:szCs w:val="20"/>
          <w:u w:val="single"/>
          <w:lang w:val="en-GB"/>
        </w:rPr>
        <w:t xml:space="preserve">/ </w:t>
      </w:r>
      <w:r w:rsidR="009D4FB5" w:rsidRPr="009D4FB5">
        <w:rPr>
          <w:rFonts w:ascii="Calibri" w:eastAsia="Calibri" w:hAnsi="Calibri" w:cs="Tahoma"/>
          <w:i/>
          <w:szCs w:val="20"/>
          <w:u w:val="single"/>
          <w:lang w:val="en-GB"/>
        </w:rPr>
        <w:t>Contracting authority</w:t>
      </w:r>
      <w:r w:rsidRPr="009D4FB5">
        <w:rPr>
          <w:rFonts w:ascii="Calibri" w:hAnsi="Calibri" w:cs="Calibri"/>
          <w:i/>
          <w:u w:val="single"/>
        </w:rPr>
        <w:t>:</w:t>
      </w:r>
    </w:p>
    <w:p w14:paraId="264EFFE4" w14:textId="77777777" w:rsidR="0092260F" w:rsidRPr="00B61281" w:rsidRDefault="0092260F" w:rsidP="00E118FD">
      <w:pPr>
        <w:tabs>
          <w:tab w:val="left" w:pos="1843"/>
        </w:tabs>
        <w:spacing w:after="0"/>
        <w:jc w:val="both"/>
        <w:rPr>
          <w:rFonts w:ascii="Calibri" w:hAnsi="Calibri" w:cs="Calibri"/>
          <w:b/>
        </w:rPr>
      </w:pPr>
      <w:r w:rsidRPr="00B61281">
        <w:rPr>
          <w:rFonts w:ascii="Calibri" w:hAnsi="Calibri" w:cs="Calibri"/>
          <w:b/>
        </w:rPr>
        <w:t>Česká republika - Ministerstvo průmyslu a obchodu</w:t>
      </w:r>
    </w:p>
    <w:p w14:paraId="3FBB9B28" w14:textId="77777777" w:rsidR="0092260F" w:rsidRPr="00B61281" w:rsidRDefault="0092260F" w:rsidP="00E118FD">
      <w:pPr>
        <w:tabs>
          <w:tab w:val="left" w:pos="1843"/>
        </w:tabs>
        <w:spacing w:after="0"/>
        <w:jc w:val="both"/>
        <w:rPr>
          <w:rFonts w:ascii="Calibri" w:hAnsi="Calibri" w:cs="Calibri"/>
        </w:rPr>
      </w:pPr>
      <w:r w:rsidRPr="00B61281">
        <w:rPr>
          <w:rFonts w:ascii="Calibri" w:hAnsi="Calibri" w:cs="Calibri"/>
        </w:rPr>
        <w:t xml:space="preserve">Na Františku 32 </w:t>
      </w:r>
    </w:p>
    <w:p w14:paraId="1B3C1265" w14:textId="77777777" w:rsidR="0092260F" w:rsidRPr="00B61281" w:rsidRDefault="0092260F" w:rsidP="00E118FD">
      <w:pPr>
        <w:tabs>
          <w:tab w:val="left" w:pos="1843"/>
        </w:tabs>
        <w:spacing w:after="0"/>
        <w:jc w:val="both"/>
        <w:rPr>
          <w:rFonts w:ascii="Calibri" w:hAnsi="Calibri" w:cs="Calibri"/>
        </w:rPr>
      </w:pPr>
      <w:r w:rsidRPr="00B61281">
        <w:rPr>
          <w:rFonts w:ascii="Calibri" w:hAnsi="Calibri" w:cs="Calibri"/>
        </w:rPr>
        <w:t>110 15 Praha 1</w:t>
      </w:r>
    </w:p>
    <w:p w14:paraId="6A9A5D64" w14:textId="77777777" w:rsidR="0092260F" w:rsidRPr="00B61281" w:rsidRDefault="001C1694" w:rsidP="00E118FD">
      <w:pPr>
        <w:tabs>
          <w:tab w:val="left" w:pos="1843"/>
        </w:tabs>
        <w:spacing w:after="0"/>
        <w:jc w:val="both"/>
        <w:rPr>
          <w:rFonts w:ascii="Calibri" w:hAnsi="Calibri" w:cs="Calibri"/>
        </w:rPr>
      </w:pPr>
      <w:hyperlink r:id="rId9" w:history="1">
        <w:r w:rsidR="0092260F" w:rsidRPr="00B61281">
          <w:rPr>
            <w:rStyle w:val="Hypertextovodkaz"/>
            <w:rFonts w:ascii="Calibri" w:hAnsi="Calibri" w:cs="Calibri"/>
          </w:rPr>
          <w:t>www.mpo.cz</w:t>
        </w:r>
      </w:hyperlink>
      <w:r w:rsidR="0092260F" w:rsidRPr="00B61281">
        <w:rPr>
          <w:rFonts w:ascii="Calibri" w:hAnsi="Calibri" w:cs="Calibri"/>
        </w:rPr>
        <w:t xml:space="preserve"> </w:t>
      </w:r>
    </w:p>
    <w:p w14:paraId="3EFDC814" w14:textId="77777777" w:rsidR="0092260F" w:rsidRPr="00B61281" w:rsidRDefault="0092260F" w:rsidP="00E118FD">
      <w:pPr>
        <w:tabs>
          <w:tab w:val="left" w:pos="1843"/>
        </w:tabs>
        <w:spacing w:after="0"/>
        <w:jc w:val="both"/>
        <w:rPr>
          <w:rFonts w:ascii="Calibri" w:hAnsi="Calibri" w:cs="Calibri"/>
        </w:rPr>
      </w:pPr>
    </w:p>
    <w:p w14:paraId="28F17FAF" w14:textId="6754B3DC" w:rsidR="0092260F" w:rsidRPr="00B61281" w:rsidRDefault="0092260F" w:rsidP="00E118FD">
      <w:pPr>
        <w:tabs>
          <w:tab w:val="left" w:pos="1843"/>
        </w:tabs>
        <w:spacing w:after="0"/>
        <w:jc w:val="both"/>
        <w:rPr>
          <w:rFonts w:ascii="Calibri" w:hAnsi="Calibri" w:cs="Calibri"/>
          <w:u w:val="single"/>
        </w:rPr>
      </w:pPr>
      <w:r w:rsidRPr="00B61281">
        <w:rPr>
          <w:rFonts w:ascii="Calibri" w:hAnsi="Calibri" w:cs="Calibri"/>
          <w:u w:val="single"/>
        </w:rPr>
        <w:t>Dodavatel</w:t>
      </w:r>
      <w:r w:rsidR="009D4FB5" w:rsidRPr="009D4FB5">
        <w:rPr>
          <w:rFonts w:ascii="Calibri" w:eastAsia="Calibri" w:hAnsi="Calibri" w:cs="Tahoma"/>
          <w:szCs w:val="20"/>
          <w:u w:val="single"/>
          <w:lang w:val="pt-BR"/>
        </w:rPr>
        <w:t xml:space="preserve"> </w:t>
      </w:r>
      <w:r w:rsidR="009D4FB5">
        <w:rPr>
          <w:rFonts w:ascii="Calibri" w:eastAsia="Calibri" w:hAnsi="Calibri" w:cs="Tahoma"/>
          <w:szCs w:val="20"/>
          <w:u w:val="single"/>
          <w:lang w:val="pt-BR"/>
        </w:rPr>
        <w:t xml:space="preserve">/ </w:t>
      </w:r>
      <w:r w:rsidR="009D4FB5" w:rsidRPr="009D4FB5">
        <w:rPr>
          <w:rFonts w:ascii="Calibri" w:eastAsia="Calibri" w:hAnsi="Calibri" w:cs="Tahoma"/>
          <w:i/>
          <w:szCs w:val="20"/>
          <w:u w:val="single"/>
          <w:lang w:val="pt-BR"/>
        </w:rPr>
        <w:t>Contractor</w:t>
      </w:r>
      <w:r w:rsidR="00A10392" w:rsidRPr="009D4FB5">
        <w:rPr>
          <w:rFonts w:ascii="Calibri" w:hAnsi="Calibri" w:cs="Calibri"/>
          <w:i/>
          <w:u w:val="single"/>
        </w:rPr>
        <w:t>:</w:t>
      </w:r>
    </w:p>
    <w:p w14:paraId="53BC1CF0" w14:textId="77777777" w:rsidR="00830835" w:rsidRPr="00B61281" w:rsidRDefault="00830835" w:rsidP="00E118FD">
      <w:pPr>
        <w:tabs>
          <w:tab w:val="left" w:pos="1843"/>
        </w:tabs>
        <w:spacing w:after="0"/>
        <w:jc w:val="both"/>
        <w:rPr>
          <w:rFonts w:ascii="Calibri" w:hAnsi="Calibri" w:cs="Calibri"/>
          <w:b/>
        </w:rPr>
      </w:pPr>
      <w:r w:rsidRPr="00B61281">
        <w:rPr>
          <w:rFonts w:ascii="Calibri" w:hAnsi="Calibri" w:cs="Calibri"/>
          <w:b/>
        </w:rPr>
        <w:t xml:space="preserve">Asociace pro evropské </w:t>
      </w:r>
      <w:proofErr w:type="gramStart"/>
      <w:r w:rsidRPr="00B61281">
        <w:rPr>
          <w:rFonts w:ascii="Calibri" w:hAnsi="Calibri" w:cs="Calibri"/>
          <w:b/>
        </w:rPr>
        <w:t>fondy, z.s.</w:t>
      </w:r>
      <w:proofErr w:type="gramEnd"/>
    </w:p>
    <w:p w14:paraId="72AEFE26" w14:textId="77777777" w:rsidR="0092260F" w:rsidRPr="00B61281" w:rsidRDefault="00830835" w:rsidP="00E118FD">
      <w:pPr>
        <w:tabs>
          <w:tab w:val="left" w:pos="1843"/>
        </w:tabs>
        <w:spacing w:after="0"/>
        <w:jc w:val="both"/>
        <w:rPr>
          <w:rFonts w:ascii="Calibri" w:hAnsi="Calibri" w:cs="Calibri"/>
        </w:rPr>
      </w:pPr>
      <w:r w:rsidRPr="00B61281">
        <w:rPr>
          <w:rFonts w:ascii="Calibri" w:hAnsi="Calibri" w:cs="Calibri"/>
        </w:rPr>
        <w:t>Budějovická 2056/96</w:t>
      </w:r>
    </w:p>
    <w:p w14:paraId="3E58E546" w14:textId="77777777" w:rsidR="00830835" w:rsidRPr="00B61281" w:rsidRDefault="00830835" w:rsidP="00E118FD">
      <w:pPr>
        <w:tabs>
          <w:tab w:val="left" w:pos="1843"/>
        </w:tabs>
        <w:spacing w:after="0"/>
        <w:jc w:val="both"/>
        <w:rPr>
          <w:rFonts w:ascii="Calibri" w:hAnsi="Calibri" w:cs="Calibri"/>
        </w:rPr>
      </w:pPr>
      <w:r w:rsidRPr="00B61281">
        <w:rPr>
          <w:rFonts w:ascii="Calibri" w:hAnsi="Calibri" w:cs="Calibri"/>
        </w:rPr>
        <w:t>140 00 Praha 4 - Krč</w:t>
      </w:r>
    </w:p>
    <w:p w14:paraId="736096CD" w14:textId="77777777" w:rsidR="00830835" w:rsidRPr="00B61281" w:rsidRDefault="00830835" w:rsidP="00E118FD">
      <w:pPr>
        <w:tabs>
          <w:tab w:val="left" w:pos="1843"/>
        </w:tabs>
        <w:spacing w:after="0"/>
        <w:jc w:val="both"/>
        <w:rPr>
          <w:rFonts w:ascii="Calibri" w:hAnsi="Calibri" w:cs="Calibri"/>
        </w:rPr>
      </w:pPr>
      <w:r w:rsidRPr="00B61281">
        <w:rPr>
          <w:rFonts w:ascii="Calibri" w:hAnsi="Calibri" w:cs="Calibri"/>
        </w:rPr>
        <w:t>IČ</w:t>
      </w:r>
      <w:r w:rsidR="0092260F" w:rsidRPr="00B61281">
        <w:rPr>
          <w:rFonts w:ascii="Calibri" w:hAnsi="Calibri" w:cs="Calibri"/>
        </w:rPr>
        <w:t xml:space="preserve">: </w:t>
      </w:r>
      <w:r w:rsidRPr="00B61281">
        <w:rPr>
          <w:rFonts w:ascii="Calibri" w:hAnsi="Calibri" w:cs="Calibri"/>
        </w:rPr>
        <w:t>03104826</w:t>
      </w:r>
    </w:p>
    <w:p w14:paraId="5B8637A6" w14:textId="77777777" w:rsidR="00830835" w:rsidRPr="00B61281" w:rsidRDefault="00830835" w:rsidP="00E118FD">
      <w:pPr>
        <w:tabs>
          <w:tab w:val="left" w:pos="1843"/>
        </w:tabs>
        <w:spacing w:after="0"/>
        <w:jc w:val="both"/>
        <w:rPr>
          <w:rFonts w:ascii="Calibri" w:hAnsi="Calibri" w:cs="Calibri"/>
        </w:rPr>
      </w:pPr>
      <w:r w:rsidRPr="00B61281">
        <w:rPr>
          <w:rFonts w:ascii="Calibri" w:hAnsi="Calibri" w:cs="Calibri"/>
        </w:rPr>
        <w:t>Zastoupena</w:t>
      </w:r>
      <w:r w:rsidR="0092260F" w:rsidRPr="00B61281">
        <w:rPr>
          <w:rFonts w:ascii="Calibri" w:hAnsi="Calibri" w:cs="Calibri"/>
        </w:rPr>
        <w:t xml:space="preserve">: </w:t>
      </w:r>
      <w:r w:rsidRPr="00B61281">
        <w:rPr>
          <w:rFonts w:ascii="Calibri" w:hAnsi="Calibri" w:cs="Calibri"/>
        </w:rPr>
        <w:t>Daniel Mayer, MBA, předseda spolku</w:t>
      </w:r>
    </w:p>
    <w:p w14:paraId="4711BAD7" w14:textId="77777777" w:rsidR="00830835" w:rsidRPr="00B61281" w:rsidRDefault="001C1694" w:rsidP="00E118FD">
      <w:pPr>
        <w:tabs>
          <w:tab w:val="left" w:pos="1843"/>
        </w:tabs>
        <w:spacing w:after="0"/>
        <w:jc w:val="both"/>
        <w:rPr>
          <w:rFonts w:ascii="Calibri" w:hAnsi="Calibri" w:cs="Calibri"/>
        </w:rPr>
      </w:pPr>
      <w:hyperlink r:id="rId10" w:history="1">
        <w:r w:rsidR="0092260F" w:rsidRPr="00B61281">
          <w:rPr>
            <w:rStyle w:val="Hypertextovodkaz"/>
            <w:rFonts w:ascii="Calibri" w:hAnsi="Calibri" w:cs="Calibri"/>
          </w:rPr>
          <w:t>www.apef.cz</w:t>
        </w:r>
      </w:hyperlink>
      <w:r w:rsidR="0092260F" w:rsidRPr="00B61281">
        <w:rPr>
          <w:rFonts w:ascii="Calibri" w:hAnsi="Calibri" w:cs="Calibri"/>
        </w:rPr>
        <w:t xml:space="preserve"> </w:t>
      </w:r>
    </w:p>
    <w:p w14:paraId="0E39944A" w14:textId="77777777" w:rsidR="00830835" w:rsidRPr="00B61281" w:rsidRDefault="00830835" w:rsidP="00E118FD">
      <w:pPr>
        <w:tabs>
          <w:tab w:val="left" w:pos="1843"/>
        </w:tabs>
        <w:spacing w:after="0"/>
        <w:jc w:val="both"/>
        <w:rPr>
          <w:rFonts w:ascii="Calibri" w:hAnsi="Calibri" w:cs="Calibri"/>
        </w:rPr>
      </w:pPr>
    </w:p>
    <w:p w14:paraId="51FA879D" w14:textId="251606D6" w:rsidR="003D7134" w:rsidRPr="00B61281" w:rsidRDefault="0092260F" w:rsidP="00E118FD">
      <w:pPr>
        <w:tabs>
          <w:tab w:val="left" w:pos="1843"/>
        </w:tabs>
        <w:spacing w:after="0"/>
        <w:jc w:val="both"/>
        <w:rPr>
          <w:rFonts w:ascii="Calibri" w:hAnsi="Calibri" w:cs="Calibri"/>
          <w:u w:val="single"/>
        </w:rPr>
      </w:pPr>
      <w:bookmarkStart w:id="9" w:name="_Toc518115758"/>
      <w:bookmarkStart w:id="10" w:name="_Toc452579138"/>
      <w:bookmarkStart w:id="11" w:name="_Toc492628401"/>
      <w:bookmarkEnd w:id="8"/>
      <w:r w:rsidRPr="00B61281">
        <w:rPr>
          <w:rFonts w:ascii="Calibri" w:hAnsi="Calibri" w:cs="Calibri"/>
          <w:u w:val="single"/>
        </w:rPr>
        <w:t>Poddodavatelé</w:t>
      </w:r>
      <w:bookmarkEnd w:id="9"/>
      <w:r w:rsidR="009524B2">
        <w:rPr>
          <w:rFonts w:ascii="Calibri" w:hAnsi="Calibri" w:cs="Calibri"/>
          <w:u w:val="single"/>
        </w:rPr>
        <w:t xml:space="preserve"> / </w:t>
      </w:r>
      <w:r w:rsidR="009524B2" w:rsidRPr="009524B2">
        <w:rPr>
          <w:rFonts w:ascii="Calibri" w:hAnsi="Calibri" w:cs="Calibri"/>
          <w:i/>
          <w:u w:val="single"/>
        </w:rPr>
        <w:t>Subco</w:t>
      </w:r>
      <w:r w:rsidR="00AB215B">
        <w:rPr>
          <w:rFonts w:ascii="Calibri" w:hAnsi="Calibri" w:cs="Calibri"/>
          <w:i/>
          <w:u w:val="single"/>
        </w:rPr>
        <w:t>n</w:t>
      </w:r>
      <w:r w:rsidR="009524B2" w:rsidRPr="009524B2">
        <w:rPr>
          <w:rFonts w:ascii="Calibri" w:hAnsi="Calibri" w:cs="Calibri"/>
          <w:i/>
          <w:u w:val="single"/>
        </w:rPr>
        <w:t>tractors</w:t>
      </w:r>
      <w:r w:rsidR="00A10392">
        <w:rPr>
          <w:rFonts w:ascii="Calibri" w:hAnsi="Calibri" w:cs="Calibri"/>
          <w:u w:val="single"/>
        </w:rPr>
        <w: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2"/>
        <w:gridCol w:w="4664"/>
      </w:tblGrid>
      <w:tr w:rsidR="00EC5DAA" w14:paraId="36F249E9" w14:textId="77777777" w:rsidTr="00EC5DAA">
        <w:tc>
          <w:tcPr>
            <w:tcW w:w="4829" w:type="dxa"/>
          </w:tcPr>
          <w:p w14:paraId="13317CBC" w14:textId="77777777" w:rsidR="00EC5DAA" w:rsidRPr="00B61281" w:rsidRDefault="00EC5DAA" w:rsidP="00E118FD">
            <w:pPr>
              <w:tabs>
                <w:tab w:val="left" w:pos="1843"/>
              </w:tabs>
              <w:spacing w:line="276" w:lineRule="auto"/>
              <w:jc w:val="both"/>
              <w:rPr>
                <w:rFonts w:ascii="Calibri" w:hAnsi="Calibri" w:cs="Calibri"/>
              </w:rPr>
            </w:pPr>
            <w:r w:rsidRPr="00B61281">
              <w:rPr>
                <w:rFonts w:ascii="Calibri" w:hAnsi="Calibri" w:cs="Calibri"/>
              </w:rPr>
              <w:t>EUFC CZ s.r.o.</w:t>
            </w:r>
          </w:p>
          <w:p w14:paraId="6C8B04F2" w14:textId="77777777" w:rsidR="00EC5DAA" w:rsidRPr="00B61281" w:rsidRDefault="00EC5DAA" w:rsidP="00E118FD">
            <w:pPr>
              <w:tabs>
                <w:tab w:val="left" w:pos="1843"/>
              </w:tabs>
              <w:spacing w:line="276" w:lineRule="auto"/>
              <w:jc w:val="both"/>
              <w:rPr>
                <w:rFonts w:ascii="Calibri" w:hAnsi="Calibri" w:cs="Calibri"/>
              </w:rPr>
            </w:pPr>
            <w:r w:rsidRPr="00B61281">
              <w:rPr>
                <w:rFonts w:ascii="Calibri" w:hAnsi="Calibri" w:cs="Calibri"/>
              </w:rPr>
              <w:t>Popelova 399/75</w:t>
            </w:r>
          </w:p>
          <w:p w14:paraId="2C49B126" w14:textId="77777777" w:rsidR="00EC5DAA" w:rsidRPr="00B61281" w:rsidRDefault="00EC5DAA" w:rsidP="00E118FD">
            <w:pPr>
              <w:tabs>
                <w:tab w:val="left" w:pos="1843"/>
              </w:tabs>
              <w:spacing w:line="276" w:lineRule="auto"/>
              <w:jc w:val="both"/>
              <w:rPr>
                <w:rFonts w:ascii="Calibri" w:hAnsi="Calibri" w:cs="Calibri"/>
              </w:rPr>
            </w:pPr>
            <w:r w:rsidRPr="00B61281">
              <w:rPr>
                <w:rFonts w:ascii="Calibri" w:hAnsi="Calibri" w:cs="Calibri"/>
              </w:rPr>
              <w:t>620 00 Brno</w:t>
            </w:r>
          </w:p>
          <w:p w14:paraId="221DD4C0" w14:textId="77777777" w:rsidR="00EC5DAA" w:rsidRPr="00B61281" w:rsidRDefault="00EC5DAA" w:rsidP="00E118FD">
            <w:pPr>
              <w:tabs>
                <w:tab w:val="left" w:pos="1843"/>
              </w:tabs>
              <w:spacing w:line="276" w:lineRule="auto"/>
              <w:jc w:val="both"/>
              <w:rPr>
                <w:rFonts w:ascii="Calibri" w:hAnsi="Calibri" w:cs="Calibri"/>
              </w:rPr>
            </w:pPr>
            <w:r w:rsidRPr="00B61281">
              <w:rPr>
                <w:rFonts w:ascii="Calibri" w:hAnsi="Calibri" w:cs="Calibri"/>
              </w:rPr>
              <w:t>IČ: 26942364</w:t>
            </w:r>
          </w:p>
          <w:p w14:paraId="6D778A56" w14:textId="77777777" w:rsidR="00EC5DAA" w:rsidRDefault="001C1694" w:rsidP="00E118FD">
            <w:pPr>
              <w:tabs>
                <w:tab w:val="left" w:pos="1843"/>
              </w:tabs>
              <w:spacing w:line="276" w:lineRule="auto"/>
              <w:jc w:val="both"/>
              <w:rPr>
                <w:rFonts w:ascii="Calibri" w:hAnsi="Calibri" w:cs="Calibri"/>
              </w:rPr>
            </w:pPr>
            <w:hyperlink r:id="rId11" w:history="1">
              <w:r w:rsidR="00EC5DAA" w:rsidRPr="00B61281">
                <w:rPr>
                  <w:rStyle w:val="Hypertextovodkaz"/>
                  <w:rFonts w:ascii="Calibri" w:hAnsi="Calibri" w:cs="Calibri"/>
                </w:rPr>
                <w:t>www.eufc.cz</w:t>
              </w:r>
            </w:hyperlink>
            <w:r w:rsidR="00EC5DAA">
              <w:rPr>
                <w:rFonts w:ascii="Calibri" w:hAnsi="Calibri" w:cs="Calibri"/>
              </w:rPr>
              <w:t xml:space="preserve"> </w:t>
            </w:r>
          </w:p>
          <w:p w14:paraId="1E02F51D" w14:textId="77777777" w:rsidR="00EC5DAA" w:rsidRDefault="00EC5DAA" w:rsidP="00E118FD">
            <w:pPr>
              <w:tabs>
                <w:tab w:val="left" w:pos="1843"/>
              </w:tabs>
              <w:spacing w:line="276" w:lineRule="auto"/>
              <w:jc w:val="both"/>
              <w:rPr>
                <w:rFonts w:ascii="Calibri" w:hAnsi="Calibri" w:cs="Calibri"/>
              </w:rPr>
            </w:pPr>
          </w:p>
        </w:tc>
        <w:tc>
          <w:tcPr>
            <w:tcW w:w="4829" w:type="dxa"/>
          </w:tcPr>
          <w:p w14:paraId="7282145A" w14:textId="77777777" w:rsidR="000F11BA" w:rsidRPr="00B61281" w:rsidRDefault="000F11BA" w:rsidP="000F11BA">
            <w:pPr>
              <w:tabs>
                <w:tab w:val="left" w:pos="1843"/>
              </w:tabs>
              <w:spacing w:line="276" w:lineRule="auto"/>
              <w:jc w:val="both"/>
              <w:rPr>
                <w:rFonts w:ascii="Calibri" w:hAnsi="Calibri" w:cs="Calibri"/>
              </w:rPr>
            </w:pPr>
            <w:r w:rsidRPr="00B61281">
              <w:rPr>
                <w:rFonts w:ascii="Calibri" w:hAnsi="Calibri" w:cs="Calibri"/>
              </w:rPr>
              <w:t>Evaluation Advisory CE s.r.o.</w:t>
            </w:r>
          </w:p>
          <w:p w14:paraId="0353B117" w14:textId="77777777" w:rsidR="000F11BA" w:rsidRPr="00B61281" w:rsidRDefault="000F11BA" w:rsidP="000F11BA">
            <w:pPr>
              <w:tabs>
                <w:tab w:val="left" w:pos="1843"/>
              </w:tabs>
              <w:spacing w:line="276" w:lineRule="auto"/>
              <w:jc w:val="both"/>
              <w:rPr>
                <w:rFonts w:ascii="Calibri" w:hAnsi="Calibri" w:cs="Calibri"/>
              </w:rPr>
            </w:pPr>
            <w:r w:rsidRPr="00B61281">
              <w:rPr>
                <w:rFonts w:ascii="Calibri" w:hAnsi="Calibri" w:cs="Calibri"/>
              </w:rPr>
              <w:t>Křižíkova 2987/70b</w:t>
            </w:r>
          </w:p>
          <w:p w14:paraId="3CBD8484" w14:textId="77777777" w:rsidR="000F11BA" w:rsidRPr="00B61281" w:rsidRDefault="000F11BA" w:rsidP="000F11BA">
            <w:pPr>
              <w:tabs>
                <w:tab w:val="left" w:pos="1843"/>
              </w:tabs>
              <w:spacing w:line="276" w:lineRule="auto"/>
              <w:jc w:val="both"/>
              <w:rPr>
                <w:rFonts w:ascii="Calibri" w:hAnsi="Calibri" w:cs="Calibri"/>
              </w:rPr>
            </w:pPr>
            <w:r w:rsidRPr="00B61281">
              <w:rPr>
                <w:rFonts w:ascii="Calibri" w:hAnsi="Calibri" w:cs="Calibri"/>
              </w:rPr>
              <w:t>612 00 Brno</w:t>
            </w:r>
          </w:p>
          <w:p w14:paraId="4D918888" w14:textId="77777777" w:rsidR="000F11BA" w:rsidRPr="00B61281" w:rsidRDefault="000F11BA" w:rsidP="000F11BA">
            <w:pPr>
              <w:tabs>
                <w:tab w:val="left" w:pos="1843"/>
              </w:tabs>
              <w:spacing w:line="276" w:lineRule="auto"/>
              <w:jc w:val="both"/>
              <w:rPr>
                <w:rFonts w:ascii="Calibri" w:hAnsi="Calibri" w:cs="Calibri"/>
              </w:rPr>
            </w:pPr>
            <w:r w:rsidRPr="00B61281">
              <w:rPr>
                <w:rFonts w:ascii="Calibri" w:hAnsi="Calibri" w:cs="Calibri"/>
              </w:rPr>
              <w:t>IČ: 25342282</w:t>
            </w:r>
          </w:p>
          <w:p w14:paraId="632FAC4F" w14:textId="77777777" w:rsidR="00EC5DAA" w:rsidRDefault="001C1694" w:rsidP="000F11BA">
            <w:pPr>
              <w:tabs>
                <w:tab w:val="left" w:pos="1843"/>
              </w:tabs>
              <w:spacing w:line="276" w:lineRule="auto"/>
              <w:jc w:val="both"/>
              <w:rPr>
                <w:rFonts w:ascii="Calibri" w:hAnsi="Calibri" w:cs="Calibri"/>
              </w:rPr>
            </w:pPr>
            <w:hyperlink r:id="rId12" w:history="1">
              <w:r w:rsidR="000F11BA" w:rsidRPr="00B61281">
                <w:rPr>
                  <w:rStyle w:val="Hypertextovodkaz"/>
                  <w:rFonts w:ascii="Calibri" w:hAnsi="Calibri" w:cs="Calibri"/>
                </w:rPr>
                <w:t>www.eace.cz</w:t>
              </w:r>
            </w:hyperlink>
          </w:p>
        </w:tc>
      </w:tr>
      <w:bookmarkEnd w:id="10"/>
      <w:bookmarkEnd w:id="11"/>
    </w:tbl>
    <w:p w14:paraId="080A491D" w14:textId="77777777" w:rsidR="00EC5DAA" w:rsidRDefault="00EC5DAA" w:rsidP="00E118FD">
      <w:pPr>
        <w:tabs>
          <w:tab w:val="left" w:pos="1843"/>
        </w:tabs>
        <w:spacing w:after="0"/>
        <w:jc w:val="both"/>
        <w:rPr>
          <w:rFonts w:ascii="Calibri" w:hAnsi="Calibri" w:cs="Calibri"/>
        </w:rPr>
      </w:pPr>
    </w:p>
    <w:p w14:paraId="0DA38C5E" w14:textId="14CD06A7" w:rsidR="0092260F" w:rsidRPr="00B61281" w:rsidRDefault="0092260F" w:rsidP="00053DA8">
      <w:pPr>
        <w:pStyle w:val="Nadpis2"/>
        <w:ind w:left="578" w:hanging="578"/>
      </w:pPr>
      <w:bookmarkStart w:id="12" w:name="_Toc472871707"/>
      <w:bookmarkStart w:id="13" w:name="_Toc1408092"/>
      <w:r w:rsidRPr="00B61281">
        <w:t>Cíle evaluačního projektu</w:t>
      </w:r>
      <w:bookmarkEnd w:id="12"/>
      <w:r w:rsidR="009524B2">
        <w:t xml:space="preserve"> / </w:t>
      </w:r>
      <w:r w:rsidR="009524B2" w:rsidRPr="009524B2">
        <w:rPr>
          <w:i/>
        </w:rPr>
        <w:t>Scopes of the evaluation project</w:t>
      </w:r>
      <w:bookmarkEnd w:id="13"/>
    </w:p>
    <w:p w14:paraId="564CB9C7" w14:textId="77777777" w:rsidR="0092260F" w:rsidRDefault="00A10392" w:rsidP="000F11BA">
      <w:pPr>
        <w:spacing w:after="0"/>
        <w:rPr>
          <w:rFonts w:ascii="Calibri" w:hAnsi="Calibri" w:cs="Calibri"/>
        </w:rPr>
      </w:pPr>
      <w:r>
        <w:rPr>
          <w:rFonts w:ascii="Calibri" w:hAnsi="Calibri" w:cs="Calibri"/>
        </w:rPr>
        <w:t>Cílem evaluačního projektu je posouzení toho, jak podpora z Evropských strukturálních a investičních fondů v programovém období 2014 – 2020 přispívá k dosazování specifických cílů 2.1 a 2.2 OP PIK, včetně hodnocení principu 3E na úrovni jednotlivých programů podpory</w:t>
      </w:r>
      <w:r w:rsidR="007E2AF2">
        <w:rPr>
          <w:rFonts w:ascii="Calibri" w:hAnsi="Calibri" w:cs="Calibri"/>
        </w:rPr>
        <w:t xml:space="preserve"> i samotných specifických cílů. Výsledná zjištění jsou doplněna o doporučení k efektivnějšímu nastavení intervencí ve zbývajících letech stávajícího programového období i s výhledem na příští programové období po roce 2021.</w:t>
      </w:r>
    </w:p>
    <w:p w14:paraId="35C372B8" w14:textId="77777777" w:rsidR="009524B2" w:rsidRDefault="009524B2" w:rsidP="000F11BA">
      <w:pPr>
        <w:spacing w:after="0"/>
        <w:rPr>
          <w:rFonts w:ascii="Calibri" w:hAnsi="Calibri" w:cs="Calibri"/>
        </w:rPr>
      </w:pPr>
    </w:p>
    <w:p w14:paraId="1884F6FB" w14:textId="6D19532A" w:rsidR="009524B2" w:rsidRPr="009524B2" w:rsidRDefault="009524B2" w:rsidP="000F11BA">
      <w:pPr>
        <w:spacing w:after="0"/>
        <w:rPr>
          <w:rFonts w:ascii="Calibri" w:hAnsi="Calibri" w:cs="Calibri"/>
          <w:i/>
        </w:rPr>
      </w:pPr>
      <w:r w:rsidRPr="009524B2">
        <w:rPr>
          <w:rFonts w:ascii="Calibri" w:hAnsi="Calibri" w:cs="Calibri"/>
          <w:i/>
        </w:rPr>
        <w:t>The objective of the evaluation project is to assess how support from the E</w:t>
      </w:r>
      <w:r>
        <w:rPr>
          <w:rFonts w:ascii="Calibri" w:hAnsi="Calibri" w:cs="Calibri"/>
          <w:i/>
        </w:rPr>
        <w:t>uropean Structural and Investment Funds</w:t>
      </w:r>
      <w:r w:rsidRPr="009524B2">
        <w:rPr>
          <w:rFonts w:ascii="Calibri" w:hAnsi="Calibri" w:cs="Calibri"/>
          <w:i/>
        </w:rPr>
        <w:t xml:space="preserve"> in the programming period 2014-2020 contributes to the implementation of the specific objectives 2.1 and 2.2 of the OP </w:t>
      </w:r>
      <w:r w:rsidR="006D0660">
        <w:rPr>
          <w:rFonts w:ascii="Calibri" w:hAnsi="Calibri" w:cs="Calibri"/>
          <w:i/>
        </w:rPr>
        <w:t>EIC</w:t>
      </w:r>
      <w:r w:rsidRPr="009524B2">
        <w:rPr>
          <w:rFonts w:ascii="Calibri" w:hAnsi="Calibri" w:cs="Calibri"/>
          <w:i/>
        </w:rPr>
        <w:t>, including the evaluation of the 3E principle at the level of the individual support programs as well as the specific objectives themselves. The resulting findings are complemented by recommendations for a more effective adjustment of interventions in the remaining years of the current programming period and with a view to the next programming period after 2021.</w:t>
      </w:r>
    </w:p>
    <w:p w14:paraId="4003CB82" w14:textId="77777777" w:rsidR="009524B2" w:rsidRDefault="009524B2" w:rsidP="000F11BA">
      <w:pPr>
        <w:spacing w:after="0"/>
        <w:rPr>
          <w:rFonts w:ascii="Calibri" w:hAnsi="Calibri" w:cs="Calibri"/>
        </w:rPr>
      </w:pPr>
    </w:p>
    <w:p w14:paraId="587FFA02" w14:textId="77777777" w:rsidR="00053DA8" w:rsidRPr="00B61281" w:rsidRDefault="00053DA8" w:rsidP="00053DA8">
      <w:pPr>
        <w:spacing w:after="0"/>
        <w:ind w:left="720"/>
        <w:rPr>
          <w:rFonts w:ascii="Calibri" w:hAnsi="Calibri" w:cs="Calibri"/>
        </w:rPr>
      </w:pPr>
    </w:p>
    <w:p w14:paraId="40A6FC16" w14:textId="494104E9" w:rsidR="0092260F" w:rsidRPr="00B61281" w:rsidRDefault="0092260F" w:rsidP="00053DA8">
      <w:pPr>
        <w:pStyle w:val="Nadpis2"/>
        <w:ind w:left="578" w:hanging="578"/>
      </w:pPr>
      <w:bookmarkStart w:id="14" w:name="_Toc472871708"/>
      <w:bookmarkStart w:id="15" w:name="_Toc1408093"/>
      <w:r w:rsidRPr="00B61281">
        <w:lastRenderedPageBreak/>
        <w:t>Účel zprávy</w:t>
      </w:r>
      <w:bookmarkEnd w:id="14"/>
      <w:r w:rsidR="00C709B3">
        <w:t xml:space="preserve"> / </w:t>
      </w:r>
      <w:r w:rsidR="00C709B3" w:rsidRPr="00C709B3">
        <w:rPr>
          <w:i/>
        </w:rPr>
        <w:t>Purpose of this report</w:t>
      </w:r>
      <w:bookmarkEnd w:id="15"/>
    </w:p>
    <w:p w14:paraId="6121BE45" w14:textId="77777777" w:rsidR="00A10392" w:rsidRDefault="00A10392" w:rsidP="00A10392">
      <w:pPr>
        <w:spacing w:after="0"/>
        <w:rPr>
          <w:rFonts w:ascii="Calibri" w:hAnsi="Calibri" w:cs="Calibri"/>
        </w:rPr>
      </w:pPr>
      <w:r w:rsidRPr="00A10392">
        <w:rPr>
          <w:rFonts w:ascii="Calibri" w:hAnsi="Calibri" w:cs="Calibri"/>
        </w:rPr>
        <w:t xml:space="preserve">Účelem této zprávy je shrnout zjištění, ke kterým hodnotitel dospěl při řešení jednotlivých </w:t>
      </w:r>
      <w:r>
        <w:rPr>
          <w:rFonts w:ascii="Calibri" w:hAnsi="Calibri" w:cs="Calibri"/>
        </w:rPr>
        <w:t>evaluačních otázek</w:t>
      </w:r>
      <w:r w:rsidRPr="00A10392">
        <w:rPr>
          <w:rFonts w:ascii="Calibri" w:hAnsi="Calibri" w:cs="Calibri"/>
        </w:rPr>
        <w:t xml:space="preserve">, poskytnout </w:t>
      </w:r>
      <w:r>
        <w:rPr>
          <w:rFonts w:ascii="Calibri" w:hAnsi="Calibri" w:cs="Calibri"/>
        </w:rPr>
        <w:t>objednateli</w:t>
      </w:r>
      <w:r w:rsidRPr="00A10392">
        <w:rPr>
          <w:rFonts w:ascii="Calibri" w:hAnsi="Calibri" w:cs="Calibri"/>
        </w:rPr>
        <w:t xml:space="preserve"> informace o průběhu prací a aplikovaným postupem při zpracování zakázky, provedenými aktivitami a zpracovanými výstupy. </w:t>
      </w:r>
    </w:p>
    <w:p w14:paraId="668D3495" w14:textId="77777777" w:rsidR="00A10392" w:rsidRPr="00A10392" w:rsidRDefault="00A10392" w:rsidP="00A10392">
      <w:pPr>
        <w:spacing w:after="0"/>
        <w:rPr>
          <w:rFonts w:ascii="Calibri" w:hAnsi="Calibri" w:cs="Calibri"/>
        </w:rPr>
      </w:pPr>
    </w:p>
    <w:p w14:paraId="522717F6" w14:textId="77777777" w:rsidR="00A10392" w:rsidRDefault="00A10392" w:rsidP="00A10392">
      <w:pPr>
        <w:spacing w:after="0"/>
        <w:rPr>
          <w:rFonts w:ascii="Calibri" w:hAnsi="Calibri" w:cs="Calibri"/>
        </w:rPr>
      </w:pPr>
      <w:r w:rsidRPr="00A10392">
        <w:rPr>
          <w:rFonts w:ascii="Calibri" w:hAnsi="Calibri" w:cs="Calibri"/>
        </w:rPr>
        <w:t xml:space="preserve">Na základě realizovaných aktivit hodnotitele obsahuje předkládaná Závěrečná zpráva (ZZ) sumarizované informace a </w:t>
      </w:r>
      <w:r>
        <w:rPr>
          <w:rFonts w:ascii="Calibri" w:hAnsi="Calibri" w:cs="Calibri"/>
        </w:rPr>
        <w:t>zjištění týkající se zhodnocení dosažených výsledků OP PIK v části zaměřené na zvýšení konkurenceschopnosti začínajících a rozvojových MSP a zvýšení internacionalizace MSP.</w:t>
      </w:r>
    </w:p>
    <w:p w14:paraId="40CF1E6B" w14:textId="77777777" w:rsidR="007E2AF2" w:rsidRDefault="007E2AF2" w:rsidP="00A10392">
      <w:pPr>
        <w:spacing w:after="0"/>
        <w:rPr>
          <w:rFonts w:ascii="Calibri" w:hAnsi="Calibri" w:cs="Calibri"/>
        </w:rPr>
      </w:pPr>
    </w:p>
    <w:p w14:paraId="64CED7D8" w14:textId="77777777" w:rsidR="007E2AF2" w:rsidRPr="00A10392" w:rsidRDefault="007E2AF2" w:rsidP="00A10392">
      <w:pPr>
        <w:spacing w:after="0"/>
        <w:rPr>
          <w:rFonts w:ascii="Calibri" w:hAnsi="Calibri" w:cs="Calibri"/>
        </w:rPr>
      </w:pPr>
      <w:r>
        <w:rPr>
          <w:rFonts w:ascii="Calibri" w:hAnsi="Calibri" w:cs="Calibri"/>
        </w:rPr>
        <w:t xml:space="preserve">Předpokládá se, že výstupy z evaluace budou objednatelem využity pro potřeby Zprávy o plnění Dohody o partnerství za rok 2018. </w:t>
      </w:r>
    </w:p>
    <w:p w14:paraId="6E3B65AA" w14:textId="77777777" w:rsidR="00053DA8" w:rsidRDefault="0092260F" w:rsidP="00E118FD">
      <w:pPr>
        <w:spacing w:after="0"/>
        <w:rPr>
          <w:rFonts w:ascii="Calibri" w:hAnsi="Calibri" w:cs="Calibri"/>
        </w:rPr>
      </w:pPr>
      <w:r w:rsidRPr="00B61281">
        <w:rPr>
          <w:rFonts w:ascii="Calibri" w:hAnsi="Calibri" w:cs="Calibri"/>
        </w:rPr>
        <w:t xml:space="preserve"> </w:t>
      </w:r>
    </w:p>
    <w:p w14:paraId="79BD67A2" w14:textId="3099C927" w:rsidR="000722BD" w:rsidRPr="00C709B3" w:rsidRDefault="00C709B3" w:rsidP="00F4459F">
      <w:pPr>
        <w:spacing w:after="0"/>
        <w:rPr>
          <w:rFonts w:ascii="Calibri" w:hAnsi="Calibri" w:cs="Calibri"/>
          <w:i/>
        </w:rPr>
      </w:pPr>
      <w:r w:rsidRPr="00C709B3">
        <w:rPr>
          <w:rFonts w:ascii="Calibri" w:hAnsi="Calibri" w:cs="Calibri"/>
          <w:i/>
        </w:rPr>
        <w:t>The purpose of this report is to summarize the findings the evaluator has reached in solving individual evaluation questions to provide the client with information on the progress of the work and the applied process of the contract, the activities carried out and the outputs processed.</w:t>
      </w:r>
      <w:r w:rsidRPr="00C709B3">
        <w:rPr>
          <w:rFonts w:ascii="Calibri" w:hAnsi="Calibri" w:cs="Calibri"/>
          <w:i/>
        </w:rPr>
        <w:br/>
      </w:r>
      <w:r w:rsidRPr="00C709B3">
        <w:rPr>
          <w:rFonts w:ascii="Calibri" w:hAnsi="Calibri" w:cs="Calibri"/>
          <w:i/>
        </w:rPr>
        <w:br/>
        <w:t>On the basis of the activities carried out, the evaluator includes the submitted Fina</w:t>
      </w:r>
      <w:r>
        <w:rPr>
          <w:rFonts w:ascii="Calibri" w:hAnsi="Calibri" w:cs="Calibri"/>
          <w:i/>
        </w:rPr>
        <w:t xml:space="preserve">l Report </w:t>
      </w:r>
      <w:r w:rsidRPr="00C709B3">
        <w:rPr>
          <w:rFonts w:ascii="Calibri" w:hAnsi="Calibri" w:cs="Calibri"/>
          <w:i/>
        </w:rPr>
        <w:t xml:space="preserve">summarized information and findings concerning the evaluation of achieved OP </w:t>
      </w:r>
      <w:r w:rsidR="006D0660">
        <w:rPr>
          <w:rFonts w:ascii="Calibri" w:hAnsi="Calibri" w:cs="Calibri"/>
          <w:i/>
        </w:rPr>
        <w:t>EIC</w:t>
      </w:r>
      <w:r w:rsidRPr="00C709B3">
        <w:rPr>
          <w:rFonts w:ascii="Calibri" w:hAnsi="Calibri" w:cs="Calibri"/>
          <w:i/>
        </w:rPr>
        <w:t xml:space="preserve"> results in a section focused on increasing the competitiveness of start-up and developing SMEs and increasing the internationalization of SMEs.</w:t>
      </w:r>
      <w:r w:rsidRPr="00C709B3">
        <w:rPr>
          <w:rFonts w:ascii="Calibri" w:hAnsi="Calibri" w:cs="Calibri"/>
          <w:i/>
        </w:rPr>
        <w:br/>
      </w:r>
      <w:r w:rsidRPr="00C709B3">
        <w:rPr>
          <w:rFonts w:ascii="Calibri" w:hAnsi="Calibri" w:cs="Calibri"/>
          <w:i/>
        </w:rPr>
        <w:br/>
        <w:t>It is assumed that the outputs of the evaluation will be used by the Client for the purposes of the Report on the Implementation of the Partnership Agreement for 2018.</w:t>
      </w:r>
    </w:p>
    <w:p w14:paraId="723DA337" w14:textId="77777777" w:rsidR="00F4459F" w:rsidRPr="00F4459F" w:rsidRDefault="00F4459F" w:rsidP="00F4459F">
      <w:pPr>
        <w:spacing w:after="0"/>
        <w:rPr>
          <w:rFonts w:ascii="Calibri" w:hAnsi="Calibri" w:cs="Calibri"/>
        </w:rPr>
      </w:pPr>
      <w:r w:rsidRPr="00F4459F">
        <w:rPr>
          <w:rFonts w:ascii="Calibri" w:hAnsi="Calibri" w:cs="Calibri"/>
        </w:rPr>
        <w:t xml:space="preserve"> </w:t>
      </w:r>
    </w:p>
    <w:p w14:paraId="41AB6E71" w14:textId="77777777" w:rsidR="00053DA8" w:rsidRDefault="00053DA8" w:rsidP="007837BC">
      <w:pPr>
        <w:spacing w:after="0"/>
        <w:rPr>
          <w:rFonts w:ascii="Calibri" w:hAnsi="Calibri" w:cs="Calibri"/>
        </w:rPr>
      </w:pPr>
    </w:p>
    <w:p w14:paraId="68B8A975" w14:textId="77777777" w:rsidR="006967DC" w:rsidRDefault="006967DC" w:rsidP="006967DC">
      <w:pPr>
        <w:pStyle w:val="Nadpis1"/>
        <w:ind w:left="431" w:hanging="431"/>
      </w:pPr>
      <w:bookmarkStart w:id="16" w:name="_Toc1408094"/>
      <w:r>
        <w:lastRenderedPageBreak/>
        <w:t>Manažerské shrnutí</w:t>
      </w:r>
      <w:bookmarkEnd w:id="16"/>
    </w:p>
    <w:p w14:paraId="51504E45" w14:textId="77777777" w:rsidR="003D3BEB" w:rsidRPr="003D3BEB" w:rsidRDefault="003D3BEB" w:rsidP="003D3BEB">
      <w:pPr>
        <w:spacing w:after="0"/>
        <w:rPr>
          <w:rFonts w:ascii="Calibri" w:eastAsia="Calibri" w:hAnsi="Calibri" w:cs="Calibri"/>
          <w:lang w:eastAsia="sk-SK"/>
        </w:rPr>
      </w:pPr>
      <w:r w:rsidRPr="003D3BEB">
        <w:rPr>
          <w:rFonts w:ascii="Calibri" w:eastAsia="Calibri" w:hAnsi="Calibri" w:cs="Calibri"/>
          <w:lang w:eastAsia="sk-SK"/>
        </w:rPr>
        <w:t>Na základě provedených analýz dospěl hodnotitel k níže uvedeným hlavním zjištěním a závěrům a v návaznosti na ně zformuloval rovněž některá doporučení zadavateli:</w:t>
      </w:r>
    </w:p>
    <w:p w14:paraId="10D7948C" w14:textId="77777777" w:rsidR="003D3BEB" w:rsidRPr="003D3BEB" w:rsidRDefault="003D3BEB" w:rsidP="003D3BEB">
      <w:pPr>
        <w:spacing w:after="0"/>
        <w:rPr>
          <w:rFonts w:ascii="Calibri" w:eastAsia="Calibri" w:hAnsi="Calibri" w:cs="Calibri"/>
          <w:lang w:eastAsia="sk-SK"/>
        </w:rPr>
      </w:pPr>
    </w:p>
    <w:p w14:paraId="396A6C6B" w14:textId="77777777" w:rsidR="003D3BEB" w:rsidRPr="003D3BEB" w:rsidRDefault="003D3BEB" w:rsidP="003D3BEB">
      <w:pPr>
        <w:numPr>
          <w:ilvl w:val="0"/>
          <w:numId w:val="41"/>
        </w:numPr>
        <w:spacing w:after="0" w:line="259" w:lineRule="auto"/>
        <w:contextualSpacing/>
        <w:rPr>
          <w:rFonts w:ascii="Calibri" w:eastAsia="Calibri" w:hAnsi="Calibri" w:cs="Calibri"/>
          <w:b/>
          <w:lang w:eastAsia="sk-SK"/>
        </w:rPr>
      </w:pPr>
      <w:r w:rsidRPr="003D3BEB">
        <w:rPr>
          <w:rFonts w:ascii="Calibri" w:eastAsia="Calibri" w:hAnsi="Calibri" w:cs="Calibri"/>
          <w:b/>
          <w:lang w:eastAsia="sk-SK"/>
        </w:rPr>
        <w:t>Příspěvek intervencí realizovaných v rámci programů podpory Technologie, Expanze a Marketing OP PIK k dosahování SC 2.1 a 2.2</w:t>
      </w:r>
    </w:p>
    <w:p w14:paraId="672FAFB2" w14:textId="77777777" w:rsidR="001D2514" w:rsidRDefault="001D2514" w:rsidP="003D3BEB">
      <w:pPr>
        <w:spacing w:after="0"/>
        <w:rPr>
          <w:rFonts w:ascii="Calibri" w:eastAsia="Calibri" w:hAnsi="Calibri" w:cs="Calibri"/>
          <w:lang w:eastAsia="sk-SK"/>
        </w:rPr>
      </w:pPr>
    </w:p>
    <w:p w14:paraId="42CE0922" w14:textId="778C3BAB" w:rsidR="003D3BEB" w:rsidRPr="003D3BEB" w:rsidRDefault="003D3BEB" w:rsidP="003D3BEB">
      <w:pPr>
        <w:spacing w:after="0"/>
        <w:rPr>
          <w:rFonts w:ascii="Calibri" w:eastAsia="Calibri" w:hAnsi="Calibri" w:cs="Calibri"/>
          <w:lang w:eastAsia="sk-SK"/>
        </w:rPr>
      </w:pPr>
      <w:r w:rsidRPr="003D3BEB">
        <w:rPr>
          <w:rFonts w:ascii="Calibri" w:eastAsia="Calibri" w:hAnsi="Calibri" w:cs="Calibri"/>
          <w:lang w:eastAsia="sk-SK"/>
        </w:rPr>
        <w:t xml:space="preserve">Na příslušnou evaluační otázku prozatím nelze odpovědět zcela robustně, a to z důvodu příliš malého časového odstupu od zahájení implementace hodnocených programů, v jehož důsledku se prozatím nemohl efekt podpory plně projevit, a navíc je nutné analýzy realizovat na prozatím velmi malých vzorcích ukončených projektů. </w:t>
      </w:r>
    </w:p>
    <w:p w14:paraId="75412308" w14:textId="77777777" w:rsidR="003D3BEB" w:rsidRPr="003D3BEB" w:rsidRDefault="003D3BEB" w:rsidP="003D3BEB">
      <w:pPr>
        <w:spacing w:after="0"/>
        <w:rPr>
          <w:rFonts w:ascii="Calibri" w:eastAsia="Calibri" w:hAnsi="Calibri" w:cs="Calibri"/>
          <w:lang w:eastAsia="sk-SK"/>
        </w:rPr>
      </w:pPr>
    </w:p>
    <w:p w14:paraId="5EE9E742" w14:textId="19CD800B" w:rsidR="003D3BEB" w:rsidRPr="003D3BEB" w:rsidRDefault="003D3BEB" w:rsidP="003D3BEB">
      <w:pPr>
        <w:spacing w:after="0"/>
        <w:rPr>
          <w:rFonts w:ascii="Calibri" w:eastAsia="Calibri" w:hAnsi="Calibri" w:cs="Calibri"/>
          <w:lang w:eastAsia="sk-SK"/>
        </w:rPr>
      </w:pPr>
      <w:r w:rsidRPr="003D3BEB">
        <w:rPr>
          <w:rFonts w:ascii="Calibri" w:eastAsia="Calibri" w:hAnsi="Calibri" w:cs="Calibri"/>
          <w:lang w:eastAsia="sk-SK"/>
        </w:rPr>
        <w:t xml:space="preserve">V případě SC 2.1 příjemci pozorují zvyšování konkurenceschopnosti v důsledku zaváděných inovací, které zvyšují kvalitu a efektivitu produkce, umožňují vyrábět nové produkty s vyšší přidanou hodnotou a/nebo zvýšit kvalitativní parametry stávající produkce, rozšířit výrobní kapacity a v důsledku získávat nové zákazníky a zvyšovat objem produkce. </w:t>
      </w:r>
    </w:p>
    <w:p w14:paraId="4E59CAD5" w14:textId="77777777" w:rsidR="003D3BEB" w:rsidRPr="003D3BEB" w:rsidRDefault="003D3BEB" w:rsidP="003D3BEB">
      <w:pPr>
        <w:spacing w:after="0"/>
        <w:rPr>
          <w:rFonts w:ascii="Calibri" w:eastAsia="Calibri" w:hAnsi="Calibri" w:cs="Calibri"/>
          <w:lang w:eastAsia="sk-SK"/>
        </w:rPr>
      </w:pPr>
    </w:p>
    <w:p w14:paraId="65C730E2" w14:textId="0B19E07C" w:rsidR="003D3BEB" w:rsidRPr="003D3BEB" w:rsidRDefault="003D3BEB" w:rsidP="003D3BEB">
      <w:pPr>
        <w:spacing w:after="0"/>
        <w:rPr>
          <w:rFonts w:ascii="Calibri" w:eastAsia="Calibri" w:hAnsi="Calibri" w:cs="Calibri"/>
          <w:lang w:eastAsia="sk-SK"/>
        </w:rPr>
      </w:pPr>
      <w:r w:rsidRPr="003D3BEB">
        <w:rPr>
          <w:rFonts w:ascii="Calibri" w:eastAsia="Calibri" w:hAnsi="Calibri" w:cs="Calibri"/>
          <w:lang w:eastAsia="sk-SK"/>
        </w:rPr>
        <w:t xml:space="preserve">V případě SC 2.2 je pozorován silný nárůst exportu podpořených podniků, jehož tempo je výrazně rychlejší než nárůst exportu na národní úrovni nebo na úrovni relevantních sektorů. </w:t>
      </w:r>
    </w:p>
    <w:p w14:paraId="18EFE49B" w14:textId="77777777" w:rsidR="003D3BEB" w:rsidRDefault="003D3BEB" w:rsidP="003D3BEB">
      <w:pPr>
        <w:spacing w:after="0"/>
        <w:rPr>
          <w:rFonts w:ascii="Calibri" w:eastAsia="Calibri" w:hAnsi="Calibri" w:cs="Calibri"/>
          <w:lang w:eastAsia="sk-SK"/>
        </w:rPr>
      </w:pPr>
    </w:p>
    <w:p w14:paraId="7B257E09" w14:textId="77777777" w:rsidR="001D2514" w:rsidRPr="003D3BEB" w:rsidRDefault="001D2514" w:rsidP="003D3BEB">
      <w:pPr>
        <w:spacing w:after="0"/>
        <w:rPr>
          <w:rFonts w:ascii="Calibri" w:eastAsia="Calibri" w:hAnsi="Calibri" w:cs="Calibri"/>
          <w:lang w:eastAsia="sk-SK"/>
        </w:rPr>
      </w:pPr>
    </w:p>
    <w:p w14:paraId="4621D44B" w14:textId="77777777" w:rsidR="003D3BEB" w:rsidRPr="003D3BEB" w:rsidRDefault="003D3BEB" w:rsidP="003D3BEB">
      <w:pPr>
        <w:numPr>
          <w:ilvl w:val="0"/>
          <w:numId w:val="41"/>
        </w:numPr>
        <w:spacing w:after="0" w:line="259" w:lineRule="auto"/>
        <w:contextualSpacing/>
        <w:rPr>
          <w:rFonts w:ascii="Calibri" w:eastAsia="Calibri" w:hAnsi="Calibri" w:cs="Calibri"/>
          <w:b/>
          <w:lang w:eastAsia="sk-SK"/>
        </w:rPr>
      </w:pPr>
      <w:r w:rsidRPr="003D3BEB">
        <w:rPr>
          <w:rFonts w:ascii="Calibri" w:eastAsia="Calibri" w:hAnsi="Calibri" w:cs="Calibri"/>
          <w:b/>
          <w:lang w:eastAsia="sk-SK"/>
        </w:rPr>
        <w:t>Nezamýšlené (pozitivní i negativní) efekty v rámci dosahování SC 2.1 a 2.2 OP PIK</w:t>
      </w:r>
    </w:p>
    <w:p w14:paraId="2B743109" w14:textId="77777777" w:rsidR="001D2514" w:rsidRDefault="001D2514" w:rsidP="003D3BEB">
      <w:pPr>
        <w:spacing w:after="0"/>
        <w:rPr>
          <w:rFonts w:ascii="Calibri" w:eastAsia="Calibri" w:hAnsi="Calibri" w:cs="Calibri"/>
          <w:lang w:eastAsia="sk-SK"/>
        </w:rPr>
      </w:pPr>
    </w:p>
    <w:p w14:paraId="1ADA0DC0" w14:textId="77777777" w:rsidR="003D3BEB" w:rsidRPr="003D3BEB" w:rsidRDefault="003D3BEB" w:rsidP="003D3BEB">
      <w:pPr>
        <w:spacing w:after="0"/>
        <w:rPr>
          <w:rFonts w:ascii="Calibri" w:eastAsia="Calibri" w:hAnsi="Calibri" w:cs="Calibri"/>
          <w:lang w:eastAsia="sk-SK"/>
        </w:rPr>
      </w:pPr>
      <w:r w:rsidRPr="003D3BEB">
        <w:rPr>
          <w:rFonts w:ascii="Calibri" w:eastAsia="Calibri" w:hAnsi="Calibri" w:cs="Calibri"/>
          <w:lang w:eastAsia="sk-SK"/>
        </w:rPr>
        <w:t>Neočekávané efekty byly pozorovány v několika oblastech:</w:t>
      </w:r>
    </w:p>
    <w:p w14:paraId="3A4E43AF" w14:textId="77777777" w:rsidR="003D3BEB" w:rsidRPr="003D3BEB" w:rsidRDefault="003D3BEB" w:rsidP="003D3BEB">
      <w:pPr>
        <w:numPr>
          <w:ilvl w:val="0"/>
          <w:numId w:val="42"/>
        </w:numPr>
        <w:spacing w:after="0" w:line="259" w:lineRule="auto"/>
        <w:ind w:left="426" w:hanging="284"/>
        <w:contextualSpacing/>
        <w:rPr>
          <w:rFonts w:ascii="Calibri" w:eastAsia="Calibri" w:hAnsi="Calibri" w:cs="Calibri"/>
          <w:lang w:eastAsia="sk-SK"/>
        </w:rPr>
      </w:pPr>
      <w:r w:rsidRPr="003D3BEB">
        <w:rPr>
          <w:rFonts w:ascii="Calibri" w:eastAsia="Calibri" w:hAnsi="Calibri" w:cs="Calibri"/>
          <w:lang w:eastAsia="sk-SK"/>
        </w:rPr>
        <w:t>Zvýšení tlaku na kvalifikaci, rozvoj zaměstnanců</w:t>
      </w:r>
    </w:p>
    <w:p w14:paraId="67876E9B" w14:textId="77777777" w:rsidR="003D3BEB" w:rsidRPr="003D3BEB" w:rsidRDefault="003D3BEB" w:rsidP="003D3BEB">
      <w:pPr>
        <w:numPr>
          <w:ilvl w:val="0"/>
          <w:numId w:val="42"/>
        </w:numPr>
        <w:spacing w:after="0" w:line="259" w:lineRule="auto"/>
        <w:ind w:left="426" w:hanging="284"/>
        <w:contextualSpacing/>
        <w:rPr>
          <w:rFonts w:ascii="Calibri" w:eastAsia="Calibri" w:hAnsi="Calibri" w:cs="Calibri"/>
          <w:lang w:eastAsia="sk-SK"/>
        </w:rPr>
      </w:pPr>
      <w:r w:rsidRPr="003D3BEB">
        <w:rPr>
          <w:rFonts w:ascii="Calibri" w:eastAsia="Calibri" w:hAnsi="Calibri" w:cs="Calibri"/>
          <w:lang w:eastAsia="sk-SK"/>
        </w:rPr>
        <w:t>Zvýšení komfortu a snížení negativních dopadů na životní prostředí</w:t>
      </w:r>
    </w:p>
    <w:p w14:paraId="51AB2EF0" w14:textId="77777777" w:rsidR="003D3BEB" w:rsidRPr="003D3BEB" w:rsidRDefault="003D3BEB" w:rsidP="003D3BEB">
      <w:pPr>
        <w:numPr>
          <w:ilvl w:val="0"/>
          <w:numId w:val="42"/>
        </w:numPr>
        <w:spacing w:after="0" w:line="259" w:lineRule="auto"/>
        <w:ind w:left="426" w:hanging="284"/>
        <w:contextualSpacing/>
        <w:rPr>
          <w:rFonts w:ascii="Calibri" w:eastAsia="Calibri" w:hAnsi="Calibri" w:cs="Calibri"/>
          <w:lang w:eastAsia="sk-SK"/>
        </w:rPr>
      </w:pPr>
      <w:r w:rsidRPr="003D3BEB">
        <w:rPr>
          <w:rFonts w:ascii="Calibri" w:eastAsia="Calibri" w:hAnsi="Calibri" w:cs="Calibri"/>
          <w:lang w:eastAsia="sk-SK"/>
        </w:rPr>
        <w:t>Potřeba reorganizace výroby a zkvalitnění řídících procesů</w:t>
      </w:r>
    </w:p>
    <w:p w14:paraId="2F3485FB" w14:textId="77777777" w:rsidR="003D3BEB" w:rsidRPr="003D3BEB" w:rsidRDefault="003D3BEB" w:rsidP="003D3BEB">
      <w:pPr>
        <w:numPr>
          <w:ilvl w:val="0"/>
          <w:numId w:val="42"/>
        </w:numPr>
        <w:spacing w:after="0" w:line="259" w:lineRule="auto"/>
        <w:ind w:left="426" w:hanging="284"/>
        <w:contextualSpacing/>
        <w:rPr>
          <w:rFonts w:ascii="Calibri" w:eastAsia="Calibri" w:hAnsi="Calibri" w:cs="Calibri"/>
          <w:lang w:eastAsia="sk-SK"/>
        </w:rPr>
      </w:pPr>
      <w:r w:rsidRPr="003D3BEB">
        <w:rPr>
          <w:rFonts w:ascii="Calibri" w:eastAsia="Calibri" w:hAnsi="Calibri" w:cs="Calibri"/>
          <w:lang w:eastAsia="sk-SK"/>
        </w:rPr>
        <w:t>Posílení domácí pozice firmy i v případě účasti na zahraničním veletrhu</w:t>
      </w:r>
    </w:p>
    <w:p w14:paraId="0D04AB07" w14:textId="77777777" w:rsidR="003D3BEB" w:rsidRPr="003D3BEB" w:rsidRDefault="003D3BEB" w:rsidP="003D3BEB">
      <w:pPr>
        <w:numPr>
          <w:ilvl w:val="0"/>
          <w:numId w:val="42"/>
        </w:numPr>
        <w:spacing w:after="0" w:line="259" w:lineRule="auto"/>
        <w:ind w:left="426" w:hanging="284"/>
        <w:contextualSpacing/>
        <w:rPr>
          <w:rFonts w:ascii="Calibri" w:eastAsia="Calibri" w:hAnsi="Calibri" w:cs="Calibri"/>
          <w:lang w:eastAsia="sk-SK"/>
        </w:rPr>
      </w:pPr>
      <w:r w:rsidRPr="003D3BEB">
        <w:rPr>
          <w:rFonts w:ascii="Calibri" w:eastAsia="Calibri" w:hAnsi="Calibri" w:cs="Calibri"/>
          <w:lang w:eastAsia="sk-SK"/>
        </w:rPr>
        <w:t>Konfrontace se zahraničním know-how, ověření vlastní pozice, příležitosti ke vstupu na nové segmenty trhu</w:t>
      </w:r>
    </w:p>
    <w:p w14:paraId="0721F1E8" w14:textId="77777777" w:rsidR="003D3BEB" w:rsidRPr="003D3BEB" w:rsidRDefault="003D3BEB" w:rsidP="003D3BEB">
      <w:pPr>
        <w:numPr>
          <w:ilvl w:val="0"/>
          <w:numId w:val="42"/>
        </w:numPr>
        <w:spacing w:after="0" w:line="259" w:lineRule="auto"/>
        <w:ind w:left="426" w:hanging="284"/>
        <w:contextualSpacing/>
        <w:rPr>
          <w:rFonts w:ascii="Calibri" w:eastAsia="Calibri" w:hAnsi="Calibri" w:cs="Calibri"/>
          <w:lang w:eastAsia="sk-SK"/>
        </w:rPr>
      </w:pPr>
      <w:r w:rsidRPr="003D3BEB">
        <w:rPr>
          <w:rFonts w:ascii="Calibri" w:eastAsia="Calibri" w:hAnsi="Calibri" w:cs="Calibri"/>
          <w:lang w:eastAsia="sk-SK"/>
        </w:rPr>
        <w:t>Řada negativních dopadů spojena s administrativní náročností, nedostatečně flexibilním financováním a zpožděním ve vyhlášení výsledků</w:t>
      </w:r>
    </w:p>
    <w:p w14:paraId="3C49F3E6" w14:textId="77777777" w:rsidR="003D3BEB" w:rsidRPr="003D3BEB" w:rsidRDefault="003D3BEB" w:rsidP="003D3BEB">
      <w:pPr>
        <w:numPr>
          <w:ilvl w:val="0"/>
          <w:numId w:val="42"/>
        </w:numPr>
        <w:spacing w:after="0" w:line="259" w:lineRule="auto"/>
        <w:ind w:left="426" w:hanging="284"/>
        <w:contextualSpacing/>
        <w:rPr>
          <w:rFonts w:ascii="Calibri" w:eastAsia="Calibri" w:hAnsi="Calibri" w:cs="Calibri"/>
          <w:lang w:eastAsia="sk-SK"/>
        </w:rPr>
      </w:pPr>
      <w:r w:rsidRPr="003D3BEB">
        <w:rPr>
          <w:rFonts w:ascii="Calibri" w:eastAsia="Calibri" w:hAnsi="Calibri" w:cs="Calibri"/>
          <w:lang w:eastAsia="sk-SK"/>
        </w:rPr>
        <w:t>Projekty generují návazné investice, které musí podpořené podniky financovat z vlastních zdrojů</w:t>
      </w:r>
    </w:p>
    <w:p w14:paraId="7C1E953E" w14:textId="77777777" w:rsidR="003D3BEB" w:rsidRPr="003D3BEB" w:rsidRDefault="003D3BEB" w:rsidP="003D3BEB">
      <w:pPr>
        <w:numPr>
          <w:ilvl w:val="0"/>
          <w:numId w:val="42"/>
        </w:numPr>
        <w:spacing w:after="0" w:line="259" w:lineRule="auto"/>
        <w:ind w:left="426" w:hanging="284"/>
        <w:contextualSpacing/>
        <w:rPr>
          <w:rFonts w:ascii="Calibri" w:eastAsia="Calibri" w:hAnsi="Calibri" w:cs="Calibri"/>
          <w:lang w:eastAsia="sk-SK"/>
        </w:rPr>
      </w:pPr>
      <w:r w:rsidRPr="003D3BEB">
        <w:rPr>
          <w:rFonts w:ascii="Calibri" w:eastAsia="Calibri" w:hAnsi="Calibri" w:cs="Calibri"/>
          <w:lang w:eastAsia="sk-SK"/>
        </w:rPr>
        <w:t>Investice do technologií v řadě případů snižují potřebu manuální lidské práce, zároveň ale je nutné vykazovat nárůst počtu zaměstnanců</w:t>
      </w:r>
    </w:p>
    <w:p w14:paraId="56A4A7E8" w14:textId="77777777" w:rsidR="00F751E2" w:rsidRDefault="00F751E2" w:rsidP="00F751E2">
      <w:pPr>
        <w:spacing w:after="0"/>
        <w:rPr>
          <w:rFonts w:ascii="Calibri" w:hAnsi="Calibri" w:cs="Calibri"/>
        </w:rPr>
      </w:pPr>
    </w:p>
    <w:p w14:paraId="2E0A0189" w14:textId="77777777" w:rsidR="00F751E2" w:rsidRPr="00A22ECC" w:rsidRDefault="00F751E2" w:rsidP="00F751E2">
      <w:pPr>
        <w:spacing w:after="0"/>
        <w:rPr>
          <w:rFonts w:ascii="Calibri" w:hAnsi="Calibri" w:cs="Calibri"/>
        </w:rPr>
      </w:pPr>
      <w:r>
        <w:rPr>
          <w:rFonts w:ascii="Calibri" w:hAnsi="Calibri" w:cs="Calibri"/>
        </w:rPr>
        <w:t>Co se týká e</w:t>
      </w:r>
      <w:r w:rsidRPr="00A22ECC">
        <w:rPr>
          <w:rFonts w:ascii="Calibri" w:hAnsi="Calibri" w:cs="Calibri"/>
        </w:rPr>
        <w:t>fekt</w:t>
      </w:r>
      <w:r>
        <w:rPr>
          <w:rFonts w:ascii="Calibri" w:hAnsi="Calibri" w:cs="Calibri"/>
        </w:rPr>
        <w:t>ů</w:t>
      </w:r>
      <w:r w:rsidRPr="00A22ECC">
        <w:rPr>
          <w:rFonts w:ascii="Calibri" w:hAnsi="Calibri" w:cs="Calibri"/>
        </w:rPr>
        <w:t xml:space="preserve"> podpory na dodavatele, odběratele a konkurenty podpořených podniků</w:t>
      </w:r>
      <w:r>
        <w:rPr>
          <w:rFonts w:ascii="Calibri" w:hAnsi="Calibri" w:cs="Calibri"/>
        </w:rPr>
        <w:t>, tak:</w:t>
      </w:r>
    </w:p>
    <w:p w14:paraId="50E9BCBC" w14:textId="77777777" w:rsidR="00F751E2" w:rsidRPr="00547C8C" w:rsidRDefault="00F751E2" w:rsidP="00F751E2">
      <w:pPr>
        <w:numPr>
          <w:ilvl w:val="0"/>
          <w:numId w:val="42"/>
        </w:numPr>
        <w:spacing w:after="0" w:line="259" w:lineRule="auto"/>
        <w:ind w:left="426" w:hanging="284"/>
        <w:contextualSpacing/>
        <w:rPr>
          <w:rFonts w:ascii="Calibri" w:eastAsia="Calibri" w:hAnsi="Calibri" w:cs="Calibri"/>
          <w:lang w:eastAsia="sk-SK"/>
        </w:rPr>
      </w:pPr>
      <w:r w:rsidRPr="00547C8C">
        <w:rPr>
          <w:rFonts w:ascii="Calibri" w:eastAsia="Calibri" w:hAnsi="Calibri" w:cs="Calibri"/>
          <w:lang w:eastAsia="sk-SK"/>
        </w:rPr>
        <w:t xml:space="preserve">V rámci případových studií ke SC 2.1 bylo zdůrazněno, že odběratelé podpořeného podniku v důsledku realizace projektu odebírají kvalitnější výrobky, a to jak po stránce jejich kvalitativních parametrů, tak i esteticky. </w:t>
      </w:r>
    </w:p>
    <w:p w14:paraId="31FA5B94" w14:textId="77777777" w:rsidR="00F751E2" w:rsidRPr="00547C8C" w:rsidRDefault="00F751E2" w:rsidP="00F751E2">
      <w:pPr>
        <w:numPr>
          <w:ilvl w:val="0"/>
          <w:numId w:val="42"/>
        </w:numPr>
        <w:spacing w:after="0" w:line="259" w:lineRule="auto"/>
        <w:ind w:left="426" w:hanging="284"/>
        <w:contextualSpacing/>
        <w:rPr>
          <w:rFonts w:ascii="Calibri" w:eastAsia="Calibri" w:hAnsi="Calibri" w:cs="Calibri"/>
          <w:lang w:eastAsia="sk-SK"/>
        </w:rPr>
      </w:pPr>
      <w:r w:rsidRPr="00547C8C">
        <w:rPr>
          <w:rFonts w:ascii="Calibri" w:eastAsia="Calibri" w:hAnsi="Calibri" w:cs="Calibri"/>
          <w:lang w:eastAsia="sk-SK"/>
        </w:rPr>
        <w:t>Nebyl zaznamenán žádný dopad podpory na dodavatelské vztahy, a to ani v rámci případových studií, ani prostřednictvím dotazníkového šetření nebo jiných metod evaluace.</w:t>
      </w:r>
    </w:p>
    <w:p w14:paraId="6C980A17" w14:textId="77777777" w:rsidR="00F751E2" w:rsidRPr="00547C8C" w:rsidRDefault="00F751E2" w:rsidP="00F751E2">
      <w:pPr>
        <w:numPr>
          <w:ilvl w:val="0"/>
          <w:numId w:val="42"/>
        </w:numPr>
        <w:spacing w:after="0" w:line="259" w:lineRule="auto"/>
        <w:ind w:left="426" w:hanging="284"/>
        <w:contextualSpacing/>
        <w:rPr>
          <w:rFonts w:ascii="Calibri" w:eastAsia="Calibri" w:hAnsi="Calibri" w:cs="Calibri"/>
          <w:lang w:eastAsia="sk-SK"/>
        </w:rPr>
      </w:pPr>
      <w:r w:rsidRPr="00547C8C">
        <w:rPr>
          <w:rFonts w:ascii="Calibri" w:eastAsia="Calibri" w:hAnsi="Calibri" w:cs="Calibri"/>
          <w:lang w:eastAsia="sk-SK"/>
        </w:rPr>
        <w:t xml:space="preserve">Případová studie ke SC 2.2 ani další aplikované evaluační metody nevedly k identifikaci významných multiplikačních a/nebo negativních dopadů podpory na dodavatele nebo odběratele příjemců. </w:t>
      </w:r>
      <w:r w:rsidRPr="00547C8C">
        <w:rPr>
          <w:rFonts w:ascii="Calibri" w:eastAsia="Calibri" w:hAnsi="Calibri" w:cs="Calibri"/>
          <w:lang w:eastAsia="sk-SK"/>
        </w:rPr>
        <w:lastRenderedPageBreak/>
        <w:t>Důvodem je především dlouhodobý charakter aktivit směřujících k rozšiřování okruhu zákazníků a expanzi.</w:t>
      </w:r>
    </w:p>
    <w:p w14:paraId="1FC7FF95" w14:textId="77777777" w:rsidR="00F751E2" w:rsidRDefault="00F751E2" w:rsidP="00F751E2">
      <w:pPr>
        <w:numPr>
          <w:ilvl w:val="0"/>
          <w:numId w:val="42"/>
        </w:numPr>
        <w:spacing w:after="0" w:line="259" w:lineRule="auto"/>
        <w:ind w:left="426" w:hanging="284"/>
        <w:contextualSpacing/>
        <w:rPr>
          <w:rFonts w:ascii="Calibri" w:eastAsia="Calibri" w:hAnsi="Calibri" w:cs="Calibri"/>
          <w:lang w:eastAsia="sk-SK"/>
        </w:rPr>
      </w:pPr>
      <w:r w:rsidRPr="00547C8C">
        <w:rPr>
          <w:rFonts w:ascii="Calibri" w:eastAsia="Calibri" w:hAnsi="Calibri" w:cs="Calibri"/>
          <w:lang w:eastAsia="sk-SK"/>
        </w:rPr>
        <w:t>Nebyl rovněž zaznamenán žádný, pozitivní ani negativní, dopad podpory na konkurenci podpořených podniků.</w:t>
      </w:r>
    </w:p>
    <w:p w14:paraId="757EBB20" w14:textId="77777777" w:rsidR="003D3BEB" w:rsidRDefault="003D3BEB" w:rsidP="003D3BEB">
      <w:pPr>
        <w:spacing w:after="0"/>
        <w:rPr>
          <w:rFonts w:ascii="Calibri" w:eastAsia="Calibri" w:hAnsi="Calibri" w:cs="Calibri"/>
          <w:lang w:eastAsia="sk-SK"/>
        </w:rPr>
      </w:pPr>
    </w:p>
    <w:p w14:paraId="2389DE65" w14:textId="77777777" w:rsidR="001D2514" w:rsidRPr="003D3BEB" w:rsidRDefault="001D2514" w:rsidP="003D3BEB">
      <w:pPr>
        <w:spacing w:after="0"/>
        <w:rPr>
          <w:rFonts w:ascii="Calibri" w:eastAsia="Calibri" w:hAnsi="Calibri" w:cs="Calibri"/>
          <w:lang w:eastAsia="sk-SK"/>
        </w:rPr>
      </w:pPr>
    </w:p>
    <w:p w14:paraId="19DDADA5" w14:textId="77777777" w:rsidR="003D3BEB" w:rsidRPr="003D3BEB" w:rsidRDefault="003D3BEB" w:rsidP="003D3BEB">
      <w:pPr>
        <w:numPr>
          <w:ilvl w:val="0"/>
          <w:numId w:val="41"/>
        </w:numPr>
        <w:spacing w:after="0" w:line="259" w:lineRule="auto"/>
        <w:contextualSpacing/>
        <w:rPr>
          <w:rFonts w:ascii="Calibri" w:eastAsia="Calibri" w:hAnsi="Calibri" w:cs="Calibri"/>
          <w:b/>
          <w:lang w:eastAsia="sk-SK"/>
        </w:rPr>
      </w:pPr>
      <w:r w:rsidRPr="003D3BEB">
        <w:rPr>
          <w:rFonts w:ascii="Calibri" w:eastAsia="Calibri" w:hAnsi="Calibri" w:cs="Calibri"/>
          <w:b/>
          <w:lang w:eastAsia="sk-SK"/>
        </w:rPr>
        <w:t>Vliv intervencí realizovaných v rámci SC 2.1 a 2.2 na trvalé zlepšení identifikovaných problémů; smysluplnost další podpory aktivit z hlediska principu 3E</w:t>
      </w:r>
    </w:p>
    <w:p w14:paraId="68612C0F" w14:textId="77777777" w:rsidR="001D2514" w:rsidRDefault="001D2514" w:rsidP="003D3BEB">
      <w:pPr>
        <w:spacing w:after="0"/>
        <w:rPr>
          <w:rFonts w:ascii="Calibri" w:eastAsia="Calibri" w:hAnsi="Calibri" w:cs="Calibri"/>
          <w:lang w:eastAsia="sk-SK"/>
        </w:rPr>
      </w:pPr>
    </w:p>
    <w:p w14:paraId="685B3F86" w14:textId="77777777" w:rsidR="003D3BEB" w:rsidRDefault="003D3BEB" w:rsidP="003D3BEB">
      <w:pPr>
        <w:spacing w:after="0"/>
        <w:rPr>
          <w:rFonts w:ascii="Calibri" w:eastAsia="Calibri" w:hAnsi="Calibri" w:cs="Calibri"/>
          <w:lang w:eastAsia="sk-SK"/>
        </w:rPr>
      </w:pPr>
      <w:r w:rsidRPr="003D3BEB">
        <w:rPr>
          <w:rFonts w:ascii="Calibri" w:eastAsia="Calibri" w:hAnsi="Calibri" w:cs="Calibri"/>
          <w:lang w:eastAsia="sk-SK"/>
        </w:rPr>
        <w:t>Byla potvrzena existence souvislostí mezi intervencemi a cíli SC 2.1 i 2.2 ve smyslu kauzálního řetězce: vstupy – aktivity – výstupy – okamžité efekty – střednědobé změny – dopady.</w:t>
      </w:r>
    </w:p>
    <w:p w14:paraId="4552C595" w14:textId="77777777" w:rsidR="003D3BEB" w:rsidRPr="003D3BEB" w:rsidRDefault="003D3BEB" w:rsidP="003D3BEB">
      <w:pPr>
        <w:spacing w:after="0"/>
        <w:rPr>
          <w:rFonts w:ascii="Calibri" w:eastAsia="Calibri" w:hAnsi="Calibri" w:cs="Calibri"/>
          <w:lang w:eastAsia="sk-SK"/>
        </w:rPr>
      </w:pPr>
    </w:p>
    <w:p w14:paraId="0FA0D472" w14:textId="77777777" w:rsidR="003D3BEB" w:rsidRDefault="003D3BEB" w:rsidP="003D3BEB">
      <w:pPr>
        <w:spacing w:after="0"/>
        <w:rPr>
          <w:rFonts w:ascii="Calibri" w:eastAsia="Calibri" w:hAnsi="Calibri" w:cs="Calibri"/>
          <w:lang w:eastAsia="sk-SK"/>
        </w:rPr>
      </w:pPr>
      <w:r w:rsidRPr="003D3BEB">
        <w:rPr>
          <w:rFonts w:ascii="Calibri" w:eastAsia="Calibri" w:hAnsi="Calibri" w:cs="Calibri"/>
          <w:lang w:eastAsia="sk-SK"/>
        </w:rPr>
        <w:t xml:space="preserve">Intervence realizované v rámci SC 2.1 a 2.2 mohou přispět k trvalému zlepšení identifikovaných problémů. Nezbytnou podmínkou je naplnění souvisejících předpokladů a rovněž pozitivní působení externích vlivů. </w:t>
      </w:r>
    </w:p>
    <w:p w14:paraId="1372BF45" w14:textId="77777777" w:rsidR="003D3BEB" w:rsidRPr="003D3BEB" w:rsidRDefault="003D3BEB" w:rsidP="003D3BEB">
      <w:pPr>
        <w:spacing w:after="0"/>
        <w:rPr>
          <w:rFonts w:ascii="Calibri" w:eastAsia="Calibri" w:hAnsi="Calibri" w:cs="Calibri"/>
          <w:lang w:eastAsia="sk-SK"/>
        </w:rPr>
      </w:pPr>
    </w:p>
    <w:p w14:paraId="2802C7F2" w14:textId="77777777" w:rsidR="003D3BEB" w:rsidRPr="003D3BEB" w:rsidRDefault="003D3BEB" w:rsidP="003D3BEB">
      <w:pPr>
        <w:spacing w:after="0"/>
        <w:rPr>
          <w:rFonts w:ascii="Calibri" w:eastAsia="Calibri" w:hAnsi="Calibri" w:cs="Calibri"/>
          <w:lang w:eastAsia="sk-SK"/>
        </w:rPr>
      </w:pPr>
      <w:r w:rsidRPr="003D3BEB">
        <w:rPr>
          <w:rFonts w:ascii="Calibri" w:eastAsia="Calibri" w:hAnsi="Calibri" w:cs="Calibri"/>
          <w:lang w:eastAsia="sk-SK"/>
        </w:rPr>
        <w:t>Vzhledem k tomu, že:</w:t>
      </w:r>
    </w:p>
    <w:p w14:paraId="0DBD610A" w14:textId="77777777" w:rsidR="003D3BEB" w:rsidRPr="003D3BEB" w:rsidRDefault="003D3BEB" w:rsidP="003D3BEB">
      <w:pPr>
        <w:numPr>
          <w:ilvl w:val="0"/>
          <w:numId w:val="9"/>
        </w:numPr>
        <w:spacing w:after="0" w:line="259" w:lineRule="auto"/>
        <w:rPr>
          <w:rFonts w:ascii="Calibri" w:eastAsia="Calibri" w:hAnsi="Calibri" w:cs="Calibri"/>
          <w:lang w:eastAsia="sk-SK"/>
        </w:rPr>
      </w:pPr>
      <w:r w:rsidRPr="003D3BEB">
        <w:rPr>
          <w:rFonts w:ascii="Calibri" w:eastAsia="Calibri" w:hAnsi="Calibri" w:cs="Calibri"/>
          <w:lang w:eastAsia="sk-SK"/>
        </w:rPr>
        <w:t>plánované cíle SC 2.1 ani 2.2 nebyly zatím dosaženy a</w:t>
      </w:r>
    </w:p>
    <w:p w14:paraId="3540731B" w14:textId="77777777" w:rsidR="003D3BEB" w:rsidRPr="003D3BEB" w:rsidRDefault="003D3BEB" w:rsidP="003D3BEB">
      <w:pPr>
        <w:numPr>
          <w:ilvl w:val="0"/>
          <w:numId w:val="9"/>
        </w:numPr>
        <w:spacing w:after="0" w:line="259" w:lineRule="auto"/>
        <w:rPr>
          <w:rFonts w:ascii="Calibri" w:eastAsia="Calibri" w:hAnsi="Calibri" w:cs="Calibri"/>
          <w:lang w:eastAsia="sk-SK"/>
        </w:rPr>
      </w:pPr>
      <w:r w:rsidRPr="003D3BEB">
        <w:rPr>
          <w:rFonts w:ascii="Calibri" w:eastAsia="Calibri" w:hAnsi="Calibri" w:cs="Calibri"/>
          <w:lang w:eastAsia="sk-SK"/>
        </w:rPr>
        <w:t>při poskytování podpory jsou naplňovány principy 3E</w:t>
      </w:r>
    </w:p>
    <w:p w14:paraId="048CAEAD" w14:textId="77777777" w:rsidR="003D3BEB" w:rsidRPr="003D3BEB" w:rsidRDefault="003D3BEB" w:rsidP="003D3BEB">
      <w:pPr>
        <w:spacing w:after="0"/>
        <w:rPr>
          <w:rFonts w:ascii="Calibri" w:eastAsia="Calibri" w:hAnsi="Calibri" w:cs="Calibri"/>
          <w:lang w:eastAsia="sk-SK"/>
        </w:rPr>
      </w:pPr>
      <w:r w:rsidRPr="003D3BEB">
        <w:rPr>
          <w:rFonts w:ascii="Calibri" w:eastAsia="Calibri" w:hAnsi="Calibri" w:cs="Calibri"/>
          <w:lang w:eastAsia="sk-SK"/>
        </w:rPr>
        <w:t>je potřebné a smysluplné dané aktivity podporovat i nadále.</w:t>
      </w:r>
    </w:p>
    <w:p w14:paraId="2415CA7D" w14:textId="77777777" w:rsidR="003D3BEB" w:rsidRPr="003D3BEB" w:rsidRDefault="003D3BEB" w:rsidP="003D3BEB">
      <w:pPr>
        <w:spacing w:after="0"/>
        <w:rPr>
          <w:rFonts w:ascii="Calibri" w:eastAsia="Calibri" w:hAnsi="Calibri" w:cs="Calibri"/>
          <w:lang w:eastAsia="sk-SK"/>
        </w:rPr>
      </w:pPr>
    </w:p>
    <w:p w14:paraId="72E420F9" w14:textId="77777777" w:rsidR="001D2514" w:rsidRPr="003D3BEB" w:rsidRDefault="001D2514" w:rsidP="003D3BEB">
      <w:pPr>
        <w:spacing w:after="0"/>
        <w:rPr>
          <w:rFonts w:ascii="Calibri" w:eastAsia="Calibri" w:hAnsi="Calibri" w:cs="Calibri"/>
          <w:lang w:eastAsia="sk-SK"/>
        </w:rPr>
      </w:pPr>
    </w:p>
    <w:p w14:paraId="7361DE70" w14:textId="77777777" w:rsidR="003D3BEB" w:rsidRPr="003D3BEB" w:rsidRDefault="003D3BEB" w:rsidP="003D3BEB">
      <w:pPr>
        <w:numPr>
          <w:ilvl w:val="0"/>
          <w:numId w:val="41"/>
        </w:numPr>
        <w:spacing w:after="0" w:line="259" w:lineRule="auto"/>
        <w:contextualSpacing/>
        <w:rPr>
          <w:rFonts w:ascii="Calibri" w:eastAsia="Calibri" w:hAnsi="Calibri" w:cs="Calibri"/>
          <w:b/>
          <w:lang w:eastAsia="sk-SK"/>
        </w:rPr>
      </w:pPr>
      <w:r w:rsidRPr="003D3BEB">
        <w:rPr>
          <w:rFonts w:ascii="Calibri" w:eastAsia="Calibri" w:hAnsi="Calibri" w:cs="Calibri"/>
          <w:b/>
          <w:lang w:eastAsia="sk-SK"/>
        </w:rPr>
        <w:t>Vliv intervencí na hospodářské výsledky podpořených podniků ve srovnání s podniky nepodpořenými, tj. zejména v oblasti přidané hodnoty a tržeb</w:t>
      </w:r>
    </w:p>
    <w:p w14:paraId="34D1F561" w14:textId="77777777" w:rsidR="001D2514" w:rsidRDefault="001D2514" w:rsidP="003D3BEB">
      <w:pPr>
        <w:spacing w:after="0"/>
        <w:rPr>
          <w:rFonts w:ascii="Calibri" w:eastAsia="Calibri" w:hAnsi="Calibri" w:cs="Calibri"/>
          <w:lang w:eastAsia="sk-SK"/>
        </w:rPr>
      </w:pPr>
    </w:p>
    <w:p w14:paraId="04BAA4DD" w14:textId="39E0B62A" w:rsidR="003D3BEB" w:rsidRPr="003D3BEB" w:rsidRDefault="003D3BEB">
      <w:pPr>
        <w:spacing w:after="0"/>
        <w:rPr>
          <w:rFonts w:ascii="Calibri" w:eastAsia="Calibri" w:hAnsi="Calibri" w:cs="Calibri"/>
          <w:lang w:eastAsia="sk-SK"/>
        </w:rPr>
      </w:pPr>
      <w:r w:rsidRPr="003D3BEB">
        <w:rPr>
          <w:rFonts w:ascii="Calibri" w:eastAsia="Calibri" w:hAnsi="Calibri" w:cs="Calibri"/>
          <w:lang w:eastAsia="sk-SK"/>
        </w:rPr>
        <w:t>Z důvodu malého počtu subjektů, které mohly být analyzovány, a také z důvodu příliš krátkého odstupu měření hlavních proměnných od doby realizace projektu nejsou výsledky analýzy statisticky významné.</w:t>
      </w:r>
    </w:p>
    <w:p w14:paraId="0753714E" w14:textId="77777777" w:rsidR="003D3BEB" w:rsidRPr="003D3BEB" w:rsidRDefault="003D3BEB" w:rsidP="003D3BEB">
      <w:pPr>
        <w:spacing w:after="0"/>
        <w:rPr>
          <w:rFonts w:ascii="Calibri" w:eastAsia="Calibri" w:hAnsi="Calibri" w:cs="Calibri"/>
          <w:lang w:eastAsia="sk-SK"/>
        </w:rPr>
      </w:pPr>
    </w:p>
    <w:p w14:paraId="272E6799" w14:textId="66E8EEF0" w:rsidR="003D3BEB" w:rsidRPr="003D3BEB" w:rsidRDefault="003D3BEB" w:rsidP="003D3BEB">
      <w:pPr>
        <w:spacing w:after="0"/>
        <w:rPr>
          <w:rFonts w:ascii="Calibri" w:eastAsia="Calibri" w:hAnsi="Calibri" w:cs="Calibri"/>
          <w:lang w:eastAsia="sk-SK"/>
        </w:rPr>
      </w:pPr>
      <w:r w:rsidRPr="003D3BEB">
        <w:rPr>
          <w:rFonts w:ascii="Calibri" w:eastAsia="Calibri" w:hAnsi="Calibri" w:cs="Calibri"/>
          <w:lang w:eastAsia="sk-SK"/>
        </w:rPr>
        <w:t>Vzhledem ke statistické nevýznamnosti odhadnutých efektů je pro interpretaci vhodnější držet se pouze znaménka efektu podpory. Ten je v případě přidané hodnoty konzistentně kladný pro všechny uvažované kontrolní soubory. Je tedy možné tvrdit, že podpora pravděpodobně vede k nárůstu přidané hodnoty u podpořených subjektů. V případě tržeb z prodeje již výsledky vykazují vyšší heterogenitu, ovšem převažuje spíše pozitivní efekt podpory na tržby (a to především pokud se podíváme na data pouze za rok 2016 – tento vzorek podpořených je konsistentnější). Lze tedy odhadnout, že podpora pravděpodobně vede k nárůstu tržeb z prodeje. Naopak, v případě výsledku hospodaření je na základě realizované analýzy nutné odhadovat spíše negativní efekt podpory. Při analýze za delší časové období by tedy tento efekt měl odeznít.</w:t>
      </w:r>
    </w:p>
    <w:p w14:paraId="3A491D24" w14:textId="77777777" w:rsidR="003D3BEB" w:rsidRPr="003D3BEB" w:rsidRDefault="003D3BEB" w:rsidP="003D3BEB">
      <w:pPr>
        <w:spacing w:after="0"/>
        <w:rPr>
          <w:rFonts w:ascii="Calibri" w:eastAsia="Calibri" w:hAnsi="Calibri" w:cs="Calibri"/>
          <w:lang w:eastAsia="sk-SK"/>
        </w:rPr>
      </w:pPr>
    </w:p>
    <w:p w14:paraId="21EFCFA3" w14:textId="5B1AA631" w:rsidR="003D3BEB" w:rsidRPr="003D3BEB" w:rsidRDefault="003D3BEB" w:rsidP="003D3BEB">
      <w:pPr>
        <w:spacing w:after="0"/>
        <w:rPr>
          <w:rFonts w:ascii="Calibri" w:eastAsia="Calibri" w:hAnsi="Calibri" w:cs="Calibri"/>
          <w:lang w:eastAsia="sk-SK"/>
        </w:rPr>
      </w:pPr>
      <w:r w:rsidRPr="003D3BEB">
        <w:rPr>
          <w:rFonts w:ascii="Calibri" w:eastAsia="Calibri" w:hAnsi="Calibri" w:cs="Calibri"/>
          <w:lang w:eastAsia="sk-SK"/>
        </w:rPr>
        <w:t>Analýza byla orientačně zpracována také pro program Marketing. I zde jsou odhadnuté efekty podpory statisticky nevýznamné. Efekt na přidanou hodnotu rovněž konzistentně kladný. Pro zbylé ukazatele, výsledek hospodaření a produktivitu práce analýza odhaduje záporný efekt podpory.</w:t>
      </w:r>
    </w:p>
    <w:p w14:paraId="75ADE795" w14:textId="77777777" w:rsidR="003D3BEB" w:rsidRDefault="003D3BEB" w:rsidP="003D3BEB">
      <w:pPr>
        <w:spacing w:after="0"/>
        <w:rPr>
          <w:rFonts w:ascii="Calibri" w:eastAsia="Calibri" w:hAnsi="Calibri" w:cs="Calibri"/>
          <w:lang w:eastAsia="sk-SK"/>
        </w:rPr>
      </w:pPr>
    </w:p>
    <w:p w14:paraId="75BF6D11" w14:textId="77777777" w:rsidR="001D2514" w:rsidRPr="003D3BEB" w:rsidRDefault="001D2514" w:rsidP="003D3BEB">
      <w:pPr>
        <w:spacing w:after="0"/>
        <w:rPr>
          <w:rFonts w:ascii="Calibri" w:eastAsia="Calibri" w:hAnsi="Calibri" w:cs="Calibri"/>
          <w:lang w:eastAsia="sk-SK"/>
        </w:rPr>
      </w:pPr>
    </w:p>
    <w:p w14:paraId="2B9A3A63" w14:textId="77777777" w:rsidR="003D3BEB" w:rsidRPr="003D3BEB" w:rsidRDefault="003D3BEB" w:rsidP="003D3BEB">
      <w:pPr>
        <w:numPr>
          <w:ilvl w:val="0"/>
          <w:numId w:val="41"/>
        </w:numPr>
        <w:spacing w:after="0" w:line="259" w:lineRule="auto"/>
        <w:contextualSpacing/>
        <w:rPr>
          <w:rFonts w:ascii="Calibri" w:eastAsia="Calibri" w:hAnsi="Calibri" w:cs="Calibri"/>
          <w:b/>
          <w:lang w:eastAsia="sk-SK"/>
        </w:rPr>
      </w:pPr>
      <w:r w:rsidRPr="003D3BEB">
        <w:rPr>
          <w:rFonts w:ascii="Calibri" w:eastAsia="Calibri" w:hAnsi="Calibri" w:cs="Calibri"/>
          <w:b/>
          <w:lang w:eastAsia="sk-SK"/>
        </w:rPr>
        <w:lastRenderedPageBreak/>
        <w:t>Vliv intervencí na zaměstnanost v podpořených podnicích ve srovnání s podniky nepodpořenými; vliv podniků podpořených v rámci programu podpory Technologie na zaměstnanost v hospodářsky problémových regionech a území s vysokou mírou nezaměstnaností</w:t>
      </w:r>
    </w:p>
    <w:p w14:paraId="4BC8156B" w14:textId="77777777" w:rsidR="001D2514" w:rsidRDefault="001D2514" w:rsidP="003D3BEB">
      <w:pPr>
        <w:spacing w:after="0"/>
        <w:rPr>
          <w:rFonts w:ascii="Calibri" w:eastAsia="Calibri" w:hAnsi="Calibri" w:cs="Calibri"/>
          <w:lang w:eastAsia="sk-SK"/>
        </w:rPr>
      </w:pPr>
    </w:p>
    <w:p w14:paraId="56BEBA29" w14:textId="77777777" w:rsidR="003D3BEB" w:rsidRPr="003D3BEB" w:rsidRDefault="003D3BEB" w:rsidP="003D3BEB">
      <w:pPr>
        <w:spacing w:after="0"/>
        <w:rPr>
          <w:rFonts w:ascii="Calibri" w:eastAsia="Calibri" w:hAnsi="Calibri" w:cs="Calibri"/>
          <w:lang w:eastAsia="sk-SK"/>
        </w:rPr>
      </w:pPr>
      <w:r w:rsidRPr="003D3BEB">
        <w:rPr>
          <w:rFonts w:ascii="Calibri" w:eastAsia="Calibri" w:hAnsi="Calibri" w:cs="Calibri"/>
          <w:lang w:eastAsia="sk-SK"/>
        </w:rPr>
        <w:t>V externí databázi není k dispozici dostatek dat pro vyhodnocení absolutního počtu nárůstu pracovních míst v důsledku podpory, a to z toho důvodu, že chybí data o počtu zaměstnanců v roce 2017 (většina hodnocených projektů v programu Technologie přitom realizovala své projekty v roce 2016).</w:t>
      </w:r>
    </w:p>
    <w:p w14:paraId="6DF89AB2" w14:textId="77777777" w:rsidR="003D3BEB" w:rsidRPr="003D3BEB" w:rsidRDefault="003D3BEB" w:rsidP="003D3BEB">
      <w:pPr>
        <w:spacing w:after="0"/>
        <w:rPr>
          <w:rFonts w:ascii="Calibri" w:eastAsia="Calibri" w:hAnsi="Calibri" w:cs="Calibri"/>
          <w:lang w:eastAsia="sk-SK"/>
        </w:rPr>
      </w:pPr>
    </w:p>
    <w:p w14:paraId="75539CC4" w14:textId="017D4E42" w:rsidR="003D3BEB" w:rsidRPr="003D3BEB" w:rsidRDefault="003D3BEB" w:rsidP="003D3BEB">
      <w:pPr>
        <w:spacing w:after="0"/>
        <w:rPr>
          <w:rFonts w:ascii="Calibri" w:eastAsia="Calibri" w:hAnsi="Calibri" w:cs="Calibri"/>
          <w:lang w:eastAsia="sk-SK"/>
        </w:rPr>
      </w:pPr>
      <w:r w:rsidRPr="003D3BEB">
        <w:rPr>
          <w:rFonts w:ascii="Calibri" w:eastAsia="Calibri" w:hAnsi="Calibri" w:cs="Calibri"/>
          <w:lang w:eastAsia="sk-SK"/>
        </w:rPr>
        <w:t>Z tohoto důvodu byla doplňkově kalkulovaná kategorizovaná zaměstnanost. Tato analýza potvrzuje pozitivní efekt podpory z programu na zaměstnanost v podpořených podnicích.</w:t>
      </w:r>
    </w:p>
    <w:p w14:paraId="23B20005" w14:textId="77777777" w:rsidR="003D3BEB" w:rsidRPr="003D3BEB" w:rsidRDefault="003D3BEB" w:rsidP="003D3BEB">
      <w:pPr>
        <w:spacing w:after="0"/>
        <w:rPr>
          <w:rFonts w:ascii="Calibri" w:eastAsia="Calibri" w:hAnsi="Calibri" w:cs="Calibri"/>
          <w:lang w:eastAsia="sk-SK"/>
        </w:rPr>
      </w:pPr>
    </w:p>
    <w:p w14:paraId="613F7FDA" w14:textId="77777777" w:rsidR="003D3BEB" w:rsidRPr="003D3BEB" w:rsidRDefault="003D3BEB" w:rsidP="003D3BEB">
      <w:pPr>
        <w:spacing w:after="0"/>
        <w:rPr>
          <w:rFonts w:ascii="Calibri" w:eastAsia="Calibri" w:hAnsi="Calibri" w:cs="Calibri"/>
          <w:lang w:eastAsia="sk-SK"/>
        </w:rPr>
      </w:pPr>
      <w:r w:rsidRPr="003D3BEB">
        <w:rPr>
          <w:rFonts w:ascii="Calibri" w:eastAsia="Calibri" w:hAnsi="Calibri" w:cs="Calibri"/>
          <w:lang w:eastAsia="sk-SK"/>
        </w:rPr>
        <w:t>Dodatečná analýza vlivu programu Marketing na zaměstnanost neprokazuje pozitivní efekt.</w:t>
      </w:r>
    </w:p>
    <w:p w14:paraId="07627467" w14:textId="77777777" w:rsidR="003D3BEB" w:rsidRDefault="003D3BEB" w:rsidP="003D3BEB">
      <w:pPr>
        <w:spacing w:after="0"/>
        <w:rPr>
          <w:rFonts w:ascii="Calibri" w:eastAsia="Calibri" w:hAnsi="Calibri" w:cs="Calibri"/>
          <w:lang w:eastAsia="sk-SK"/>
        </w:rPr>
      </w:pPr>
    </w:p>
    <w:p w14:paraId="7D2A48B2" w14:textId="77777777" w:rsidR="001D2514" w:rsidRPr="003D3BEB" w:rsidRDefault="001D2514" w:rsidP="003D3BEB">
      <w:pPr>
        <w:spacing w:after="0"/>
        <w:rPr>
          <w:rFonts w:ascii="Calibri" w:eastAsia="Calibri" w:hAnsi="Calibri" w:cs="Calibri"/>
          <w:lang w:eastAsia="sk-SK"/>
        </w:rPr>
      </w:pPr>
    </w:p>
    <w:p w14:paraId="67184BFD" w14:textId="77777777" w:rsidR="003D3BEB" w:rsidRPr="003D3BEB" w:rsidRDefault="003D3BEB" w:rsidP="003D3BEB">
      <w:pPr>
        <w:numPr>
          <w:ilvl w:val="0"/>
          <w:numId w:val="41"/>
        </w:numPr>
        <w:spacing w:after="0" w:line="259" w:lineRule="auto"/>
        <w:contextualSpacing/>
        <w:rPr>
          <w:rFonts w:ascii="Calibri" w:eastAsia="Calibri" w:hAnsi="Calibri" w:cs="Calibri"/>
          <w:b/>
          <w:lang w:eastAsia="sk-SK"/>
        </w:rPr>
      </w:pPr>
      <w:r w:rsidRPr="003D3BEB">
        <w:rPr>
          <w:rFonts w:ascii="Calibri" w:eastAsia="Calibri" w:hAnsi="Calibri" w:cs="Calibri"/>
          <w:b/>
          <w:lang w:eastAsia="sk-SK"/>
        </w:rPr>
        <w:t>Hodnocení technologického posunu podpořených podniků ve smyslu inovace nižších řádů (1. – 4. řád)</w:t>
      </w:r>
    </w:p>
    <w:p w14:paraId="5A33CF78" w14:textId="77777777" w:rsidR="001D2514" w:rsidRDefault="001D2514" w:rsidP="003D3BEB">
      <w:pPr>
        <w:spacing w:after="0"/>
        <w:rPr>
          <w:rFonts w:ascii="Calibri" w:eastAsia="Calibri" w:hAnsi="Calibri" w:cs="Calibri"/>
          <w:lang w:eastAsia="sk-SK"/>
        </w:rPr>
      </w:pPr>
    </w:p>
    <w:p w14:paraId="2A280812" w14:textId="77777777" w:rsidR="003D3BEB" w:rsidRDefault="003D3BEB" w:rsidP="003D3BEB">
      <w:pPr>
        <w:spacing w:after="0"/>
        <w:rPr>
          <w:rFonts w:ascii="Calibri" w:eastAsia="Calibri" w:hAnsi="Calibri" w:cs="Calibri"/>
          <w:lang w:eastAsia="sk-SK"/>
        </w:rPr>
      </w:pPr>
      <w:r w:rsidRPr="003D3BEB">
        <w:rPr>
          <w:rFonts w:ascii="Calibri" w:eastAsia="Calibri" w:hAnsi="Calibri" w:cs="Calibri"/>
          <w:lang w:eastAsia="sk-SK"/>
        </w:rPr>
        <w:t>U většiny podpořených projektů zařazených do vzorku bylo dosaženo vyšších racionalizačních inovačních řádů (tedy 3. nebo 4.). Na druhou stranu, téměř třetina projektů se umístila v inovačním řádu 1, přičemž některé projekty se pohybují těsně nad hranicí prosté obnovy.</w:t>
      </w:r>
    </w:p>
    <w:p w14:paraId="33BE7BAE" w14:textId="77777777" w:rsidR="003D3BEB" w:rsidRPr="003D3BEB" w:rsidRDefault="003D3BEB" w:rsidP="003D3BEB">
      <w:pPr>
        <w:spacing w:after="0"/>
        <w:rPr>
          <w:rFonts w:ascii="Calibri" w:eastAsia="Calibri" w:hAnsi="Calibri" w:cs="Calibri"/>
          <w:lang w:eastAsia="sk-SK"/>
        </w:rPr>
      </w:pPr>
    </w:p>
    <w:p w14:paraId="5CCA683D" w14:textId="77777777" w:rsidR="003D3BEB" w:rsidRPr="003D3BEB" w:rsidRDefault="003D3BEB" w:rsidP="003D3BEB">
      <w:pPr>
        <w:spacing w:after="0"/>
        <w:rPr>
          <w:rFonts w:ascii="Calibri" w:eastAsia="Calibri" w:hAnsi="Calibri" w:cs="Calibri"/>
          <w:lang w:eastAsia="sk-SK"/>
        </w:rPr>
      </w:pPr>
      <w:r w:rsidRPr="003D3BEB">
        <w:rPr>
          <w:rFonts w:ascii="Calibri" w:eastAsia="Calibri" w:hAnsi="Calibri" w:cs="Calibri"/>
          <w:lang w:eastAsia="sk-SK"/>
        </w:rPr>
        <w:t>Pozitivním zjištěním je relativně vysoké zastoupení přímé automatizace, prvků robotizace, popř. implementace IT systémů řízení výroby směřujících k implementaci cílů Průmysl 4.0, a to zčásti přímo deklarovaným strategickým zájmem firem o zvýšení technologické úrovně tímto směrem.</w:t>
      </w:r>
    </w:p>
    <w:p w14:paraId="657F622E" w14:textId="77777777" w:rsidR="003D3BEB" w:rsidRDefault="003D3BEB" w:rsidP="003D3BEB">
      <w:pPr>
        <w:spacing w:after="0"/>
        <w:rPr>
          <w:rFonts w:ascii="Calibri" w:eastAsia="Calibri" w:hAnsi="Calibri" w:cs="Calibri"/>
          <w:lang w:eastAsia="sk-SK"/>
        </w:rPr>
      </w:pPr>
    </w:p>
    <w:p w14:paraId="10AB23B6" w14:textId="77777777" w:rsidR="001D2514" w:rsidRPr="003D3BEB" w:rsidRDefault="001D2514" w:rsidP="003D3BEB">
      <w:pPr>
        <w:spacing w:after="0"/>
        <w:rPr>
          <w:rFonts w:ascii="Calibri" w:eastAsia="Calibri" w:hAnsi="Calibri" w:cs="Calibri"/>
          <w:lang w:eastAsia="sk-SK"/>
        </w:rPr>
      </w:pPr>
    </w:p>
    <w:p w14:paraId="62E65B05" w14:textId="77777777" w:rsidR="003D3BEB" w:rsidRPr="003D3BEB" w:rsidRDefault="003D3BEB" w:rsidP="003D3BEB">
      <w:pPr>
        <w:numPr>
          <w:ilvl w:val="0"/>
          <w:numId w:val="41"/>
        </w:numPr>
        <w:spacing w:after="0" w:line="259" w:lineRule="auto"/>
        <w:contextualSpacing/>
        <w:rPr>
          <w:rFonts w:ascii="Calibri" w:eastAsia="Calibri" w:hAnsi="Calibri" w:cs="Calibri"/>
          <w:b/>
          <w:lang w:eastAsia="sk-SK"/>
        </w:rPr>
      </w:pPr>
      <w:r w:rsidRPr="003D3BEB">
        <w:rPr>
          <w:rFonts w:ascii="Calibri" w:eastAsia="Calibri" w:hAnsi="Calibri" w:cs="Calibri"/>
          <w:b/>
          <w:lang w:eastAsia="sk-SK"/>
        </w:rPr>
        <w:t>Dostupnost vnějšího financování pro začínající podnikatele a inovační podniky</w:t>
      </w:r>
    </w:p>
    <w:p w14:paraId="1085ACED" w14:textId="77777777" w:rsidR="001D2514" w:rsidRDefault="001D2514" w:rsidP="003D3BEB">
      <w:pPr>
        <w:spacing w:after="0"/>
        <w:rPr>
          <w:rFonts w:ascii="Calibri" w:eastAsia="Calibri" w:hAnsi="Calibri" w:cs="Calibri"/>
          <w:lang w:eastAsia="sk-SK"/>
        </w:rPr>
      </w:pPr>
    </w:p>
    <w:p w14:paraId="3A3EC6A1" w14:textId="77777777" w:rsidR="003D3BEB" w:rsidRPr="003D3BEB" w:rsidRDefault="003D3BEB" w:rsidP="003D3BEB">
      <w:pPr>
        <w:spacing w:after="0"/>
        <w:rPr>
          <w:rFonts w:ascii="Calibri" w:eastAsia="Calibri" w:hAnsi="Calibri" w:cs="Calibri"/>
          <w:lang w:eastAsia="sk-SK"/>
        </w:rPr>
      </w:pPr>
      <w:r w:rsidRPr="003D3BEB">
        <w:rPr>
          <w:rFonts w:ascii="Calibri" w:eastAsia="Calibri" w:hAnsi="Calibri" w:cs="Calibri"/>
          <w:lang w:eastAsia="sk-SK"/>
        </w:rPr>
        <w:t>Z vlastního šetření hodnotitele i z dalších, jiných analýz a průzkumů zaměřených na financování MSP obecně vyplývá, že:</w:t>
      </w:r>
    </w:p>
    <w:p w14:paraId="1556D2FA" w14:textId="6CF646D0" w:rsidR="003D3BEB" w:rsidRPr="003D3BEB" w:rsidRDefault="003D3BEB" w:rsidP="003D3BEB">
      <w:pPr>
        <w:pStyle w:val="Odstavecseseznamem"/>
        <w:numPr>
          <w:ilvl w:val="0"/>
          <w:numId w:val="43"/>
        </w:numPr>
        <w:rPr>
          <w:rFonts w:ascii="Calibri" w:eastAsia="Calibri" w:hAnsi="Calibri" w:cs="Calibri"/>
          <w:sz w:val="22"/>
          <w:szCs w:val="22"/>
          <w:lang w:eastAsia="sk-SK"/>
        </w:rPr>
      </w:pPr>
      <w:r w:rsidRPr="003D3BEB">
        <w:rPr>
          <w:rFonts w:ascii="Calibri" w:eastAsia="Calibri" w:hAnsi="Calibri" w:cs="Calibri"/>
          <w:sz w:val="22"/>
          <w:szCs w:val="22"/>
          <w:lang w:eastAsia="sk-SK"/>
        </w:rPr>
        <w:t>Dostupnost vnějšího financování pro začínající a inovativní MSP se zlepšuje.</w:t>
      </w:r>
    </w:p>
    <w:p w14:paraId="3EE8750C" w14:textId="74104088" w:rsidR="003D3BEB" w:rsidRPr="003D3BEB" w:rsidRDefault="003D3BEB" w:rsidP="003D3BEB">
      <w:pPr>
        <w:pStyle w:val="Odstavecseseznamem"/>
        <w:numPr>
          <w:ilvl w:val="0"/>
          <w:numId w:val="43"/>
        </w:numPr>
        <w:rPr>
          <w:rFonts w:ascii="Calibri" w:eastAsia="Calibri" w:hAnsi="Calibri" w:cs="Calibri"/>
          <w:sz w:val="22"/>
          <w:szCs w:val="22"/>
          <w:lang w:eastAsia="sk-SK"/>
        </w:rPr>
      </w:pPr>
      <w:r w:rsidRPr="003D3BEB">
        <w:rPr>
          <w:rFonts w:ascii="Calibri" w:eastAsia="Calibri" w:hAnsi="Calibri" w:cs="Calibri"/>
          <w:sz w:val="22"/>
          <w:szCs w:val="22"/>
          <w:lang w:eastAsia="sk-SK"/>
        </w:rPr>
        <w:t xml:space="preserve">Nejčastěji poptávanou formou podpory ze strany cílových skupin jsou bezúročné/nízkoúročené úvěry. </w:t>
      </w:r>
    </w:p>
    <w:p w14:paraId="76DF17FC" w14:textId="6325E24F" w:rsidR="003D3BEB" w:rsidRPr="003D3BEB" w:rsidRDefault="003D3BEB" w:rsidP="003D3BEB">
      <w:pPr>
        <w:pStyle w:val="Odstavecseseznamem"/>
        <w:numPr>
          <w:ilvl w:val="0"/>
          <w:numId w:val="43"/>
        </w:numPr>
        <w:rPr>
          <w:rFonts w:ascii="Calibri" w:eastAsia="Calibri" w:hAnsi="Calibri" w:cs="Calibri"/>
          <w:sz w:val="22"/>
          <w:szCs w:val="22"/>
          <w:lang w:eastAsia="sk-SK"/>
        </w:rPr>
      </w:pPr>
      <w:r w:rsidRPr="003D3BEB">
        <w:rPr>
          <w:rFonts w:ascii="Calibri" w:eastAsia="Calibri" w:hAnsi="Calibri" w:cs="Calibri"/>
          <w:sz w:val="22"/>
          <w:szCs w:val="22"/>
          <w:lang w:eastAsia="sk-SK"/>
        </w:rPr>
        <w:t>Pro začínající podnikatele je obtížnější získat bankovní úvěr, překážkou jsou především požadované záruky.</w:t>
      </w:r>
    </w:p>
    <w:p w14:paraId="67A81B73" w14:textId="060AA529" w:rsidR="003D3BEB" w:rsidRPr="003D3BEB" w:rsidRDefault="003D3BEB" w:rsidP="003D3BEB">
      <w:pPr>
        <w:pStyle w:val="Odstavecseseznamem"/>
        <w:numPr>
          <w:ilvl w:val="0"/>
          <w:numId w:val="43"/>
        </w:numPr>
        <w:rPr>
          <w:rFonts w:ascii="Calibri" w:eastAsia="Calibri" w:hAnsi="Calibri" w:cs="Calibri"/>
          <w:sz w:val="22"/>
          <w:szCs w:val="22"/>
          <w:lang w:eastAsia="sk-SK"/>
        </w:rPr>
      </w:pPr>
      <w:r w:rsidRPr="003D3BEB">
        <w:rPr>
          <w:rFonts w:ascii="Calibri" w:eastAsia="Calibri" w:hAnsi="Calibri" w:cs="Calibri"/>
          <w:sz w:val="22"/>
          <w:szCs w:val="22"/>
          <w:lang w:eastAsia="sk-SK"/>
        </w:rPr>
        <w:t xml:space="preserve">Systém státní podpory vnímají MSP jako málo flexibilní, zdlouhavý, složitý a administrativně náročný.  </w:t>
      </w:r>
    </w:p>
    <w:p w14:paraId="37320330" w14:textId="77777777" w:rsidR="003D3BEB" w:rsidRPr="003D3BEB" w:rsidRDefault="003D3BEB" w:rsidP="003D3BEB">
      <w:pPr>
        <w:spacing w:after="0"/>
        <w:rPr>
          <w:rFonts w:ascii="Calibri" w:eastAsia="Calibri" w:hAnsi="Calibri" w:cs="Calibri"/>
          <w:lang w:eastAsia="sk-SK"/>
        </w:rPr>
      </w:pPr>
    </w:p>
    <w:p w14:paraId="5307DAFC" w14:textId="77777777" w:rsidR="003D3BEB" w:rsidRPr="003D3BEB" w:rsidRDefault="003D3BEB" w:rsidP="003D3BEB">
      <w:pPr>
        <w:spacing w:after="0"/>
        <w:rPr>
          <w:rFonts w:ascii="Calibri" w:eastAsia="Calibri" w:hAnsi="Calibri" w:cs="Calibri"/>
          <w:lang w:eastAsia="sk-SK"/>
        </w:rPr>
      </w:pPr>
    </w:p>
    <w:p w14:paraId="6F68DA79" w14:textId="77777777" w:rsidR="003D3BEB" w:rsidRPr="003D3BEB" w:rsidRDefault="003D3BEB" w:rsidP="003D3BEB">
      <w:pPr>
        <w:numPr>
          <w:ilvl w:val="0"/>
          <w:numId w:val="41"/>
        </w:numPr>
        <w:spacing w:after="0" w:line="259" w:lineRule="auto"/>
        <w:contextualSpacing/>
        <w:rPr>
          <w:rFonts w:ascii="Calibri" w:eastAsia="Calibri" w:hAnsi="Calibri" w:cs="Calibri"/>
          <w:b/>
          <w:lang w:eastAsia="sk-SK"/>
        </w:rPr>
      </w:pPr>
      <w:r w:rsidRPr="003D3BEB">
        <w:rPr>
          <w:rFonts w:ascii="Calibri" w:eastAsia="Calibri" w:hAnsi="Calibri" w:cs="Calibri"/>
          <w:b/>
          <w:lang w:eastAsia="sk-SK"/>
        </w:rPr>
        <w:t>Vliv intervencí na exportní výkonnost podpořených podniků ve srovnání s podniky nepodpořenými</w:t>
      </w:r>
    </w:p>
    <w:p w14:paraId="7347AF3A" w14:textId="77777777" w:rsidR="001D2514" w:rsidRDefault="001D2514" w:rsidP="003D3BEB">
      <w:pPr>
        <w:spacing w:after="0"/>
        <w:rPr>
          <w:rFonts w:ascii="Calibri" w:eastAsia="Calibri" w:hAnsi="Calibri" w:cs="Calibri"/>
          <w:lang w:eastAsia="sk-SK"/>
        </w:rPr>
      </w:pPr>
    </w:p>
    <w:p w14:paraId="1ACDB093" w14:textId="77777777" w:rsidR="003D3BEB" w:rsidRPr="003D3BEB" w:rsidRDefault="003D3BEB" w:rsidP="003D3BEB">
      <w:pPr>
        <w:spacing w:after="0"/>
        <w:rPr>
          <w:rFonts w:ascii="Calibri" w:eastAsia="Calibri" w:hAnsi="Calibri" w:cs="Calibri"/>
          <w:lang w:eastAsia="sk-SK"/>
        </w:rPr>
      </w:pPr>
      <w:r w:rsidRPr="003D3BEB">
        <w:rPr>
          <w:rFonts w:ascii="Calibri" w:eastAsia="Calibri" w:hAnsi="Calibri" w:cs="Calibri"/>
          <w:lang w:eastAsia="sk-SK"/>
        </w:rPr>
        <w:t xml:space="preserve">S ohledem na chybějící data bylo nutné analyzovat pozorované trendy v podpořených MSP ve vztahu k exportním výkonům se národními a sektorovými daty. Z této analýzy jednoznačně vyplývá, že </w:t>
      </w:r>
      <w:r w:rsidRPr="003D3BEB">
        <w:rPr>
          <w:rFonts w:ascii="Calibri" w:eastAsia="Calibri" w:hAnsi="Calibri" w:cs="Calibri"/>
          <w:lang w:eastAsia="sk-SK"/>
        </w:rPr>
        <w:lastRenderedPageBreak/>
        <w:t xml:space="preserve">podpořené firmy rostou v objemu exportu (vyjádřeném výší tržeb ze zahraničí) výrazně rychlejším tempem, než hodnoty vykazované celou ekonomikou nebo sektorovými daty. </w:t>
      </w:r>
    </w:p>
    <w:p w14:paraId="5FFBBE48" w14:textId="77777777" w:rsidR="003D3BEB" w:rsidRPr="003D3BEB" w:rsidRDefault="003D3BEB" w:rsidP="003D3BEB">
      <w:pPr>
        <w:spacing w:after="0"/>
        <w:rPr>
          <w:rFonts w:ascii="Calibri" w:eastAsia="Calibri" w:hAnsi="Calibri" w:cs="Calibri"/>
          <w:lang w:eastAsia="sk-SK"/>
        </w:rPr>
      </w:pPr>
    </w:p>
    <w:p w14:paraId="201A2794" w14:textId="77777777" w:rsidR="001D2514" w:rsidRPr="003D3BEB" w:rsidRDefault="001D2514" w:rsidP="003D3BEB">
      <w:pPr>
        <w:spacing w:after="0"/>
        <w:rPr>
          <w:rFonts w:ascii="Calibri" w:eastAsia="Calibri" w:hAnsi="Calibri" w:cs="Calibri"/>
          <w:lang w:eastAsia="sk-SK"/>
        </w:rPr>
      </w:pPr>
    </w:p>
    <w:p w14:paraId="2D05650A" w14:textId="77777777" w:rsidR="003D3BEB" w:rsidRPr="003D3BEB" w:rsidRDefault="003D3BEB" w:rsidP="003D3BEB">
      <w:pPr>
        <w:numPr>
          <w:ilvl w:val="0"/>
          <w:numId w:val="41"/>
        </w:numPr>
        <w:spacing w:after="0" w:line="259" w:lineRule="auto"/>
        <w:contextualSpacing/>
        <w:rPr>
          <w:rFonts w:ascii="Calibri" w:eastAsia="Calibri" w:hAnsi="Calibri" w:cs="Calibri"/>
          <w:b/>
          <w:lang w:eastAsia="sk-SK"/>
        </w:rPr>
      </w:pPr>
      <w:r w:rsidRPr="003D3BEB">
        <w:rPr>
          <w:rFonts w:ascii="Calibri" w:eastAsia="Calibri" w:hAnsi="Calibri" w:cs="Calibri"/>
          <w:b/>
          <w:lang w:eastAsia="sk-SK"/>
        </w:rPr>
        <w:t>Schopnost MSP identifikovat nové příležitosti na zahraničních trzích</w:t>
      </w:r>
    </w:p>
    <w:p w14:paraId="266D14A3" w14:textId="77777777" w:rsidR="001D2514" w:rsidRDefault="001D2514" w:rsidP="003D3BEB">
      <w:pPr>
        <w:spacing w:after="0"/>
        <w:rPr>
          <w:rFonts w:ascii="Calibri" w:eastAsia="Calibri" w:hAnsi="Calibri" w:cs="Calibri"/>
          <w:lang w:eastAsia="sk-SK"/>
        </w:rPr>
      </w:pPr>
    </w:p>
    <w:p w14:paraId="43020CDF" w14:textId="77777777" w:rsidR="003D3BEB" w:rsidRPr="003D3BEB" w:rsidRDefault="003D3BEB" w:rsidP="003D3BEB">
      <w:pPr>
        <w:spacing w:after="0"/>
        <w:rPr>
          <w:rFonts w:ascii="Calibri" w:eastAsia="Calibri" w:hAnsi="Calibri" w:cs="Calibri"/>
          <w:lang w:eastAsia="sk-SK"/>
        </w:rPr>
      </w:pPr>
      <w:r w:rsidRPr="003D3BEB">
        <w:rPr>
          <w:rFonts w:ascii="Calibri" w:eastAsia="Calibri" w:hAnsi="Calibri" w:cs="Calibri"/>
          <w:lang w:eastAsia="sk-SK"/>
        </w:rPr>
        <w:t>Výsledky terénního šetření vykazují zvýšenou schopnost podpořených MSP identifikovat nové příležitosti na zahraničních trzích. U větší části respondentů došlo také ke zlepšení strategického plánování a řízení podnikových procesů.</w:t>
      </w:r>
    </w:p>
    <w:p w14:paraId="40B4A87E" w14:textId="77777777" w:rsidR="003D3BEB" w:rsidRPr="003D3BEB" w:rsidRDefault="003D3BEB" w:rsidP="003D3BEB">
      <w:pPr>
        <w:spacing w:after="0"/>
        <w:rPr>
          <w:rFonts w:ascii="Calibri" w:eastAsia="Calibri" w:hAnsi="Calibri" w:cs="Calibri"/>
          <w:lang w:eastAsia="sk-SK"/>
        </w:rPr>
      </w:pPr>
    </w:p>
    <w:p w14:paraId="6DB0CFAC" w14:textId="77777777" w:rsidR="003D3BEB" w:rsidRPr="003D3BEB" w:rsidRDefault="003D3BEB" w:rsidP="003D3BEB">
      <w:pPr>
        <w:spacing w:after="0"/>
        <w:rPr>
          <w:rFonts w:ascii="Calibri" w:eastAsia="Calibri" w:hAnsi="Calibri" w:cs="Calibri"/>
          <w:lang w:eastAsia="sk-SK"/>
        </w:rPr>
      </w:pPr>
      <w:r w:rsidRPr="003D3BEB">
        <w:rPr>
          <w:rFonts w:ascii="Calibri" w:eastAsia="Calibri" w:hAnsi="Calibri" w:cs="Calibri"/>
          <w:lang w:eastAsia="sk-SK"/>
        </w:rPr>
        <w:t>Výrazná většina MSP v terénním šetření rovněž uvádí zvýšenou schopnost vlastní mezinárodní expanze ve smyslu rozšiřování jak exportní působnosti, tak výrobních, prodejních či distribučních aktivit na zahraničních trzích.</w:t>
      </w:r>
    </w:p>
    <w:p w14:paraId="331BFAE3" w14:textId="77777777" w:rsidR="003D3BEB" w:rsidRPr="003D3BEB" w:rsidRDefault="003D3BEB" w:rsidP="003D3BEB">
      <w:pPr>
        <w:spacing w:after="0"/>
        <w:rPr>
          <w:rFonts w:ascii="Calibri" w:eastAsia="Calibri" w:hAnsi="Calibri" w:cs="Calibri"/>
          <w:lang w:eastAsia="sk-SK"/>
        </w:rPr>
      </w:pPr>
    </w:p>
    <w:p w14:paraId="5374A49D" w14:textId="77777777" w:rsidR="003D3BEB" w:rsidRPr="003D3BEB" w:rsidRDefault="003D3BEB" w:rsidP="003D3BEB">
      <w:pPr>
        <w:spacing w:after="0"/>
        <w:rPr>
          <w:rFonts w:ascii="Calibri" w:eastAsia="Calibri" w:hAnsi="Calibri" w:cs="Calibri"/>
          <w:lang w:eastAsia="sk-SK"/>
        </w:rPr>
      </w:pPr>
      <w:r w:rsidRPr="003D3BEB">
        <w:rPr>
          <w:rFonts w:ascii="Calibri" w:eastAsia="Calibri" w:hAnsi="Calibri" w:cs="Calibri"/>
          <w:lang w:eastAsia="sk-SK"/>
        </w:rPr>
        <w:t>Příjemci rovněž vnímají pozitivně účinky podpory z OP PIK ve vztahu k plánovaným cílům.</w:t>
      </w:r>
    </w:p>
    <w:p w14:paraId="3B994996" w14:textId="711EE793" w:rsidR="003D3BEB" w:rsidRDefault="003D3BEB" w:rsidP="003D3BEB">
      <w:pPr>
        <w:spacing w:after="0"/>
        <w:rPr>
          <w:rFonts w:ascii="Calibri" w:eastAsia="Calibri" w:hAnsi="Calibri" w:cs="Calibri"/>
          <w:lang w:eastAsia="sk-SK"/>
        </w:rPr>
      </w:pPr>
      <w:r w:rsidRPr="003D3BEB">
        <w:rPr>
          <w:rFonts w:ascii="Calibri" w:eastAsia="Calibri" w:hAnsi="Calibri" w:cs="Calibri"/>
          <w:lang w:eastAsia="sk-SK"/>
        </w:rPr>
        <w:t xml:space="preserve">  </w:t>
      </w:r>
    </w:p>
    <w:p w14:paraId="18F68B00" w14:textId="77777777" w:rsidR="00501FB8" w:rsidRPr="003D3BEB" w:rsidRDefault="00501FB8" w:rsidP="003D3BEB">
      <w:pPr>
        <w:spacing w:after="0"/>
        <w:rPr>
          <w:rFonts w:ascii="Calibri" w:eastAsia="Calibri" w:hAnsi="Calibri" w:cs="Calibri"/>
          <w:lang w:eastAsia="sk-SK"/>
        </w:rPr>
      </w:pPr>
    </w:p>
    <w:p w14:paraId="02A8D19E" w14:textId="77777777" w:rsidR="003D3BEB" w:rsidRPr="003D3BEB" w:rsidRDefault="003D3BEB" w:rsidP="003D3BEB">
      <w:pPr>
        <w:numPr>
          <w:ilvl w:val="0"/>
          <w:numId w:val="41"/>
        </w:numPr>
        <w:spacing w:after="0" w:line="259" w:lineRule="auto"/>
        <w:contextualSpacing/>
        <w:rPr>
          <w:rFonts w:ascii="Calibri" w:eastAsia="Calibri" w:hAnsi="Calibri" w:cs="Calibri"/>
          <w:b/>
          <w:lang w:eastAsia="sk-SK"/>
        </w:rPr>
      </w:pPr>
      <w:r w:rsidRPr="003D3BEB">
        <w:rPr>
          <w:rFonts w:ascii="Calibri" w:eastAsia="Calibri" w:hAnsi="Calibri" w:cs="Calibri"/>
          <w:b/>
          <w:lang w:eastAsia="sk-SK"/>
        </w:rPr>
        <w:t>Kvalita a dostupnost poradenských služeb zaměřených na podporu internacionalizace MSP a služeb podporujících zapojování MSP do mezinárodních programů (např. Horizont 2020, COSME)</w:t>
      </w:r>
    </w:p>
    <w:p w14:paraId="41BD69B6" w14:textId="77777777" w:rsidR="001D2514" w:rsidRDefault="001D2514" w:rsidP="003D3BEB">
      <w:pPr>
        <w:spacing w:after="0"/>
        <w:rPr>
          <w:rFonts w:ascii="Calibri" w:eastAsia="Calibri" w:hAnsi="Calibri" w:cs="Calibri"/>
          <w:lang w:eastAsia="sk-SK"/>
        </w:rPr>
      </w:pPr>
    </w:p>
    <w:p w14:paraId="217E50E0" w14:textId="77777777" w:rsidR="003D3BEB" w:rsidRDefault="003D3BEB" w:rsidP="003D3BEB">
      <w:pPr>
        <w:spacing w:after="0"/>
        <w:rPr>
          <w:rFonts w:ascii="Calibri" w:eastAsia="Calibri" w:hAnsi="Calibri" w:cs="Calibri"/>
          <w:lang w:eastAsia="sk-SK"/>
        </w:rPr>
      </w:pPr>
      <w:r w:rsidRPr="003D3BEB">
        <w:rPr>
          <w:rFonts w:ascii="Calibri" w:eastAsia="Calibri" w:hAnsi="Calibri" w:cs="Calibri"/>
          <w:lang w:eastAsia="sk-SK"/>
        </w:rPr>
        <w:t xml:space="preserve">Spektrum poradenských a dalších služeb zaměřených na podporu internacionalizace MSP se rozšiřuje a jejich dostupnost je pozitivně hodnocena i ze strany cílových skupin. </w:t>
      </w:r>
    </w:p>
    <w:p w14:paraId="50E15599" w14:textId="77777777" w:rsidR="003D3BEB" w:rsidRPr="003D3BEB" w:rsidRDefault="003D3BEB" w:rsidP="003D3BEB">
      <w:pPr>
        <w:spacing w:after="0"/>
        <w:rPr>
          <w:rFonts w:ascii="Calibri" w:eastAsia="Calibri" w:hAnsi="Calibri" w:cs="Calibri"/>
          <w:lang w:eastAsia="sk-SK"/>
        </w:rPr>
      </w:pPr>
    </w:p>
    <w:p w14:paraId="05F156E1" w14:textId="77777777" w:rsidR="003D3BEB" w:rsidRDefault="003D3BEB" w:rsidP="003D3BEB">
      <w:pPr>
        <w:spacing w:after="0"/>
        <w:rPr>
          <w:rFonts w:ascii="Calibri" w:eastAsia="Calibri" w:hAnsi="Calibri" w:cs="Calibri"/>
          <w:lang w:eastAsia="sk-SK"/>
        </w:rPr>
      </w:pPr>
      <w:r w:rsidRPr="003D3BEB">
        <w:rPr>
          <w:rFonts w:ascii="Calibri" w:eastAsia="Calibri" w:hAnsi="Calibri" w:cs="Calibri"/>
          <w:lang w:eastAsia="sk-SK"/>
        </w:rPr>
        <w:t>Dílčí nedostatky jsou z pohledu cílových skupin spatřovány v oblasti specializovaných služeb pro konkrétní specifický segment odvětví a teritoria nebo ve větší podpoře skrze profesionály působící na zahraničních trzích.</w:t>
      </w:r>
    </w:p>
    <w:p w14:paraId="6F9DADBD" w14:textId="77777777" w:rsidR="003D3BEB" w:rsidRPr="003D3BEB" w:rsidRDefault="003D3BEB" w:rsidP="003D3BEB">
      <w:pPr>
        <w:spacing w:after="0"/>
        <w:rPr>
          <w:rFonts w:ascii="Calibri" w:eastAsia="Calibri" w:hAnsi="Calibri" w:cs="Calibri"/>
          <w:lang w:eastAsia="sk-SK"/>
        </w:rPr>
      </w:pPr>
    </w:p>
    <w:p w14:paraId="169EB462" w14:textId="77777777" w:rsidR="003D3BEB" w:rsidRPr="003D3BEB" w:rsidRDefault="003D3BEB" w:rsidP="003D3BEB">
      <w:pPr>
        <w:spacing w:after="0"/>
        <w:rPr>
          <w:rFonts w:ascii="Calibri" w:eastAsia="Calibri" w:hAnsi="Calibri" w:cs="Calibri"/>
          <w:lang w:eastAsia="sk-SK"/>
        </w:rPr>
      </w:pPr>
      <w:r w:rsidRPr="003D3BEB">
        <w:rPr>
          <w:rFonts w:ascii="Calibri" w:eastAsia="Calibri" w:hAnsi="Calibri" w:cs="Calibri"/>
          <w:lang w:eastAsia="sk-SK"/>
        </w:rPr>
        <w:t>Slabinou je přetrvávající nízká účast a úspěšnost českých MSP v mezinárodních programech. To může být způsobeno mj. i nedostatečnou informovaností cílových skupin.</w:t>
      </w:r>
    </w:p>
    <w:p w14:paraId="617AC162" w14:textId="77777777" w:rsidR="003D3BEB" w:rsidRPr="003D3BEB" w:rsidRDefault="003D3BEB" w:rsidP="003D3BEB">
      <w:pPr>
        <w:spacing w:after="0"/>
        <w:rPr>
          <w:rFonts w:ascii="Calibri" w:eastAsia="Calibri" w:hAnsi="Calibri" w:cs="Calibri"/>
          <w:lang w:eastAsia="sk-SK"/>
        </w:rPr>
      </w:pPr>
    </w:p>
    <w:p w14:paraId="7450DAE8" w14:textId="77777777" w:rsidR="003D3BEB" w:rsidRPr="003D3BEB" w:rsidRDefault="003D3BEB" w:rsidP="003D3BEB">
      <w:pPr>
        <w:spacing w:after="0"/>
        <w:rPr>
          <w:rFonts w:ascii="Calibri" w:eastAsia="Calibri" w:hAnsi="Calibri" w:cs="Calibri"/>
          <w:lang w:eastAsia="sk-SK"/>
        </w:rPr>
      </w:pPr>
    </w:p>
    <w:p w14:paraId="0F49E77E" w14:textId="77777777" w:rsidR="00446B47" w:rsidRDefault="00446B47" w:rsidP="00E118FD">
      <w:pPr>
        <w:spacing w:after="0"/>
        <w:rPr>
          <w:rFonts w:ascii="Calibri" w:hAnsi="Calibri" w:cs="Calibri"/>
        </w:rPr>
      </w:pPr>
    </w:p>
    <w:p w14:paraId="21427529" w14:textId="77777777" w:rsidR="00446B47" w:rsidRDefault="00446B47" w:rsidP="00E118FD">
      <w:pPr>
        <w:spacing w:after="0"/>
        <w:rPr>
          <w:rFonts w:ascii="Calibri" w:hAnsi="Calibri" w:cs="Calibri"/>
        </w:rPr>
      </w:pPr>
    </w:p>
    <w:p w14:paraId="0D957C11" w14:textId="0EA911E0" w:rsidR="00446B47" w:rsidRDefault="00446B47" w:rsidP="00446B47">
      <w:pPr>
        <w:pStyle w:val="Nadpis1"/>
        <w:ind w:left="431" w:hanging="431"/>
      </w:pPr>
      <w:bookmarkStart w:id="17" w:name="_Toc1408095"/>
      <w:r>
        <w:lastRenderedPageBreak/>
        <w:t>E</w:t>
      </w:r>
      <w:r w:rsidR="009E19E3">
        <w:t>xecutive summary</w:t>
      </w:r>
      <w:bookmarkEnd w:id="17"/>
    </w:p>
    <w:p w14:paraId="32084D1A" w14:textId="2DC2F7D9" w:rsidR="00496FB2" w:rsidRDefault="00FB70E6" w:rsidP="00496FB2">
      <w:r>
        <w:t>T</w:t>
      </w:r>
      <w:r w:rsidR="00496FB2" w:rsidRPr="00CF2853">
        <w:t xml:space="preserve">he evaluator has reached the following main findings and conclusions </w:t>
      </w:r>
      <w:r>
        <w:t>o</w:t>
      </w:r>
      <w:r w:rsidRPr="00CF2853">
        <w:t xml:space="preserve">n the basis of the analyzes carried out, </w:t>
      </w:r>
      <w:r w:rsidR="00496FB2" w:rsidRPr="00CF2853">
        <w:t>and, following them, has also formulated some recommendations to the contracting authority:</w:t>
      </w:r>
    </w:p>
    <w:p w14:paraId="3D5E5247" w14:textId="436AFBEA" w:rsidR="00496FB2" w:rsidRDefault="00496FB2" w:rsidP="00496FB2">
      <w:pPr>
        <w:numPr>
          <w:ilvl w:val="0"/>
          <w:numId w:val="46"/>
        </w:numPr>
        <w:spacing w:after="0" w:line="259" w:lineRule="auto"/>
        <w:contextualSpacing/>
        <w:rPr>
          <w:rFonts w:ascii="Calibri" w:eastAsia="Calibri" w:hAnsi="Calibri" w:cs="Calibri"/>
          <w:b/>
          <w:lang w:eastAsia="sk-SK"/>
        </w:rPr>
      </w:pPr>
      <w:r w:rsidRPr="00496FB2">
        <w:rPr>
          <w:rFonts w:ascii="Calibri" w:eastAsia="Calibri" w:hAnsi="Calibri" w:cs="Calibri"/>
          <w:b/>
          <w:lang w:eastAsia="sk-SK"/>
        </w:rPr>
        <w:t xml:space="preserve"> </w:t>
      </w:r>
      <w:r>
        <w:rPr>
          <w:rFonts w:ascii="Calibri" w:eastAsia="Calibri" w:hAnsi="Calibri" w:cs="Calibri"/>
          <w:b/>
          <w:lang w:eastAsia="sk-SK"/>
        </w:rPr>
        <w:t>The c</w:t>
      </w:r>
      <w:r w:rsidRPr="00496FB2">
        <w:rPr>
          <w:rFonts w:ascii="Calibri" w:eastAsia="Calibri" w:hAnsi="Calibri" w:cs="Calibri"/>
          <w:b/>
          <w:lang w:eastAsia="sk-SK"/>
        </w:rPr>
        <w:t xml:space="preserve">ontribution of interventions implemented under the OP EIC Technology, Expansion and Marketing </w:t>
      </w:r>
      <w:r>
        <w:rPr>
          <w:rFonts w:ascii="Calibri" w:eastAsia="Calibri" w:hAnsi="Calibri" w:cs="Calibri"/>
          <w:b/>
          <w:lang w:eastAsia="sk-SK"/>
        </w:rPr>
        <w:t xml:space="preserve">support </w:t>
      </w:r>
      <w:r w:rsidRPr="00496FB2">
        <w:rPr>
          <w:rFonts w:ascii="Calibri" w:eastAsia="Calibri" w:hAnsi="Calibri" w:cs="Calibri"/>
          <w:b/>
          <w:lang w:eastAsia="sk-SK"/>
        </w:rPr>
        <w:t>programs</w:t>
      </w:r>
      <w:r>
        <w:rPr>
          <w:rFonts w:ascii="Calibri" w:eastAsia="Calibri" w:hAnsi="Calibri" w:cs="Calibri"/>
          <w:b/>
          <w:lang w:eastAsia="sk-SK"/>
        </w:rPr>
        <w:t xml:space="preserve"> (SP)</w:t>
      </w:r>
      <w:r w:rsidRPr="00496FB2">
        <w:rPr>
          <w:rFonts w:ascii="Calibri" w:eastAsia="Calibri" w:hAnsi="Calibri" w:cs="Calibri"/>
          <w:b/>
          <w:lang w:eastAsia="sk-SK"/>
        </w:rPr>
        <w:t xml:space="preserve"> to achieve </w:t>
      </w:r>
      <w:r w:rsidR="00F751E2">
        <w:rPr>
          <w:rFonts w:ascii="Calibri" w:eastAsia="Calibri" w:hAnsi="Calibri" w:cs="Calibri"/>
          <w:b/>
          <w:lang w:eastAsia="sk-SK"/>
        </w:rPr>
        <w:t>specific objective (</w:t>
      </w:r>
      <w:r w:rsidRPr="00496FB2">
        <w:rPr>
          <w:rFonts w:ascii="Calibri" w:eastAsia="Calibri" w:hAnsi="Calibri" w:cs="Calibri"/>
          <w:b/>
          <w:lang w:eastAsia="sk-SK"/>
        </w:rPr>
        <w:t>SO</w:t>
      </w:r>
      <w:r w:rsidR="00F751E2">
        <w:rPr>
          <w:rFonts w:ascii="Calibri" w:eastAsia="Calibri" w:hAnsi="Calibri" w:cs="Calibri"/>
          <w:b/>
          <w:lang w:eastAsia="sk-SK"/>
        </w:rPr>
        <w:t>)</w:t>
      </w:r>
      <w:r w:rsidRPr="00496FB2">
        <w:rPr>
          <w:rFonts w:ascii="Calibri" w:eastAsia="Calibri" w:hAnsi="Calibri" w:cs="Calibri"/>
          <w:b/>
          <w:lang w:eastAsia="sk-SK"/>
        </w:rPr>
        <w:t xml:space="preserve"> 2.1 and 2.2</w:t>
      </w:r>
    </w:p>
    <w:p w14:paraId="1A8D434F" w14:textId="77777777" w:rsidR="001D2514" w:rsidRDefault="001D2514" w:rsidP="001D2514">
      <w:pPr>
        <w:spacing w:after="0"/>
      </w:pPr>
    </w:p>
    <w:p w14:paraId="0382B1EB" w14:textId="61124569" w:rsidR="00496FB2" w:rsidRDefault="00496FB2" w:rsidP="00496FB2">
      <w:r w:rsidRPr="00CF2853">
        <w:t xml:space="preserve">For the time being, the evaluation question can not be answered in a robust way due to the very short time span from the start of implementation of the evaluated programs, as a result of which the effect of the support could not be fully demonstrated for the time being, and the analysis of the very small samples of completed projects. </w:t>
      </w:r>
      <w:r w:rsidRPr="00CF2853">
        <w:br/>
      </w:r>
      <w:r w:rsidRPr="00CF2853">
        <w:br/>
        <w:t>In the case of S</w:t>
      </w:r>
      <w:r>
        <w:t>O</w:t>
      </w:r>
      <w:r w:rsidRPr="00CF2853">
        <w:t xml:space="preserve"> 2.1, beneficiaries see increasing competitiveness as a result of introduced innovations that improve the quality and efficiency of production, enable the production of new products with higher added value and / or increase the quality of existing production, expand production capacities, and attract new customers and increase production.</w:t>
      </w:r>
      <w:r w:rsidRPr="00CF2853">
        <w:br/>
      </w:r>
      <w:r w:rsidRPr="00CF2853">
        <w:br/>
        <w:t>In the case of S</w:t>
      </w:r>
      <w:r>
        <w:t>O</w:t>
      </w:r>
      <w:r w:rsidRPr="00CF2853">
        <w:t xml:space="preserve"> 2.2, there is a strong export growth of supported enterprises, which is significantly faster than export growth at national level or at the level of relevant sectors.</w:t>
      </w:r>
    </w:p>
    <w:p w14:paraId="2C6DE5D9" w14:textId="77777777" w:rsidR="001D2514" w:rsidRDefault="001D2514" w:rsidP="001D2514">
      <w:pPr>
        <w:spacing w:after="0"/>
      </w:pPr>
    </w:p>
    <w:p w14:paraId="576FDF89" w14:textId="0D852FEB" w:rsidR="00FB70E6" w:rsidRDefault="00496FB2" w:rsidP="00FB70E6">
      <w:pPr>
        <w:numPr>
          <w:ilvl w:val="0"/>
          <w:numId w:val="46"/>
        </w:numPr>
        <w:spacing w:after="0" w:line="259" w:lineRule="auto"/>
        <w:contextualSpacing/>
        <w:rPr>
          <w:rFonts w:ascii="Calibri" w:eastAsia="Calibri" w:hAnsi="Calibri" w:cs="Calibri"/>
          <w:b/>
          <w:lang w:eastAsia="sk-SK"/>
        </w:rPr>
      </w:pPr>
      <w:r w:rsidRPr="00FB70E6">
        <w:rPr>
          <w:rFonts w:ascii="Calibri" w:eastAsia="Calibri" w:hAnsi="Calibri" w:cs="Calibri"/>
          <w:b/>
          <w:lang w:eastAsia="sk-SK"/>
        </w:rPr>
        <w:t>Unintended (both positive and negative) effects in achieving SO 2.1 and 2.2 OP EIC</w:t>
      </w:r>
    </w:p>
    <w:p w14:paraId="0F177C31" w14:textId="77777777" w:rsidR="001D2514" w:rsidRDefault="001D2514" w:rsidP="00FB70E6">
      <w:pPr>
        <w:spacing w:after="0"/>
      </w:pPr>
    </w:p>
    <w:p w14:paraId="27C09115" w14:textId="77777777" w:rsidR="00FB70E6" w:rsidRDefault="00496FB2" w:rsidP="00FB70E6">
      <w:pPr>
        <w:spacing w:after="0"/>
      </w:pPr>
      <w:r w:rsidRPr="00BB7199">
        <w:t>Unexpected effects have been observed in several areas:</w:t>
      </w:r>
    </w:p>
    <w:p w14:paraId="68411764" w14:textId="77777777" w:rsidR="00FB70E6" w:rsidRPr="00FB70E6" w:rsidRDefault="00496FB2" w:rsidP="00FB70E6">
      <w:pPr>
        <w:numPr>
          <w:ilvl w:val="0"/>
          <w:numId w:val="42"/>
        </w:numPr>
        <w:spacing w:after="0" w:line="259" w:lineRule="auto"/>
        <w:ind w:left="426" w:hanging="284"/>
        <w:contextualSpacing/>
        <w:rPr>
          <w:rFonts w:ascii="Calibri" w:eastAsia="Calibri" w:hAnsi="Calibri" w:cs="Calibri"/>
          <w:lang w:eastAsia="sk-SK"/>
        </w:rPr>
      </w:pPr>
      <w:r w:rsidRPr="00FB70E6">
        <w:rPr>
          <w:rFonts w:ascii="Calibri" w:eastAsia="Calibri" w:hAnsi="Calibri" w:cs="Calibri"/>
          <w:lang w:eastAsia="sk-SK"/>
        </w:rPr>
        <w:t>Increasing pressure on qualifications, staff development</w:t>
      </w:r>
    </w:p>
    <w:p w14:paraId="551106F3" w14:textId="77777777" w:rsidR="00FB70E6" w:rsidRPr="00FB70E6" w:rsidRDefault="00496FB2" w:rsidP="00FB70E6">
      <w:pPr>
        <w:numPr>
          <w:ilvl w:val="0"/>
          <w:numId w:val="42"/>
        </w:numPr>
        <w:spacing w:after="0" w:line="259" w:lineRule="auto"/>
        <w:ind w:left="426" w:hanging="284"/>
        <w:contextualSpacing/>
        <w:rPr>
          <w:rFonts w:ascii="Calibri" w:eastAsia="Calibri" w:hAnsi="Calibri" w:cs="Calibri"/>
          <w:lang w:eastAsia="sk-SK"/>
        </w:rPr>
      </w:pPr>
      <w:r w:rsidRPr="00FB70E6">
        <w:rPr>
          <w:rFonts w:ascii="Calibri" w:eastAsia="Calibri" w:hAnsi="Calibri" w:cs="Calibri"/>
          <w:lang w:eastAsia="sk-SK"/>
        </w:rPr>
        <w:t>Increasing comfort and reducing negative environmental impacts</w:t>
      </w:r>
      <w:r w:rsidR="00FB70E6" w:rsidRPr="00FB70E6">
        <w:rPr>
          <w:rFonts w:ascii="Calibri" w:eastAsia="Calibri" w:hAnsi="Calibri" w:cs="Calibri"/>
          <w:lang w:eastAsia="sk-SK"/>
        </w:rPr>
        <w:t xml:space="preserve"> </w:t>
      </w:r>
    </w:p>
    <w:p w14:paraId="7A341691" w14:textId="77777777" w:rsidR="00FB70E6" w:rsidRPr="00FB70E6" w:rsidRDefault="00496FB2" w:rsidP="00FB70E6">
      <w:pPr>
        <w:numPr>
          <w:ilvl w:val="0"/>
          <w:numId w:val="42"/>
        </w:numPr>
        <w:spacing w:after="0" w:line="259" w:lineRule="auto"/>
        <w:ind w:left="426" w:hanging="284"/>
        <w:contextualSpacing/>
        <w:rPr>
          <w:rFonts w:ascii="Calibri" w:eastAsia="Calibri" w:hAnsi="Calibri" w:cs="Calibri"/>
          <w:lang w:eastAsia="sk-SK"/>
        </w:rPr>
      </w:pPr>
      <w:r w:rsidRPr="00FB70E6">
        <w:rPr>
          <w:rFonts w:ascii="Calibri" w:eastAsia="Calibri" w:hAnsi="Calibri" w:cs="Calibri"/>
          <w:lang w:eastAsia="sk-SK"/>
        </w:rPr>
        <w:t>Need to reorganize production and improve the quality of management processes</w:t>
      </w:r>
      <w:r w:rsidR="00FB70E6" w:rsidRPr="00FB70E6">
        <w:rPr>
          <w:rFonts w:ascii="Calibri" w:eastAsia="Calibri" w:hAnsi="Calibri" w:cs="Calibri"/>
          <w:lang w:eastAsia="sk-SK"/>
        </w:rPr>
        <w:t xml:space="preserve"> </w:t>
      </w:r>
    </w:p>
    <w:p w14:paraId="79BF6B26" w14:textId="77777777" w:rsidR="00FB70E6" w:rsidRPr="00FB70E6" w:rsidRDefault="00496FB2" w:rsidP="00FB70E6">
      <w:pPr>
        <w:numPr>
          <w:ilvl w:val="0"/>
          <w:numId w:val="42"/>
        </w:numPr>
        <w:spacing w:after="0" w:line="259" w:lineRule="auto"/>
        <w:ind w:left="426" w:hanging="284"/>
        <w:contextualSpacing/>
        <w:rPr>
          <w:rFonts w:ascii="Calibri" w:eastAsia="Calibri" w:hAnsi="Calibri" w:cs="Calibri"/>
          <w:lang w:eastAsia="sk-SK"/>
        </w:rPr>
      </w:pPr>
      <w:r w:rsidRPr="00FB70E6">
        <w:rPr>
          <w:rFonts w:ascii="Calibri" w:eastAsia="Calibri" w:hAnsi="Calibri" w:cs="Calibri"/>
          <w:lang w:eastAsia="sk-SK"/>
        </w:rPr>
        <w:t>Strengthening the domestic position of the company even when attending a foreign trade fair</w:t>
      </w:r>
    </w:p>
    <w:p w14:paraId="40FB66FA" w14:textId="77777777" w:rsidR="00FB70E6" w:rsidRPr="00FB70E6" w:rsidRDefault="00496FB2" w:rsidP="00FB70E6">
      <w:pPr>
        <w:numPr>
          <w:ilvl w:val="0"/>
          <w:numId w:val="42"/>
        </w:numPr>
        <w:spacing w:after="0" w:line="259" w:lineRule="auto"/>
        <w:ind w:left="426" w:hanging="284"/>
        <w:contextualSpacing/>
        <w:rPr>
          <w:rFonts w:ascii="Calibri" w:eastAsia="Calibri" w:hAnsi="Calibri" w:cs="Calibri"/>
          <w:lang w:eastAsia="sk-SK"/>
        </w:rPr>
      </w:pPr>
      <w:r w:rsidRPr="00FB70E6">
        <w:rPr>
          <w:rFonts w:ascii="Calibri" w:eastAsia="Calibri" w:hAnsi="Calibri" w:cs="Calibri"/>
          <w:lang w:eastAsia="sk-SK"/>
        </w:rPr>
        <w:t>Confronting foreign know-how, verifying your own position, opportunities to enter new market segments</w:t>
      </w:r>
      <w:r w:rsidR="00FB70E6" w:rsidRPr="00FB70E6">
        <w:rPr>
          <w:rFonts w:ascii="Calibri" w:eastAsia="Calibri" w:hAnsi="Calibri" w:cs="Calibri"/>
          <w:lang w:eastAsia="sk-SK"/>
        </w:rPr>
        <w:t xml:space="preserve"> </w:t>
      </w:r>
    </w:p>
    <w:p w14:paraId="5C3BE7A9" w14:textId="77777777" w:rsidR="00FB70E6" w:rsidRPr="00FB70E6" w:rsidRDefault="00496FB2" w:rsidP="00FB70E6">
      <w:pPr>
        <w:numPr>
          <w:ilvl w:val="0"/>
          <w:numId w:val="42"/>
        </w:numPr>
        <w:spacing w:after="0" w:line="259" w:lineRule="auto"/>
        <w:ind w:left="426" w:hanging="284"/>
        <w:contextualSpacing/>
        <w:rPr>
          <w:rFonts w:ascii="Calibri" w:eastAsia="Calibri" w:hAnsi="Calibri" w:cs="Calibri"/>
          <w:lang w:eastAsia="sk-SK"/>
        </w:rPr>
      </w:pPr>
      <w:r w:rsidRPr="00FB70E6">
        <w:rPr>
          <w:rFonts w:ascii="Calibri" w:eastAsia="Calibri" w:hAnsi="Calibri" w:cs="Calibri"/>
          <w:lang w:eastAsia="sk-SK"/>
        </w:rPr>
        <w:t>A number of negative impacts are linked to administrative difficulty, poorly-funded funding and delays in the announcement of results</w:t>
      </w:r>
      <w:r w:rsidR="00FB70E6" w:rsidRPr="00FB70E6">
        <w:rPr>
          <w:rFonts w:ascii="Calibri" w:eastAsia="Calibri" w:hAnsi="Calibri" w:cs="Calibri"/>
          <w:lang w:eastAsia="sk-SK"/>
        </w:rPr>
        <w:t xml:space="preserve"> </w:t>
      </w:r>
    </w:p>
    <w:p w14:paraId="3CDF53A5" w14:textId="77777777" w:rsidR="00FB70E6" w:rsidRPr="00FB70E6" w:rsidRDefault="00496FB2" w:rsidP="00FB70E6">
      <w:pPr>
        <w:numPr>
          <w:ilvl w:val="0"/>
          <w:numId w:val="42"/>
        </w:numPr>
        <w:spacing w:after="0" w:line="259" w:lineRule="auto"/>
        <w:ind w:left="426" w:hanging="284"/>
        <w:contextualSpacing/>
        <w:rPr>
          <w:rFonts w:ascii="Calibri" w:eastAsia="Calibri" w:hAnsi="Calibri" w:cs="Calibri"/>
          <w:lang w:eastAsia="sk-SK"/>
        </w:rPr>
      </w:pPr>
      <w:r w:rsidRPr="00FB70E6">
        <w:rPr>
          <w:rFonts w:ascii="Calibri" w:eastAsia="Calibri" w:hAnsi="Calibri" w:cs="Calibri"/>
          <w:lang w:eastAsia="sk-SK"/>
        </w:rPr>
        <w:t>Projects generate follow-on investments, which must be supported by enterprises supported by their own resources</w:t>
      </w:r>
    </w:p>
    <w:p w14:paraId="4046F585" w14:textId="5E98BCE0" w:rsidR="00496FB2" w:rsidRPr="00FB70E6" w:rsidRDefault="00496FB2" w:rsidP="00FB70E6">
      <w:pPr>
        <w:numPr>
          <w:ilvl w:val="0"/>
          <w:numId w:val="42"/>
        </w:numPr>
        <w:spacing w:after="0" w:line="259" w:lineRule="auto"/>
        <w:ind w:left="426" w:hanging="284"/>
        <w:contextualSpacing/>
        <w:rPr>
          <w:rFonts w:ascii="Calibri" w:eastAsia="Calibri" w:hAnsi="Calibri" w:cs="Calibri"/>
          <w:lang w:eastAsia="sk-SK"/>
        </w:rPr>
      </w:pPr>
      <w:r w:rsidRPr="00FB70E6">
        <w:rPr>
          <w:rFonts w:ascii="Calibri" w:eastAsia="Calibri" w:hAnsi="Calibri" w:cs="Calibri"/>
          <w:lang w:eastAsia="sk-SK"/>
        </w:rPr>
        <w:t>Investment in technology in many cases reduces the need for manual labor but at the same time it is necessary to show an increase in the number of employees</w:t>
      </w:r>
    </w:p>
    <w:p w14:paraId="7D45C3E8" w14:textId="77777777" w:rsidR="00496FB2" w:rsidRDefault="00496FB2" w:rsidP="001D2514">
      <w:pPr>
        <w:spacing w:after="0"/>
      </w:pPr>
    </w:p>
    <w:p w14:paraId="02A85D93" w14:textId="77777777" w:rsidR="00F751E2" w:rsidRDefault="00F751E2" w:rsidP="001D2514">
      <w:pPr>
        <w:spacing w:after="0"/>
        <w:rPr>
          <w:rStyle w:val="tlid-translation"/>
        </w:rPr>
      </w:pPr>
      <w:r>
        <w:rPr>
          <w:rStyle w:val="tlid-translation"/>
        </w:rPr>
        <w:t>As regards the effects of the aid on the supplier, purchaser and competitor of the supported enterprises:</w:t>
      </w:r>
    </w:p>
    <w:p w14:paraId="66A59C07" w14:textId="6A7D58E3" w:rsidR="00F751E2" w:rsidRDefault="00F751E2" w:rsidP="00F751E2">
      <w:pPr>
        <w:numPr>
          <w:ilvl w:val="0"/>
          <w:numId w:val="42"/>
        </w:numPr>
        <w:spacing w:after="0" w:line="259" w:lineRule="auto"/>
        <w:ind w:left="426" w:hanging="284"/>
        <w:contextualSpacing/>
        <w:rPr>
          <w:rFonts w:ascii="Calibri" w:eastAsia="Calibri" w:hAnsi="Calibri" w:cs="Calibri"/>
          <w:lang w:eastAsia="sk-SK"/>
        </w:rPr>
      </w:pPr>
      <w:r w:rsidRPr="00F751E2">
        <w:rPr>
          <w:rFonts w:ascii="Calibri" w:eastAsia="Calibri" w:hAnsi="Calibri" w:cs="Calibri"/>
          <w:lang w:eastAsia="sk-SK"/>
        </w:rPr>
        <w:t>It was emphasized, as a part of the case studies on SO 2.1, that the buyers of the supported enterprise, as a result of the project implementation, are taking better quality products, both in terms of their qualitati</w:t>
      </w:r>
      <w:r>
        <w:rPr>
          <w:rFonts w:ascii="Calibri" w:eastAsia="Calibri" w:hAnsi="Calibri" w:cs="Calibri"/>
          <w:lang w:eastAsia="sk-SK"/>
        </w:rPr>
        <w:t>ve parameters and aesthetically.</w:t>
      </w:r>
    </w:p>
    <w:p w14:paraId="1B919BD2" w14:textId="65C7DAB9" w:rsidR="00F751E2" w:rsidRDefault="00F751E2" w:rsidP="00F751E2">
      <w:pPr>
        <w:numPr>
          <w:ilvl w:val="0"/>
          <w:numId w:val="42"/>
        </w:numPr>
        <w:spacing w:after="0" w:line="259" w:lineRule="auto"/>
        <w:ind w:left="426" w:hanging="284"/>
        <w:contextualSpacing/>
        <w:rPr>
          <w:rFonts w:ascii="Calibri" w:eastAsia="Calibri" w:hAnsi="Calibri" w:cs="Calibri"/>
          <w:lang w:eastAsia="sk-SK"/>
        </w:rPr>
      </w:pPr>
      <w:r w:rsidRPr="00F751E2">
        <w:rPr>
          <w:rFonts w:ascii="Calibri" w:eastAsia="Calibri" w:hAnsi="Calibri" w:cs="Calibri"/>
          <w:lang w:eastAsia="sk-SK"/>
        </w:rPr>
        <w:t>No impact of support on supply relationships was noted, either in case studies or through questionnaire surv</w:t>
      </w:r>
      <w:r>
        <w:rPr>
          <w:rFonts w:ascii="Calibri" w:eastAsia="Calibri" w:hAnsi="Calibri" w:cs="Calibri"/>
          <w:lang w:eastAsia="sk-SK"/>
        </w:rPr>
        <w:t>eys or other evaluation methods.</w:t>
      </w:r>
    </w:p>
    <w:p w14:paraId="3604899A" w14:textId="77777777" w:rsidR="00F751E2" w:rsidRDefault="00F751E2" w:rsidP="00F751E2">
      <w:pPr>
        <w:numPr>
          <w:ilvl w:val="0"/>
          <w:numId w:val="42"/>
        </w:numPr>
        <w:spacing w:after="0" w:line="259" w:lineRule="auto"/>
        <w:ind w:left="426" w:hanging="284"/>
        <w:contextualSpacing/>
        <w:rPr>
          <w:rFonts w:ascii="Calibri" w:eastAsia="Calibri" w:hAnsi="Calibri" w:cs="Calibri"/>
          <w:lang w:eastAsia="sk-SK"/>
        </w:rPr>
      </w:pPr>
      <w:r w:rsidRPr="00F751E2">
        <w:rPr>
          <w:rFonts w:ascii="Calibri" w:eastAsia="Calibri" w:hAnsi="Calibri" w:cs="Calibri"/>
          <w:lang w:eastAsia="sk-SK"/>
        </w:rPr>
        <w:lastRenderedPageBreak/>
        <w:t>The case study on SC 2.2 or other applied evaluation methods did not lead to the identification of significant multiplier and / or negative impact of the support on the supplier or purchaser of the beneficiaries. This is mainly due to the long-term nature of activities aimed at expanding customer circle and expansion.</w:t>
      </w:r>
    </w:p>
    <w:p w14:paraId="33D6A279" w14:textId="45690F50" w:rsidR="00F751E2" w:rsidRPr="00F751E2" w:rsidRDefault="00F751E2" w:rsidP="00F751E2">
      <w:pPr>
        <w:numPr>
          <w:ilvl w:val="0"/>
          <w:numId w:val="42"/>
        </w:numPr>
        <w:spacing w:after="0" w:line="259" w:lineRule="auto"/>
        <w:ind w:left="426" w:hanging="284"/>
        <w:contextualSpacing/>
        <w:rPr>
          <w:rFonts w:ascii="Calibri" w:eastAsia="Calibri" w:hAnsi="Calibri" w:cs="Calibri"/>
          <w:lang w:eastAsia="sk-SK"/>
        </w:rPr>
      </w:pPr>
      <w:r w:rsidRPr="00F751E2">
        <w:rPr>
          <w:rFonts w:ascii="Calibri" w:eastAsia="Calibri" w:hAnsi="Calibri" w:cs="Calibri"/>
          <w:lang w:eastAsia="sk-SK"/>
        </w:rPr>
        <w:t>No, positive or negative, the impact of aid on the competition of supported enterprises was also noted.</w:t>
      </w:r>
    </w:p>
    <w:p w14:paraId="6FEE8D16" w14:textId="77777777" w:rsidR="00496FB2" w:rsidRDefault="00496FB2" w:rsidP="001D2514">
      <w:pPr>
        <w:spacing w:after="0"/>
      </w:pPr>
    </w:p>
    <w:p w14:paraId="1E81A497" w14:textId="77777777" w:rsidR="001D2514" w:rsidRDefault="001D2514" w:rsidP="001D2514">
      <w:pPr>
        <w:spacing w:after="0"/>
      </w:pPr>
    </w:p>
    <w:p w14:paraId="6FD84CDB" w14:textId="70948858" w:rsidR="00922F1F" w:rsidRPr="00922F1F" w:rsidRDefault="00496FB2" w:rsidP="00922F1F">
      <w:pPr>
        <w:numPr>
          <w:ilvl w:val="0"/>
          <w:numId w:val="46"/>
        </w:numPr>
        <w:spacing w:after="0" w:line="259" w:lineRule="auto"/>
        <w:contextualSpacing/>
        <w:rPr>
          <w:rFonts w:ascii="Calibri" w:eastAsia="Calibri" w:hAnsi="Calibri" w:cs="Calibri"/>
          <w:b/>
          <w:lang w:eastAsia="sk-SK"/>
        </w:rPr>
      </w:pPr>
      <w:r w:rsidRPr="00922F1F">
        <w:rPr>
          <w:rFonts w:ascii="Calibri" w:eastAsia="Calibri" w:hAnsi="Calibri" w:cs="Calibri"/>
          <w:b/>
          <w:lang w:eastAsia="sk-SK"/>
        </w:rPr>
        <w:t>Effects of interventions implemented within SO 2.1 and 2.2 on the continuous improvement of identified problems; the meaningfulness of further support for activities under the 3E principle</w:t>
      </w:r>
    </w:p>
    <w:p w14:paraId="6E940660" w14:textId="77777777" w:rsidR="001D2514" w:rsidRDefault="001D2514" w:rsidP="001D2514">
      <w:pPr>
        <w:spacing w:after="0"/>
      </w:pPr>
    </w:p>
    <w:p w14:paraId="2DA76F78" w14:textId="0D3F9E9E" w:rsidR="00496FB2" w:rsidRPr="00922F1F" w:rsidRDefault="00496FB2" w:rsidP="00496FB2">
      <w:r w:rsidRPr="00922F1F">
        <w:t>The existence of links between interventions and SO 2.1 and 2.2 objectives in the sense of the causal chain has been confirmed: inputs - activities - outputs - immediate effects - medium-term changes - impacts.</w:t>
      </w:r>
      <w:r>
        <w:br/>
      </w:r>
      <w:r>
        <w:br/>
      </w:r>
      <w:r w:rsidRPr="00922F1F">
        <w:t>Interventions implemented within SO 2.1 and 2.2 can contribute to the continual improvement of identified problems. A prerequisite is the fulfillment of the associated assumptions as well as the positive effects of external influences.</w:t>
      </w:r>
      <w:r>
        <w:br/>
      </w:r>
      <w:r>
        <w:br/>
      </w:r>
      <w:r w:rsidRPr="00922F1F">
        <w:t>Whereas the:</w:t>
      </w:r>
      <w:r>
        <w:br/>
      </w:r>
      <w:r w:rsidRPr="00922F1F">
        <w:t>a) the SO 2.1 or 2.2 planned targets have not yet been reached; and</w:t>
      </w:r>
      <w:r>
        <w:br/>
      </w:r>
      <w:r w:rsidRPr="00922F1F">
        <w:t>b) when providing support, the 3E principles are fulfilled</w:t>
      </w:r>
      <w:r>
        <w:br/>
      </w:r>
      <w:r w:rsidRPr="00922F1F">
        <w:t>it is still necessary and meaningful to continue to support these activities.</w:t>
      </w:r>
    </w:p>
    <w:p w14:paraId="1D0B35BF" w14:textId="77777777" w:rsidR="001D2514" w:rsidRDefault="001D2514" w:rsidP="001D2514">
      <w:pPr>
        <w:spacing w:after="0"/>
        <w:rPr>
          <w:rStyle w:val="tlid-translation"/>
        </w:rPr>
      </w:pPr>
    </w:p>
    <w:p w14:paraId="599C5569" w14:textId="5BB7EA30" w:rsidR="001E7876" w:rsidRPr="001E7876" w:rsidRDefault="00496FB2" w:rsidP="001E7876">
      <w:pPr>
        <w:numPr>
          <w:ilvl w:val="0"/>
          <w:numId w:val="46"/>
        </w:numPr>
        <w:spacing w:after="0" w:line="259" w:lineRule="auto"/>
        <w:contextualSpacing/>
        <w:rPr>
          <w:rFonts w:ascii="Calibri" w:eastAsia="Calibri" w:hAnsi="Calibri" w:cs="Calibri"/>
          <w:b/>
          <w:lang w:eastAsia="sk-SK"/>
        </w:rPr>
      </w:pPr>
      <w:r w:rsidRPr="001E7876">
        <w:rPr>
          <w:rFonts w:ascii="Calibri" w:eastAsia="Calibri" w:hAnsi="Calibri" w:cs="Calibri"/>
          <w:b/>
          <w:lang w:eastAsia="sk-SK"/>
        </w:rPr>
        <w:t xml:space="preserve">The impact of interventions on the economic performance of supported enterprises compared to unsupported enterprises, </w:t>
      </w:r>
      <w:proofErr w:type="gramStart"/>
      <w:r w:rsidRPr="001E7876">
        <w:rPr>
          <w:rFonts w:ascii="Calibri" w:eastAsia="Calibri" w:hAnsi="Calibri" w:cs="Calibri"/>
          <w:b/>
          <w:lang w:eastAsia="sk-SK"/>
        </w:rPr>
        <w:t>i.e. in</w:t>
      </w:r>
      <w:proofErr w:type="gramEnd"/>
      <w:r w:rsidRPr="001E7876">
        <w:rPr>
          <w:rFonts w:ascii="Calibri" w:eastAsia="Calibri" w:hAnsi="Calibri" w:cs="Calibri"/>
          <w:b/>
          <w:lang w:eastAsia="sk-SK"/>
        </w:rPr>
        <w:t xml:space="preserve"> particular in the area of ​​added value and revenues</w:t>
      </w:r>
    </w:p>
    <w:p w14:paraId="521995F6" w14:textId="77777777" w:rsidR="001D2514" w:rsidRDefault="001D2514" w:rsidP="001D2514">
      <w:pPr>
        <w:spacing w:after="0"/>
        <w:rPr>
          <w:rStyle w:val="tlid-translation"/>
        </w:rPr>
      </w:pPr>
    </w:p>
    <w:p w14:paraId="099A1D73" w14:textId="3B3CCC4C" w:rsidR="00496FB2" w:rsidRDefault="00496FB2" w:rsidP="00496FB2">
      <w:pPr>
        <w:rPr>
          <w:rStyle w:val="tlid-translation"/>
        </w:rPr>
      </w:pPr>
      <w:r>
        <w:rPr>
          <w:rStyle w:val="tlid-translation"/>
        </w:rPr>
        <w:t>Because of the small number of subjects that could be analyzed and because of the too short the measurement of the main variables since the project implementation, the results of the analysis are not statistically significant.</w:t>
      </w:r>
      <w:r>
        <w:br/>
      </w:r>
      <w:r>
        <w:br/>
      </w:r>
      <w:r>
        <w:rPr>
          <w:rStyle w:val="tlid-translation"/>
        </w:rPr>
        <w:t>Due to the statistical significance of the estimated effects, it is preferable to interpret the sign of the effect of the aid. In the case of added value, this is consistently positive for all the control files considered. It can therefore be argued that the aid is likely to lead to an increase in added value for the aided entities. In the case of revenue from sales, the results show higher heterogeneity, but the positive effect of the aid on sales prevails (especially if we look at data only for 2016 - this sample of supported ones is more consistent). It can therefore be estimated that the aid is likely to lead to an increase in sales revenue. Conversely, in the case of the economic outturn, it is necessary to estimate the negative effect of the aid, based on the analysis carried out. Therefore, when analyzing over a longer period of time, this effect should disappear.</w:t>
      </w:r>
    </w:p>
    <w:p w14:paraId="786889A2" w14:textId="259FFEF6" w:rsidR="00496FB2" w:rsidRDefault="00496FB2" w:rsidP="00496FB2">
      <w:pPr>
        <w:rPr>
          <w:rStyle w:val="tlid-translation"/>
        </w:rPr>
      </w:pPr>
      <w:r>
        <w:rPr>
          <w:rStyle w:val="tlid-translation"/>
        </w:rPr>
        <w:lastRenderedPageBreak/>
        <w:t>The analysis was also elaborated for SP Marketing. Even here the estimated support effects are statistically insignificant. The added value effect is also consistently positive. For the remaining indicators, profit and labor productivity, the analysis estimates the negative effect of the aid.</w:t>
      </w:r>
    </w:p>
    <w:p w14:paraId="55B01CE5" w14:textId="77777777" w:rsidR="001D2514" w:rsidRDefault="001D2514" w:rsidP="001D2514">
      <w:pPr>
        <w:spacing w:after="0"/>
      </w:pPr>
    </w:p>
    <w:p w14:paraId="7AB75896" w14:textId="3C209B2F" w:rsidR="001E7876" w:rsidRPr="001E7876" w:rsidRDefault="00496FB2" w:rsidP="001E7876">
      <w:pPr>
        <w:numPr>
          <w:ilvl w:val="0"/>
          <w:numId w:val="46"/>
        </w:numPr>
        <w:spacing w:after="0" w:line="259" w:lineRule="auto"/>
        <w:contextualSpacing/>
        <w:rPr>
          <w:rFonts w:ascii="Calibri" w:eastAsia="Calibri" w:hAnsi="Calibri" w:cs="Calibri"/>
          <w:b/>
          <w:lang w:eastAsia="sk-SK"/>
        </w:rPr>
      </w:pPr>
      <w:r w:rsidRPr="001E7876">
        <w:rPr>
          <w:rFonts w:ascii="Calibri" w:eastAsia="Calibri" w:hAnsi="Calibri" w:cs="Calibri"/>
          <w:b/>
          <w:lang w:eastAsia="sk-SK"/>
        </w:rPr>
        <w:t>The influence of employment interventions in supported enterprises compared to unsupported enterprises; the impact of enterprises supported under the SP Technology on employment in economically challenged regions and areas with high levels of unemployment</w:t>
      </w:r>
    </w:p>
    <w:p w14:paraId="49EE3257" w14:textId="77777777" w:rsidR="001E7876" w:rsidRPr="001E7876" w:rsidRDefault="001E7876" w:rsidP="001E7876">
      <w:pPr>
        <w:spacing w:after="0"/>
      </w:pPr>
    </w:p>
    <w:p w14:paraId="04BE83E0" w14:textId="19D95A14" w:rsidR="00496FB2" w:rsidRDefault="00496FB2" w:rsidP="00496FB2">
      <w:pPr>
        <w:rPr>
          <w:rStyle w:val="tlid-translation"/>
        </w:rPr>
      </w:pPr>
      <w:r>
        <w:rPr>
          <w:rStyle w:val="tlid-translation"/>
        </w:rPr>
        <w:t>There is not enough data available in the external database to evaluate the absolute number of job vacancies as a result of the support, due to the lack of data on the number of employees in 2017 (most of the projects under the Technology program were carrying out their projects in 2016).</w:t>
      </w:r>
      <w:r>
        <w:br/>
      </w:r>
      <w:r>
        <w:br/>
      </w:r>
      <w:r>
        <w:rPr>
          <w:rStyle w:val="tlid-translation"/>
        </w:rPr>
        <w:t>For this reason, the categorized employment was additionally calculated. This analysis confirms the positive effect of support from the employment program in supported enterprises.</w:t>
      </w:r>
      <w:r>
        <w:br/>
      </w:r>
      <w:r>
        <w:br/>
      </w:r>
      <w:r>
        <w:rPr>
          <w:rStyle w:val="tlid-translation"/>
        </w:rPr>
        <w:t>The additional analysis of the impact of the Marketing program on employment does not show a positive effect.</w:t>
      </w:r>
    </w:p>
    <w:p w14:paraId="1303A1ED" w14:textId="77777777" w:rsidR="001D2514" w:rsidRDefault="001D2514" w:rsidP="001D2514">
      <w:pPr>
        <w:spacing w:after="0"/>
      </w:pPr>
    </w:p>
    <w:p w14:paraId="060F7BE7" w14:textId="3A4F0877" w:rsidR="001F6B8E" w:rsidRPr="001F6B8E" w:rsidRDefault="00496FB2" w:rsidP="001F6B8E">
      <w:pPr>
        <w:numPr>
          <w:ilvl w:val="0"/>
          <w:numId w:val="46"/>
        </w:numPr>
        <w:spacing w:after="0" w:line="259" w:lineRule="auto"/>
        <w:contextualSpacing/>
        <w:rPr>
          <w:rFonts w:ascii="Calibri" w:eastAsia="Calibri" w:hAnsi="Calibri" w:cs="Calibri"/>
          <w:b/>
          <w:lang w:eastAsia="sk-SK"/>
        </w:rPr>
      </w:pPr>
      <w:r w:rsidRPr="001F6B8E">
        <w:rPr>
          <w:rFonts w:ascii="Calibri" w:eastAsia="Calibri" w:hAnsi="Calibri" w:cs="Calibri"/>
          <w:b/>
          <w:lang w:eastAsia="sk-SK"/>
        </w:rPr>
        <w:t>The evaluation of technological shift of supported enterprises in terms of innovation of lower orders (1st - 4th order)</w:t>
      </w:r>
    </w:p>
    <w:p w14:paraId="33A17DCA" w14:textId="77777777" w:rsidR="001F6B8E" w:rsidRDefault="001F6B8E" w:rsidP="001F6B8E">
      <w:pPr>
        <w:spacing w:after="0"/>
        <w:rPr>
          <w:rStyle w:val="tlid-translation"/>
        </w:rPr>
      </w:pPr>
    </w:p>
    <w:p w14:paraId="5C69FE53" w14:textId="764054C0" w:rsidR="00496FB2" w:rsidRDefault="00496FB2" w:rsidP="00496FB2">
      <w:pPr>
        <w:rPr>
          <w:rStyle w:val="tlid-translation"/>
        </w:rPr>
      </w:pPr>
      <w:r>
        <w:rPr>
          <w:rStyle w:val="tlid-translation"/>
        </w:rPr>
        <w:t>For most of the supported projects in the sample, higher rationalization innovations were achieved (</w:t>
      </w:r>
      <w:proofErr w:type="gramStart"/>
      <w:r>
        <w:rPr>
          <w:rStyle w:val="tlid-translation"/>
        </w:rPr>
        <w:t>i.e. 3rd</w:t>
      </w:r>
      <w:proofErr w:type="gramEnd"/>
      <w:r>
        <w:rPr>
          <w:rStyle w:val="tlid-translation"/>
        </w:rPr>
        <w:t xml:space="preserve"> or 4th). On the other hand, almost one third of the projects were placed in the Innovation Code 1, with some projects just above the recovery limit.</w:t>
      </w:r>
      <w:r>
        <w:br/>
      </w:r>
      <w:r>
        <w:br/>
      </w:r>
      <w:r>
        <w:rPr>
          <w:rStyle w:val="tlid-translation"/>
        </w:rPr>
        <w:t>The positive finding is the relatively high proportion of direct automation, robotics, implementation of IT systems of production management aimed at implementing the objectives of Industry 4.0, in part directly declared strategic interest of companies to increase the technological level in this direction.</w:t>
      </w:r>
    </w:p>
    <w:p w14:paraId="168D4A24" w14:textId="77777777" w:rsidR="001D2514" w:rsidRDefault="001D2514" w:rsidP="001D2514">
      <w:pPr>
        <w:spacing w:after="0"/>
      </w:pPr>
    </w:p>
    <w:p w14:paraId="46DA6717" w14:textId="2D62F23E" w:rsidR="004A5D08" w:rsidRPr="004A5D08" w:rsidRDefault="00496FB2" w:rsidP="004A5D08">
      <w:pPr>
        <w:numPr>
          <w:ilvl w:val="0"/>
          <w:numId w:val="46"/>
        </w:numPr>
        <w:spacing w:after="0" w:line="259" w:lineRule="auto"/>
        <w:contextualSpacing/>
        <w:rPr>
          <w:rFonts w:ascii="Calibri" w:eastAsia="Calibri" w:hAnsi="Calibri" w:cs="Calibri"/>
          <w:b/>
          <w:lang w:eastAsia="sk-SK"/>
        </w:rPr>
      </w:pPr>
      <w:r w:rsidRPr="004A5D08">
        <w:rPr>
          <w:rFonts w:ascii="Calibri" w:eastAsia="Calibri" w:hAnsi="Calibri" w:cs="Calibri"/>
          <w:b/>
          <w:lang w:eastAsia="sk-SK"/>
        </w:rPr>
        <w:t>The availability of external funding for start-up entrepreneurs and innovative businesses</w:t>
      </w:r>
    </w:p>
    <w:p w14:paraId="47F3F8A2" w14:textId="77777777" w:rsidR="004A5D08" w:rsidRDefault="004A5D08" w:rsidP="004A5D08">
      <w:pPr>
        <w:spacing w:after="0"/>
        <w:rPr>
          <w:rStyle w:val="tlid-translation"/>
        </w:rPr>
      </w:pPr>
    </w:p>
    <w:p w14:paraId="348F0CBD" w14:textId="77777777" w:rsidR="004A5D08" w:rsidRDefault="004A5D08" w:rsidP="004A5D08">
      <w:pPr>
        <w:spacing w:after="0"/>
        <w:rPr>
          <w:rStyle w:val="tlid-translation"/>
        </w:rPr>
      </w:pPr>
      <w:r>
        <w:rPr>
          <w:rStyle w:val="tlid-translation"/>
        </w:rPr>
        <w:t xml:space="preserve">Based on </w:t>
      </w:r>
      <w:r w:rsidR="00496FB2">
        <w:rPr>
          <w:rStyle w:val="tlid-translation"/>
        </w:rPr>
        <w:t>the evaluator's own investigation as well as other, other analyzes and surveys aimed at SME financing in general, it follows that:</w:t>
      </w:r>
    </w:p>
    <w:p w14:paraId="21B736A1" w14:textId="687077B0" w:rsidR="00496FB2" w:rsidRDefault="00496FB2" w:rsidP="00F751E2">
      <w:pPr>
        <w:spacing w:after="0"/>
        <w:ind w:left="284"/>
        <w:rPr>
          <w:rStyle w:val="tlid-translation"/>
        </w:rPr>
      </w:pPr>
      <w:r>
        <w:rPr>
          <w:rStyle w:val="tlid-translation"/>
        </w:rPr>
        <w:t>a) The availability of external financing for start-ups and innovative SMEs is improving.</w:t>
      </w:r>
      <w:r>
        <w:br/>
      </w:r>
      <w:r>
        <w:rPr>
          <w:rStyle w:val="tlid-translation"/>
        </w:rPr>
        <w:t>b) Interest-free / low-interest loans are the most often demanded forms of support from target groups.</w:t>
      </w:r>
      <w:r>
        <w:br/>
      </w:r>
      <w:r>
        <w:rPr>
          <w:rStyle w:val="tlid-translation"/>
        </w:rPr>
        <w:t>c) It is more difficult for a start-up entrepreneur to obtain a bank loan, especially the guarantees required.</w:t>
      </w:r>
      <w:r>
        <w:br/>
      </w:r>
      <w:r>
        <w:rPr>
          <w:rStyle w:val="tlid-translation"/>
        </w:rPr>
        <w:t>d) The state aid system perceives SMEs as being less flexible, lengthy, complex and administratively demanding.</w:t>
      </w:r>
    </w:p>
    <w:p w14:paraId="72DA385E" w14:textId="77777777" w:rsidR="00496FB2" w:rsidRDefault="00496FB2" w:rsidP="001D2514">
      <w:pPr>
        <w:spacing w:after="0"/>
      </w:pPr>
    </w:p>
    <w:p w14:paraId="1865BB10" w14:textId="77777777" w:rsidR="001D2514" w:rsidRDefault="001D2514" w:rsidP="001D2514">
      <w:pPr>
        <w:spacing w:after="0"/>
      </w:pPr>
    </w:p>
    <w:p w14:paraId="3D842C1C" w14:textId="6C111704" w:rsidR="00C3443E" w:rsidRPr="00C3443E" w:rsidRDefault="00496FB2" w:rsidP="00C3443E">
      <w:pPr>
        <w:numPr>
          <w:ilvl w:val="0"/>
          <w:numId w:val="46"/>
        </w:numPr>
        <w:spacing w:after="0" w:line="259" w:lineRule="auto"/>
        <w:contextualSpacing/>
        <w:rPr>
          <w:rFonts w:ascii="Calibri" w:eastAsia="Calibri" w:hAnsi="Calibri" w:cs="Calibri"/>
          <w:b/>
          <w:lang w:eastAsia="sk-SK"/>
        </w:rPr>
      </w:pPr>
      <w:r w:rsidRPr="00C3443E">
        <w:rPr>
          <w:rFonts w:ascii="Calibri" w:eastAsia="Calibri" w:hAnsi="Calibri" w:cs="Calibri"/>
          <w:b/>
          <w:lang w:eastAsia="sk-SK"/>
        </w:rPr>
        <w:lastRenderedPageBreak/>
        <w:t xml:space="preserve">The </w:t>
      </w:r>
      <w:r w:rsidR="00C3443E" w:rsidRPr="00C3443E">
        <w:rPr>
          <w:rFonts w:ascii="Calibri" w:eastAsia="Calibri" w:hAnsi="Calibri" w:cs="Calibri"/>
          <w:b/>
          <w:lang w:eastAsia="sk-SK"/>
        </w:rPr>
        <w:t>i</w:t>
      </w:r>
      <w:r w:rsidRPr="00C3443E">
        <w:rPr>
          <w:rFonts w:ascii="Calibri" w:eastAsia="Calibri" w:hAnsi="Calibri" w:cs="Calibri"/>
          <w:b/>
          <w:lang w:eastAsia="sk-SK"/>
        </w:rPr>
        <w:t>nfluence of interventions on export performance of assisted enterprises compared to unsupported enterprises</w:t>
      </w:r>
    </w:p>
    <w:p w14:paraId="66E49394" w14:textId="77777777" w:rsidR="00C3443E" w:rsidRDefault="00C3443E" w:rsidP="001D2514">
      <w:pPr>
        <w:spacing w:after="0"/>
        <w:rPr>
          <w:rStyle w:val="tlid-translation"/>
        </w:rPr>
      </w:pPr>
    </w:p>
    <w:p w14:paraId="74284D98" w14:textId="3AF56B7A" w:rsidR="001D2514" w:rsidRDefault="00496FB2" w:rsidP="001D2514">
      <w:pPr>
        <w:spacing w:after="0"/>
      </w:pPr>
      <w:r>
        <w:rPr>
          <w:rStyle w:val="tlid-translation"/>
        </w:rPr>
        <w:t>Given the missing data, it was necessary to analyze observed trends in supported SMEs in relation to export performance with national and sectoral data. This analysis clearly shows that supported businesses grow in export volumes (expressed in foreign sales) at a significantly faster rate than the whole economy or sector data.</w:t>
      </w:r>
      <w:r>
        <w:br/>
      </w:r>
      <w:r>
        <w:br/>
      </w:r>
    </w:p>
    <w:p w14:paraId="573AA6B4" w14:textId="37058593" w:rsidR="006C485D" w:rsidRPr="006C485D" w:rsidRDefault="00496FB2" w:rsidP="006C485D">
      <w:pPr>
        <w:numPr>
          <w:ilvl w:val="0"/>
          <w:numId w:val="46"/>
        </w:numPr>
        <w:spacing w:after="0" w:line="259" w:lineRule="auto"/>
        <w:contextualSpacing/>
        <w:rPr>
          <w:rFonts w:ascii="Calibri" w:eastAsia="Calibri" w:hAnsi="Calibri" w:cs="Calibri"/>
          <w:b/>
          <w:lang w:eastAsia="sk-SK"/>
        </w:rPr>
      </w:pPr>
      <w:r w:rsidRPr="006C485D">
        <w:rPr>
          <w:rFonts w:ascii="Calibri" w:eastAsia="Calibri" w:hAnsi="Calibri" w:cs="Calibri"/>
          <w:b/>
          <w:lang w:eastAsia="sk-SK"/>
        </w:rPr>
        <w:t xml:space="preserve"> The ability of SMEs to identify new opportunities in foreign markets</w:t>
      </w:r>
    </w:p>
    <w:p w14:paraId="69E236CF" w14:textId="77777777" w:rsidR="006C485D" w:rsidRDefault="006C485D" w:rsidP="006C485D">
      <w:pPr>
        <w:spacing w:after="0"/>
        <w:rPr>
          <w:rStyle w:val="tlid-translation"/>
        </w:rPr>
      </w:pPr>
    </w:p>
    <w:p w14:paraId="769A6779" w14:textId="09C3B4B5" w:rsidR="00496FB2" w:rsidRDefault="00496FB2" w:rsidP="002E24D4">
      <w:pPr>
        <w:spacing w:after="0"/>
        <w:rPr>
          <w:rStyle w:val="tlid-translation"/>
        </w:rPr>
      </w:pPr>
      <w:r>
        <w:rPr>
          <w:rStyle w:val="tlid-translation"/>
        </w:rPr>
        <w:t>The survey results show increased ability of supported SMEs to identify new opportunities in foreign markets. The majority of respondents also improved strategic planning and business process management.</w:t>
      </w:r>
      <w:r>
        <w:br/>
      </w:r>
      <w:r>
        <w:br/>
      </w:r>
      <w:r>
        <w:rPr>
          <w:rStyle w:val="tlid-translation"/>
        </w:rPr>
        <w:t>The vast majority of SMEs in the field survey also reported increased capability of their own international expansion in terms of expanding both their export scope and their production, sales or distribution activities on foreign markets.</w:t>
      </w:r>
      <w:r>
        <w:br/>
      </w:r>
      <w:r>
        <w:br/>
      </w:r>
      <w:r>
        <w:rPr>
          <w:rStyle w:val="tlid-translation"/>
        </w:rPr>
        <w:t>Beneficiaries also see positive effects of the OP EIC support in relation to the planned objectives.</w:t>
      </w:r>
    </w:p>
    <w:p w14:paraId="793471B1" w14:textId="731EB97F" w:rsidR="00496FB2" w:rsidRDefault="00496FB2" w:rsidP="002E24D4">
      <w:pPr>
        <w:spacing w:after="0"/>
      </w:pPr>
    </w:p>
    <w:p w14:paraId="0C6CC2C8" w14:textId="5E202BC2" w:rsidR="001D2514" w:rsidRPr="001D2514" w:rsidRDefault="00496FB2" w:rsidP="001D2514">
      <w:pPr>
        <w:numPr>
          <w:ilvl w:val="0"/>
          <w:numId w:val="46"/>
        </w:numPr>
        <w:spacing w:after="0" w:line="259" w:lineRule="auto"/>
        <w:contextualSpacing/>
        <w:rPr>
          <w:rFonts w:ascii="Calibri" w:eastAsia="Calibri" w:hAnsi="Calibri" w:cs="Calibri"/>
          <w:b/>
          <w:lang w:eastAsia="sk-SK"/>
        </w:rPr>
      </w:pPr>
      <w:r w:rsidRPr="001D2514">
        <w:rPr>
          <w:rFonts w:ascii="Calibri" w:eastAsia="Calibri" w:hAnsi="Calibri" w:cs="Calibri"/>
          <w:b/>
          <w:lang w:eastAsia="sk-SK"/>
        </w:rPr>
        <w:t xml:space="preserve">The quality and availability of advisory services aimed at supporting the internationalization of SMEs and services that encourage the involvement of SMEs in international </w:t>
      </w:r>
      <w:proofErr w:type="gramStart"/>
      <w:r w:rsidRPr="001D2514">
        <w:rPr>
          <w:rFonts w:ascii="Calibri" w:eastAsia="Calibri" w:hAnsi="Calibri" w:cs="Calibri"/>
          <w:b/>
          <w:lang w:eastAsia="sk-SK"/>
        </w:rPr>
        <w:t>programs (e.g.</w:t>
      </w:r>
      <w:proofErr w:type="gramEnd"/>
      <w:r w:rsidRPr="001D2514">
        <w:rPr>
          <w:rFonts w:ascii="Calibri" w:eastAsia="Calibri" w:hAnsi="Calibri" w:cs="Calibri"/>
          <w:b/>
          <w:lang w:eastAsia="sk-SK"/>
        </w:rPr>
        <w:t xml:space="preserve"> Horizon 2020, COSME)</w:t>
      </w:r>
    </w:p>
    <w:p w14:paraId="61D19072" w14:textId="77777777" w:rsidR="001D2514" w:rsidRDefault="001D2514" w:rsidP="001D2514">
      <w:pPr>
        <w:spacing w:after="0"/>
        <w:rPr>
          <w:rStyle w:val="tlid-translation"/>
        </w:rPr>
      </w:pPr>
    </w:p>
    <w:p w14:paraId="6BFA8484" w14:textId="1A1D5380" w:rsidR="00496FB2" w:rsidRDefault="00496FB2" w:rsidP="00496FB2">
      <w:r>
        <w:rPr>
          <w:rStyle w:val="tlid-translation"/>
        </w:rPr>
        <w:t>The spectrum of advisory and other services aimed at supporting the internationalization of SMEs is expanding and their availability is positively evaluated by target groups as well.</w:t>
      </w:r>
      <w:r>
        <w:br/>
      </w:r>
      <w:r>
        <w:br/>
      </w:r>
      <w:r>
        <w:rPr>
          <w:rStyle w:val="tlid-translation"/>
        </w:rPr>
        <w:t>Partial deficiencies are seen from the point of view of target groups in the area of specialized services for a particular specific segment of the sector and territory or in greater support through professionals operating on foreign markets.</w:t>
      </w:r>
      <w:r>
        <w:br/>
      </w:r>
      <w:r>
        <w:br/>
      </w:r>
      <w:r>
        <w:rPr>
          <w:rStyle w:val="tlid-translation"/>
        </w:rPr>
        <w:t>The weakness and persistence of Czech SMEs in international programs remains weak. This may be caused, among other things, by insufficient awareness of target groups.</w:t>
      </w:r>
    </w:p>
    <w:p w14:paraId="4B96BF63" w14:textId="77777777" w:rsidR="00496FB2" w:rsidRDefault="00496FB2" w:rsidP="00496FB2"/>
    <w:p w14:paraId="25F2B9C9" w14:textId="77777777" w:rsidR="009E19E3" w:rsidRPr="009E19E3" w:rsidRDefault="009E19E3" w:rsidP="003772E3">
      <w:pPr>
        <w:spacing w:after="0"/>
        <w:rPr>
          <w:rFonts w:ascii="Calibri" w:eastAsia="Calibri" w:hAnsi="Calibri" w:cs="Calibri"/>
          <w:lang w:eastAsia="sk-SK"/>
        </w:rPr>
      </w:pPr>
    </w:p>
    <w:p w14:paraId="57CC08EF" w14:textId="77777777" w:rsidR="009E19E3" w:rsidRDefault="009E19E3" w:rsidP="003772E3">
      <w:pPr>
        <w:spacing w:after="0"/>
        <w:rPr>
          <w:rFonts w:ascii="Calibri" w:hAnsi="Calibri" w:cs="Calibri"/>
          <w:b/>
        </w:rPr>
      </w:pPr>
    </w:p>
    <w:sectPr w:rsidR="009E19E3" w:rsidSect="009E19E3">
      <w:headerReference w:type="default" r:id="rId13"/>
      <w:footerReference w:type="default" r:id="rId14"/>
      <w:headerReference w:type="first" r:id="rId15"/>
      <w:pgSz w:w="11906" w:h="16838"/>
      <w:pgMar w:top="1701" w:right="1276" w:bottom="1559"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A8616" w14:textId="77777777" w:rsidR="00FB70E6" w:rsidRDefault="00FB70E6" w:rsidP="00A76E4D">
      <w:pPr>
        <w:spacing w:after="0" w:line="240" w:lineRule="auto"/>
      </w:pPr>
      <w:r>
        <w:separator/>
      </w:r>
    </w:p>
  </w:endnote>
  <w:endnote w:type="continuationSeparator" w:id="0">
    <w:p w14:paraId="08C86FA0" w14:textId="77777777" w:rsidR="00FB70E6" w:rsidRDefault="00FB70E6" w:rsidP="00A76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7846236"/>
      <w:docPartObj>
        <w:docPartGallery w:val="Page Numbers (Bottom of Page)"/>
        <w:docPartUnique/>
      </w:docPartObj>
    </w:sdtPr>
    <w:sdtEndPr>
      <w:rPr>
        <w:sz w:val="18"/>
        <w:szCs w:val="18"/>
      </w:rPr>
    </w:sdtEndPr>
    <w:sdtContent>
      <w:p w14:paraId="1D4FC250" w14:textId="42F5AC14" w:rsidR="00FB70E6" w:rsidRPr="009E19E3" w:rsidRDefault="00FB70E6">
        <w:pPr>
          <w:pStyle w:val="Zpat"/>
          <w:jc w:val="right"/>
          <w:rPr>
            <w:sz w:val="18"/>
            <w:szCs w:val="18"/>
          </w:rPr>
        </w:pPr>
        <w:r w:rsidRPr="009E19E3">
          <w:rPr>
            <w:sz w:val="18"/>
            <w:szCs w:val="18"/>
          </w:rPr>
          <w:fldChar w:fldCharType="begin"/>
        </w:r>
        <w:r w:rsidRPr="009E19E3">
          <w:rPr>
            <w:sz w:val="18"/>
            <w:szCs w:val="18"/>
          </w:rPr>
          <w:instrText>PAGE   \* MERGEFORMAT</w:instrText>
        </w:r>
        <w:r w:rsidRPr="009E19E3">
          <w:rPr>
            <w:sz w:val="18"/>
            <w:szCs w:val="18"/>
          </w:rPr>
          <w:fldChar w:fldCharType="separate"/>
        </w:r>
        <w:r w:rsidR="001C1694">
          <w:rPr>
            <w:noProof/>
            <w:sz w:val="18"/>
            <w:szCs w:val="18"/>
          </w:rPr>
          <w:t>2</w:t>
        </w:r>
        <w:r w:rsidRPr="009E19E3">
          <w:rPr>
            <w:sz w:val="18"/>
            <w:szCs w:val="18"/>
          </w:rPr>
          <w:fldChar w:fldCharType="end"/>
        </w:r>
      </w:p>
    </w:sdtContent>
  </w:sdt>
  <w:p w14:paraId="64ED9B05" w14:textId="77777777" w:rsidR="00FB70E6" w:rsidRDefault="00FB70E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BB412C" w14:textId="77777777" w:rsidR="00FB70E6" w:rsidRDefault="00FB70E6" w:rsidP="00A76E4D">
      <w:pPr>
        <w:spacing w:after="0" w:line="240" w:lineRule="auto"/>
      </w:pPr>
      <w:r>
        <w:separator/>
      </w:r>
    </w:p>
  </w:footnote>
  <w:footnote w:type="continuationSeparator" w:id="0">
    <w:p w14:paraId="406592A0" w14:textId="77777777" w:rsidR="00FB70E6" w:rsidRDefault="00FB70E6" w:rsidP="00A76E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B5CAE" w14:textId="737675B7" w:rsidR="00FB70E6" w:rsidRPr="009E19E3" w:rsidRDefault="00FB70E6">
    <w:pPr>
      <w:pStyle w:val="Zhlav"/>
      <w:rPr>
        <w:b/>
        <w:sz w:val="16"/>
        <w:szCs w:val="16"/>
      </w:rPr>
    </w:pPr>
    <w:r w:rsidRPr="009E19E3">
      <w:rPr>
        <w:b/>
        <w:sz w:val="16"/>
        <w:szCs w:val="16"/>
      </w:rPr>
      <w:t>Výsledková evaluace SC 2.1 a 2.2 OP PIK</w:t>
    </w:r>
  </w:p>
  <w:p w14:paraId="4EECF4C1" w14:textId="5C41D25C" w:rsidR="00FB70E6" w:rsidRPr="009E19E3" w:rsidRDefault="00FB70E6">
    <w:pPr>
      <w:pStyle w:val="Zhlav"/>
      <w:rPr>
        <w:sz w:val="16"/>
        <w:szCs w:val="16"/>
      </w:rPr>
    </w:pPr>
    <w:r w:rsidRPr="009E19E3">
      <w:rPr>
        <w:sz w:val="16"/>
        <w:szCs w:val="16"/>
      </w:rPr>
      <w:t>Závěrečná zpráva</w:t>
    </w:r>
  </w:p>
  <w:p w14:paraId="228ED303" w14:textId="42CAF54B" w:rsidR="00FB70E6" w:rsidRPr="009E19E3" w:rsidRDefault="00FB70E6">
    <w:pPr>
      <w:pStyle w:val="Zhlav"/>
      <w:rPr>
        <w:sz w:val="16"/>
        <w:szCs w:val="16"/>
      </w:rPr>
    </w:pPr>
    <w:r w:rsidRPr="009E19E3">
      <w:rPr>
        <w:sz w:val="16"/>
        <w:szCs w:val="16"/>
      </w:rPr>
      <w:t>M</w:t>
    </w:r>
    <w:r>
      <w:rPr>
        <w:sz w:val="16"/>
        <w:szCs w:val="16"/>
      </w:rPr>
      <w:t>anažerské shrnutí / Executive Summary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160DA" w14:textId="3213B081" w:rsidR="00AB215B" w:rsidRDefault="00AB215B">
    <w:pPr>
      <w:pStyle w:val="Zhlav"/>
    </w:pPr>
    <w:r>
      <w:rPr>
        <w:noProof/>
        <w:lang w:eastAsia="cs-CZ"/>
      </w:rPr>
      <w:drawing>
        <wp:inline distT="0" distB="0" distL="0" distR="0" wp14:anchorId="38670753" wp14:editId="6390D969">
          <wp:extent cx="5828030" cy="682625"/>
          <wp:effectExtent l="0" t="0" r="1270" b="3175"/>
          <wp:docPr id="217" name="Obrázek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8030" cy="6826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94D02"/>
    <w:multiLevelType w:val="hybridMultilevel"/>
    <w:tmpl w:val="043831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6A54B3"/>
    <w:multiLevelType w:val="hybridMultilevel"/>
    <w:tmpl w:val="613E0B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0771B1"/>
    <w:multiLevelType w:val="hybridMultilevel"/>
    <w:tmpl w:val="04AEEB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3A1481E"/>
    <w:multiLevelType w:val="hybridMultilevel"/>
    <w:tmpl w:val="BD304A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609153B"/>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 w15:restartNumberingAfterBreak="0">
    <w:nsid w:val="167B2F53"/>
    <w:multiLevelType w:val="hybridMultilevel"/>
    <w:tmpl w:val="93A6BB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68A6F1D"/>
    <w:multiLevelType w:val="hybridMultilevel"/>
    <w:tmpl w:val="0BF61CF2"/>
    <w:lvl w:ilvl="0" w:tplc="04050011">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FE714A2"/>
    <w:multiLevelType w:val="hybridMultilevel"/>
    <w:tmpl w:val="8D2C46F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19E666C"/>
    <w:multiLevelType w:val="hybridMultilevel"/>
    <w:tmpl w:val="2BA249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3011C88"/>
    <w:multiLevelType w:val="hybridMultilevel"/>
    <w:tmpl w:val="94585D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6177808"/>
    <w:multiLevelType w:val="hybridMultilevel"/>
    <w:tmpl w:val="14626D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6A53ECE"/>
    <w:multiLevelType w:val="hybridMultilevel"/>
    <w:tmpl w:val="679C5D1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8325144"/>
    <w:multiLevelType w:val="hybridMultilevel"/>
    <w:tmpl w:val="AAB2DC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87D7785"/>
    <w:multiLevelType w:val="hybridMultilevel"/>
    <w:tmpl w:val="581A2F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ADC713C"/>
    <w:multiLevelType w:val="hybridMultilevel"/>
    <w:tmpl w:val="DBCCA7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06A04B3"/>
    <w:multiLevelType w:val="hybridMultilevel"/>
    <w:tmpl w:val="083ADB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2CD13B6"/>
    <w:multiLevelType w:val="hybridMultilevel"/>
    <w:tmpl w:val="C35E618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38D680D"/>
    <w:multiLevelType w:val="hybridMultilevel"/>
    <w:tmpl w:val="0B204A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3E04EDF"/>
    <w:multiLevelType w:val="hybridMultilevel"/>
    <w:tmpl w:val="7BC0DA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86B2FF1"/>
    <w:multiLevelType w:val="hybridMultilevel"/>
    <w:tmpl w:val="D6B21B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BFF70BA"/>
    <w:multiLevelType w:val="hybridMultilevel"/>
    <w:tmpl w:val="A296FA6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C816794"/>
    <w:multiLevelType w:val="hybridMultilevel"/>
    <w:tmpl w:val="BF2EF7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F072240"/>
    <w:multiLevelType w:val="hybridMultilevel"/>
    <w:tmpl w:val="2B2A7514"/>
    <w:lvl w:ilvl="0" w:tplc="241A5D84">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2190D0A"/>
    <w:multiLevelType w:val="hybridMultilevel"/>
    <w:tmpl w:val="EA46237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221208C"/>
    <w:multiLevelType w:val="hybridMultilevel"/>
    <w:tmpl w:val="AF76CB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62B2F73"/>
    <w:multiLevelType w:val="hybridMultilevel"/>
    <w:tmpl w:val="2422A12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F495DFD"/>
    <w:multiLevelType w:val="hybridMultilevel"/>
    <w:tmpl w:val="EB12CF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7104462"/>
    <w:multiLevelType w:val="hybridMultilevel"/>
    <w:tmpl w:val="96641D60"/>
    <w:lvl w:ilvl="0" w:tplc="74B4B272">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B8839C1"/>
    <w:multiLevelType w:val="hybridMultilevel"/>
    <w:tmpl w:val="FCB2C52E"/>
    <w:lvl w:ilvl="0" w:tplc="0442BED2">
      <w:numFmt w:val="bullet"/>
      <w:lvlText w:val="•"/>
      <w:lvlJc w:val="left"/>
      <w:pPr>
        <w:ind w:left="705" w:hanging="705"/>
      </w:pPr>
      <w:rPr>
        <w:rFonts w:ascii="Calibri" w:eastAsiaTheme="minorHAnsi"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15:restartNumberingAfterBreak="0">
    <w:nsid w:val="5CF852A8"/>
    <w:multiLevelType w:val="hybridMultilevel"/>
    <w:tmpl w:val="837244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CFE46D6"/>
    <w:multiLevelType w:val="hybridMultilevel"/>
    <w:tmpl w:val="9154D1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D5255B7"/>
    <w:multiLevelType w:val="hybridMultilevel"/>
    <w:tmpl w:val="469428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E0645D3"/>
    <w:multiLevelType w:val="hybridMultilevel"/>
    <w:tmpl w:val="FAF089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E8C65E0"/>
    <w:multiLevelType w:val="hybridMultilevel"/>
    <w:tmpl w:val="11E4D3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11C3881"/>
    <w:multiLevelType w:val="hybridMultilevel"/>
    <w:tmpl w:val="78665AC6"/>
    <w:lvl w:ilvl="0" w:tplc="D308839C">
      <w:numFmt w:val="bullet"/>
      <w:lvlText w:val="•"/>
      <w:lvlJc w:val="left"/>
      <w:pPr>
        <w:ind w:left="705" w:hanging="705"/>
      </w:pPr>
      <w:rPr>
        <w:rFonts w:ascii="Calibri" w:eastAsiaTheme="minorHAnsi"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5" w15:restartNumberingAfterBreak="0">
    <w:nsid w:val="68445645"/>
    <w:multiLevelType w:val="hybridMultilevel"/>
    <w:tmpl w:val="C0565B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A2C6207"/>
    <w:multiLevelType w:val="hybridMultilevel"/>
    <w:tmpl w:val="008A148A"/>
    <w:lvl w:ilvl="0" w:tplc="E9AE6FF8">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C665AB6"/>
    <w:multiLevelType w:val="hybridMultilevel"/>
    <w:tmpl w:val="9C2CE2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CF4163E"/>
    <w:multiLevelType w:val="hybridMultilevel"/>
    <w:tmpl w:val="1CA64C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1C6071B"/>
    <w:multiLevelType w:val="hybridMultilevel"/>
    <w:tmpl w:val="7BC0DA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706745A"/>
    <w:multiLevelType w:val="multilevel"/>
    <w:tmpl w:val="BA1A1C62"/>
    <w:lvl w:ilvl="0">
      <w:start w:val="1"/>
      <w:numFmt w:val="decimal"/>
      <w:pStyle w:val="Nadpis1sl"/>
      <w:lvlText w:val="%1"/>
      <w:lvlJc w:val="left"/>
      <w:pPr>
        <w:ind w:left="432" w:hanging="432"/>
      </w:pPr>
      <w:rPr>
        <w:rFonts w:hint="default"/>
      </w:rPr>
    </w:lvl>
    <w:lvl w:ilvl="1">
      <w:start w:val="1"/>
      <w:numFmt w:val="decimal"/>
      <w:pStyle w:val="Nadpis2sl"/>
      <w:lvlText w:val="%1.%2"/>
      <w:lvlJc w:val="left"/>
      <w:pPr>
        <w:ind w:left="576" w:hanging="576"/>
      </w:pPr>
      <w:rPr>
        <w:rFonts w:hint="default"/>
        <w:b/>
        <w:color w:val="232E83"/>
        <w:sz w:val="26"/>
        <w:szCs w:val="26"/>
      </w:rPr>
    </w:lvl>
    <w:lvl w:ilvl="2">
      <w:start w:val="1"/>
      <w:numFmt w:val="decimal"/>
      <w:pStyle w:val="Nadpis3s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78BE5F2E"/>
    <w:multiLevelType w:val="hybridMultilevel"/>
    <w:tmpl w:val="6D3609E6"/>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7B594849"/>
    <w:multiLevelType w:val="hybridMultilevel"/>
    <w:tmpl w:val="A6D01B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E5C5E31"/>
    <w:multiLevelType w:val="hybridMultilevel"/>
    <w:tmpl w:val="96641D60"/>
    <w:lvl w:ilvl="0" w:tplc="74B4B272">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0"/>
  </w:num>
  <w:num w:numId="2">
    <w:abstractNumId w:val="1"/>
  </w:num>
  <w:num w:numId="3">
    <w:abstractNumId w:val="13"/>
  </w:num>
  <w:num w:numId="4">
    <w:abstractNumId w:val="24"/>
  </w:num>
  <w:num w:numId="5">
    <w:abstractNumId w:val="20"/>
  </w:num>
  <w:num w:numId="6">
    <w:abstractNumId w:val="26"/>
  </w:num>
  <w:num w:numId="7">
    <w:abstractNumId w:val="16"/>
  </w:num>
  <w:num w:numId="8">
    <w:abstractNumId w:val="23"/>
  </w:num>
  <w:num w:numId="9">
    <w:abstractNumId w:val="39"/>
  </w:num>
  <w:num w:numId="10">
    <w:abstractNumId w:val="4"/>
  </w:num>
  <w:num w:numId="11">
    <w:abstractNumId w:val="31"/>
  </w:num>
  <w:num w:numId="12">
    <w:abstractNumId w:val="15"/>
  </w:num>
  <w:num w:numId="13">
    <w:abstractNumId w:val="9"/>
  </w:num>
  <w:num w:numId="14">
    <w:abstractNumId w:val="7"/>
  </w:num>
  <w:num w:numId="15">
    <w:abstractNumId w:val="25"/>
  </w:num>
  <w:num w:numId="16">
    <w:abstractNumId w:val="35"/>
  </w:num>
  <w:num w:numId="17">
    <w:abstractNumId w:val="30"/>
  </w:num>
  <w:num w:numId="18">
    <w:abstractNumId w:val="14"/>
  </w:num>
  <w:num w:numId="19">
    <w:abstractNumId w:val="11"/>
  </w:num>
  <w:num w:numId="20">
    <w:abstractNumId w:val="34"/>
  </w:num>
  <w:num w:numId="21">
    <w:abstractNumId w:val="37"/>
  </w:num>
  <w:num w:numId="22">
    <w:abstractNumId w:val="42"/>
  </w:num>
  <w:num w:numId="23">
    <w:abstractNumId w:val="41"/>
  </w:num>
  <w:num w:numId="24">
    <w:abstractNumId w:val="38"/>
  </w:num>
  <w:num w:numId="25">
    <w:abstractNumId w:val="8"/>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18"/>
  </w:num>
  <w:num w:numId="29">
    <w:abstractNumId w:val="29"/>
  </w:num>
  <w:num w:numId="30">
    <w:abstractNumId w:val="5"/>
  </w:num>
  <w:num w:numId="31">
    <w:abstractNumId w:val="12"/>
  </w:num>
  <w:num w:numId="32">
    <w:abstractNumId w:val="19"/>
  </w:num>
  <w:num w:numId="33">
    <w:abstractNumId w:val="17"/>
  </w:num>
  <w:num w:numId="34">
    <w:abstractNumId w:val="32"/>
  </w:num>
  <w:num w:numId="35">
    <w:abstractNumId w:val="21"/>
  </w:num>
  <w:num w:numId="36">
    <w:abstractNumId w:val="10"/>
  </w:num>
  <w:num w:numId="37">
    <w:abstractNumId w:val="33"/>
  </w:num>
  <w:num w:numId="38">
    <w:abstractNumId w:val="3"/>
  </w:num>
  <w:num w:numId="39">
    <w:abstractNumId w:val="4"/>
  </w:num>
  <w:num w:numId="40">
    <w:abstractNumId w:val="4"/>
  </w:num>
  <w:num w:numId="41">
    <w:abstractNumId w:val="43"/>
  </w:num>
  <w:num w:numId="42">
    <w:abstractNumId w:val="28"/>
  </w:num>
  <w:num w:numId="43">
    <w:abstractNumId w:val="0"/>
  </w:num>
  <w:num w:numId="44">
    <w:abstractNumId w:val="22"/>
  </w:num>
  <w:num w:numId="45">
    <w:abstractNumId w:val="6"/>
  </w:num>
  <w:num w:numId="46">
    <w:abstractNumId w:val="2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451"/>
    <w:rsid w:val="0000032E"/>
    <w:rsid w:val="000049B3"/>
    <w:rsid w:val="00006858"/>
    <w:rsid w:val="0000733D"/>
    <w:rsid w:val="00010B9A"/>
    <w:rsid w:val="00010F0A"/>
    <w:rsid w:val="0001222A"/>
    <w:rsid w:val="00014C9B"/>
    <w:rsid w:val="0001504F"/>
    <w:rsid w:val="00023123"/>
    <w:rsid w:val="000264A1"/>
    <w:rsid w:val="00026BE9"/>
    <w:rsid w:val="000277F2"/>
    <w:rsid w:val="0004711D"/>
    <w:rsid w:val="00053DA8"/>
    <w:rsid w:val="00057560"/>
    <w:rsid w:val="0005763A"/>
    <w:rsid w:val="0006338E"/>
    <w:rsid w:val="000670FD"/>
    <w:rsid w:val="00067E32"/>
    <w:rsid w:val="000722BD"/>
    <w:rsid w:val="00075D88"/>
    <w:rsid w:val="00076492"/>
    <w:rsid w:val="00084132"/>
    <w:rsid w:val="000865A7"/>
    <w:rsid w:val="00087B1D"/>
    <w:rsid w:val="000912A7"/>
    <w:rsid w:val="000A4112"/>
    <w:rsid w:val="000A5397"/>
    <w:rsid w:val="000A6500"/>
    <w:rsid w:val="000A7363"/>
    <w:rsid w:val="000B0C3B"/>
    <w:rsid w:val="000B29E6"/>
    <w:rsid w:val="000B450F"/>
    <w:rsid w:val="000B7F7D"/>
    <w:rsid w:val="000D1D84"/>
    <w:rsid w:val="000D6E21"/>
    <w:rsid w:val="000D7670"/>
    <w:rsid w:val="000E56DF"/>
    <w:rsid w:val="000E6E83"/>
    <w:rsid w:val="000F11BA"/>
    <w:rsid w:val="000F474F"/>
    <w:rsid w:val="000F5212"/>
    <w:rsid w:val="001008AE"/>
    <w:rsid w:val="001041B1"/>
    <w:rsid w:val="0010722D"/>
    <w:rsid w:val="001074C9"/>
    <w:rsid w:val="00111433"/>
    <w:rsid w:val="00115607"/>
    <w:rsid w:val="00120D25"/>
    <w:rsid w:val="00125A01"/>
    <w:rsid w:val="00131C02"/>
    <w:rsid w:val="0013565E"/>
    <w:rsid w:val="00142028"/>
    <w:rsid w:val="00145338"/>
    <w:rsid w:val="001467C5"/>
    <w:rsid w:val="00147EA2"/>
    <w:rsid w:val="0015445F"/>
    <w:rsid w:val="00163494"/>
    <w:rsid w:val="001636EC"/>
    <w:rsid w:val="00164DAD"/>
    <w:rsid w:val="00174477"/>
    <w:rsid w:val="00177708"/>
    <w:rsid w:val="001819B5"/>
    <w:rsid w:val="0018260D"/>
    <w:rsid w:val="00183443"/>
    <w:rsid w:val="001863CA"/>
    <w:rsid w:val="00190046"/>
    <w:rsid w:val="001905A2"/>
    <w:rsid w:val="00191AC7"/>
    <w:rsid w:val="00191C3B"/>
    <w:rsid w:val="00193C04"/>
    <w:rsid w:val="00194EF3"/>
    <w:rsid w:val="001A0669"/>
    <w:rsid w:val="001B166F"/>
    <w:rsid w:val="001B35D3"/>
    <w:rsid w:val="001C024C"/>
    <w:rsid w:val="001C0F72"/>
    <w:rsid w:val="001C1694"/>
    <w:rsid w:val="001C210E"/>
    <w:rsid w:val="001C2DDC"/>
    <w:rsid w:val="001C50E7"/>
    <w:rsid w:val="001C655C"/>
    <w:rsid w:val="001C6AFC"/>
    <w:rsid w:val="001D1132"/>
    <w:rsid w:val="001D2514"/>
    <w:rsid w:val="001D5C77"/>
    <w:rsid w:val="001D67F9"/>
    <w:rsid w:val="001D75E4"/>
    <w:rsid w:val="001D7F25"/>
    <w:rsid w:val="001E160F"/>
    <w:rsid w:val="001E1901"/>
    <w:rsid w:val="001E2493"/>
    <w:rsid w:val="001E37C5"/>
    <w:rsid w:val="001E5696"/>
    <w:rsid w:val="001E5F2D"/>
    <w:rsid w:val="001E6E76"/>
    <w:rsid w:val="001E7876"/>
    <w:rsid w:val="001F6B8E"/>
    <w:rsid w:val="00200453"/>
    <w:rsid w:val="00200CAB"/>
    <w:rsid w:val="0020126B"/>
    <w:rsid w:val="00214223"/>
    <w:rsid w:val="00220B7F"/>
    <w:rsid w:val="00226642"/>
    <w:rsid w:val="00230353"/>
    <w:rsid w:val="00230E06"/>
    <w:rsid w:val="00233D92"/>
    <w:rsid w:val="0023535F"/>
    <w:rsid w:val="00235C04"/>
    <w:rsid w:val="00235DF1"/>
    <w:rsid w:val="002376D6"/>
    <w:rsid w:val="0024205E"/>
    <w:rsid w:val="00244B48"/>
    <w:rsid w:val="002501FB"/>
    <w:rsid w:val="00257A39"/>
    <w:rsid w:val="002614A0"/>
    <w:rsid w:val="00281B08"/>
    <w:rsid w:val="0028222E"/>
    <w:rsid w:val="0028278C"/>
    <w:rsid w:val="00291DC9"/>
    <w:rsid w:val="00292C30"/>
    <w:rsid w:val="00295D97"/>
    <w:rsid w:val="00297BA6"/>
    <w:rsid w:val="002A1E04"/>
    <w:rsid w:val="002A7205"/>
    <w:rsid w:val="002B08E9"/>
    <w:rsid w:val="002C01D2"/>
    <w:rsid w:val="002C3FA7"/>
    <w:rsid w:val="002C62DC"/>
    <w:rsid w:val="002D037D"/>
    <w:rsid w:val="002D26BE"/>
    <w:rsid w:val="002D62AB"/>
    <w:rsid w:val="002D6E11"/>
    <w:rsid w:val="002D7322"/>
    <w:rsid w:val="002E1C63"/>
    <w:rsid w:val="002E24D4"/>
    <w:rsid w:val="002E4047"/>
    <w:rsid w:val="002F1CEB"/>
    <w:rsid w:val="002F6B29"/>
    <w:rsid w:val="0030042D"/>
    <w:rsid w:val="003024C0"/>
    <w:rsid w:val="00312E7D"/>
    <w:rsid w:val="00320525"/>
    <w:rsid w:val="003213E8"/>
    <w:rsid w:val="003216BA"/>
    <w:rsid w:val="00327348"/>
    <w:rsid w:val="00332FE3"/>
    <w:rsid w:val="003333DC"/>
    <w:rsid w:val="0034096B"/>
    <w:rsid w:val="003438D2"/>
    <w:rsid w:val="00346491"/>
    <w:rsid w:val="003548C1"/>
    <w:rsid w:val="00364255"/>
    <w:rsid w:val="00364543"/>
    <w:rsid w:val="00367B11"/>
    <w:rsid w:val="00370DFB"/>
    <w:rsid w:val="0037536F"/>
    <w:rsid w:val="00375BC4"/>
    <w:rsid w:val="003772E3"/>
    <w:rsid w:val="003807C4"/>
    <w:rsid w:val="0038603C"/>
    <w:rsid w:val="0038721E"/>
    <w:rsid w:val="00393420"/>
    <w:rsid w:val="00395255"/>
    <w:rsid w:val="00395F23"/>
    <w:rsid w:val="003A24F3"/>
    <w:rsid w:val="003B2092"/>
    <w:rsid w:val="003B2614"/>
    <w:rsid w:val="003C15B2"/>
    <w:rsid w:val="003C3999"/>
    <w:rsid w:val="003D35C7"/>
    <w:rsid w:val="003D3BEB"/>
    <w:rsid w:val="003D7134"/>
    <w:rsid w:val="003D73A2"/>
    <w:rsid w:val="003E15BC"/>
    <w:rsid w:val="003E2E02"/>
    <w:rsid w:val="003F46AE"/>
    <w:rsid w:val="003F5A55"/>
    <w:rsid w:val="003F5DDE"/>
    <w:rsid w:val="003F6801"/>
    <w:rsid w:val="00400F59"/>
    <w:rsid w:val="004048F0"/>
    <w:rsid w:val="00405289"/>
    <w:rsid w:val="004068E3"/>
    <w:rsid w:val="00406B84"/>
    <w:rsid w:val="00407E34"/>
    <w:rsid w:val="0041118C"/>
    <w:rsid w:val="00417F27"/>
    <w:rsid w:val="0042364F"/>
    <w:rsid w:val="00431E97"/>
    <w:rsid w:val="00433244"/>
    <w:rsid w:val="00433959"/>
    <w:rsid w:val="00434230"/>
    <w:rsid w:val="00436C19"/>
    <w:rsid w:val="0044071F"/>
    <w:rsid w:val="0044436D"/>
    <w:rsid w:val="00446B47"/>
    <w:rsid w:val="00447AD0"/>
    <w:rsid w:val="004554B6"/>
    <w:rsid w:val="00456B9B"/>
    <w:rsid w:val="004609DF"/>
    <w:rsid w:val="00463450"/>
    <w:rsid w:val="00463791"/>
    <w:rsid w:val="00464A7A"/>
    <w:rsid w:val="004669F0"/>
    <w:rsid w:val="00467C52"/>
    <w:rsid w:val="00471E5C"/>
    <w:rsid w:val="004775A9"/>
    <w:rsid w:val="00481820"/>
    <w:rsid w:val="004875AB"/>
    <w:rsid w:val="00490B7D"/>
    <w:rsid w:val="00493D03"/>
    <w:rsid w:val="00495068"/>
    <w:rsid w:val="00496FB2"/>
    <w:rsid w:val="004979C6"/>
    <w:rsid w:val="004A1407"/>
    <w:rsid w:val="004A4110"/>
    <w:rsid w:val="004A443D"/>
    <w:rsid w:val="004A5D08"/>
    <w:rsid w:val="004B109F"/>
    <w:rsid w:val="004B4946"/>
    <w:rsid w:val="004B4B1F"/>
    <w:rsid w:val="004B5548"/>
    <w:rsid w:val="004B6B62"/>
    <w:rsid w:val="004C30FC"/>
    <w:rsid w:val="004D007D"/>
    <w:rsid w:val="004E325D"/>
    <w:rsid w:val="004E3262"/>
    <w:rsid w:val="004E484D"/>
    <w:rsid w:val="004F0D0E"/>
    <w:rsid w:val="004F5ADB"/>
    <w:rsid w:val="00501FB8"/>
    <w:rsid w:val="00502286"/>
    <w:rsid w:val="00504F7A"/>
    <w:rsid w:val="005132FA"/>
    <w:rsid w:val="00514400"/>
    <w:rsid w:val="00514F09"/>
    <w:rsid w:val="00516094"/>
    <w:rsid w:val="005160C3"/>
    <w:rsid w:val="005161A2"/>
    <w:rsid w:val="005251EB"/>
    <w:rsid w:val="005259CB"/>
    <w:rsid w:val="00527E54"/>
    <w:rsid w:val="005313CF"/>
    <w:rsid w:val="0054026F"/>
    <w:rsid w:val="0054158E"/>
    <w:rsid w:val="0054503A"/>
    <w:rsid w:val="00545F5E"/>
    <w:rsid w:val="0055019B"/>
    <w:rsid w:val="00555836"/>
    <w:rsid w:val="00560E8D"/>
    <w:rsid w:val="00562B32"/>
    <w:rsid w:val="0056391F"/>
    <w:rsid w:val="00565013"/>
    <w:rsid w:val="00567FCC"/>
    <w:rsid w:val="00571B77"/>
    <w:rsid w:val="0057380A"/>
    <w:rsid w:val="00576183"/>
    <w:rsid w:val="0057764A"/>
    <w:rsid w:val="00580BC2"/>
    <w:rsid w:val="00581C33"/>
    <w:rsid w:val="00583CEB"/>
    <w:rsid w:val="00587BB7"/>
    <w:rsid w:val="00591344"/>
    <w:rsid w:val="00591CF6"/>
    <w:rsid w:val="00597D36"/>
    <w:rsid w:val="005A3D85"/>
    <w:rsid w:val="005A478E"/>
    <w:rsid w:val="005A767E"/>
    <w:rsid w:val="005C0F94"/>
    <w:rsid w:val="005C5EF2"/>
    <w:rsid w:val="005D1E54"/>
    <w:rsid w:val="005D5775"/>
    <w:rsid w:val="005D7A43"/>
    <w:rsid w:val="005E2514"/>
    <w:rsid w:val="005E63F2"/>
    <w:rsid w:val="005E7343"/>
    <w:rsid w:val="005F0217"/>
    <w:rsid w:val="005F10D3"/>
    <w:rsid w:val="005F1A9A"/>
    <w:rsid w:val="005F659F"/>
    <w:rsid w:val="005F6639"/>
    <w:rsid w:val="005F78C4"/>
    <w:rsid w:val="00602AC6"/>
    <w:rsid w:val="006031D2"/>
    <w:rsid w:val="006039E9"/>
    <w:rsid w:val="00606266"/>
    <w:rsid w:val="0061104A"/>
    <w:rsid w:val="00613FE4"/>
    <w:rsid w:val="00616C41"/>
    <w:rsid w:val="006178A8"/>
    <w:rsid w:val="00621FA9"/>
    <w:rsid w:val="00626B56"/>
    <w:rsid w:val="00631566"/>
    <w:rsid w:val="00632001"/>
    <w:rsid w:val="00632510"/>
    <w:rsid w:val="0063254D"/>
    <w:rsid w:val="006357C0"/>
    <w:rsid w:val="00643CD5"/>
    <w:rsid w:val="006460DA"/>
    <w:rsid w:val="00650DBE"/>
    <w:rsid w:val="00654F9C"/>
    <w:rsid w:val="00660950"/>
    <w:rsid w:val="00660E05"/>
    <w:rsid w:val="00660FC8"/>
    <w:rsid w:val="00677162"/>
    <w:rsid w:val="006828DF"/>
    <w:rsid w:val="00683499"/>
    <w:rsid w:val="00684E97"/>
    <w:rsid w:val="006909A7"/>
    <w:rsid w:val="00694238"/>
    <w:rsid w:val="006959B4"/>
    <w:rsid w:val="006967DC"/>
    <w:rsid w:val="006A033F"/>
    <w:rsid w:val="006A64E5"/>
    <w:rsid w:val="006A71FF"/>
    <w:rsid w:val="006B193E"/>
    <w:rsid w:val="006B1B33"/>
    <w:rsid w:val="006B2B09"/>
    <w:rsid w:val="006B4D93"/>
    <w:rsid w:val="006B7C89"/>
    <w:rsid w:val="006C007F"/>
    <w:rsid w:val="006C0668"/>
    <w:rsid w:val="006C485D"/>
    <w:rsid w:val="006C51ED"/>
    <w:rsid w:val="006C5BE0"/>
    <w:rsid w:val="006D0660"/>
    <w:rsid w:val="006D3B22"/>
    <w:rsid w:val="006D65DA"/>
    <w:rsid w:val="006E4049"/>
    <w:rsid w:val="006E67D8"/>
    <w:rsid w:val="006F3DA5"/>
    <w:rsid w:val="006F56E9"/>
    <w:rsid w:val="007055E5"/>
    <w:rsid w:val="0071079F"/>
    <w:rsid w:val="00715CE5"/>
    <w:rsid w:val="00716318"/>
    <w:rsid w:val="00716354"/>
    <w:rsid w:val="007210E9"/>
    <w:rsid w:val="00721D44"/>
    <w:rsid w:val="00721E11"/>
    <w:rsid w:val="007241F5"/>
    <w:rsid w:val="00730789"/>
    <w:rsid w:val="00731038"/>
    <w:rsid w:val="00733398"/>
    <w:rsid w:val="00735A63"/>
    <w:rsid w:val="00737A9B"/>
    <w:rsid w:val="00740067"/>
    <w:rsid w:val="0074216C"/>
    <w:rsid w:val="00746BC3"/>
    <w:rsid w:val="007520E6"/>
    <w:rsid w:val="0075486A"/>
    <w:rsid w:val="00754E9C"/>
    <w:rsid w:val="00756A51"/>
    <w:rsid w:val="007571A1"/>
    <w:rsid w:val="007574F4"/>
    <w:rsid w:val="007577F0"/>
    <w:rsid w:val="0076025E"/>
    <w:rsid w:val="00762C04"/>
    <w:rsid w:val="00762E81"/>
    <w:rsid w:val="007658D6"/>
    <w:rsid w:val="00766297"/>
    <w:rsid w:val="00766E64"/>
    <w:rsid w:val="00773BC0"/>
    <w:rsid w:val="00776124"/>
    <w:rsid w:val="00777645"/>
    <w:rsid w:val="007837BC"/>
    <w:rsid w:val="00785460"/>
    <w:rsid w:val="00792E86"/>
    <w:rsid w:val="00794AC9"/>
    <w:rsid w:val="00794CFA"/>
    <w:rsid w:val="007970BC"/>
    <w:rsid w:val="007A372D"/>
    <w:rsid w:val="007A7FF3"/>
    <w:rsid w:val="007B0398"/>
    <w:rsid w:val="007B4FFC"/>
    <w:rsid w:val="007B6857"/>
    <w:rsid w:val="007C06FD"/>
    <w:rsid w:val="007C1294"/>
    <w:rsid w:val="007C30B4"/>
    <w:rsid w:val="007C568C"/>
    <w:rsid w:val="007C5D3A"/>
    <w:rsid w:val="007D17A4"/>
    <w:rsid w:val="007D645C"/>
    <w:rsid w:val="007E0927"/>
    <w:rsid w:val="007E18DE"/>
    <w:rsid w:val="007E19BA"/>
    <w:rsid w:val="007E21F6"/>
    <w:rsid w:val="007E2AF2"/>
    <w:rsid w:val="007E5A5D"/>
    <w:rsid w:val="007F33C9"/>
    <w:rsid w:val="007F3412"/>
    <w:rsid w:val="00807B35"/>
    <w:rsid w:val="008134F6"/>
    <w:rsid w:val="00820BD4"/>
    <w:rsid w:val="00822622"/>
    <w:rsid w:val="0082277D"/>
    <w:rsid w:val="00823904"/>
    <w:rsid w:val="00830835"/>
    <w:rsid w:val="008313CF"/>
    <w:rsid w:val="00837C67"/>
    <w:rsid w:val="00844D5A"/>
    <w:rsid w:val="0085298A"/>
    <w:rsid w:val="008564A9"/>
    <w:rsid w:val="008605E4"/>
    <w:rsid w:val="00860C7B"/>
    <w:rsid w:val="008620B1"/>
    <w:rsid w:val="008623B7"/>
    <w:rsid w:val="00864DFF"/>
    <w:rsid w:val="00865CFF"/>
    <w:rsid w:val="00870645"/>
    <w:rsid w:val="00874D51"/>
    <w:rsid w:val="00877D23"/>
    <w:rsid w:val="00880511"/>
    <w:rsid w:val="008824EB"/>
    <w:rsid w:val="00883719"/>
    <w:rsid w:val="00890E26"/>
    <w:rsid w:val="00891431"/>
    <w:rsid w:val="00893CF9"/>
    <w:rsid w:val="00894814"/>
    <w:rsid w:val="00895941"/>
    <w:rsid w:val="008A4A59"/>
    <w:rsid w:val="008B73A8"/>
    <w:rsid w:val="008C6BBE"/>
    <w:rsid w:val="008C7C5A"/>
    <w:rsid w:val="008D16AD"/>
    <w:rsid w:val="008D326F"/>
    <w:rsid w:val="008D56FF"/>
    <w:rsid w:val="008E1783"/>
    <w:rsid w:val="008E2189"/>
    <w:rsid w:val="008E5F6C"/>
    <w:rsid w:val="008E6CCB"/>
    <w:rsid w:val="008F0244"/>
    <w:rsid w:val="008F140C"/>
    <w:rsid w:val="008F1E80"/>
    <w:rsid w:val="008F546D"/>
    <w:rsid w:val="008F612F"/>
    <w:rsid w:val="009003AB"/>
    <w:rsid w:val="00902E5B"/>
    <w:rsid w:val="009043CA"/>
    <w:rsid w:val="00914748"/>
    <w:rsid w:val="0092202A"/>
    <w:rsid w:val="0092260F"/>
    <w:rsid w:val="00922F08"/>
    <w:rsid w:val="00922F1F"/>
    <w:rsid w:val="00923BC7"/>
    <w:rsid w:val="00925BCF"/>
    <w:rsid w:val="00930C0D"/>
    <w:rsid w:val="00931A05"/>
    <w:rsid w:val="0093644E"/>
    <w:rsid w:val="0093645E"/>
    <w:rsid w:val="00940749"/>
    <w:rsid w:val="009445F6"/>
    <w:rsid w:val="00944868"/>
    <w:rsid w:val="00946741"/>
    <w:rsid w:val="009468B2"/>
    <w:rsid w:val="00946AE2"/>
    <w:rsid w:val="009521CB"/>
    <w:rsid w:val="009524B2"/>
    <w:rsid w:val="00953520"/>
    <w:rsid w:val="00955C37"/>
    <w:rsid w:val="00956A9A"/>
    <w:rsid w:val="00960ADA"/>
    <w:rsid w:val="009655EA"/>
    <w:rsid w:val="009725CA"/>
    <w:rsid w:val="0097364A"/>
    <w:rsid w:val="009759D9"/>
    <w:rsid w:val="0097602C"/>
    <w:rsid w:val="00977EDE"/>
    <w:rsid w:val="00982B44"/>
    <w:rsid w:val="00990207"/>
    <w:rsid w:val="00990342"/>
    <w:rsid w:val="00994157"/>
    <w:rsid w:val="00997FF0"/>
    <w:rsid w:val="009A0A64"/>
    <w:rsid w:val="009A1DAB"/>
    <w:rsid w:val="009A42F2"/>
    <w:rsid w:val="009A47DE"/>
    <w:rsid w:val="009A6C10"/>
    <w:rsid w:val="009B3A3C"/>
    <w:rsid w:val="009B6977"/>
    <w:rsid w:val="009C0043"/>
    <w:rsid w:val="009C32EF"/>
    <w:rsid w:val="009C4102"/>
    <w:rsid w:val="009C52ED"/>
    <w:rsid w:val="009C5A68"/>
    <w:rsid w:val="009D4FB5"/>
    <w:rsid w:val="009D5F66"/>
    <w:rsid w:val="009E19E3"/>
    <w:rsid w:val="009E2B4C"/>
    <w:rsid w:val="009F5BCF"/>
    <w:rsid w:val="009F5F6C"/>
    <w:rsid w:val="009F71F3"/>
    <w:rsid w:val="009F723C"/>
    <w:rsid w:val="00A01936"/>
    <w:rsid w:val="00A038B9"/>
    <w:rsid w:val="00A04549"/>
    <w:rsid w:val="00A049EC"/>
    <w:rsid w:val="00A05810"/>
    <w:rsid w:val="00A05D69"/>
    <w:rsid w:val="00A05F1B"/>
    <w:rsid w:val="00A068D8"/>
    <w:rsid w:val="00A10392"/>
    <w:rsid w:val="00A123A0"/>
    <w:rsid w:val="00A12B30"/>
    <w:rsid w:val="00A13D34"/>
    <w:rsid w:val="00A21CBF"/>
    <w:rsid w:val="00A22D52"/>
    <w:rsid w:val="00A31ABD"/>
    <w:rsid w:val="00A5548E"/>
    <w:rsid w:val="00A56636"/>
    <w:rsid w:val="00A56B25"/>
    <w:rsid w:val="00A614BE"/>
    <w:rsid w:val="00A62C7D"/>
    <w:rsid w:val="00A63405"/>
    <w:rsid w:val="00A707BA"/>
    <w:rsid w:val="00A724B4"/>
    <w:rsid w:val="00A7296C"/>
    <w:rsid w:val="00A76E4D"/>
    <w:rsid w:val="00A7761C"/>
    <w:rsid w:val="00A80531"/>
    <w:rsid w:val="00A91545"/>
    <w:rsid w:val="00A92901"/>
    <w:rsid w:val="00A946AE"/>
    <w:rsid w:val="00A9656B"/>
    <w:rsid w:val="00AA0648"/>
    <w:rsid w:val="00AA4021"/>
    <w:rsid w:val="00AA4097"/>
    <w:rsid w:val="00AA51E9"/>
    <w:rsid w:val="00AA56EB"/>
    <w:rsid w:val="00AB142C"/>
    <w:rsid w:val="00AB1A38"/>
    <w:rsid w:val="00AB215B"/>
    <w:rsid w:val="00AB22A1"/>
    <w:rsid w:val="00AB2317"/>
    <w:rsid w:val="00AC19BA"/>
    <w:rsid w:val="00AC5BEF"/>
    <w:rsid w:val="00AC69E7"/>
    <w:rsid w:val="00AD0D9F"/>
    <w:rsid w:val="00AE0A2F"/>
    <w:rsid w:val="00AE4950"/>
    <w:rsid w:val="00AF4D13"/>
    <w:rsid w:val="00B00605"/>
    <w:rsid w:val="00B01E81"/>
    <w:rsid w:val="00B1312D"/>
    <w:rsid w:val="00B13A8E"/>
    <w:rsid w:val="00B20C98"/>
    <w:rsid w:val="00B22FB3"/>
    <w:rsid w:val="00B33D1B"/>
    <w:rsid w:val="00B36B83"/>
    <w:rsid w:val="00B40E5D"/>
    <w:rsid w:val="00B43867"/>
    <w:rsid w:val="00B45E03"/>
    <w:rsid w:val="00B47B1A"/>
    <w:rsid w:val="00B51764"/>
    <w:rsid w:val="00B52DE9"/>
    <w:rsid w:val="00B53096"/>
    <w:rsid w:val="00B574D8"/>
    <w:rsid w:val="00B61281"/>
    <w:rsid w:val="00B67CD2"/>
    <w:rsid w:val="00B67FE3"/>
    <w:rsid w:val="00B74715"/>
    <w:rsid w:val="00B74AB9"/>
    <w:rsid w:val="00B76519"/>
    <w:rsid w:val="00B80C38"/>
    <w:rsid w:val="00B82297"/>
    <w:rsid w:val="00B86C48"/>
    <w:rsid w:val="00BA002D"/>
    <w:rsid w:val="00BA158D"/>
    <w:rsid w:val="00BA15EB"/>
    <w:rsid w:val="00BA48F7"/>
    <w:rsid w:val="00BA52F2"/>
    <w:rsid w:val="00BA56F5"/>
    <w:rsid w:val="00BA5E80"/>
    <w:rsid w:val="00BA61CA"/>
    <w:rsid w:val="00BA6916"/>
    <w:rsid w:val="00BA79D2"/>
    <w:rsid w:val="00BB4A7F"/>
    <w:rsid w:val="00BB579E"/>
    <w:rsid w:val="00BC4FAF"/>
    <w:rsid w:val="00BC7E63"/>
    <w:rsid w:val="00BD1E27"/>
    <w:rsid w:val="00BD2FE9"/>
    <w:rsid w:val="00BD6C67"/>
    <w:rsid w:val="00BE3861"/>
    <w:rsid w:val="00BE47A7"/>
    <w:rsid w:val="00BE5C13"/>
    <w:rsid w:val="00BF1234"/>
    <w:rsid w:val="00BF46DE"/>
    <w:rsid w:val="00BF4DFF"/>
    <w:rsid w:val="00BF6A58"/>
    <w:rsid w:val="00C00C8B"/>
    <w:rsid w:val="00C0491E"/>
    <w:rsid w:val="00C07FEB"/>
    <w:rsid w:val="00C1166D"/>
    <w:rsid w:val="00C11C75"/>
    <w:rsid w:val="00C23F73"/>
    <w:rsid w:val="00C2441F"/>
    <w:rsid w:val="00C255A9"/>
    <w:rsid w:val="00C30DC4"/>
    <w:rsid w:val="00C32808"/>
    <w:rsid w:val="00C3443E"/>
    <w:rsid w:val="00C34E9D"/>
    <w:rsid w:val="00C358B9"/>
    <w:rsid w:val="00C41106"/>
    <w:rsid w:val="00C41C92"/>
    <w:rsid w:val="00C516D2"/>
    <w:rsid w:val="00C567B1"/>
    <w:rsid w:val="00C63A2D"/>
    <w:rsid w:val="00C668B1"/>
    <w:rsid w:val="00C709B3"/>
    <w:rsid w:val="00C73F34"/>
    <w:rsid w:val="00C74589"/>
    <w:rsid w:val="00C81D37"/>
    <w:rsid w:val="00C821A6"/>
    <w:rsid w:val="00C840E4"/>
    <w:rsid w:val="00C85F7E"/>
    <w:rsid w:val="00C861B0"/>
    <w:rsid w:val="00C87079"/>
    <w:rsid w:val="00C873F1"/>
    <w:rsid w:val="00C9469A"/>
    <w:rsid w:val="00C95DE1"/>
    <w:rsid w:val="00C95EA7"/>
    <w:rsid w:val="00C97107"/>
    <w:rsid w:val="00CA071C"/>
    <w:rsid w:val="00CA23FC"/>
    <w:rsid w:val="00CA2628"/>
    <w:rsid w:val="00CB04B4"/>
    <w:rsid w:val="00CB4810"/>
    <w:rsid w:val="00CB6435"/>
    <w:rsid w:val="00CB68B2"/>
    <w:rsid w:val="00CC4B20"/>
    <w:rsid w:val="00CC4B81"/>
    <w:rsid w:val="00CC5077"/>
    <w:rsid w:val="00CC7086"/>
    <w:rsid w:val="00CD2783"/>
    <w:rsid w:val="00CD4116"/>
    <w:rsid w:val="00CD64C1"/>
    <w:rsid w:val="00CE0DC2"/>
    <w:rsid w:val="00CE1E2F"/>
    <w:rsid w:val="00CE32F2"/>
    <w:rsid w:val="00CE7514"/>
    <w:rsid w:val="00CF1090"/>
    <w:rsid w:val="00CF11C4"/>
    <w:rsid w:val="00CF1D43"/>
    <w:rsid w:val="00CF3E7C"/>
    <w:rsid w:val="00CF53BD"/>
    <w:rsid w:val="00CF6803"/>
    <w:rsid w:val="00D01FC2"/>
    <w:rsid w:val="00D02E34"/>
    <w:rsid w:val="00D107BE"/>
    <w:rsid w:val="00D12BF5"/>
    <w:rsid w:val="00D22EE2"/>
    <w:rsid w:val="00D2365A"/>
    <w:rsid w:val="00D259C5"/>
    <w:rsid w:val="00D25C6A"/>
    <w:rsid w:val="00D308CA"/>
    <w:rsid w:val="00D34469"/>
    <w:rsid w:val="00D36835"/>
    <w:rsid w:val="00D3770C"/>
    <w:rsid w:val="00D43430"/>
    <w:rsid w:val="00D43B09"/>
    <w:rsid w:val="00D453A6"/>
    <w:rsid w:val="00D50ACA"/>
    <w:rsid w:val="00D53B28"/>
    <w:rsid w:val="00D54C0A"/>
    <w:rsid w:val="00D579EA"/>
    <w:rsid w:val="00D63FC2"/>
    <w:rsid w:val="00D66E18"/>
    <w:rsid w:val="00D67DB3"/>
    <w:rsid w:val="00D77A62"/>
    <w:rsid w:val="00D813DA"/>
    <w:rsid w:val="00D830CD"/>
    <w:rsid w:val="00D8550C"/>
    <w:rsid w:val="00D8703D"/>
    <w:rsid w:val="00D87C90"/>
    <w:rsid w:val="00D9033C"/>
    <w:rsid w:val="00D90716"/>
    <w:rsid w:val="00DA184C"/>
    <w:rsid w:val="00DA1E8E"/>
    <w:rsid w:val="00DA6099"/>
    <w:rsid w:val="00DB10FC"/>
    <w:rsid w:val="00DB1655"/>
    <w:rsid w:val="00DC0073"/>
    <w:rsid w:val="00DC1E8E"/>
    <w:rsid w:val="00DC2148"/>
    <w:rsid w:val="00DC470D"/>
    <w:rsid w:val="00DD23F3"/>
    <w:rsid w:val="00DD7ABE"/>
    <w:rsid w:val="00DE333E"/>
    <w:rsid w:val="00DE751F"/>
    <w:rsid w:val="00DF486B"/>
    <w:rsid w:val="00DF4D2D"/>
    <w:rsid w:val="00DF7174"/>
    <w:rsid w:val="00E05187"/>
    <w:rsid w:val="00E07591"/>
    <w:rsid w:val="00E118FD"/>
    <w:rsid w:val="00E1215D"/>
    <w:rsid w:val="00E145C9"/>
    <w:rsid w:val="00E27A16"/>
    <w:rsid w:val="00E30D6F"/>
    <w:rsid w:val="00E32C59"/>
    <w:rsid w:val="00E33A9F"/>
    <w:rsid w:val="00E34B69"/>
    <w:rsid w:val="00E43451"/>
    <w:rsid w:val="00E44785"/>
    <w:rsid w:val="00E4631B"/>
    <w:rsid w:val="00E50CE0"/>
    <w:rsid w:val="00E515E5"/>
    <w:rsid w:val="00E52A7A"/>
    <w:rsid w:val="00E54528"/>
    <w:rsid w:val="00E54BB7"/>
    <w:rsid w:val="00E56191"/>
    <w:rsid w:val="00E565DB"/>
    <w:rsid w:val="00E56C24"/>
    <w:rsid w:val="00E61B8B"/>
    <w:rsid w:val="00E727AF"/>
    <w:rsid w:val="00E77E41"/>
    <w:rsid w:val="00E81383"/>
    <w:rsid w:val="00E82AEE"/>
    <w:rsid w:val="00E83E9A"/>
    <w:rsid w:val="00E841DB"/>
    <w:rsid w:val="00E85825"/>
    <w:rsid w:val="00E85D7B"/>
    <w:rsid w:val="00E91292"/>
    <w:rsid w:val="00E93A01"/>
    <w:rsid w:val="00EA24D7"/>
    <w:rsid w:val="00EA3B2F"/>
    <w:rsid w:val="00EB0B63"/>
    <w:rsid w:val="00EC3461"/>
    <w:rsid w:val="00EC439F"/>
    <w:rsid w:val="00EC4874"/>
    <w:rsid w:val="00EC5DAA"/>
    <w:rsid w:val="00ED0B23"/>
    <w:rsid w:val="00ED5303"/>
    <w:rsid w:val="00ED7366"/>
    <w:rsid w:val="00EE4384"/>
    <w:rsid w:val="00EE61A8"/>
    <w:rsid w:val="00EF23F7"/>
    <w:rsid w:val="00EF734B"/>
    <w:rsid w:val="00F014A1"/>
    <w:rsid w:val="00F040D2"/>
    <w:rsid w:val="00F056CD"/>
    <w:rsid w:val="00F06C45"/>
    <w:rsid w:val="00F10839"/>
    <w:rsid w:val="00F11B78"/>
    <w:rsid w:val="00F13222"/>
    <w:rsid w:val="00F140E0"/>
    <w:rsid w:val="00F172EC"/>
    <w:rsid w:val="00F21631"/>
    <w:rsid w:val="00F21917"/>
    <w:rsid w:val="00F237FD"/>
    <w:rsid w:val="00F2547A"/>
    <w:rsid w:val="00F27224"/>
    <w:rsid w:val="00F274B7"/>
    <w:rsid w:val="00F35953"/>
    <w:rsid w:val="00F36573"/>
    <w:rsid w:val="00F4101F"/>
    <w:rsid w:val="00F4459F"/>
    <w:rsid w:val="00F44C2A"/>
    <w:rsid w:val="00F44FBF"/>
    <w:rsid w:val="00F47970"/>
    <w:rsid w:val="00F47BAD"/>
    <w:rsid w:val="00F5117F"/>
    <w:rsid w:val="00F527B3"/>
    <w:rsid w:val="00F53A9C"/>
    <w:rsid w:val="00F54B76"/>
    <w:rsid w:val="00F63285"/>
    <w:rsid w:val="00F669B1"/>
    <w:rsid w:val="00F67113"/>
    <w:rsid w:val="00F701AD"/>
    <w:rsid w:val="00F74C68"/>
    <w:rsid w:val="00F751E2"/>
    <w:rsid w:val="00F756BC"/>
    <w:rsid w:val="00F851E1"/>
    <w:rsid w:val="00F86C13"/>
    <w:rsid w:val="00F86CD5"/>
    <w:rsid w:val="00F86D20"/>
    <w:rsid w:val="00F917C2"/>
    <w:rsid w:val="00F9230F"/>
    <w:rsid w:val="00F93C22"/>
    <w:rsid w:val="00F963C9"/>
    <w:rsid w:val="00FA2F02"/>
    <w:rsid w:val="00FA510F"/>
    <w:rsid w:val="00FA7BBB"/>
    <w:rsid w:val="00FB109E"/>
    <w:rsid w:val="00FB1670"/>
    <w:rsid w:val="00FB276B"/>
    <w:rsid w:val="00FB5400"/>
    <w:rsid w:val="00FB70E6"/>
    <w:rsid w:val="00FC0B7F"/>
    <w:rsid w:val="00FC6E21"/>
    <w:rsid w:val="00FD2920"/>
    <w:rsid w:val="00FD2A62"/>
    <w:rsid w:val="00FD42E9"/>
    <w:rsid w:val="00FD4BA7"/>
    <w:rsid w:val="00FD54F6"/>
    <w:rsid w:val="00FE170B"/>
    <w:rsid w:val="00FE4816"/>
    <w:rsid w:val="00FF25D2"/>
    <w:rsid w:val="00FF39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103A8C9"/>
  <w15:docId w15:val="{126D707D-F1DC-427F-8879-5241D3AF4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772E3"/>
  </w:style>
  <w:style w:type="paragraph" w:styleId="Nadpis1">
    <w:name w:val="heading 1"/>
    <w:basedOn w:val="Normln"/>
    <w:link w:val="Nadpis1Char"/>
    <w:uiPriority w:val="9"/>
    <w:qFormat/>
    <w:rsid w:val="00053DA8"/>
    <w:pPr>
      <w:keepNext/>
      <w:pageBreakBefore/>
      <w:numPr>
        <w:numId w:val="10"/>
      </w:numPr>
      <w:spacing w:after="120"/>
      <w:outlineLvl w:val="0"/>
    </w:pPr>
    <w:rPr>
      <w:rFonts w:ascii="Calibri" w:eastAsia="Times New Roman" w:hAnsi="Calibri" w:cs="Calibri"/>
      <w:b/>
      <w:bCs/>
      <w:caps/>
      <w:color w:val="232E83"/>
      <w:kern w:val="32"/>
      <w:sz w:val="26"/>
      <w:szCs w:val="32"/>
      <w:lang w:eastAsia="sk-SK"/>
    </w:rPr>
  </w:style>
  <w:style w:type="paragraph" w:styleId="Nadpis2">
    <w:name w:val="heading 2"/>
    <w:basedOn w:val="Normln"/>
    <w:next w:val="Normln"/>
    <w:link w:val="Nadpis2Char"/>
    <w:uiPriority w:val="9"/>
    <w:unhideWhenUsed/>
    <w:qFormat/>
    <w:rsid w:val="00053DA8"/>
    <w:pPr>
      <w:keepNext/>
      <w:keepLines/>
      <w:numPr>
        <w:ilvl w:val="1"/>
        <w:numId w:val="10"/>
      </w:numPr>
      <w:spacing w:after="120"/>
      <w:outlineLvl w:val="1"/>
    </w:pPr>
    <w:rPr>
      <w:rFonts w:ascii="Calibri" w:eastAsiaTheme="majorEastAsia" w:hAnsi="Calibri" w:cs="Calibri"/>
      <w:b/>
      <w:bCs/>
      <w:color w:val="232E83"/>
      <w:sz w:val="26"/>
      <w:szCs w:val="26"/>
      <w:lang w:eastAsia="sk-SK"/>
    </w:rPr>
  </w:style>
  <w:style w:type="paragraph" w:styleId="Nadpis3">
    <w:name w:val="heading 3"/>
    <w:basedOn w:val="Normln"/>
    <w:next w:val="Normln"/>
    <w:link w:val="Nadpis3Char"/>
    <w:uiPriority w:val="9"/>
    <w:unhideWhenUsed/>
    <w:qFormat/>
    <w:rsid w:val="00F014A1"/>
    <w:pPr>
      <w:keepNext/>
      <w:keepLines/>
      <w:numPr>
        <w:ilvl w:val="2"/>
        <w:numId w:val="10"/>
      </w:numPr>
      <w:spacing w:after="12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893CF9"/>
    <w:pPr>
      <w:keepNext/>
      <w:keepLines/>
      <w:numPr>
        <w:ilvl w:val="3"/>
        <w:numId w:val="10"/>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111433"/>
    <w:pPr>
      <w:keepNext/>
      <w:keepLines/>
      <w:numPr>
        <w:ilvl w:val="4"/>
        <w:numId w:val="10"/>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111433"/>
    <w:pPr>
      <w:keepNext/>
      <w:keepLines/>
      <w:numPr>
        <w:ilvl w:val="5"/>
        <w:numId w:val="10"/>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111433"/>
    <w:pPr>
      <w:keepNext/>
      <w:keepLines/>
      <w:numPr>
        <w:ilvl w:val="6"/>
        <w:numId w:val="10"/>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111433"/>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111433"/>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76E4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76E4D"/>
  </w:style>
  <w:style w:type="paragraph" w:styleId="Zpat">
    <w:name w:val="footer"/>
    <w:basedOn w:val="Normln"/>
    <w:link w:val="ZpatChar"/>
    <w:uiPriority w:val="99"/>
    <w:unhideWhenUsed/>
    <w:rsid w:val="00A76E4D"/>
    <w:pPr>
      <w:tabs>
        <w:tab w:val="center" w:pos="4536"/>
        <w:tab w:val="right" w:pos="9072"/>
      </w:tabs>
      <w:spacing w:after="0" w:line="240" w:lineRule="auto"/>
    </w:pPr>
  </w:style>
  <w:style w:type="character" w:customStyle="1" w:styleId="ZpatChar">
    <w:name w:val="Zápatí Char"/>
    <w:basedOn w:val="Standardnpsmoodstavce"/>
    <w:link w:val="Zpat"/>
    <w:uiPriority w:val="99"/>
    <w:rsid w:val="00A76E4D"/>
  </w:style>
  <w:style w:type="paragraph" w:styleId="Textbubliny">
    <w:name w:val="Balloon Text"/>
    <w:basedOn w:val="Normln"/>
    <w:link w:val="TextbublinyChar"/>
    <w:uiPriority w:val="99"/>
    <w:semiHidden/>
    <w:unhideWhenUsed/>
    <w:rsid w:val="00A76E4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76E4D"/>
    <w:rPr>
      <w:rFonts w:ascii="Tahoma" w:hAnsi="Tahoma" w:cs="Tahoma"/>
      <w:sz w:val="16"/>
      <w:szCs w:val="16"/>
    </w:rPr>
  </w:style>
  <w:style w:type="paragraph" w:styleId="Normlnweb">
    <w:name w:val="Normal (Web)"/>
    <w:basedOn w:val="Normln"/>
    <w:uiPriority w:val="99"/>
    <w:semiHidden/>
    <w:unhideWhenUsed/>
    <w:rsid w:val="00B33D1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5"/>
    <w:qFormat/>
    <w:rsid w:val="00BA79D2"/>
    <w:pPr>
      <w:widowControl w:val="0"/>
      <w:suppressAutoHyphens/>
      <w:spacing w:after="0" w:line="240" w:lineRule="auto"/>
      <w:ind w:left="720"/>
      <w:contextualSpacing/>
    </w:pPr>
    <w:rPr>
      <w:rFonts w:ascii="Times New Roman" w:eastAsia="Lucida Sans Unicode" w:hAnsi="Times New Roman" w:cs="Times New Roman"/>
      <w:kern w:val="1"/>
      <w:sz w:val="24"/>
      <w:szCs w:val="24"/>
    </w:rPr>
  </w:style>
  <w:style w:type="character" w:styleId="Hypertextovodkaz">
    <w:name w:val="Hyperlink"/>
    <w:basedOn w:val="Standardnpsmoodstavce"/>
    <w:uiPriority w:val="99"/>
    <w:unhideWhenUsed/>
    <w:rsid w:val="00BA79D2"/>
    <w:rPr>
      <w:color w:val="0000FF"/>
      <w:u w:val="single"/>
    </w:rPr>
  </w:style>
  <w:style w:type="character" w:customStyle="1" w:styleId="Nadpis1Char">
    <w:name w:val="Nadpis 1 Char"/>
    <w:basedOn w:val="Standardnpsmoodstavce"/>
    <w:link w:val="Nadpis1"/>
    <w:uiPriority w:val="9"/>
    <w:rsid w:val="00053DA8"/>
    <w:rPr>
      <w:rFonts w:ascii="Calibri" w:eastAsia="Times New Roman" w:hAnsi="Calibri" w:cs="Calibri"/>
      <w:b/>
      <w:bCs/>
      <w:caps/>
      <w:color w:val="232E83"/>
      <w:kern w:val="32"/>
      <w:sz w:val="26"/>
      <w:szCs w:val="32"/>
      <w:lang w:eastAsia="sk-SK"/>
    </w:rPr>
  </w:style>
  <w:style w:type="character" w:customStyle="1" w:styleId="small">
    <w:name w:val="small"/>
    <w:basedOn w:val="Standardnpsmoodstavce"/>
    <w:rsid w:val="00BA79D2"/>
  </w:style>
  <w:style w:type="paragraph" w:styleId="Nzev">
    <w:name w:val="Title"/>
    <w:basedOn w:val="Normln"/>
    <w:link w:val="NzevChar"/>
    <w:uiPriority w:val="10"/>
    <w:rsid w:val="0034096B"/>
    <w:pPr>
      <w:spacing w:after="0" w:line="240" w:lineRule="auto"/>
      <w:contextualSpacing/>
      <w:jc w:val="right"/>
    </w:pPr>
    <w:rPr>
      <w:rFonts w:eastAsiaTheme="majorEastAsia" w:cstheme="majorBidi"/>
      <w:b/>
      <w:color w:val="232E83"/>
      <w:kern w:val="28"/>
      <w:sz w:val="44"/>
      <w:szCs w:val="56"/>
      <w:lang w:eastAsia="zh-CN"/>
    </w:rPr>
  </w:style>
  <w:style w:type="character" w:customStyle="1" w:styleId="NzevChar">
    <w:name w:val="Název Char"/>
    <w:basedOn w:val="Standardnpsmoodstavce"/>
    <w:link w:val="Nzev"/>
    <w:uiPriority w:val="10"/>
    <w:rsid w:val="0034096B"/>
    <w:rPr>
      <w:rFonts w:eastAsiaTheme="majorEastAsia" w:cstheme="majorBidi"/>
      <w:b/>
      <w:color w:val="232E83"/>
      <w:kern w:val="28"/>
      <w:sz w:val="44"/>
      <w:szCs w:val="56"/>
      <w:lang w:eastAsia="zh-CN"/>
    </w:rPr>
  </w:style>
  <w:style w:type="paragraph" w:styleId="Obsah1">
    <w:name w:val="toc 1"/>
    <w:basedOn w:val="Normln"/>
    <w:next w:val="Normln"/>
    <w:autoRedefine/>
    <w:uiPriority w:val="39"/>
    <w:unhideWhenUsed/>
    <w:rsid w:val="007C30B4"/>
    <w:pPr>
      <w:tabs>
        <w:tab w:val="left" w:pos="284"/>
        <w:tab w:val="right" w:leader="dot" w:pos="10065"/>
      </w:tabs>
      <w:spacing w:before="120" w:after="0"/>
      <w:jc w:val="both"/>
    </w:pPr>
    <w:rPr>
      <w:rFonts w:ascii="Arial" w:eastAsiaTheme="minorEastAsia" w:hAnsi="Arial"/>
      <w:b/>
      <w:caps/>
      <w:noProof/>
      <w:lang w:eastAsia="zh-CN"/>
    </w:rPr>
  </w:style>
  <w:style w:type="paragraph" w:styleId="Nadpisobsahu">
    <w:name w:val="TOC Heading"/>
    <w:basedOn w:val="Nadpis1"/>
    <w:next w:val="Normln"/>
    <w:uiPriority w:val="39"/>
    <w:unhideWhenUsed/>
    <w:qFormat/>
    <w:rsid w:val="0034096B"/>
    <w:pPr>
      <w:keepLines/>
      <w:outlineLvl w:val="9"/>
    </w:pPr>
    <w:rPr>
      <w:rFonts w:asciiTheme="minorHAnsi" w:eastAsiaTheme="majorEastAsia" w:hAnsiTheme="minorHAnsi" w:cstheme="majorBidi"/>
      <w:bCs w:val="0"/>
      <w:caps w:val="0"/>
      <w:kern w:val="0"/>
    </w:rPr>
  </w:style>
  <w:style w:type="paragraph" w:customStyle="1" w:styleId="Nadpis1sl">
    <w:name w:val="Nadpis 1 čísl"/>
    <w:basedOn w:val="Nadpis1"/>
    <w:next w:val="Normln"/>
    <w:rsid w:val="001041B1"/>
    <w:pPr>
      <w:numPr>
        <w:numId w:val="1"/>
      </w:numPr>
    </w:pPr>
    <w:rPr>
      <w:rFonts w:asciiTheme="minorHAnsi" w:hAnsiTheme="minorHAnsi" w:cs="Arial"/>
      <w:caps w:val="0"/>
    </w:rPr>
  </w:style>
  <w:style w:type="paragraph" w:customStyle="1" w:styleId="Nadpis2sl">
    <w:name w:val="Nadpis 2 čísl"/>
    <w:basedOn w:val="Nadpis2"/>
    <w:next w:val="Normln"/>
    <w:rsid w:val="001041B1"/>
    <w:pPr>
      <w:numPr>
        <w:numId w:val="1"/>
      </w:numPr>
    </w:pPr>
    <w:rPr>
      <w:rFonts w:asciiTheme="minorHAnsi" w:hAnsiTheme="minorHAnsi"/>
    </w:rPr>
  </w:style>
  <w:style w:type="paragraph" w:customStyle="1" w:styleId="Nadpis3sl">
    <w:name w:val="Nadpis 3 čísl"/>
    <w:basedOn w:val="Nadpis3"/>
    <w:next w:val="Normln"/>
    <w:rsid w:val="001041B1"/>
    <w:pPr>
      <w:numPr>
        <w:numId w:val="1"/>
      </w:numPr>
      <w:ind w:left="709" w:hanging="709"/>
      <w:jc w:val="both"/>
    </w:pPr>
    <w:rPr>
      <w:rFonts w:asciiTheme="minorHAnsi" w:hAnsiTheme="minorHAnsi"/>
      <w:b w:val="0"/>
      <w:bCs w:val="0"/>
      <w:color w:val="232E83"/>
      <w:szCs w:val="24"/>
      <w:lang w:eastAsia="sk-SK"/>
    </w:rPr>
  </w:style>
  <w:style w:type="character" w:customStyle="1" w:styleId="Nadpis2Char">
    <w:name w:val="Nadpis 2 Char"/>
    <w:basedOn w:val="Standardnpsmoodstavce"/>
    <w:link w:val="Nadpis2"/>
    <w:uiPriority w:val="9"/>
    <w:rsid w:val="00053DA8"/>
    <w:rPr>
      <w:rFonts w:ascii="Calibri" w:eastAsiaTheme="majorEastAsia" w:hAnsi="Calibri" w:cs="Calibri"/>
      <w:b/>
      <w:bCs/>
      <w:color w:val="232E83"/>
      <w:sz w:val="26"/>
      <w:szCs w:val="26"/>
      <w:lang w:eastAsia="sk-SK"/>
    </w:rPr>
  </w:style>
  <w:style w:type="character" w:customStyle="1" w:styleId="Nadpis3Char">
    <w:name w:val="Nadpis 3 Char"/>
    <w:basedOn w:val="Standardnpsmoodstavce"/>
    <w:link w:val="Nadpis3"/>
    <w:uiPriority w:val="9"/>
    <w:rsid w:val="00F014A1"/>
    <w:rPr>
      <w:rFonts w:asciiTheme="majorHAnsi" w:eastAsiaTheme="majorEastAsia" w:hAnsiTheme="majorHAnsi" w:cstheme="majorBidi"/>
      <w:b/>
      <w:bCs/>
      <w:color w:val="4F81BD" w:themeColor="accent1"/>
    </w:rPr>
  </w:style>
  <w:style w:type="paragraph" w:styleId="Obsah2">
    <w:name w:val="toc 2"/>
    <w:basedOn w:val="Normln"/>
    <w:next w:val="Normln"/>
    <w:autoRedefine/>
    <w:uiPriority w:val="39"/>
    <w:unhideWhenUsed/>
    <w:rsid w:val="00830835"/>
    <w:pPr>
      <w:spacing w:after="100"/>
      <w:ind w:left="220"/>
    </w:pPr>
  </w:style>
  <w:style w:type="paragraph" w:styleId="Textpoznpodarou">
    <w:name w:val="footnote text"/>
    <w:basedOn w:val="Normln"/>
    <w:link w:val="TextpoznpodarouChar"/>
    <w:uiPriority w:val="99"/>
    <w:unhideWhenUsed/>
    <w:rsid w:val="008313CF"/>
    <w:pPr>
      <w:spacing w:after="0" w:line="240" w:lineRule="auto"/>
      <w:jc w:val="both"/>
    </w:pPr>
    <w:rPr>
      <w:rFonts w:ascii="Arial" w:eastAsia="Times New Roman" w:hAnsi="Arial" w:cs="Arial"/>
      <w:sz w:val="20"/>
      <w:szCs w:val="20"/>
      <w:lang w:eastAsia="cs-CZ"/>
    </w:rPr>
  </w:style>
  <w:style w:type="character" w:customStyle="1" w:styleId="TextpoznpodarouChar">
    <w:name w:val="Text pozn. pod čarou Char"/>
    <w:basedOn w:val="Standardnpsmoodstavce"/>
    <w:link w:val="Textpoznpodarou"/>
    <w:uiPriority w:val="99"/>
    <w:rsid w:val="008313CF"/>
    <w:rPr>
      <w:rFonts w:ascii="Arial" w:eastAsia="Times New Roman" w:hAnsi="Arial" w:cs="Arial"/>
      <w:sz w:val="20"/>
      <w:szCs w:val="20"/>
      <w:lang w:eastAsia="cs-CZ"/>
    </w:rPr>
  </w:style>
  <w:style w:type="character" w:styleId="Znakapoznpodarou">
    <w:name w:val="footnote reference"/>
    <w:aliases w:val="BVI fnr,Footnote symbol,Footnote Reference Number,PGI Fußnote Ziffer,Footnote Reference Superscript,Appel note de bas de p,Appel note de bas de page,Légende,Char Car Car Car Car,Voetnootverwijzing,Légende;Char Car Car Car Car,fr"/>
    <w:uiPriority w:val="99"/>
    <w:unhideWhenUsed/>
    <w:rsid w:val="008313CF"/>
    <w:rPr>
      <w:vertAlign w:val="superscript"/>
    </w:rPr>
  </w:style>
  <w:style w:type="character" w:styleId="Odkaznakoment">
    <w:name w:val="annotation reference"/>
    <w:uiPriority w:val="99"/>
    <w:semiHidden/>
    <w:unhideWhenUsed/>
    <w:rsid w:val="00F917C2"/>
    <w:rPr>
      <w:sz w:val="16"/>
      <w:szCs w:val="16"/>
    </w:rPr>
  </w:style>
  <w:style w:type="paragraph" w:styleId="Textkomente">
    <w:name w:val="annotation text"/>
    <w:basedOn w:val="Normln"/>
    <w:link w:val="TextkomenteChar"/>
    <w:uiPriority w:val="99"/>
    <w:semiHidden/>
    <w:unhideWhenUsed/>
    <w:rsid w:val="00F917C2"/>
    <w:pPr>
      <w:spacing w:after="0" w:line="240" w:lineRule="auto"/>
      <w:jc w:val="both"/>
    </w:pPr>
    <w:rPr>
      <w:rFonts w:ascii="Arial" w:eastAsia="Times New Roman" w:hAnsi="Arial" w:cs="Arial"/>
      <w:sz w:val="20"/>
      <w:szCs w:val="20"/>
      <w:lang w:eastAsia="cs-CZ"/>
    </w:rPr>
  </w:style>
  <w:style w:type="character" w:customStyle="1" w:styleId="TextkomenteChar">
    <w:name w:val="Text komentáře Char"/>
    <w:basedOn w:val="Standardnpsmoodstavce"/>
    <w:link w:val="Textkomente"/>
    <w:uiPriority w:val="99"/>
    <w:semiHidden/>
    <w:rsid w:val="00F917C2"/>
    <w:rPr>
      <w:rFonts w:ascii="Arial" w:eastAsia="Times New Roman" w:hAnsi="Arial" w:cs="Arial"/>
      <w:sz w:val="20"/>
      <w:szCs w:val="20"/>
      <w:lang w:eastAsia="cs-CZ"/>
    </w:rPr>
  </w:style>
  <w:style w:type="paragraph" w:styleId="Pedmtkomente">
    <w:name w:val="annotation subject"/>
    <w:basedOn w:val="Textkomente"/>
    <w:next w:val="Textkomente"/>
    <w:link w:val="PedmtkomenteChar"/>
    <w:uiPriority w:val="99"/>
    <w:semiHidden/>
    <w:unhideWhenUsed/>
    <w:rsid w:val="00327348"/>
    <w:pPr>
      <w:spacing w:after="200"/>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327348"/>
    <w:rPr>
      <w:rFonts w:ascii="Arial" w:eastAsia="Times New Roman" w:hAnsi="Arial" w:cs="Arial"/>
      <w:b/>
      <w:bCs/>
      <w:sz w:val="20"/>
      <w:szCs w:val="20"/>
      <w:lang w:eastAsia="cs-CZ"/>
    </w:rPr>
  </w:style>
  <w:style w:type="paragraph" w:styleId="Zkladntext">
    <w:name w:val="Body Text"/>
    <w:aliases w:val="Základní text Char Char Char Char Char Char"/>
    <w:basedOn w:val="Normln"/>
    <w:link w:val="ZkladntextChar"/>
    <w:rsid w:val="00E54BB7"/>
    <w:pPr>
      <w:spacing w:after="0" w:line="240" w:lineRule="auto"/>
    </w:pPr>
    <w:rPr>
      <w:rFonts w:ascii="Verdana" w:eastAsia="Times New Roman" w:hAnsi="Verdana" w:cs="Arial"/>
      <w:lang w:eastAsia="cs-CZ"/>
    </w:rPr>
  </w:style>
  <w:style w:type="character" w:customStyle="1" w:styleId="ZkladntextChar">
    <w:name w:val="Základní text Char"/>
    <w:aliases w:val="Základní text Char Char Char Char Char Char Char"/>
    <w:basedOn w:val="Standardnpsmoodstavce"/>
    <w:link w:val="Zkladntext"/>
    <w:rsid w:val="00E54BB7"/>
    <w:rPr>
      <w:rFonts w:ascii="Verdana" w:eastAsia="Times New Roman" w:hAnsi="Verdana" w:cs="Arial"/>
      <w:lang w:eastAsia="cs-CZ"/>
    </w:rPr>
  </w:style>
  <w:style w:type="table" w:styleId="Mkatabulky">
    <w:name w:val="Table Grid"/>
    <w:basedOn w:val="Normlntabulka"/>
    <w:uiPriority w:val="39"/>
    <w:rsid w:val="00733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ntext">
    <w:name w:val="Standardní text"/>
    <w:basedOn w:val="Normln"/>
    <w:link w:val="StandardntextChar"/>
    <w:qFormat/>
    <w:rsid w:val="00BD6C67"/>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4"/>
      <w:lang w:eastAsia="cs-CZ"/>
    </w:rPr>
  </w:style>
  <w:style w:type="character" w:customStyle="1" w:styleId="StandardntextChar">
    <w:name w:val="Standardní text Char"/>
    <w:link w:val="Standardntext"/>
    <w:rsid w:val="00BD6C67"/>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uiPriority w:val="9"/>
    <w:rsid w:val="00893CF9"/>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111433"/>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111433"/>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111433"/>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111433"/>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111433"/>
    <w:rPr>
      <w:rFonts w:asciiTheme="majorHAnsi" w:eastAsiaTheme="majorEastAsia" w:hAnsiTheme="majorHAnsi" w:cstheme="majorBidi"/>
      <w:i/>
      <w:iCs/>
      <w:color w:val="272727" w:themeColor="text1" w:themeTint="D8"/>
      <w:sz w:val="21"/>
      <w:szCs w:val="21"/>
    </w:rPr>
  </w:style>
  <w:style w:type="table" w:customStyle="1" w:styleId="Prosttabulka11">
    <w:name w:val="Prostá tabulka 11"/>
    <w:basedOn w:val="Normlntabulka"/>
    <w:uiPriority w:val="41"/>
    <w:rsid w:val="001C50E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ulkaseznamu3zvraznn11">
    <w:name w:val="Tabulka seznamu 3 – zvýraznění 11"/>
    <w:basedOn w:val="Normlntabulka"/>
    <w:uiPriority w:val="48"/>
    <w:rsid w:val="00893CF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Svtlmkatabulky1">
    <w:name w:val="Světlá mřížka tabulky1"/>
    <w:basedOn w:val="Normlntabulka"/>
    <w:uiPriority w:val="40"/>
    <w:rsid w:val="00893CF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ulek">
    <w:name w:val="caption"/>
    <w:basedOn w:val="Normln"/>
    <w:next w:val="Normln"/>
    <w:uiPriority w:val="35"/>
    <w:unhideWhenUsed/>
    <w:qFormat/>
    <w:rsid w:val="00C07FEB"/>
    <w:pPr>
      <w:keepNext/>
      <w:spacing w:line="240" w:lineRule="auto"/>
    </w:pPr>
    <w:rPr>
      <w:i/>
      <w:iCs/>
      <w:color w:val="1F497D" w:themeColor="text2"/>
      <w:sz w:val="20"/>
      <w:szCs w:val="20"/>
    </w:rPr>
  </w:style>
  <w:style w:type="paragraph" w:styleId="Obsah3">
    <w:name w:val="toc 3"/>
    <w:basedOn w:val="Normln"/>
    <w:next w:val="Normln"/>
    <w:autoRedefine/>
    <w:uiPriority w:val="39"/>
    <w:unhideWhenUsed/>
    <w:rsid w:val="00AA51E9"/>
    <w:pPr>
      <w:spacing w:after="100"/>
      <w:ind w:left="440"/>
    </w:pPr>
  </w:style>
  <w:style w:type="table" w:customStyle="1" w:styleId="Prosttabulka41">
    <w:name w:val="Prostá tabulka 41"/>
    <w:basedOn w:val="Normlntabulka"/>
    <w:uiPriority w:val="44"/>
    <w:rsid w:val="00956A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ledovanodkaz">
    <w:name w:val="FollowedHyperlink"/>
    <w:basedOn w:val="Standardnpsmoodstavce"/>
    <w:uiPriority w:val="99"/>
    <w:semiHidden/>
    <w:unhideWhenUsed/>
    <w:rsid w:val="00AE0A2F"/>
    <w:rPr>
      <w:color w:val="800080" w:themeColor="followedHyperlink"/>
      <w:u w:val="single"/>
    </w:rPr>
  </w:style>
  <w:style w:type="table" w:customStyle="1" w:styleId="Tabulkasmkou2zvraznn11">
    <w:name w:val="Tabulka s mřížkou 2 – zvýraznění 11"/>
    <w:basedOn w:val="Normlntabulka"/>
    <w:uiPriority w:val="47"/>
    <w:rsid w:val="006959B4"/>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Prosttabulka110">
    <w:name w:val="Prostá tabulka 11"/>
    <w:basedOn w:val="Normlntabulka"/>
    <w:next w:val="Prosttabulka11"/>
    <w:uiPriority w:val="41"/>
    <w:rsid w:val="00894814"/>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rosttabulka111">
    <w:name w:val="Prostá tabulka 111"/>
    <w:basedOn w:val="Normlntabulka"/>
    <w:next w:val="Prosttabulka11"/>
    <w:uiPriority w:val="41"/>
    <w:rsid w:val="002A7205"/>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Seznamobrzk">
    <w:name w:val="table of figures"/>
    <w:basedOn w:val="Normln"/>
    <w:next w:val="Normln"/>
    <w:uiPriority w:val="99"/>
    <w:unhideWhenUsed/>
    <w:rsid w:val="00E4631B"/>
    <w:pPr>
      <w:spacing w:after="0"/>
    </w:pPr>
  </w:style>
  <w:style w:type="table" w:customStyle="1" w:styleId="Prosttabulka112">
    <w:name w:val="Prostá tabulka 112"/>
    <w:basedOn w:val="Normlntabulka"/>
    <w:uiPriority w:val="41"/>
    <w:rsid w:val="003D3BEB"/>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rosttabulka113">
    <w:name w:val="Prostá tabulka 113"/>
    <w:basedOn w:val="Normlntabulka"/>
    <w:uiPriority w:val="41"/>
    <w:rsid w:val="003D3BEB"/>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rosttabulka114">
    <w:name w:val="Prostá tabulka 114"/>
    <w:basedOn w:val="Normlntabulka"/>
    <w:uiPriority w:val="41"/>
    <w:rsid w:val="003D3BEB"/>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rosttabulka115">
    <w:name w:val="Prostá tabulka 115"/>
    <w:basedOn w:val="Normlntabulka"/>
    <w:uiPriority w:val="41"/>
    <w:rsid w:val="003D3BEB"/>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Svtlmkatabulky11">
    <w:name w:val="Světlá mřížka tabulky11"/>
    <w:basedOn w:val="Normlntabulka"/>
    <w:uiPriority w:val="40"/>
    <w:rsid w:val="003D3BE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rosttabulka116">
    <w:name w:val="Prostá tabulka 116"/>
    <w:basedOn w:val="Normlntabulka"/>
    <w:uiPriority w:val="41"/>
    <w:rsid w:val="003D3BEB"/>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Svtlmkatabulky12">
    <w:name w:val="Světlá mřížka tabulky12"/>
    <w:basedOn w:val="Normlntabulka"/>
    <w:uiPriority w:val="40"/>
    <w:rsid w:val="003D3BE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lid-translation">
    <w:name w:val="tlid-translation"/>
    <w:basedOn w:val="Standardnpsmoodstavce"/>
    <w:rsid w:val="00496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7706">
      <w:bodyDiv w:val="1"/>
      <w:marLeft w:val="0"/>
      <w:marRight w:val="0"/>
      <w:marTop w:val="0"/>
      <w:marBottom w:val="0"/>
      <w:divBdr>
        <w:top w:val="none" w:sz="0" w:space="0" w:color="auto"/>
        <w:left w:val="none" w:sz="0" w:space="0" w:color="auto"/>
        <w:bottom w:val="none" w:sz="0" w:space="0" w:color="auto"/>
        <w:right w:val="none" w:sz="0" w:space="0" w:color="auto"/>
      </w:divBdr>
    </w:div>
    <w:div w:id="116267992">
      <w:bodyDiv w:val="1"/>
      <w:marLeft w:val="0"/>
      <w:marRight w:val="0"/>
      <w:marTop w:val="0"/>
      <w:marBottom w:val="0"/>
      <w:divBdr>
        <w:top w:val="none" w:sz="0" w:space="0" w:color="auto"/>
        <w:left w:val="none" w:sz="0" w:space="0" w:color="auto"/>
        <w:bottom w:val="none" w:sz="0" w:space="0" w:color="auto"/>
        <w:right w:val="none" w:sz="0" w:space="0" w:color="auto"/>
      </w:divBdr>
    </w:div>
    <w:div w:id="172884189">
      <w:bodyDiv w:val="1"/>
      <w:marLeft w:val="0"/>
      <w:marRight w:val="0"/>
      <w:marTop w:val="0"/>
      <w:marBottom w:val="0"/>
      <w:divBdr>
        <w:top w:val="none" w:sz="0" w:space="0" w:color="auto"/>
        <w:left w:val="none" w:sz="0" w:space="0" w:color="auto"/>
        <w:bottom w:val="none" w:sz="0" w:space="0" w:color="auto"/>
        <w:right w:val="none" w:sz="0" w:space="0" w:color="auto"/>
      </w:divBdr>
    </w:div>
    <w:div w:id="225342043">
      <w:bodyDiv w:val="1"/>
      <w:marLeft w:val="0"/>
      <w:marRight w:val="0"/>
      <w:marTop w:val="0"/>
      <w:marBottom w:val="0"/>
      <w:divBdr>
        <w:top w:val="none" w:sz="0" w:space="0" w:color="auto"/>
        <w:left w:val="none" w:sz="0" w:space="0" w:color="auto"/>
        <w:bottom w:val="none" w:sz="0" w:space="0" w:color="auto"/>
        <w:right w:val="none" w:sz="0" w:space="0" w:color="auto"/>
      </w:divBdr>
    </w:div>
    <w:div w:id="240799338">
      <w:bodyDiv w:val="1"/>
      <w:marLeft w:val="0"/>
      <w:marRight w:val="0"/>
      <w:marTop w:val="0"/>
      <w:marBottom w:val="0"/>
      <w:divBdr>
        <w:top w:val="none" w:sz="0" w:space="0" w:color="auto"/>
        <w:left w:val="none" w:sz="0" w:space="0" w:color="auto"/>
        <w:bottom w:val="none" w:sz="0" w:space="0" w:color="auto"/>
        <w:right w:val="none" w:sz="0" w:space="0" w:color="auto"/>
      </w:divBdr>
    </w:div>
    <w:div w:id="242766668">
      <w:bodyDiv w:val="1"/>
      <w:marLeft w:val="0"/>
      <w:marRight w:val="0"/>
      <w:marTop w:val="0"/>
      <w:marBottom w:val="0"/>
      <w:divBdr>
        <w:top w:val="none" w:sz="0" w:space="0" w:color="auto"/>
        <w:left w:val="none" w:sz="0" w:space="0" w:color="auto"/>
        <w:bottom w:val="none" w:sz="0" w:space="0" w:color="auto"/>
        <w:right w:val="none" w:sz="0" w:space="0" w:color="auto"/>
      </w:divBdr>
    </w:div>
    <w:div w:id="272325498">
      <w:bodyDiv w:val="1"/>
      <w:marLeft w:val="0"/>
      <w:marRight w:val="0"/>
      <w:marTop w:val="0"/>
      <w:marBottom w:val="0"/>
      <w:divBdr>
        <w:top w:val="none" w:sz="0" w:space="0" w:color="auto"/>
        <w:left w:val="none" w:sz="0" w:space="0" w:color="auto"/>
        <w:bottom w:val="none" w:sz="0" w:space="0" w:color="auto"/>
        <w:right w:val="none" w:sz="0" w:space="0" w:color="auto"/>
      </w:divBdr>
      <w:divsChild>
        <w:div w:id="1542092486">
          <w:marLeft w:val="576"/>
          <w:marRight w:val="0"/>
          <w:marTop w:val="0"/>
          <w:marBottom w:val="0"/>
          <w:divBdr>
            <w:top w:val="none" w:sz="0" w:space="0" w:color="auto"/>
            <w:left w:val="none" w:sz="0" w:space="0" w:color="auto"/>
            <w:bottom w:val="none" w:sz="0" w:space="0" w:color="auto"/>
            <w:right w:val="none" w:sz="0" w:space="0" w:color="auto"/>
          </w:divBdr>
        </w:div>
        <w:div w:id="134445765">
          <w:marLeft w:val="576"/>
          <w:marRight w:val="0"/>
          <w:marTop w:val="0"/>
          <w:marBottom w:val="0"/>
          <w:divBdr>
            <w:top w:val="none" w:sz="0" w:space="0" w:color="auto"/>
            <w:left w:val="none" w:sz="0" w:space="0" w:color="auto"/>
            <w:bottom w:val="none" w:sz="0" w:space="0" w:color="auto"/>
            <w:right w:val="none" w:sz="0" w:space="0" w:color="auto"/>
          </w:divBdr>
        </w:div>
        <w:div w:id="68771483">
          <w:marLeft w:val="576"/>
          <w:marRight w:val="0"/>
          <w:marTop w:val="0"/>
          <w:marBottom w:val="0"/>
          <w:divBdr>
            <w:top w:val="none" w:sz="0" w:space="0" w:color="auto"/>
            <w:left w:val="none" w:sz="0" w:space="0" w:color="auto"/>
            <w:bottom w:val="none" w:sz="0" w:space="0" w:color="auto"/>
            <w:right w:val="none" w:sz="0" w:space="0" w:color="auto"/>
          </w:divBdr>
        </w:div>
      </w:divsChild>
    </w:div>
    <w:div w:id="337469428">
      <w:bodyDiv w:val="1"/>
      <w:marLeft w:val="0"/>
      <w:marRight w:val="0"/>
      <w:marTop w:val="0"/>
      <w:marBottom w:val="0"/>
      <w:divBdr>
        <w:top w:val="none" w:sz="0" w:space="0" w:color="auto"/>
        <w:left w:val="none" w:sz="0" w:space="0" w:color="auto"/>
        <w:bottom w:val="none" w:sz="0" w:space="0" w:color="auto"/>
        <w:right w:val="none" w:sz="0" w:space="0" w:color="auto"/>
      </w:divBdr>
    </w:div>
    <w:div w:id="353117123">
      <w:bodyDiv w:val="1"/>
      <w:marLeft w:val="0"/>
      <w:marRight w:val="0"/>
      <w:marTop w:val="0"/>
      <w:marBottom w:val="0"/>
      <w:divBdr>
        <w:top w:val="none" w:sz="0" w:space="0" w:color="auto"/>
        <w:left w:val="none" w:sz="0" w:space="0" w:color="auto"/>
        <w:bottom w:val="none" w:sz="0" w:space="0" w:color="auto"/>
        <w:right w:val="none" w:sz="0" w:space="0" w:color="auto"/>
      </w:divBdr>
    </w:div>
    <w:div w:id="447550725">
      <w:bodyDiv w:val="1"/>
      <w:marLeft w:val="0"/>
      <w:marRight w:val="0"/>
      <w:marTop w:val="0"/>
      <w:marBottom w:val="0"/>
      <w:divBdr>
        <w:top w:val="none" w:sz="0" w:space="0" w:color="auto"/>
        <w:left w:val="none" w:sz="0" w:space="0" w:color="auto"/>
        <w:bottom w:val="none" w:sz="0" w:space="0" w:color="auto"/>
        <w:right w:val="none" w:sz="0" w:space="0" w:color="auto"/>
      </w:divBdr>
    </w:div>
    <w:div w:id="450973574">
      <w:bodyDiv w:val="1"/>
      <w:marLeft w:val="0"/>
      <w:marRight w:val="0"/>
      <w:marTop w:val="0"/>
      <w:marBottom w:val="0"/>
      <w:divBdr>
        <w:top w:val="none" w:sz="0" w:space="0" w:color="auto"/>
        <w:left w:val="none" w:sz="0" w:space="0" w:color="auto"/>
        <w:bottom w:val="none" w:sz="0" w:space="0" w:color="auto"/>
        <w:right w:val="none" w:sz="0" w:space="0" w:color="auto"/>
      </w:divBdr>
    </w:div>
    <w:div w:id="517626622">
      <w:bodyDiv w:val="1"/>
      <w:marLeft w:val="0"/>
      <w:marRight w:val="0"/>
      <w:marTop w:val="0"/>
      <w:marBottom w:val="0"/>
      <w:divBdr>
        <w:top w:val="none" w:sz="0" w:space="0" w:color="auto"/>
        <w:left w:val="none" w:sz="0" w:space="0" w:color="auto"/>
        <w:bottom w:val="none" w:sz="0" w:space="0" w:color="auto"/>
        <w:right w:val="none" w:sz="0" w:space="0" w:color="auto"/>
      </w:divBdr>
    </w:div>
    <w:div w:id="600989766">
      <w:bodyDiv w:val="1"/>
      <w:marLeft w:val="0"/>
      <w:marRight w:val="0"/>
      <w:marTop w:val="0"/>
      <w:marBottom w:val="0"/>
      <w:divBdr>
        <w:top w:val="none" w:sz="0" w:space="0" w:color="auto"/>
        <w:left w:val="none" w:sz="0" w:space="0" w:color="auto"/>
        <w:bottom w:val="none" w:sz="0" w:space="0" w:color="auto"/>
        <w:right w:val="none" w:sz="0" w:space="0" w:color="auto"/>
      </w:divBdr>
    </w:div>
    <w:div w:id="608318406">
      <w:bodyDiv w:val="1"/>
      <w:marLeft w:val="0"/>
      <w:marRight w:val="0"/>
      <w:marTop w:val="0"/>
      <w:marBottom w:val="0"/>
      <w:divBdr>
        <w:top w:val="none" w:sz="0" w:space="0" w:color="auto"/>
        <w:left w:val="none" w:sz="0" w:space="0" w:color="auto"/>
        <w:bottom w:val="none" w:sz="0" w:space="0" w:color="auto"/>
        <w:right w:val="none" w:sz="0" w:space="0" w:color="auto"/>
      </w:divBdr>
    </w:div>
    <w:div w:id="669648397">
      <w:bodyDiv w:val="1"/>
      <w:marLeft w:val="0"/>
      <w:marRight w:val="0"/>
      <w:marTop w:val="0"/>
      <w:marBottom w:val="0"/>
      <w:divBdr>
        <w:top w:val="none" w:sz="0" w:space="0" w:color="auto"/>
        <w:left w:val="none" w:sz="0" w:space="0" w:color="auto"/>
        <w:bottom w:val="none" w:sz="0" w:space="0" w:color="auto"/>
        <w:right w:val="none" w:sz="0" w:space="0" w:color="auto"/>
      </w:divBdr>
    </w:div>
    <w:div w:id="758795813">
      <w:bodyDiv w:val="1"/>
      <w:marLeft w:val="0"/>
      <w:marRight w:val="0"/>
      <w:marTop w:val="0"/>
      <w:marBottom w:val="0"/>
      <w:divBdr>
        <w:top w:val="none" w:sz="0" w:space="0" w:color="auto"/>
        <w:left w:val="none" w:sz="0" w:space="0" w:color="auto"/>
        <w:bottom w:val="none" w:sz="0" w:space="0" w:color="auto"/>
        <w:right w:val="none" w:sz="0" w:space="0" w:color="auto"/>
      </w:divBdr>
    </w:div>
    <w:div w:id="766539556">
      <w:bodyDiv w:val="1"/>
      <w:marLeft w:val="0"/>
      <w:marRight w:val="0"/>
      <w:marTop w:val="0"/>
      <w:marBottom w:val="0"/>
      <w:divBdr>
        <w:top w:val="none" w:sz="0" w:space="0" w:color="auto"/>
        <w:left w:val="none" w:sz="0" w:space="0" w:color="auto"/>
        <w:bottom w:val="none" w:sz="0" w:space="0" w:color="auto"/>
        <w:right w:val="none" w:sz="0" w:space="0" w:color="auto"/>
      </w:divBdr>
      <w:divsChild>
        <w:div w:id="2015834223">
          <w:marLeft w:val="576"/>
          <w:marRight w:val="0"/>
          <w:marTop w:val="0"/>
          <w:marBottom w:val="0"/>
          <w:divBdr>
            <w:top w:val="none" w:sz="0" w:space="0" w:color="auto"/>
            <w:left w:val="none" w:sz="0" w:space="0" w:color="auto"/>
            <w:bottom w:val="none" w:sz="0" w:space="0" w:color="auto"/>
            <w:right w:val="none" w:sz="0" w:space="0" w:color="auto"/>
          </w:divBdr>
        </w:div>
      </w:divsChild>
    </w:div>
    <w:div w:id="777026146">
      <w:bodyDiv w:val="1"/>
      <w:marLeft w:val="0"/>
      <w:marRight w:val="0"/>
      <w:marTop w:val="0"/>
      <w:marBottom w:val="0"/>
      <w:divBdr>
        <w:top w:val="none" w:sz="0" w:space="0" w:color="auto"/>
        <w:left w:val="none" w:sz="0" w:space="0" w:color="auto"/>
        <w:bottom w:val="none" w:sz="0" w:space="0" w:color="auto"/>
        <w:right w:val="none" w:sz="0" w:space="0" w:color="auto"/>
      </w:divBdr>
    </w:div>
    <w:div w:id="839852572">
      <w:bodyDiv w:val="1"/>
      <w:marLeft w:val="0"/>
      <w:marRight w:val="0"/>
      <w:marTop w:val="0"/>
      <w:marBottom w:val="0"/>
      <w:divBdr>
        <w:top w:val="none" w:sz="0" w:space="0" w:color="auto"/>
        <w:left w:val="none" w:sz="0" w:space="0" w:color="auto"/>
        <w:bottom w:val="none" w:sz="0" w:space="0" w:color="auto"/>
        <w:right w:val="none" w:sz="0" w:space="0" w:color="auto"/>
      </w:divBdr>
    </w:div>
    <w:div w:id="1022632990">
      <w:bodyDiv w:val="1"/>
      <w:marLeft w:val="0"/>
      <w:marRight w:val="0"/>
      <w:marTop w:val="0"/>
      <w:marBottom w:val="0"/>
      <w:divBdr>
        <w:top w:val="none" w:sz="0" w:space="0" w:color="auto"/>
        <w:left w:val="none" w:sz="0" w:space="0" w:color="auto"/>
        <w:bottom w:val="none" w:sz="0" w:space="0" w:color="auto"/>
        <w:right w:val="none" w:sz="0" w:space="0" w:color="auto"/>
      </w:divBdr>
    </w:div>
    <w:div w:id="1114322429">
      <w:bodyDiv w:val="1"/>
      <w:marLeft w:val="0"/>
      <w:marRight w:val="0"/>
      <w:marTop w:val="0"/>
      <w:marBottom w:val="0"/>
      <w:divBdr>
        <w:top w:val="none" w:sz="0" w:space="0" w:color="auto"/>
        <w:left w:val="none" w:sz="0" w:space="0" w:color="auto"/>
        <w:bottom w:val="none" w:sz="0" w:space="0" w:color="auto"/>
        <w:right w:val="none" w:sz="0" w:space="0" w:color="auto"/>
      </w:divBdr>
    </w:div>
    <w:div w:id="1118060578">
      <w:bodyDiv w:val="1"/>
      <w:marLeft w:val="0"/>
      <w:marRight w:val="0"/>
      <w:marTop w:val="0"/>
      <w:marBottom w:val="0"/>
      <w:divBdr>
        <w:top w:val="none" w:sz="0" w:space="0" w:color="auto"/>
        <w:left w:val="none" w:sz="0" w:space="0" w:color="auto"/>
        <w:bottom w:val="none" w:sz="0" w:space="0" w:color="auto"/>
        <w:right w:val="none" w:sz="0" w:space="0" w:color="auto"/>
      </w:divBdr>
    </w:div>
    <w:div w:id="1124733556">
      <w:bodyDiv w:val="1"/>
      <w:marLeft w:val="0"/>
      <w:marRight w:val="0"/>
      <w:marTop w:val="0"/>
      <w:marBottom w:val="0"/>
      <w:divBdr>
        <w:top w:val="none" w:sz="0" w:space="0" w:color="auto"/>
        <w:left w:val="none" w:sz="0" w:space="0" w:color="auto"/>
        <w:bottom w:val="none" w:sz="0" w:space="0" w:color="auto"/>
        <w:right w:val="none" w:sz="0" w:space="0" w:color="auto"/>
      </w:divBdr>
    </w:div>
    <w:div w:id="1153065276">
      <w:bodyDiv w:val="1"/>
      <w:marLeft w:val="0"/>
      <w:marRight w:val="0"/>
      <w:marTop w:val="0"/>
      <w:marBottom w:val="0"/>
      <w:divBdr>
        <w:top w:val="none" w:sz="0" w:space="0" w:color="auto"/>
        <w:left w:val="none" w:sz="0" w:space="0" w:color="auto"/>
        <w:bottom w:val="none" w:sz="0" w:space="0" w:color="auto"/>
        <w:right w:val="none" w:sz="0" w:space="0" w:color="auto"/>
      </w:divBdr>
    </w:div>
    <w:div w:id="1167942119">
      <w:bodyDiv w:val="1"/>
      <w:marLeft w:val="0"/>
      <w:marRight w:val="0"/>
      <w:marTop w:val="0"/>
      <w:marBottom w:val="0"/>
      <w:divBdr>
        <w:top w:val="none" w:sz="0" w:space="0" w:color="auto"/>
        <w:left w:val="none" w:sz="0" w:space="0" w:color="auto"/>
        <w:bottom w:val="none" w:sz="0" w:space="0" w:color="auto"/>
        <w:right w:val="none" w:sz="0" w:space="0" w:color="auto"/>
      </w:divBdr>
    </w:div>
    <w:div w:id="1240560946">
      <w:bodyDiv w:val="1"/>
      <w:marLeft w:val="0"/>
      <w:marRight w:val="0"/>
      <w:marTop w:val="0"/>
      <w:marBottom w:val="0"/>
      <w:divBdr>
        <w:top w:val="none" w:sz="0" w:space="0" w:color="auto"/>
        <w:left w:val="none" w:sz="0" w:space="0" w:color="auto"/>
        <w:bottom w:val="none" w:sz="0" w:space="0" w:color="auto"/>
        <w:right w:val="none" w:sz="0" w:space="0" w:color="auto"/>
      </w:divBdr>
    </w:div>
    <w:div w:id="1293366621">
      <w:bodyDiv w:val="1"/>
      <w:marLeft w:val="0"/>
      <w:marRight w:val="0"/>
      <w:marTop w:val="0"/>
      <w:marBottom w:val="0"/>
      <w:divBdr>
        <w:top w:val="none" w:sz="0" w:space="0" w:color="auto"/>
        <w:left w:val="none" w:sz="0" w:space="0" w:color="auto"/>
        <w:bottom w:val="none" w:sz="0" w:space="0" w:color="auto"/>
        <w:right w:val="none" w:sz="0" w:space="0" w:color="auto"/>
      </w:divBdr>
    </w:div>
    <w:div w:id="1301230225">
      <w:bodyDiv w:val="1"/>
      <w:marLeft w:val="0"/>
      <w:marRight w:val="0"/>
      <w:marTop w:val="0"/>
      <w:marBottom w:val="0"/>
      <w:divBdr>
        <w:top w:val="none" w:sz="0" w:space="0" w:color="auto"/>
        <w:left w:val="none" w:sz="0" w:space="0" w:color="auto"/>
        <w:bottom w:val="none" w:sz="0" w:space="0" w:color="auto"/>
        <w:right w:val="none" w:sz="0" w:space="0" w:color="auto"/>
      </w:divBdr>
      <w:divsChild>
        <w:div w:id="845942920">
          <w:marLeft w:val="576"/>
          <w:marRight w:val="0"/>
          <w:marTop w:val="0"/>
          <w:marBottom w:val="0"/>
          <w:divBdr>
            <w:top w:val="none" w:sz="0" w:space="0" w:color="auto"/>
            <w:left w:val="none" w:sz="0" w:space="0" w:color="auto"/>
            <w:bottom w:val="none" w:sz="0" w:space="0" w:color="auto"/>
            <w:right w:val="none" w:sz="0" w:space="0" w:color="auto"/>
          </w:divBdr>
        </w:div>
      </w:divsChild>
    </w:div>
    <w:div w:id="1349331537">
      <w:bodyDiv w:val="1"/>
      <w:marLeft w:val="0"/>
      <w:marRight w:val="0"/>
      <w:marTop w:val="0"/>
      <w:marBottom w:val="0"/>
      <w:divBdr>
        <w:top w:val="none" w:sz="0" w:space="0" w:color="auto"/>
        <w:left w:val="none" w:sz="0" w:space="0" w:color="auto"/>
        <w:bottom w:val="none" w:sz="0" w:space="0" w:color="auto"/>
        <w:right w:val="none" w:sz="0" w:space="0" w:color="auto"/>
      </w:divBdr>
    </w:div>
    <w:div w:id="1464999733">
      <w:bodyDiv w:val="1"/>
      <w:marLeft w:val="0"/>
      <w:marRight w:val="0"/>
      <w:marTop w:val="0"/>
      <w:marBottom w:val="0"/>
      <w:divBdr>
        <w:top w:val="none" w:sz="0" w:space="0" w:color="auto"/>
        <w:left w:val="none" w:sz="0" w:space="0" w:color="auto"/>
        <w:bottom w:val="none" w:sz="0" w:space="0" w:color="auto"/>
        <w:right w:val="none" w:sz="0" w:space="0" w:color="auto"/>
      </w:divBdr>
    </w:div>
    <w:div w:id="1504006244">
      <w:bodyDiv w:val="1"/>
      <w:marLeft w:val="0"/>
      <w:marRight w:val="0"/>
      <w:marTop w:val="0"/>
      <w:marBottom w:val="0"/>
      <w:divBdr>
        <w:top w:val="none" w:sz="0" w:space="0" w:color="auto"/>
        <w:left w:val="none" w:sz="0" w:space="0" w:color="auto"/>
        <w:bottom w:val="none" w:sz="0" w:space="0" w:color="auto"/>
        <w:right w:val="none" w:sz="0" w:space="0" w:color="auto"/>
      </w:divBdr>
    </w:div>
    <w:div w:id="1504198465">
      <w:bodyDiv w:val="1"/>
      <w:marLeft w:val="0"/>
      <w:marRight w:val="0"/>
      <w:marTop w:val="0"/>
      <w:marBottom w:val="0"/>
      <w:divBdr>
        <w:top w:val="none" w:sz="0" w:space="0" w:color="auto"/>
        <w:left w:val="none" w:sz="0" w:space="0" w:color="auto"/>
        <w:bottom w:val="none" w:sz="0" w:space="0" w:color="auto"/>
        <w:right w:val="none" w:sz="0" w:space="0" w:color="auto"/>
      </w:divBdr>
    </w:div>
    <w:div w:id="1578978194">
      <w:bodyDiv w:val="1"/>
      <w:marLeft w:val="0"/>
      <w:marRight w:val="0"/>
      <w:marTop w:val="0"/>
      <w:marBottom w:val="0"/>
      <w:divBdr>
        <w:top w:val="none" w:sz="0" w:space="0" w:color="auto"/>
        <w:left w:val="none" w:sz="0" w:space="0" w:color="auto"/>
        <w:bottom w:val="none" w:sz="0" w:space="0" w:color="auto"/>
        <w:right w:val="none" w:sz="0" w:space="0" w:color="auto"/>
      </w:divBdr>
    </w:div>
    <w:div w:id="1655446472">
      <w:bodyDiv w:val="1"/>
      <w:marLeft w:val="0"/>
      <w:marRight w:val="0"/>
      <w:marTop w:val="0"/>
      <w:marBottom w:val="0"/>
      <w:divBdr>
        <w:top w:val="none" w:sz="0" w:space="0" w:color="auto"/>
        <w:left w:val="none" w:sz="0" w:space="0" w:color="auto"/>
        <w:bottom w:val="none" w:sz="0" w:space="0" w:color="auto"/>
        <w:right w:val="none" w:sz="0" w:space="0" w:color="auto"/>
      </w:divBdr>
    </w:div>
    <w:div w:id="1658261073">
      <w:bodyDiv w:val="1"/>
      <w:marLeft w:val="0"/>
      <w:marRight w:val="0"/>
      <w:marTop w:val="0"/>
      <w:marBottom w:val="0"/>
      <w:divBdr>
        <w:top w:val="none" w:sz="0" w:space="0" w:color="auto"/>
        <w:left w:val="none" w:sz="0" w:space="0" w:color="auto"/>
        <w:bottom w:val="none" w:sz="0" w:space="0" w:color="auto"/>
        <w:right w:val="none" w:sz="0" w:space="0" w:color="auto"/>
      </w:divBdr>
      <w:divsChild>
        <w:div w:id="353074147">
          <w:marLeft w:val="576"/>
          <w:marRight w:val="0"/>
          <w:marTop w:val="0"/>
          <w:marBottom w:val="0"/>
          <w:divBdr>
            <w:top w:val="none" w:sz="0" w:space="0" w:color="auto"/>
            <w:left w:val="none" w:sz="0" w:space="0" w:color="auto"/>
            <w:bottom w:val="none" w:sz="0" w:space="0" w:color="auto"/>
            <w:right w:val="none" w:sz="0" w:space="0" w:color="auto"/>
          </w:divBdr>
        </w:div>
      </w:divsChild>
    </w:div>
    <w:div w:id="1799638795">
      <w:bodyDiv w:val="1"/>
      <w:marLeft w:val="0"/>
      <w:marRight w:val="0"/>
      <w:marTop w:val="0"/>
      <w:marBottom w:val="0"/>
      <w:divBdr>
        <w:top w:val="none" w:sz="0" w:space="0" w:color="auto"/>
        <w:left w:val="none" w:sz="0" w:space="0" w:color="auto"/>
        <w:bottom w:val="none" w:sz="0" w:space="0" w:color="auto"/>
        <w:right w:val="none" w:sz="0" w:space="0" w:color="auto"/>
      </w:divBdr>
      <w:divsChild>
        <w:div w:id="1664773627">
          <w:marLeft w:val="0"/>
          <w:marRight w:val="0"/>
          <w:marTop w:val="0"/>
          <w:marBottom w:val="0"/>
          <w:divBdr>
            <w:top w:val="none" w:sz="0" w:space="0" w:color="auto"/>
            <w:left w:val="none" w:sz="0" w:space="0" w:color="auto"/>
            <w:bottom w:val="none" w:sz="0" w:space="0" w:color="auto"/>
            <w:right w:val="none" w:sz="0" w:space="0" w:color="auto"/>
          </w:divBdr>
        </w:div>
      </w:divsChild>
    </w:div>
    <w:div w:id="180161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ace.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fc.c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pef.cz" TargetMode="External"/><Relationship Id="rId4" Type="http://schemas.openxmlformats.org/officeDocument/2006/relationships/settings" Target="settings.xml"/><Relationship Id="rId9" Type="http://schemas.openxmlformats.org/officeDocument/2006/relationships/hyperlink" Target="http://www.mpo.cz"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8599D-9829-4DC5-A745-39F6DFBCB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FC72BE8E.dotm</Template>
  <TotalTime>10</TotalTime>
  <Pages>12</Pages>
  <Words>3304</Words>
  <Characters>19497</Characters>
  <Application>Microsoft Office Word</Application>
  <DocSecurity>0</DocSecurity>
  <Lines>162</Lines>
  <Paragraphs>45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kucera</dc:creator>
  <cp:keywords/>
  <dc:description/>
  <cp:lastModifiedBy>Václav Špetlík</cp:lastModifiedBy>
  <cp:revision>6</cp:revision>
  <cp:lastPrinted>2019-01-21T16:51:00Z</cp:lastPrinted>
  <dcterms:created xsi:type="dcterms:W3CDTF">2019-02-19T07:54:00Z</dcterms:created>
  <dcterms:modified xsi:type="dcterms:W3CDTF">2019-02-19T15:13:00Z</dcterms:modified>
</cp:coreProperties>
</file>