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04" w:rsidRPr="00B66DFB" w:rsidRDefault="00E31204" w:rsidP="00E31204">
      <w:pPr>
        <w:pStyle w:val="Nadpis2"/>
        <w:numPr>
          <w:ilvl w:val="0"/>
          <w:numId w:val="0"/>
        </w:numPr>
      </w:pPr>
      <w:r w:rsidRPr="00B66DFB">
        <w:t xml:space="preserve">Příloha </w:t>
      </w:r>
      <w:r w:rsidR="0010695D" w:rsidRPr="00B66DFB">
        <w:t>8</w:t>
      </w:r>
      <w:r w:rsidRPr="00B66DFB">
        <w:t xml:space="preserve">: </w:t>
      </w:r>
      <w:r w:rsidR="00E13E54" w:rsidRPr="00B66DFB">
        <w:t>Metodika kontrafaktuální analýzy</w:t>
      </w:r>
    </w:p>
    <w:p w:rsidR="00E31204" w:rsidRPr="00B66DFB" w:rsidRDefault="00E31204">
      <w:pPr>
        <w:rPr>
          <w:rFonts w:cstheme="minorHAnsi"/>
        </w:rPr>
      </w:pPr>
    </w:p>
    <w:p w:rsidR="00023E71" w:rsidRPr="00B66DFB" w:rsidRDefault="00023E71" w:rsidP="00023E71">
      <w:pPr>
        <w:pStyle w:val="Nadpis3"/>
      </w:pPr>
      <w:r w:rsidRPr="00B66DFB">
        <w:t xml:space="preserve">Metodika realizace </w:t>
      </w:r>
      <w:bookmarkStart w:id="0" w:name="_GoBack"/>
      <w:bookmarkEnd w:id="0"/>
      <w:r w:rsidRPr="00B66DFB">
        <w:t>kontrafaktuální analýzy pro potřeby evaluační otázky 4</w:t>
      </w:r>
    </w:p>
    <w:p w:rsidR="00023E71" w:rsidRPr="00B66DFB" w:rsidRDefault="00023E71" w:rsidP="00E13E54">
      <w:pPr>
        <w:spacing w:after="0" w:line="276" w:lineRule="auto"/>
        <w:rPr>
          <w:rFonts w:ascii="Calibri" w:eastAsia="Calibri" w:hAnsi="Calibri" w:cs="Times New Roman"/>
          <w:b/>
        </w:rPr>
      </w:pPr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  <w:b/>
        </w:rPr>
      </w:pPr>
      <w:r w:rsidRPr="00B66DFB">
        <w:rPr>
          <w:rFonts w:ascii="Calibri" w:eastAsia="Calibri" w:hAnsi="Calibri" w:cs="Times New Roman"/>
          <w:b/>
        </w:rPr>
        <w:t>Párování pomocí propensity skóre</w:t>
      </w:r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Calibri" w:hAnsi="Calibri" w:cs="Times New Roman"/>
        </w:rPr>
        <w:t xml:space="preserve">Pro konstrukci kontrolního vzorku jsme pro PP Technologie použili tři postupy: </w:t>
      </w:r>
    </w:p>
    <w:p w:rsidR="00E13E54" w:rsidRPr="00B66DFB" w:rsidRDefault="00E13E54" w:rsidP="00E13E54">
      <w:pPr>
        <w:numPr>
          <w:ilvl w:val="0"/>
          <w:numId w:val="5"/>
        </w:numPr>
        <w:spacing w:after="0" w:line="276" w:lineRule="auto"/>
        <w:contextualSpacing/>
        <w:rPr>
          <w:rFonts w:ascii="Calibri" w:eastAsia="Lucida Sans Unicode" w:hAnsi="Calibri" w:cs="Calibri"/>
          <w:kern w:val="1"/>
        </w:rPr>
      </w:pPr>
      <w:r w:rsidRPr="00B66DFB">
        <w:rPr>
          <w:rFonts w:ascii="Calibri" w:eastAsia="Lucida Sans Unicode" w:hAnsi="Calibri" w:cs="Calibri"/>
          <w:kern w:val="1"/>
        </w:rPr>
        <w:t>Kontrolní skupina byla konstruovaná z nepodpořených subjektů, které žádaly o podporu.</w:t>
      </w:r>
    </w:p>
    <w:p w:rsidR="00E13E54" w:rsidRPr="00B66DFB" w:rsidRDefault="00E13E54" w:rsidP="00E13E54">
      <w:pPr>
        <w:numPr>
          <w:ilvl w:val="0"/>
          <w:numId w:val="5"/>
        </w:numPr>
        <w:spacing w:after="0" w:line="276" w:lineRule="auto"/>
        <w:contextualSpacing/>
        <w:rPr>
          <w:rFonts w:ascii="Calibri" w:eastAsia="Lucida Sans Unicode" w:hAnsi="Calibri" w:cs="Calibri"/>
          <w:kern w:val="1"/>
        </w:rPr>
      </w:pPr>
      <w:r w:rsidRPr="00B66DFB">
        <w:rPr>
          <w:rFonts w:ascii="Calibri" w:eastAsia="Lucida Sans Unicode" w:hAnsi="Calibri" w:cs="Calibri"/>
          <w:kern w:val="1"/>
        </w:rPr>
        <w:t>Kontrolní skupina byla konstruovaná výhradně ze subjektů z vnější databáze (tj. nepodpořené subjekty žádající o podporu v této skupině nefigurují).</w:t>
      </w:r>
    </w:p>
    <w:p w:rsidR="00E13E54" w:rsidRPr="00B66DFB" w:rsidRDefault="00E13E54" w:rsidP="00E13E54">
      <w:pPr>
        <w:numPr>
          <w:ilvl w:val="0"/>
          <w:numId w:val="5"/>
        </w:numPr>
        <w:spacing w:after="0" w:line="276" w:lineRule="auto"/>
        <w:contextualSpacing/>
        <w:rPr>
          <w:rFonts w:ascii="Calibri" w:eastAsia="Lucida Sans Unicode" w:hAnsi="Calibri" w:cs="Calibri"/>
          <w:kern w:val="1"/>
        </w:rPr>
      </w:pPr>
      <w:r w:rsidRPr="00B66DFB">
        <w:rPr>
          <w:rFonts w:ascii="Calibri" w:eastAsia="Lucida Sans Unicode" w:hAnsi="Calibri" w:cs="Calibri"/>
          <w:kern w:val="1"/>
        </w:rPr>
        <w:t>Kontrolní skupina byla vytvořena ze všech dostupných nepodpořených subjektů.</w:t>
      </w:r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</w:rPr>
      </w:pPr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Calibri" w:hAnsi="Calibri" w:cs="Times New Roman"/>
        </w:rPr>
        <w:t xml:space="preserve">Tento postup byl zvolen z toho důvodu, jelikož subjekty žádající o podporu mohou být v nějakém smyslu odlišné od ostatních (nežádajících). </w:t>
      </w:r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Calibri" w:hAnsi="Calibri" w:cs="Times New Roman"/>
        </w:rPr>
        <w:t xml:space="preserve">Pro PP Marketing jsme kontrolní vzorek konstruovali pouze přístupy 2. a 3., jelikož nepodpořených žádajících subjektů bylo méně než podpořených. </w:t>
      </w:r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Calibri" w:hAnsi="Calibri" w:cs="Times New Roman"/>
        </w:rPr>
        <w:t xml:space="preserve">Spárování dat podpořených subjektů s kontrolními proběhlo na základě odhadnutého prospensity skóre (dále PS). Toto skóre je odhadnuto jako tzv. logit pravděpodobnosti zahrnutí do podpory pro subjekt s danou sadou vysvětlujících proměnných. </w:t>
      </w:r>
    </w:p>
    <w:p w:rsidR="00E13E54" w:rsidRPr="00B66DFB" w:rsidRDefault="00E13E54" w:rsidP="00E13E54">
      <w:pPr>
        <w:spacing w:after="200" w:line="276" w:lineRule="auto"/>
        <w:rPr>
          <w:rFonts w:ascii="Calibri" w:eastAsia="Calibri" w:hAnsi="Calibri" w:cs="Times New Roman"/>
          <w:i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</w:rPr>
            <m:t>logit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GB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i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i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</w:rPr>
            <m:t>=</m:t>
          </m:r>
          <m:func>
            <m:funcPr>
              <m:ctrlPr>
                <w:rPr>
                  <w:rFonts w:ascii="Cambria Math" w:eastAsia="Calibri" w:hAnsi="Cambria Math" w:cs="Times New Roman"/>
                  <w:sz w:val="24"/>
                  <w:szCs w:val="24"/>
                  <w:lang w:eastAsia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P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eastAsia="en-G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eastAsia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=1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eastAsia="en-GB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i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1-P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eastAsia="en-G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eastAsia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=1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eastAsia="en-GB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i</m:t>
                          </m:r>
                        </m:sub>
                      </m:sSub>
                    </m:e>
                  </m:d>
                </m:den>
              </m:f>
            </m:e>
          </m:func>
          <m:r>
            <w:rPr>
              <w:rFonts w:ascii="Cambria Math" w:eastAsia="Calibri" w:hAnsi="Cambria Math" w:cs="Times New Roman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GB"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β</m:t>
              </m:r>
            </m:e>
            <m:sub>
              <m:r>
                <w:rPr>
                  <w:rFonts w:ascii="Cambria Math" w:eastAsia="Calibri" w:hAnsi="Cambria Math" w:cs="Times New Roman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GB"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β</m:t>
              </m:r>
            </m:e>
            <m:sub>
              <m:r>
                <w:rPr>
                  <w:rFonts w:ascii="Cambria Math" w:eastAsia="Calibri" w:hAnsi="Cambria Math" w:cs="Times New Roman"/>
                </w:rPr>
                <m:t>1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GB"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X</m:t>
              </m:r>
            </m:e>
            <m:sub>
              <m:r>
                <w:rPr>
                  <w:rFonts w:ascii="Cambria Math" w:eastAsia="Calibri" w:hAnsi="Cambria Math" w:cs="Times New Roman"/>
                </w:rPr>
                <m:t>i1</m:t>
              </m:r>
            </m:sub>
          </m:sSub>
          <m:r>
            <w:rPr>
              <w:rFonts w:ascii="Cambria Math" w:eastAsia="Calibri" w:hAnsi="Cambria Math" w:cs="Times New Roman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GB"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β</m:t>
              </m:r>
            </m:e>
            <m:sub>
              <m:r>
                <w:rPr>
                  <w:rFonts w:ascii="Cambria Math" w:eastAsia="Calibri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GB"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X</m:t>
              </m:r>
            </m:e>
            <m:sub>
              <m:r>
                <w:rPr>
                  <w:rFonts w:ascii="Cambria Math" w:eastAsia="Calibri" w:hAnsi="Cambria Math" w:cs="Times New Roman"/>
                </w:rPr>
                <m:t>i2</m:t>
              </m:r>
            </m:sub>
          </m:sSub>
          <m:r>
            <w:rPr>
              <w:rFonts w:ascii="Cambria Math" w:eastAsia="Calibri" w:hAnsi="Cambria Math" w:cs="Times New Roman"/>
            </w:rPr>
            <m:t>+…+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GB"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β</m:t>
              </m:r>
            </m:e>
            <m:sub>
              <m:r>
                <w:rPr>
                  <w:rFonts w:ascii="Cambria Math" w:eastAsia="Calibri" w:hAnsi="Cambria Math" w:cs="Times New Roman"/>
                </w:rPr>
                <m:t>k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GB"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X</m:t>
              </m:r>
            </m:e>
            <m:sub>
              <m:r>
                <w:rPr>
                  <w:rFonts w:ascii="Cambria Math" w:eastAsia="Calibri" w:hAnsi="Cambria Math" w:cs="Times New Roman"/>
                </w:rPr>
                <m:t>ik</m:t>
              </m:r>
            </m:sub>
          </m:sSub>
          <m:r>
            <w:rPr>
              <w:rFonts w:ascii="Cambria Math" w:eastAsia="Calibri" w:hAnsi="Cambria Math" w:cs="Times New Roman"/>
            </w:rPr>
            <m:t xml:space="preserve"> </m:t>
          </m:r>
        </m:oMath>
      </m:oMathPara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Calibri" w:hAnsi="Calibri" w:cs="Times New Roman"/>
        </w:rPr>
        <w:t xml:space="preserve">kde </w:t>
      </w:r>
      <w:r w:rsidRPr="00B66DFB">
        <w:rPr>
          <w:rFonts w:ascii="Calibri" w:eastAsia="Calibri" w:hAnsi="Calibri" w:cs="Times New Roman"/>
          <w:i/>
        </w:rPr>
        <w:t>Y</w:t>
      </w:r>
      <w:r w:rsidRPr="00B66DFB">
        <w:rPr>
          <w:rFonts w:ascii="Calibri" w:eastAsia="Calibri" w:hAnsi="Calibri" w:cs="Times New Roman"/>
          <w:i/>
          <w:vertAlign w:val="subscript"/>
        </w:rPr>
        <w:t xml:space="preserve">i </w:t>
      </w:r>
      <w:r w:rsidRPr="00B66DFB">
        <w:rPr>
          <w:rFonts w:ascii="Calibri" w:eastAsia="Calibri" w:hAnsi="Calibri" w:cs="Times New Roman"/>
        </w:rPr>
        <w:t xml:space="preserve"> je identifikátor toho, zda je daný subjekt </w:t>
      </w:r>
      <w:r w:rsidRPr="00B66DFB">
        <w:rPr>
          <w:rFonts w:ascii="Calibri" w:eastAsia="Calibri" w:hAnsi="Calibri" w:cs="Times New Roman"/>
          <w:i/>
        </w:rPr>
        <w:t>i</w:t>
      </w:r>
      <w:r w:rsidRPr="00B66DFB">
        <w:rPr>
          <w:rFonts w:ascii="Calibri" w:eastAsia="Calibri" w:hAnsi="Calibri" w:cs="Times New Roman"/>
        </w:rPr>
        <w:t xml:space="preserve"> zahrnut do podpory (tj. </w:t>
      </w:r>
      <w:r w:rsidRPr="00B66DFB">
        <w:rPr>
          <w:rFonts w:ascii="Calibri" w:eastAsia="Calibri" w:hAnsi="Calibri" w:cs="Times New Roman"/>
          <w:i/>
        </w:rPr>
        <w:t>Y</w:t>
      </w:r>
      <w:r w:rsidRPr="00B66DFB">
        <w:rPr>
          <w:rFonts w:ascii="Calibri" w:eastAsia="Calibri" w:hAnsi="Calibri" w:cs="Times New Roman"/>
          <w:i/>
          <w:vertAlign w:val="subscript"/>
        </w:rPr>
        <w:t>i</w:t>
      </w:r>
      <w:r w:rsidRPr="00B66DFB">
        <w:rPr>
          <w:rFonts w:ascii="Calibri" w:eastAsia="Calibri" w:hAnsi="Calibri" w:cs="Times New Roman"/>
          <w:i/>
        </w:rPr>
        <w:t>=1</w:t>
      </w:r>
      <w:r w:rsidRPr="00B66DFB">
        <w:rPr>
          <w:rFonts w:ascii="Calibri" w:eastAsia="Calibri" w:hAnsi="Calibri" w:cs="Times New Roman"/>
        </w:rPr>
        <w:t>) nebo není (</w:t>
      </w:r>
      <w:r w:rsidRPr="00B66DFB">
        <w:rPr>
          <w:rFonts w:ascii="Calibri" w:eastAsia="Calibri" w:hAnsi="Calibri" w:cs="Times New Roman"/>
          <w:i/>
        </w:rPr>
        <w:t>Y</w:t>
      </w:r>
      <w:r w:rsidRPr="00B66DFB">
        <w:rPr>
          <w:rFonts w:ascii="Calibri" w:eastAsia="Calibri" w:hAnsi="Calibri" w:cs="Times New Roman"/>
          <w:i/>
          <w:vertAlign w:val="subscript"/>
        </w:rPr>
        <w:t>i</w:t>
      </w:r>
      <w:r w:rsidRPr="00B66DFB">
        <w:rPr>
          <w:rFonts w:ascii="Calibri" w:eastAsia="Calibri" w:hAnsi="Calibri" w:cs="Times New Roman"/>
          <w:i/>
        </w:rPr>
        <w:t>=0</w:t>
      </w:r>
      <w:r w:rsidRPr="00B66DFB">
        <w:rPr>
          <w:rFonts w:ascii="Calibri" w:eastAsia="Calibri" w:hAnsi="Calibri" w:cs="Times New Roman"/>
        </w:rPr>
        <w:t xml:space="preserve">),  </w:t>
      </w:r>
      <w:r w:rsidRPr="00B66DFB">
        <w:rPr>
          <w:rFonts w:ascii="Calibri" w:eastAsia="Calibri" w:hAnsi="Calibri" w:cs="Times New Roman"/>
          <w:b/>
          <w:i/>
        </w:rPr>
        <w:t>X</w:t>
      </w:r>
      <w:r w:rsidRPr="00B66DFB">
        <w:rPr>
          <w:rFonts w:ascii="Calibri" w:eastAsia="Calibri" w:hAnsi="Calibri" w:cs="Times New Roman"/>
          <w:b/>
          <w:i/>
          <w:vertAlign w:val="subscript"/>
        </w:rPr>
        <w:t>i</w:t>
      </w:r>
      <w:r w:rsidRPr="00B66DFB">
        <w:rPr>
          <w:rFonts w:ascii="Calibri" w:eastAsia="Calibri" w:hAnsi="Calibri" w:cs="Times New Roman"/>
          <w:i/>
          <w:vertAlign w:val="subscript"/>
        </w:rPr>
        <w:t xml:space="preserve">  </w:t>
      </w:r>
      <w:r w:rsidRPr="00B66DFB">
        <w:rPr>
          <w:rFonts w:ascii="Calibri" w:eastAsia="Calibri" w:hAnsi="Calibri" w:cs="Times New Roman"/>
        </w:rPr>
        <w:t xml:space="preserve">je vector vysvětlujících proměnných </w:t>
      </w:r>
      <w:r w:rsidRPr="00B66DFB">
        <w:rPr>
          <w:rFonts w:ascii="Calibri" w:eastAsia="Calibri" w:hAnsi="Calibri" w:cs="Times New Roman"/>
          <w:i/>
        </w:rPr>
        <w:t>(X</w:t>
      </w:r>
      <w:r w:rsidRPr="00B66DFB">
        <w:rPr>
          <w:rFonts w:ascii="Calibri" w:eastAsia="Calibri" w:hAnsi="Calibri" w:cs="Times New Roman"/>
          <w:i/>
          <w:vertAlign w:val="subscript"/>
        </w:rPr>
        <w:t>i1</w:t>
      </w:r>
      <w:r w:rsidRPr="00B66DFB">
        <w:rPr>
          <w:rFonts w:ascii="Calibri" w:eastAsia="Calibri" w:hAnsi="Calibri" w:cs="Times New Roman"/>
          <w:i/>
        </w:rPr>
        <w:t>, … , X</w:t>
      </w:r>
      <w:r w:rsidRPr="00B66DFB">
        <w:rPr>
          <w:rFonts w:ascii="Calibri" w:eastAsia="Calibri" w:hAnsi="Calibri" w:cs="Times New Roman"/>
          <w:i/>
          <w:vertAlign w:val="subscript"/>
        </w:rPr>
        <w:t>ik</w:t>
      </w:r>
      <w:r w:rsidRPr="00B66DFB">
        <w:rPr>
          <w:rFonts w:ascii="Calibri" w:eastAsia="Calibri" w:hAnsi="Calibri" w:cs="Times New Roman"/>
          <w:i/>
        </w:rPr>
        <w:t xml:space="preserve">) a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en-GB"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β</m:t>
            </m:r>
          </m:e>
          <m:sub>
            <m:r>
              <w:rPr>
                <w:rFonts w:ascii="Cambria Math" w:eastAsia="Calibri" w:hAnsi="Cambria Math" w:cs="Times New Roman"/>
              </w:rPr>
              <m:t>0</m:t>
            </m:r>
          </m:sub>
        </m:sSub>
        <m:r>
          <w:rPr>
            <w:rFonts w:ascii="Cambria Math" w:eastAsia="Calibri" w:hAnsi="Cambria Math" w:cs="Times New Roman"/>
          </w:rPr>
          <m:t xml:space="preserve">, … 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en-GB"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β</m:t>
            </m:r>
          </m:e>
          <m:sub>
            <m:r>
              <w:rPr>
                <w:rFonts w:ascii="Cambria Math" w:eastAsia="Calibri" w:hAnsi="Cambria Math" w:cs="Times New Roman"/>
              </w:rPr>
              <m:t>k</m:t>
            </m:r>
          </m:sub>
        </m:sSub>
      </m:oMath>
      <w:r w:rsidRPr="00B66DFB">
        <w:rPr>
          <w:rFonts w:ascii="Calibri" w:eastAsia="Times New Roman" w:hAnsi="Calibri" w:cs="Times New Roman"/>
        </w:rPr>
        <w:t xml:space="preserve"> jsou neznámé parametry modelu, které jsou odhadnuty metodou maximální věrohodnosti. </w:t>
      </w:r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Calibri" w:hAnsi="Calibri" w:cs="Times New Roman"/>
        </w:rPr>
        <w:t xml:space="preserve">Do skupiny vysvětlujících proměnných </w:t>
      </w:r>
      <w:r w:rsidRPr="00B66DFB">
        <w:rPr>
          <w:rFonts w:ascii="Calibri" w:eastAsia="Calibri" w:hAnsi="Calibri" w:cs="Times New Roman"/>
          <w:b/>
          <w:i/>
        </w:rPr>
        <w:t>X</w:t>
      </w:r>
      <w:r w:rsidRPr="00B66DFB">
        <w:rPr>
          <w:rFonts w:ascii="Calibri" w:eastAsia="Calibri" w:hAnsi="Calibri" w:cs="Times New Roman"/>
          <w:b/>
          <w:i/>
          <w:vertAlign w:val="subscript"/>
        </w:rPr>
        <w:t>i</w:t>
      </w:r>
      <w:r w:rsidRPr="00B66DFB">
        <w:rPr>
          <w:rFonts w:ascii="Calibri" w:eastAsia="Calibri" w:hAnsi="Calibri" w:cs="Times New Roman"/>
          <w:i/>
          <w:vertAlign w:val="subscript"/>
        </w:rPr>
        <w:t xml:space="preserve">  </w:t>
      </w:r>
      <w:r w:rsidRPr="00B66DFB">
        <w:rPr>
          <w:rFonts w:ascii="Calibri" w:eastAsia="Calibri" w:hAnsi="Calibri" w:cs="Times New Roman"/>
        </w:rPr>
        <w:t>byly zahrnuty následující proměnné charakterizující daný subjekt:</w:t>
      </w:r>
    </w:p>
    <w:p w:rsidR="00E13E54" w:rsidRPr="00B66DFB" w:rsidRDefault="00E13E54" w:rsidP="00E13E54">
      <w:pPr>
        <w:numPr>
          <w:ilvl w:val="0"/>
          <w:numId w:val="6"/>
        </w:numPr>
        <w:spacing w:after="0" w:line="276" w:lineRule="auto"/>
        <w:contextualSpacing/>
        <w:rPr>
          <w:rFonts w:ascii="Calibri" w:eastAsia="Lucida Sans Unicode" w:hAnsi="Calibri" w:cs="Calibri"/>
          <w:kern w:val="1"/>
        </w:rPr>
      </w:pPr>
      <w:r w:rsidRPr="00B66DFB">
        <w:rPr>
          <w:rFonts w:ascii="Calibri" w:eastAsia="Lucida Sans Unicode" w:hAnsi="Calibri" w:cs="Calibri"/>
          <w:kern w:val="1"/>
        </w:rPr>
        <w:t xml:space="preserve">Kraj, velikost obce </w:t>
      </w:r>
    </w:p>
    <w:p w:rsidR="00E13E54" w:rsidRPr="00B66DFB" w:rsidRDefault="00E13E54" w:rsidP="00E13E54">
      <w:pPr>
        <w:numPr>
          <w:ilvl w:val="0"/>
          <w:numId w:val="6"/>
        </w:numPr>
        <w:spacing w:after="0" w:line="276" w:lineRule="auto"/>
        <w:contextualSpacing/>
        <w:rPr>
          <w:rFonts w:ascii="Calibri" w:eastAsia="Lucida Sans Unicode" w:hAnsi="Calibri" w:cs="Calibri"/>
          <w:kern w:val="1"/>
        </w:rPr>
      </w:pPr>
      <w:r w:rsidRPr="00B66DFB">
        <w:rPr>
          <w:rFonts w:ascii="Calibri" w:eastAsia="Lucida Sans Unicode" w:hAnsi="Calibri" w:cs="Calibri"/>
          <w:kern w:val="1"/>
        </w:rPr>
        <w:t>Kód CZ NACE v modifikované formě (viz níže)</w:t>
      </w:r>
    </w:p>
    <w:p w:rsidR="00E13E54" w:rsidRPr="00B66DFB" w:rsidRDefault="00E13E54" w:rsidP="00E13E54">
      <w:pPr>
        <w:numPr>
          <w:ilvl w:val="0"/>
          <w:numId w:val="6"/>
        </w:numPr>
        <w:spacing w:after="0" w:line="276" w:lineRule="auto"/>
        <w:contextualSpacing/>
        <w:rPr>
          <w:rFonts w:ascii="Calibri" w:eastAsia="Lucida Sans Unicode" w:hAnsi="Calibri" w:cs="Calibri"/>
          <w:kern w:val="1"/>
        </w:rPr>
      </w:pPr>
      <w:r w:rsidRPr="00B66DFB">
        <w:rPr>
          <w:rFonts w:ascii="Calibri" w:eastAsia="Lucida Sans Unicode" w:hAnsi="Calibri" w:cs="Calibri"/>
          <w:kern w:val="1"/>
        </w:rPr>
        <w:t>Počet zaměstnanců, počet let existence</w:t>
      </w:r>
    </w:p>
    <w:p w:rsidR="00E13E54" w:rsidRPr="00B66DFB" w:rsidRDefault="00E13E54" w:rsidP="00E13E54">
      <w:pPr>
        <w:numPr>
          <w:ilvl w:val="0"/>
          <w:numId w:val="6"/>
        </w:numPr>
        <w:spacing w:after="0" w:line="276" w:lineRule="auto"/>
        <w:contextualSpacing/>
        <w:rPr>
          <w:rFonts w:ascii="Calibri" w:eastAsia="Lucida Sans Unicode" w:hAnsi="Calibri" w:cs="Calibri"/>
          <w:kern w:val="1"/>
        </w:rPr>
      </w:pPr>
      <w:r w:rsidRPr="00B66DFB">
        <w:rPr>
          <w:rFonts w:ascii="Calibri" w:eastAsia="Lucida Sans Unicode" w:hAnsi="Calibri" w:cs="Calibri"/>
          <w:kern w:val="1"/>
        </w:rPr>
        <w:t xml:space="preserve">Ekonomické ukazatele: celková aktiva, oběžná aktiva, vlastní kapitál, výkony, tržby z prodeje výrobků a služeb, hospodářský výsledek </w:t>
      </w:r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</w:rPr>
      </w:pPr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Calibri" w:hAnsi="Calibri" w:cs="Times New Roman"/>
        </w:rPr>
        <w:t>Dvoumístný CZ NACE kód bohužel nemohl být využit přímo (nedostatek kontrolních subjektů v některých kategoriích), a proto bylo uvažováno jak kódování pomocí písmen, tak jednomístný CZ NACE. Výsledky párování byly uspokojivější pro druhou zvolenou variantu. Prezentované výsledky tedy odpovídají výsledkům párování pro model s jednomístným CZ NACE kódem.</w:t>
      </w:r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Calibri" w:hAnsi="Calibri" w:cs="Times New Roman"/>
        </w:rPr>
        <w:t>Dále pak byla v modelu pro výpočtu PS zahrnuta interakce mezi počtem zaměstnanců a celkovými aktivy. Pro SC 2.2 navíc bylo vhodné zahrnout i interakci kategoriální veličiny určující kraj a celkových aktiv. V případě SC 2.1 nebylo zapojení této interakce vhodné.</w:t>
      </w:r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</w:rPr>
      </w:pPr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Calibri" w:hAnsi="Calibri" w:cs="Times New Roman"/>
        </w:rPr>
        <w:t xml:space="preserve">Pro párování byl zvolen algoritmus nejbližšího souseda (nearest neighbor matching), kdy je jeden subjekt z podpořené skupiny spárován s jedním subjektem z kontrolní skupiny s nejbližší hodnotou propensity skóre. Pro projekty z roku 2015 jsme vybírali výhradně ze subjektů, pro které byla </w:t>
      </w:r>
      <w:r w:rsidRPr="00B66DFB">
        <w:rPr>
          <w:rFonts w:ascii="Calibri" w:eastAsia="Calibri" w:hAnsi="Calibri" w:cs="Times New Roman"/>
        </w:rPr>
        <w:lastRenderedPageBreak/>
        <w:t>k dispozici data pro tento rok, podobně pak pro rok 2016. Jiné algoritmy párování byly také zváženy, ale vedly k horším výsledkům.</w:t>
      </w:r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</w:rPr>
      </w:pPr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Calibri" w:hAnsi="Calibri" w:cs="Times New Roman"/>
        </w:rPr>
        <w:t xml:space="preserve">Po provedení párování byla provedena kontrola kvality párování. Na základě dvouvýběrového t-testu bylo otestováno, že se hladiny jednotlivých proměnných v uvažovaných dvou skupinách (podpoření a kontrolní) neliší. Pro kategoriální proměnné byl uvažován chí kvadrát test nezávislosti (dovoloval-li to rozsah dat). V případě, že párování nebylo uspokojivé, byl použit složitější model pro odhad PS. Výsledné párování bylo vyhodnoceno jako úspěšné. </w:t>
      </w:r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  <w:b/>
        </w:rPr>
      </w:pPr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  <w:b/>
        </w:rPr>
      </w:pPr>
      <w:r w:rsidRPr="00B66DFB">
        <w:rPr>
          <w:rFonts w:ascii="Calibri" w:eastAsia="Calibri" w:hAnsi="Calibri" w:cs="Times New Roman"/>
          <w:b/>
        </w:rPr>
        <w:t>Metoda rozdílu v rozdílech</w:t>
      </w:r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Calibri" w:hAnsi="Calibri" w:cs="Times New Roman"/>
        </w:rPr>
        <w:t>Pro vyhodnocení výsledného efektu byla použita metodika rozdílu v rozdílech (tzv. Differences in differences DiD). Tento efekt lze (při uvažování podpořených subjektů pouze z jednoho roku) spočíst jako rozdíl rozdílu průměrných hodnot mezi podpořenými a nepodpořenými ve výsledném roce a rozdílu před započetím projektu. Zajímá-li nás DiD efekt veličiny Z, pak jej lze spočíst jako</w:t>
      </w:r>
    </w:p>
    <w:p w:rsidR="00E13E54" w:rsidRPr="00B66DFB" w:rsidRDefault="00E13E54" w:rsidP="00E13E54">
      <w:pPr>
        <w:spacing w:after="200" w:line="276" w:lineRule="auto"/>
        <w:rPr>
          <w:rFonts w:ascii="Calibri" w:eastAsia="Times New Roman" w:hAnsi="Calibri" w:cs="Times New Roman"/>
          <w:i/>
        </w:rPr>
      </w:pPr>
      <m:oMathPara>
        <m:oMath>
          <m:r>
            <w:rPr>
              <w:rFonts w:ascii="Cambria Math" w:eastAsia="Calibri" w:hAnsi="Cambria Math" w:cs="Times New Roman"/>
            </w:rPr>
            <m:t>DiD=(</m:t>
          </m:r>
          <m:acc>
            <m:accPr>
              <m:chr m:val="̅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GB"/>
                </w:rPr>
              </m:ctrlPr>
            </m:acc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P2</m:t>
                  </m:r>
                </m:sub>
              </m:sSub>
            </m:e>
          </m:acc>
          <m:r>
            <w:rPr>
              <w:rFonts w:ascii="Cambria Math" w:eastAsia="Calibri" w:hAnsi="Cambria Math" w:cs="Times New Roman"/>
            </w:rPr>
            <m:t xml:space="preserve">- </m:t>
          </m:r>
          <m:acc>
            <m:accPr>
              <m:chr m:val="̅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GB"/>
                </w:rPr>
              </m:ctrlPr>
            </m:acc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N2</m:t>
                  </m:r>
                </m:sub>
              </m:sSub>
            </m:e>
          </m:acc>
          <m:r>
            <w:rPr>
              <w:rFonts w:ascii="Cambria Math" w:eastAsia="Calibri" w:hAnsi="Cambria Math" w:cs="Times New Roman"/>
            </w:rPr>
            <m:t>)-(</m:t>
          </m:r>
          <m:acc>
            <m:accPr>
              <m:chr m:val="̅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GB"/>
                </w:rPr>
              </m:ctrlPr>
            </m:acc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P1</m:t>
                  </m:r>
                </m:sub>
              </m:sSub>
            </m:e>
          </m:acc>
          <m:r>
            <w:rPr>
              <w:rFonts w:ascii="Cambria Math" w:eastAsia="Calibri" w:hAnsi="Cambria Math" w:cs="Times New Roman"/>
            </w:rPr>
            <m:t xml:space="preserve">- </m:t>
          </m:r>
          <m:acc>
            <m:accPr>
              <m:chr m:val="̅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GB"/>
                </w:rPr>
              </m:ctrlPr>
            </m:acc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N1</m:t>
                  </m:r>
                </m:sub>
              </m:sSub>
            </m:e>
          </m:acc>
          <m:r>
            <w:rPr>
              <w:rFonts w:ascii="Cambria Math" w:eastAsia="Calibri" w:hAnsi="Cambria Math" w:cs="Times New Roman"/>
            </w:rPr>
            <m:t>)</m:t>
          </m:r>
        </m:oMath>
      </m:oMathPara>
    </w:p>
    <w:p w:rsidR="00E13E54" w:rsidRPr="00B66DFB" w:rsidRDefault="00E13E54" w:rsidP="00E13E54">
      <w:pPr>
        <w:spacing w:after="200" w:line="276" w:lineRule="auto"/>
        <w:rPr>
          <w:rFonts w:ascii="Calibri" w:eastAsia="Times New Roman" w:hAnsi="Calibri" w:cs="Times New Roman"/>
        </w:rPr>
      </w:pPr>
      <w:r w:rsidRPr="00B66DFB">
        <w:rPr>
          <w:rFonts w:ascii="Calibri" w:eastAsia="Times New Roman" w:hAnsi="Calibri" w:cs="Times New Roman"/>
        </w:rPr>
        <w:t xml:space="preserve">kde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en-GB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Z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P2</m:t>
                </m:r>
              </m:sub>
            </m:sSub>
          </m:e>
        </m:acc>
        <m:r>
          <w:rPr>
            <w:rFonts w:ascii="Cambria Math" w:eastAsia="Calibri" w:hAnsi="Cambria Math" w:cs="Times New Roman"/>
          </w:rPr>
          <m:t xml:space="preserve"> </m:t>
        </m:r>
      </m:oMath>
      <w:r w:rsidRPr="00B66DFB">
        <w:rPr>
          <w:rFonts w:ascii="Calibri" w:eastAsia="Times New Roman" w:hAnsi="Calibri" w:cs="Times New Roman"/>
        </w:rPr>
        <w:t xml:space="preserve"> je průměrná hodnota Z pro podpořené subjekty v čase T</w:t>
      </w:r>
      <w:r w:rsidRPr="00B66DFB">
        <w:rPr>
          <w:rFonts w:ascii="Calibri" w:eastAsia="Times New Roman" w:hAnsi="Calibri" w:cs="Times New Roman"/>
          <w:vertAlign w:val="subscript"/>
        </w:rPr>
        <w:t xml:space="preserve">2 </w:t>
      </w:r>
      <w:r w:rsidRPr="00B66DFB">
        <w:rPr>
          <w:rFonts w:ascii="Calibri" w:eastAsia="Calibri" w:hAnsi="Calibri" w:cs="Times New Roman"/>
        </w:rPr>
        <w:t xml:space="preserve">(výsledný rok),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en-GB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Z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N2</m:t>
                </m:r>
              </m:sub>
            </m:sSub>
          </m:e>
        </m:acc>
      </m:oMath>
      <w:r w:rsidRPr="00B66DFB">
        <w:rPr>
          <w:rFonts w:ascii="Calibri" w:eastAsia="Times New Roman" w:hAnsi="Calibri" w:cs="Times New Roman"/>
        </w:rPr>
        <w:t xml:space="preserve"> je průměr Z pro kontrolní subjekty v čase T</w:t>
      </w:r>
      <w:r w:rsidRPr="00B66DFB">
        <w:rPr>
          <w:rFonts w:ascii="Calibri" w:eastAsia="Times New Roman" w:hAnsi="Calibri" w:cs="Times New Roman"/>
          <w:vertAlign w:val="subscript"/>
        </w:rPr>
        <w:t>2</w:t>
      </w:r>
      <w:r w:rsidRPr="00B66DFB">
        <w:rPr>
          <w:rFonts w:ascii="Calibri" w:eastAsia="Times New Roman" w:hAnsi="Calibri" w:cs="Times New Roman"/>
        </w:rPr>
        <w:t xml:space="preserve">, 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en-GB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Z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P1</m:t>
                </m:r>
              </m:sub>
            </m:sSub>
          </m:e>
        </m:acc>
      </m:oMath>
      <w:r w:rsidRPr="00B66DFB">
        <w:rPr>
          <w:rFonts w:ascii="Calibri" w:eastAsia="Times New Roman" w:hAnsi="Calibri" w:cs="Times New Roman"/>
        </w:rPr>
        <w:t xml:space="preserve"> je průmer Z pro podpořené v čase T</w:t>
      </w:r>
      <w:r w:rsidRPr="00B66DFB">
        <w:rPr>
          <w:rFonts w:ascii="Calibri" w:eastAsia="Times New Roman" w:hAnsi="Calibri" w:cs="Times New Roman"/>
          <w:vertAlign w:val="subscript"/>
        </w:rPr>
        <w:t>1</w:t>
      </w:r>
      <w:r w:rsidRPr="00B66DFB">
        <w:rPr>
          <w:rFonts w:ascii="Calibri" w:eastAsia="Times New Roman" w:hAnsi="Calibri" w:cs="Times New Roman"/>
        </w:rPr>
        <w:t xml:space="preserve"> a analogicky pro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en-GB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Z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N1</m:t>
                </m:r>
              </m:sub>
            </m:sSub>
          </m:e>
        </m:acc>
      </m:oMath>
      <w:r w:rsidRPr="00B66DFB">
        <w:rPr>
          <w:rFonts w:ascii="Calibri" w:eastAsia="Times New Roman" w:hAnsi="Calibri" w:cs="Times New Roman"/>
        </w:rPr>
        <w:t xml:space="preserve">. </w:t>
      </w:r>
    </w:p>
    <w:p w:rsidR="00E13E54" w:rsidRPr="00B66DFB" w:rsidRDefault="00E13E54" w:rsidP="00E13E54">
      <w:pPr>
        <w:spacing w:after="200" w:line="276" w:lineRule="auto"/>
        <w:rPr>
          <w:rFonts w:ascii="Calibri" w:eastAsia="Times New Roman" w:hAnsi="Calibri" w:cs="Times New Roman"/>
        </w:rPr>
      </w:pPr>
      <w:r w:rsidRPr="00B66DFB">
        <w:rPr>
          <w:rFonts w:ascii="Calibri" w:eastAsia="Times New Roman" w:hAnsi="Calibri" w:cs="Times New Roman"/>
        </w:rPr>
        <w:t xml:space="preserve">Graficky je tento efekt znázorněn na obrázku </w:t>
      </w:r>
      <w:r w:rsidR="005D4C65" w:rsidRPr="00B66DFB">
        <w:rPr>
          <w:rFonts w:ascii="Calibri" w:eastAsia="Times New Roman" w:hAnsi="Calibri" w:cs="Times New Roman"/>
        </w:rPr>
        <w:t>1</w:t>
      </w:r>
      <w:r w:rsidRPr="00B66DFB">
        <w:rPr>
          <w:rFonts w:ascii="Calibri" w:eastAsia="Times New Roman" w:hAnsi="Calibri" w:cs="Times New Roman"/>
        </w:rPr>
        <w:t>. Bod P</w:t>
      </w:r>
      <w:r w:rsidRPr="00B66DFB">
        <w:rPr>
          <w:rFonts w:ascii="Calibri" w:eastAsia="Times New Roman" w:hAnsi="Calibri" w:cs="Times New Roman"/>
          <w:vertAlign w:val="subscript"/>
        </w:rPr>
        <w:t xml:space="preserve">1 </w:t>
      </w:r>
      <w:r w:rsidRPr="00B66DFB">
        <w:rPr>
          <w:rFonts w:ascii="Calibri" w:eastAsia="Times New Roman" w:hAnsi="Calibri" w:cs="Times New Roman"/>
        </w:rPr>
        <w:t>odpovídá průměrné hodnotě ukazatele Z pro podpořené projekty v čase T</w:t>
      </w:r>
      <w:r w:rsidRPr="00B66DFB">
        <w:rPr>
          <w:rFonts w:ascii="Calibri" w:eastAsia="Times New Roman" w:hAnsi="Calibri" w:cs="Times New Roman"/>
          <w:vertAlign w:val="subscript"/>
        </w:rPr>
        <w:t>1</w:t>
      </w:r>
      <w:r w:rsidRPr="00B66DFB">
        <w:rPr>
          <w:rFonts w:ascii="Calibri" w:eastAsia="Times New Roman" w:hAnsi="Calibri" w:cs="Times New Roman"/>
        </w:rPr>
        <w:t>, bod P</w:t>
      </w:r>
      <w:r w:rsidRPr="00B66DFB">
        <w:rPr>
          <w:rFonts w:ascii="Calibri" w:eastAsia="Times New Roman" w:hAnsi="Calibri" w:cs="Times New Roman"/>
          <w:vertAlign w:val="subscript"/>
        </w:rPr>
        <w:t>2</w:t>
      </w:r>
      <w:r w:rsidRPr="00B66DFB">
        <w:rPr>
          <w:rFonts w:ascii="Calibri" w:eastAsia="Times New Roman" w:hAnsi="Calibri" w:cs="Times New Roman"/>
        </w:rPr>
        <w:t xml:space="preserve"> je hodnota ukazatele pro podpořené v čase T</w:t>
      </w:r>
      <w:r w:rsidRPr="00B66DFB">
        <w:rPr>
          <w:rFonts w:ascii="Calibri" w:eastAsia="Times New Roman" w:hAnsi="Calibri" w:cs="Times New Roman"/>
          <w:vertAlign w:val="subscript"/>
        </w:rPr>
        <w:t>2</w:t>
      </w:r>
      <w:r w:rsidRPr="00B66DFB">
        <w:rPr>
          <w:rFonts w:ascii="Calibri" w:eastAsia="Times New Roman" w:hAnsi="Calibri" w:cs="Times New Roman"/>
        </w:rPr>
        <w:t>. Podobně, K</w:t>
      </w:r>
      <w:r w:rsidRPr="00B66DFB">
        <w:rPr>
          <w:rFonts w:ascii="Calibri" w:eastAsia="Times New Roman" w:hAnsi="Calibri" w:cs="Times New Roman"/>
          <w:vertAlign w:val="subscript"/>
        </w:rPr>
        <w:t xml:space="preserve">1 </w:t>
      </w:r>
      <w:r w:rsidRPr="00B66DFB">
        <w:rPr>
          <w:rFonts w:ascii="Calibri" w:eastAsia="Times New Roman" w:hAnsi="Calibri" w:cs="Times New Roman"/>
        </w:rPr>
        <w:t>je průměrná hodnota Z pro kontrolní subjekty v čase T</w:t>
      </w:r>
      <w:r w:rsidRPr="00B66DFB">
        <w:rPr>
          <w:rFonts w:ascii="Calibri" w:eastAsia="Times New Roman" w:hAnsi="Calibri" w:cs="Times New Roman"/>
          <w:vertAlign w:val="subscript"/>
        </w:rPr>
        <w:t xml:space="preserve">1 </w:t>
      </w:r>
      <w:r w:rsidRPr="00B66DFB">
        <w:rPr>
          <w:rFonts w:ascii="Calibri" w:eastAsia="Times New Roman" w:hAnsi="Calibri" w:cs="Times New Roman"/>
        </w:rPr>
        <w:t>a K</w:t>
      </w:r>
      <w:r w:rsidRPr="00B66DFB">
        <w:rPr>
          <w:rFonts w:ascii="Calibri" w:eastAsia="Times New Roman" w:hAnsi="Calibri" w:cs="Times New Roman"/>
          <w:vertAlign w:val="subscript"/>
        </w:rPr>
        <w:t xml:space="preserve">2 </w:t>
      </w:r>
      <w:r w:rsidRPr="00B66DFB">
        <w:rPr>
          <w:rFonts w:ascii="Calibri" w:eastAsia="Times New Roman" w:hAnsi="Calibri" w:cs="Times New Roman"/>
        </w:rPr>
        <w:t>je hodnota téhož ukazatele pro tutéž skupinu v čase T</w:t>
      </w:r>
      <w:r w:rsidRPr="00B66DFB">
        <w:rPr>
          <w:rFonts w:ascii="Calibri" w:eastAsia="Times New Roman" w:hAnsi="Calibri" w:cs="Times New Roman"/>
          <w:vertAlign w:val="subscript"/>
        </w:rPr>
        <w:t>2.</w:t>
      </w:r>
      <w:r w:rsidRPr="00B66DFB">
        <w:rPr>
          <w:rFonts w:ascii="Calibri" w:eastAsia="Times New Roman" w:hAnsi="Calibri" w:cs="Times New Roman"/>
        </w:rPr>
        <w:t xml:space="preserve"> Bod X odpovídá situaci, kdy by byl časový vývoj v obou skupinách (podpořené a kontrolní) stejný (tj. lineární vývoj se stejnou směrnicí). Odpovídá tedy hypotetické situaci, kdy by podpořené projekty podporu nedostaly a časový vývoj ukazatele v této skupině by byl stejný jako v kontrolní skupině. Efekt podpory DiD je pak znázorněn v grafu červenou barvou. </w:t>
      </w:r>
    </w:p>
    <w:p w:rsidR="00E13E54" w:rsidRPr="00B66DFB" w:rsidRDefault="00E13E54" w:rsidP="00E13E54">
      <w:pPr>
        <w:spacing w:after="200" w:line="276" w:lineRule="auto"/>
        <w:rPr>
          <w:rFonts w:ascii="Calibri" w:eastAsia="Times New Roman" w:hAnsi="Calibri" w:cs="Times New Roman"/>
        </w:rPr>
      </w:pPr>
    </w:p>
    <w:p w:rsidR="00E13E54" w:rsidRPr="00B66DFB" w:rsidRDefault="00E13E54" w:rsidP="00E13E54">
      <w:pPr>
        <w:keepNext/>
        <w:spacing w:after="200" w:line="240" w:lineRule="auto"/>
        <w:rPr>
          <w:rFonts w:ascii="Calibri" w:eastAsia="Calibri" w:hAnsi="Calibri" w:cs="Times New Roman"/>
          <w:i/>
          <w:iCs/>
          <w:color w:val="1F497D"/>
          <w:sz w:val="20"/>
          <w:szCs w:val="20"/>
        </w:rPr>
      </w:pP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lastRenderedPageBreak/>
        <w:t xml:space="preserve">Obrázek 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begin"/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instrText xml:space="preserve"> SEQ Obrázek \* ARABIC </w:instrTex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separate"/>
      </w:r>
      <w:r w:rsidR="00023E71"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t>1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end"/>
      </w: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>: Grafická ilustrace DiD efektu</w:t>
      </w:r>
    </w:p>
    <w:p w:rsidR="00E13E54" w:rsidRPr="00B66DFB" w:rsidRDefault="00E13E54" w:rsidP="00E13E54">
      <w:pPr>
        <w:spacing w:after="200" w:line="276" w:lineRule="auto"/>
        <w:rPr>
          <w:rFonts w:ascii="Calibri" w:eastAsia="Times New Roman" w:hAnsi="Calibri" w:cs="Times New Roman"/>
        </w:rPr>
      </w:pPr>
      <w:r w:rsidRPr="00B66DFB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 wp14:anchorId="4345AE2E" wp14:editId="6337EB7B">
            <wp:extent cx="4663440" cy="5067300"/>
            <wp:effectExtent l="0" t="0" r="3810" b="0"/>
            <wp:docPr id="212" name="Obráze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54" w:rsidRPr="00B66DFB" w:rsidRDefault="00E13E54" w:rsidP="00E13E54">
      <w:pPr>
        <w:spacing w:after="0" w:line="276" w:lineRule="auto"/>
        <w:rPr>
          <w:rFonts w:ascii="Calibri" w:eastAsia="Times New Roman" w:hAnsi="Calibri" w:cs="Times New Roman"/>
        </w:rPr>
      </w:pPr>
      <w:r w:rsidRPr="00B66DFB">
        <w:rPr>
          <w:rFonts w:ascii="Calibri" w:eastAsia="Times New Roman" w:hAnsi="Calibri" w:cs="Times New Roman"/>
        </w:rPr>
        <w:t xml:space="preserve">Obecně (a především pak v případě, že kombinujeme data pro subjekty s přidělením podpory v různých letech), je vhodnější použít metodu lineárního regresního modelu, která nám poskytne vedle odhadu DiD efektu i odhad rozdílu ukazatelů před započetím podpory a dále také statistickou významnost jednotlivých rozdílů. </w:t>
      </w:r>
    </w:p>
    <w:p w:rsidR="00E13E54" w:rsidRPr="00B66DFB" w:rsidRDefault="00E13E54" w:rsidP="00E13E54">
      <w:pPr>
        <w:spacing w:after="0" w:line="276" w:lineRule="auto"/>
        <w:rPr>
          <w:rFonts w:ascii="Calibri" w:eastAsia="Times New Roman" w:hAnsi="Calibri" w:cs="Times New Roman"/>
        </w:rPr>
      </w:pPr>
    </w:p>
    <w:p w:rsidR="00E13E54" w:rsidRPr="00B66DFB" w:rsidRDefault="00E13E54" w:rsidP="00E13E54">
      <w:pPr>
        <w:spacing w:after="0" w:line="276" w:lineRule="auto"/>
        <w:rPr>
          <w:rFonts w:ascii="Calibri" w:eastAsia="Times New Roman" w:hAnsi="Calibri" w:cs="Times New Roman"/>
          <w:b/>
        </w:rPr>
      </w:pPr>
      <w:r w:rsidRPr="00B66DFB">
        <w:rPr>
          <w:rFonts w:ascii="Calibri" w:eastAsia="Times New Roman" w:hAnsi="Calibri" w:cs="Times New Roman"/>
          <w:b/>
        </w:rPr>
        <w:t>Výsledky párování pomocí techniky PSM</w:t>
      </w:r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Calibri" w:hAnsi="Calibri" w:cs="Times New Roman"/>
        </w:rPr>
        <w:t>Pro párování projektů PP Technologie bylo k dispozici 897 subjektů z externí databáze pro rok 2015 a 584 subjektů pro rok 2016. Dále byly k dispozici data o nepodpořených subjektech žádajících o podporu, a to 254 pro rok 2015 a 360 pro rok 2016. Soubor všech možných kontrolních subjektů byl tedy o rozsahu 1151 pro rok 2015 a 944 pro rok 2016.</w:t>
      </w:r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Calibri" w:hAnsi="Calibri" w:cs="Times New Roman"/>
        </w:rPr>
        <w:t>Pro PP Marketing bylo k dispozici 921 subjektů z externí databáze s daty z roku 2015 a 575 subjektů s daty z roku 2016. Po zahrnutí i nepodpořených subjektů žádajících o podporu bylo k dispozici pro párování 946 subjektů pro rok 2015 a 588 pro rok 2016.</w:t>
      </w:r>
    </w:p>
    <w:p w:rsidR="00E13E54" w:rsidRPr="00B66DFB" w:rsidRDefault="00E13E54" w:rsidP="00E13E54">
      <w:pPr>
        <w:spacing w:after="0" w:line="276" w:lineRule="auto"/>
        <w:rPr>
          <w:rFonts w:ascii="Calibri" w:eastAsia="Calibri" w:hAnsi="Calibri" w:cs="Times New Roman"/>
        </w:rPr>
      </w:pPr>
    </w:p>
    <w:p w:rsidR="00E13E54" w:rsidRPr="00B66DFB" w:rsidRDefault="00E13E54" w:rsidP="00E13E54">
      <w:pPr>
        <w:spacing w:after="0" w:line="276" w:lineRule="auto"/>
        <w:rPr>
          <w:rFonts w:ascii="Calibri" w:eastAsia="Times New Roman" w:hAnsi="Calibri" w:cs="Times New Roman"/>
        </w:rPr>
      </w:pPr>
      <w:r w:rsidRPr="00B66DFB">
        <w:rPr>
          <w:rFonts w:ascii="Calibri" w:eastAsia="Times New Roman" w:hAnsi="Calibri" w:cs="Times New Roman"/>
        </w:rPr>
        <w:t xml:space="preserve">Výsledné modely zvolené pro výpočet PS pro párování pro jednotlivé programy podpory jsou uvedeny výše v metodické části. Připomeňme, že pro PP </w:t>
      </w:r>
      <w:r w:rsidRPr="00B66DFB">
        <w:rPr>
          <w:rFonts w:ascii="Calibri" w:eastAsia="Calibri" w:hAnsi="Calibri" w:cs="Times New Roman"/>
        </w:rPr>
        <w:t>Technologie</w:t>
      </w:r>
      <w:r w:rsidRPr="00B66DFB">
        <w:rPr>
          <w:rFonts w:ascii="Calibri" w:eastAsia="Times New Roman" w:hAnsi="Calibri" w:cs="Times New Roman"/>
        </w:rPr>
        <w:t xml:space="preserve"> byly uvažovány tři různé </w:t>
      </w:r>
      <w:r w:rsidRPr="00B66DFB">
        <w:rPr>
          <w:rFonts w:ascii="Calibri" w:eastAsia="Times New Roman" w:hAnsi="Calibri" w:cs="Times New Roman"/>
        </w:rPr>
        <w:lastRenderedPageBreak/>
        <w:t xml:space="preserve">párování (s výslednými třemi různými kontrolními vzorky), pro PP Marketing byla provedena dvě různá párování. </w:t>
      </w:r>
    </w:p>
    <w:p w:rsidR="00E13E54" w:rsidRPr="00B66DFB" w:rsidRDefault="00E13E54" w:rsidP="00E13E54">
      <w:pPr>
        <w:spacing w:after="0" w:line="276" w:lineRule="auto"/>
        <w:rPr>
          <w:rFonts w:ascii="Calibri" w:eastAsia="Times New Roman" w:hAnsi="Calibri" w:cs="Times New Roman"/>
        </w:rPr>
      </w:pPr>
      <w:r w:rsidRPr="00B66DFB">
        <w:rPr>
          <w:rFonts w:ascii="Calibri" w:eastAsia="Times New Roman" w:hAnsi="Calibri" w:cs="Times New Roman"/>
        </w:rPr>
        <w:t>Grafy na obrázcích</w:t>
      </w:r>
      <w:r w:rsidR="00E45708" w:rsidRPr="00B66DFB">
        <w:rPr>
          <w:rFonts w:ascii="Calibri" w:eastAsia="Times New Roman" w:hAnsi="Calibri" w:cs="Times New Roman"/>
        </w:rPr>
        <w:t xml:space="preserve">2 </w:t>
      </w:r>
      <w:r w:rsidRPr="00B66DFB">
        <w:rPr>
          <w:rFonts w:ascii="Calibri" w:eastAsia="Times New Roman" w:hAnsi="Calibri" w:cs="Times New Roman"/>
        </w:rPr>
        <w:t xml:space="preserve">až </w:t>
      </w:r>
      <w:r w:rsidR="00E45708" w:rsidRPr="00B66DFB">
        <w:rPr>
          <w:rFonts w:ascii="Calibri" w:eastAsia="Times New Roman" w:hAnsi="Calibri" w:cs="Times New Roman"/>
        </w:rPr>
        <w:t xml:space="preserve">7 </w:t>
      </w:r>
      <w:r w:rsidRPr="00B66DFB">
        <w:rPr>
          <w:rFonts w:ascii="Calibri" w:eastAsia="Times New Roman" w:hAnsi="Calibri" w:cs="Times New Roman"/>
        </w:rPr>
        <w:t xml:space="preserve">zobrazují rozložení PS pro jednotlivá výsledná párování pro PP </w:t>
      </w:r>
      <w:r w:rsidRPr="00B66DFB">
        <w:rPr>
          <w:rFonts w:ascii="Calibri" w:eastAsia="Calibri" w:hAnsi="Calibri" w:cs="Times New Roman"/>
        </w:rPr>
        <w:t>Technologie</w:t>
      </w:r>
      <w:r w:rsidRPr="00B66DFB">
        <w:rPr>
          <w:rFonts w:ascii="Calibri" w:eastAsia="Times New Roman" w:hAnsi="Calibri" w:cs="Times New Roman"/>
        </w:rPr>
        <w:t xml:space="preserve">. Grafy </w:t>
      </w:r>
      <w:r w:rsidR="00E45708" w:rsidRPr="00B66DFB">
        <w:rPr>
          <w:rFonts w:ascii="Calibri" w:eastAsia="Times New Roman" w:hAnsi="Calibri" w:cs="Times New Roman"/>
        </w:rPr>
        <w:t xml:space="preserve">2, 4 </w:t>
      </w:r>
      <w:r w:rsidRPr="00B66DFB">
        <w:rPr>
          <w:rFonts w:ascii="Calibri" w:eastAsia="Times New Roman" w:hAnsi="Calibri" w:cs="Times New Roman"/>
        </w:rPr>
        <w:t xml:space="preserve">a </w:t>
      </w:r>
      <w:r w:rsidR="00E45708" w:rsidRPr="00B66DFB">
        <w:rPr>
          <w:rFonts w:ascii="Calibri" w:eastAsia="Times New Roman" w:hAnsi="Calibri" w:cs="Times New Roman"/>
        </w:rPr>
        <w:t xml:space="preserve">6 </w:t>
      </w:r>
      <w:r w:rsidRPr="00B66DFB">
        <w:rPr>
          <w:rFonts w:ascii="Calibri" w:eastAsia="Times New Roman" w:hAnsi="Calibri" w:cs="Times New Roman"/>
        </w:rPr>
        <w:t xml:space="preserve">zobrazují PS pro nespárované podpořené (žádné nejsou), spárované podpořené, spárované kontrolní a nespárované kontrolní. Grafy </w:t>
      </w:r>
      <w:r w:rsidR="00E45708" w:rsidRPr="00B66DFB">
        <w:rPr>
          <w:rFonts w:ascii="Calibri" w:eastAsia="Times New Roman" w:hAnsi="Calibri" w:cs="Times New Roman"/>
        </w:rPr>
        <w:t>3</w:t>
      </w:r>
      <w:r w:rsidRPr="00B66DFB">
        <w:rPr>
          <w:rFonts w:ascii="Calibri" w:eastAsia="Times New Roman" w:hAnsi="Calibri" w:cs="Times New Roman"/>
        </w:rPr>
        <w:t xml:space="preserve">, </w:t>
      </w:r>
      <w:r w:rsidR="00E45708" w:rsidRPr="00B66DFB">
        <w:rPr>
          <w:rFonts w:ascii="Calibri" w:eastAsia="Times New Roman" w:hAnsi="Calibri" w:cs="Times New Roman"/>
        </w:rPr>
        <w:t xml:space="preserve">5 </w:t>
      </w:r>
      <w:r w:rsidRPr="00B66DFB">
        <w:rPr>
          <w:rFonts w:ascii="Calibri" w:eastAsia="Times New Roman" w:hAnsi="Calibri" w:cs="Times New Roman"/>
        </w:rPr>
        <w:t xml:space="preserve">a </w:t>
      </w:r>
      <w:r w:rsidR="00E45708" w:rsidRPr="00B66DFB">
        <w:rPr>
          <w:rFonts w:ascii="Calibri" w:eastAsia="Times New Roman" w:hAnsi="Calibri" w:cs="Times New Roman"/>
        </w:rPr>
        <w:t>7</w:t>
      </w:r>
      <w:r w:rsidRPr="00B66DFB">
        <w:rPr>
          <w:rFonts w:ascii="Calibri" w:eastAsia="Times New Roman" w:hAnsi="Calibri" w:cs="Times New Roman"/>
        </w:rPr>
        <w:t xml:space="preserve"> pak zobrazují příslušné histogramy. Ze všech grafů je patrné, že výsledná párování byla úspěšná.</w:t>
      </w:r>
    </w:p>
    <w:p w:rsidR="0010695D" w:rsidRPr="00B66DFB" w:rsidRDefault="0010695D" w:rsidP="00E13E54">
      <w:pPr>
        <w:spacing w:after="0" w:line="276" w:lineRule="auto"/>
        <w:rPr>
          <w:rFonts w:ascii="Calibri" w:eastAsia="Times New Roman" w:hAnsi="Calibri" w:cs="Times New Roman"/>
        </w:rPr>
      </w:pPr>
    </w:p>
    <w:p w:rsidR="00E13E54" w:rsidRPr="00B66DFB" w:rsidRDefault="00E13E54" w:rsidP="00E13E54">
      <w:pPr>
        <w:spacing w:after="0" w:line="276" w:lineRule="auto"/>
        <w:rPr>
          <w:rFonts w:ascii="Calibri" w:eastAsia="Times New Roman" w:hAnsi="Calibri" w:cs="Times New Roman"/>
        </w:rPr>
      </w:pPr>
      <w:r w:rsidRPr="00B66DFB">
        <w:rPr>
          <w:rFonts w:ascii="Calibri" w:eastAsia="Times New Roman" w:hAnsi="Calibri" w:cs="Times New Roman"/>
        </w:rPr>
        <w:t xml:space="preserve">Tabulka </w:t>
      </w:r>
      <w:r w:rsidR="0010695D" w:rsidRPr="00B66DFB">
        <w:rPr>
          <w:rFonts w:ascii="Calibri" w:eastAsia="Times New Roman" w:hAnsi="Calibri" w:cs="Times New Roman"/>
        </w:rPr>
        <w:t>1</w:t>
      </w:r>
      <w:r w:rsidRPr="00B66DFB">
        <w:rPr>
          <w:rFonts w:ascii="Calibri" w:eastAsia="Times New Roman" w:hAnsi="Calibri" w:cs="Times New Roman"/>
        </w:rPr>
        <w:t xml:space="preserve"> uvádí p-hodnoty dvouvýběrových t-testů (Welchův test), které porovnávají střední hodnotu jednotlivých veličin pro podpořené a kontrolní subjekty. Jelikož jsou všechny p-hodnoty vyšší než testovací hladina 0.05, je patrné, že úroveň všech veličin se statisticky významně neliší. </w:t>
      </w:r>
    </w:p>
    <w:p w:rsidR="005D4C65" w:rsidRPr="00B66DFB" w:rsidRDefault="005D4C65" w:rsidP="00E13E54">
      <w:pPr>
        <w:spacing w:after="0" w:line="276" w:lineRule="auto"/>
        <w:rPr>
          <w:rFonts w:ascii="Calibri" w:eastAsia="Times New Roman" w:hAnsi="Calibri" w:cs="Times New Roman"/>
        </w:rPr>
      </w:pPr>
    </w:p>
    <w:p w:rsidR="0010695D" w:rsidRPr="00B66DFB" w:rsidRDefault="0010695D" w:rsidP="0010695D">
      <w:pPr>
        <w:pStyle w:val="Titulek"/>
        <w:keepNext/>
        <w:rPr>
          <w:sz w:val="20"/>
          <w:szCs w:val="20"/>
        </w:rPr>
      </w:pPr>
      <w:r w:rsidRPr="00B66DFB">
        <w:rPr>
          <w:sz w:val="20"/>
          <w:szCs w:val="20"/>
        </w:rPr>
        <w:t xml:space="preserve">Tabulka </w:t>
      </w:r>
      <w:r w:rsidRPr="00B66DFB">
        <w:rPr>
          <w:sz w:val="20"/>
          <w:szCs w:val="20"/>
        </w:rPr>
        <w:fldChar w:fldCharType="begin"/>
      </w:r>
      <w:r w:rsidRPr="00B66DFB">
        <w:rPr>
          <w:sz w:val="20"/>
          <w:szCs w:val="20"/>
        </w:rPr>
        <w:instrText xml:space="preserve"> SEQ Tabulka \* ARABIC </w:instrText>
      </w:r>
      <w:r w:rsidRPr="00B66DFB">
        <w:rPr>
          <w:sz w:val="20"/>
          <w:szCs w:val="20"/>
        </w:rPr>
        <w:fldChar w:fldCharType="separate"/>
      </w:r>
      <w:r w:rsidRPr="00B66DFB">
        <w:rPr>
          <w:noProof/>
          <w:sz w:val="20"/>
          <w:szCs w:val="20"/>
        </w:rPr>
        <w:t>1</w:t>
      </w:r>
      <w:r w:rsidRPr="00B66DFB">
        <w:rPr>
          <w:sz w:val="20"/>
          <w:szCs w:val="20"/>
        </w:rPr>
        <w:fldChar w:fldCharType="end"/>
      </w:r>
      <w:r w:rsidRPr="00B66DFB">
        <w:rPr>
          <w:sz w:val="20"/>
          <w:szCs w:val="20"/>
        </w:rPr>
        <w:t>:</w:t>
      </w:r>
      <w:r w:rsidRPr="00B66DFB">
        <w:rPr>
          <w:rFonts w:ascii="Calibri" w:eastAsia="Times New Roman" w:hAnsi="Calibri" w:cs="Times New Roman"/>
          <w:sz w:val="20"/>
          <w:szCs w:val="20"/>
        </w:rPr>
        <w:t xml:space="preserve"> P-hodnoty dvouvýběrových t-testů (Welchův test) porovnávající střední hodnoty jednotlivých veličin v podpořeném a kontrolním vzorku, PP Technologie</w:t>
      </w:r>
    </w:p>
    <w:tbl>
      <w:tblPr>
        <w:tblpPr w:leftFromText="180" w:rightFromText="180" w:vertAnchor="text" w:horzAnchor="page" w:tblpX="1337" w:tblpY="578"/>
        <w:tblW w:w="9171" w:type="dxa"/>
        <w:tblLayout w:type="fixed"/>
        <w:tblLook w:val="04A0" w:firstRow="1" w:lastRow="0" w:firstColumn="1" w:lastColumn="0" w:noHBand="0" w:noVBand="1"/>
      </w:tblPr>
      <w:tblGrid>
        <w:gridCol w:w="659"/>
        <w:gridCol w:w="1059"/>
        <w:gridCol w:w="717"/>
        <w:gridCol w:w="859"/>
        <w:gridCol w:w="859"/>
        <w:gridCol w:w="858"/>
        <w:gridCol w:w="848"/>
        <w:gridCol w:w="828"/>
        <w:gridCol w:w="747"/>
        <w:gridCol w:w="1050"/>
        <w:gridCol w:w="687"/>
      </w:tblGrid>
      <w:tr w:rsidR="0010695D" w:rsidRPr="00B66DFB" w:rsidTr="00A00A0B">
        <w:trPr>
          <w:trHeight w:val="8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0695D" w:rsidRPr="00B66DFB" w:rsidRDefault="0010695D" w:rsidP="001069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Párování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0695D" w:rsidRPr="00B66DFB" w:rsidRDefault="0010695D" w:rsidP="001069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Velikost obce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0695D" w:rsidRPr="00B66DFB" w:rsidRDefault="0010695D" w:rsidP="001069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Počet zam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0695D" w:rsidRPr="00B66DFB" w:rsidRDefault="0010695D" w:rsidP="001069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Počet let existence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0695D" w:rsidRPr="00B66DFB" w:rsidRDefault="0010695D" w:rsidP="001069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Celková aktiva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0695D" w:rsidRPr="00B66DFB" w:rsidRDefault="0010695D" w:rsidP="001069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Oběžná aktiva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0695D" w:rsidRPr="00B66DFB" w:rsidRDefault="0010695D" w:rsidP="001069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Kapitál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0695D" w:rsidRPr="00B66DFB" w:rsidRDefault="0010695D" w:rsidP="001069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Výkony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0695D" w:rsidRPr="00B66DFB" w:rsidRDefault="0010695D" w:rsidP="001069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Tržby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0695D" w:rsidRPr="00B66DFB" w:rsidRDefault="0010695D" w:rsidP="001069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Hosp. výsledek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0695D" w:rsidRPr="00B66DFB" w:rsidRDefault="0010695D" w:rsidP="001069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PS</w:t>
            </w:r>
          </w:p>
        </w:tc>
      </w:tr>
      <w:tr w:rsidR="0010695D" w:rsidRPr="00B66DFB" w:rsidTr="00A00A0B">
        <w:trPr>
          <w:trHeight w:val="32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 xml:space="preserve"> 1.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0,15</w:t>
            </w:r>
          </w:p>
        </w:tc>
      </w:tr>
      <w:tr w:rsidR="0010695D" w:rsidRPr="00B66DFB" w:rsidTr="00A00A0B">
        <w:trPr>
          <w:trHeight w:val="32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2.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0,21</w:t>
            </w:r>
          </w:p>
        </w:tc>
      </w:tr>
      <w:tr w:rsidR="0010695D" w:rsidRPr="00B66DFB" w:rsidTr="00A00A0B">
        <w:trPr>
          <w:trHeight w:val="32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3.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95D" w:rsidRPr="00B66DFB" w:rsidRDefault="0010695D" w:rsidP="0010695D">
            <w:pPr>
              <w:spacing w:after="0" w:line="276" w:lineRule="auto"/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  <w:r w:rsidRPr="00B66DFB">
              <w:rPr>
                <w:rFonts w:ascii="Calibri" w:eastAsia="Times New Roman" w:hAnsi="Calibri" w:cs="Times New Roman"/>
                <w:iCs/>
                <w:sz w:val="18"/>
                <w:szCs w:val="18"/>
              </w:rPr>
              <w:t>0,88</w:t>
            </w:r>
          </w:p>
        </w:tc>
      </w:tr>
    </w:tbl>
    <w:p w:rsidR="0010695D" w:rsidRPr="00B66DFB" w:rsidRDefault="0010695D" w:rsidP="00E13E54">
      <w:pPr>
        <w:spacing w:after="0" w:line="276" w:lineRule="auto"/>
        <w:rPr>
          <w:rFonts w:ascii="Calibri" w:eastAsia="Times New Roman" w:hAnsi="Calibri" w:cs="Times New Roman"/>
        </w:rPr>
      </w:pPr>
    </w:p>
    <w:p w:rsidR="00E13E54" w:rsidRPr="00B66DFB" w:rsidRDefault="00E13E54" w:rsidP="00E13E54">
      <w:pPr>
        <w:keepNext/>
        <w:spacing w:after="200" w:line="240" w:lineRule="auto"/>
        <w:rPr>
          <w:rFonts w:ascii="Calibri" w:eastAsia="Calibri" w:hAnsi="Calibri" w:cs="Times New Roman"/>
          <w:i/>
          <w:iCs/>
          <w:color w:val="1F497D"/>
          <w:sz w:val="20"/>
          <w:szCs w:val="20"/>
        </w:rPr>
      </w:pP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lastRenderedPageBreak/>
        <w:t xml:space="preserve">Obrázek 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begin"/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instrText xml:space="preserve"> SEQ Obrázek \* ARABIC </w:instrTex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separate"/>
      </w:r>
      <w:r w:rsidR="0023336B"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t>2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end"/>
      </w: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>: Rozdělení PS pro párování 1, PP Technologie</w:t>
      </w:r>
    </w:p>
    <w:p w:rsidR="00E13E54" w:rsidRPr="00B66DFB" w:rsidRDefault="00E13E54" w:rsidP="00E13E54">
      <w:pPr>
        <w:keepNext/>
        <w:spacing w:after="20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 wp14:anchorId="7351C68A" wp14:editId="233A9BD0">
            <wp:extent cx="3597722" cy="3381375"/>
            <wp:effectExtent l="0" t="0" r="3175" b="0"/>
            <wp:docPr id="211" name="Obráze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722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5D" w:rsidRPr="00B66DFB" w:rsidRDefault="0010695D" w:rsidP="00E13E54">
      <w:pPr>
        <w:keepNext/>
        <w:spacing w:after="200" w:line="240" w:lineRule="auto"/>
        <w:rPr>
          <w:rFonts w:ascii="Calibri" w:eastAsia="Calibri" w:hAnsi="Calibri" w:cs="Times New Roman"/>
          <w:i/>
          <w:iCs/>
          <w:color w:val="1F497D"/>
          <w:sz w:val="20"/>
          <w:szCs w:val="20"/>
        </w:rPr>
      </w:pPr>
    </w:p>
    <w:p w:rsidR="00E13E54" w:rsidRPr="00B66DFB" w:rsidRDefault="00E13E54" w:rsidP="00E13E54">
      <w:pPr>
        <w:keepNext/>
        <w:spacing w:after="200" w:line="240" w:lineRule="auto"/>
        <w:rPr>
          <w:rFonts w:ascii="Calibri" w:eastAsia="Calibri" w:hAnsi="Calibri" w:cs="Times New Roman"/>
          <w:i/>
          <w:iCs/>
          <w:color w:val="1F497D"/>
          <w:sz w:val="20"/>
          <w:szCs w:val="20"/>
        </w:rPr>
      </w:pP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 xml:space="preserve">Obrázek 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begin"/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instrText xml:space="preserve"> SEQ Obrázek \* ARABIC </w:instrTex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separate"/>
      </w:r>
      <w:r w:rsidR="0023336B"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t>3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end"/>
      </w: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>: Rozdělení PS pro párování 1, PP Technologie</w:t>
      </w:r>
    </w:p>
    <w:p w:rsidR="00E13E54" w:rsidRPr="00B66DFB" w:rsidRDefault="00E13E54" w:rsidP="00E13E54">
      <w:pPr>
        <w:keepNext/>
        <w:spacing w:after="20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1A7841D2" wp14:editId="1281E52A">
            <wp:extent cx="4552950" cy="4276725"/>
            <wp:effectExtent l="0" t="0" r="0" b="9525"/>
            <wp:docPr id="210" name="Obrázek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54" w:rsidRPr="00B66DFB" w:rsidRDefault="00E13E54" w:rsidP="00E13E54">
      <w:pPr>
        <w:keepNext/>
        <w:spacing w:after="200" w:line="240" w:lineRule="auto"/>
        <w:rPr>
          <w:rFonts w:ascii="Calibri" w:eastAsia="Calibri" w:hAnsi="Calibri" w:cs="Times New Roman"/>
          <w:i/>
          <w:iCs/>
          <w:color w:val="1F497D"/>
          <w:sz w:val="20"/>
          <w:szCs w:val="20"/>
        </w:rPr>
      </w:pP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lastRenderedPageBreak/>
        <w:t xml:space="preserve">Obrázek 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begin"/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instrText xml:space="preserve"> SEQ Obrázek \* ARABIC </w:instrTex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separate"/>
      </w:r>
      <w:r w:rsidR="00023E71"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t>4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end"/>
      </w: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>: Rozdělení PS pro párování 2, PP Technologie</w:t>
      </w:r>
    </w:p>
    <w:p w:rsidR="00E13E54" w:rsidRPr="00B66DFB" w:rsidRDefault="00E13E54" w:rsidP="00E13E54">
      <w:pPr>
        <w:keepNext/>
        <w:spacing w:after="20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 wp14:anchorId="1C4147DD" wp14:editId="0F6EA754">
            <wp:extent cx="3400425" cy="3190522"/>
            <wp:effectExtent l="0" t="0" r="0" b="0"/>
            <wp:docPr id="209" name="Obráze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903" cy="32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54" w:rsidRPr="00B66DFB" w:rsidRDefault="00E13E54" w:rsidP="00E13E54">
      <w:pPr>
        <w:keepNext/>
        <w:spacing w:after="200" w:line="240" w:lineRule="auto"/>
        <w:rPr>
          <w:rFonts w:ascii="Calibri" w:eastAsia="Calibri" w:hAnsi="Calibri" w:cs="Times New Roman"/>
          <w:i/>
          <w:iCs/>
          <w:color w:val="1F497D"/>
          <w:sz w:val="20"/>
          <w:szCs w:val="20"/>
        </w:rPr>
      </w:pP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 xml:space="preserve">Obrázek 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begin"/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instrText xml:space="preserve"> SEQ Obrázek \* ARABIC </w:instrTex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separate"/>
      </w:r>
      <w:r w:rsidR="00023E71"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t>5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end"/>
      </w: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>: Rozdělení PS pro párování 2, PP Technologie</w:t>
      </w:r>
    </w:p>
    <w:p w:rsidR="00E13E54" w:rsidRPr="00B66DFB" w:rsidRDefault="00E13E54" w:rsidP="00E13E54">
      <w:pPr>
        <w:keepNext/>
        <w:spacing w:after="20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 wp14:anchorId="23160447" wp14:editId="1EAEEB91">
            <wp:extent cx="4924425" cy="4629150"/>
            <wp:effectExtent l="0" t="0" r="9525" b="0"/>
            <wp:docPr id="208" name="Obráze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54" w:rsidRPr="00B66DFB" w:rsidRDefault="00E13E54" w:rsidP="00E13E54">
      <w:pPr>
        <w:keepNext/>
        <w:spacing w:after="200" w:line="240" w:lineRule="auto"/>
        <w:rPr>
          <w:rFonts w:ascii="Calibri" w:eastAsia="Calibri" w:hAnsi="Calibri" w:cs="Times New Roman"/>
          <w:i/>
          <w:iCs/>
          <w:color w:val="1F497D"/>
          <w:sz w:val="20"/>
          <w:szCs w:val="20"/>
        </w:rPr>
      </w:pP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lastRenderedPageBreak/>
        <w:t xml:space="preserve">Obrázek 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begin"/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instrText xml:space="preserve"> SEQ Obrázek \* ARABIC </w:instrTex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separate"/>
      </w:r>
      <w:r w:rsidR="0010695D"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t>6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end"/>
      </w: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>: PS pro párování 3, PP Technologie</w:t>
      </w:r>
    </w:p>
    <w:p w:rsidR="00E13E54" w:rsidRPr="00B66DFB" w:rsidRDefault="00E13E54" w:rsidP="00E13E54">
      <w:pPr>
        <w:keepNext/>
        <w:spacing w:after="20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 wp14:anchorId="378FD000" wp14:editId="232B5DED">
            <wp:extent cx="3762375" cy="3537353"/>
            <wp:effectExtent l="0" t="0" r="0" b="6350"/>
            <wp:docPr id="207" name="Obráze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978" cy="354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54" w:rsidRPr="00B66DFB" w:rsidRDefault="00E13E54" w:rsidP="00E13E54">
      <w:pPr>
        <w:keepNext/>
        <w:spacing w:after="200" w:line="240" w:lineRule="auto"/>
        <w:rPr>
          <w:rFonts w:ascii="Calibri" w:eastAsia="Calibri" w:hAnsi="Calibri" w:cs="Times New Roman"/>
          <w:i/>
          <w:iCs/>
          <w:color w:val="1F497D"/>
          <w:sz w:val="20"/>
          <w:szCs w:val="20"/>
        </w:rPr>
      </w:pP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 xml:space="preserve">Obrázek 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begin"/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instrText xml:space="preserve"> SEQ Obrázek \* ARABIC </w:instrTex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separate"/>
      </w:r>
      <w:r w:rsidR="00023E71"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t>7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end"/>
      </w: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>: Rozdělení PS pro párování 3, PP Technologie</w:t>
      </w:r>
    </w:p>
    <w:p w:rsidR="00E13E54" w:rsidRPr="00B66DFB" w:rsidRDefault="00E13E54" w:rsidP="00E13E54">
      <w:pPr>
        <w:keepNext/>
        <w:spacing w:after="20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 wp14:anchorId="51BF2357" wp14:editId="2CBB9D12">
            <wp:extent cx="4514850" cy="4248150"/>
            <wp:effectExtent l="0" t="0" r="0" b="0"/>
            <wp:docPr id="206" name="Obráze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54" w:rsidRPr="00B66DFB" w:rsidRDefault="00E13E54" w:rsidP="00E13E54">
      <w:pPr>
        <w:spacing w:after="200" w:line="276" w:lineRule="auto"/>
        <w:rPr>
          <w:rFonts w:ascii="Calibri" w:eastAsia="Times New Roman" w:hAnsi="Calibri" w:cs="Times New Roman"/>
        </w:rPr>
      </w:pPr>
      <w:r w:rsidRPr="00B66DFB">
        <w:rPr>
          <w:rFonts w:ascii="Calibri" w:eastAsia="Times New Roman" w:hAnsi="Calibri" w:cs="Times New Roman"/>
        </w:rPr>
        <w:lastRenderedPageBreak/>
        <w:t xml:space="preserve">Pro program PP Marketing jsme provedli dvě možná párování (popsaná výše, označené jako 2 a 3). Výsledkem jsou dva kontrolní vzorky. Výsledky těchto párování (rozložení PS) jsou zobrazeny v grafech </w:t>
      </w:r>
      <w:r w:rsidR="00E45708" w:rsidRPr="00B66DFB">
        <w:rPr>
          <w:rFonts w:ascii="Calibri" w:eastAsia="Times New Roman" w:hAnsi="Calibri" w:cs="Times New Roman"/>
        </w:rPr>
        <w:t>8</w:t>
      </w:r>
      <w:r w:rsidRPr="00B66DFB">
        <w:rPr>
          <w:rFonts w:ascii="Calibri" w:eastAsia="Times New Roman" w:hAnsi="Calibri" w:cs="Times New Roman"/>
        </w:rPr>
        <w:t xml:space="preserve"> - 1</w:t>
      </w:r>
      <w:r w:rsidR="00E45708" w:rsidRPr="00B66DFB">
        <w:rPr>
          <w:rFonts w:ascii="Calibri" w:eastAsia="Times New Roman" w:hAnsi="Calibri" w:cs="Times New Roman"/>
        </w:rPr>
        <w:t>1</w:t>
      </w:r>
      <w:r w:rsidRPr="00B66DFB">
        <w:rPr>
          <w:rFonts w:ascii="Calibri" w:eastAsia="Times New Roman" w:hAnsi="Calibri" w:cs="Times New Roman"/>
        </w:rPr>
        <w:t xml:space="preserve">, p-hodnoty t-testů jsou uvedeny v Tabulce </w:t>
      </w:r>
      <w:r w:rsidR="00E45708" w:rsidRPr="00B66DFB">
        <w:rPr>
          <w:rFonts w:ascii="Calibri" w:eastAsia="Times New Roman" w:hAnsi="Calibri" w:cs="Times New Roman"/>
        </w:rPr>
        <w:t>2</w:t>
      </w:r>
      <w:r w:rsidRPr="00B66DFB">
        <w:rPr>
          <w:rFonts w:ascii="Calibri" w:eastAsia="Times New Roman" w:hAnsi="Calibri" w:cs="Times New Roman"/>
        </w:rPr>
        <w:t>. Na základě všech těchto výsledků lze opět konstatovat, že výsledky párování jsou uspokojivé.</w:t>
      </w:r>
    </w:p>
    <w:p w:rsidR="0010695D" w:rsidRPr="00B66DFB" w:rsidRDefault="0010695D" w:rsidP="00E13E54">
      <w:pPr>
        <w:spacing w:after="200" w:line="276" w:lineRule="auto"/>
        <w:rPr>
          <w:rFonts w:ascii="Calibri" w:eastAsia="Times New Roman" w:hAnsi="Calibri" w:cs="Times New Roman"/>
        </w:rPr>
      </w:pPr>
    </w:p>
    <w:p w:rsidR="00E13E54" w:rsidRPr="00B66DFB" w:rsidRDefault="00E13E54" w:rsidP="00E13E54">
      <w:pPr>
        <w:keepNext/>
        <w:spacing w:after="200" w:line="240" w:lineRule="auto"/>
        <w:rPr>
          <w:rFonts w:ascii="Calibri" w:eastAsia="Calibri" w:hAnsi="Calibri" w:cs="Times New Roman"/>
          <w:i/>
          <w:iCs/>
          <w:color w:val="1F497D"/>
          <w:sz w:val="20"/>
          <w:szCs w:val="20"/>
        </w:rPr>
      </w:pP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 xml:space="preserve">Tabulka 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begin"/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instrText xml:space="preserve"> SEQ Tabulka \* ARABIC </w:instrTex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separate"/>
      </w:r>
      <w:r w:rsidR="0010695D"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t>2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end"/>
      </w: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>:</w:t>
      </w:r>
      <w:r w:rsidRPr="00B66DFB">
        <w:rPr>
          <w:rFonts w:ascii="Calibri" w:eastAsia="Calibri" w:hAnsi="Calibri" w:cs="Times New Roman"/>
        </w:rPr>
        <w:t xml:space="preserve"> </w:t>
      </w: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 xml:space="preserve">P-hodnoty dvouvýběrových t-testů porovnávajících střední hodnoty jednotlivých veličin, </w:t>
      </w:r>
      <w:r w:rsidRPr="00B66DFB">
        <w:rPr>
          <w:rFonts w:ascii="Calibri" w:eastAsia="Times New Roman" w:hAnsi="Calibri" w:cs="Times New Roman"/>
          <w:i/>
          <w:iCs/>
          <w:color w:val="1F497D"/>
          <w:sz w:val="20"/>
          <w:szCs w:val="20"/>
        </w:rPr>
        <w:t>PP Marketing</w:t>
      </w: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984"/>
        <w:gridCol w:w="879"/>
        <w:gridCol w:w="852"/>
        <w:gridCol w:w="992"/>
        <w:gridCol w:w="992"/>
        <w:gridCol w:w="927"/>
        <w:gridCol w:w="805"/>
        <w:gridCol w:w="812"/>
        <w:gridCol w:w="694"/>
        <w:gridCol w:w="916"/>
        <w:gridCol w:w="627"/>
      </w:tblGrid>
      <w:tr w:rsidR="00E13E54" w:rsidRPr="00B66DFB" w:rsidTr="00E13E54">
        <w:trPr>
          <w:trHeight w:val="6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13E54" w:rsidRPr="00B66DFB" w:rsidRDefault="00E13E54" w:rsidP="00E13E5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Párování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13E54" w:rsidRPr="00B66DFB" w:rsidRDefault="00E13E54" w:rsidP="00E13E5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Velikost obce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13E54" w:rsidRPr="00B66DFB" w:rsidRDefault="00E13E54" w:rsidP="00E13E5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Počet zam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13E54" w:rsidRPr="00B66DFB" w:rsidRDefault="00E13E54" w:rsidP="00E13E5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Počet let existence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13E54" w:rsidRPr="00B66DFB" w:rsidRDefault="00E13E54" w:rsidP="00E13E5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Celková aktiva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13E54" w:rsidRPr="00B66DFB" w:rsidRDefault="00E13E54" w:rsidP="00E13E5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Oběžná aktiva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13E54" w:rsidRPr="00B66DFB" w:rsidRDefault="00E13E54" w:rsidP="00E13E5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Kapitál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13E54" w:rsidRPr="00B66DFB" w:rsidRDefault="00E13E54" w:rsidP="00E13E5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Výkony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13E54" w:rsidRPr="00B66DFB" w:rsidRDefault="00E13E54" w:rsidP="00E13E5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Tržby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13E54" w:rsidRPr="00B66DFB" w:rsidRDefault="00E13E54" w:rsidP="00E13E5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Hosp. výsledek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13E54" w:rsidRPr="00B66DFB" w:rsidRDefault="00E13E54" w:rsidP="00E13E5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PS</w:t>
            </w:r>
          </w:p>
        </w:tc>
      </w:tr>
      <w:tr w:rsidR="00E13E54" w:rsidRPr="00B66DFB" w:rsidTr="00E13E54">
        <w:trPr>
          <w:trHeight w:val="348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0,73</w:t>
            </w:r>
          </w:p>
        </w:tc>
      </w:tr>
      <w:tr w:rsidR="00E13E54" w:rsidRPr="00B66DFB" w:rsidTr="00E13E54">
        <w:trPr>
          <w:trHeight w:val="32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4" w:rsidRPr="00B66DFB" w:rsidRDefault="00E13E54" w:rsidP="00E13E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0,85</w:t>
            </w:r>
          </w:p>
        </w:tc>
      </w:tr>
    </w:tbl>
    <w:p w:rsidR="00E13E54" w:rsidRPr="00B66DFB" w:rsidRDefault="00E13E54" w:rsidP="00E13E54">
      <w:pPr>
        <w:keepNext/>
        <w:spacing w:after="200" w:line="240" w:lineRule="auto"/>
        <w:rPr>
          <w:rFonts w:ascii="Calibri" w:eastAsia="Calibri" w:hAnsi="Calibri" w:cs="Times New Roman"/>
          <w:i/>
          <w:iCs/>
          <w:color w:val="1F497D"/>
          <w:sz w:val="20"/>
          <w:szCs w:val="20"/>
        </w:rPr>
      </w:pP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lastRenderedPageBreak/>
        <w:t xml:space="preserve">Obrázek 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begin"/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instrText xml:space="preserve"> SEQ Obrázek \* ARABIC </w:instrTex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separate"/>
      </w:r>
      <w:r w:rsidR="00023E71"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t>8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end"/>
      </w: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 xml:space="preserve">: Rozložení PS pro párování 2 (výhradně externí subjekty), </w:t>
      </w:r>
      <w:r w:rsidRPr="00B66DFB">
        <w:rPr>
          <w:rFonts w:ascii="Calibri" w:eastAsia="Times New Roman" w:hAnsi="Calibri" w:cs="Times New Roman"/>
          <w:i/>
          <w:iCs/>
          <w:color w:val="1F497D"/>
          <w:sz w:val="20"/>
          <w:szCs w:val="20"/>
        </w:rPr>
        <w:t>PP Marketing</w:t>
      </w:r>
    </w:p>
    <w:p w:rsidR="00E13E54" w:rsidRPr="00B66DFB" w:rsidRDefault="00E13E54" w:rsidP="00E13E54">
      <w:pPr>
        <w:keepNext/>
        <w:spacing w:after="20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 wp14:anchorId="3485748F" wp14:editId="7ED5748D">
            <wp:extent cx="4076700" cy="3832795"/>
            <wp:effectExtent l="0" t="0" r="0" b="0"/>
            <wp:docPr id="205" name="Obráze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106" cy="384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54" w:rsidRPr="00B66DFB" w:rsidRDefault="00E13E54" w:rsidP="00E13E54">
      <w:pPr>
        <w:keepNext/>
        <w:spacing w:after="200" w:line="240" w:lineRule="auto"/>
        <w:rPr>
          <w:rFonts w:ascii="Calibri" w:eastAsia="Calibri" w:hAnsi="Calibri" w:cs="Times New Roman"/>
          <w:i/>
          <w:iCs/>
          <w:color w:val="1F497D"/>
          <w:sz w:val="20"/>
          <w:szCs w:val="20"/>
        </w:rPr>
      </w:pP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 xml:space="preserve">Obrázek 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begin"/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instrText xml:space="preserve"> SEQ Obrázek \* ARABIC </w:instrTex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separate"/>
      </w:r>
      <w:r w:rsidR="0010695D"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t>9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end"/>
      </w: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 xml:space="preserve">: Rozložení PS pro párování 2 (výhradně externí subjekty), </w:t>
      </w:r>
      <w:r w:rsidRPr="00B66DFB">
        <w:rPr>
          <w:rFonts w:ascii="Calibri" w:eastAsia="Times New Roman" w:hAnsi="Calibri" w:cs="Times New Roman"/>
          <w:i/>
          <w:iCs/>
          <w:color w:val="1F497D"/>
          <w:sz w:val="20"/>
          <w:szCs w:val="20"/>
        </w:rPr>
        <w:t>PP Marketing</w:t>
      </w:r>
    </w:p>
    <w:p w:rsidR="00E13E54" w:rsidRPr="00B66DFB" w:rsidRDefault="00E13E54" w:rsidP="00E13E54">
      <w:pPr>
        <w:keepNext/>
        <w:spacing w:after="20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5DE546EC" wp14:editId="3FDEB5C2">
            <wp:extent cx="4276725" cy="4019550"/>
            <wp:effectExtent l="0" t="0" r="9525" b="0"/>
            <wp:docPr id="204" name="Obráze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54" w:rsidRPr="00B66DFB" w:rsidRDefault="00E13E54" w:rsidP="00E13E54">
      <w:pPr>
        <w:keepNext/>
        <w:spacing w:after="200" w:line="240" w:lineRule="auto"/>
        <w:rPr>
          <w:rFonts w:ascii="Calibri" w:eastAsia="Calibri" w:hAnsi="Calibri" w:cs="Times New Roman"/>
          <w:i/>
          <w:iCs/>
          <w:color w:val="1F497D"/>
          <w:sz w:val="20"/>
          <w:szCs w:val="20"/>
        </w:rPr>
      </w:pP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lastRenderedPageBreak/>
        <w:t xml:space="preserve">Obrázek 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begin"/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instrText xml:space="preserve"> SEQ Obrázek \* ARABIC </w:instrTex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separate"/>
      </w:r>
      <w:r w:rsidR="00023E71"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t>10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end"/>
      </w: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 xml:space="preserve">: Rozložení PS pro porovnání 3 (všechny subjekty), </w:t>
      </w:r>
      <w:r w:rsidRPr="00B66DFB">
        <w:rPr>
          <w:rFonts w:ascii="Calibri" w:eastAsia="Times New Roman" w:hAnsi="Calibri" w:cs="Times New Roman"/>
          <w:i/>
          <w:iCs/>
          <w:color w:val="1F497D"/>
          <w:sz w:val="20"/>
          <w:szCs w:val="20"/>
        </w:rPr>
        <w:t>PP Marketing</w:t>
      </w:r>
    </w:p>
    <w:p w:rsidR="00E13E54" w:rsidRPr="00B66DFB" w:rsidRDefault="00E13E54" w:rsidP="00E13E54">
      <w:pPr>
        <w:keepNext/>
        <w:spacing w:after="20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 wp14:anchorId="5DEFAE23" wp14:editId="4EF86CAD">
            <wp:extent cx="3657600" cy="3434171"/>
            <wp:effectExtent l="0" t="0" r="0" b="0"/>
            <wp:docPr id="197" name="Obráze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064" cy="344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54" w:rsidRPr="00B66DFB" w:rsidRDefault="00E13E54" w:rsidP="00E13E54">
      <w:pPr>
        <w:keepNext/>
        <w:spacing w:after="200" w:line="240" w:lineRule="auto"/>
        <w:rPr>
          <w:rFonts w:ascii="Calibri" w:eastAsia="Calibri" w:hAnsi="Calibri" w:cs="Times New Roman"/>
          <w:i/>
          <w:iCs/>
          <w:color w:val="1F497D"/>
          <w:sz w:val="20"/>
          <w:szCs w:val="20"/>
        </w:rPr>
      </w:pP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 xml:space="preserve">Obrázek 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begin"/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instrText xml:space="preserve"> SEQ Obrázek \* ARABIC </w:instrTex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separate"/>
      </w:r>
      <w:r w:rsidR="0010695D"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t>11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end"/>
      </w: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 xml:space="preserve">: Rozložení PS pro porovnání 3 (všechny subjekty), </w:t>
      </w:r>
      <w:r w:rsidRPr="00B66DFB">
        <w:rPr>
          <w:rFonts w:ascii="Calibri" w:eastAsia="Times New Roman" w:hAnsi="Calibri" w:cs="Times New Roman"/>
          <w:i/>
          <w:iCs/>
          <w:color w:val="1F497D"/>
          <w:sz w:val="20"/>
          <w:szCs w:val="20"/>
        </w:rPr>
        <w:t>PP Marketing</w:t>
      </w:r>
    </w:p>
    <w:p w:rsidR="00E13E54" w:rsidRPr="00B66DFB" w:rsidRDefault="00E13E54" w:rsidP="00E13E54">
      <w:pPr>
        <w:keepNext/>
        <w:spacing w:after="200" w:line="276" w:lineRule="auto"/>
        <w:rPr>
          <w:rFonts w:ascii="Calibri" w:eastAsia="Calibri" w:hAnsi="Calibri" w:cs="Times New Roman"/>
        </w:rPr>
      </w:pPr>
      <w:r w:rsidRPr="00B66DFB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 wp14:anchorId="2B6DFB45" wp14:editId="354D586A">
            <wp:extent cx="4733925" cy="4452792"/>
            <wp:effectExtent l="0" t="0" r="0" b="508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260" cy="446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54" w:rsidRPr="00B66DFB" w:rsidRDefault="00E13E54">
      <w:pPr>
        <w:rPr>
          <w:rFonts w:cstheme="minorHAnsi"/>
        </w:rPr>
      </w:pPr>
    </w:p>
    <w:p w:rsidR="000A6379" w:rsidRPr="00B66DFB" w:rsidRDefault="000A6379" w:rsidP="000A6379">
      <w:pPr>
        <w:pStyle w:val="Nadpis3"/>
      </w:pPr>
      <w:r w:rsidRPr="00B66DFB">
        <w:t>Metodika realizace kontrafaktuální analýzy pro potřeby evaluační otázky 5</w:t>
      </w:r>
    </w:p>
    <w:p w:rsidR="00E13E54" w:rsidRPr="00B66DFB" w:rsidRDefault="00E13E54">
      <w:pPr>
        <w:rPr>
          <w:rFonts w:cstheme="minorHAnsi"/>
        </w:rPr>
      </w:pPr>
    </w:p>
    <w:p w:rsidR="000A6379" w:rsidRPr="00B66DFB" w:rsidRDefault="000A6379" w:rsidP="000A6379">
      <w:pPr>
        <w:spacing w:after="0" w:line="276" w:lineRule="auto"/>
        <w:rPr>
          <w:rFonts w:ascii="Calibri" w:eastAsia="Calibri" w:hAnsi="Calibri" w:cs="Calibri"/>
        </w:rPr>
      </w:pPr>
      <w:r w:rsidRPr="00B66DFB">
        <w:rPr>
          <w:rFonts w:ascii="Calibri" w:eastAsia="Calibri" w:hAnsi="Calibri" w:cs="Calibri"/>
        </w:rPr>
        <w:t>Metodika realizace kontrafaktuální analýzy zaměstnanosti je totožná s metodikou uvedenou v evaluační otázce 4.</w:t>
      </w:r>
    </w:p>
    <w:p w:rsidR="000A6379" w:rsidRPr="00B66DFB" w:rsidRDefault="000A6379" w:rsidP="000A6379">
      <w:pPr>
        <w:spacing w:after="0" w:line="276" w:lineRule="auto"/>
        <w:rPr>
          <w:rFonts w:ascii="Calibri" w:eastAsia="Calibri" w:hAnsi="Calibri" w:cs="Calibri"/>
        </w:rPr>
      </w:pPr>
    </w:p>
    <w:p w:rsidR="000A6379" w:rsidRPr="00B66DFB" w:rsidRDefault="000A6379" w:rsidP="000A6379">
      <w:pPr>
        <w:spacing w:after="0" w:line="276" w:lineRule="auto"/>
        <w:rPr>
          <w:rFonts w:ascii="Calibri" w:eastAsia="Times New Roman" w:hAnsi="Calibri" w:cs="Times New Roman"/>
        </w:rPr>
      </w:pPr>
      <w:r w:rsidRPr="00B66DFB">
        <w:rPr>
          <w:rFonts w:ascii="Calibri" w:eastAsia="Times New Roman" w:hAnsi="Calibri" w:cs="Times New Roman"/>
        </w:rPr>
        <w:t xml:space="preserve">Pro proměnnou počtu zaměstnanců bohužel nebyla dostupná data z roku 2017. Tudíž, veškeré výsledky pro tuto proměnnou by mohly být založené pouze na projektech započatých v roce 2015. </w:t>
      </w:r>
    </w:p>
    <w:p w:rsidR="000A6379" w:rsidRPr="00B66DFB" w:rsidRDefault="000A6379" w:rsidP="000A6379">
      <w:pPr>
        <w:spacing w:after="0" w:line="276" w:lineRule="auto"/>
        <w:rPr>
          <w:rFonts w:ascii="Calibri" w:eastAsia="Times New Roman" w:hAnsi="Calibri" w:cs="Times New Roman"/>
        </w:rPr>
      </w:pPr>
    </w:p>
    <w:p w:rsidR="000A6379" w:rsidRPr="00B66DFB" w:rsidRDefault="000A6379" w:rsidP="000A6379">
      <w:pPr>
        <w:spacing w:after="0" w:line="276" w:lineRule="auto"/>
        <w:rPr>
          <w:rFonts w:ascii="Calibri" w:eastAsia="Times New Roman" w:hAnsi="Calibri" w:cs="Times New Roman"/>
        </w:rPr>
      </w:pPr>
      <w:r w:rsidRPr="00B66DFB">
        <w:rPr>
          <w:rFonts w:ascii="Calibri" w:eastAsia="Times New Roman" w:hAnsi="Calibri" w:cs="Times New Roman"/>
        </w:rPr>
        <w:t>V SC 2.1, kterého se analýza vývoje počtu zaměstnanců týká primárně, je ale velmi nízký počet subjektů, u kterých byla realizace zahájena v roce 2015 a zároveň mohou vstoupit do analýzy (jsou ukončené a jsou k nim dostupná data v externí databázi). Z tohoto důvodu byla pro zaměstnanost doplňkově analyzována kategoriální veličina udávající počet zaměstnanců. Tato data byla dostupná pro roky 2014, 2015, 2016 a 2018 (pro rok 2018 byla data stažena z databáze ARES, jde tedy o aktuální zařazení do kategorie počtu zaměstnanců). Na základě regresního modelu byl odhadnut DiD efekt odpovídající jednomu roku a z důvodu lepšího porovnání s ostatními výsledky byl tento efekt přepočten na dva roky (a tento údaj je uváděn v tabulkách).</w:t>
      </w:r>
    </w:p>
    <w:p w:rsidR="000A6379" w:rsidRPr="00B66DFB" w:rsidRDefault="000A6379" w:rsidP="000A6379">
      <w:pPr>
        <w:spacing w:after="0" w:line="276" w:lineRule="auto"/>
        <w:rPr>
          <w:rFonts w:ascii="Calibri" w:eastAsia="Times New Roman" w:hAnsi="Calibri" w:cs="Times New Roman"/>
        </w:rPr>
      </w:pPr>
    </w:p>
    <w:p w:rsidR="000A6379" w:rsidRPr="00B66DFB" w:rsidRDefault="000A6379" w:rsidP="000A6379">
      <w:pPr>
        <w:spacing w:after="0" w:line="276" w:lineRule="auto"/>
        <w:rPr>
          <w:rFonts w:ascii="Calibri" w:eastAsia="Times New Roman" w:hAnsi="Calibri" w:cs="Times New Roman"/>
        </w:rPr>
      </w:pPr>
      <w:r w:rsidRPr="00B66DFB">
        <w:rPr>
          <w:rFonts w:ascii="Calibri" w:eastAsia="Times New Roman" w:hAnsi="Calibri" w:cs="Times New Roman"/>
        </w:rPr>
        <w:t>Je ovšem nutné upozornit, že jde pouze o jakýsi proxy indikátor, který může napovědět, jakým způsobem se vyvíjí zaměstnanost v podpořených podnicích a u kontrolní skupiny. Analýza v zásadě poskytuje odpověď na to, zda u podpořené skupiny dochází častěji k přesunům podpořených subjektů do vyšší kategorie počtu zaměstnanců, než tomu je u kontrolní skupiny.</w:t>
      </w:r>
    </w:p>
    <w:p w:rsidR="000A6379" w:rsidRPr="00B66DFB" w:rsidRDefault="000A6379" w:rsidP="000A6379">
      <w:pPr>
        <w:spacing w:after="0" w:line="276" w:lineRule="auto"/>
        <w:rPr>
          <w:rFonts w:ascii="Calibri" w:eastAsia="Times New Roman" w:hAnsi="Calibri" w:cs="Times New Roman"/>
        </w:rPr>
      </w:pPr>
    </w:p>
    <w:p w:rsidR="000A6379" w:rsidRPr="00B66DFB" w:rsidRDefault="000A6379" w:rsidP="000A6379">
      <w:pPr>
        <w:keepNext/>
        <w:spacing w:after="200" w:line="240" w:lineRule="auto"/>
        <w:rPr>
          <w:rFonts w:ascii="Calibri" w:eastAsia="Calibri" w:hAnsi="Calibri" w:cs="Times New Roman"/>
          <w:i/>
          <w:iCs/>
          <w:color w:val="1F497D"/>
          <w:sz w:val="20"/>
          <w:szCs w:val="20"/>
        </w:rPr>
      </w:pP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 xml:space="preserve">Tabulka 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begin"/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instrText xml:space="preserve"> SEQ Tabulka \* ARABIC </w:instrTex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separate"/>
      </w:r>
      <w:r w:rsidR="0010695D"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t>3</w:t>
      </w:r>
      <w:r w:rsidRPr="00B66DFB">
        <w:rPr>
          <w:rFonts w:ascii="Calibri" w:eastAsia="Calibri" w:hAnsi="Calibri" w:cs="Times New Roman"/>
          <w:i/>
          <w:iCs/>
          <w:noProof/>
          <w:color w:val="1F497D"/>
          <w:sz w:val="20"/>
          <w:szCs w:val="20"/>
        </w:rPr>
        <w:fldChar w:fldCharType="end"/>
      </w:r>
      <w:r w:rsidRPr="00B66DFB">
        <w:rPr>
          <w:rFonts w:ascii="Calibri" w:eastAsia="Calibri" w:hAnsi="Calibri" w:cs="Times New Roman"/>
          <w:i/>
          <w:iCs/>
          <w:color w:val="1F497D"/>
          <w:sz w:val="20"/>
          <w:szCs w:val="20"/>
        </w:rPr>
        <w:t>: Kódování kategoriální zaměstnanosti</w:t>
      </w:r>
    </w:p>
    <w:tbl>
      <w:tblPr>
        <w:tblW w:w="3820" w:type="dxa"/>
        <w:tblLook w:val="04A0" w:firstRow="1" w:lastRow="0" w:firstColumn="1" w:lastColumn="0" w:noHBand="0" w:noVBand="1"/>
      </w:tblPr>
      <w:tblGrid>
        <w:gridCol w:w="1300"/>
        <w:gridCol w:w="2520"/>
      </w:tblGrid>
      <w:tr w:rsidR="000A6379" w:rsidRPr="00B66DFB" w:rsidTr="00A00A0B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379" w:rsidRPr="00B66DFB" w:rsidRDefault="000A6379" w:rsidP="00B66DF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379" w:rsidRPr="00B66DFB" w:rsidRDefault="000A6379" w:rsidP="00B66DF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1 - 5 zaměstnanců</w:t>
            </w:r>
          </w:p>
        </w:tc>
      </w:tr>
      <w:tr w:rsidR="000A6379" w:rsidRPr="00B66DFB" w:rsidTr="00A00A0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379" w:rsidRPr="00B66DFB" w:rsidRDefault="000A6379" w:rsidP="00B66DF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379" w:rsidRPr="00B66DFB" w:rsidRDefault="000A6379" w:rsidP="00B66DF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6 - 9 zaměstnanců</w:t>
            </w:r>
          </w:p>
        </w:tc>
      </w:tr>
      <w:tr w:rsidR="000A6379" w:rsidRPr="00B66DFB" w:rsidTr="00A00A0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379" w:rsidRPr="00B66DFB" w:rsidRDefault="000A6379" w:rsidP="00B66DF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379" w:rsidRPr="00B66DFB" w:rsidRDefault="000A6379" w:rsidP="00B66DF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10 - 19 zaměstnanců</w:t>
            </w:r>
          </w:p>
        </w:tc>
      </w:tr>
      <w:tr w:rsidR="000A6379" w:rsidRPr="00B66DFB" w:rsidTr="00A00A0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379" w:rsidRPr="00B66DFB" w:rsidRDefault="000A6379" w:rsidP="00B66DF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379" w:rsidRPr="00B66DFB" w:rsidRDefault="000A6379" w:rsidP="00B66DF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20 - 24 zaměstnanci</w:t>
            </w:r>
          </w:p>
        </w:tc>
      </w:tr>
      <w:tr w:rsidR="000A6379" w:rsidRPr="00B66DFB" w:rsidTr="00A00A0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379" w:rsidRPr="00B66DFB" w:rsidRDefault="000A6379" w:rsidP="00B66DF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379" w:rsidRPr="00B66DFB" w:rsidRDefault="000A6379" w:rsidP="00B66DF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25 - 49 zaměstnanců</w:t>
            </w:r>
          </w:p>
        </w:tc>
      </w:tr>
      <w:tr w:rsidR="000A6379" w:rsidRPr="00B66DFB" w:rsidTr="00A00A0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379" w:rsidRPr="00B66DFB" w:rsidRDefault="000A6379" w:rsidP="00B66DF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379" w:rsidRPr="00B66DFB" w:rsidRDefault="000A6379" w:rsidP="00B66DF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50 - 99 zaměstnanců</w:t>
            </w:r>
          </w:p>
        </w:tc>
      </w:tr>
      <w:tr w:rsidR="000A6379" w:rsidRPr="00B66DFB" w:rsidTr="00A00A0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379" w:rsidRPr="00B66DFB" w:rsidRDefault="000A6379" w:rsidP="00B66DF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379" w:rsidRPr="00B66DFB" w:rsidRDefault="000A6379" w:rsidP="00B66DF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100 - 199 zaměstnanců</w:t>
            </w:r>
          </w:p>
        </w:tc>
      </w:tr>
      <w:tr w:rsidR="000A6379" w:rsidRPr="00B66DFB" w:rsidTr="00A00A0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379" w:rsidRPr="00B66DFB" w:rsidRDefault="000A6379" w:rsidP="00B66DF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379" w:rsidRPr="00B66DFB" w:rsidRDefault="000A6379" w:rsidP="00B66DF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200-249 zaměstnanců</w:t>
            </w:r>
          </w:p>
        </w:tc>
      </w:tr>
      <w:tr w:rsidR="000A6379" w:rsidRPr="00B66DFB" w:rsidTr="00A00A0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379" w:rsidRPr="00B66DFB" w:rsidRDefault="000A6379" w:rsidP="00B66DF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379" w:rsidRPr="00B66DFB" w:rsidRDefault="000A6379" w:rsidP="00B66DF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250 - 499 zaměstnanců</w:t>
            </w:r>
          </w:p>
        </w:tc>
      </w:tr>
    </w:tbl>
    <w:p w:rsidR="000A6379" w:rsidRPr="00B66DFB" w:rsidRDefault="000A6379" w:rsidP="000A6379">
      <w:pPr>
        <w:spacing w:after="200" w:line="276" w:lineRule="auto"/>
        <w:rPr>
          <w:rFonts w:ascii="Calibri" w:eastAsia="Times New Roman" w:hAnsi="Calibri" w:cs="Times New Roman"/>
          <w:color w:val="FF0000"/>
          <w:lang w:eastAsia="en-GB"/>
        </w:rPr>
      </w:pPr>
    </w:p>
    <w:p w:rsidR="000A6379" w:rsidRPr="00B66DFB" w:rsidRDefault="000A6379">
      <w:pPr>
        <w:rPr>
          <w:rFonts w:cstheme="minorHAnsi"/>
        </w:rPr>
      </w:pPr>
    </w:p>
    <w:sectPr w:rsidR="000A6379" w:rsidRPr="00B66DFB" w:rsidSect="0057651C">
      <w:headerReference w:type="default" r:id="rId19"/>
      <w:footerReference w:type="default" r:id="rId20"/>
      <w:pgSz w:w="11906" w:h="16838"/>
      <w:pgMar w:top="16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80" w:rsidRDefault="00162080" w:rsidP="00E31204">
      <w:pPr>
        <w:spacing w:after="0" w:line="240" w:lineRule="auto"/>
      </w:pPr>
      <w:r>
        <w:separator/>
      </w:r>
    </w:p>
  </w:endnote>
  <w:endnote w:type="continuationSeparator" w:id="0">
    <w:p w:rsidR="00162080" w:rsidRDefault="00162080" w:rsidP="00E3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7211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13E54" w:rsidRPr="00327F64" w:rsidRDefault="00E13E54">
        <w:pPr>
          <w:pStyle w:val="Zpat"/>
          <w:jc w:val="right"/>
          <w:rPr>
            <w:sz w:val="18"/>
            <w:szCs w:val="18"/>
          </w:rPr>
        </w:pPr>
        <w:r w:rsidRPr="00327F64">
          <w:rPr>
            <w:sz w:val="18"/>
            <w:szCs w:val="18"/>
          </w:rPr>
          <w:fldChar w:fldCharType="begin"/>
        </w:r>
        <w:r w:rsidRPr="00327F64">
          <w:rPr>
            <w:sz w:val="18"/>
            <w:szCs w:val="18"/>
          </w:rPr>
          <w:instrText>PAGE   \* MERGEFORMAT</w:instrText>
        </w:r>
        <w:r w:rsidRPr="00327F64">
          <w:rPr>
            <w:sz w:val="18"/>
            <w:szCs w:val="18"/>
          </w:rPr>
          <w:fldChar w:fldCharType="separate"/>
        </w:r>
        <w:r w:rsidR="00B66DFB">
          <w:rPr>
            <w:noProof/>
            <w:sz w:val="18"/>
            <w:szCs w:val="18"/>
          </w:rPr>
          <w:t>1</w:t>
        </w:r>
        <w:r w:rsidRPr="00327F64">
          <w:rPr>
            <w:sz w:val="18"/>
            <w:szCs w:val="18"/>
          </w:rPr>
          <w:fldChar w:fldCharType="end"/>
        </w:r>
      </w:p>
    </w:sdtContent>
  </w:sdt>
  <w:p w:rsidR="00E13E54" w:rsidRDefault="00E13E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80" w:rsidRDefault="00162080" w:rsidP="00E31204">
      <w:pPr>
        <w:spacing w:after="0" w:line="240" w:lineRule="auto"/>
      </w:pPr>
      <w:r>
        <w:separator/>
      </w:r>
    </w:p>
  </w:footnote>
  <w:footnote w:type="continuationSeparator" w:id="0">
    <w:p w:rsidR="00162080" w:rsidRDefault="00162080" w:rsidP="00E3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54" w:rsidRPr="00E31204" w:rsidRDefault="00E13E54" w:rsidP="00E31204">
    <w:pPr>
      <w:pStyle w:val="Zhlav"/>
      <w:rPr>
        <w:b/>
        <w:sz w:val="16"/>
        <w:szCs w:val="16"/>
      </w:rPr>
    </w:pPr>
    <w:r w:rsidRPr="00E31204">
      <w:rPr>
        <w:b/>
        <w:sz w:val="16"/>
        <w:szCs w:val="16"/>
      </w:rPr>
      <w:t>Výsledková evaluace SC 2.1 a 2.2 OP PIK</w:t>
    </w:r>
  </w:p>
  <w:p w:rsidR="00E13E54" w:rsidRPr="00E31204" w:rsidRDefault="00E13E54" w:rsidP="00E31204">
    <w:pPr>
      <w:pStyle w:val="Zhlav"/>
      <w:rPr>
        <w:sz w:val="16"/>
        <w:szCs w:val="16"/>
      </w:rPr>
    </w:pPr>
    <w:r w:rsidRPr="00E31204">
      <w:rPr>
        <w:sz w:val="16"/>
        <w:szCs w:val="16"/>
      </w:rPr>
      <w:t>Závěrečná zpráva</w:t>
    </w:r>
  </w:p>
  <w:p w:rsidR="00E13E54" w:rsidRPr="00E31204" w:rsidRDefault="00E13E54">
    <w:pPr>
      <w:pStyle w:val="Zhlav"/>
      <w:rPr>
        <w:sz w:val="16"/>
        <w:szCs w:val="16"/>
      </w:rPr>
    </w:pPr>
    <w:r w:rsidRPr="00E31204">
      <w:rPr>
        <w:sz w:val="16"/>
        <w:szCs w:val="16"/>
      </w:rPr>
      <w:t xml:space="preserve">Příloha </w:t>
    </w:r>
    <w:r w:rsidR="0010695D">
      <w:rPr>
        <w:sz w:val="16"/>
        <w:szCs w:val="16"/>
      </w:rPr>
      <w:t>8</w:t>
    </w:r>
    <w:r>
      <w:rPr>
        <w:sz w:val="16"/>
        <w:szCs w:val="16"/>
      </w:rPr>
      <w:t>: Metodika kontrafaktuální analýzy</w:t>
    </w:r>
    <w:r w:rsidRPr="0057651C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76A0"/>
    <w:multiLevelType w:val="hybridMultilevel"/>
    <w:tmpl w:val="2ED4E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771B1"/>
    <w:multiLevelType w:val="hybridMultilevel"/>
    <w:tmpl w:val="04AEE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4F72"/>
    <w:multiLevelType w:val="hybridMultilevel"/>
    <w:tmpl w:val="0CD810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4263"/>
    <w:multiLevelType w:val="hybridMultilevel"/>
    <w:tmpl w:val="1186BA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4A7832"/>
    <w:multiLevelType w:val="multilevel"/>
    <w:tmpl w:val="B9FC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A2C6207"/>
    <w:multiLevelType w:val="hybridMultilevel"/>
    <w:tmpl w:val="008A148A"/>
    <w:lvl w:ilvl="0" w:tplc="E9AE6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4F"/>
    <w:rsid w:val="00023E71"/>
    <w:rsid w:val="00032476"/>
    <w:rsid w:val="000A5F2B"/>
    <w:rsid w:val="000A6379"/>
    <w:rsid w:val="000B2119"/>
    <w:rsid w:val="000B71C3"/>
    <w:rsid w:val="0010695D"/>
    <w:rsid w:val="00120527"/>
    <w:rsid w:val="001212CA"/>
    <w:rsid w:val="00162080"/>
    <w:rsid w:val="001B1591"/>
    <w:rsid w:val="001C3EDD"/>
    <w:rsid w:val="002128DB"/>
    <w:rsid w:val="0023336B"/>
    <w:rsid w:val="00292845"/>
    <w:rsid w:val="00327F64"/>
    <w:rsid w:val="00350AE8"/>
    <w:rsid w:val="003C2B21"/>
    <w:rsid w:val="004B2045"/>
    <w:rsid w:val="004C04F5"/>
    <w:rsid w:val="004D4C76"/>
    <w:rsid w:val="004D6351"/>
    <w:rsid w:val="0057651C"/>
    <w:rsid w:val="005D4C65"/>
    <w:rsid w:val="00666C88"/>
    <w:rsid w:val="006A542A"/>
    <w:rsid w:val="007118CA"/>
    <w:rsid w:val="007A672E"/>
    <w:rsid w:val="0080514F"/>
    <w:rsid w:val="00813A90"/>
    <w:rsid w:val="00887C9D"/>
    <w:rsid w:val="00897C97"/>
    <w:rsid w:val="00921F1D"/>
    <w:rsid w:val="00922D19"/>
    <w:rsid w:val="00A42736"/>
    <w:rsid w:val="00A660F9"/>
    <w:rsid w:val="00A73EA8"/>
    <w:rsid w:val="00A823C1"/>
    <w:rsid w:val="00B21853"/>
    <w:rsid w:val="00B66DFB"/>
    <w:rsid w:val="00C034E8"/>
    <w:rsid w:val="00C47C55"/>
    <w:rsid w:val="00C602DE"/>
    <w:rsid w:val="00C96769"/>
    <w:rsid w:val="00CD3226"/>
    <w:rsid w:val="00D76759"/>
    <w:rsid w:val="00D81D64"/>
    <w:rsid w:val="00DC24C7"/>
    <w:rsid w:val="00E13E54"/>
    <w:rsid w:val="00E31204"/>
    <w:rsid w:val="00E45708"/>
    <w:rsid w:val="00F63B49"/>
    <w:rsid w:val="00F7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C69E392-F220-4E06-8ACE-00BDB45F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14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1204"/>
    <w:pPr>
      <w:keepNext/>
      <w:keepLines/>
      <w:numPr>
        <w:ilvl w:val="1"/>
        <w:numId w:val="1"/>
      </w:numPr>
      <w:spacing w:after="120" w:line="276" w:lineRule="auto"/>
      <w:ind w:left="576" w:hanging="576"/>
      <w:outlineLvl w:val="1"/>
    </w:pPr>
    <w:rPr>
      <w:rFonts w:ascii="Calibri" w:eastAsiaTheme="majorEastAsia" w:hAnsi="Calibri" w:cs="Calibri"/>
      <w:b/>
      <w:bCs/>
      <w:color w:val="232E83"/>
      <w:sz w:val="26"/>
      <w:szCs w:val="26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3E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204"/>
  </w:style>
  <w:style w:type="paragraph" w:styleId="Zpat">
    <w:name w:val="footer"/>
    <w:basedOn w:val="Normln"/>
    <w:link w:val="ZpatChar"/>
    <w:uiPriority w:val="99"/>
    <w:unhideWhenUsed/>
    <w:rsid w:val="00E3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204"/>
  </w:style>
  <w:style w:type="character" w:customStyle="1" w:styleId="Nadpis2Char">
    <w:name w:val="Nadpis 2 Char"/>
    <w:basedOn w:val="Standardnpsmoodstavce"/>
    <w:link w:val="Nadpis2"/>
    <w:uiPriority w:val="9"/>
    <w:rsid w:val="00E31204"/>
    <w:rPr>
      <w:rFonts w:ascii="Calibri" w:eastAsiaTheme="majorEastAsia" w:hAnsi="Calibri" w:cs="Calibri"/>
      <w:b/>
      <w:bCs/>
      <w:color w:val="232E83"/>
      <w:sz w:val="26"/>
      <w:szCs w:val="26"/>
      <w:lang w:eastAsia="sk-SK"/>
    </w:rPr>
  </w:style>
  <w:style w:type="paragraph" w:styleId="Odstavecseseznamem">
    <w:name w:val="List Paragraph"/>
    <w:basedOn w:val="Normln"/>
    <w:uiPriority w:val="34"/>
    <w:qFormat/>
    <w:rsid w:val="004C04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E54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023E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0A637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B8233-1C46-46DE-838F-10EFD0A7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1513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</dc:creator>
  <cp:keywords/>
  <dc:description/>
  <cp:lastModifiedBy>kucera</cp:lastModifiedBy>
  <cp:revision>3</cp:revision>
  <dcterms:created xsi:type="dcterms:W3CDTF">2019-02-19T06:15:00Z</dcterms:created>
  <dcterms:modified xsi:type="dcterms:W3CDTF">2019-02-19T06:17:00Z</dcterms:modified>
</cp:coreProperties>
</file>