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eastAsiaTheme="majorEastAsia" w:hAnsi="Verdana" w:cstheme="minorBidi"/>
          <w:b/>
          <w:bCs/>
          <w:color w:val="62B5E5" w:themeColor="accent3"/>
          <w:sz w:val="18"/>
          <w:szCs w:val="28"/>
          <w:lang w:eastAsia="en-US"/>
        </w:rPr>
        <w:id w:val="144289988"/>
        <w:docPartObj>
          <w:docPartGallery w:val="Cover Pages"/>
          <w:docPartUnique/>
        </w:docPartObj>
      </w:sdtPr>
      <w:sdtEndPr>
        <w:rPr>
          <w:rFonts w:asciiTheme="majorHAnsi" w:eastAsia="Verdana" w:hAnsiTheme="majorHAnsi" w:cs="Tahoma"/>
          <w:bCs w:val="0"/>
          <w:color w:val="00000A"/>
          <w:sz w:val="19"/>
          <w:szCs w:val="22"/>
          <w:lang w:eastAsia="cs-CZ"/>
        </w:rPr>
      </w:sdtEndPr>
      <w:sdtContent>
        <w:p w14:paraId="1F31F73D" w14:textId="77777777" w:rsidR="00AF402B" w:rsidRDefault="0021646A" w:rsidP="00065D58">
          <w:pPr>
            <w:pStyle w:val="Bntext"/>
            <w:rPr>
              <w:sz w:val="6"/>
              <w:szCs w:val="6"/>
            </w:rPr>
          </w:pPr>
          <w:r>
            <w:rPr>
              <w:noProof/>
            </w:rPr>
            <w:drawing>
              <wp:anchor distT="0" distB="0" distL="114300" distR="114300" simplePos="0" relativeHeight="251657728" behindDoc="0" locked="0" layoutInCell="1" allowOverlap="1" wp14:anchorId="52FEFA5F" wp14:editId="1AD7F34B">
                <wp:simplePos x="0" y="0"/>
                <wp:positionH relativeFrom="page">
                  <wp:posOffset>431800</wp:posOffset>
                </wp:positionH>
                <wp:positionV relativeFrom="page">
                  <wp:posOffset>431800</wp:posOffset>
                </wp:positionV>
                <wp:extent cx="1832610" cy="345440"/>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8" cstate="print"/>
                        <a:stretch>
                          <a:fillRect/>
                        </a:stretch>
                      </pic:blipFill>
                      <pic:spPr bwMode="auto">
                        <a:xfrm>
                          <a:off x="0" y="0"/>
                          <a:ext cx="1832610" cy="345440"/>
                        </a:xfrm>
                        <a:prstGeom prst="rect">
                          <a:avLst/>
                        </a:prstGeom>
                      </pic:spPr>
                    </pic:pic>
                  </a:graphicData>
                </a:graphic>
              </wp:anchor>
            </w:drawing>
          </w:r>
        </w:p>
        <w:p w14:paraId="5AE68FA3" w14:textId="77777777" w:rsidR="00AF402B" w:rsidRDefault="00AF402B">
          <w:pPr>
            <w:spacing w:after="200" w:line="276" w:lineRule="auto"/>
            <w:rPr>
              <w:sz w:val="6"/>
              <w:szCs w:val="6"/>
            </w:rPr>
          </w:pPr>
        </w:p>
        <w:p w14:paraId="5A214E0F" w14:textId="77777777" w:rsidR="00AF402B" w:rsidRDefault="009E19FA" w:rsidP="007A18E2">
          <w:pPr>
            <w:spacing w:after="200" w:line="276" w:lineRule="auto"/>
            <w:jc w:val="center"/>
            <w:rPr>
              <w:sz w:val="6"/>
              <w:szCs w:val="6"/>
            </w:rPr>
          </w:pPr>
          <w:r w:rsidRPr="009E19FA">
            <w:rPr>
              <w:noProof/>
              <w:sz w:val="6"/>
              <w:szCs w:val="6"/>
              <w:lang w:eastAsia="cs-CZ"/>
            </w:rPr>
            <w:drawing>
              <wp:inline distT="0" distB="0" distL="0" distR="0" wp14:anchorId="699D437C" wp14:editId="5132D193">
                <wp:extent cx="5322498" cy="4890631"/>
                <wp:effectExtent l="0" t="0" r="0" b="5715"/>
                <wp:docPr id="2" name="Picture 2" descr="C:\Users\nkrizanova\AppData\Local\Packages\Microsoft.MicrosoftEdge_8wekyb3d8bbwe\TempState\Downloads\LightBulbs_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rizanova\AppData\Local\Packages\Microsoft.MicrosoftEdge_8wekyb3d8bbwe\TempState\Downloads\LightBulbs_l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93" t="10642" r="10348" b="15151"/>
                        <a:stretch/>
                      </pic:blipFill>
                      <pic:spPr bwMode="auto">
                        <a:xfrm>
                          <a:off x="0" y="0"/>
                          <a:ext cx="5329284" cy="4896866"/>
                        </a:xfrm>
                        <a:prstGeom prst="rect">
                          <a:avLst/>
                        </a:prstGeom>
                        <a:noFill/>
                        <a:ln>
                          <a:noFill/>
                        </a:ln>
                        <a:extLst>
                          <a:ext uri="{53640926-AAD7-44D8-BBD7-CCE9431645EC}">
                            <a14:shadowObscured xmlns:a14="http://schemas.microsoft.com/office/drawing/2010/main"/>
                          </a:ext>
                        </a:extLst>
                      </pic:spPr>
                    </pic:pic>
                  </a:graphicData>
                </a:graphic>
              </wp:inline>
            </w:drawing>
          </w:r>
        </w:p>
        <w:p w14:paraId="4ABC7A3A" w14:textId="77777777" w:rsidR="00AF402B" w:rsidRDefault="00AF402B">
          <w:pPr>
            <w:spacing w:after="200" w:line="276" w:lineRule="auto"/>
            <w:rPr>
              <w:sz w:val="6"/>
              <w:szCs w:val="6"/>
            </w:rPr>
          </w:pPr>
        </w:p>
        <w:p w14:paraId="3BA9E8AC" w14:textId="77777777" w:rsidR="001C089A" w:rsidRDefault="001C089A">
          <w:pPr>
            <w:spacing w:after="200" w:line="276" w:lineRule="auto"/>
            <w:rPr>
              <w:sz w:val="6"/>
              <w:szCs w:val="6"/>
            </w:rPr>
          </w:pPr>
        </w:p>
        <w:p w14:paraId="004FF404" w14:textId="77777777" w:rsidR="001C089A" w:rsidRDefault="00D3060A" w:rsidP="001C089A">
          <w:pPr>
            <w:pStyle w:val="Documentsubtitle"/>
            <w:spacing w:after="0" w:line="240" w:lineRule="auto"/>
            <w:rPr>
              <w:sz w:val="32"/>
            </w:rPr>
          </w:pPr>
          <w:r w:rsidRPr="00D3060A">
            <w:rPr>
              <w:sz w:val="32"/>
            </w:rPr>
            <w:t>Výsledková evaluace specifického cíle 1.1 Operačního programu Podnikání</w:t>
          </w:r>
          <w:r w:rsidR="00B10CFA">
            <w:rPr>
              <w:sz w:val="32"/>
            </w:rPr>
            <w:t xml:space="preserve"> a </w:t>
          </w:r>
          <w:r w:rsidRPr="00D3060A">
            <w:rPr>
              <w:sz w:val="32"/>
            </w:rPr>
            <w:t xml:space="preserve">inovace pro </w:t>
          </w:r>
          <w:r w:rsidR="00CC065C">
            <w:rPr>
              <w:sz w:val="32"/>
            </w:rPr>
            <w:t>ko</w:t>
          </w:r>
          <w:r w:rsidRPr="00D3060A">
            <w:rPr>
              <w:sz w:val="32"/>
            </w:rPr>
            <w:t>nkurenceschopnost</w:t>
          </w:r>
        </w:p>
        <w:p w14:paraId="1650F5A7" w14:textId="77777777" w:rsidR="00CC065C" w:rsidRPr="001C089A" w:rsidRDefault="00CC065C" w:rsidP="001C089A">
          <w:pPr>
            <w:pStyle w:val="Documentsubtitle"/>
            <w:spacing w:after="0" w:line="240" w:lineRule="auto"/>
            <w:rPr>
              <w:sz w:val="32"/>
            </w:rPr>
          </w:pPr>
        </w:p>
        <w:p w14:paraId="3AECC3FD" w14:textId="77777777" w:rsidR="001C089A" w:rsidRDefault="001C089A" w:rsidP="001C089A">
          <w:pPr>
            <w:pStyle w:val="Documentsubtitle"/>
            <w:spacing w:after="0" w:line="240" w:lineRule="auto"/>
            <w:rPr>
              <w:sz w:val="32"/>
            </w:rPr>
          </w:pPr>
          <w:r w:rsidRPr="001C089A">
            <w:rPr>
              <w:sz w:val="32"/>
            </w:rPr>
            <w:t>Česká republika – Ministerstvo průmyslu</w:t>
          </w:r>
          <w:r w:rsidR="00B10CFA">
            <w:rPr>
              <w:sz w:val="32"/>
            </w:rPr>
            <w:t xml:space="preserve"> a </w:t>
          </w:r>
          <w:r w:rsidRPr="001C089A">
            <w:rPr>
              <w:sz w:val="32"/>
            </w:rPr>
            <w:t>obchodu</w:t>
          </w:r>
        </w:p>
        <w:p w14:paraId="28278B39" w14:textId="77777777" w:rsidR="001C089A" w:rsidRDefault="001C089A" w:rsidP="001C089A">
          <w:pPr>
            <w:pStyle w:val="Documentsubtitle"/>
            <w:spacing w:after="0" w:line="240" w:lineRule="auto"/>
            <w:rPr>
              <w:b/>
              <w:sz w:val="32"/>
            </w:rPr>
          </w:pPr>
        </w:p>
        <w:p w14:paraId="1014CC3F" w14:textId="77777777" w:rsidR="001C089A" w:rsidRDefault="00B2069E" w:rsidP="001C089A">
          <w:pPr>
            <w:pStyle w:val="Documentsubtitle"/>
            <w:spacing w:after="0" w:line="240" w:lineRule="auto"/>
            <w:rPr>
              <w:b/>
              <w:sz w:val="32"/>
            </w:rPr>
          </w:pPr>
          <w:r>
            <w:rPr>
              <w:b/>
              <w:sz w:val="32"/>
            </w:rPr>
            <w:t>Závěrečná</w:t>
          </w:r>
          <w:r w:rsidR="00DC3CD2">
            <w:rPr>
              <w:b/>
              <w:sz w:val="32"/>
            </w:rPr>
            <w:t xml:space="preserve"> </w:t>
          </w:r>
          <w:r w:rsidR="00BA06A0">
            <w:rPr>
              <w:b/>
              <w:sz w:val="32"/>
            </w:rPr>
            <w:t>zpráva</w:t>
          </w:r>
          <w:r w:rsidR="001C089A">
            <w:rPr>
              <w:b/>
              <w:sz w:val="32"/>
            </w:rPr>
            <w:t xml:space="preserve"> </w:t>
          </w:r>
        </w:p>
        <w:p w14:paraId="08EC4BC1" w14:textId="77777777" w:rsidR="001C089A" w:rsidRDefault="001C089A" w:rsidP="001C089A">
          <w:pPr>
            <w:pStyle w:val="Documentsubtitle"/>
            <w:spacing w:after="0" w:line="240" w:lineRule="auto"/>
            <w:rPr>
              <w:sz w:val="18"/>
              <w:szCs w:val="18"/>
            </w:rPr>
          </w:pPr>
        </w:p>
        <w:p w14:paraId="6C22EDCC" w14:textId="6AA44E50" w:rsidR="00753F79" w:rsidRPr="00EC48D2" w:rsidRDefault="00DF546A" w:rsidP="00EC48D2">
          <w:pPr>
            <w:pStyle w:val="Bntext"/>
            <w:rPr>
              <w:rFonts w:asciiTheme="majorHAnsi" w:hAnsiTheme="majorHAnsi"/>
              <w:b/>
            </w:rPr>
          </w:pPr>
          <w:r>
            <w:rPr>
              <w:rFonts w:asciiTheme="majorHAnsi" w:hAnsiTheme="majorHAnsi"/>
              <w:b/>
            </w:rPr>
            <w:t>Finální v</w:t>
          </w:r>
          <w:r w:rsidR="001C089A" w:rsidRPr="00EC48D2">
            <w:rPr>
              <w:rFonts w:asciiTheme="majorHAnsi" w:hAnsiTheme="majorHAnsi"/>
              <w:b/>
            </w:rPr>
            <w:t>erze</w:t>
          </w:r>
          <w:r>
            <w:rPr>
              <w:rFonts w:asciiTheme="majorHAnsi" w:hAnsiTheme="majorHAnsi"/>
              <w:b/>
            </w:rPr>
            <w:t>,</w:t>
          </w:r>
          <w:r w:rsidR="001C089A" w:rsidRPr="00EC48D2">
            <w:rPr>
              <w:rFonts w:asciiTheme="majorHAnsi" w:hAnsiTheme="majorHAnsi"/>
              <w:b/>
            </w:rPr>
            <w:t xml:space="preserve"> </w:t>
          </w:r>
          <w:r w:rsidR="00F77CAE">
            <w:rPr>
              <w:rFonts w:asciiTheme="majorHAnsi" w:hAnsiTheme="majorHAnsi"/>
              <w:b/>
            </w:rPr>
            <w:t>19</w:t>
          </w:r>
          <w:bookmarkStart w:id="0" w:name="_GoBack"/>
          <w:bookmarkEnd w:id="0"/>
          <w:r w:rsidR="00EE3684">
            <w:rPr>
              <w:rFonts w:asciiTheme="majorHAnsi" w:hAnsiTheme="majorHAnsi"/>
              <w:b/>
            </w:rPr>
            <w:t>. 6</w:t>
          </w:r>
          <w:r w:rsidR="001C089A" w:rsidRPr="00EC48D2">
            <w:rPr>
              <w:rFonts w:asciiTheme="majorHAnsi" w:hAnsiTheme="majorHAnsi"/>
              <w:b/>
            </w:rPr>
            <w:t>. 201</w:t>
          </w:r>
          <w:r w:rsidR="0088124C" w:rsidRPr="00EC48D2">
            <w:rPr>
              <w:rFonts w:asciiTheme="majorHAnsi" w:hAnsiTheme="majorHAnsi"/>
              <w:b/>
            </w:rPr>
            <w:t>9</w:t>
          </w:r>
        </w:p>
      </w:sdtContent>
    </w:sdt>
    <w:p w14:paraId="13099E47" w14:textId="77777777" w:rsidR="00753F79" w:rsidRPr="00EC48D2" w:rsidRDefault="00753F79" w:rsidP="00EC48D2">
      <w:pPr>
        <w:pStyle w:val="Bntext"/>
        <w:rPr>
          <w:rFonts w:asciiTheme="majorHAnsi" w:hAnsiTheme="majorHAnsi"/>
          <w:b/>
        </w:rPr>
        <w:sectPr w:rsidR="00753F79" w:rsidRPr="00EC48D2" w:rsidSect="00B75692">
          <w:headerReference w:type="even" r:id="rId10"/>
          <w:headerReference w:type="default" r:id="rId11"/>
          <w:footerReference w:type="even" r:id="rId12"/>
          <w:footerReference w:type="default" r:id="rId13"/>
          <w:headerReference w:type="first" r:id="rId14"/>
          <w:footerReference w:type="first" r:id="rId15"/>
          <w:pgSz w:w="11906" w:h="16838"/>
          <w:pgMar w:top="1985" w:right="1134" w:bottom="1134" w:left="1134" w:header="680" w:footer="567" w:gutter="0"/>
          <w:cols w:space="708"/>
          <w:formProt w:val="0"/>
          <w:titlePg/>
          <w:docGrid w:linePitch="360" w:charSpace="6143"/>
        </w:sectPr>
      </w:pPr>
    </w:p>
    <w:p w14:paraId="7309C44F" w14:textId="77777777" w:rsidR="00AF402B" w:rsidRPr="00811A8E" w:rsidRDefault="0021646A" w:rsidP="009E19FA">
      <w:pPr>
        <w:pStyle w:val="Heading1"/>
        <w:spacing w:after="120"/>
        <w:rPr>
          <w:rFonts w:ascii="Verdana" w:eastAsia="MingLiU" w:hAnsi="Verdana" w:cs="Times New Roman"/>
          <w:b w:val="0"/>
          <w:color w:val="auto"/>
          <w:sz w:val="60"/>
          <w:szCs w:val="60"/>
        </w:rPr>
      </w:pPr>
      <w:bookmarkStart w:id="1" w:name="_Toc535414978"/>
      <w:bookmarkStart w:id="2" w:name="_Toc535415237"/>
      <w:bookmarkStart w:id="3" w:name="_Toc11679602"/>
      <w:r w:rsidRPr="00811A8E">
        <w:rPr>
          <w:rFonts w:ascii="Verdana" w:eastAsia="MingLiU" w:hAnsi="Verdana" w:cs="Times New Roman"/>
          <w:b w:val="0"/>
          <w:color w:val="auto"/>
          <w:sz w:val="60"/>
          <w:szCs w:val="60"/>
        </w:rPr>
        <w:t>Obsah</w:t>
      </w:r>
      <w:bookmarkEnd w:id="1"/>
      <w:bookmarkEnd w:id="2"/>
      <w:bookmarkEnd w:id="3"/>
    </w:p>
    <w:p w14:paraId="58BD0595" w14:textId="0B44F2C9" w:rsidR="00BC33EC" w:rsidRDefault="00145574">
      <w:pPr>
        <w:pStyle w:val="TOC1"/>
        <w:tabs>
          <w:tab w:val="right" w:leader="dot" w:pos="9628"/>
        </w:tabs>
        <w:rPr>
          <w:rFonts w:eastAsiaTheme="minorEastAsia"/>
          <w:b w:val="0"/>
          <w:bCs w:val="0"/>
          <w:caps w:val="0"/>
          <w:noProof/>
          <w:color w:val="auto"/>
          <w:sz w:val="22"/>
          <w:szCs w:val="22"/>
          <w:lang w:eastAsia="cs-CZ"/>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11679602" w:history="1">
        <w:r w:rsidR="00BC33EC" w:rsidRPr="002E263B">
          <w:rPr>
            <w:rStyle w:val="Hyperlink"/>
            <w:rFonts w:ascii="Verdana" w:eastAsia="MingLiU" w:hAnsi="Verdana" w:cs="Times New Roman"/>
            <w:noProof/>
          </w:rPr>
          <w:t>Obsah</w:t>
        </w:r>
        <w:r w:rsidR="00BC33EC">
          <w:rPr>
            <w:noProof/>
            <w:webHidden/>
          </w:rPr>
          <w:tab/>
        </w:r>
        <w:r w:rsidR="00BC33EC">
          <w:rPr>
            <w:noProof/>
            <w:webHidden/>
          </w:rPr>
          <w:fldChar w:fldCharType="begin"/>
        </w:r>
        <w:r w:rsidR="00BC33EC">
          <w:rPr>
            <w:noProof/>
            <w:webHidden/>
          </w:rPr>
          <w:instrText xml:space="preserve"> PAGEREF _Toc11679602 \h </w:instrText>
        </w:r>
        <w:r w:rsidR="00BC33EC">
          <w:rPr>
            <w:noProof/>
            <w:webHidden/>
          </w:rPr>
        </w:r>
        <w:r w:rsidR="00BC33EC">
          <w:rPr>
            <w:noProof/>
            <w:webHidden/>
          </w:rPr>
          <w:fldChar w:fldCharType="separate"/>
        </w:r>
        <w:r w:rsidR="00F77CAE">
          <w:rPr>
            <w:noProof/>
            <w:webHidden/>
          </w:rPr>
          <w:t>2</w:t>
        </w:r>
        <w:r w:rsidR="00BC33EC">
          <w:rPr>
            <w:noProof/>
            <w:webHidden/>
          </w:rPr>
          <w:fldChar w:fldCharType="end"/>
        </w:r>
      </w:hyperlink>
    </w:p>
    <w:p w14:paraId="668BFAC5" w14:textId="60A5B5DA"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03" w:history="1">
        <w:r w:rsidR="00BC33EC" w:rsidRPr="002E263B">
          <w:rPr>
            <w:rStyle w:val="Hyperlink"/>
            <w:rFonts w:ascii="Verdana" w:eastAsia="MingLiU" w:hAnsi="Verdana" w:cs="Times New Roman"/>
            <w:noProof/>
          </w:rPr>
          <w:t>Seznam zkratek</w:t>
        </w:r>
        <w:r w:rsidR="00BC33EC">
          <w:rPr>
            <w:noProof/>
            <w:webHidden/>
          </w:rPr>
          <w:tab/>
        </w:r>
        <w:r w:rsidR="00BC33EC">
          <w:rPr>
            <w:noProof/>
            <w:webHidden/>
          </w:rPr>
          <w:fldChar w:fldCharType="begin"/>
        </w:r>
        <w:r w:rsidR="00BC33EC">
          <w:rPr>
            <w:noProof/>
            <w:webHidden/>
          </w:rPr>
          <w:instrText xml:space="preserve"> PAGEREF _Toc11679603 \h </w:instrText>
        </w:r>
        <w:r w:rsidR="00BC33EC">
          <w:rPr>
            <w:noProof/>
            <w:webHidden/>
          </w:rPr>
        </w:r>
        <w:r w:rsidR="00BC33EC">
          <w:rPr>
            <w:noProof/>
            <w:webHidden/>
          </w:rPr>
          <w:fldChar w:fldCharType="separate"/>
        </w:r>
        <w:r w:rsidR="00F77CAE">
          <w:rPr>
            <w:noProof/>
            <w:webHidden/>
          </w:rPr>
          <w:t>3</w:t>
        </w:r>
        <w:r w:rsidR="00BC33EC">
          <w:rPr>
            <w:noProof/>
            <w:webHidden/>
          </w:rPr>
          <w:fldChar w:fldCharType="end"/>
        </w:r>
      </w:hyperlink>
    </w:p>
    <w:p w14:paraId="23204903" w14:textId="02E5F85B"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04" w:history="1">
        <w:r w:rsidR="00BC33EC" w:rsidRPr="002E263B">
          <w:rPr>
            <w:rStyle w:val="Hyperlink"/>
            <w:rFonts w:ascii="Verdana" w:eastAsia="MingLiU" w:hAnsi="Verdana" w:cs="Times New Roman"/>
            <w:noProof/>
          </w:rPr>
          <w:t>1</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Manažerské shrnutí</w:t>
        </w:r>
        <w:r w:rsidR="00BC33EC">
          <w:rPr>
            <w:noProof/>
            <w:webHidden/>
          </w:rPr>
          <w:tab/>
        </w:r>
        <w:r w:rsidR="00BC33EC">
          <w:rPr>
            <w:noProof/>
            <w:webHidden/>
          </w:rPr>
          <w:fldChar w:fldCharType="begin"/>
        </w:r>
        <w:r w:rsidR="00BC33EC">
          <w:rPr>
            <w:noProof/>
            <w:webHidden/>
          </w:rPr>
          <w:instrText xml:space="preserve"> PAGEREF _Toc11679604 \h </w:instrText>
        </w:r>
        <w:r w:rsidR="00BC33EC">
          <w:rPr>
            <w:noProof/>
            <w:webHidden/>
          </w:rPr>
        </w:r>
        <w:r w:rsidR="00BC33EC">
          <w:rPr>
            <w:noProof/>
            <w:webHidden/>
          </w:rPr>
          <w:fldChar w:fldCharType="separate"/>
        </w:r>
        <w:r w:rsidR="00F77CAE">
          <w:rPr>
            <w:noProof/>
            <w:webHidden/>
          </w:rPr>
          <w:t>4</w:t>
        </w:r>
        <w:r w:rsidR="00BC33EC">
          <w:rPr>
            <w:noProof/>
            <w:webHidden/>
          </w:rPr>
          <w:fldChar w:fldCharType="end"/>
        </w:r>
      </w:hyperlink>
    </w:p>
    <w:p w14:paraId="289DABB8" w14:textId="72A594DF"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05" w:history="1">
        <w:r w:rsidR="00BC33EC" w:rsidRPr="002E263B">
          <w:rPr>
            <w:rStyle w:val="Hyperlink"/>
            <w:rFonts w:ascii="Verdana" w:eastAsia="MingLiU" w:hAnsi="Verdana" w:cs="Times New Roman"/>
            <w:noProof/>
          </w:rPr>
          <w:t>2</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Executive summary</w:t>
        </w:r>
        <w:r w:rsidR="00BC33EC">
          <w:rPr>
            <w:noProof/>
            <w:webHidden/>
          </w:rPr>
          <w:tab/>
        </w:r>
        <w:r w:rsidR="00BC33EC">
          <w:rPr>
            <w:noProof/>
            <w:webHidden/>
          </w:rPr>
          <w:fldChar w:fldCharType="begin"/>
        </w:r>
        <w:r w:rsidR="00BC33EC">
          <w:rPr>
            <w:noProof/>
            <w:webHidden/>
          </w:rPr>
          <w:instrText xml:space="preserve"> PAGEREF _Toc11679605 \h </w:instrText>
        </w:r>
        <w:r w:rsidR="00BC33EC">
          <w:rPr>
            <w:noProof/>
            <w:webHidden/>
          </w:rPr>
        </w:r>
        <w:r w:rsidR="00BC33EC">
          <w:rPr>
            <w:noProof/>
            <w:webHidden/>
          </w:rPr>
          <w:fldChar w:fldCharType="separate"/>
        </w:r>
        <w:r w:rsidR="00F77CAE">
          <w:rPr>
            <w:noProof/>
            <w:webHidden/>
          </w:rPr>
          <w:t>9</w:t>
        </w:r>
        <w:r w:rsidR="00BC33EC">
          <w:rPr>
            <w:noProof/>
            <w:webHidden/>
          </w:rPr>
          <w:fldChar w:fldCharType="end"/>
        </w:r>
      </w:hyperlink>
    </w:p>
    <w:p w14:paraId="43D16B17" w14:textId="0DABBC36"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06" w:history="1">
        <w:r w:rsidR="00BC33EC" w:rsidRPr="002E263B">
          <w:rPr>
            <w:rStyle w:val="Hyperlink"/>
            <w:rFonts w:ascii="Verdana" w:eastAsia="MingLiU" w:hAnsi="Verdana" w:cs="Times New Roman"/>
            <w:noProof/>
          </w:rPr>
          <w:t>3</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Metodický postup</w:t>
        </w:r>
        <w:r w:rsidR="00BC33EC">
          <w:rPr>
            <w:noProof/>
            <w:webHidden/>
          </w:rPr>
          <w:tab/>
        </w:r>
        <w:r w:rsidR="00BC33EC">
          <w:rPr>
            <w:noProof/>
            <w:webHidden/>
          </w:rPr>
          <w:fldChar w:fldCharType="begin"/>
        </w:r>
        <w:r w:rsidR="00BC33EC">
          <w:rPr>
            <w:noProof/>
            <w:webHidden/>
          </w:rPr>
          <w:instrText xml:space="preserve"> PAGEREF _Toc11679606 \h </w:instrText>
        </w:r>
        <w:r w:rsidR="00BC33EC">
          <w:rPr>
            <w:noProof/>
            <w:webHidden/>
          </w:rPr>
        </w:r>
        <w:r w:rsidR="00BC33EC">
          <w:rPr>
            <w:noProof/>
            <w:webHidden/>
          </w:rPr>
          <w:fldChar w:fldCharType="separate"/>
        </w:r>
        <w:r w:rsidR="00F77CAE">
          <w:rPr>
            <w:noProof/>
            <w:webHidden/>
          </w:rPr>
          <w:t>14</w:t>
        </w:r>
        <w:r w:rsidR="00BC33EC">
          <w:rPr>
            <w:noProof/>
            <w:webHidden/>
          </w:rPr>
          <w:fldChar w:fldCharType="end"/>
        </w:r>
      </w:hyperlink>
    </w:p>
    <w:p w14:paraId="54062280" w14:textId="50A7EDCC"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07" w:history="1">
        <w:r w:rsidR="00BC33EC" w:rsidRPr="002E263B">
          <w:rPr>
            <w:rStyle w:val="Hyperlink"/>
            <w:rFonts w:ascii="Verdana" w:eastAsia="MingLiU" w:hAnsi="Verdana" w:cs="Times New Roman"/>
            <w:noProof/>
          </w:rPr>
          <w:t>4</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1</w:t>
        </w:r>
        <w:r w:rsidR="00BC33EC">
          <w:rPr>
            <w:noProof/>
            <w:webHidden/>
          </w:rPr>
          <w:tab/>
        </w:r>
        <w:r w:rsidR="00BC33EC">
          <w:rPr>
            <w:noProof/>
            <w:webHidden/>
          </w:rPr>
          <w:fldChar w:fldCharType="begin"/>
        </w:r>
        <w:r w:rsidR="00BC33EC">
          <w:rPr>
            <w:noProof/>
            <w:webHidden/>
          </w:rPr>
          <w:instrText xml:space="preserve"> PAGEREF _Toc11679607 \h </w:instrText>
        </w:r>
        <w:r w:rsidR="00BC33EC">
          <w:rPr>
            <w:noProof/>
            <w:webHidden/>
          </w:rPr>
        </w:r>
        <w:r w:rsidR="00BC33EC">
          <w:rPr>
            <w:noProof/>
            <w:webHidden/>
          </w:rPr>
          <w:fldChar w:fldCharType="separate"/>
        </w:r>
        <w:r w:rsidR="00F77CAE">
          <w:rPr>
            <w:noProof/>
            <w:webHidden/>
          </w:rPr>
          <w:t>16</w:t>
        </w:r>
        <w:r w:rsidR="00BC33EC">
          <w:rPr>
            <w:noProof/>
            <w:webHidden/>
          </w:rPr>
          <w:fldChar w:fldCharType="end"/>
        </w:r>
      </w:hyperlink>
    </w:p>
    <w:p w14:paraId="0A667DD7" w14:textId="0C8011E4"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11" w:history="1">
        <w:r w:rsidR="00BC33EC" w:rsidRPr="002E263B">
          <w:rPr>
            <w:rStyle w:val="Hyperlink"/>
            <w:rFonts w:ascii="Verdana" w:eastAsia="MingLiU" w:hAnsi="Verdana" w:cs="Times New Roman"/>
            <w:noProof/>
          </w:rPr>
          <w:t>5</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2</w:t>
        </w:r>
        <w:r w:rsidR="00BC33EC">
          <w:rPr>
            <w:noProof/>
            <w:webHidden/>
          </w:rPr>
          <w:tab/>
        </w:r>
        <w:r w:rsidR="00BC33EC">
          <w:rPr>
            <w:noProof/>
            <w:webHidden/>
          </w:rPr>
          <w:fldChar w:fldCharType="begin"/>
        </w:r>
        <w:r w:rsidR="00BC33EC">
          <w:rPr>
            <w:noProof/>
            <w:webHidden/>
          </w:rPr>
          <w:instrText xml:space="preserve"> PAGEREF _Toc11679611 \h </w:instrText>
        </w:r>
        <w:r w:rsidR="00BC33EC">
          <w:rPr>
            <w:noProof/>
            <w:webHidden/>
          </w:rPr>
        </w:r>
        <w:r w:rsidR="00BC33EC">
          <w:rPr>
            <w:noProof/>
            <w:webHidden/>
          </w:rPr>
          <w:fldChar w:fldCharType="separate"/>
        </w:r>
        <w:r w:rsidR="00F77CAE">
          <w:rPr>
            <w:noProof/>
            <w:webHidden/>
          </w:rPr>
          <w:t>23</w:t>
        </w:r>
        <w:r w:rsidR="00BC33EC">
          <w:rPr>
            <w:noProof/>
            <w:webHidden/>
          </w:rPr>
          <w:fldChar w:fldCharType="end"/>
        </w:r>
      </w:hyperlink>
    </w:p>
    <w:p w14:paraId="18F665D1" w14:textId="7F9FF94D"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15" w:history="1">
        <w:r w:rsidR="00BC33EC" w:rsidRPr="002E263B">
          <w:rPr>
            <w:rStyle w:val="Hyperlink"/>
            <w:rFonts w:ascii="Verdana" w:eastAsia="MingLiU" w:hAnsi="Verdana" w:cs="Times New Roman"/>
            <w:noProof/>
          </w:rPr>
          <w:t>6</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3</w:t>
        </w:r>
        <w:r w:rsidR="00BC33EC">
          <w:rPr>
            <w:noProof/>
            <w:webHidden/>
          </w:rPr>
          <w:tab/>
        </w:r>
        <w:r w:rsidR="00BC33EC">
          <w:rPr>
            <w:noProof/>
            <w:webHidden/>
          </w:rPr>
          <w:fldChar w:fldCharType="begin"/>
        </w:r>
        <w:r w:rsidR="00BC33EC">
          <w:rPr>
            <w:noProof/>
            <w:webHidden/>
          </w:rPr>
          <w:instrText xml:space="preserve"> PAGEREF _Toc11679615 \h </w:instrText>
        </w:r>
        <w:r w:rsidR="00BC33EC">
          <w:rPr>
            <w:noProof/>
            <w:webHidden/>
          </w:rPr>
        </w:r>
        <w:r w:rsidR="00BC33EC">
          <w:rPr>
            <w:noProof/>
            <w:webHidden/>
          </w:rPr>
          <w:fldChar w:fldCharType="separate"/>
        </w:r>
        <w:r w:rsidR="00F77CAE">
          <w:rPr>
            <w:noProof/>
            <w:webHidden/>
          </w:rPr>
          <w:t>27</w:t>
        </w:r>
        <w:r w:rsidR="00BC33EC">
          <w:rPr>
            <w:noProof/>
            <w:webHidden/>
          </w:rPr>
          <w:fldChar w:fldCharType="end"/>
        </w:r>
      </w:hyperlink>
    </w:p>
    <w:p w14:paraId="3FACCC0E" w14:textId="2DF79260"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18" w:history="1">
        <w:r w:rsidR="00BC33EC" w:rsidRPr="002E263B">
          <w:rPr>
            <w:rStyle w:val="Hyperlink"/>
            <w:rFonts w:ascii="Verdana" w:eastAsia="MingLiU" w:hAnsi="Verdana" w:cs="Times New Roman"/>
            <w:noProof/>
          </w:rPr>
          <w:t>7</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4</w:t>
        </w:r>
        <w:r w:rsidR="00BC33EC">
          <w:rPr>
            <w:noProof/>
            <w:webHidden/>
          </w:rPr>
          <w:tab/>
        </w:r>
        <w:r w:rsidR="00BC33EC">
          <w:rPr>
            <w:noProof/>
            <w:webHidden/>
          </w:rPr>
          <w:fldChar w:fldCharType="begin"/>
        </w:r>
        <w:r w:rsidR="00BC33EC">
          <w:rPr>
            <w:noProof/>
            <w:webHidden/>
          </w:rPr>
          <w:instrText xml:space="preserve"> PAGEREF _Toc11679618 \h </w:instrText>
        </w:r>
        <w:r w:rsidR="00BC33EC">
          <w:rPr>
            <w:noProof/>
            <w:webHidden/>
          </w:rPr>
        </w:r>
        <w:r w:rsidR="00BC33EC">
          <w:rPr>
            <w:noProof/>
            <w:webHidden/>
          </w:rPr>
          <w:fldChar w:fldCharType="separate"/>
        </w:r>
        <w:r w:rsidR="00F77CAE">
          <w:rPr>
            <w:noProof/>
            <w:webHidden/>
          </w:rPr>
          <w:t>29</w:t>
        </w:r>
        <w:r w:rsidR="00BC33EC">
          <w:rPr>
            <w:noProof/>
            <w:webHidden/>
          </w:rPr>
          <w:fldChar w:fldCharType="end"/>
        </w:r>
      </w:hyperlink>
    </w:p>
    <w:p w14:paraId="631D19B6" w14:textId="47F8F07E"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21" w:history="1">
        <w:r w:rsidR="00BC33EC" w:rsidRPr="002E263B">
          <w:rPr>
            <w:rStyle w:val="Hyperlink"/>
            <w:rFonts w:ascii="Verdana" w:eastAsia="MingLiU" w:hAnsi="Verdana" w:cs="Times New Roman"/>
            <w:noProof/>
          </w:rPr>
          <w:t>8</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5</w:t>
        </w:r>
        <w:r w:rsidR="00BC33EC">
          <w:rPr>
            <w:noProof/>
            <w:webHidden/>
          </w:rPr>
          <w:tab/>
        </w:r>
        <w:r w:rsidR="00BC33EC">
          <w:rPr>
            <w:noProof/>
            <w:webHidden/>
          </w:rPr>
          <w:fldChar w:fldCharType="begin"/>
        </w:r>
        <w:r w:rsidR="00BC33EC">
          <w:rPr>
            <w:noProof/>
            <w:webHidden/>
          </w:rPr>
          <w:instrText xml:space="preserve"> PAGEREF _Toc11679621 \h </w:instrText>
        </w:r>
        <w:r w:rsidR="00BC33EC">
          <w:rPr>
            <w:noProof/>
            <w:webHidden/>
          </w:rPr>
        </w:r>
        <w:r w:rsidR="00BC33EC">
          <w:rPr>
            <w:noProof/>
            <w:webHidden/>
          </w:rPr>
          <w:fldChar w:fldCharType="separate"/>
        </w:r>
        <w:r w:rsidR="00F77CAE">
          <w:rPr>
            <w:noProof/>
            <w:webHidden/>
          </w:rPr>
          <w:t>31</w:t>
        </w:r>
        <w:r w:rsidR="00BC33EC">
          <w:rPr>
            <w:noProof/>
            <w:webHidden/>
          </w:rPr>
          <w:fldChar w:fldCharType="end"/>
        </w:r>
      </w:hyperlink>
    </w:p>
    <w:p w14:paraId="6E705925" w14:textId="08118C33"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24" w:history="1">
        <w:r w:rsidR="00BC33EC" w:rsidRPr="002E263B">
          <w:rPr>
            <w:rStyle w:val="Hyperlink"/>
            <w:rFonts w:ascii="Verdana" w:eastAsia="MingLiU" w:hAnsi="Verdana" w:cs="Times New Roman"/>
            <w:noProof/>
          </w:rPr>
          <w:t>9</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6</w:t>
        </w:r>
        <w:r w:rsidR="00BC33EC">
          <w:rPr>
            <w:noProof/>
            <w:webHidden/>
          </w:rPr>
          <w:tab/>
        </w:r>
        <w:r w:rsidR="00BC33EC">
          <w:rPr>
            <w:noProof/>
            <w:webHidden/>
          </w:rPr>
          <w:fldChar w:fldCharType="begin"/>
        </w:r>
        <w:r w:rsidR="00BC33EC">
          <w:rPr>
            <w:noProof/>
            <w:webHidden/>
          </w:rPr>
          <w:instrText xml:space="preserve"> PAGEREF _Toc11679624 \h </w:instrText>
        </w:r>
        <w:r w:rsidR="00BC33EC">
          <w:rPr>
            <w:noProof/>
            <w:webHidden/>
          </w:rPr>
        </w:r>
        <w:r w:rsidR="00BC33EC">
          <w:rPr>
            <w:noProof/>
            <w:webHidden/>
          </w:rPr>
          <w:fldChar w:fldCharType="separate"/>
        </w:r>
        <w:r w:rsidR="00F77CAE">
          <w:rPr>
            <w:noProof/>
            <w:webHidden/>
          </w:rPr>
          <w:t>32</w:t>
        </w:r>
        <w:r w:rsidR="00BC33EC">
          <w:rPr>
            <w:noProof/>
            <w:webHidden/>
          </w:rPr>
          <w:fldChar w:fldCharType="end"/>
        </w:r>
      </w:hyperlink>
    </w:p>
    <w:p w14:paraId="6718CE36" w14:textId="37195FB7"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27" w:history="1">
        <w:r w:rsidR="00BC33EC" w:rsidRPr="002E263B">
          <w:rPr>
            <w:rStyle w:val="Hyperlink"/>
            <w:rFonts w:ascii="Verdana" w:eastAsia="MingLiU" w:hAnsi="Verdana" w:cs="Times New Roman"/>
            <w:noProof/>
          </w:rPr>
          <w:t>10</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7</w:t>
        </w:r>
        <w:r w:rsidR="00BC33EC">
          <w:rPr>
            <w:noProof/>
            <w:webHidden/>
          </w:rPr>
          <w:tab/>
        </w:r>
        <w:r w:rsidR="00BC33EC">
          <w:rPr>
            <w:noProof/>
            <w:webHidden/>
          </w:rPr>
          <w:fldChar w:fldCharType="begin"/>
        </w:r>
        <w:r w:rsidR="00BC33EC">
          <w:rPr>
            <w:noProof/>
            <w:webHidden/>
          </w:rPr>
          <w:instrText xml:space="preserve"> PAGEREF _Toc11679627 \h </w:instrText>
        </w:r>
        <w:r w:rsidR="00BC33EC">
          <w:rPr>
            <w:noProof/>
            <w:webHidden/>
          </w:rPr>
        </w:r>
        <w:r w:rsidR="00BC33EC">
          <w:rPr>
            <w:noProof/>
            <w:webHidden/>
          </w:rPr>
          <w:fldChar w:fldCharType="separate"/>
        </w:r>
        <w:r w:rsidR="00F77CAE">
          <w:rPr>
            <w:noProof/>
            <w:webHidden/>
          </w:rPr>
          <w:t>34</w:t>
        </w:r>
        <w:r w:rsidR="00BC33EC">
          <w:rPr>
            <w:noProof/>
            <w:webHidden/>
          </w:rPr>
          <w:fldChar w:fldCharType="end"/>
        </w:r>
      </w:hyperlink>
    </w:p>
    <w:p w14:paraId="3DABCB81" w14:textId="4F16A406"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32" w:history="1">
        <w:r w:rsidR="00BC33EC" w:rsidRPr="002E263B">
          <w:rPr>
            <w:rStyle w:val="Hyperlink"/>
            <w:rFonts w:ascii="Verdana" w:eastAsia="MingLiU" w:hAnsi="Verdana" w:cs="Times New Roman"/>
            <w:noProof/>
          </w:rPr>
          <w:t>11</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8</w:t>
        </w:r>
        <w:r w:rsidR="00BC33EC">
          <w:rPr>
            <w:noProof/>
            <w:webHidden/>
          </w:rPr>
          <w:tab/>
        </w:r>
        <w:r w:rsidR="00BC33EC">
          <w:rPr>
            <w:noProof/>
            <w:webHidden/>
          </w:rPr>
          <w:fldChar w:fldCharType="begin"/>
        </w:r>
        <w:r w:rsidR="00BC33EC">
          <w:rPr>
            <w:noProof/>
            <w:webHidden/>
          </w:rPr>
          <w:instrText xml:space="preserve"> PAGEREF _Toc11679632 \h </w:instrText>
        </w:r>
        <w:r w:rsidR="00BC33EC">
          <w:rPr>
            <w:noProof/>
            <w:webHidden/>
          </w:rPr>
        </w:r>
        <w:r w:rsidR="00BC33EC">
          <w:rPr>
            <w:noProof/>
            <w:webHidden/>
          </w:rPr>
          <w:fldChar w:fldCharType="separate"/>
        </w:r>
        <w:r w:rsidR="00F77CAE">
          <w:rPr>
            <w:noProof/>
            <w:webHidden/>
          </w:rPr>
          <w:t>37</w:t>
        </w:r>
        <w:r w:rsidR="00BC33EC">
          <w:rPr>
            <w:noProof/>
            <w:webHidden/>
          </w:rPr>
          <w:fldChar w:fldCharType="end"/>
        </w:r>
      </w:hyperlink>
    </w:p>
    <w:p w14:paraId="02AADE32" w14:textId="28721271"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35" w:history="1">
        <w:r w:rsidR="00BC33EC" w:rsidRPr="002E263B">
          <w:rPr>
            <w:rStyle w:val="Hyperlink"/>
            <w:rFonts w:ascii="Verdana" w:eastAsia="MingLiU" w:hAnsi="Verdana" w:cs="Times New Roman"/>
            <w:noProof/>
          </w:rPr>
          <w:t>12</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9</w:t>
        </w:r>
        <w:r w:rsidR="00BC33EC">
          <w:rPr>
            <w:noProof/>
            <w:webHidden/>
          </w:rPr>
          <w:tab/>
        </w:r>
        <w:r w:rsidR="00BC33EC">
          <w:rPr>
            <w:noProof/>
            <w:webHidden/>
          </w:rPr>
          <w:fldChar w:fldCharType="begin"/>
        </w:r>
        <w:r w:rsidR="00BC33EC">
          <w:rPr>
            <w:noProof/>
            <w:webHidden/>
          </w:rPr>
          <w:instrText xml:space="preserve"> PAGEREF _Toc11679635 \h </w:instrText>
        </w:r>
        <w:r w:rsidR="00BC33EC">
          <w:rPr>
            <w:noProof/>
            <w:webHidden/>
          </w:rPr>
        </w:r>
        <w:r w:rsidR="00BC33EC">
          <w:rPr>
            <w:noProof/>
            <w:webHidden/>
          </w:rPr>
          <w:fldChar w:fldCharType="separate"/>
        </w:r>
        <w:r w:rsidR="00F77CAE">
          <w:rPr>
            <w:noProof/>
            <w:webHidden/>
          </w:rPr>
          <w:t>41</w:t>
        </w:r>
        <w:r w:rsidR="00BC33EC">
          <w:rPr>
            <w:noProof/>
            <w:webHidden/>
          </w:rPr>
          <w:fldChar w:fldCharType="end"/>
        </w:r>
      </w:hyperlink>
    </w:p>
    <w:p w14:paraId="701ADED5" w14:textId="46D5AEA6"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38" w:history="1">
        <w:r w:rsidR="00BC33EC" w:rsidRPr="002E263B">
          <w:rPr>
            <w:rStyle w:val="Hyperlink"/>
            <w:rFonts w:ascii="Verdana" w:eastAsia="MingLiU" w:hAnsi="Verdana" w:cs="Times New Roman"/>
            <w:noProof/>
          </w:rPr>
          <w:t>13</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Evaluační otázka č. 10</w:t>
        </w:r>
        <w:r w:rsidR="00BC33EC">
          <w:rPr>
            <w:noProof/>
            <w:webHidden/>
          </w:rPr>
          <w:tab/>
        </w:r>
        <w:r w:rsidR="00BC33EC">
          <w:rPr>
            <w:noProof/>
            <w:webHidden/>
          </w:rPr>
          <w:fldChar w:fldCharType="begin"/>
        </w:r>
        <w:r w:rsidR="00BC33EC">
          <w:rPr>
            <w:noProof/>
            <w:webHidden/>
          </w:rPr>
          <w:instrText xml:space="preserve"> PAGEREF _Toc11679638 \h </w:instrText>
        </w:r>
        <w:r w:rsidR="00BC33EC">
          <w:rPr>
            <w:noProof/>
            <w:webHidden/>
          </w:rPr>
        </w:r>
        <w:r w:rsidR="00BC33EC">
          <w:rPr>
            <w:noProof/>
            <w:webHidden/>
          </w:rPr>
          <w:fldChar w:fldCharType="separate"/>
        </w:r>
        <w:r w:rsidR="00F77CAE">
          <w:rPr>
            <w:noProof/>
            <w:webHidden/>
          </w:rPr>
          <w:t>43</w:t>
        </w:r>
        <w:r w:rsidR="00BC33EC">
          <w:rPr>
            <w:noProof/>
            <w:webHidden/>
          </w:rPr>
          <w:fldChar w:fldCharType="end"/>
        </w:r>
      </w:hyperlink>
    </w:p>
    <w:p w14:paraId="51E373D6" w14:textId="41373D47" w:rsidR="00BC33EC" w:rsidRDefault="00DF546A">
      <w:pPr>
        <w:pStyle w:val="TOC1"/>
        <w:tabs>
          <w:tab w:val="left" w:pos="540"/>
          <w:tab w:val="right" w:leader="dot" w:pos="9628"/>
        </w:tabs>
        <w:rPr>
          <w:rFonts w:eastAsiaTheme="minorEastAsia"/>
          <w:b w:val="0"/>
          <w:bCs w:val="0"/>
          <w:caps w:val="0"/>
          <w:noProof/>
          <w:color w:val="auto"/>
          <w:sz w:val="22"/>
          <w:szCs w:val="22"/>
          <w:lang w:eastAsia="cs-CZ"/>
        </w:rPr>
      </w:pPr>
      <w:hyperlink w:anchor="_Toc11679642" w:history="1">
        <w:r w:rsidR="00BC33EC" w:rsidRPr="002E263B">
          <w:rPr>
            <w:rStyle w:val="Hyperlink"/>
            <w:rFonts w:ascii="Verdana" w:eastAsia="MingLiU" w:hAnsi="Verdana" w:cs="Times New Roman"/>
            <w:noProof/>
          </w:rPr>
          <w:t>14</w:t>
        </w:r>
        <w:r w:rsidR="00BC33EC">
          <w:rPr>
            <w:rFonts w:eastAsiaTheme="minorEastAsia"/>
            <w:b w:val="0"/>
            <w:bCs w:val="0"/>
            <w:caps w:val="0"/>
            <w:noProof/>
            <w:color w:val="auto"/>
            <w:sz w:val="22"/>
            <w:szCs w:val="22"/>
            <w:lang w:eastAsia="cs-CZ"/>
          </w:rPr>
          <w:tab/>
        </w:r>
        <w:r w:rsidR="00BC33EC" w:rsidRPr="002E263B">
          <w:rPr>
            <w:rStyle w:val="Hyperlink"/>
            <w:rFonts w:ascii="Verdana" w:eastAsia="MingLiU" w:hAnsi="Verdana" w:cs="Times New Roman"/>
            <w:noProof/>
          </w:rPr>
          <w:t>Syntéza závěrů a návrh doporučení</w:t>
        </w:r>
        <w:r w:rsidR="00BC33EC">
          <w:rPr>
            <w:noProof/>
            <w:webHidden/>
          </w:rPr>
          <w:tab/>
        </w:r>
        <w:r w:rsidR="00BC33EC">
          <w:rPr>
            <w:noProof/>
            <w:webHidden/>
          </w:rPr>
          <w:fldChar w:fldCharType="begin"/>
        </w:r>
        <w:r w:rsidR="00BC33EC">
          <w:rPr>
            <w:noProof/>
            <w:webHidden/>
          </w:rPr>
          <w:instrText xml:space="preserve"> PAGEREF _Toc11679642 \h </w:instrText>
        </w:r>
        <w:r w:rsidR="00BC33EC">
          <w:rPr>
            <w:noProof/>
            <w:webHidden/>
          </w:rPr>
        </w:r>
        <w:r w:rsidR="00BC33EC">
          <w:rPr>
            <w:noProof/>
            <w:webHidden/>
          </w:rPr>
          <w:fldChar w:fldCharType="separate"/>
        </w:r>
        <w:r w:rsidR="00F77CAE">
          <w:rPr>
            <w:noProof/>
            <w:webHidden/>
          </w:rPr>
          <w:t>53</w:t>
        </w:r>
        <w:r w:rsidR="00BC33EC">
          <w:rPr>
            <w:noProof/>
            <w:webHidden/>
          </w:rPr>
          <w:fldChar w:fldCharType="end"/>
        </w:r>
      </w:hyperlink>
    </w:p>
    <w:p w14:paraId="1DDFBD39" w14:textId="7107AAF9" w:rsidR="00BC33EC" w:rsidRDefault="00DF546A">
      <w:pPr>
        <w:pStyle w:val="TOC1"/>
        <w:tabs>
          <w:tab w:val="left" w:pos="720"/>
          <w:tab w:val="right" w:leader="dot" w:pos="9628"/>
        </w:tabs>
        <w:rPr>
          <w:rFonts w:eastAsiaTheme="minorEastAsia"/>
          <w:b w:val="0"/>
          <w:bCs w:val="0"/>
          <w:caps w:val="0"/>
          <w:noProof/>
          <w:color w:val="auto"/>
          <w:sz w:val="22"/>
          <w:szCs w:val="22"/>
          <w:lang w:eastAsia="cs-CZ"/>
        </w:rPr>
      </w:pPr>
      <w:hyperlink w:anchor="_Toc11679643" w:history="1">
        <w:r w:rsidR="00BC33EC" w:rsidRPr="002E263B">
          <w:rPr>
            <w:rStyle w:val="Hyperlink"/>
            <w:noProof/>
          </w:rPr>
          <w:t>14.1</w:t>
        </w:r>
        <w:r w:rsidR="00BC33EC">
          <w:rPr>
            <w:rFonts w:eastAsiaTheme="minorEastAsia"/>
            <w:b w:val="0"/>
            <w:bCs w:val="0"/>
            <w:caps w:val="0"/>
            <w:noProof/>
            <w:color w:val="auto"/>
            <w:sz w:val="22"/>
            <w:szCs w:val="22"/>
            <w:lang w:eastAsia="cs-CZ"/>
          </w:rPr>
          <w:tab/>
        </w:r>
        <w:r w:rsidR="00BC33EC" w:rsidRPr="002E263B">
          <w:rPr>
            <w:rStyle w:val="Hyperlink"/>
            <w:noProof/>
          </w:rPr>
          <w:t>Shrnutí zjištění</w:t>
        </w:r>
        <w:r w:rsidR="00BC33EC">
          <w:rPr>
            <w:noProof/>
            <w:webHidden/>
          </w:rPr>
          <w:tab/>
        </w:r>
        <w:r w:rsidR="00BC33EC">
          <w:rPr>
            <w:noProof/>
            <w:webHidden/>
          </w:rPr>
          <w:fldChar w:fldCharType="begin"/>
        </w:r>
        <w:r w:rsidR="00BC33EC">
          <w:rPr>
            <w:noProof/>
            <w:webHidden/>
          </w:rPr>
          <w:instrText xml:space="preserve"> PAGEREF _Toc11679643 \h </w:instrText>
        </w:r>
        <w:r w:rsidR="00BC33EC">
          <w:rPr>
            <w:noProof/>
            <w:webHidden/>
          </w:rPr>
        </w:r>
        <w:r w:rsidR="00BC33EC">
          <w:rPr>
            <w:noProof/>
            <w:webHidden/>
          </w:rPr>
          <w:fldChar w:fldCharType="separate"/>
        </w:r>
        <w:r w:rsidR="00F77CAE">
          <w:rPr>
            <w:noProof/>
            <w:webHidden/>
          </w:rPr>
          <w:t>53</w:t>
        </w:r>
        <w:r w:rsidR="00BC33EC">
          <w:rPr>
            <w:noProof/>
            <w:webHidden/>
          </w:rPr>
          <w:fldChar w:fldCharType="end"/>
        </w:r>
      </w:hyperlink>
    </w:p>
    <w:p w14:paraId="2B6AFD70" w14:textId="3274A7E6" w:rsidR="00BC33EC" w:rsidRDefault="00DF546A">
      <w:pPr>
        <w:pStyle w:val="TOC1"/>
        <w:tabs>
          <w:tab w:val="left" w:pos="720"/>
          <w:tab w:val="right" w:leader="dot" w:pos="9628"/>
        </w:tabs>
        <w:rPr>
          <w:rFonts w:eastAsiaTheme="minorEastAsia"/>
          <w:b w:val="0"/>
          <w:bCs w:val="0"/>
          <w:caps w:val="0"/>
          <w:noProof/>
          <w:color w:val="auto"/>
          <w:sz w:val="22"/>
          <w:szCs w:val="22"/>
          <w:lang w:eastAsia="cs-CZ"/>
        </w:rPr>
      </w:pPr>
      <w:hyperlink w:anchor="_Toc11679644" w:history="1">
        <w:r w:rsidR="00BC33EC" w:rsidRPr="002E263B">
          <w:rPr>
            <w:rStyle w:val="Hyperlink"/>
            <w:noProof/>
          </w:rPr>
          <w:t>14.2</w:t>
        </w:r>
        <w:r w:rsidR="00BC33EC">
          <w:rPr>
            <w:rFonts w:eastAsiaTheme="minorEastAsia"/>
            <w:b w:val="0"/>
            <w:bCs w:val="0"/>
            <w:caps w:val="0"/>
            <w:noProof/>
            <w:color w:val="auto"/>
            <w:sz w:val="22"/>
            <w:szCs w:val="22"/>
            <w:lang w:eastAsia="cs-CZ"/>
          </w:rPr>
          <w:tab/>
        </w:r>
        <w:r w:rsidR="00BC33EC" w:rsidRPr="002E263B">
          <w:rPr>
            <w:rStyle w:val="Hyperlink"/>
            <w:noProof/>
          </w:rPr>
          <w:t>Doporučení OP PIK do konce programového období</w:t>
        </w:r>
        <w:r w:rsidR="00BC33EC">
          <w:rPr>
            <w:noProof/>
            <w:webHidden/>
          </w:rPr>
          <w:tab/>
        </w:r>
        <w:r w:rsidR="00BC33EC">
          <w:rPr>
            <w:noProof/>
            <w:webHidden/>
          </w:rPr>
          <w:fldChar w:fldCharType="begin"/>
        </w:r>
        <w:r w:rsidR="00BC33EC">
          <w:rPr>
            <w:noProof/>
            <w:webHidden/>
          </w:rPr>
          <w:instrText xml:space="preserve"> PAGEREF _Toc11679644 \h </w:instrText>
        </w:r>
        <w:r w:rsidR="00BC33EC">
          <w:rPr>
            <w:noProof/>
            <w:webHidden/>
          </w:rPr>
        </w:r>
        <w:r w:rsidR="00BC33EC">
          <w:rPr>
            <w:noProof/>
            <w:webHidden/>
          </w:rPr>
          <w:fldChar w:fldCharType="separate"/>
        </w:r>
        <w:r w:rsidR="00F77CAE">
          <w:rPr>
            <w:noProof/>
            <w:webHidden/>
          </w:rPr>
          <w:t>54</w:t>
        </w:r>
        <w:r w:rsidR="00BC33EC">
          <w:rPr>
            <w:noProof/>
            <w:webHidden/>
          </w:rPr>
          <w:fldChar w:fldCharType="end"/>
        </w:r>
      </w:hyperlink>
    </w:p>
    <w:p w14:paraId="42898156" w14:textId="58179625" w:rsidR="00BC33EC" w:rsidRDefault="00DF546A">
      <w:pPr>
        <w:pStyle w:val="TOC1"/>
        <w:tabs>
          <w:tab w:val="left" w:pos="720"/>
          <w:tab w:val="right" w:leader="dot" w:pos="9628"/>
        </w:tabs>
        <w:rPr>
          <w:rFonts w:eastAsiaTheme="minorEastAsia"/>
          <w:b w:val="0"/>
          <w:bCs w:val="0"/>
          <w:caps w:val="0"/>
          <w:noProof/>
          <w:color w:val="auto"/>
          <w:sz w:val="22"/>
          <w:szCs w:val="22"/>
          <w:lang w:eastAsia="cs-CZ"/>
        </w:rPr>
      </w:pPr>
      <w:hyperlink w:anchor="_Toc11679645" w:history="1">
        <w:r w:rsidR="00BC33EC" w:rsidRPr="002E263B">
          <w:rPr>
            <w:rStyle w:val="Hyperlink"/>
            <w:noProof/>
          </w:rPr>
          <w:t>14.3</w:t>
        </w:r>
        <w:r w:rsidR="00BC33EC">
          <w:rPr>
            <w:rFonts w:eastAsiaTheme="minorEastAsia"/>
            <w:b w:val="0"/>
            <w:bCs w:val="0"/>
            <w:caps w:val="0"/>
            <w:noProof/>
            <w:color w:val="auto"/>
            <w:sz w:val="22"/>
            <w:szCs w:val="22"/>
            <w:lang w:eastAsia="cs-CZ"/>
          </w:rPr>
          <w:tab/>
        </w:r>
        <w:r w:rsidR="00BC33EC" w:rsidRPr="002E263B">
          <w:rPr>
            <w:rStyle w:val="Hyperlink"/>
            <w:noProof/>
          </w:rPr>
          <w:t>Doporučení OP PIK pro zaměření programového období 2021+</w:t>
        </w:r>
        <w:r w:rsidR="00BC33EC">
          <w:rPr>
            <w:noProof/>
            <w:webHidden/>
          </w:rPr>
          <w:tab/>
        </w:r>
        <w:r w:rsidR="00BC33EC">
          <w:rPr>
            <w:noProof/>
            <w:webHidden/>
          </w:rPr>
          <w:fldChar w:fldCharType="begin"/>
        </w:r>
        <w:r w:rsidR="00BC33EC">
          <w:rPr>
            <w:noProof/>
            <w:webHidden/>
          </w:rPr>
          <w:instrText xml:space="preserve"> PAGEREF _Toc11679645 \h </w:instrText>
        </w:r>
        <w:r w:rsidR="00BC33EC">
          <w:rPr>
            <w:noProof/>
            <w:webHidden/>
          </w:rPr>
        </w:r>
        <w:r w:rsidR="00BC33EC">
          <w:rPr>
            <w:noProof/>
            <w:webHidden/>
          </w:rPr>
          <w:fldChar w:fldCharType="separate"/>
        </w:r>
        <w:r w:rsidR="00F77CAE">
          <w:rPr>
            <w:noProof/>
            <w:webHidden/>
          </w:rPr>
          <w:t>58</w:t>
        </w:r>
        <w:r w:rsidR="00BC33EC">
          <w:rPr>
            <w:noProof/>
            <w:webHidden/>
          </w:rPr>
          <w:fldChar w:fldCharType="end"/>
        </w:r>
      </w:hyperlink>
    </w:p>
    <w:p w14:paraId="30339D4E" w14:textId="2CE9D198"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46" w:history="1">
        <w:r w:rsidR="00BC33EC" w:rsidRPr="002E263B">
          <w:rPr>
            <w:rStyle w:val="Hyperlink"/>
            <w:rFonts w:ascii="Verdana" w:eastAsia="MingLiU" w:hAnsi="Verdana" w:cs="Times New Roman"/>
            <w:noProof/>
          </w:rPr>
          <w:t>Příloha 1: Výsledky analýzy dat a dokumentů</w:t>
        </w:r>
        <w:r w:rsidR="00BC33EC">
          <w:rPr>
            <w:noProof/>
            <w:webHidden/>
          </w:rPr>
          <w:tab/>
        </w:r>
        <w:r w:rsidR="00BC33EC">
          <w:rPr>
            <w:noProof/>
            <w:webHidden/>
          </w:rPr>
          <w:fldChar w:fldCharType="begin"/>
        </w:r>
        <w:r w:rsidR="00BC33EC">
          <w:rPr>
            <w:noProof/>
            <w:webHidden/>
          </w:rPr>
          <w:instrText xml:space="preserve"> PAGEREF _Toc11679646 \h </w:instrText>
        </w:r>
        <w:r w:rsidR="00BC33EC">
          <w:rPr>
            <w:noProof/>
            <w:webHidden/>
          </w:rPr>
        </w:r>
        <w:r w:rsidR="00BC33EC">
          <w:rPr>
            <w:noProof/>
            <w:webHidden/>
          </w:rPr>
          <w:fldChar w:fldCharType="separate"/>
        </w:r>
        <w:r w:rsidR="00F77CAE">
          <w:rPr>
            <w:noProof/>
            <w:webHidden/>
          </w:rPr>
          <w:t>62</w:t>
        </w:r>
        <w:r w:rsidR="00BC33EC">
          <w:rPr>
            <w:noProof/>
            <w:webHidden/>
          </w:rPr>
          <w:fldChar w:fldCharType="end"/>
        </w:r>
      </w:hyperlink>
    </w:p>
    <w:p w14:paraId="472683BD" w14:textId="0F39701F"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47" w:history="1">
        <w:r w:rsidR="00BC33EC" w:rsidRPr="002E263B">
          <w:rPr>
            <w:rStyle w:val="Hyperlink"/>
            <w:rFonts w:ascii="Verdana" w:eastAsia="MingLiU" w:hAnsi="Verdana" w:cs="Times New Roman"/>
            <w:noProof/>
          </w:rPr>
          <w:t>Příloha 2: Výsledky dotazníkového šetření mezi příjemci podpory v SC 1.1</w:t>
        </w:r>
        <w:r w:rsidR="00BC33EC">
          <w:rPr>
            <w:noProof/>
            <w:webHidden/>
          </w:rPr>
          <w:tab/>
        </w:r>
        <w:r w:rsidR="00BC33EC">
          <w:rPr>
            <w:noProof/>
            <w:webHidden/>
          </w:rPr>
          <w:fldChar w:fldCharType="begin"/>
        </w:r>
        <w:r w:rsidR="00BC33EC">
          <w:rPr>
            <w:noProof/>
            <w:webHidden/>
          </w:rPr>
          <w:instrText xml:space="preserve"> PAGEREF _Toc11679647 \h </w:instrText>
        </w:r>
        <w:r w:rsidR="00BC33EC">
          <w:rPr>
            <w:noProof/>
            <w:webHidden/>
          </w:rPr>
        </w:r>
        <w:r w:rsidR="00BC33EC">
          <w:rPr>
            <w:noProof/>
            <w:webHidden/>
          </w:rPr>
          <w:fldChar w:fldCharType="separate"/>
        </w:r>
        <w:r w:rsidR="00F77CAE">
          <w:rPr>
            <w:noProof/>
            <w:webHidden/>
          </w:rPr>
          <w:t>76</w:t>
        </w:r>
        <w:r w:rsidR="00BC33EC">
          <w:rPr>
            <w:noProof/>
            <w:webHidden/>
          </w:rPr>
          <w:fldChar w:fldCharType="end"/>
        </w:r>
      </w:hyperlink>
    </w:p>
    <w:p w14:paraId="2B98D1AA" w14:textId="6F8B699D"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48" w:history="1">
        <w:r w:rsidR="00BC33EC" w:rsidRPr="002E263B">
          <w:rPr>
            <w:rStyle w:val="Hyperlink"/>
            <w:rFonts w:ascii="Verdana" w:eastAsia="MingLiU" w:hAnsi="Verdana" w:cs="Times New Roman"/>
            <w:noProof/>
          </w:rPr>
          <w:t>Příloha 3: Seznam účastníků individuálních rozhovorů a expertního panelu</w:t>
        </w:r>
        <w:r w:rsidR="00BC33EC">
          <w:rPr>
            <w:noProof/>
            <w:webHidden/>
          </w:rPr>
          <w:tab/>
        </w:r>
        <w:r w:rsidR="00BC33EC">
          <w:rPr>
            <w:noProof/>
            <w:webHidden/>
          </w:rPr>
          <w:fldChar w:fldCharType="begin"/>
        </w:r>
        <w:r w:rsidR="00BC33EC">
          <w:rPr>
            <w:noProof/>
            <w:webHidden/>
          </w:rPr>
          <w:instrText xml:space="preserve"> PAGEREF _Toc11679648 \h </w:instrText>
        </w:r>
        <w:r w:rsidR="00BC33EC">
          <w:rPr>
            <w:noProof/>
            <w:webHidden/>
          </w:rPr>
        </w:r>
        <w:r w:rsidR="00BC33EC">
          <w:rPr>
            <w:noProof/>
            <w:webHidden/>
          </w:rPr>
          <w:fldChar w:fldCharType="separate"/>
        </w:r>
        <w:r w:rsidR="00F77CAE">
          <w:rPr>
            <w:noProof/>
            <w:webHidden/>
          </w:rPr>
          <w:t>91</w:t>
        </w:r>
        <w:r w:rsidR="00BC33EC">
          <w:rPr>
            <w:noProof/>
            <w:webHidden/>
          </w:rPr>
          <w:fldChar w:fldCharType="end"/>
        </w:r>
      </w:hyperlink>
    </w:p>
    <w:p w14:paraId="20B01EBB" w14:textId="39D5A3B3"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49" w:history="1">
        <w:r w:rsidR="00BC33EC" w:rsidRPr="002E263B">
          <w:rPr>
            <w:rStyle w:val="Hyperlink"/>
            <w:rFonts w:ascii="Verdana" w:eastAsia="MingLiU" w:hAnsi="Verdana" w:cs="Times New Roman"/>
            <w:noProof/>
          </w:rPr>
          <w:t>Příloha 4: Zjištění z případových studií</w:t>
        </w:r>
        <w:r w:rsidR="00BC33EC">
          <w:rPr>
            <w:noProof/>
            <w:webHidden/>
          </w:rPr>
          <w:tab/>
        </w:r>
        <w:r w:rsidR="00BC33EC">
          <w:rPr>
            <w:noProof/>
            <w:webHidden/>
          </w:rPr>
          <w:fldChar w:fldCharType="begin"/>
        </w:r>
        <w:r w:rsidR="00BC33EC">
          <w:rPr>
            <w:noProof/>
            <w:webHidden/>
          </w:rPr>
          <w:instrText xml:space="preserve"> PAGEREF _Toc11679649 \h </w:instrText>
        </w:r>
        <w:r w:rsidR="00BC33EC">
          <w:rPr>
            <w:noProof/>
            <w:webHidden/>
          </w:rPr>
        </w:r>
        <w:r w:rsidR="00BC33EC">
          <w:rPr>
            <w:noProof/>
            <w:webHidden/>
          </w:rPr>
          <w:fldChar w:fldCharType="separate"/>
        </w:r>
        <w:r w:rsidR="00F77CAE">
          <w:rPr>
            <w:noProof/>
            <w:webHidden/>
          </w:rPr>
          <w:t>92</w:t>
        </w:r>
        <w:r w:rsidR="00BC33EC">
          <w:rPr>
            <w:noProof/>
            <w:webHidden/>
          </w:rPr>
          <w:fldChar w:fldCharType="end"/>
        </w:r>
      </w:hyperlink>
    </w:p>
    <w:p w14:paraId="1F97B9B6" w14:textId="1B9828CC"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50" w:history="1">
        <w:r w:rsidR="00BC33EC" w:rsidRPr="002E263B">
          <w:rPr>
            <w:rStyle w:val="Hyperlink"/>
            <w:rFonts w:ascii="Verdana" w:eastAsia="MingLiU" w:hAnsi="Verdana" w:cs="Times New Roman"/>
            <w:noProof/>
          </w:rPr>
          <w:t>Příloha 5: Shrnutí zjištění z individuálních rozhovorů a expertního panelu</w:t>
        </w:r>
        <w:r w:rsidR="00BC33EC">
          <w:rPr>
            <w:noProof/>
            <w:webHidden/>
          </w:rPr>
          <w:tab/>
        </w:r>
        <w:r w:rsidR="00BC33EC">
          <w:rPr>
            <w:noProof/>
            <w:webHidden/>
          </w:rPr>
          <w:fldChar w:fldCharType="begin"/>
        </w:r>
        <w:r w:rsidR="00BC33EC">
          <w:rPr>
            <w:noProof/>
            <w:webHidden/>
          </w:rPr>
          <w:instrText xml:space="preserve"> PAGEREF _Toc11679650 \h </w:instrText>
        </w:r>
        <w:r w:rsidR="00BC33EC">
          <w:rPr>
            <w:noProof/>
            <w:webHidden/>
          </w:rPr>
        </w:r>
        <w:r w:rsidR="00BC33EC">
          <w:rPr>
            <w:noProof/>
            <w:webHidden/>
          </w:rPr>
          <w:fldChar w:fldCharType="separate"/>
        </w:r>
        <w:r w:rsidR="00F77CAE">
          <w:rPr>
            <w:noProof/>
            <w:webHidden/>
          </w:rPr>
          <w:t>98</w:t>
        </w:r>
        <w:r w:rsidR="00BC33EC">
          <w:rPr>
            <w:noProof/>
            <w:webHidden/>
          </w:rPr>
          <w:fldChar w:fldCharType="end"/>
        </w:r>
      </w:hyperlink>
    </w:p>
    <w:p w14:paraId="1ABC436D" w14:textId="3F691609" w:rsidR="00BC33EC" w:rsidRDefault="00DF546A">
      <w:pPr>
        <w:pStyle w:val="TOC1"/>
        <w:tabs>
          <w:tab w:val="right" w:leader="dot" w:pos="9628"/>
        </w:tabs>
        <w:rPr>
          <w:rFonts w:eastAsiaTheme="minorEastAsia"/>
          <w:b w:val="0"/>
          <w:bCs w:val="0"/>
          <w:caps w:val="0"/>
          <w:noProof/>
          <w:color w:val="auto"/>
          <w:sz w:val="22"/>
          <w:szCs w:val="22"/>
          <w:lang w:eastAsia="cs-CZ"/>
        </w:rPr>
      </w:pPr>
      <w:hyperlink w:anchor="_Toc11679651" w:history="1">
        <w:r w:rsidR="00BC33EC" w:rsidRPr="002E263B">
          <w:rPr>
            <w:rStyle w:val="Hyperlink"/>
            <w:rFonts w:ascii="Verdana" w:eastAsia="MingLiU" w:hAnsi="Verdana" w:cs="Times New Roman"/>
            <w:noProof/>
          </w:rPr>
          <w:t>Příloha 6: Definice a komentář k indikátorové soustavě SC 1.1</w:t>
        </w:r>
        <w:r w:rsidR="00BC33EC">
          <w:rPr>
            <w:noProof/>
            <w:webHidden/>
          </w:rPr>
          <w:tab/>
        </w:r>
        <w:r w:rsidR="00BC33EC">
          <w:rPr>
            <w:noProof/>
            <w:webHidden/>
          </w:rPr>
          <w:fldChar w:fldCharType="begin"/>
        </w:r>
        <w:r w:rsidR="00BC33EC">
          <w:rPr>
            <w:noProof/>
            <w:webHidden/>
          </w:rPr>
          <w:instrText xml:space="preserve"> PAGEREF _Toc11679651 \h </w:instrText>
        </w:r>
        <w:r w:rsidR="00BC33EC">
          <w:rPr>
            <w:noProof/>
            <w:webHidden/>
          </w:rPr>
        </w:r>
        <w:r w:rsidR="00BC33EC">
          <w:rPr>
            <w:noProof/>
            <w:webHidden/>
          </w:rPr>
          <w:fldChar w:fldCharType="separate"/>
        </w:r>
        <w:r w:rsidR="00F77CAE">
          <w:rPr>
            <w:noProof/>
            <w:webHidden/>
          </w:rPr>
          <w:t>106</w:t>
        </w:r>
        <w:r w:rsidR="00BC33EC">
          <w:rPr>
            <w:noProof/>
            <w:webHidden/>
          </w:rPr>
          <w:fldChar w:fldCharType="end"/>
        </w:r>
      </w:hyperlink>
    </w:p>
    <w:p w14:paraId="43736AF0" w14:textId="77777777" w:rsidR="00811A8E" w:rsidRDefault="00145574" w:rsidP="00F12427">
      <w:pPr>
        <w:pStyle w:val="TOCHeading"/>
      </w:pPr>
      <w:r>
        <w:rPr>
          <w:rFonts w:asciiTheme="minorHAnsi" w:eastAsia="Verdana" w:hAnsiTheme="minorHAnsi" w:cstheme="minorBidi"/>
          <w:b/>
          <w:bCs/>
          <w:caps/>
          <w:color w:val="00000A"/>
          <w:sz w:val="20"/>
          <w:szCs w:val="20"/>
          <w:lang w:eastAsia="en-US"/>
        </w:rPr>
        <w:fldChar w:fldCharType="end"/>
      </w:r>
    </w:p>
    <w:p w14:paraId="3DDA57D3" w14:textId="77777777" w:rsidR="00AF402B" w:rsidRDefault="00AF402B">
      <w:pPr>
        <w:rPr>
          <w:sz w:val="28"/>
        </w:rPr>
      </w:pPr>
    </w:p>
    <w:p w14:paraId="7C67FCEF" w14:textId="77777777" w:rsidR="00DE0EEA" w:rsidRDefault="00DE0EEA">
      <w:pPr>
        <w:spacing w:after="0" w:line="240" w:lineRule="auto"/>
        <w:rPr>
          <w:sz w:val="60"/>
        </w:rPr>
      </w:pPr>
      <w:r>
        <w:br w:type="page"/>
      </w:r>
    </w:p>
    <w:p w14:paraId="3C5F615F" w14:textId="77777777" w:rsidR="00463988" w:rsidRDefault="00463988" w:rsidP="00D73025">
      <w:pPr>
        <w:pStyle w:val="Heading1"/>
        <w:spacing w:after="120"/>
        <w:rPr>
          <w:rFonts w:ascii="Verdana" w:eastAsia="MingLiU" w:hAnsi="Verdana" w:cs="Times New Roman"/>
          <w:b w:val="0"/>
          <w:color w:val="auto"/>
          <w:sz w:val="60"/>
          <w:szCs w:val="60"/>
        </w:rPr>
      </w:pPr>
      <w:bookmarkStart w:id="4" w:name="_Toc535414979"/>
      <w:bookmarkStart w:id="5" w:name="_Toc11679603"/>
      <w:r>
        <w:rPr>
          <w:rFonts w:ascii="Verdana" w:eastAsia="MingLiU" w:hAnsi="Verdana" w:cs="Times New Roman"/>
          <w:b w:val="0"/>
          <w:color w:val="auto"/>
          <w:sz w:val="60"/>
          <w:szCs w:val="60"/>
        </w:rPr>
        <w:t>Seznam zkratek</w:t>
      </w:r>
      <w:bookmarkEnd w:id="4"/>
      <w:bookmarkEnd w:id="5"/>
    </w:p>
    <w:tbl>
      <w:tblPr>
        <w:tblW w:w="8364" w:type="dxa"/>
        <w:tblInd w:w="317" w:type="dxa"/>
        <w:tblBorders>
          <w:top w:val="single" w:sz="18" w:space="0" w:color="86BC25"/>
          <w:bottom w:val="single" w:sz="4" w:space="0" w:color="000001"/>
          <w:insideH w:val="single" w:sz="4" w:space="0" w:color="000001"/>
        </w:tblBorders>
        <w:tblLook w:val="0000" w:firstRow="0" w:lastRow="0" w:firstColumn="0" w:lastColumn="0" w:noHBand="0" w:noVBand="0"/>
      </w:tblPr>
      <w:tblGrid>
        <w:gridCol w:w="1668"/>
        <w:gridCol w:w="6696"/>
      </w:tblGrid>
      <w:tr w:rsidR="007C7D1C" w14:paraId="18BA2E05" w14:textId="77777777" w:rsidTr="008272FF">
        <w:trPr>
          <w:trHeight w:val="283"/>
          <w:tblHeader/>
        </w:trPr>
        <w:tc>
          <w:tcPr>
            <w:tcW w:w="1668" w:type="dxa"/>
            <w:tcBorders>
              <w:top w:val="single" w:sz="18" w:space="0" w:color="86BC25"/>
              <w:bottom w:val="single" w:sz="4" w:space="0" w:color="000001"/>
            </w:tcBorders>
            <w:shd w:val="clear" w:color="auto" w:fill="FFFFFF"/>
          </w:tcPr>
          <w:p w14:paraId="2B929FE7" w14:textId="77777777" w:rsidR="007C7D1C" w:rsidRDefault="007C7D1C" w:rsidP="00BB0180">
            <w:pPr>
              <w:spacing w:before="120" w:after="120" w:line="240" w:lineRule="auto"/>
              <w:jc w:val="both"/>
              <w:rPr>
                <w:rFonts w:cs="Times New Roman"/>
                <w:b/>
                <w:color w:val="86BC25"/>
                <w:szCs w:val="18"/>
                <w:lang w:eastAsia="cs-CZ"/>
              </w:rPr>
            </w:pPr>
            <w:r>
              <w:rPr>
                <w:rFonts w:cs="Times New Roman"/>
                <w:b/>
                <w:color w:val="86BC25"/>
                <w:szCs w:val="18"/>
                <w:lang w:eastAsia="cs-CZ"/>
              </w:rPr>
              <w:t>Zkratka</w:t>
            </w:r>
          </w:p>
        </w:tc>
        <w:tc>
          <w:tcPr>
            <w:tcW w:w="6696" w:type="dxa"/>
            <w:tcBorders>
              <w:top w:val="single" w:sz="18" w:space="0" w:color="86BC25"/>
              <w:bottom w:val="single" w:sz="4" w:space="0" w:color="000001"/>
            </w:tcBorders>
            <w:shd w:val="clear" w:color="auto" w:fill="FFFFFF"/>
          </w:tcPr>
          <w:p w14:paraId="330D1A64" w14:textId="77777777" w:rsidR="007C7D1C" w:rsidRDefault="007C7D1C" w:rsidP="00BB0180">
            <w:pPr>
              <w:spacing w:before="120" w:after="120" w:line="240" w:lineRule="auto"/>
              <w:jc w:val="both"/>
              <w:rPr>
                <w:rFonts w:cs="Times New Roman"/>
                <w:b/>
                <w:color w:val="86BC25"/>
                <w:szCs w:val="18"/>
                <w:lang w:eastAsia="cs-CZ"/>
              </w:rPr>
            </w:pPr>
            <w:r>
              <w:rPr>
                <w:rFonts w:cs="Times New Roman"/>
                <w:b/>
                <w:color w:val="86BC25"/>
                <w:szCs w:val="18"/>
                <w:lang w:eastAsia="cs-CZ"/>
              </w:rPr>
              <w:t>Definice</w:t>
            </w:r>
          </w:p>
        </w:tc>
      </w:tr>
      <w:tr w:rsidR="007C7D1C" w14:paraId="5A99E5AC"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984386E" w14:textId="77777777" w:rsidR="007C7D1C" w:rsidRDefault="007C7D1C" w:rsidP="00BB0180">
            <w:pPr>
              <w:spacing w:after="0" w:line="240" w:lineRule="auto"/>
              <w:rPr>
                <w:b/>
                <w:bCs/>
              </w:rPr>
            </w:pPr>
            <w:r>
              <w:rPr>
                <w:b/>
                <w:bCs/>
              </w:rPr>
              <w:t>API</w:t>
            </w:r>
          </w:p>
        </w:tc>
        <w:tc>
          <w:tcPr>
            <w:tcW w:w="6696" w:type="dxa"/>
            <w:tcBorders>
              <w:top w:val="single" w:sz="4" w:space="0" w:color="000001"/>
              <w:bottom w:val="single" w:sz="4" w:space="0" w:color="000001"/>
            </w:tcBorders>
            <w:shd w:val="clear" w:color="auto" w:fill="FFFFFF"/>
            <w:vAlign w:val="center"/>
          </w:tcPr>
          <w:p w14:paraId="207599CC" w14:textId="77777777" w:rsidR="007C7D1C" w:rsidRDefault="007C7D1C" w:rsidP="00BB0180">
            <w:pPr>
              <w:spacing w:after="0" w:line="240" w:lineRule="auto"/>
            </w:pPr>
            <w:r>
              <w:t>Agentura pro podnikání</w:t>
            </w:r>
            <w:r w:rsidR="00B10CFA">
              <w:t xml:space="preserve"> a </w:t>
            </w:r>
            <w:r>
              <w:t>inovace</w:t>
            </w:r>
          </w:p>
        </w:tc>
      </w:tr>
      <w:tr w:rsidR="007C7D1C" w14:paraId="67B40E8A"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5D0CEB06" w14:textId="77777777" w:rsidR="007C7D1C" w:rsidRDefault="007C7D1C" w:rsidP="00BB0180">
            <w:pPr>
              <w:spacing w:after="0" w:line="240" w:lineRule="auto"/>
              <w:rPr>
                <w:b/>
                <w:bCs/>
              </w:rPr>
            </w:pPr>
            <w:r>
              <w:rPr>
                <w:b/>
                <w:bCs/>
              </w:rPr>
              <w:t>APL</w:t>
            </w:r>
          </w:p>
        </w:tc>
        <w:tc>
          <w:tcPr>
            <w:tcW w:w="6696" w:type="dxa"/>
            <w:tcBorders>
              <w:top w:val="single" w:sz="4" w:space="0" w:color="000001"/>
              <w:bottom w:val="single" w:sz="4" w:space="0" w:color="000001"/>
            </w:tcBorders>
            <w:shd w:val="clear" w:color="auto" w:fill="FFFFFF"/>
            <w:vAlign w:val="center"/>
          </w:tcPr>
          <w:p w14:paraId="53A12277" w14:textId="77777777" w:rsidR="007C7D1C" w:rsidRDefault="007C7D1C" w:rsidP="00BB0180">
            <w:pPr>
              <w:spacing w:after="0" w:line="240" w:lineRule="auto"/>
            </w:pPr>
            <w:r>
              <w:t>Program OP PIK Aplikace</w:t>
            </w:r>
          </w:p>
        </w:tc>
      </w:tr>
      <w:tr w:rsidR="007C7D1C" w14:paraId="466057C1"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19E9FC6" w14:textId="77777777" w:rsidR="007C7D1C" w:rsidRDefault="007C7D1C" w:rsidP="00BB0180">
            <w:pPr>
              <w:spacing w:after="0" w:line="240" w:lineRule="auto"/>
              <w:rPr>
                <w:b/>
                <w:bCs/>
              </w:rPr>
            </w:pPr>
            <w:r>
              <w:rPr>
                <w:b/>
                <w:bCs/>
              </w:rPr>
              <w:t>ČSÚ</w:t>
            </w:r>
          </w:p>
        </w:tc>
        <w:tc>
          <w:tcPr>
            <w:tcW w:w="6696" w:type="dxa"/>
            <w:tcBorders>
              <w:top w:val="single" w:sz="4" w:space="0" w:color="000001"/>
              <w:bottom w:val="single" w:sz="4" w:space="0" w:color="000001"/>
            </w:tcBorders>
            <w:shd w:val="clear" w:color="auto" w:fill="FFFFFF"/>
            <w:vAlign w:val="center"/>
          </w:tcPr>
          <w:p w14:paraId="3D642807" w14:textId="77777777" w:rsidR="007C7D1C" w:rsidRDefault="007C7D1C" w:rsidP="00BB0180">
            <w:pPr>
              <w:spacing w:after="0" w:line="240" w:lineRule="auto"/>
            </w:pPr>
            <w:r>
              <w:t>Český statistický úřad</w:t>
            </w:r>
          </w:p>
        </w:tc>
      </w:tr>
      <w:tr w:rsidR="007C7D1C" w14:paraId="23209F8D"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91369CA" w14:textId="77777777" w:rsidR="007C7D1C" w:rsidRDefault="007C7D1C" w:rsidP="00BB0180">
            <w:pPr>
              <w:spacing w:after="0" w:line="240" w:lineRule="auto"/>
              <w:rPr>
                <w:b/>
                <w:bCs/>
              </w:rPr>
            </w:pPr>
            <w:r>
              <w:rPr>
                <w:b/>
                <w:bCs/>
              </w:rPr>
              <w:t>EO</w:t>
            </w:r>
          </w:p>
        </w:tc>
        <w:tc>
          <w:tcPr>
            <w:tcW w:w="6696" w:type="dxa"/>
            <w:tcBorders>
              <w:top w:val="single" w:sz="4" w:space="0" w:color="000001"/>
              <w:bottom w:val="single" w:sz="4" w:space="0" w:color="000001"/>
            </w:tcBorders>
            <w:shd w:val="clear" w:color="auto" w:fill="FFFFFF"/>
            <w:vAlign w:val="center"/>
          </w:tcPr>
          <w:p w14:paraId="78CE730D" w14:textId="77777777" w:rsidR="007C7D1C" w:rsidRDefault="007C7D1C" w:rsidP="00BB0180">
            <w:pPr>
              <w:spacing w:after="0" w:line="240" w:lineRule="auto"/>
            </w:pPr>
            <w:r>
              <w:t>Evaluační otázka</w:t>
            </w:r>
          </w:p>
        </w:tc>
      </w:tr>
      <w:tr w:rsidR="007C7D1C" w14:paraId="56C127BF"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595B85E" w14:textId="77777777" w:rsidR="007C7D1C" w:rsidRDefault="007C7D1C" w:rsidP="00BB0180">
            <w:pPr>
              <w:spacing w:after="0" w:line="240" w:lineRule="auto"/>
              <w:rPr>
                <w:b/>
                <w:bCs/>
              </w:rPr>
            </w:pPr>
            <w:r>
              <w:rPr>
                <w:b/>
                <w:bCs/>
              </w:rPr>
              <w:t>ESIF</w:t>
            </w:r>
          </w:p>
        </w:tc>
        <w:tc>
          <w:tcPr>
            <w:tcW w:w="6696" w:type="dxa"/>
            <w:tcBorders>
              <w:top w:val="single" w:sz="4" w:space="0" w:color="000001"/>
              <w:bottom w:val="single" w:sz="4" w:space="0" w:color="000001"/>
            </w:tcBorders>
            <w:shd w:val="clear" w:color="auto" w:fill="FFFFFF"/>
            <w:vAlign w:val="center"/>
          </w:tcPr>
          <w:p w14:paraId="4BCEC750" w14:textId="77777777" w:rsidR="007C7D1C" w:rsidRDefault="007C7D1C" w:rsidP="00BB0180">
            <w:pPr>
              <w:spacing w:after="0" w:line="240" w:lineRule="auto"/>
            </w:pPr>
            <w:r>
              <w:t>Evropské strukturální</w:t>
            </w:r>
            <w:r w:rsidR="00B10CFA">
              <w:t xml:space="preserve"> a </w:t>
            </w:r>
            <w:r>
              <w:t>investiční fondy</w:t>
            </w:r>
          </w:p>
        </w:tc>
      </w:tr>
      <w:tr w:rsidR="00E82F0C" w14:paraId="3114CCEE"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4B1EA281" w14:textId="77777777" w:rsidR="00E82F0C" w:rsidRDefault="00E82F0C" w:rsidP="00BB0180">
            <w:pPr>
              <w:spacing w:after="0" w:line="240" w:lineRule="auto"/>
              <w:rPr>
                <w:b/>
                <w:bCs/>
              </w:rPr>
            </w:pPr>
            <w:r>
              <w:rPr>
                <w:b/>
                <w:bCs/>
              </w:rPr>
              <w:t>EU</w:t>
            </w:r>
          </w:p>
        </w:tc>
        <w:tc>
          <w:tcPr>
            <w:tcW w:w="6696" w:type="dxa"/>
            <w:tcBorders>
              <w:top w:val="single" w:sz="4" w:space="0" w:color="000001"/>
              <w:bottom w:val="single" w:sz="4" w:space="0" w:color="000001"/>
            </w:tcBorders>
            <w:shd w:val="clear" w:color="auto" w:fill="FFFFFF"/>
            <w:vAlign w:val="center"/>
          </w:tcPr>
          <w:p w14:paraId="714CF9B7" w14:textId="77777777" w:rsidR="00E82F0C" w:rsidRDefault="00E82F0C" w:rsidP="00BB0180">
            <w:pPr>
              <w:spacing w:after="0" w:line="240" w:lineRule="auto"/>
            </w:pPr>
            <w:r>
              <w:t>Evropská unie</w:t>
            </w:r>
          </w:p>
        </w:tc>
      </w:tr>
      <w:tr w:rsidR="002D5ADE" w14:paraId="1E1D67A3"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6068C39" w14:textId="77777777" w:rsidR="002D5ADE" w:rsidRDefault="002D5ADE" w:rsidP="00BB0180">
            <w:pPr>
              <w:spacing w:after="0" w:line="240" w:lineRule="auto"/>
              <w:rPr>
                <w:b/>
                <w:bCs/>
              </w:rPr>
            </w:pPr>
            <w:r>
              <w:rPr>
                <w:b/>
                <w:bCs/>
              </w:rPr>
              <w:t>EV</w:t>
            </w:r>
          </w:p>
        </w:tc>
        <w:tc>
          <w:tcPr>
            <w:tcW w:w="6696" w:type="dxa"/>
            <w:tcBorders>
              <w:top w:val="single" w:sz="4" w:space="0" w:color="000001"/>
              <w:bottom w:val="single" w:sz="4" w:space="0" w:color="000001"/>
            </w:tcBorders>
            <w:shd w:val="clear" w:color="auto" w:fill="FFFFFF"/>
            <w:vAlign w:val="center"/>
          </w:tcPr>
          <w:p w14:paraId="443E1E4E" w14:textId="77777777" w:rsidR="002D5ADE" w:rsidRDefault="00C14C6C" w:rsidP="00BB0180">
            <w:pPr>
              <w:spacing w:after="0" w:line="240" w:lineRule="auto"/>
            </w:pPr>
            <w:r>
              <w:t>Experimentální vývoj</w:t>
            </w:r>
          </w:p>
        </w:tc>
      </w:tr>
      <w:tr w:rsidR="007C7D1C" w14:paraId="057EDD5E"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691D8EC3" w14:textId="77777777" w:rsidR="007C7D1C" w:rsidRDefault="007C7D1C" w:rsidP="00BB0180">
            <w:pPr>
              <w:spacing w:after="0" w:line="240" w:lineRule="auto"/>
              <w:rPr>
                <w:b/>
                <w:bCs/>
              </w:rPr>
            </w:pPr>
            <w:r>
              <w:rPr>
                <w:b/>
                <w:bCs/>
              </w:rPr>
              <w:t>H2020</w:t>
            </w:r>
          </w:p>
        </w:tc>
        <w:tc>
          <w:tcPr>
            <w:tcW w:w="6696" w:type="dxa"/>
            <w:tcBorders>
              <w:top w:val="single" w:sz="4" w:space="0" w:color="000001"/>
              <w:bottom w:val="single" w:sz="4" w:space="0" w:color="000001"/>
            </w:tcBorders>
            <w:shd w:val="clear" w:color="auto" w:fill="FFFFFF"/>
            <w:vAlign w:val="center"/>
          </w:tcPr>
          <w:p w14:paraId="2DFAB1AC" w14:textId="77777777" w:rsidR="007C7D1C" w:rsidRDefault="007C7D1C" w:rsidP="00BB0180">
            <w:pPr>
              <w:spacing w:after="0" w:line="240" w:lineRule="auto"/>
            </w:pPr>
            <w:r>
              <w:t>Horizont 2020</w:t>
            </w:r>
          </w:p>
        </w:tc>
      </w:tr>
      <w:tr w:rsidR="007C7D1C" w14:paraId="5BFAFB08"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6EFF165E" w14:textId="77777777" w:rsidR="007C7D1C" w:rsidRDefault="007C7D1C" w:rsidP="00BB0180">
            <w:pPr>
              <w:spacing w:after="0" w:line="240" w:lineRule="auto"/>
              <w:rPr>
                <w:b/>
                <w:bCs/>
              </w:rPr>
            </w:pPr>
            <w:r>
              <w:rPr>
                <w:b/>
                <w:bCs/>
              </w:rPr>
              <w:t>INO</w:t>
            </w:r>
          </w:p>
        </w:tc>
        <w:tc>
          <w:tcPr>
            <w:tcW w:w="6696" w:type="dxa"/>
            <w:tcBorders>
              <w:top w:val="single" w:sz="4" w:space="0" w:color="000001"/>
              <w:bottom w:val="single" w:sz="4" w:space="0" w:color="000001"/>
            </w:tcBorders>
            <w:shd w:val="clear" w:color="auto" w:fill="FFFFFF"/>
            <w:vAlign w:val="center"/>
          </w:tcPr>
          <w:p w14:paraId="4B0A0F55" w14:textId="77777777" w:rsidR="007C7D1C" w:rsidRDefault="007C7D1C" w:rsidP="00BB0180">
            <w:pPr>
              <w:spacing w:after="0" w:line="240" w:lineRule="auto"/>
            </w:pPr>
            <w:r>
              <w:t>Program OP PIK Inovace</w:t>
            </w:r>
          </w:p>
        </w:tc>
      </w:tr>
      <w:tr w:rsidR="009B651B" w14:paraId="5DE6C473"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467D42DD" w14:textId="77777777" w:rsidR="009B651B" w:rsidRDefault="009B651B" w:rsidP="009B651B">
            <w:pPr>
              <w:spacing w:after="0" w:line="240" w:lineRule="auto"/>
              <w:rPr>
                <w:b/>
                <w:bCs/>
              </w:rPr>
            </w:pPr>
            <w:r>
              <w:rPr>
                <w:b/>
                <w:bCs/>
              </w:rPr>
              <w:t>IS KP14+</w:t>
            </w:r>
          </w:p>
        </w:tc>
        <w:tc>
          <w:tcPr>
            <w:tcW w:w="6696" w:type="dxa"/>
            <w:tcBorders>
              <w:top w:val="single" w:sz="4" w:space="0" w:color="000001"/>
              <w:bottom w:val="single" w:sz="4" w:space="0" w:color="000001"/>
            </w:tcBorders>
            <w:shd w:val="clear" w:color="auto" w:fill="FFFFFF"/>
            <w:vAlign w:val="center"/>
          </w:tcPr>
          <w:p w14:paraId="4E7AF3C6" w14:textId="77777777" w:rsidR="009B651B" w:rsidRDefault="009B651B" w:rsidP="009B651B">
            <w:pPr>
              <w:spacing w:after="0" w:line="240" w:lineRule="auto"/>
            </w:pPr>
            <w:r>
              <w:t>Informační systém koncového příjemce</w:t>
            </w:r>
            <w:r w:rsidR="00433A78">
              <w:t>, součást MS2014+</w:t>
            </w:r>
          </w:p>
        </w:tc>
      </w:tr>
      <w:tr w:rsidR="009B651B" w14:paraId="0FF15D18"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90B6197" w14:textId="77777777" w:rsidR="009B651B" w:rsidRDefault="009B651B" w:rsidP="009B651B">
            <w:pPr>
              <w:spacing w:after="0" w:line="240" w:lineRule="auto"/>
              <w:rPr>
                <w:b/>
                <w:bCs/>
              </w:rPr>
            </w:pPr>
            <w:r>
              <w:rPr>
                <w:b/>
                <w:bCs/>
              </w:rPr>
              <w:t>ITI</w:t>
            </w:r>
          </w:p>
        </w:tc>
        <w:tc>
          <w:tcPr>
            <w:tcW w:w="6696" w:type="dxa"/>
            <w:tcBorders>
              <w:top w:val="single" w:sz="4" w:space="0" w:color="000001"/>
              <w:bottom w:val="single" w:sz="4" w:space="0" w:color="000001"/>
            </w:tcBorders>
            <w:shd w:val="clear" w:color="auto" w:fill="FFFFFF"/>
            <w:vAlign w:val="center"/>
          </w:tcPr>
          <w:p w14:paraId="44ABDAB0" w14:textId="77777777" w:rsidR="009B651B" w:rsidRDefault="009B651B" w:rsidP="009B651B">
            <w:pPr>
              <w:spacing w:after="0" w:line="240" w:lineRule="auto"/>
            </w:pPr>
            <w:r>
              <w:t>Integrované územní investice</w:t>
            </w:r>
          </w:p>
        </w:tc>
      </w:tr>
      <w:tr w:rsidR="00D9740C" w14:paraId="64AF66BE"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98D1C50" w14:textId="77777777" w:rsidR="00D9740C" w:rsidRDefault="00D9740C" w:rsidP="009B651B">
            <w:pPr>
              <w:spacing w:after="0" w:line="240" w:lineRule="auto"/>
              <w:rPr>
                <w:b/>
                <w:bCs/>
              </w:rPr>
            </w:pPr>
            <w:r>
              <w:rPr>
                <w:b/>
                <w:bCs/>
              </w:rPr>
              <w:t>KET</w:t>
            </w:r>
          </w:p>
        </w:tc>
        <w:tc>
          <w:tcPr>
            <w:tcW w:w="6696" w:type="dxa"/>
            <w:tcBorders>
              <w:top w:val="single" w:sz="4" w:space="0" w:color="000001"/>
              <w:bottom w:val="single" w:sz="4" w:space="0" w:color="000001"/>
            </w:tcBorders>
            <w:shd w:val="clear" w:color="auto" w:fill="FFFFFF"/>
            <w:vAlign w:val="center"/>
          </w:tcPr>
          <w:p w14:paraId="7584048C" w14:textId="77777777" w:rsidR="00D9740C" w:rsidRDefault="00D9740C" w:rsidP="009B651B">
            <w:pPr>
              <w:spacing w:after="0" w:line="240" w:lineRule="auto"/>
            </w:pPr>
            <w:r>
              <w:t>Klíčové technologie (</w:t>
            </w:r>
            <w:proofErr w:type="spellStart"/>
            <w:r w:rsidRPr="00D9740C">
              <w:t>Key</w:t>
            </w:r>
            <w:proofErr w:type="spellEnd"/>
            <w:r w:rsidRPr="00D9740C">
              <w:t xml:space="preserve"> </w:t>
            </w:r>
            <w:proofErr w:type="spellStart"/>
            <w:r w:rsidRPr="00D9740C">
              <w:t>Enabling</w:t>
            </w:r>
            <w:proofErr w:type="spellEnd"/>
            <w:r w:rsidRPr="00D9740C">
              <w:t xml:space="preserve"> Technologies)</w:t>
            </w:r>
          </w:p>
        </w:tc>
      </w:tr>
      <w:tr w:rsidR="009B651B" w14:paraId="38782068"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80578D7" w14:textId="77777777" w:rsidR="009B651B" w:rsidRDefault="009B651B" w:rsidP="009B651B">
            <w:pPr>
              <w:spacing w:after="0" w:line="240" w:lineRule="auto"/>
              <w:rPr>
                <w:b/>
                <w:bCs/>
              </w:rPr>
            </w:pPr>
            <w:r>
              <w:rPr>
                <w:b/>
                <w:bCs/>
              </w:rPr>
              <w:t>MF ČR</w:t>
            </w:r>
          </w:p>
        </w:tc>
        <w:tc>
          <w:tcPr>
            <w:tcW w:w="6696" w:type="dxa"/>
            <w:tcBorders>
              <w:top w:val="single" w:sz="4" w:space="0" w:color="000001"/>
              <w:bottom w:val="single" w:sz="4" w:space="0" w:color="000001"/>
            </w:tcBorders>
            <w:shd w:val="clear" w:color="auto" w:fill="FFFFFF"/>
            <w:vAlign w:val="center"/>
          </w:tcPr>
          <w:p w14:paraId="44F9A693" w14:textId="77777777" w:rsidR="009B651B" w:rsidRDefault="009B651B" w:rsidP="009B651B">
            <w:pPr>
              <w:spacing w:after="0" w:line="240" w:lineRule="auto"/>
            </w:pPr>
            <w:r>
              <w:t>Ministerstvo financí České republiky</w:t>
            </w:r>
          </w:p>
        </w:tc>
      </w:tr>
      <w:tr w:rsidR="00433A78" w14:paraId="20828FBE"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38008CD" w14:textId="77777777" w:rsidR="00433A78" w:rsidRDefault="00433A78" w:rsidP="009B651B">
            <w:pPr>
              <w:spacing w:after="0" w:line="240" w:lineRule="auto"/>
              <w:rPr>
                <w:b/>
                <w:bCs/>
              </w:rPr>
            </w:pPr>
            <w:r>
              <w:rPr>
                <w:b/>
                <w:bCs/>
              </w:rPr>
              <w:t>MP</w:t>
            </w:r>
          </w:p>
        </w:tc>
        <w:tc>
          <w:tcPr>
            <w:tcW w:w="6696" w:type="dxa"/>
            <w:tcBorders>
              <w:top w:val="single" w:sz="4" w:space="0" w:color="000001"/>
              <w:bottom w:val="single" w:sz="4" w:space="0" w:color="000001"/>
            </w:tcBorders>
            <w:shd w:val="clear" w:color="auto" w:fill="FFFFFF"/>
            <w:vAlign w:val="center"/>
          </w:tcPr>
          <w:p w14:paraId="11DE8435" w14:textId="77777777" w:rsidR="00433A78" w:rsidRDefault="00433A78" w:rsidP="009B651B">
            <w:pPr>
              <w:spacing w:after="0" w:line="240" w:lineRule="auto"/>
            </w:pPr>
            <w:r>
              <w:t>Malý podnik</w:t>
            </w:r>
          </w:p>
        </w:tc>
      </w:tr>
      <w:tr w:rsidR="009B651B" w14:paraId="1A67B6EC"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4BD11F20" w14:textId="77777777" w:rsidR="009B651B" w:rsidRDefault="009B651B" w:rsidP="009B651B">
            <w:pPr>
              <w:spacing w:after="0" w:line="240" w:lineRule="auto"/>
              <w:rPr>
                <w:b/>
                <w:bCs/>
              </w:rPr>
            </w:pPr>
            <w:r>
              <w:rPr>
                <w:b/>
                <w:bCs/>
              </w:rPr>
              <w:t>MPO</w:t>
            </w:r>
          </w:p>
        </w:tc>
        <w:tc>
          <w:tcPr>
            <w:tcW w:w="6696" w:type="dxa"/>
            <w:tcBorders>
              <w:top w:val="single" w:sz="4" w:space="0" w:color="000001"/>
              <w:bottom w:val="single" w:sz="4" w:space="0" w:color="000001"/>
            </w:tcBorders>
            <w:shd w:val="clear" w:color="auto" w:fill="FFFFFF"/>
            <w:vAlign w:val="center"/>
          </w:tcPr>
          <w:p w14:paraId="30A3E3D2" w14:textId="77777777" w:rsidR="009B651B" w:rsidRDefault="009B651B" w:rsidP="009B651B">
            <w:pPr>
              <w:spacing w:after="0" w:line="240" w:lineRule="auto"/>
            </w:pPr>
            <w:r>
              <w:t>Ministerstvo průmyslu a obchodu</w:t>
            </w:r>
          </w:p>
        </w:tc>
      </w:tr>
      <w:tr w:rsidR="00433A78" w14:paraId="2018CFFA"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17E14817" w14:textId="77777777" w:rsidR="00433A78" w:rsidRDefault="00433A78" w:rsidP="009B651B">
            <w:pPr>
              <w:spacing w:after="0" w:line="240" w:lineRule="auto"/>
              <w:rPr>
                <w:b/>
                <w:bCs/>
              </w:rPr>
            </w:pPr>
            <w:r>
              <w:rPr>
                <w:b/>
                <w:bCs/>
              </w:rPr>
              <w:t>MS2014+</w:t>
            </w:r>
          </w:p>
        </w:tc>
        <w:tc>
          <w:tcPr>
            <w:tcW w:w="6696" w:type="dxa"/>
            <w:tcBorders>
              <w:top w:val="single" w:sz="4" w:space="0" w:color="000001"/>
              <w:bottom w:val="single" w:sz="4" w:space="0" w:color="000001"/>
            </w:tcBorders>
            <w:shd w:val="clear" w:color="auto" w:fill="FFFFFF"/>
            <w:vAlign w:val="center"/>
          </w:tcPr>
          <w:p w14:paraId="3897515B" w14:textId="77777777" w:rsidR="00433A78" w:rsidRDefault="00433A78" w:rsidP="009B651B">
            <w:pPr>
              <w:spacing w:after="0" w:line="240" w:lineRule="auto"/>
            </w:pPr>
            <w:r>
              <w:t>Monitorovací systém</w:t>
            </w:r>
          </w:p>
        </w:tc>
      </w:tr>
      <w:tr w:rsidR="009B651B" w14:paraId="08D31704"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2EF5AF8" w14:textId="77777777" w:rsidR="009B651B" w:rsidRPr="00463988" w:rsidRDefault="009B651B" w:rsidP="009B651B">
            <w:pPr>
              <w:spacing w:after="0" w:line="240" w:lineRule="auto"/>
              <w:rPr>
                <w:b/>
              </w:rPr>
            </w:pPr>
            <w:r>
              <w:rPr>
                <w:b/>
              </w:rPr>
              <w:t>MSP</w:t>
            </w:r>
          </w:p>
        </w:tc>
        <w:tc>
          <w:tcPr>
            <w:tcW w:w="6696" w:type="dxa"/>
            <w:tcBorders>
              <w:top w:val="single" w:sz="4" w:space="0" w:color="000001"/>
              <w:bottom w:val="single" w:sz="4" w:space="0" w:color="000001"/>
            </w:tcBorders>
            <w:shd w:val="clear" w:color="auto" w:fill="FFFFFF"/>
            <w:vAlign w:val="center"/>
          </w:tcPr>
          <w:p w14:paraId="6381E24A" w14:textId="77777777" w:rsidR="009B651B" w:rsidRDefault="009B651B" w:rsidP="009B651B">
            <w:pPr>
              <w:spacing w:after="0" w:line="240" w:lineRule="auto"/>
            </w:pPr>
            <w:r>
              <w:t>Malé a střední podniky</w:t>
            </w:r>
          </w:p>
        </w:tc>
      </w:tr>
      <w:tr w:rsidR="009B651B" w14:paraId="020B5A79"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252697AC" w14:textId="77777777" w:rsidR="009B651B" w:rsidRPr="00463988" w:rsidRDefault="009B651B" w:rsidP="009B651B">
            <w:pPr>
              <w:spacing w:after="0" w:line="240" w:lineRule="auto"/>
              <w:rPr>
                <w:b/>
              </w:rPr>
            </w:pPr>
            <w:r>
              <w:rPr>
                <w:b/>
              </w:rPr>
              <w:t>NKÚ</w:t>
            </w:r>
          </w:p>
        </w:tc>
        <w:tc>
          <w:tcPr>
            <w:tcW w:w="6696" w:type="dxa"/>
            <w:tcBorders>
              <w:top w:val="single" w:sz="4" w:space="0" w:color="000001"/>
              <w:bottom w:val="single" w:sz="4" w:space="0" w:color="000001"/>
            </w:tcBorders>
            <w:shd w:val="clear" w:color="auto" w:fill="FFFFFF"/>
            <w:vAlign w:val="center"/>
          </w:tcPr>
          <w:p w14:paraId="54956332" w14:textId="77777777" w:rsidR="009B651B" w:rsidRDefault="009B651B" w:rsidP="009B651B">
            <w:pPr>
              <w:spacing w:after="0" w:line="240" w:lineRule="auto"/>
            </w:pPr>
            <w:r>
              <w:t>Národní kontrolní úřad</w:t>
            </w:r>
          </w:p>
        </w:tc>
      </w:tr>
      <w:tr w:rsidR="000A36AD" w14:paraId="588D94A3"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89A7741" w14:textId="77777777" w:rsidR="000A36AD" w:rsidRDefault="000A36AD" w:rsidP="009B651B">
            <w:pPr>
              <w:spacing w:after="0" w:line="240" w:lineRule="auto"/>
              <w:rPr>
                <w:b/>
              </w:rPr>
            </w:pPr>
            <w:r>
              <w:rPr>
                <w:b/>
              </w:rPr>
              <w:t>NOK</w:t>
            </w:r>
          </w:p>
        </w:tc>
        <w:tc>
          <w:tcPr>
            <w:tcW w:w="6696" w:type="dxa"/>
            <w:tcBorders>
              <w:top w:val="single" w:sz="4" w:space="0" w:color="000001"/>
              <w:bottom w:val="single" w:sz="4" w:space="0" w:color="000001"/>
            </w:tcBorders>
            <w:shd w:val="clear" w:color="auto" w:fill="FFFFFF"/>
            <w:vAlign w:val="center"/>
          </w:tcPr>
          <w:p w14:paraId="28DD9AEF" w14:textId="77777777" w:rsidR="000A36AD" w:rsidRDefault="000A36AD" w:rsidP="009B651B">
            <w:pPr>
              <w:spacing w:after="0" w:line="240" w:lineRule="auto"/>
            </w:pPr>
            <w:r>
              <w:t>Národní orgán pro koordinaci</w:t>
            </w:r>
          </w:p>
        </w:tc>
      </w:tr>
      <w:tr w:rsidR="009B651B" w14:paraId="27EC6880"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4A8C094B" w14:textId="77777777" w:rsidR="009B651B" w:rsidRPr="00463988" w:rsidRDefault="009B651B" w:rsidP="009B651B">
            <w:pPr>
              <w:spacing w:after="0" w:line="240" w:lineRule="auto"/>
              <w:rPr>
                <w:b/>
              </w:rPr>
            </w:pPr>
            <w:r w:rsidRPr="00463988">
              <w:rPr>
                <w:b/>
              </w:rPr>
              <w:t>OP PIK</w:t>
            </w:r>
          </w:p>
        </w:tc>
        <w:tc>
          <w:tcPr>
            <w:tcW w:w="6696" w:type="dxa"/>
            <w:tcBorders>
              <w:top w:val="single" w:sz="4" w:space="0" w:color="000001"/>
              <w:bottom w:val="single" w:sz="4" w:space="0" w:color="000001"/>
            </w:tcBorders>
            <w:shd w:val="clear" w:color="auto" w:fill="FFFFFF"/>
            <w:vAlign w:val="center"/>
          </w:tcPr>
          <w:p w14:paraId="794D5CC2" w14:textId="77777777" w:rsidR="009B651B" w:rsidRDefault="009B651B" w:rsidP="009B651B">
            <w:pPr>
              <w:spacing w:after="0" w:line="240" w:lineRule="auto"/>
            </w:pPr>
            <w:r>
              <w:t>Operační program Podnikání a inovace pro konkurenceschopnost</w:t>
            </w:r>
          </w:p>
        </w:tc>
      </w:tr>
      <w:tr w:rsidR="009B651B" w14:paraId="103752E0"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371D13D" w14:textId="77777777" w:rsidR="009B651B" w:rsidRDefault="009B651B" w:rsidP="009B651B">
            <w:pPr>
              <w:spacing w:after="0" w:line="240" w:lineRule="auto"/>
              <w:rPr>
                <w:b/>
                <w:bCs/>
              </w:rPr>
            </w:pPr>
            <w:r>
              <w:rPr>
                <w:b/>
                <w:bCs/>
              </w:rPr>
              <w:t>OP PPR</w:t>
            </w:r>
          </w:p>
        </w:tc>
        <w:tc>
          <w:tcPr>
            <w:tcW w:w="6696" w:type="dxa"/>
            <w:tcBorders>
              <w:top w:val="single" w:sz="4" w:space="0" w:color="000001"/>
              <w:bottom w:val="single" w:sz="4" w:space="0" w:color="000001"/>
            </w:tcBorders>
            <w:shd w:val="clear" w:color="auto" w:fill="FFFFFF"/>
            <w:vAlign w:val="center"/>
          </w:tcPr>
          <w:p w14:paraId="3074E9BA" w14:textId="77777777" w:rsidR="009B651B" w:rsidRDefault="009B651B" w:rsidP="009B651B">
            <w:pPr>
              <w:spacing w:after="0" w:line="240" w:lineRule="auto"/>
            </w:pPr>
            <w:r w:rsidRPr="00847D59">
              <w:t>Operační Program Praha - pól růstu ČR</w:t>
            </w:r>
          </w:p>
        </w:tc>
      </w:tr>
      <w:tr w:rsidR="009B651B" w14:paraId="29A6DC6D"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57307BC" w14:textId="77777777" w:rsidR="009B651B" w:rsidRDefault="009B651B" w:rsidP="009B651B">
            <w:pPr>
              <w:spacing w:after="0" w:line="240" w:lineRule="auto"/>
              <w:rPr>
                <w:b/>
                <w:bCs/>
              </w:rPr>
            </w:pPr>
            <w:r>
              <w:rPr>
                <w:b/>
                <w:bCs/>
              </w:rPr>
              <w:t>OP VVV</w:t>
            </w:r>
          </w:p>
        </w:tc>
        <w:tc>
          <w:tcPr>
            <w:tcW w:w="6696" w:type="dxa"/>
            <w:tcBorders>
              <w:top w:val="single" w:sz="4" w:space="0" w:color="000001"/>
              <w:bottom w:val="single" w:sz="4" w:space="0" w:color="000001"/>
            </w:tcBorders>
            <w:shd w:val="clear" w:color="auto" w:fill="FFFFFF"/>
            <w:vAlign w:val="center"/>
          </w:tcPr>
          <w:p w14:paraId="18FC7F28" w14:textId="77777777" w:rsidR="009B651B" w:rsidRDefault="009B651B" w:rsidP="009B651B">
            <w:pPr>
              <w:spacing w:after="0" w:line="240" w:lineRule="auto"/>
            </w:pPr>
            <w:r w:rsidRPr="00847D59">
              <w:t>Operační program Výzkum, vývoj</w:t>
            </w:r>
            <w:r>
              <w:t xml:space="preserve"> a </w:t>
            </w:r>
            <w:r w:rsidRPr="00847D59">
              <w:t>vzdělávání</w:t>
            </w:r>
          </w:p>
        </w:tc>
      </w:tr>
      <w:tr w:rsidR="000A36AD" w14:paraId="6C01F8B6"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1631299" w14:textId="77777777" w:rsidR="000A36AD" w:rsidRDefault="000A36AD" w:rsidP="009B651B">
            <w:pPr>
              <w:spacing w:after="0" w:line="240" w:lineRule="auto"/>
              <w:rPr>
                <w:b/>
                <w:bCs/>
              </w:rPr>
            </w:pPr>
            <w:r>
              <w:rPr>
                <w:b/>
                <w:bCs/>
              </w:rPr>
              <w:t>OP Z</w:t>
            </w:r>
          </w:p>
        </w:tc>
        <w:tc>
          <w:tcPr>
            <w:tcW w:w="6696" w:type="dxa"/>
            <w:tcBorders>
              <w:top w:val="single" w:sz="4" w:space="0" w:color="000001"/>
              <w:bottom w:val="single" w:sz="4" w:space="0" w:color="000001"/>
            </w:tcBorders>
            <w:shd w:val="clear" w:color="auto" w:fill="FFFFFF"/>
            <w:vAlign w:val="center"/>
          </w:tcPr>
          <w:p w14:paraId="50CD389E" w14:textId="77777777" w:rsidR="000A36AD" w:rsidRPr="00847D59" w:rsidRDefault="000A36AD" w:rsidP="009B651B">
            <w:pPr>
              <w:spacing w:after="0" w:line="240" w:lineRule="auto"/>
            </w:pPr>
            <w:r>
              <w:t>Operační program Zaměstnanost</w:t>
            </w:r>
          </w:p>
        </w:tc>
      </w:tr>
      <w:tr w:rsidR="009B651B" w14:paraId="0D57EDE1"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22AF5854" w14:textId="77777777" w:rsidR="009B651B" w:rsidRDefault="009B651B" w:rsidP="009B651B">
            <w:pPr>
              <w:spacing w:after="0" w:line="240" w:lineRule="auto"/>
              <w:rPr>
                <w:b/>
                <w:bCs/>
              </w:rPr>
            </w:pPr>
            <w:r>
              <w:rPr>
                <w:b/>
                <w:bCs/>
              </w:rPr>
              <w:t>PO</w:t>
            </w:r>
          </w:p>
        </w:tc>
        <w:tc>
          <w:tcPr>
            <w:tcW w:w="6696" w:type="dxa"/>
            <w:tcBorders>
              <w:top w:val="single" w:sz="4" w:space="0" w:color="000001"/>
              <w:bottom w:val="single" w:sz="4" w:space="0" w:color="000001"/>
            </w:tcBorders>
            <w:shd w:val="clear" w:color="auto" w:fill="FFFFFF"/>
            <w:vAlign w:val="center"/>
          </w:tcPr>
          <w:p w14:paraId="3BDC4BE2" w14:textId="77777777" w:rsidR="009B651B" w:rsidRDefault="009B651B" w:rsidP="009B651B">
            <w:pPr>
              <w:spacing w:after="0" w:line="240" w:lineRule="auto"/>
            </w:pPr>
            <w:r>
              <w:t>Prioritní osa</w:t>
            </w:r>
          </w:p>
        </w:tc>
      </w:tr>
      <w:tr w:rsidR="009B651B" w14:paraId="17626DC7"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14D7CE0" w14:textId="77777777" w:rsidR="009B651B" w:rsidRDefault="009B651B" w:rsidP="009B651B">
            <w:pPr>
              <w:spacing w:after="0" w:line="240" w:lineRule="auto"/>
              <w:rPr>
                <w:b/>
                <w:bCs/>
              </w:rPr>
            </w:pPr>
            <w:r>
              <w:rPr>
                <w:b/>
                <w:bCs/>
              </w:rPr>
              <w:t>POT</w:t>
            </w:r>
          </w:p>
        </w:tc>
        <w:tc>
          <w:tcPr>
            <w:tcW w:w="6696" w:type="dxa"/>
            <w:tcBorders>
              <w:top w:val="single" w:sz="4" w:space="0" w:color="000001"/>
              <w:bottom w:val="single" w:sz="4" w:space="0" w:color="000001"/>
            </w:tcBorders>
            <w:shd w:val="clear" w:color="auto" w:fill="FFFFFF"/>
            <w:vAlign w:val="center"/>
          </w:tcPr>
          <w:p w14:paraId="14BC5054" w14:textId="77777777" w:rsidR="009B651B" w:rsidRDefault="009B651B" w:rsidP="009B651B">
            <w:pPr>
              <w:spacing w:after="0" w:line="240" w:lineRule="auto"/>
            </w:pPr>
            <w:r>
              <w:t>Program OP PIK Potenciál</w:t>
            </w:r>
          </w:p>
        </w:tc>
      </w:tr>
      <w:tr w:rsidR="009B651B" w14:paraId="3BACA159"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61A204E" w14:textId="77777777" w:rsidR="009B651B" w:rsidRDefault="009B651B" w:rsidP="009B651B">
            <w:pPr>
              <w:spacing w:after="0" w:line="240" w:lineRule="auto"/>
              <w:rPr>
                <w:b/>
                <w:bCs/>
              </w:rPr>
            </w:pPr>
            <w:r>
              <w:rPr>
                <w:b/>
                <w:bCs/>
              </w:rPr>
              <w:t>PV</w:t>
            </w:r>
          </w:p>
        </w:tc>
        <w:tc>
          <w:tcPr>
            <w:tcW w:w="6696" w:type="dxa"/>
            <w:tcBorders>
              <w:top w:val="single" w:sz="4" w:space="0" w:color="000001"/>
              <w:bottom w:val="single" w:sz="4" w:space="0" w:color="000001"/>
            </w:tcBorders>
            <w:shd w:val="clear" w:color="auto" w:fill="FFFFFF"/>
            <w:vAlign w:val="center"/>
          </w:tcPr>
          <w:p w14:paraId="23562A97" w14:textId="77777777" w:rsidR="009B651B" w:rsidRDefault="009B651B" w:rsidP="009B651B">
            <w:pPr>
              <w:spacing w:after="0" w:line="240" w:lineRule="auto"/>
            </w:pPr>
            <w:r>
              <w:t>Průmyslový výzkum</w:t>
            </w:r>
          </w:p>
        </w:tc>
      </w:tr>
      <w:tr w:rsidR="009B651B" w14:paraId="1EDFA112"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68B6998A" w14:textId="77777777" w:rsidR="009B651B" w:rsidRDefault="009B651B" w:rsidP="009B651B">
            <w:pPr>
              <w:spacing w:after="0" w:line="240" w:lineRule="auto"/>
              <w:rPr>
                <w:b/>
                <w:bCs/>
              </w:rPr>
            </w:pPr>
            <w:r>
              <w:rPr>
                <w:b/>
                <w:bCs/>
              </w:rPr>
              <w:t>RIS3</w:t>
            </w:r>
          </w:p>
        </w:tc>
        <w:tc>
          <w:tcPr>
            <w:tcW w:w="6696" w:type="dxa"/>
            <w:tcBorders>
              <w:top w:val="single" w:sz="4" w:space="0" w:color="000001"/>
              <w:bottom w:val="single" w:sz="4" w:space="0" w:color="000001"/>
            </w:tcBorders>
            <w:shd w:val="clear" w:color="auto" w:fill="FFFFFF"/>
            <w:vAlign w:val="center"/>
          </w:tcPr>
          <w:p w14:paraId="402D248A" w14:textId="77777777" w:rsidR="009B651B" w:rsidRDefault="009B651B" w:rsidP="009B651B">
            <w:pPr>
              <w:spacing w:after="0" w:line="240" w:lineRule="auto"/>
            </w:pPr>
            <w:proofErr w:type="spellStart"/>
            <w:r>
              <w:t>Research</w:t>
            </w:r>
            <w:proofErr w:type="spellEnd"/>
            <w:r>
              <w:t xml:space="preserve"> and </w:t>
            </w:r>
            <w:proofErr w:type="spellStart"/>
            <w:r>
              <w:t>Innovation</w:t>
            </w:r>
            <w:proofErr w:type="spellEnd"/>
            <w:r>
              <w:t xml:space="preserve"> </w:t>
            </w:r>
            <w:proofErr w:type="spellStart"/>
            <w:r>
              <w:t>Strategy</w:t>
            </w:r>
            <w:proofErr w:type="spellEnd"/>
            <w:r>
              <w:t xml:space="preserve"> (</w:t>
            </w:r>
            <w:r w:rsidRPr="004B6E38">
              <w:t>Národní výzkumná</w:t>
            </w:r>
            <w:r>
              <w:t xml:space="preserve"> a </w:t>
            </w:r>
            <w:r w:rsidRPr="004B6E38">
              <w:t>inovační strategie pro inteligentní specializaci České republiky</w:t>
            </w:r>
            <w:r>
              <w:t>)</w:t>
            </w:r>
          </w:p>
        </w:tc>
      </w:tr>
      <w:tr w:rsidR="009B651B" w14:paraId="3CE61D41"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432E857" w14:textId="77777777" w:rsidR="009B651B" w:rsidRDefault="009B651B" w:rsidP="009B651B">
            <w:pPr>
              <w:spacing w:after="0" w:line="240" w:lineRule="auto"/>
              <w:rPr>
                <w:b/>
                <w:bCs/>
              </w:rPr>
            </w:pPr>
            <w:proofErr w:type="spellStart"/>
            <w:r>
              <w:rPr>
                <w:b/>
                <w:bCs/>
              </w:rPr>
              <w:t>RoPD</w:t>
            </w:r>
            <w:proofErr w:type="spellEnd"/>
          </w:p>
        </w:tc>
        <w:tc>
          <w:tcPr>
            <w:tcW w:w="6696" w:type="dxa"/>
            <w:tcBorders>
              <w:top w:val="single" w:sz="4" w:space="0" w:color="000001"/>
              <w:bottom w:val="single" w:sz="4" w:space="0" w:color="000001"/>
            </w:tcBorders>
            <w:shd w:val="clear" w:color="auto" w:fill="FFFFFF"/>
            <w:vAlign w:val="center"/>
          </w:tcPr>
          <w:p w14:paraId="3007F8F2" w14:textId="77777777" w:rsidR="009B651B" w:rsidRDefault="009B651B" w:rsidP="009B651B">
            <w:pPr>
              <w:spacing w:after="0" w:line="240" w:lineRule="auto"/>
            </w:pPr>
            <w:r>
              <w:t>Rozhodnutí o přidělení dotace</w:t>
            </w:r>
          </w:p>
        </w:tc>
      </w:tr>
      <w:tr w:rsidR="009B651B" w14:paraId="04439E12"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62FD0913" w14:textId="77777777" w:rsidR="009B651B" w:rsidRDefault="009B651B" w:rsidP="009B651B">
            <w:pPr>
              <w:spacing w:after="0" w:line="240" w:lineRule="auto"/>
              <w:rPr>
                <w:b/>
                <w:bCs/>
              </w:rPr>
            </w:pPr>
            <w:r>
              <w:rPr>
                <w:b/>
                <w:bCs/>
              </w:rPr>
              <w:t>ŘO</w:t>
            </w:r>
          </w:p>
        </w:tc>
        <w:tc>
          <w:tcPr>
            <w:tcW w:w="6696" w:type="dxa"/>
            <w:tcBorders>
              <w:top w:val="single" w:sz="4" w:space="0" w:color="000001"/>
              <w:bottom w:val="single" w:sz="4" w:space="0" w:color="000001"/>
            </w:tcBorders>
            <w:shd w:val="clear" w:color="auto" w:fill="FFFFFF"/>
            <w:vAlign w:val="center"/>
          </w:tcPr>
          <w:p w14:paraId="2051FC2A" w14:textId="77777777" w:rsidR="009B651B" w:rsidRDefault="009B651B" w:rsidP="009B651B">
            <w:pPr>
              <w:spacing w:after="0" w:line="240" w:lineRule="auto"/>
            </w:pPr>
            <w:r>
              <w:t>Řídící orgán</w:t>
            </w:r>
          </w:p>
        </w:tc>
      </w:tr>
      <w:tr w:rsidR="009B651B" w14:paraId="2BBEA596"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3113BE9B" w14:textId="77777777" w:rsidR="009B651B" w:rsidRDefault="009B651B" w:rsidP="009B651B">
            <w:pPr>
              <w:spacing w:after="0" w:line="240" w:lineRule="auto"/>
              <w:rPr>
                <w:b/>
                <w:bCs/>
              </w:rPr>
            </w:pPr>
            <w:r>
              <w:rPr>
                <w:b/>
                <w:bCs/>
              </w:rPr>
              <w:t>SC</w:t>
            </w:r>
          </w:p>
        </w:tc>
        <w:tc>
          <w:tcPr>
            <w:tcW w:w="6696" w:type="dxa"/>
            <w:tcBorders>
              <w:top w:val="single" w:sz="4" w:space="0" w:color="000001"/>
              <w:bottom w:val="single" w:sz="4" w:space="0" w:color="000001"/>
            </w:tcBorders>
            <w:shd w:val="clear" w:color="auto" w:fill="FFFFFF"/>
            <w:vAlign w:val="center"/>
          </w:tcPr>
          <w:p w14:paraId="5D83FE46" w14:textId="77777777" w:rsidR="009B651B" w:rsidRDefault="009B651B" w:rsidP="009B651B">
            <w:pPr>
              <w:spacing w:after="0" w:line="240" w:lineRule="auto"/>
            </w:pPr>
            <w:r>
              <w:t>Specifický cíl</w:t>
            </w:r>
          </w:p>
        </w:tc>
      </w:tr>
      <w:tr w:rsidR="009B651B" w14:paraId="65B9FC74"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4BE34362" w14:textId="77777777" w:rsidR="009B651B" w:rsidRDefault="009B651B" w:rsidP="009B651B">
            <w:pPr>
              <w:spacing w:after="0" w:line="240" w:lineRule="auto"/>
              <w:rPr>
                <w:b/>
              </w:rPr>
            </w:pPr>
            <w:r>
              <w:rPr>
                <w:b/>
              </w:rPr>
              <w:t>TAČR</w:t>
            </w:r>
          </w:p>
        </w:tc>
        <w:tc>
          <w:tcPr>
            <w:tcW w:w="6696" w:type="dxa"/>
            <w:tcBorders>
              <w:top w:val="single" w:sz="4" w:space="0" w:color="000001"/>
              <w:bottom w:val="single" w:sz="4" w:space="0" w:color="000001"/>
            </w:tcBorders>
            <w:shd w:val="clear" w:color="auto" w:fill="FFFFFF"/>
            <w:vAlign w:val="center"/>
          </w:tcPr>
          <w:p w14:paraId="689CE2E9" w14:textId="77777777" w:rsidR="009B651B" w:rsidRDefault="009B651B" w:rsidP="009B651B">
            <w:pPr>
              <w:spacing w:after="0" w:line="240" w:lineRule="auto"/>
              <w:rPr>
                <w:rFonts w:asciiTheme="majorHAnsi" w:hAnsiTheme="majorHAnsi" w:cs="Arial"/>
                <w:szCs w:val="18"/>
              </w:rPr>
            </w:pPr>
            <w:r>
              <w:rPr>
                <w:rFonts w:asciiTheme="majorHAnsi" w:hAnsiTheme="majorHAnsi" w:cs="Arial"/>
                <w:szCs w:val="18"/>
              </w:rPr>
              <w:t>Technologická agentura ČR</w:t>
            </w:r>
          </w:p>
        </w:tc>
      </w:tr>
      <w:tr w:rsidR="00D9740C" w14:paraId="6010C520"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2B16D8FD" w14:textId="77777777" w:rsidR="00D9740C" w:rsidRDefault="00D9740C" w:rsidP="009B651B">
            <w:pPr>
              <w:spacing w:after="0" w:line="240" w:lineRule="auto"/>
              <w:rPr>
                <w:b/>
              </w:rPr>
            </w:pPr>
            <w:r>
              <w:rPr>
                <w:b/>
              </w:rPr>
              <w:t>TP</w:t>
            </w:r>
          </w:p>
        </w:tc>
        <w:tc>
          <w:tcPr>
            <w:tcW w:w="6696" w:type="dxa"/>
            <w:tcBorders>
              <w:top w:val="single" w:sz="4" w:space="0" w:color="000001"/>
              <w:bottom w:val="single" w:sz="4" w:space="0" w:color="000001"/>
            </w:tcBorders>
            <w:shd w:val="clear" w:color="auto" w:fill="FFFFFF"/>
            <w:vAlign w:val="center"/>
          </w:tcPr>
          <w:p w14:paraId="268F3C80" w14:textId="77777777" w:rsidR="00D9740C" w:rsidRDefault="00D9740C" w:rsidP="009B651B">
            <w:pPr>
              <w:spacing w:after="0" w:line="240" w:lineRule="auto"/>
              <w:rPr>
                <w:rFonts w:asciiTheme="majorHAnsi" w:hAnsiTheme="majorHAnsi" w:cs="Arial"/>
                <w:szCs w:val="18"/>
              </w:rPr>
            </w:pPr>
            <w:r>
              <w:rPr>
                <w:rFonts w:asciiTheme="majorHAnsi" w:hAnsiTheme="majorHAnsi" w:cs="Arial"/>
                <w:szCs w:val="18"/>
              </w:rPr>
              <w:t>Technická pomoc</w:t>
            </w:r>
          </w:p>
        </w:tc>
      </w:tr>
      <w:tr w:rsidR="009B651B" w14:paraId="5696C049"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E675987" w14:textId="77777777" w:rsidR="009B651B" w:rsidRDefault="009B651B" w:rsidP="009B651B">
            <w:pPr>
              <w:spacing w:after="0" w:line="240" w:lineRule="auto"/>
              <w:rPr>
                <w:b/>
              </w:rPr>
            </w:pPr>
            <w:proofErr w:type="spellStart"/>
            <w:r>
              <w:rPr>
                <w:b/>
              </w:rPr>
              <w:t>VaV</w:t>
            </w:r>
            <w:proofErr w:type="spellEnd"/>
          </w:p>
        </w:tc>
        <w:tc>
          <w:tcPr>
            <w:tcW w:w="6696" w:type="dxa"/>
            <w:tcBorders>
              <w:top w:val="single" w:sz="4" w:space="0" w:color="000001"/>
              <w:bottom w:val="single" w:sz="4" w:space="0" w:color="000001"/>
            </w:tcBorders>
            <w:shd w:val="clear" w:color="auto" w:fill="FFFFFF"/>
            <w:vAlign w:val="center"/>
          </w:tcPr>
          <w:p w14:paraId="5DE28860" w14:textId="77777777" w:rsidR="009B651B" w:rsidRDefault="009B651B" w:rsidP="009B651B">
            <w:pPr>
              <w:spacing w:after="0" w:line="240" w:lineRule="auto"/>
              <w:rPr>
                <w:rFonts w:asciiTheme="majorHAnsi" w:hAnsiTheme="majorHAnsi" w:cs="Arial"/>
                <w:szCs w:val="18"/>
              </w:rPr>
            </w:pPr>
            <w:r>
              <w:rPr>
                <w:rFonts w:asciiTheme="majorHAnsi" w:hAnsiTheme="majorHAnsi" w:cs="Arial"/>
                <w:szCs w:val="18"/>
              </w:rPr>
              <w:t>Výzkum a vývoj</w:t>
            </w:r>
          </w:p>
        </w:tc>
      </w:tr>
      <w:tr w:rsidR="009B651B" w14:paraId="4C55B5DE"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705BA28F" w14:textId="77777777" w:rsidR="009B651B" w:rsidRPr="00463988" w:rsidRDefault="009B651B" w:rsidP="009B651B">
            <w:pPr>
              <w:spacing w:after="0" w:line="240" w:lineRule="auto"/>
              <w:rPr>
                <w:b/>
              </w:rPr>
            </w:pPr>
            <w:proofErr w:type="spellStart"/>
            <w:r>
              <w:rPr>
                <w:b/>
              </w:rPr>
              <w:t>VaVaI</w:t>
            </w:r>
            <w:proofErr w:type="spellEnd"/>
          </w:p>
        </w:tc>
        <w:tc>
          <w:tcPr>
            <w:tcW w:w="6696" w:type="dxa"/>
            <w:tcBorders>
              <w:top w:val="single" w:sz="4" w:space="0" w:color="000001"/>
              <w:bottom w:val="single" w:sz="4" w:space="0" w:color="000001"/>
            </w:tcBorders>
            <w:shd w:val="clear" w:color="auto" w:fill="FFFFFF"/>
            <w:vAlign w:val="center"/>
          </w:tcPr>
          <w:p w14:paraId="06783353" w14:textId="77777777" w:rsidR="009B651B" w:rsidRDefault="009B651B" w:rsidP="009B651B">
            <w:pPr>
              <w:spacing w:after="0" w:line="240" w:lineRule="auto"/>
            </w:pPr>
            <w:r>
              <w:rPr>
                <w:rFonts w:asciiTheme="majorHAnsi" w:hAnsiTheme="majorHAnsi" w:cs="Arial"/>
                <w:szCs w:val="18"/>
              </w:rPr>
              <w:t>V</w:t>
            </w:r>
            <w:r w:rsidRPr="0031234F">
              <w:rPr>
                <w:rFonts w:asciiTheme="majorHAnsi" w:hAnsiTheme="majorHAnsi" w:cs="Arial"/>
                <w:szCs w:val="18"/>
              </w:rPr>
              <w:t>ýzkum, vývoj</w:t>
            </w:r>
            <w:r>
              <w:rPr>
                <w:rFonts w:asciiTheme="majorHAnsi" w:hAnsiTheme="majorHAnsi" w:cs="Arial"/>
                <w:szCs w:val="18"/>
              </w:rPr>
              <w:t xml:space="preserve"> a </w:t>
            </w:r>
            <w:r w:rsidRPr="0031234F">
              <w:rPr>
                <w:rFonts w:asciiTheme="majorHAnsi" w:hAnsiTheme="majorHAnsi" w:cs="Arial"/>
                <w:szCs w:val="18"/>
              </w:rPr>
              <w:t>inova</w:t>
            </w:r>
            <w:r>
              <w:rPr>
                <w:rFonts w:asciiTheme="majorHAnsi" w:hAnsiTheme="majorHAnsi" w:cs="Arial"/>
                <w:szCs w:val="18"/>
              </w:rPr>
              <w:t>ce</w:t>
            </w:r>
          </w:p>
        </w:tc>
      </w:tr>
      <w:tr w:rsidR="009B651B" w14:paraId="5E915728"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F2EE0C4" w14:textId="77777777" w:rsidR="009B651B" w:rsidRPr="00463988" w:rsidRDefault="009B651B" w:rsidP="009B651B">
            <w:pPr>
              <w:spacing w:after="0" w:line="240" w:lineRule="auto"/>
              <w:rPr>
                <w:b/>
              </w:rPr>
            </w:pPr>
            <w:r>
              <w:rPr>
                <w:b/>
              </w:rPr>
              <w:t>VP</w:t>
            </w:r>
          </w:p>
        </w:tc>
        <w:tc>
          <w:tcPr>
            <w:tcW w:w="6696" w:type="dxa"/>
            <w:tcBorders>
              <w:top w:val="single" w:sz="4" w:space="0" w:color="000001"/>
              <w:bottom w:val="single" w:sz="4" w:space="0" w:color="000001"/>
            </w:tcBorders>
            <w:shd w:val="clear" w:color="auto" w:fill="FFFFFF"/>
            <w:vAlign w:val="center"/>
          </w:tcPr>
          <w:p w14:paraId="14716DE3" w14:textId="77777777" w:rsidR="009B651B" w:rsidRDefault="009B651B" w:rsidP="009B651B">
            <w:pPr>
              <w:spacing w:after="0" w:line="240" w:lineRule="auto"/>
            </w:pPr>
            <w:r>
              <w:t>Velké podniky</w:t>
            </w:r>
          </w:p>
        </w:tc>
      </w:tr>
      <w:tr w:rsidR="00E82F0C" w14:paraId="4AA11923"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08C9947E" w14:textId="77777777" w:rsidR="00E82F0C" w:rsidRDefault="00E82F0C" w:rsidP="009B651B">
            <w:pPr>
              <w:spacing w:after="0" w:line="240" w:lineRule="auto"/>
              <w:rPr>
                <w:b/>
              </w:rPr>
            </w:pPr>
            <w:r>
              <w:rPr>
                <w:b/>
              </w:rPr>
              <w:t>VVO</w:t>
            </w:r>
          </w:p>
        </w:tc>
        <w:tc>
          <w:tcPr>
            <w:tcW w:w="6696" w:type="dxa"/>
            <w:tcBorders>
              <w:top w:val="single" w:sz="4" w:space="0" w:color="000001"/>
              <w:bottom w:val="single" w:sz="4" w:space="0" w:color="000001"/>
            </w:tcBorders>
            <w:shd w:val="clear" w:color="auto" w:fill="FFFFFF"/>
            <w:vAlign w:val="center"/>
          </w:tcPr>
          <w:p w14:paraId="38525C06" w14:textId="77777777" w:rsidR="00E82F0C" w:rsidRDefault="00E82F0C" w:rsidP="00E82F0C">
            <w:pPr>
              <w:spacing w:after="0" w:line="240" w:lineRule="auto"/>
            </w:pPr>
            <w:r>
              <w:t>Vědecko-výzkumné organizace</w:t>
            </w:r>
          </w:p>
        </w:tc>
      </w:tr>
      <w:tr w:rsidR="009B651B" w14:paraId="7AB70C99"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214E2E15" w14:textId="77777777" w:rsidR="009B651B" w:rsidRPr="00463988" w:rsidRDefault="009B651B" w:rsidP="009B651B">
            <w:pPr>
              <w:spacing w:after="0" w:line="240" w:lineRule="auto"/>
              <w:rPr>
                <w:b/>
              </w:rPr>
            </w:pPr>
            <w:r>
              <w:rPr>
                <w:b/>
              </w:rPr>
              <w:t>VVP</w:t>
            </w:r>
          </w:p>
        </w:tc>
        <w:tc>
          <w:tcPr>
            <w:tcW w:w="6696" w:type="dxa"/>
            <w:tcBorders>
              <w:top w:val="single" w:sz="4" w:space="0" w:color="000001"/>
              <w:bottom w:val="single" w:sz="4" w:space="0" w:color="000001"/>
            </w:tcBorders>
            <w:shd w:val="clear" w:color="auto" w:fill="FFFFFF"/>
            <w:vAlign w:val="center"/>
          </w:tcPr>
          <w:p w14:paraId="4F4A915A" w14:textId="77777777" w:rsidR="009B651B" w:rsidRDefault="009B651B" w:rsidP="009B651B">
            <w:pPr>
              <w:spacing w:after="0" w:line="240" w:lineRule="auto"/>
            </w:pPr>
            <w:r>
              <w:t>Veřejné výzkumné pracoviště</w:t>
            </w:r>
          </w:p>
        </w:tc>
      </w:tr>
      <w:tr w:rsidR="009B651B" w14:paraId="1B831DAF"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5B6B40CB" w14:textId="77777777" w:rsidR="009B651B" w:rsidRPr="00463988" w:rsidRDefault="009B651B" w:rsidP="009B651B">
            <w:pPr>
              <w:spacing w:after="0" w:line="240" w:lineRule="auto"/>
              <w:rPr>
                <w:b/>
              </w:rPr>
            </w:pPr>
            <w:r w:rsidRPr="00463988">
              <w:rPr>
                <w:b/>
              </w:rPr>
              <w:t>VZ</w:t>
            </w:r>
          </w:p>
        </w:tc>
        <w:tc>
          <w:tcPr>
            <w:tcW w:w="6696" w:type="dxa"/>
            <w:tcBorders>
              <w:top w:val="single" w:sz="4" w:space="0" w:color="000001"/>
              <w:bottom w:val="single" w:sz="4" w:space="0" w:color="000001"/>
            </w:tcBorders>
            <w:shd w:val="clear" w:color="auto" w:fill="FFFFFF"/>
            <w:vAlign w:val="center"/>
          </w:tcPr>
          <w:p w14:paraId="3CA18549" w14:textId="77777777" w:rsidR="009B651B" w:rsidRDefault="009B651B" w:rsidP="009B651B">
            <w:pPr>
              <w:spacing w:after="0" w:line="240" w:lineRule="auto"/>
            </w:pPr>
            <w:r>
              <w:t>Vstupní zpráva</w:t>
            </w:r>
          </w:p>
        </w:tc>
      </w:tr>
      <w:tr w:rsidR="00E82F0C" w14:paraId="102E5AB0"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10168616" w14:textId="77777777" w:rsidR="00E82F0C" w:rsidRPr="00463988" w:rsidRDefault="00E82F0C" w:rsidP="009B651B">
            <w:pPr>
              <w:spacing w:after="0" w:line="240" w:lineRule="auto"/>
              <w:rPr>
                <w:b/>
              </w:rPr>
            </w:pPr>
            <w:r>
              <w:rPr>
                <w:b/>
              </w:rPr>
              <w:t>ZS</w:t>
            </w:r>
          </w:p>
        </w:tc>
        <w:tc>
          <w:tcPr>
            <w:tcW w:w="6696" w:type="dxa"/>
            <w:tcBorders>
              <w:top w:val="single" w:sz="4" w:space="0" w:color="000001"/>
              <w:bottom w:val="single" w:sz="4" w:space="0" w:color="000001"/>
            </w:tcBorders>
            <w:shd w:val="clear" w:color="auto" w:fill="FFFFFF"/>
            <w:vAlign w:val="center"/>
          </w:tcPr>
          <w:p w14:paraId="4B22C6B8" w14:textId="77777777" w:rsidR="00E82F0C" w:rsidRDefault="00E82F0C" w:rsidP="009B651B">
            <w:pPr>
              <w:spacing w:after="0" w:line="240" w:lineRule="auto"/>
            </w:pPr>
            <w:r>
              <w:t>Zprostředkující subjekt</w:t>
            </w:r>
          </w:p>
        </w:tc>
      </w:tr>
      <w:tr w:rsidR="009B651B" w14:paraId="502AB904" w14:textId="77777777" w:rsidTr="008272FF">
        <w:trPr>
          <w:trHeight w:val="283"/>
        </w:trPr>
        <w:tc>
          <w:tcPr>
            <w:tcW w:w="1668" w:type="dxa"/>
            <w:tcBorders>
              <w:top w:val="single" w:sz="4" w:space="0" w:color="000001"/>
              <w:bottom w:val="single" w:sz="4" w:space="0" w:color="000001"/>
            </w:tcBorders>
            <w:shd w:val="clear" w:color="auto" w:fill="FFFFFF"/>
            <w:vAlign w:val="center"/>
          </w:tcPr>
          <w:p w14:paraId="5D59BD3F" w14:textId="77777777" w:rsidR="009B651B" w:rsidRPr="00463988" w:rsidRDefault="009B651B" w:rsidP="009B651B">
            <w:pPr>
              <w:spacing w:after="0" w:line="240" w:lineRule="auto"/>
              <w:rPr>
                <w:b/>
              </w:rPr>
            </w:pPr>
            <w:proofErr w:type="spellStart"/>
            <w:r>
              <w:rPr>
                <w:b/>
              </w:rPr>
              <w:t>ŽoP</w:t>
            </w:r>
            <w:proofErr w:type="spellEnd"/>
          </w:p>
        </w:tc>
        <w:tc>
          <w:tcPr>
            <w:tcW w:w="6696" w:type="dxa"/>
            <w:tcBorders>
              <w:top w:val="single" w:sz="4" w:space="0" w:color="000001"/>
              <w:bottom w:val="single" w:sz="4" w:space="0" w:color="000001"/>
            </w:tcBorders>
            <w:shd w:val="clear" w:color="auto" w:fill="FFFFFF"/>
            <w:vAlign w:val="center"/>
          </w:tcPr>
          <w:p w14:paraId="56BDF346" w14:textId="77777777" w:rsidR="009B651B" w:rsidRDefault="009B651B" w:rsidP="009B651B">
            <w:pPr>
              <w:spacing w:after="0" w:line="240" w:lineRule="auto"/>
            </w:pPr>
            <w:r>
              <w:t>Žádost o platbu</w:t>
            </w:r>
          </w:p>
        </w:tc>
      </w:tr>
    </w:tbl>
    <w:p w14:paraId="1208C092" w14:textId="77777777" w:rsidR="006E7DE5" w:rsidRDefault="006E7DE5" w:rsidP="002E0C13">
      <w:pPr>
        <w:pStyle w:val="Heading1"/>
        <w:numPr>
          <w:ilvl w:val="0"/>
          <w:numId w:val="2"/>
        </w:numPr>
        <w:spacing w:after="120"/>
        <w:rPr>
          <w:rFonts w:ascii="Verdana" w:eastAsia="MingLiU" w:hAnsi="Verdana" w:cs="Times New Roman"/>
          <w:b w:val="0"/>
          <w:color w:val="auto"/>
          <w:sz w:val="60"/>
          <w:szCs w:val="60"/>
        </w:rPr>
      </w:pPr>
      <w:bookmarkStart w:id="6" w:name="_Toc11679604"/>
      <w:bookmarkStart w:id="7" w:name="_Toc535414981"/>
      <w:bookmarkStart w:id="8" w:name="_Toc535414980"/>
      <w:r>
        <w:rPr>
          <w:rFonts w:ascii="Verdana" w:eastAsia="MingLiU" w:hAnsi="Verdana" w:cs="Times New Roman"/>
          <w:b w:val="0"/>
          <w:color w:val="auto"/>
          <w:sz w:val="60"/>
          <w:szCs w:val="60"/>
        </w:rPr>
        <w:t>Manažerské shrnutí</w:t>
      </w:r>
      <w:bookmarkEnd w:id="6"/>
    </w:p>
    <w:p w14:paraId="74D06D03" w14:textId="77777777" w:rsidR="00AC28E1" w:rsidRDefault="00AC28E1" w:rsidP="00AC28E1">
      <w:pPr>
        <w:jc w:val="both"/>
      </w:pPr>
      <w:r w:rsidRPr="001E1145">
        <w:t xml:space="preserve">Vzhledem k fázi, ve které se OP PIK v současné době nachází (65 % </w:t>
      </w:r>
      <w:proofErr w:type="spellStart"/>
      <w:r w:rsidRPr="001E1145">
        <w:t>zazávazkování</w:t>
      </w:r>
      <w:proofErr w:type="spellEnd"/>
      <w:r w:rsidRPr="001E1145">
        <w:t xml:space="preserve"> alokace), k nízkému počtu dosud ukončených projektů a ke krátké době od jejich ukončení </w:t>
      </w:r>
      <w:r w:rsidRPr="001E1145">
        <w:rPr>
          <w:b/>
        </w:rPr>
        <w:t xml:space="preserve">nelze </w:t>
      </w:r>
      <w:r w:rsidRPr="001E1145">
        <w:t>ke dni zpracování Závěrečné zprávy</w:t>
      </w:r>
      <w:r w:rsidRPr="001E1145">
        <w:rPr>
          <w:rStyle w:val="FootnoteReference"/>
        </w:rPr>
        <w:footnoteReference w:id="1"/>
      </w:r>
      <w:r w:rsidRPr="001E1145">
        <w:t xml:space="preserve"> </w:t>
      </w:r>
      <w:r w:rsidRPr="001E1145">
        <w:rPr>
          <w:b/>
        </w:rPr>
        <w:t>finálně vyhodnotit výsledky podpory v oblasti SC 1.1.</w:t>
      </w:r>
      <w:r w:rsidRPr="001E1145">
        <w:t xml:space="preserve"> </w:t>
      </w:r>
    </w:p>
    <w:p w14:paraId="7AF31355" w14:textId="77777777" w:rsidR="00AC28E1" w:rsidRPr="001E1145" w:rsidRDefault="00AC28E1" w:rsidP="00AC28E1">
      <w:pPr>
        <w:jc w:val="both"/>
      </w:pPr>
      <w:r w:rsidRPr="001E1145">
        <w:t xml:space="preserve">Zjištění této výsledkové evaluace lze proto brát jako </w:t>
      </w:r>
      <w:r w:rsidRPr="001E1145">
        <w:rPr>
          <w:b/>
        </w:rPr>
        <w:t>orientační zhodnocení směřování programu k dosažení požadovaných výsledků, nikoliv jako komplexní a konečné vyhodnocení výsledků programů.</w:t>
      </w:r>
      <w:r w:rsidRPr="001E1145">
        <w:t xml:space="preserve"> </w:t>
      </w:r>
      <w:r>
        <w:rPr>
          <w:rFonts w:asciiTheme="majorHAnsi" w:hAnsiTheme="majorHAnsi"/>
        </w:rPr>
        <w:t xml:space="preserve">Detailní popis </w:t>
      </w:r>
      <w:r w:rsidRPr="001E1145">
        <w:rPr>
          <w:rFonts w:asciiTheme="majorHAnsi" w:hAnsiTheme="majorHAnsi"/>
        </w:rPr>
        <w:t xml:space="preserve">zjištění z evaluace a z nich plynoucí </w:t>
      </w:r>
      <w:r w:rsidRPr="001E1145">
        <w:rPr>
          <w:rFonts w:asciiTheme="majorHAnsi" w:hAnsiTheme="majorHAnsi"/>
          <w:b/>
        </w:rPr>
        <w:t xml:space="preserve">doporučení </w:t>
      </w:r>
      <w:r w:rsidRPr="001E1145">
        <w:rPr>
          <w:rFonts w:asciiTheme="majorHAnsi" w:hAnsiTheme="majorHAnsi"/>
        </w:rPr>
        <w:t>jsou obsaženy v </w:t>
      </w:r>
      <w:hyperlink w:anchor="_Syntéza_závěrů_a" w:history="1">
        <w:r w:rsidRPr="001E1145">
          <w:rPr>
            <w:rStyle w:val="Hyperlink"/>
            <w:rFonts w:asciiTheme="majorHAnsi" w:hAnsiTheme="majorHAnsi"/>
          </w:rPr>
          <w:t>kapitole 1</w:t>
        </w:r>
      </w:hyperlink>
      <w:r w:rsidR="006B6799">
        <w:rPr>
          <w:rStyle w:val="Hyperlink"/>
          <w:rFonts w:asciiTheme="majorHAnsi" w:hAnsiTheme="majorHAnsi"/>
        </w:rPr>
        <w:t>4</w:t>
      </w:r>
      <w:r w:rsidRPr="001E1145">
        <w:rPr>
          <w:rFonts w:asciiTheme="majorHAnsi" w:hAnsiTheme="majorHAnsi"/>
        </w:rPr>
        <w:t>.</w:t>
      </w:r>
      <w:r>
        <w:rPr>
          <w:rFonts w:asciiTheme="majorHAnsi" w:hAnsiTheme="majorHAnsi"/>
        </w:rPr>
        <w:t xml:space="preserve"> </w:t>
      </w:r>
      <w:r w:rsidRPr="0062686E">
        <w:rPr>
          <w:bCs/>
          <w:color w:val="000000"/>
          <w:sz w:val="20"/>
          <w:szCs w:val="20"/>
        </w:rPr>
        <w:t>Zjištění a doporučení budou po odsouhlasení finální verze Závěrečné zprávy uveden</w:t>
      </w:r>
      <w:r>
        <w:rPr>
          <w:bCs/>
          <w:color w:val="000000"/>
          <w:sz w:val="20"/>
          <w:szCs w:val="20"/>
        </w:rPr>
        <w:t>a</w:t>
      </w:r>
      <w:r w:rsidRPr="0062686E">
        <w:rPr>
          <w:bCs/>
          <w:color w:val="000000"/>
          <w:sz w:val="20"/>
          <w:szCs w:val="20"/>
        </w:rPr>
        <w:t xml:space="preserve"> v systému IS KP 2014+, v modulu Evaluace.</w:t>
      </w:r>
    </w:p>
    <w:p w14:paraId="5A399ED6" w14:textId="77777777" w:rsidR="00AC28E1" w:rsidRPr="001E1145" w:rsidRDefault="00AC28E1" w:rsidP="00AC28E1">
      <w:pPr>
        <w:pStyle w:val="Caption"/>
        <w:rPr>
          <w:b/>
        </w:rPr>
      </w:pPr>
      <w:r w:rsidRPr="001E1145">
        <w:rPr>
          <w:b/>
        </w:rPr>
        <w:t xml:space="preserve">Shrnutí </w:t>
      </w:r>
      <w:r w:rsidRPr="001E1145">
        <w:rPr>
          <w:b/>
          <w:noProof/>
        </w:rPr>
        <w:t>odpovědí na evaluační otázky</w:t>
      </w:r>
    </w:p>
    <w:tbl>
      <w:tblPr>
        <w:tblStyle w:val="ListTable3-Accent31"/>
        <w:tblW w:w="5000" w:type="pct"/>
        <w:tblBorders>
          <w:top w:val="none" w:sz="0" w:space="0" w:color="auto"/>
          <w:left w:val="none" w:sz="0" w:space="0" w:color="auto"/>
          <w:bottom w:val="single" w:sz="4" w:space="0" w:color="86BC25" w:themeColor="accent1"/>
          <w:right w:val="none" w:sz="0" w:space="0" w:color="auto"/>
          <w:insideH w:val="single" w:sz="4" w:space="0" w:color="86BC25" w:themeColor="accent1"/>
        </w:tblBorders>
        <w:tblCellMar>
          <w:left w:w="28" w:type="dxa"/>
          <w:right w:w="28" w:type="dxa"/>
        </w:tblCellMar>
        <w:tblLook w:val="04A0" w:firstRow="1" w:lastRow="0" w:firstColumn="1" w:lastColumn="0" w:noHBand="0" w:noVBand="1"/>
      </w:tblPr>
      <w:tblGrid>
        <w:gridCol w:w="313"/>
        <w:gridCol w:w="2197"/>
        <w:gridCol w:w="7128"/>
      </w:tblGrid>
      <w:tr w:rsidR="00AC28E1" w:rsidRPr="001E1145" w14:paraId="32D92337" w14:textId="77777777" w:rsidTr="009B651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62" w:type="pct"/>
            <w:shd w:val="clear" w:color="auto" w:fill="86BC25" w:themeFill="accent1"/>
            <w:vAlign w:val="center"/>
          </w:tcPr>
          <w:p w14:paraId="6F8F546D" w14:textId="77777777" w:rsidR="00AC28E1" w:rsidRPr="001E1145" w:rsidRDefault="00AC28E1" w:rsidP="009B651B">
            <w:pPr>
              <w:spacing w:after="0"/>
            </w:pPr>
            <w:r w:rsidRPr="001E1145">
              <w:t>Č.</w:t>
            </w:r>
          </w:p>
        </w:tc>
        <w:tc>
          <w:tcPr>
            <w:tcW w:w="1140" w:type="pct"/>
            <w:shd w:val="clear" w:color="auto" w:fill="86BC25" w:themeFill="accent1"/>
            <w:vAlign w:val="center"/>
          </w:tcPr>
          <w:p w14:paraId="68A6CDE2" w14:textId="77777777" w:rsidR="00AC28E1" w:rsidRPr="001E1145" w:rsidRDefault="00AC28E1" w:rsidP="009B651B">
            <w:pPr>
              <w:spacing w:after="0"/>
              <w:cnfStyle w:val="100000000000" w:firstRow="1" w:lastRow="0" w:firstColumn="0" w:lastColumn="0" w:oddVBand="0" w:evenVBand="0" w:oddHBand="0" w:evenHBand="0" w:firstRowFirstColumn="0" w:firstRowLastColumn="0" w:lastRowFirstColumn="0" w:lastRowLastColumn="0"/>
            </w:pPr>
            <w:r w:rsidRPr="001E1145">
              <w:t>Evaluační otázka</w:t>
            </w:r>
          </w:p>
        </w:tc>
        <w:tc>
          <w:tcPr>
            <w:tcW w:w="3698" w:type="pct"/>
            <w:shd w:val="clear" w:color="auto" w:fill="86BC25" w:themeFill="accent1"/>
            <w:vAlign w:val="center"/>
          </w:tcPr>
          <w:p w14:paraId="623553B5" w14:textId="77777777" w:rsidR="00AC28E1" w:rsidRPr="001E1145" w:rsidRDefault="00AC28E1" w:rsidP="009B651B">
            <w:pPr>
              <w:spacing w:after="0"/>
              <w:cnfStyle w:val="100000000000" w:firstRow="1" w:lastRow="0" w:firstColumn="0" w:lastColumn="0" w:oddVBand="0" w:evenVBand="0" w:oddHBand="0" w:evenHBand="0" w:firstRowFirstColumn="0" w:firstRowLastColumn="0" w:lastRowFirstColumn="0" w:lastRowLastColumn="0"/>
            </w:pPr>
            <w:r w:rsidRPr="001E1145">
              <w:t>Odpověď</w:t>
            </w:r>
          </w:p>
        </w:tc>
      </w:tr>
      <w:tr w:rsidR="00AC28E1" w:rsidRPr="008D5C22" w14:paraId="36E47971" w14:textId="77777777" w:rsidTr="009B651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2" w:type="pct"/>
          </w:tcPr>
          <w:p w14:paraId="4F28D45D" w14:textId="77777777" w:rsidR="00AC28E1" w:rsidRPr="001E1145" w:rsidRDefault="00AC28E1" w:rsidP="009B651B">
            <w:pPr>
              <w:spacing w:after="0"/>
              <w:rPr>
                <w:b w:val="0"/>
              </w:rPr>
            </w:pPr>
            <w:r w:rsidRPr="001E1145">
              <w:rPr>
                <w:b w:val="0"/>
              </w:rPr>
              <w:t>1</w:t>
            </w:r>
          </w:p>
        </w:tc>
        <w:tc>
          <w:tcPr>
            <w:tcW w:w="1140" w:type="pct"/>
          </w:tcPr>
          <w:p w14:paraId="6C67D663"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Jak přispěly intervence realizované v rámci programů podpory Inovace, Aplikace a Potenciál k dosahování SC 1.1 OP PIK?</w:t>
            </w:r>
          </w:p>
          <w:p w14:paraId="669895AA"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(INO, APL, POT)</w:t>
            </w:r>
          </w:p>
        </w:tc>
        <w:tc>
          <w:tcPr>
            <w:tcW w:w="3698" w:type="pct"/>
          </w:tcPr>
          <w:p w14:paraId="06B284C9" w14:textId="77777777" w:rsidR="00AC28E1" w:rsidRPr="001E1145"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1E1145">
              <w:t xml:space="preserve">V současné době vzhledem k fázi programu a nízkému počtu ukončených projektů </w:t>
            </w:r>
            <w:r w:rsidRPr="001E1145">
              <w:rPr>
                <w:b/>
                <w:bCs/>
              </w:rPr>
              <w:t xml:space="preserve">nelze komplexně vyhodnotit dopady      </w:t>
            </w:r>
            <w:r w:rsidRPr="001E1145">
              <w:rPr>
                <w:b/>
                <w:bCs/>
              </w:rPr>
              <w:br/>
            </w:r>
            <w:r w:rsidRPr="001E1145">
              <w:t xml:space="preserve">OP PIK na zvýšení inovační výkonnosti českých podniků </w:t>
            </w:r>
          </w:p>
          <w:p w14:paraId="099CC753" w14:textId="77777777" w:rsidR="00AC28E1" w:rsidRPr="001E1145"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1E1145">
              <w:t xml:space="preserve">Podpora v rámci SC 1.1 je </w:t>
            </w:r>
            <w:r w:rsidRPr="001E1145">
              <w:rPr>
                <w:b/>
                <w:bCs/>
              </w:rPr>
              <w:t xml:space="preserve">hodnocena příjemci pozitivně, </w:t>
            </w:r>
            <w:r w:rsidRPr="001E1145">
              <w:t>vedla k:</w:t>
            </w:r>
          </w:p>
          <w:p w14:paraId="5E976662" w14:textId="77777777" w:rsidR="00AC28E1" w:rsidRPr="001E1145" w:rsidRDefault="00AC28E1" w:rsidP="00AC28E1">
            <w:pPr>
              <w:pStyle w:val="ListParagraph"/>
              <w:numPr>
                <w:ilvl w:val="0"/>
                <w:numId w:val="120"/>
              </w:numPr>
              <w:spacing w:after="60"/>
              <w:ind w:left="1151"/>
              <w:cnfStyle w:val="000000100000" w:firstRow="0" w:lastRow="0" w:firstColumn="0" w:lastColumn="0" w:oddVBand="0" w:evenVBand="0" w:oddHBand="1" w:evenHBand="0" w:firstRowFirstColumn="0" w:firstRowLastColumn="0" w:lastRowFirstColumn="0" w:lastRowLastColumn="0"/>
            </w:pPr>
            <w:r w:rsidRPr="001E1145">
              <w:t xml:space="preserve">Urychlení inovací </w:t>
            </w:r>
            <w:r w:rsidRPr="001E1145">
              <w:rPr>
                <w:b/>
                <w:bCs/>
              </w:rPr>
              <w:t>až o dva roky</w:t>
            </w:r>
          </w:p>
          <w:p w14:paraId="713FB662" w14:textId="77777777" w:rsidR="00AC28E1" w:rsidRPr="001E1145" w:rsidRDefault="00AC28E1" w:rsidP="00AC28E1">
            <w:pPr>
              <w:pStyle w:val="ListParagraph"/>
              <w:numPr>
                <w:ilvl w:val="0"/>
                <w:numId w:val="120"/>
              </w:numPr>
              <w:spacing w:after="60"/>
              <w:ind w:left="1151"/>
              <w:cnfStyle w:val="000000100000" w:firstRow="0" w:lastRow="0" w:firstColumn="0" w:lastColumn="0" w:oddVBand="0" w:evenVBand="0" w:oddHBand="1" w:evenHBand="0" w:firstRowFirstColumn="0" w:firstRowLastColumn="0" w:lastRowFirstColumn="0" w:lastRowLastColumn="0"/>
            </w:pPr>
            <w:r w:rsidRPr="001E1145">
              <w:t xml:space="preserve">Implementaci </w:t>
            </w:r>
            <w:r w:rsidRPr="001E1145">
              <w:rPr>
                <w:b/>
                <w:bCs/>
              </w:rPr>
              <w:t>komplexnějších řešení</w:t>
            </w:r>
          </w:p>
          <w:p w14:paraId="3444C650" w14:textId="77777777" w:rsidR="00AC28E1" w:rsidRPr="001E1145" w:rsidRDefault="00AC28E1" w:rsidP="00AC28E1">
            <w:pPr>
              <w:pStyle w:val="ListParagraph"/>
              <w:numPr>
                <w:ilvl w:val="0"/>
                <w:numId w:val="120"/>
              </w:numPr>
              <w:ind w:left="1151"/>
              <w:cnfStyle w:val="000000100000" w:firstRow="0" w:lastRow="0" w:firstColumn="0" w:lastColumn="0" w:oddVBand="0" w:evenVBand="0" w:oddHBand="1" w:evenHBand="0" w:firstRowFirstColumn="0" w:firstRowLastColumn="0" w:lastRowFirstColumn="0" w:lastRowLastColumn="0"/>
            </w:pPr>
            <w:r w:rsidRPr="001E1145">
              <w:t xml:space="preserve">Zvýšení počtu firem </w:t>
            </w:r>
            <w:r w:rsidRPr="001E1145">
              <w:rPr>
                <w:b/>
                <w:bCs/>
              </w:rPr>
              <w:t xml:space="preserve">disponujících moderní </w:t>
            </w:r>
            <w:proofErr w:type="spellStart"/>
            <w:r w:rsidRPr="001E1145">
              <w:rPr>
                <w:b/>
                <w:bCs/>
              </w:rPr>
              <w:t>VaV</w:t>
            </w:r>
            <w:proofErr w:type="spellEnd"/>
            <w:r w:rsidRPr="001E1145">
              <w:rPr>
                <w:b/>
                <w:bCs/>
              </w:rPr>
              <w:t xml:space="preserve"> infrastrukturou</w:t>
            </w:r>
          </w:p>
          <w:p w14:paraId="4D78B684" w14:textId="77777777" w:rsidR="00AC28E1" w:rsidRPr="001E1145"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pPr>
            <w:r w:rsidRPr="001E1145">
              <w:t xml:space="preserve">Podpořené projekty jsou však </w:t>
            </w:r>
            <w:r w:rsidRPr="001E1145">
              <w:rPr>
                <w:b/>
                <w:bCs/>
              </w:rPr>
              <w:t>poměrně konzervativní a spíše průměrného inovačního řádu</w:t>
            </w:r>
          </w:p>
          <w:p w14:paraId="2AFEBC6C" w14:textId="77777777" w:rsidR="00AC28E1" w:rsidRPr="001E1145" w:rsidRDefault="00AC28E1" w:rsidP="00AC28E1">
            <w:pPr>
              <w:pStyle w:val="ListParagraph"/>
              <w:numPr>
                <w:ilvl w:val="0"/>
                <w:numId w:val="119"/>
              </w:numPr>
              <w:spacing w:after="60"/>
              <w:cnfStyle w:val="000000100000" w:firstRow="0" w:lastRow="0" w:firstColumn="0" w:lastColumn="0" w:oddVBand="0" w:evenVBand="0" w:oddHBand="1" w:evenHBand="0" w:firstRowFirstColumn="0" w:firstRowLastColumn="0" w:lastRowFirstColumn="0" w:lastRowLastColumn="0"/>
            </w:pPr>
            <w:r w:rsidRPr="001E1145">
              <w:rPr>
                <w:b/>
                <w:bCs/>
              </w:rPr>
              <w:t xml:space="preserve">Negativně </w:t>
            </w:r>
            <w:r w:rsidRPr="001E1145">
              <w:t xml:space="preserve">bylo </w:t>
            </w:r>
            <w:r w:rsidRPr="001E1145">
              <w:rPr>
                <w:b/>
                <w:bCs/>
              </w:rPr>
              <w:t>hodnoceno:</w:t>
            </w:r>
          </w:p>
          <w:p w14:paraId="098F463E" w14:textId="77777777" w:rsidR="00AC28E1" w:rsidRPr="001E1145" w:rsidRDefault="00AC28E1" w:rsidP="00AC28E1">
            <w:pPr>
              <w:pStyle w:val="ListParagraph"/>
              <w:numPr>
                <w:ilvl w:val="0"/>
                <w:numId w:val="121"/>
              </w:numPr>
              <w:spacing w:after="60"/>
              <w:ind w:left="1151"/>
              <w:cnfStyle w:val="000000100000" w:firstRow="0" w:lastRow="0" w:firstColumn="0" w:lastColumn="0" w:oddVBand="0" w:evenVBand="0" w:oddHBand="1" w:evenHBand="0" w:firstRowFirstColumn="0" w:firstRowLastColumn="0" w:lastRowFirstColumn="0" w:lastRowLastColumn="0"/>
            </w:pPr>
            <w:r w:rsidRPr="001E1145">
              <w:rPr>
                <w:b/>
                <w:bCs/>
              </w:rPr>
              <w:t>Prodlení</w:t>
            </w:r>
            <w:r w:rsidRPr="001E1145">
              <w:t xml:space="preserve"> v hodnocení projektů, schvalování žádostí </w:t>
            </w:r>
            <w:r w:rsidRPr="001E1145">
              <w:br/>
              <w:t xml:space="preserve">a administraci </w:t>
            </w:r>
            <w:proofErr w:type="spellStart"/>
            <w:r w:rsidRPr="001E1145">
              <w:t>ŽoP</w:t>
            </w:r>
            <w:proofErr w:type="spellEnd"/>
          </w:p>
          <w:p w14:paraId="5886652E" w14:textId="77777777" w:rsidR="00AC28E1" w:rsidRPr="001E1145" w:rsidRDefault="00AC28E1" w:rsidP="00AC28E1">
            <w:pPr>
              <w:pStyle w:val="ListParagraph"/>
              <w:numPr>
                <w:ilvl w:val="0"/>
                <w:numId w:val="121"/>
              </w:numPr>
              <w:spacing w:after="60"/>
              <w:ind w:left="1151"/>
              <w:cnfStyle w:val="000000100000" w:firstRow="0" w:lastRow="0" w:firstColumn="0" w:lastColumn="0" w:oddVBand="0" w:evenVBand="0" w:oddHBand="1" w:evenHBand="0" w:firstRowFirstColumn="0" w:firstRowLastColumn="0" w:lastRowFirstColumn="0" w:lastRowLastColumn="0"/>
            </w:pPr>
            <w:r w:rsidRPr="001E1145">
              <w:rPr>
                <w:b/>
                <w:bCs/>
              </w:rPr>
              <w:t>Nízká flexibilita</w:t>
            </w:r>
            <w:r w:rsidRPr="001E1145">
              <w:t xml:space="preserve"> při změnách projektů</w:t>
            </w:r>
          </w:p>
        </w:tc>
      </w:tr>
      <w:tr w:rsidR="00AC28E1" w:rsidRPr="008D5C22" w14:paraId="28DE32AC"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7613B4D2" w14:textId="77777777" w:rsidR="00AC28E1" w:rsidRPr="001E1145" w:rsidRDefault="00AC28E1" w:rsidP="009B651B">
            <w:pPr>
              <w:spacing w:after="0"/>
              <w:rPr>
                <w:b w:val="0"/>
              </w:rPr>
            </w:pPr>
            <w:r w:rsidRPr="001E1145">
              <w:rPr>
                <w:b w:val="0"/>
              </w:rPr>
              <w:t>2</w:t>
            </w:r>
          </w:p>
        </w:tc>
        <w:tc>
          <w:tcPr>
            <w:tcW w:w="1140" w:type="pct"/>
          </w:tcPr>
          <w:p w14:paraId="6D0CD525"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 xml:space="preserve">Jaký je podíl podpořených podniků, které inovované produkty úspěšně uvedly na trh oproti těm, které nakonec svůj produkt na trhu neuvedly, nebo uvedly, ale neúspěšně? </w:t>
            </w:r>
          </w:p>
          <w:p w14:paraId="2059EC32"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Jaké jsou hlavní důvody selhání podpořených podniků při uvedení produktu na trh? Přispěly podpořené projekty ke zvýšení úspěšnosti českých podniků na zahraničních trzích?</w:t>
            </w:r>
          </w:p>
          <w:p w14:paraId="34C70877"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(INO, APL, POT)</w:t>
            </w:r>
          </w:p>
        </w:tc>
        <w:tc>
          <w:tcPr>
            <w:tcW w:w="3698" w:type="pct"/>
          </w:tcPr>
          <w:p w14:paraId="529C8FF3" w14:textId="77777777" w:rsidR="00AC28E1" w:rsidRPr="001E1145" w:rsidRDefault="00AC28E1" w:rsidP="00AC28E1">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sidRPr="001E1145">
              <w:t xml:space="preserve">Podniky jsou </w:t>
            </w:r>
            <w:r w:rsidRPr="001E1145">
              <w:rPr>
                <w:b/>
                <w:bCs/>
              </w:rPr>
              <w:t>spíše úspěšné při zavádění inovovaných produktu na trh</w:t>
            </w:r>
            <w:r w:rsidRPr="001E1145">
              <w:t xml:space="preserve"> (ČR i zahraničí)</w:t>
            </w:r>
          </w:p>
          <w:p w14:paraId="5B4B4B7F" w14:textId="77777777" w:rsidR="00AC28E1" w:rsidRPr="001E1145" w:rsidRDefault="00AC28E1" w:rsidP="00AC28E1">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sidRPr="001E1145">
              <w:rPr>
                <w:b/>
                <w:bCs/>
              </w:rPr>
              <w:t>Vliv podpory OP PIK není možné přesně kvantifikovat</w:t>
            </w:r>
          </w:p>
          <w:p w14:paraId="729C2864" w14:textId="77777777" w:rsidR="00AC28E1" w:rsidRPr="001E1145" w:rsidRDefault="00AC28E1" w:rsidP="00AC28E1">
            <w:pPr>
              <w:pStyle w:val="ListParagraph"/>
              <w:numPr>
                <w:ilvl w:val="0"/>
                <w:numId w:val="122"/>
              </w:numPr>
              <w:spacing w:after="60"/>
              <w:cnfStyle w:val="000000000000" w:firstRow="0" w:lastRow="0" w:firstColumn="0" w:lastColumn="0" w:oddVBand="0" w:evenVBand="0" w:oddHBand="0" w:evenHBand="0" w:firstRowFirstColumn="0" w:firstRowLastColumn="0" w:lastRowFirstColumn="0" w:lastRowLastColumn="0"/>
            </w:pPr>
            <w:r w:rsidRPr="001E1145">
              <w:t xml:space="preserve">Hlavní </w:t>
            </w:r>
            <w:r w:rsidRPr="001E1145">
              <w:rPr>
                <w:b/>
                <w:bCs/>
              </w:rPr>
              <w:t>důvody problémů či selhání</w:t>
            </w:r>
            <w:r w:rsidRPr="001E1145">
              <w:t xml:space="preserve"> při zavádění produktu na trh:</w:t>
            </w:r>
          </w:p>
          <w:p w14:paraId="6BC67BB0" w14:textId="77777777" w:rsidR="00AC28E1" w:rsidRPr="001E1145" w:rsidRDefault="00AC28E1" w:rsidP="00AC28E1">
            <w:pPr>
              <w:pStyle w:val="ListParagraph"/>
              <w:numPr>
                <w:ilvl w:val="0"/>
                <w:numId w:val="123"/>
              </w:numPr>
              <w:spacing w:after="60"/>
              <w:ind w:left="1151"/>
              <w:cnfStyle w:val="000000000000" w:firstRow="0" w:lastRow="0" w:firstColumn="0" w:lastColumn="0" w:oddVBand="0" w:evenVBand="0" w:oddHBand="0" w:evenHBand="0" w:firstRowFirstColumn="0" w:firstRowLastColumn="0" w:lastRowFirstColumn="0" w:lastRowLastColumn="0"/>
            </w:pPr>
            <w:r w:rsidRPr="001E1145">
              <w:t>Velká administrativní zátěž, zpoždění realizace projektu</w:t>
            </w:r>
          </w:p>
          <w:p w14:paraId="3883F66A" w14:textId="77777777" w:rsidR="00AC28E1" w:rsidRPr="001E1145" w:rsidRDefault="00AC28E1" w:rsidP="00AC28E1">
            <w:pPr>
              <w:pStyle w:val="ListParagraph"/>
              <w:numPr>
                <w:ilvl w:val="0"/>
                <w:numId w:val="123"/>
              </w:numPr>
              <w:spacing w:after="60"/>
              <w:ind w:left="1151"/>
              <w:cnfStyle w:val="000000000000" w:firstRow="0" w:lastRow="0" w:firstColumn="0" w:lastColumn="0" w:oddVBand="0" w:evenVBand="0" w:oddHBand="0" w:evenHBand="0" w:firstRowFirstColumn="0" w:firstRowLastColumn="0" w:lastRowFirstColumn="0" w:lastRowLastColumn="0"/>
            </w:pPr>
            <w:r w:rsidRPr="001E1145">
              <w:t>Vysoká míra konkurence</w:t>
            </w:r>
          </w:p>
          <w:p w14:paraId="39911481" w14:textId="77777777" w:rsidR="00AC28E1" w:rsidRPr="001E1145" w:rsidRDefault="00AC28E1" w:rsidP="00AC28E1">
            <w:pPr>
              <w:pStyle w:val="ListParagraph"/>
              <w:numPr>
                <w:ilvl w:val="0"/>
                <w:numId w:val="123"/>
              </w:numPr>
              <w:spacing w:after="60"/>
              <w:ind w:left="1151"/>
              <w:cnfStyle w:val="000000000000" w:firstRow="0" w:lastRow="0" w:firstColumn="0" w:lastColumn="0" w:oddVBand="0" w:evenVBand="0" w:oddHBand="0" w:evenHBand="0" w:firstRowFirstColumn="0" w:firstRowLastColumn="0" w:lastRowFirstColumn="0" w:lastRowLastColumn="0"/>
            </w:pPr>
            <w:r w:rsidRPr="001E1145">
              <w:t>Vysoké vstupní náklady</w:t>
            </w:r>
          </w:p>
          <w:p w14:paraId="0DCC6418" w14:textId="77777777" w:rsidR="00AC28E1" w:rsidRPr="001E1145" w:rsidRDefault="00AC28E1" w:rsidP="00AC28E1">
            <w:pPr>
              <w:pStyle w:val="ListParagraph"/>
              <w:numPr>
                <w:ilvl w:val="0"/>
                <w:numId w:val="123"/>
              </w:numPr>
              <w:spacing w:after="60"/>
              <w:ind w:left="1151"/>
              <w:cnfStyle w:val="000000000000" w:firstRow="0" w:lastRow="0" w:firstColumn="0" w:lastColumn="0" w:oddVBand="0" w:evenVBand="0" w:oddHBand="0" w:evenHBand="0" w:firstRowFirstColumn="0" w:firstRowLastColumn="0" w:lastRowFirstColumn="0" w:lastRowLastColumn="0"/>
            </w:pPr>
            <w:r w:rsidRPr="001E1145">
              <w:t>Konzervativnost českého trhu</w:t>
            </w:r>
          </w:p>
          <w:p w14:paraId="7528AE47" w14:textId="77777777" w:rsidR="00AC28E1" w:rsidRPr="001E1145" w:rsidRDefault="00AC28E1" w:rsidP="00AC28E1">
            <w:pPr>
              <w:pStyle w:val="ListParagraph"/>
              <w:numPr>
                <w:ilvl w:val="0"/>
                <w:numId w:val="123"/>
              </w:numPr>
              <w:spacing w:after="60"/>
              <w:ind w:left="1151"/>
              <w:cnfStyle w:val="000000000000" w:firstRow="0" w:lastRow="0" w:firstColumn="0" w:lastColumn="0" w:oddVBand="0" w:evenVBand="0" w:oddHBand="0" w:evenHBand="0" w:firstRowFirstColumn="0" w:firstRowLastColumn="0" w:lastRowFirstColumn="0" w:lastRowLastColumn="0"/>
            </w:pPr>
            <w:r w:rsidRPr="001E1145">
              <w:t>Vnější vlivy nespojité s podporou OP PIK</w:t>
            </w:r>
          </w:p>
          <w:p w14:paraId="34B2D786" w14:textId="77777777" w:rsidR="00AC28E1" w:rsidRPr="001E1145" w:rsidRDefault="00AC28E1" w:rsidP="00AC28E1">
            <w:pPr>
              <w:pStyle w:val="ListParagraph"/>
              <w:numPr>
                <w:ilvl w:val="0"/>
                <w:numId w:val="123"/>
              </w:numPr>
              <w:ind w:left="1151"/>
              <w:cnfStyle w:val="000000000000" w:firstRow="0" w:lastRow="0" w:firstColumn="0" w:lastColumn="0" w:oddVBand="0" w:evenVBand="0" w:oddHBand="0" w:evenHBand="0" w:firstRowFirstColumn="0" w:firstRowLastColumn="0" w:lastRowFirstColumn="0" w:lastRowLastColumn="0"/>
            </w:pPr>
            <w:r w:rsidRPr="001E1145">
              <w:t>Změny na straně firmy</w:t>
            </w:r>
          </w:p>
          <w:p w14:paraId="4C0301BA" w14:textId="77777777" w:rsidR="00AC28E1" w:rsidRPr="001E1145" w:rsidRDefault="00AC28E1" w:rsidP="00AC28E1">
            <w:pPr>
              <w:pStyle w:val="ListParagraph"/>
              <w:numPr>
                <w:ilvl w:val="0"/>
                <w:numId w:val="122"/>
              </w:numPr>
              <w:spacing w:after="60"/>
              <w:cnfStyle w:val="000000000000" w:firstRow="0" w:lastRow="0" w:firstColumn="0" w:lastColumn="0" w:oddVBand="0" w:evenVBand="0" w:oddHBand="0" w:evenHBand="0" w:firstRowFirstColumn="0" w:firstRowLastColumn="0" w:lastRowFirstColumn="0" w:lastRowLastColumn="0"/>
            </w:pPr>
            <w:r w:rsidRPr="001E1145">
              <w:t>Podpořené projekty do určité míry přispěly k větší úspěšnosti českých podniků na zahraničních trzích</w:t>
            </w:r>
          </w:p>
          <w:p w14:paraId="2A661271" w14:textId="77777777" w:rsidR="00AC28E1" w:rsidRPr="001E1145" w:rsidRDefault="00AC28E1" w:rsidP="009B651B">
            <w:pPr>
              <w:pStyle w:val="ListParagraph"/>
              <w:spacing w:after="60"/>
              <w:ind w:left="170"/>
              <w:contextualSpacing w:val="0"/>
              <w:cnfStyle w:val="000000000000" w:firstRow="0" w:lastRow="0" w:firstColumn="0" w:lastColumn="0" w:oddVBand="0" w:evenVBand="0" w:oddHBand="0" w:evenHBand="0" w:firstRowFirstColumn="0" w:firstRowLastColumn="0" w:lastRowFirstColumn="0" w:lastRowLastColumn="0"/>
            </w:pPr>
          </w:p>
        </w:tc>
      </w:tr>
      <w:tr w:rsidR="00AC28E1" w:rsidRPr="001E1145" w14:paraId="61BC4C53"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6F4ABE1C" w14:textId="77777777" w:rsidR="00AC28E1" w:rsidRPr="001E1145" w:rsidRDefault="00AC28E1" w:rsidP="009B651B">
            <w:pPr>
              <w:spacing w:after="0"/>
              <w:rPr>
                <w:b w:val="0"/>
              </w:rPr>
            </w:pPr>
            <w:r w:rsidRPr="001E1145">
              <w:rPr>
                <w:b w:val="0"/>
              </w:rPr>
              <w:t>3</w:t>
            </w:r>
          </w:p>
        </w:tc>
        <w:tc>
          <w:tcPr>
            <w:tcW w:w="1140" w:type="pct"/>
          </w:tcPr>
          <w:p w14:paraId="216C18E8"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rPr>
                <w:bCs/>
                <w:szCs w:val="18"/>
              </w:rPr>
            </w:pPr>
            <w:r w:rsidRPr="001E1145">
              <w:rPr>
                <w:bCs/>
                <w:szCs w:val="18"/>
              </w:rPr>
              <w:t>Jaký je mezi podpořenými projekty podíl jednotlivých typů inovací (produktové, procesní, organizační, marketingové)?</w:t>
            </w:r>
          </w:p>
          <w:p w14:paraId="4B0442F0"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(INO)</w:t>
            </w:r>
          </w:p>
        </w:tc>
        <w:tc>
          <w:tcPr>
            <w:tcW w:w="3698" w:type="pct"/>
          </w:tcPr>
          <w:p w14:paraId="7D88D60A" w14:textId="77777777" w:rsidR="00AC28E1" w:rsidRPr="001E1145" w:rsidRDefault="00AC28E1" w:rsidP="00AC28E1">
            <w:pPr>
              <w:pStyle w:val="ListParagraph"/>
              <w:numPr>
                <w:ilvl w:val="0"/>
                <w:numId w:val="125"/>
              </w:numPr>
              <w:spacing w:after="0"/>
              <w:ind w:left="726"/>
              <w:cnfStyle w:val="000000100000" w:firstRow="0" w:lastRow="0" w:firstColumn="0" w:lastColumn="0" w:oddVBand="0" w:evenVBand="0" w:oddHBand="1" w:evenHBand="0" w:firstRowFirstColumn="0" w:firstRowLastColumn="0" w:lastRowFirstColumn="0" w:lastRowLastColumn="0"/>
            </w:pPr>
            <w:r w:rsidRPr="001E1145">
              <w:t xml:space="preserve">Expertní odhad API: </w:t>
            </w:r>
            <w:r w:rsidRPr="001E1145">
              <w:rPr>
                <w:b/>
                <w:bCs/>
              </w:rPr>
              <w:t>90 % všech inovací</w:t>
            </w:r>
            <w:r w:rsidRPr="001E1145">
              <w:t xml:space="preserve"> jsou </w:t>
            </w:r>
            <w:r w:rsidRPr="001E1145">
              <w:rPr>
                <w:b/>
                <w:bCs/>
              </w:rPr>
              <w:t>produktové</w:t>
            </w:r>
            <w:r w:rsidRPr="001E1145">
              <w:t xml:space="preserve"> inovace, další jsou zpravidla doprovodné inovace</w:t>
            </w:r>
          </w:p>
          <w:p w14:paraId="05882A35" w14:textId="77777777" w:rsidR="00AC28E1" w:rsidRPr="001E1145" w:rsidRDefault="00AC28E1" w:rsidP="00AC28E1">
            <w:pPr>
              <w:pStyle w:val="ListParagraph"/>
              <w:numPr>
                <w:ilvl w:val="0"/>
                <w:numId w:val="125"/>
              </w:numPr>
              <w:ind w:left="726"/>
              <w:cnfStyle w:val="000000100000" w:firstRow="0" w:lastRow="0" w:firstColumn="0" w:lastColumn="0" w:oddVBand="0" w:evenVBand="0" w:oddHBand="1" w:evenHBand="0" w:firstRowFirstColumn="0" w:firstRowLastColumn="0" w:lastRowFirstColumn="0" w:lastRowLastColumn="0"/>
            </w:pPr>
            <w:r w:rsidRPr="001E1145">
              <w:t xml:space="preserve">Výsledky DŠ: </w:t>
            </w:r>
          </w:p>
          <w:p w14:paraId="53C7EE5F" w14:textId="77777777" w:rsidR="00AC28E1" w:rsidRPr="001E1145" w:rsidRDefault="00AC28E1" w:rsidP="00AC28E1">
            <w:pPr>
              <w:pStyle w:val="ListParagraph"/>
              <w:numPr>
                <w:ilvl w:val="0"/>
                <w:numId w:val="124"/>
              </w:numPr>
              <w:cnfStyle w:val="000000100000" w:firstRow="0" w:lastRow="0" w:firstColumn="0" w:lastColumn="0" w:oddVBand="0" w:evenVBand="0" w:oddHBand="1" w:evenHBand="0" w:firstRowFirstColumn="0" w:firstRowLastColumn="0" w:lastRowFirstColumn="0" w:lastRowLastColumn="0"/>
            </w:pPr>
            <w:r w:rsidRPr="001E1145">
              <w:rPr>
                <w:b/>
                <w:bCs/>
              </w:rPr>
              <w:t>66 % produktové inovace</w:t>
            </w:r>
          </w:p>
          <w:p w14:paraId="3810986A" w14:textId="77777777" w:rsidR="00AC28E1" w:rsidRPr="001E1145" w:rsidRDefault="00AC28E1" w:rsidP="00AC28E1">
            <w:pPr>
              <w:pStyle w:val="ListParagraph"/>
              <w:numPr>
                <w:ilvl w:val="0"/>
                <w:numId w:val="124"/>
              </w:numPr>
              <w:cnfStyle w:val="000000100000" w:firstRow="0" w:lastRow="0" w:firstColumn="0" w:lastColumn="0" w:oddVBand="0" w:evenVBand="0" w:oddHBand="1" w:evenHBand="0" w:firstRowFirstColumn="0" w:firstRowLastColumn="0" w:lastRowFirstColumn="0" w:lastRowLastColumn="0"/>
            </w:pPr>
            <w:r w:rsidRPr="001E1145">
              <w:rPr>
                <w:b/>
                <w:bCs/>
              </w:rPr>
              <w:t>38 % procesní inovace</w:t>
            </w:r>
          </w:p>
          <w:p w14:paraId="6FB3F58B" w14:textId="77777777" w:rsidR="00AC28E1" w:rsidRPr="001E1145" w:rsidRDefault="00AC28E1" w:rsidP="00AC28E1">
            <w:pPr>
              <w:pStyle w:val="ListParagraph"/>
              <w:numPr>
                <w:ilvl w:val="0"/>
                <w:numId w:val="124"/>
              </w:numPr>
              <w:cnfStyle w:val="000000100000" w:firstRow="0" w:lastRow="0" w:firstColumn="0" w:lastColumn="0" w:oddVBand="0" w:evenVBand="0" w:oddHBand="1" w:evenHBand="0" w:firstRowFirstColumn="0" w:firstRowLastColumn="0" w:lastRowFirstColumn="0" w:lastRowLastColumn="0"/>
            </w:pPr>
            <w:r w:rsidRPr="001E1145">
              <w:t>4 % organizační inovace</w:t>
            </w:r>
          </w:p>
          <w:p w14:paraId="65DFC9EF" w14:textId="77777777" w:rsidR="00AC28E1" w:rsidRPr="001E1145" w:rsidRDefault="00AC28E1" w:rsidP="00AC28E1">
            <w:pPr>
              <w:pStyle w:val="ListParagraph"/>
              <w:numPr>
                <w:ilvl w:val="0"/>
                <w:numId w:val="124"/>
              </w:numPr>
              <w:cnfStyle w:val="000000100000" w:firstRow="0" w:lastRow="0" w:firstColumn="0" w:lastColumn="0" w:oddVBand="0" w:evenVBand="0" w:oddHBand="1" w:evenHBand="0" w:firstRowFirstColumn="0" w:firstRowLastColumn="0" w:lastRowFirstColumn="0" w:lastRowLastColumn="0"/>
            </w:pPr>
            <w:r w:rsidRPr="001E1145">
              <w:t>3 % marketingové inovace</w:t>
            </w:r>
          </w:p>
          <w:p w14:paraId="5552BA27" w14:textId="77777777" w:rsidR="00AC28E1" w:rsidRPr="001E1145" w:rsidRDefault="00AC28E1" w:rsidP="009B651B">
            <w:pPr>
              <w:spacing w:after="0"/>
              <w:ind w:left="368"/>
              <w:cnfStyle w:val="000000100000" w:firstRow="0" w:lastRow="0" w:firstColumn="0" w:lastColumn="0" w:oddVBand="0" w:evenVBand="0" w:oddHBand="1" w:evenHBand="0" w:firstRowFirstColumn="0" w:firstRowLastColumn="0" w:lastRowFirstColumn="0" w:lastRowLastColumn="0"/>
            </w:pPr>
          </w:p>
        </w:tc>
      </w:tr>
      <w:tr w:rsidR="00AC28E1" w:rsidRPr="008D5C22" w14:paraId="6423173A" w14:textId="77777777" w:rsidTr="009B651B">
        <w:trPr>
          <w:trHeight w:val="2682"/>
        </w:trPr>
        <w:tc>
          <w:tcPr>
            <w:cnfStyle w:val="001000000000" w:firstRow="0" w:lastRow="0" w:firstColumn="1" w:lastColumn="0" w:oddVBand="0" w:evenVBand="0" w:oddHBand="0" w:evenHBand="0" w:firstRowFirstColumn="0" w:firstRowLastColumn="0" w:lastRowFirstColumn="0" w:lastRowLastColumn="0"/>
            <w:tcW w:w="162" w:type="pct"/>
          </w:tcPr>
          <w:p w14:paraId="0FC8E40C" w14:textId="77777777" w:rsidR="00AC28E1" w:rsidRPr="001E1145" w:rsidRDefault="00AC28E1" w:rsidP="009B651B">
            <w:pPr>
              <w:spacing w:after="0"/>
              <w:rPr>
                <w:b w:val="0"/>
              </w:rPr>
            </w:pPr>
            <w:r w:rsidRPr="001E1145">
              <w:rPr>
                <w:b w:val="0"/>
              </w:rPr>
              <w:t>4</w:t>
            </w:r>
          </w:p>
        </w:tc>
        <w:tc>
          <w:tcPr>
            <w:tcW w:w="1140" w:type="pct"/>
          </w:tcPr>
          <w:p w14:paraId="28E1564F"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 xml:space="preserve">Jaký je podíl </w:t>
            </w:r>
            <w:proofErr w:type="spellStart"/>
            <w:r w:rsidRPr="001E1145">
              <w:t>ekoinovací</w:t>
            </w:r>
            <w:proofErr w:type="spellEnd"/>
            <w:r w:rsidRPr="001E1145">
              <w:t xml:space="preserve"> a výzkumu a vývoje týkajícího se zlepšení životního prostředí mezi podpořenými projekty?</w:t>
            </w:r>
          </w:p>
          <w:p w14:paraId="67B8E625"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(INO)</w:t>
            </w:r>
          </w:p>
        </w:tc>
        <w:tc>
          <w:tcPr>
            <w:tcW w:w="3698" w:type="pct"/>
          </w:tcPr>
          <w:p w14:paraId="3B62044A" w14:textId="77777777" w:rsidR="00AC28E1" w:rsidRPr="001E1145"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pPr>
            <w:r w:rsidRPr="001E1145">
              <w:rPr>
                <w:b/>
                <w:bCs/>
              </w:rPr>
              <w:t xml:space="preserve">Nelze jednoznačně určit podíl </w:t>
            </w:r>
            <w:proofErr w:type="spellStart"/>
            <w:r w:rsidRPr="001E1145">
              <w:rPr>
                <w:b/>
                <w:bCs/>
              </w:rPr>
              <w:t>ekoinovací</w:t>
            </w:r>
            <w:proofErr w:type="spellEnd"/>
            <w:r w:rsidRPr="001E1145">
              <w:t xml:space="preserve"> na úrovni všech projektů v rámci SC 1.1</w:t>
            </w:r>
          </w:p>
          <w:p w14:paraId="3A4B6579" w14:textId="77777777" w:rsidR="00AC28E1" w:rsidRPr="001E1145"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pPr>
            <w:r w:rsidRPr="001E1145">
              <w:t>Výsledky DŠ:</w:t>
            </w:r>
          </w:p>
          <w:p w14:paraId="79809D95" w14:textId="77777777" w:rsidR="00AC28E1" w:rsidRPr="001E1145" w:rsidRDefault="00AC28E1" w:rsidP="00AC28E1">
            <w:pPr>
              <w:pStyle w:val="ListParagraph"/>
              <w:numPr>
                <w:ilvl w:val="0"/>
                <w:numId w:val="127"/>
              </w:numPr>
              <w:spacing w:after="60"/>
              <w:ind w:left="1151"/>
              <w:cnfStyle w:val="000000000000" w:firstRow="0" w:lastRow="0" w:firstColumn="0" w:lastColumn="0" w:oddVBand="0" w:evenVBand="0" w:oddHBand="0" w:evenHBand="0" w:firstRowFirstColumn="0" w:firstRowLastColumn="0" w:lastRowFirstColumn="0" w:lastRowLastColumn="0"/>
            </w:pPr>
            <w:r w:rsidRPr="001E1145">
              <w:rPr>
                <w:b/>
                <w:bCs/>
              </w:rPr>
              <w:t>6 %</w:t>
            </w:r>
            <w:r w:rsidRPr="001E1145">
              <w:t xml:space="preserve"> respondentů: zlepšení životního prostředí bylo </w:t>
            </w:r>
            <w:r w:rsidRPr="001E1145">
              <w:rPr>
                <w:b/>
                <w:bCs/>
              </w:rPr>
              <w:t>podstatou</w:t>
            </w:r>
            <w:r w:rsidRPr="001E1145">
              <w:t xml:space="preserve"> podpořené inovace</w:t>
            </w:r>
          </w:p>
          <w:p w14:paraId="562A5A09" w14:textId="77777777" w:rsidR="00AC28E1" w:rsidRPr="001E1145" w:rsidRDefault="00AC28E1" w:rsidP="00AC28E1">
            <w:pPr>
              <w:pStyle w:val="ListParagraph"/>
              <w:numPr>
                <w:ilvl w:val="0"/>
                <w:numId w:val="127"/>
              </w:numPr>
              <w:spacing w:after="60"/>
              <w:ind w:left="1151"/>
              <w:cnfStyle w:val="000000000000" w:firstRow="0" w:lastRow="0" w:firstColumn="0" w:lastColumn="0" w:oddVBand="0" w:evenVBand="0" w:oddHBand="0" w:evenHBand="0" w:firstRowFirstColumn="0" w:firstRowLastColumn="0" w:lastRowFirstColumn="0" w:lastRowLastColumn="0"/>
            </w:pPr>
            <w:r w:rsidRPr="001E1145">
              <w:rPr>
                <w:b/>
                <w:bCs/>
              </w:rPr>
              <w:t>25 %</w:t>
            </w:r>
            <w:r w:rsidRPr="001E1145">
              <w:t xml:space="preserve"> respondentů: životní prostředí bylo </w:t>
            </w:r>
            <w:r w:rsidRPr="001E1145">
              <w:rPr>
                <w:b/>
                <w:bCs/>
              </w:rPr>
              <w:t>důležitou součástí</w:t>
            </w:r>
            <w:r w:rsidRPr="001E1145">
              <w:t xml:space="preserve"> podpořené inovace</w:t>
            </w:r>
          </w:p>
          <w:p w14:paraId="31CCDD51" w14:textId="77777777" w:rsidR="00AC28E1" w:rsidRPr="001E1145" w:rsidRDefault="00AC28E1" w:rsidP="00AC28E1">
            <w:pPr>
              <w:pStyle w:val="ListParagraph"/>
              <w:numPr>
                <w:ilvl w:val="0"/>
                <w:numId w:val="127"/>
              </w:numPr>
              <w:spacing w:after="60"/>
              <w:ind w:left="1151"/>
              <w:cnfStyle w:val="000000000000" w:firstRow="0" w:lastRow="0" w:firstColumn="0" w:lastColumn="0" w:oddVBand="0" w:evenVBand="0" w:oddHBand="0" w:evenHBand="0" w:firstRowFirstColumn="0" w:firstRowLastColumn="0" w:lastRowFirstColumn="0" w:lastRowLastColumn="0"/>
            </w:pPr>
            <w:r w:rsidRPr="001E1145">
              <w:rPr>
                <w:b/>
                <w:bCs/>
              </w:rPr>
              <w:t>Zbytek</w:t>
            </w:r>
            <w:r w:rsidRPr="001E1145">
              <w:t xml:space="preserve"> respondentů: inovace se životního prostředí dotýkaly </w:t>
            </w:r>
            <w:r w:rsidRPr="001E1145">
              <w:rPr>
                <w:b/>
                <w:bCs/>
              </w:rPr>
              <w:t>okrajově nebo</w:t>
            </w:r>
            <w:r w:rsidRPr="001E1145">
              <w:t xml:space="preserve"> neměly </w:t>
            </w:r>
            <w:r w:rsidRPr="001E1145">
              <w:rPr>
                <w:b/>
                <w:bCs/>
              </w:rPr>
              <w:t>žádný vliv</w:t>
            </w:r>
            <w:r w:rsidRPr="001E1145">
              <w:t xml:space="preserve"> </w:t>
            </w:r>
          </w:p>
          <w:p w14:paraId="1B53424C" w14:textId="77777777" w:rsidR="00AC28E1" w:rsidRPr="001E1145"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pPr>
            <w:r w:rsidRPr="001E1145">
              <w:t xml:space="preserve">Ochrana životního prostředí se tedy jeví </w:t>
            </w:r>
            <w:r w:rsidRPr="001E1145">
              <w:rPr>
                <w:b/>
                <w:bCs/>
              </w:rPr>
              <w:t>spíše jako deklaratorní součást projektu bez reálného dopadu</w:t>
            </w:r>
          </w:p>
        </w:tc>
      </w:tr>
      <w:tr w:rsidR="00AC28E1" w:rsidRPr="001E1145" w14:paraId="66EAAEAE"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313F000F" w14:textId="77777777" w:rsidR="00AC28E1" w:rsidRPr="001E1145" w:rsidRDefault="00AC28E1" w:rsidP="009B651B">
            <w:pPr>
              <w:spacing w:after="0"/>
              <w:rPr>
                <w:b w:val="0"/>
              </w:rPr>
            </w:pPr>
            <w:r w:rsidRPr="001E1145">
              <w:rPr>
                <w:b w:val="0"/>
              </w:rPr>
              <w:t>5</w:t>
            </w:r>
          </w:p>
        </w:tc>
        <w:tc>
          <w:tcPr>
            <w:tcW w:w="1140" w:type="pct"/>
          </w:tcPr>
          <w:p w14:paraId="58F2202E"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Jaký podíl podpořených projektů spadá do oblasti průmyslových výzev a klíčových technologií (</w:t>
            </w:r>
            <w:proofErr w:type="spellStart"/>
            <w:r w:rsidRPr="001E1145">
              <w:t>KETs</w:t>
            </w:r>
            <w:proofErr w:type="spellEnd"/>
            <w:r w:rsidRPr="001E1145">
              <w:t>)?</w:t>
            </w:r>
          </w:p>
          <w:p w14:paraId="5BC971A8"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(APL, POT)</w:t>
            </w:r>
          </w:p>
        </w:tc>
        <w:tc>
          <w:tcPr>
            <w:tcW w:w="3698" w:type="pct"/>
          </w:tcPr>
          <w:p w14:paraId="5A1A17EA" w14:textId="77777777" w:rsidR="00AC28E1" w:rsidRPr="001E1145" w:rsidRDefault="00AC28E1" w:rsidP="00AC28E1">
            <w:pPr>
              <w:pStyle w:val="ListParagraph"/>
              <w:numPr>
                <w:ilvl w:val="0"/>
                <w:numId w:val="129"/>
              </w:numPr>
              <w:spacing w:after="0"/>
              <w:cnfStyle w:val="000000100000" w:firstRow="0" w:lastRow="0" w:firstColumn="0" w:lastColumn="0" w:oddVBand="0" w:evenVBand="0" w:oddHBand="1" w:evenHBand="0" w:firstRowFirstColumn="0" w:firstRowLastColumn="0" w:lastRowFirstColumn="0" w:lastRowLastColumn="0"/>
            </w:pPr>
            <w:r w:rsidRPr="001E1145">
              <w:rPr>
                <w:b/>
                <w:bCs/>
              </w:rPr>
              <w:t xml:space="preserve">Nelze jednoznačně určit podíl projektů spadajících do průmyslových výzev a KET </w:t>
            </w:r>
            <w:r w:rsidRPr="001E1145">
              <w:t>na úrovni všech projektů v rámci SC 1.1</w:t>
            </w:r>
          </w:p>
          <w:p w14:paraId="36145CB3" w14:textId="77777777" w:rsidR="00AC28E1" w:rsidRPr="001E1145" w:rsidRDefault="00AC28E1" w:rsidP="00AC28E1">
            <w:pPr>
              <w:pStyle w:val="ListParagraph"/>
              <w:numPr>
                <w:ilvl w:val="0"/>
                <w:numId w:val="129"/>
              </w:numPr>
              <w:spacing w:after="0"/>
              <w:cnfStyle w:val="000000100000" w:firstRow="0" w:lastRow="0" w:firstColumn="0" w:lastColumn="0" w:oddVBand="0" w:evenVBand="0" w:oddHBand="1" w:evenHBand="0" w:firstRowFirstColumn="0" w:firstRowLastColumn="0" w:lastRowFirstColumn="0" w:lastRowLastColumn="0"/>
            </w:pPr>
            <w:r w:rsidRPr="001E1145">
              <w:t>Výsledky DŠ:</w:t>
            </w:r>
          </w:p>
          <w:p w14:paraId="4635200F" w14:textId="77777777" w:rsidR="00AC28E1" w:rsidRPr="001E1145" w:rsidRDefault="00AC28E1" w:rsidP="00AC28E1">
            <w:pPr>
              <w:pStyle w:val="ListParagraph"/>
              <w:numPr>
                <w:ilvl w:val="0"/>
                <w:numId w:val="128"/>
              </w:numPr>
              <w:spacing w:after="0"/>
              <w:ind w:left="1151"/>
              <w:cnfStyle w:val="000000100000" w:firstRow="0" w:lastRow="0" w:firstColumn="0" w:lastColumn="0" w:oddVBand="0" w:evenVBand="0" w:oddHBand="1" w:evenHBand="0" w:firstRowFirstColumn="0" w:firstRowLastColumn="0" w:lastRowFirstColumn="0" w:lastRowLastColumn="0"/>
            </w:pPr>
            <w:r w:rsidRPr="001E1145">
              <w:rPr>
                <w:b/>
                <w:bCs/>
              </w:rPr>
              <w:t xml:space="preserve">42 % </w:t>
            </w:r>
            <w:r w:rsidRPr="001E1145">
              <w:t>respondentů: projekt byl z oblasti průmyslových výzev a KET technologií</w:t>
            </w:r>
          </w:p>
          <w:p w14:paraId="7F1BC1E7" w14:textId="77777777" w:rsidR="00AC28E1" w:rsidRPr="001E1145" w:rsidRDefault="00AC28E1" w:rsidP="009B651B">
            <w:pPr>
              <w:pStyle w:val="ListParagraph"/>
              <w:spacing w:after="0"/>
              <w:ind w:left="175"/>
              <w:cnfStyle w:val="000000100000" w:firstRow="0" w:lastRow="0" w:firstColumn="0" w:lastColumn="0" w:oddVBand="0" w:evenVBand="0" w:oddHBand="1" w:evenHBand="0" w:firstRowFirstColumn="0" w:firstRowLastColumn="0" w:lastRowFirstColumn="0" w:lastRowLastColumn="0"/>
            </w:pPr>
          </w:p>
        </w:tc>
      </w:tr>
      <w:tr w:rsidR="00AC28E1" w:rsidRPr="008D5C22" w14:paraId="03264568"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543C3B7A" w14:textId="77777777" w:rsidR="00AC28E1" w:rsidRPr="001E1145" w:rsidRDefault="00AC28E1" w:rsidP="009B651B">
            <w:pPr>
              <w:spacing w:after="0"/>
              <w:rPr>
                <w:b w:val="0"/>
              </w:rPr>
            </w:pPr>
            <w:r w:rsidRPr="001E1145">
              <w:rPr>
                <w:b w:val="0"/>
              </w:rPr>
              <w:t>6</w:t>
            </w:r>
          </w:p>
        </w:tc>
        <w:tc>
          <w:tcPr>
            <w:tcW w:w="1140" w:type="pct"/>
          </w:tcPr>
          <w:p w14:paraId="25C2913C"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Zvýšila se vlivem SC 1.1 účast českých firem v evropských programech typu Horizont 2020?</w:t>
            </w:r>
          </w:p>
          <w:p w14:paraId="344A8370"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(INO, APL, POT)</w:t>
            </w:r>
          </w:p>
        </w:tc>
        <w:tc>
          <w:tcPr>
            <w:tcW w:w="3698" w:type="pct"/>
          </w:tcPr>
          <w:p w14:paraId="29A134F5" w14:textId="77777777" w:rsidR="00AC28E1" w:rsidRPr="001E1145" w:rsidRDefault="00AC28E1" w:rsidP="00AC28E1">
            <w:pPr>
              <w:pStyle w:val="ListParagraph"/>
              <w:numPr>
                <w:ilvl w:val="0"/>
                <w:numId w:val="130"/>
              </w:numPr>
              <w:cnfStyle w:val="000000000000" w:firstRow="0" w:lastRow="0" w:firstColumn="0" w:lastColumn="0" w:oddVBand="0" w:evenVBand="0" w:oddHBand="0" w:evenHBand="0" w:firstRowFirstColumn="0" w:firstRowLastColumn="0" w:lastRowFirstColumn="0" w:lastRowLastColumn="0"/>
            </w:pPr>
            <w:r w:rsidRPr="001E1145">
              <w:t xml:space="preserve">Výsledky DŠ: </w:t>
            </w:r>
          </w:p>
          <w:p w14:paraId="2879699B" w14:textId="77777777" w:rsidR="00AC28E1" w:rsidRPr="001E1145" w:rsidRDefault="00AC28E1" w:rsidP="00AC28E1">
            <w:pPr>
              <w:pStyle w:val="ListParagraph"/>
              <w:numPr>
                <w:ilvl w:val="0"/>
                <w:numId w:val="131"/>
              </w:numPr>
              <w:ind w:left="1151"/>
              <w:cnfStyle w:val="000000000000" w:firstRow="0" w:lastRow="0" w:firstColumn="0" w:lastColumn="0" w:oddVBand="0" w:evenVBand="0" w:oddHBand="0" w:evenHBand="0" w:firstRowFirstColumn="0" w:firstRowLastColumn="0" w:lastRowFirstColumn="0" w:lastRowLastColumn="0"/>
            </w:pPr>
            <w:r w:rsidRPr="001E1145">
              <w:rPr>
                <w:b/>
                <w:bCs/>
              </w:rPr>
              <w:t xml:space="preserve">70 % </w:t>
            </w:r>
            <w:r w:rsidRPr="001E1145">
              <w:t xml:space="preserve">respondentů </w:t>
            </w:r>
            <w:r w:rsidRPr="001E1145">
              <w:rPr>
                <w:b/>
                <w:bCs/>
              </w:rPr>
              <w:t xml:space="preserve">není zapojeno v evropských programech </w:t>
            </w:r>
            <w:r w:rsidRPr="001E1145">
              <w:t xml:space="preserve">podpory </w:t>
            </w:r>
            <w:proofErr w:type="spellStart"/>
            <w:r w:rsidRPr="001E1145">
              <w:t>VaVaI</w:t>
            </w:r>
            <w:proofErr w:type="spellEnd"/>
          </w:p>
          <w:p w14:paraId="54D5278A" w14:textId="77777777" w:rsidR="00AC28E1" w:rsidRDefault="00AC28E1" w:rsidP="00AC28E1">
            <w:pPr>
              <w:pStyle w:val="ListParagraph"/>
              <w:numPr>
                <w:ilvl w:val="0"/>
                <w:numId w:val="130"/>
              </w:numPr>
              <w:cnfStyle w:val="000000000000" w:firstRow="0" w:lastRow="0" w:firstColumn="0" w:lastColumn="0" w:oddVBand="0" w:evenVBand="0" w:oddHBand="0" w:evenHBand="0" w:firstRowFirstColumn="0" w:firstRowLastColumn="0" w:lastRowFirstColumn="0" w:lastRowLastColumn="0"/>
            </w:pPr>
            <w:r w:rsidRPr="001E1145">
              <w:rPr>
                <w:b/>
                <w:bCs/>
              </w:rPr>
              <w:t>Podpora OP PIK</w:t>
            </w:r>
            <w:r w:rsidRPr="001E1145">
              <w:t xml:space="preserve"> má pouze </w:t>
            </w:r>
            <w:r w:rsidRPr="001E1145">
              <w:rPr>
                <w:b/>
                <w:bCs/>
              </w:rPr>
              <w:t xml:space="preserve">velmi dílčí vliv na zapojování příjemců v evropských programech </w:t>
            </w:r>
            <w:r w:rsidRPr="001E1145">
              <w:t xml:space="preserve">podpory </w:t>
            </w:r>
            <w:proofErr w:type="spellStart"/>
            <w:r w:rsidRPr="001E1145">
              <w:t>VaVaI</w:t>
            </w:r>
            <w:proofErr w:type="spellEnd"/>
            <w:r w:rsidRPr="001E1145">
              <w:t xml:space="preserve"> (podpora       v rámci SC 1.1 neovlivnila tento trend)</w:t>
            </w:r>
          </w:p>
          <w:p w14:paraId="105AB6DF" w14:textId="77777777" w:rsidR="00AC28E1" w:rsidRPr="001E1145" w:rsidRDefault="00AC28E1" w:rsidP="00AC28E1">
            <w:pPr>
              <w:pStyle w:val="ListParagraph"/>
              <w:numPr>
                <w:ilvl w:val="0"/>
                <w:numId w:val="130"/>
              </w:numPr>
              <w:cnfStyle w:val="000000000000" w:firstRow="0" w:lastRow="0" w:firstColumn="0" w:lastColumn="0" w:oddVBand="0" w:evenVBand="0" w:oddHBand="0" w:evenHBand="0" w:firstRowFirstColumn="0" w:firstRowLastColumn="0" w:lastRowFirstColumn="0" w:lastRowLastColumn="0"/>
            </w:pPr>
            <w:r w:rsidRPr="001E1145">
              <w:rPr>
                <w:bCs/>
              </w:rPr>
              <w:t xml:space="preserve">O </w:t>
            </w:r>
            <w:r w:rsidRPr="001E1145">
              <w:t xml:space="preserve">účast v nadnárodních programech podpory </w:t>
            </w:r>
            <w:r w:rsidRPr="001E1145">
              <w:rPr>
                <w:b/>
                <w:bCs/>
              </w:rPr>
              <w:t>není zájem kvůli vysoké dostupnosti zdrojů na národní úrovni</w:t>
            </w:r>
          </w:p>
        </w:tc>
      </w:tr>
      <w:tr w:rsidR="00AC28E1" w:rsidRPr="008D5C22" w14:paraId="0A0A362A"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6E4169B1" w14:textId="77777777" w:rsidR="00AC28E1" w:rsidRPr="001E1145" w:rsidRDefault="00AC28E1" w:rsidP="009B651B">
            <w:pPr>
              <w:spacing w:after="0"/>
              <w:rPr>
                <w:b w:val="0"/>
              </w:rPr>
            </w:pPr>
            <w:r w:rsidRPr="001E1145">
              <w:rPr>
                <w:b w:val="0"/>
              </w:rPr>
              <w:t>7</w:t>
            </w:r>
          </w:p>
        </w:tc>
        <w:tc>
          <w:tcPr>
            <w:tcW w:w="1140" w:type="pct"/>
          </w:tcPr>
          <w:p w14:paraId="5E808D02"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Jaký je dosavadní příspěvek SC 1.1 k naplňování strategických cílů Národní výzkumné a inovační strategie pro inteligentní specializaci ČR (dále jen „RIS3“)?</w:t>
            </w:r>
          </w:p>
          <w:p w14:paraId="04AE7141"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(INO, APL, POT)</w:t>
            </w:r>
          </w:p>
        </w:tc>
        <w:tc>
          <w:tcPr>
            <w:tcW w:w="3698" w:type="pct"/>
          </w:tcPr>
          <w:p w14:paraId="0A6440EC" w14:textId="780C8754" w:rsidR="00AC28E1" w:rsidRDefault="00AC28E1" w:rsidP="00A76F3F">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pPr>
            <w:r w:rsidRPr="00A76F3F">
              <w:rPr>
                <w:b/>
                <w:bCs/>
              </w:rPr>
              <w:t xml:space="preserve">Příspěvek </w:t>
            </w:r>
            <w:r w:rsidRPr="001E1145">
              <w:t xml:space="preserve">SC 1.1 k plnění cílů RIS3 </w:t>
            </w:r>
            <w:r w:rsidRPr="00A76F3F">
              <w:rPr>
                <w:b/>
                <w:bCs/>
              </w:rPr>
              <w:t>nelze stanovit nad rámec PO1 OP PIK</w:t>
            </w:r>
            <w:r w:rsidR="00A76F3F" w:rsidRPr="00BC1A01">
              <w:t xml:space="preserve">, jelikož </w:t>
            </w:r>
            <w:r w:rsidRPr="00A76F3F">
              <w:rPr>
                <w:b/>
                <w:bCs/>
              </w:rPr>
              <w:t xml:space="preserve">RIS3 nemá </w:t>
            </w:r>
            <w:r w:rsidRPr="001E1145">
              <w:t>nastaveny</w:t>
            </w:r>
            <w:r w:rsidRPr="00A76F3F">
              <w:rPr>
                <w:b/>
                <w:bCs/>
              </w:rPr>
              <w:t xml:space="preserve"> vlastní indikátory ani cílové hodnoty </w:t>
            </w:r>
            <w:r w:rsidRPr="001E1145">
              <w:t>k ověřování naplnění cílů strategie (jejich tvorba se zvažuje v roce 2020)</w:t>
            </w:r>
          </w:p>
          <w:p w14:paraId="431B5149" w14:textId="06A407ED" w:rsidR="00AC28E1" w:rsidRPr="008D5C22" w:rsidRDefault="00A76F3F" w:rsidP="009B651B">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pPr>
            <w:r w:rsidRPr="00BC1A01">
              <w:rPr>
                <w:bCs/>
              </w:rPr>
              <w:t>Vzhledem k identickým strategickým cílům RIS3 a OP PIK lze ztotožnit plnění cílů SC 1.1 se stavem plnění RIS3 strategie</w:t>
            </w:r>
            <w:r w:rsidRPr="00A76F3F">
              <w:rPr>
                <w:bCs/>
              </w:rPr>
              <w:t xml:space="preserve">. </w:t>
            </w:r>
            <w:r>
              <w:t>Z dostupných informací lze dovodit, že</w:t>
            </w:r>
            <w:r w:rsidRPr="00BC1A01">
              <w:rPr>
                <w:b/>
                <w:bCs/>
              </w:rPr>
              <w:t xml:space="preserve"> příspěvek SC 1.1 je na plnění RIS3 ve vymezených cílech velmi významný.</w:t>
            </w:r>
          </w:p>
        </w:tc>
      </w:tr>
      <w:tr w:rsidR="00AC28E1" w:rsidRPr="008D5C22" w14:paraId="1EB3E9EC"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44CC982A" w14:textId="77777777" w:rsidR="00AC28E1" w:rsidRPr="001E1145" w:rsidRDefault="00AC28E1" w:rsidP="009B651B">
            <w:pPr>
              <w:spacing w:after="0"/>
              <w:rPr>
                <w:b w:val="0"/>
              </w:rPr>
            </w:pPr>
            <w:r w:rsidRPr="001E1145">
              <w:rPr>
                <w:b w:val="0"/>
              </w:rPr>
              <w:t>8</w:t>
            </w:r>
          </w:p>
        </w:tc>
        <w:tc>
          <w:tcPr>
            <w:tcW w:w="1140" w:type="pct"/>
          </w:tcPr>
          <w:p w14:paraId="77F651DB"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 xml:space="preserve">Jaké jsou nezamýšlené </w:t>
            </w:r>
            <w:r w:rsidRPr="001E1145">
              <w:br/>
              <w:t>(pozitivní i negativní) efekty v rámci dosahování SC 1.1? Dodavatel zjistí nezamýšlené dopady a vyhodnotí jejich význam. Doporučení: Dodavatel provede případové studie min. u tří podpořených podniků za každý program podpory.</w:t>
            </w:r>
          </w:p>
          <w:p w14:paraId="3FAF2D27"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(INO, APL, POT)</w:t>
            </w:r>
          </w:p>
        </w:tc>
        <w:tc>
          <w:tcPr>
            <w:tcW w:w="3698" w:type="pct"/>
          </w:tcPr>
          <w:p w14:paraId="3E640EE7" w14:textId="77777777" w:rsidR="00AC28E1" w:rsidRPr="001E1145" w:rsidRDefault="00AC28E1" w:rsidP="00AC28E1">
            <w:pPr>
              <w:pStyle w:val="ListParagraph"/>
              <w:numPr>
                <w:ilvl w:val="0"/>
                <w:numId w:val="132"/>
              </w:numPr>
              <w:spacing w:after="60"/>
              <w:cnfStyle w:val="000000000000" w:firstRow="0" w:lastRow="0" w:firstColumn="0" w:lastColumn="0" w:oddVBand="0" w:evenVBand="0" w:oddHBand="0" w:evenHBand="0" w:firstRowFirstColumn="0" w:firstRowLastColumn="0" w:lastRowFirstColumn="0" w:lastRowLastColumn="0"/>
            </w:pPr>
            <w:r w:rsidRPr="001E1145">
              <w:rPr>
                <w:b/>
                <w:bCs/>
              </w:rPr>
              <w:t>Pozitivní nezamýšlené efekty</w:t>
            </w:r>
            <w:r w:rsidRPr="001E1145">
              <w:t xml:space="preserve"> podpory jsou:</w:t>
            </w:r>
          </w:p>
          <w:p w14:paraId="1F9C96AD"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Zvýšení důrazu na inovace v podnikové strategii a kultuře</w:t>
            </w:r>
          </w:p>
          <w:p w14:paraId="554D2DC2"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Pozitivní dopad na HR procesy ve firmě</w:t>
            </w:r>
          </w:p>
          <w:p w14:paraId="0CE14D30"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 xml:space="preserve">Přilákání zahraničních investorů </w:t>
            </w:r>
          </w:p>
          <w:p w14:paraId="3A5AD885"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 xml:space="preserve">Reorganizace, optimalizace podniků (především MSP) </w:t>
            </w:r>
          </w:p>
          <w:p w14:paraId="4A3134FE" w14:textId="77777777" w:rsidR="00AC28E1" w:rsidRPr="001E1145" w:rsidRDefault="00AC28E1" w:rsidP="00AC28E1">
            <w:pPr>
              <w:pStyle w:val="ListParagraph"/>
              <w:numPr>
                <w:ilvl w:val="0"/>
                <w:numId w:val="132"/>
              </w:numPr>
              <w:spacing w:after="60"/>
              <w:cnfStyle w:val="000000000000" w:firstRow="0" w:lastRow="0" w:firstColumn="0" w:lastColumn="0" w:oddVBand="0" w:evenVBand="0" w:oddHBand="0" w:evenHBand="0" w:firstRowFirstColumn="0" w:firstRowLastColumn="0" w:lastRowFirstColumn="0" w:lastRowLastColumn="0"/>
            </w:pPr>
            <w:r w:rsidRPr="001E1145">
              <w:rPr>
                <w:b/>
                <w:bCs/>
              </w:rPr>
              <w:t>Negativní nezamýšlené efekty</w:t>
            </w:r>
            <w:r w:rsidRPr="001E1145">
              <w:t xml:space="preserve"> podpory jsou:</w:t>
            </w:r>
          </w:p>
          <w:p w14:paraId="5CCAC379"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Přizpůsobování projektů vypsaným výzvám</w:t>
            </w:r>
          </w:p>
          <w:p w14:paraId="69B9D292"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 xml:space="preserve">Podpora spíše průměrných podniků a inovací </w:t>
            </w:r>
          </w:p>
          <w:p w14:paraId="18D00E2C"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 xml:space="preserve">Nízká míra flexibility, dlouhá doba hodnocení a schválení projektu a zpoždění v ex post proplácení výdajů formou </w:t>
            </w:r>
            <w:proofErr w:type="spellStart"/>
            <w:r w:rsidRPr="001E1145">
              <w:t>ŽoP</w:t>
            </w:r>
            <w:proofErr w:type="spellEnd"/>
            <w:r w:rsidRPr="001E1145">
              <w:t xml:space="preserve"> způsobují:</w:t>
            </w:r>
          </w:p>
          <w:p w14:paraId="00BC6D61" w14:textId="77777777" w:rsidR="00AC28E1" w:rsidRPr="001E1145" w:rsidRDefault="00AC28E1" w:rsidP="00AC28E1">
            <w:pPr>
              <w:pStyle w:val="ListParagraph"/>
              <w:numPr>
                <w:ilvl w:val="0"/>
                <w:numId w:val="133"/>
              </w:numPr>
              <w:spacing w:after="60"/>
              <w:ind w:left="1576"/>
              <w:cnfStyle w:val="000000000000" w:firstRow="0" w:lastRow="0" w:firstColumn="0" w:lastColumn="0" w:oddVBand="0" w:evenVBand="0" w:oddHBand="0" w:evenHBand="0" w:firstRowFirstColumn="0" w:firstRowLastColumn="0" w:lastRowFirstColumn="0" w:lastRowLastColumn="0"/>
            </w:pPr>
            <w:r w:rsidRPr="001E1145">
              <w:t>Zpoždění zavedení inovace (inovace ke dni zavedení neaktuální)</w:t>
            </w:r>
          </w:p>
          <w:p w14:paraId="57BCC8FA" w14:textId="77777777" w:rsidR="00AC28E1" w:rsidRPr="001E1145" w:rsidRDefault="00AC28E1" w:rsidP="00AC28E1">
            <w:pPr>
              <w:pStyle w:val="ListParagraph"/>
              <w:numPr>
                <w:ilvl w:val="0"/>
                <w:numId w:val="133"/>
              </w:numPr>
              <w:spacing w:after="60"/>
              <w:ind w:left="1576"/>
              <w:cnfStyle w:val="000000000000" w:firstRow="0" w:lastRow="0" w:firstColumn="0" w:lastColumn="0" w:oddVBand="0" w:evenVBand="0" w:oddHBand="0" w:evenHBand="0" w:firstRowFirstColumn="0" w:firstRowLastColumn="0" w:lastRowFirstColumn="0" w:lastRowLastColumn="0"/>
            </w:pPr>
            <w:r w:rsidRPr="001E1145">
              <w:t xml:space="preserve">Zadlužování a zhoršení ekonomické situace podniků </w:t>
            </w:r>
          </w:p>
          <w:p w14:paraId="0076F525"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Neefektivní a nehospodárný výběr dodavatelů s nejistou kvalitou</w:t>
            </w:r>
          </w:p>
          <w:p w14:paraId="6EA72E9B" w14:textId="77777777" w:rsidR="00AC28E1" w:rsidRPr="001E1145" w:rsidRDefault="00AC28E1" w:rsidP="00AC28E1">
            <w:pPr>
              <w:pStyle w:val="ListParagraph"/>
              <w:numPr>
                <w:ilvl w:val="0"/>
                <w:numId w:val="133"/>
              </w:numPr>
              <w:spacing w:after="60"/>
              <w:ind w:left="1151"/>
              <w:cnfStyle w:val="000000000000" w:firstRow="0" w:lastRow="0" w:firstColumn="0" w:lastColumn="0" w:oddVBand="0" w:evenVBand="0" w:oddHBand="0" w:evenHBand="0" w:firstRowFirstColumn="0" w:firstRowLastColumn="0" w:lastRowFirstColumn="0" w:lastRowLastColumn="0"/>
            </w:pPr>
            <w:r w:rsidRPr="001E1145">
              <w:t>Zvýšení nákladů na straně podniků a zvýšení administrativní náročnosti na straně ŘO/ZS kvůli využívání externích poradců</w:t>
            </w:r>
          </w:p>
        </w:tc>
      </w:tr>
      <w:tr w:rsidR="00AC28E1" w:rsidRPr="008D5C22" w14:paraId="1D3D43B0"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7721BA41" w14:textId="77777777" w:rsidR="00AC28E1" w:rsidRPr="001E1145" w:rsidRDefault="00AC28E1" w:rsidP="009B651B">
            <w:pPr>
              <w:spacing w:after="0"/>
              <w:rPr>
                <w:b w:val="0"/>
              </w:rPr>
            </w:pPr>
            <w:r w:rsidRPr="001E1145">
              <w:rPr>
                <w:b w:val="0"/>
              </w:rPr>
              <w:t>9</w:t>
            </w:r>
          </w:p>
        </w:tc>
        <w:tc>
          <w:tcPr>
            <w:tcW w:w="1140" w:type="pct"/>
          </w:tcPr>
          <w:p w14:paraId="63F3404E"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Lze předpokládat, že intervence realizované v rámci SC 1.1 povedou k trvalému zlepšení identifikovaných problémů? Je v tomto smyslu potřeba dané aktivity podporovat i nadále, nebo se další podpora z hlediska principu 3E nejeví jako smysluplná?</w:t>
            </w:r>
          </w:p>
          <w:p w14:paraId="05F6D15F" w14:textId="77777777" w:rsidR="00AC28E1" w:rsidRPr="001E1145" w:rsidRDefault="00AC28E1" w:rsidP="009B651B">
            <w:pPr>
              <w:spacing w:after="0"/>
              <w:cnfStyle w:val="000000100000" w:firstRow="0" w:lastRow="0" w:firstColumn="0" w:lastColumn="0" w:oddVBand="0" w:evenVBand="0" w:oddHBand="1" w:evenHBand="0" w:firstRowFirstColumn="0" w:firstRowLastColumn="0" w:lastRowFirstColumn="0" w:lastRowLastColumn="0"/>
            </w:pPr>
            <w:r w:rsidRPr="001E1145">
              <w:t>(INO, APL, POT)</w:t>
            </w:r>
          </w:p>
        </w:tc>
        <w:tc>
          <w:tcPr>
            <w:tcW w:w="3698" w:type="pct"/>
          </w:tcPr>
          <w:p w14:paraId="68CAE59A" w14:textId="77777777" w:rsidR="00AC28E1" w:rsidRPr="001E1145" w:rsidRDefault="00AC28E1" w:rsidP="00AC28E1">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pPr>
            <w:r w:rsidRPr="001E1145">
              <w:rPr>
                <w:b/>
                <w:bCs/>
              </w:rPr>
              <w:t>Nelze</w:t>
            </w:r>
            <w:r w:rsidRPr="001E1145">
              <w:t xml:space="preserve"> s přesností </w:t>
            </w:r>
            <w:r w:rsidRPr="001E1145">
              <w:rPr>
                <w:b/>
                <w:bCs/>
              </w:rPr>
              <w:t>zodpovědět, dojde-li</w:t>
            </w:r>
            <w:r w:rsidRPr="001E1145">
              <w:t xml:space="preserve"> díky intervenci OP PIK           </w:t>
            </w:r>
            <w:r w:rsidRPr="001E1145">
              <w:rPr>
                <w:b/>
                <w:bCs/>
              </w:rPr>
              <w:t>k trvalému zlepšení</w:t>
            </w:r>
          </w:p>
          <w:p w14:paraId="4AD738B6" w14:textId="77777777" w:rsidR="00AC28E1" w:rsidRPr="001E1145" w:rsidRDefault="00AC28E1" w:rsidP="00AC28E1">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pPr>
            <w:r w:rsidRPr="001E1145">
              <w:rPr>
                <w:b/>
                <w:bCs/>
              </w:rPr>
              <w:t>Indikátorová soustava neobsahuje relevantní dopadové indikátory</w:t>
            </w:r>
            <w:r w:rsidRPr="001E1145">
              <w:rPr>
                <w:bCs/>
              </w:rPr>
              <w:t xml:space="preserve"> </w:t>
            </w:r>
            <w:r w:rsidRPr="001E1145">
              <w:t>a není tudíž možné vyhodnotit změnu chování příjemců podpory</w:t>
            </w:r>
          </w:p>
          <w:p w14:paraId="3DA769F2" w14:textId="77777777" w:rsidR="00AC28E1" w:rsidRPr="001E1145" w:rsidRDefault="00AC28E1" w:rsidP="00AC28E1">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pPr>
            <w:r w:rsidRPr="001E1145">
              <w:rPr>
                <w:b/>
                <w:bCs/>
              </w:rPr>
              <w:t xml:space="preserve">Podpora </w:t>
            </w:r>
            <w:r w:rsidRPr="001E1145">
              <w:t xml:space="preserve">OP PIK však měla </w:t>
            </w:r>
            <w:r w:rsidRPr="001E1145">
              <w:rPr>
                <w:b/>
                <w:bCs/>
              </w:rPr>
              <w:t>dosud významný vliv</w:t>
            </w:r>
            <w:r w:rsidRPr="001E1145">
              <w:t xml:space="preserve"> na posílení inovační výkonnosti příjemců, zvláště pak MSP, a do budoucna se i nadále jeví jako smysluplná, neboť </w:t>
            </w:r>
            <w:r w:rsidRPr="001E1145">
              <w:rPr>
                <w:b/>
                <w:bCs/>
              </w:rPr>
              <w:t>může motivovat MSP podporovat vlastní výzkum a inovace</w:t>
            </w:r>
            <w:r w:rsidRPr="001E1145">
              <w:t xml:space="preserve"> a má potenciál </w:t>
            </w:r>
            <w:r w:rsidRPr="001E1145">
              <w:rPr>
                <w:b/>
                <w:bCs/>
              </w:rPr>
              <w:t>podpořit rizikovější inovace vyššího řádu</w:t>
            </w:r>
            <w:r w:rsidRPr="001E1145">
              <w:rPr>
                <w:b/>
              </w:rPr>
              <w:t xml:space="preserve"> </w:t>
            </w:r>
          </w:p>
          <w:p w14:paraId="5A983BDC" w14:textId="77777777" w:rsidR="00AC28E1" w:rsidRPr="001E1145" w:rsidRDefault="00AC28E1" w:rsidP="009B651B">
            <w:pPr>
              <w:pStyle w:val="ListParagraph"/>
              <w:spacing w:after="60"/>
              <w:ind w:left="170"/>
              <w:contextualSpacing w:val="0"/>
              <w:cnfStyle w:val="000000100000" w:firstRow="0" w:lastRow="0" w:firstColumn="0" w:lastColumn="0" w:oddVBand="0" w:evenVBand="0" w:oddHBand="1" w:evenHBand="0" w:firstRowFirstColumn="0" w:firstRowLastColumn="0" w:lastRowFirstColumn="0" w:lastRowLastColumn="0"/>
              <w:rPr>
                <w:b/>
              </w:rPr>
            </w:pPr>
          </w:p>
        </w:tc>
      </w:tr>
      <w:tr w:rsidR="00AC28E1" w:rsidRPr="008D5C22" w14:paraId="60901CA2"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525A6578" w14:textId="77777777" w:rsidR="00AC28E1" w:rsidRPr="001E1145" w:rsidRDefault="00AC28E1" w:rsidP="009B651B">
            <w:pPr>
              <w:spacing w:after="0"/>
              <w:rPr>
                <w:b w:val="0"/>
              </w:rPr>
            </w:pPr>
            <w:r w:rsidRPr="001E1145">
              <w:rPr>
                <w:b w:val="0"/>
              </w:rPr>
              <w:t>10</w:t>
            </w:r>
          </w:p>
        </w:tc>
        <w:tc>
          <w:tcPr>
            <w:tcW w:w="1140" w:type="pct"/>
          </w:tcPr>
          <w:p w14:paraId="70F37EB6"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rPr>
                <w:bCs/>
                <w:szCs w:val="18"/>
              </w:rPr>
            </w:pPr>
            <w:r w:rsidRPr="001E1145">
              <w:rPr>
                <w:bCs/>
                <w:szCs w:val="18"/>
              </w:rPr>
              <w:t>Lze považovat dosažené výsledky z hlediska stanovených cílů za dostatečné? Případně, čeho se nepodařilo dosáhnout a z jakých příčin? Dodavatel zároveň provede predikci toho, zda se podaří do konce programovacího období stanovených cílů dosáhnout a za jakých předpokladů. Vyzní-li predikce negativně, navrhne dodavatel způsoby řešení, které by přispěly k dosažení stanovených cílů.</w:t>
            </w:r>
          </w:p>
          <w:p w14:paraId="48510F51" w14:textId="77777777" w:rsidR="00AC28E1" w:rsidRPr="001E1145" w:rsidRDefault="00AC28E1" w:rsidP="009B651B">
            <w:pPr>
              <w:spacing w:after="0"/>
              <w:cnfStyle w:val="000000000000" w:firstRow="0" w:lastRow="0" w:firstColumn="0" w:lastColumn="0" w:oddVBand="0" w:evenVBand="0" w:oddHBand="0" w:evenHBand="0" w:firstRowFirstColumn="0" w:firstRowLastColumn="0" w:lastRowFirstColumn="0" w:lastRowLastColumn="0"/>
            </w:pPr>
            <w:r w:rsidRPr="001E1145">
              <w:t>(INO, APL, POT)</w:t>
            </w:r>
          </w:p>
        </w:tc>
        <w:tc>
          <w:tcPr>
            <w:tcW w:w="3698" w:type="pct"/>
          </w:tcPr>
          <w:p w14:paraId="68C5725C" w14:textId="77777777" w:rsidR="00AC28E1" w:rsidRPr="001E1145" w:rsidRDefault="00AC28E1" w:rsidP="00AC28E1">
            <w:pPr>
              <w:pStyle w:val="ListParagraph"/>
              <w:numPr>
                <w:ilvl w:val="0"/>
                <w:numId w:val="134"/>
              </w:numPr>
              <w:cnfStyle w:val="000000000000" w:firstRow="0" w:lastRow="0" w:firstColumn="0" w:lastColumn="0" w:oddVBand="0" w:evenVBand="0" w:oddHBand="0" w:evenHBand="0" w:firstRowFirstColumn="0" w:firstRowLastColumn="0" w:lastRowFirstColumn="0" w:lastRowLastColumn="0"/>
            </w:pPr>
            <w:r w:rsidRPr="001E1145">
              <w:rPr>
                <w:b/>
                <w:bCs/>
              </w:rPr>
              <w:t>Dosažené výsledky</w:t>
            </w:r>
            <w:r w:rsidRPr="001E1145">
              <w:t xml:space="preserve"> lze vzhledem ke stanoveným cílům a očekávaným hodnotám považovat za </w:t>
            </w:r>
            <w:r w:rsidRPr="001E1145">
              <w:rPr>
                <w:b/>
                <w:bCs/>
              </w:rPr>
              <w:t>dostatečné pouze částečně</w:t>
            </w:r>
            <w:r w:rsidRPr="001E1145">
              <w:t xml:space="preserve"> vzhledem k velmi nízkému počtu ukončených projektů</w:t>
            </w:r>
          </w:p>
          <w:p w14:paraId="79C12EC0" w14:textId="77777777" w:rsidR="00AC28E1" w:rsidRPr="001E1145" w:rsidRDefault="00AC28E1" w:rsidP="00AC28E1">
            <w:pPr>
              <w:pStyle w:val="ListParagraph"/>
              <w:numPr>
                <w:ilvl w:val="0"/>
                <w:numId w:val="134"/>
              </w:numPr>
              <w:ind w:left="726"/>
              <w:cnfStyle w:val="000000000000" w:firstRow="0" w:lastRow="0" w:firstColumn="0" w:lastColumn="0" w:oddVBand="0" w:evenVBand="0" w:oddHBand="0" w:evenHBand="0" w:firstRowFirstColumn="0" w:firstRowLastColumn="0" w:lastRowFirstColumn="0" w:lastRowLastColumn="0"/>
            </w:pPr>
            <w:r w:rsidRPr="001E1145">
              <w:t xml:space="preserve">Všechny </w:t>
            </w:r>
            <w:r w:rsidRPr="001E1145">
              <w:rPr>
                <w:b/>
                <w:bCs/>
              </w:rPr>
              <w:t>milníky pro PO1</w:t>
            </w:r>
            <w:r w:rsidRPr="001E1145">
              <w:t xml:space="preserve"> pro rok </w:t>
            </w:r>
            <w:r w:rsidRPr="001E1145">
              <w:rPr>
                <w:b/>
                <w:bCs/>
              </w:rPr>
              <w:t>2018</w:t>
            </w:r>
            <w:r w:rsidRPr="001E1145">
              <w:t xml:space="preserve"> byly </w:t>
            </w:r>
            <w:r w:rsidRPr="001E1145">
              <w:rPr>
                <w:b/>
                <w:bCs/>
              </w:rPr>
              <w:t>naplněné v minimální požadované výši 85 %</w:t>
            </w:r>
          </w:p>
          <w:p w14:paraId="032B7B35" w14:textId="77777777" w:rsidR="00AC28E1" w:rsidRPr="001E1145" w:rsidRDefault="00AC28E1" w:rsidP="00AC28E1">
            <w:pPr>
              <w:pStyle w:val="ListParagraph"/>
              <w:numPr>
                <w:ilvl w:val="0"/>
                <w:numId w:val="134"/>
              </w:numPr>
              <w:ind w:left="726"/>
              <w:cnfStyle w:val="000000000000" w:firstRow="0" w:lastRow="0" w:firstColumn="0" w:lastColumn="0" w:oddVBand="0" w:evenVBand="0" w:oddHBand="0" w:evenHBand="0" w:firstRowFirstColumn="0" w:firstRowLastColumn="0" w:lastRowFirstColumn="0" w:lastRowLastColumn="0"/>
            </w:pPr>
            <w:r w:rsidRPr="001E1145">
              <w:rPr>
                <w:b/>
                <w:bCs/>
              </w:rPr>
              <w:t>Stanovené cíle</w:t>
            </w:r>
            <w:r w:rsidRPr="001E1145">
              <w:t xml:space="preserve"> by tedy mělo být </w:t>
            </w:r>
            <w:r w:rsidRPr="001E1145">
              <w:rPr>
                <w:b/>
                <w:bCs/>
              </w:rPr>
              <w:t>možné do konce programového období dosáhnout</w:t>
            </w:r>
            <w:r w:rsidRPr="001E1145">
              <w:t xml:space="preserve"> a to především za těchto předpokladů:</w:t>
            </w:r>
          </w:p>
          <w:p w14:paraId="362252AE" w14:textId="77777777" w:rsidR="00AC28E1" w:rsidRPr="001E1145" w:rsidRDefault="00AC28E1" w:rsidP="00AC28E1">
            <w:pPr>
              <w:pStyle w:val="ListParagraph"/>
              <w:numPr>
                <w:ilvl w:val="0"/>
                <w:numId w:val="135"/>
              </w:numPr>
              <w:cnfStyle w:val="000000000000" w:firstRow="0" w:lastRow="0" w:firstColumn="0" w:lastColumn="0" w:oddVBand="0" w:evenVBand="0" w:oddHBand="0" w:evenHBand="0" w:firstRowFirstColumn="0" w:firstRowLastColumn="0" w:lastRowFirstColumn="0" w:lastRowLastColumn="0"/>
            </w:pPr>
            <w:r w:rsidRPr="001E1145">
              <w:rPr>
                <w:b/>
                <w:bCs/>
              </w:rPr>
              <w:t>Vyhlášení výzev nebo navýšení alokace vyhlášených výzev</w:t>
            </w:r>
            <w:r w:rsidRPr="001E1145">
              <w:t xml:space="preserve"> </w:t>
            </w:r>
            <w:r w:rsidRPr="001E1145">
              <w:br/>
              <w:t>v dostatečném objemu</w:t>
            </w:r>
          </w:p>
          <w:p w14:paraId="5DCAC06B" w14:textId="77777777" w:rsidR="00AC28E1" w:rsidRPr="001E1145" w:rsidRDefault="00AC28E1" w:rsidP="00AC28E1">
            <w:pPr>
              <w:pStyle w:val="ListParagraph"/>
              <w:numPr>
                <w:ilvl w:val="0"/>
                <w:numId w:val="135"/>
              </w:numPr>
              <w:cnfStyle w:val="000000000000" w:firstRow="0" w:lastRow="0" w:firstColumn="0" w:lastColumn="0" w:oddVBand="0" w:evenVBand="0" w:oddHBand="0" w:evenHBand="0" w:firstRowFirstColumn="0" w:firstRowLastColumn="0" w:lastRowFirstColumn="0" w:lastRowLastColumn="0"/>
            </w:pPr>
            <w:r w:rsidRPr="001E1145">
              <w:rPr>
                <w:b/>
                <w:bCs/>
              </w:rPr>
              <w:t>Zrychlení hodnocení</w:t>
            </w:r>
            <w:r w:rsidRPr="001E1145">
              <w:t xml:space="preserve"> projektových žádostí a </w:t>
            </w:r>
            <w:proofErr w:type="spellStart"/>
            <w:r w:rsidRPr="001E1145">
              <w:t>ŽoP</w:t>
            </w:r>
            <w:proofErr w:type="spellEnd"/>
            <w:r w:rsidRPr="001E1145">
              <w:t xml:space="preserve"> (úpravy systému MS2014+, automatizace procesů, navýšení  personální kapacity API)</w:t>
            </w:r>
          </w:p>
          <w:p w14:paraId="4644A63B" w14:textId="77777777" w:rsidR="00AC28E1" w:rsidRPr="001E1145" w:rsidRDefault="00AC28E1" w:rsidP="00AC28E1">
            <w:pPr>
              <w:pStyle w:val="ListParagraph"/>
              <w:numPr>
                <w:ilvl w:val="0"/>
                <w:numId w:val="135"/>
              </w:numPr>
              <w:cnfStyle w:val="000000000000" w:firstRow="0" w:lastRow="0" w:firstColumn="0" w:lastColumn="0" w:oddVBand="0" w:evenVBand="0" w:oddHBand="0" w:evenHBand="0" w:firstRowFirstColumn="0" w:firstRowLastColumn="0" w:lastRowFirstColumn="0" w:lastRowLastColumn="0"/>
            </w:pPr>
            <w:r w:rsidRPr="001E1145">
              <w:rPr>
                <w:b/>
                <w:bCs/>
              </w:rPr>
              <w:t>Snížení administrativní zátěže</w:t>
            </w:r>
            <w:r w:rsidRPr="001E1145">
              <w:t xml:space="preserve"> na straně žadatelů/příjemců podpory i administrátorů spojené především s podáním, kontrolou a vyhodnocením projektových žádostí, dokládáním mzdových nákladů a výběrem subdodavatelů</w:t>
            </w:r>
          </w:p>
          <w:p w14:paraId="52AA0BB6" w14:textId="77777777" w:rsidR="00AC28E1" w:rsidRPr="001E1145" w:rsidRDefault="00AC28E1" w:rsidP="009B651B">
            <w:pPr>
              <w:pStyle w:val="ListParagraph"/>
              <w:spacing w:after="60"/>
              <w:ind w:left="791"/>
              <w:contextualSpacing w:val="0"/>
              <w:cnfStyle w:val="000000000000" w:firstRow="0" w:lastRow="0" w:firstColumn="0" w:lastColumn="0" w:oddVBand="0" w:evenVBand="0" w:oddHBand="0" w:evenHBand="0" w:firstRowFirstColumn="0" w:firstRowLastColumn="0" w:lastRowFirstColumn="0" w:lastRowLastColumn="0"/>
            </w:pPr>
          </w:p>
        </w:tc>
      </w:tr>
    </w:tbl>
    <w:p w14:paraId="13A752B0" w14:textId="77777777" w:rsidR="00AC28E1" w:rsidRDefault="00AC28E1" w:rsidP="00AC28E1"/>
    <w:p w14:paraId="151BE9A1" w14:textId="77777777" w:rsidR="00AC28E1" w:rsidRDefault="00AC28E1" w:rsidP="00AC28E1">
      <w:pPr>
        <w:spacing w:after="0" w:line="240" w:lineRule="auto"/>
        <w:rPr>
          <w:b/>
        </w:rPr>
      </w:pPr>
      <w:r>
        <w:rPr>
          <w:b/>
        </w:rPr>
        <w:br w:type="page"/>
      </w:r>
    </w:p>
    <w:p w14:paraId="6ADE8819" w14:textId="77777777" w:rsidR="00AC28E1" w:rsidRDefault="00AC28E1" w:rsidP="00AC28E1">
      <w:pPr>
        <w:rPr>
          <w:b/>
        </w:rPr>
      </w:pPr>
      <w:r w:rsidRPr="00E72EB4">
        <w:rPr>
          <w:b/>
          <w:bCs/>
          <w:noProof/>
          <w:lang w:eastAsia="cs-CZ"/>
        </w:rPr>
        <mc:AlternateContent>
          <mc:Choice Requires="wpg">
            <w:drawing>
              <wp:anchor distT="0" distB="0" distL="114300" distR="114300" simplePos="0" relativeHeight="251672064" behindDoc="0" locked="0" layoutInCell="1" allowOverlap="1" wp14:anchorId="5C72D050" wp14:editId="3BAE72F7">
                <wp:simplePos x="0" y="0"/>
                <wp:positionH relativeFrom="column">
                  <wp:posOffset>3861435</wp:posOffset>
                </wp:positionH>
                <wp:positionV relativeFrom="paragraph">
                  <wp:posOffset>337185</wp:posOffset>
                </wp:positionV>
                <wp:extent cx="369570" cy="369570"/>
                <wp:effectExtent l="0" t="0" r="0" b="0"/>
                <wp:wrapNone/>
                <wp:docPr id="83" name="Group 235"/>
                <wp:cNvGraphicFramePr/>
                <a:graphic xmlns:a="http://schemas.openxmlformats.org/drawingml/2006/main">
                  <a:graphicData uri="http://schemas.microsoft.com/office/word/2010/wordprocessingGroup">
                    <wpg:wgp>
                      <wpg:cNvGrpSpPr/>
                      <wpg:grpSpPr bwMode="auto">
                        <a:xfrm>
                          <a:off x="0" y="0"/>
                          <a:ext cx="369570" cy="369570"/>
                          <a:chOff x="0" y="0"/>
                          <a:chExt cx="340" cy="340"/>
                        </a:xfrm>
                        <a:solidFill>
                          <a:schemeClr val="bg1"/>
                        </a:solidFill>
                      </wpg:grpSpPr>
                      <wps:wsp>
                        <wps:cNvPr id="84" name="Freeform 84"/>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noEditPoints="1"/>
                        </wps:cNvSpPr>
                        <wps:spPr bwMode="auto">
                          <a:xfrm>
                            <a:off x="64" y="92"/>
                            <a:ext cx="127" cy="113"/>
                          </a:xfrm>
                          <a:custGeom>
                            <a:avLst/>
                            <a:gdLst>
                              <a:gd name="T0" fmla="*/ 192 w 192"/>
                              <a:gd name="T1" fmla="*/ 118 h 171"/>
                              <a:gd name="T2" fmla="*/ 192 w 192"/>
                              <a:gd name="T3" fmla="*/ 11 h 171"/>
                              <a:gd name="T4" fmla="*/ 181 w 192"/>
                              <a:gd name="T5" fmla="*/ 0 h 171"/>
                              <a:gd name="T6" fmla="*/ 10 w 192"/>
                              <a:gd name="T7" fmla="*/ 0 h 171"/>
                              <a:gd name="T8" fmla="*/ 0 w 192"/>
                              <a:gd name="T9" fmla="*/ 11 h 171"/>
                              <a:gd name="T10" fmla="*/ 0 w 192"/>
                              <a:gd name="T11" fmla="*/ 118 h 171"/>
                              <a:gd name="T12" fmla="*/ 10 w 192"/>
                              <a:gd name="T13" fmla="*/ 128 h 171"/>
                              <a:gd name="T14" fmla="*/ 32 w 192"/>
                              <a:gd name="T15" fmla="*/ 128 h 171"/>
                              <a:gd name="T16" fmla="*/ 32 w 192"/>
                              <a:gd name="T17" fmla="*/ 160 h 171"/>
                              <a:gd name="T18" fmla="*/ 38 w 192"/>
                              <a:gd name="T19" fmla="*/ 170 h 171"/>
                              <a:gd name="T20" fmla="*/ 42 w 192"/>
                              <a:gd name="T21" fmla="*/ 171 h 171"/>
                              <a:gd name="T22" fmla="*/ 50 w 192"/>
                              <a:gd name="T23" fmla="*/ 168 h 171"/>
                              <a:gd name="T24" fmla="*/ 89 w 192"/>
                              <a:gd name="T25" fmla="*/ 128 h 171"/>
                              <a:gd name="T26" fmla="*/ 181 w 192"/>
                              <a:gd name="T27" fmla="*/ 128 h 171"/>
                              <a:gd name="T28" fmla="*/ 192 w 192"/>
                              <a:gd name="T29" fmla="*/ 118 h 171"/>
                              <a:gd name="T30" fmla="*/ 170 w 192"/>
                              <a:gd name="T31" fmla="*/ 107 h 171"/>
                              <a:gd name="T32" fmla="*/ 85 w 192"/>
                              <a:gd name="T33" fmla="*/ 107 h 171"/>
                              <a:gd name="T34" fmla="*/ 77 w 192"/>
                              <a:gd name="T35" fmla="*/ 110 h 171"/>
                              <a:gd name="T36" fmla="*/ 53 w 192"/>
                              <a:gd name="T37" fmla="*/ 135 h 171"/>
                              <a:gd name="T38" fmla="*/ 53 w 192"/>
                              <a:gd name="T39" fmla="*/ 118 h 171"/>
                              <a:gd name="T40" fmla="*/ 42 w 192"/>
                              <a:gd name="T41" fmla="*/ 107 h 171"/>
                              <a:gd name="T42" fmla="*/ 21 w 192"/>
                              <a:gd name="T43" fmla="*/ 107 h 171"/>
                              <a:gd name="T44" fmla="*/ 21 w 192"/>
                              <a:gd name="T45" fmla="*/ 22 h 171"/>
                              <a:gd name="T46" fmla="*/ 170 w 192"/>
                              <a:gd name="T47" fmla="*/ 22 h 171"/>
                              <a:gd name="T48" fmla="*/ 170 w 192"/>
                              <a:gd name="T49" fmla="*/ 10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171">
                                <a:moveTo>
                                  <a:pt x="192" y="118"/>
                                </a:moveTo>
                                <a:cubicBezTo>
                                  <a:pt x="192" y="11"/>
                                  <a:pt x="192" y="11"/>
                                  <a:pt x="192" y="11"/>
                                </a:cubicBezTo>
                                <a:cubicBezTo>
                                  <a:pt x="192" y="5"/>
                                  <a:pt x="187" y="0"/>
                                  <a:pt x="181" y="0"/>
                                </a:cubicBezTo>
                                <a:cubicBezTo>
                                  <a:pt x="10" y="0"/>
                                  <a:pt x="10" y="0"/>
                                  <a:pt x="10" y="0"/>
                                </a:cubicBezTo>
                                <a:cubicBezTo>
                                  <a:pt x="4" y="0"/>
                                  <a:pt x="0" y="5"/>
                                  <a:pt x="0" y="11"/>
                                </a:cubicBezTo>
                                <a:cubicBezTo>
                                  <a:pt x="0" y="118"/>
                                  <a:pt x="0" y="118"/>
                                  <a:pt x="0" y="118"/>
                                </a:cubicBezTo>
                                <a:cubicBezTo>
                                  <a:pt x="0" y="124"/>
                                  <a:pt x="4" y="128"/>
                                  <a:pt x="10" y="128"/>
                                </a:cubicBezTo>
                                <a:cubicBezTo>
                                  <a:pt x="32" y="128"/>
                                  <a:pt x="32" y="128"/>
                                  <a:pt x="32" y="128"/>
                                </a:cubicBezTo>
                                <a:cubicBezTo>
                                  <a:pt x="32" y="160"/>
                                  <a:pt x="32" y="160"/>
                                  <a:pt x="32" y="160"/>
                                </a:cubicBezTo>
                                <a:cubicBezTo>
                                  <a:pt x="32" y="165"/>
                                  <a:pt x="34" y="169"/>
                                  <a:pt x="38" y="170"/>
                                </a:cubicBezTo>
                                <a:cubicBezTo>
                                  <a:pt x="40" y="171"/>
                                  <a:pt x="41" y="171"/>
                                  <a:pt x="42" y="171"/>
                                </a:cubicBezTo>
                                <a:cubicBezTo>
                                  <a:pt x="45" y="171"/>
                                  <a:pt x="48" y="170"/>
                                  <a:pt x="50" y="168"/>
                                </a:cubicBezTo>
                                <a:cubicBezTo>
                                  <a:pt x="89" y="128"/>
                                  <a:pt x="89" y="128"/>
                                  <a:pt x="89" y="128"/>
                                </a:cubicBezTo>
                                <a:cubicBezTo>
                                  <a:pt x="181" y="128"/>
                                  <a:pt x="181" y="128"/>
                                  <a:pt x="181" y="128"/>
                                </a:cubicBezTo>
                                <a:cubicBezTo>
                                  <a:pt x="187" y="128"/>
                                  <a:pt x="192" y="124"/>
                                  <a:pt x="192" y="118"/>
                                </a:cubicBezTo>
                                <a:close/>
                                <a:moveTo>
                                  <a:pt x="170" y="107"/>
                                </a:moveTo>
                                <a:cubicBezTo>
                                  <a:pt x="85" y="107"/>
                                  <a:pt x="85" y="107"/>
                                  <a:pt x="85" y="107"/>
                                </a:cubicBezTo>
                                <a:cubicBezTo>
                                  <a:pt x="82" y="107"/>
                                  <a:pt x="79" y="108"/>
                                  <a:pt x="77" y="110"/>
                                </a:cubicBezTo>
                                <a:cubicBezTo>
                                  <a:pt x="53" y="135"/>
                                  <a:pt x="53" y="135"/>
                                  <a:pt x="53" y="135"/>
                                </a:cubicBezTo>
                                <a:cubicBezTo>
                                  <a:pt x="53" y="118"/>
                                  <a:pt x="53" y="118"/>
                                  <a:pt x="53" y="118"/>
                                </a:cubicBezTo>
                                <a:cubicBezTo>
                                  <a:pt x="53" y="112"/>
                                  <a:pt x="48" y="107"/>
                                  <a:pt x="42" y="107"/>
                                </a:cubicBezTo>
                                <a:cubicBezTo>
                                  <a:pt x="21" y="107"/>
                                  <a:pt x="21" y="107"/>
                                  <a:pt x="21" y="107"/>
                                </a:cubicBezTo>
                                <a:cubicBezTo>
                                  <a:pt x="21" y="22"/>
                                  <a:pt x="21" y="22"/>
                                  <a:pt x="21" y="22"/>
                                </a:cubicBezTo>
                                <a:cubicBezTo>
                                  <a:pt x="170" y="22"/>
                                  <a:pt x="170" y="22"/>
                                  <a:pt x="170" y="22"/>
                                </a:cubicBezTo>
                                <a:lnTo>
                                  <a:pt x="170" y="10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149" y="149"/>
                            <a:ext cx="127" cy="127"/>
                          </a:xfrm>
                          <a:custGeom>
                            <a:avLst/>
                            <a:gdLst>
                              <a:gd name="T0" fmla="*/ 181 w 192"/>
                              <a:gd name="T1" fmla="*/ 0 h 192"/>
                              <a:gd name="T2" fmla="*/ 96 w 192"/>
                              <a:gd name="T3" fmla="*/ 0 h 192"/>
                              <a:gd name="T4" fmla="*/ 85 w 192"/>
                              <a:gd name="T5" fmla="*/ 10 h 192"/>
                              <a:gd name="T6" fmla="*/ 96 w 192"/>
                              <a:gd name="T7" fmla="*/ 21 h 192"/>
                              <a:gd name="T8" fmla="*/ 170 w 192"/>
                              <a:gd name="T9" fmla="*/ 21 h 192"/>
                              <a:gd name="T10" fmla="*/ 170 w 192"/>
                              <a:gd name="T11" fmla="*/ 128 h 192"/>
                              <a:gd name="T12" fmla="*/ 138 w 192"/>
                              <a:gd name="T13" fmla="*/ 128 h 192"/>
                              <a:gd name="T14" fmla="*/ 128 w 192"/>
                              <a:gd name="T15" fmla="*/ 138 h 192"/>
                              <a:gd name="T16" fmla="*/ 128 w 192"/>
                              <a:gd name="T17" fmla="*/ 155 h 192"/>
                              <a:gd name="T18" fmla="*/ 103 w 192"/>
                              <a:gd name="T19" fmla="*/ 131 h 192"/>
                              <a:gd name="T20" fmla="*/ 96 w 192"/>
                              <a:gd name="T21" fmla="*/ 128 h 192"/>
                              <a:gd name="T22" fmla="*/ 21 w 192"/>
                              <a:gd name="T23" fmla="*/ 128 h 192"/>
                              <a:gd name="T24" fmla="*/ 21 w 192"/>
                              <a:gd name="T25" fmla="*/ 74 h 192"/>
                              <a:gd name="T26" fmla="*/ 10 w 192"/>
                              <a:gd name="T27" fmla="*/ 64 h 192"/>
                              <a:gd name="T28" fmla="*/ 0 w 192"/>
                              <a:gd name="T29" fmla="*/ 74 h 192"/>
                              <a:gd name="T30" fmla="*/ 0 w 192"/>
                              <a:gd name="T31" fmla="*/ 138 h 192"/>
                              <a:gd name="T32" fmla="*/ 10 w 192"/>
                              <a:gd name="T33" fmla="*/ 149 h 192"/>
                              <a:gd name="T34" fmla="*/ 91 w 192"/>
                              <a:gd name="T35" fmla="*/ 149 h 192"/>
                              <a:gd name="T36" fmla="*/ 131 w 192"/>
                              <a:gd name="T37" fmla="*/ 189 h 192"/>
                              <a:gd name="T38" fmla="*/ 138 w 192"/>
                              <a:gd name="T39" fmla="*/ 192 h 192"/>
                              <a:gd name="T40" fmla="*/ 142 w 192"/>
                              <a:gd name="T41" fmla="*/ 191 h 192"/>
                              <a:gd name="T42" fmla="*/ 149 w 192"/>
                              <a:gd name="T43" fmla="*/ 181 h 192"/>
                              <a:gd name="T44" fmla="*/ 149 w 192"/>
                              <a:gd name="T45" fmla="*/ 149 h 192"/>
                              <a:gd name="T46" fmla="*/ 181 w 192"/>
                              <a:gd name="T47" fmla="*/ 149 h 192"/>
                              <a:gd name="T48" fmla="*/ 192 w 192"/>
                              <a:gd name="T49" fmla="*/ 138 h 192"/>
                              <a:gd name="T50" fmla="*/ 192 w 192"/>
                              <a:gd name="T51" fmla="*/ 10 h 192"/>
                              <a:gd name="T52" fmla="*/ 181 w 192"/>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2" h="192">
                                <a:moveTo>
                                  <a:pt x="181" y="0"/>
                                </a:moveTo>
                                <a:cubicBezTo>
                                  <a:pt x="96" y="0"/>
                                  <a:pt x="96" y="0"/>
                                  <a:pt x="96" y="0"/>
                                </a:cubicBezTo>
                                <a:cubicBezTo>
                                  <a:pt x="90" y="0"/>
                                  <a:pt x="85" y="4"/>
                                  <a:pt x="85" y="10"/>
                                </a:cubicBezTo>
                                <a:cubicBezTo>
                                  <a:pt x="85" y="16"/>
                                  <a:pt x="90" y="21"/>
                                  <a:pt x="96" y="21"/>
                                </a:cubicBezTo>
                                <a:cubicBezTo>
                                  <a:pt x="170" y="21"/>
                                  <a:pt x="170" y="21"/>
                                  <a:pt x="170" y="21"/>
                                </a:cubicBezTo>
                                <a:cubicBezTo>
                                  <a:pt x="170" y="128"/>
                                  <a:pt x="170" y="128"/>
                                  <a:pt x="170" y="128"/>
                                </a:cubicBezTo>
                                <a:cubicBezTo>
                                  <a:pt x="138" y="128"/>
                                  <a:pt x="138" y="128"/>
                                  <a:pt x="138" y="128"/>
                                </a:cubicBezTo>
                                <a:cubicBezTo>
                                  <a:pt x="132" y="128"/>
                                  <a:pt x="128" y="132"/>
                                  <a:pt x="128" y="138"/>
                                </a:cubicBezTo>
                                <a:cubicBezTo>
                                  <a:pt x="128" y="155"/>
                                  <a:pt x="128" y="155"/>
                                  <a:pt x="128" y="155"/>
                                </a:cubicBezTo>
                                <a:cubicBezTo>
                                  <a:pt x="103" y="131"/>
                                  <a:pt x="103" y="131"/>
                                  <a:pt x="103" y="131"/>
                                </a:cubicBezTo>
                                <a:cubicBezTo>
                                  <a:pt x="101" y="129"/>
                                  <a:pt x="98" y="128"/>
                                  <a:pt x="96" y="128"/>
                                </a:cubicBezTo>
                                <a:cubicBezTo>
                                  <a:pt x="21" y="128"/>
                                  <a:pt x="21" y="128"/>
                                  <a:pt x="21" y="128"/>
                                </a:cubicBezTo>
                                <a:cubicBezTo>
                                  <a:pt x="21" y="74"/>
                                  <a:pt x="21" y="74"/>
                                  <a:pt x="21" y="74"/>
                                </a:cubicBezTo>
                                <a:cubicBezTo>
                                  <a:pt x="21" y="68"/>
                                  <a:pt x="16" y="64"/>
                                  <a:pt x="10" y="64"/>
                                </a:cubicBezTo>
                                <a:cubicBezTo>
                                  <a:pt x="4" y="64"/>
                                  <a:pt x="0" y="68"/>
                                  <a:pt x="0" y="74"/>
                                </a:cubicBezTo>
                                <a:cubicBezTo>
                                  <a:pt x="0" y="138"/>
                                  <a:pt x="0" y="138"/>
                                  <a:pt x="0" y="138"/>
                                </a:cubicBezTo>
                                <a:cubicBezTo>
                                  <a:pt x="0" y="144"/>
                                  <a:pt x="4" y="149"/>
                                  <a:pt x="10" y="149"/>
                                </a:cubicBezTo>
                                <a:cubicBezTo>
                                  <a:pt x="91" y="149"/>
                                  <a:pt x="91" y="149"/>
                                  <a:pt x="91" y="149"/>
                                </a:cubicBezTo>
                                <a:cubicBezTo>
                                  <a:pt x="131" y="189"/>
                                  <a:pt x="131" y="189"/>
                                  <a:pt x="131" y="189"/>
                                </a:cubicBezTo>
                                <a:cubicBezTo>
                                  <a:pt x="133" y="191"/>
                                  <a:pt x="136" y="192"/>
                                  <a:pt x="138" y="192"/>
                                </a:cubicBezTo>
                                <a:cubicBezTo>
                                  <a:pt x="140" y="192"/>
                                  <a:pt x="141" y="191"/>
                                  <a:pt x="142" y="191"/>
                                </a:cubicBezTo>
                                <a:cubicBezTo>
                                  <a:pt x="146" y="189"/>
                                  <a:pt x="149" y="185"/>
                                  <a:pt x="149" y="181"/>
                                </a:cubicBezTo>
                                <a:cubicBezTo>
                                  <a:pt x="149" y="149"/>
                                  <a:pt x="149" y="149"/>
                                  <a:pt x="149" y="149"/>
                                </a:cubicBezTo>
                                <a:cubicBezTo>
                                  <a:pt x="181" y="149"/>
                                  <a:pt x="181" y="149"/>
                                  <a:pt x="181" y="149"/>
                                </a:cubicBezTo>
                                <a:cubicBezTo>
                                  <a:pt x="187" y="149"/>
                                  <a:pt x="192" y="144"/>
                                  <a:pt x="192" y="138"/>
                                </a:cubicBezTo>
                                <a:cubicBezTo>
                                  <a:pt x="192" y="10"/>
                                  <a:pt x="192" y="10"/>
                                  <a:pt x="192" y="10"/>
                                </a:cubicBezTo>
                                <a:cubicBezTo>
                                  <a:pt x="192" y="4"/>
                                  <a:pt x="187" y="0"/>
                                  <a:pt x="18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94BBA9" id="Group 235" o:spid="_x0000_s1026" style="position:absolute;margin-left:304.05pt;margin-top:26.55pt;width:29.1pt;height:29.1pt;z-index:25167206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">
                <v:shape id="Freeform 84" o:spid="_x0000_s1027"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85" o:spid="_x0000_s1028" style="position:absolute;left:64;top:92;width:127;height:113;visibility:visible;mso-wrap-style:square;v-text-anchor:top" coordsize="1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" path="m192,118v,-107,,-107,,-107c192,5,187,,181,,10,,10,,10,,4,,,5,,11,,118,,118,,118v,6,4,10,10,10c32,128,32,128,32,128v,32,,32,,32c32,165,34,169,38,170v2,1,3,1,4,1c45,171,48,170,50,168,89,128,89,128,89,128v92,,92,,92,c187,128,192,124,192,118xm170,107v-85,,-85,,-85,c82,107,79,108,77,110,53,135,53,135,53,135v,-17,,-17,,-17c53,112,48,107,42,107v-21,,-21,,-21,c21,22,21,22,21,22v149,,149,,149,l170,107xe" filled="f" stroked="f">
                  <v:path arrowok="t" o:connecttype="custom" o:connectlocs="127,78;127,7;120,0;7,0;0,7;0,78;7,85;21,85;21,106;25,112;28,113;33,111;59,85;120,85;127,78;112,71;56,71;51,73;35,89;35,78;28,71;14,71;14,15;112,15;112,71" o:connectangles="0,0,0,0,0,0,0,0,0,0,0,0,0,0,0,0,0,0,0,0,0,0,0,0,0"/>
                  <o:lock v:ext="edit" verticies="t"/>
                </v:shape>
                <v:shape id="Freeform 86" o:spid="_x0000_s1029" style="position:absolute;left:149;top:149;width:127;height:127;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" path="m181,c96,,96,,96,,90,,85,4,85,10v,6,5,11,11,11c170,21,170,21,170,21v,107,,107,,107c138,128,138,128,138,128v-6,,-10,4,-10,10c128,155,128,155,128,155,103,131,103,131,103,131v-2,-2,-5,-3,-7,-3c21,128,21,128,21,128v,-54,,-54,,-54c21,68,16,64,10,64,4,64,,68,,74v,64,,64,,64c,144,4,149,10,149v81,,81,,81,c131,189,131,189,131,189v2,2,5,3,7,3c140,192,141,191,142,191v4,-2,7,-6,7,-10c149,149,149,149,149,149v32,,32,,32,c187,149,192,144,192,138v,-128,,-128,,-128c192,4,187,,181,xe" filled="f" stroked="f">
                  <v:path arrowok="t" o:connecttype="custom" o:connectlocs="120,0;64,0;56,7;64,14;112,14;112,85;91,85;85,91;85,103;68,87;64,85;14,85;14,49;7,42;0,49;0,91;7,99;60,99;87,125;91,127;94,126;99,120;99,99;120,99;127,91;127,7;120,0" o:connectangles="0,0,0,0,0,0,0,0,0,0,0,0,0,0,0,0,0,0,0,0,0,0,0,0,0,0,0"/>
                </v:shape>
              </v:group>
            </w:pict>
          </mc:Fallback>
        </mc:AlternateContent>
      </w:r>
      <w:r>
        <w:rPr>
          <w:b/>
        </w:rPr>
        <w:t xml:space="preserve"> </w:t>
      </w:r>
      <w:r w:rsidRPr="001E1145">
        <w:rPr>
          <w:b/>
        </w:rPr>
        <w:t>Doporučení OP PIK do konce programového období</w:t>
      </w:r>
      <w:r>
        <w:rPr>
          <w:rStyle w:val="FootnoteReference"/>
          <w:b/>
        </w:rPr>
        <w:footnoteReference w:id="2"/>
      </w:r>
    </w:p>
    <w:tbl>
      <w:tblPr>
        <w:tblW w:w="5000" w:type="pct"/>
        <w:tblCellMar>
          <w:left w:w="0" w:type="dxa"/>
          <w:right w:w="0" w:type="dxa"/>
        </w:tblCellMar>
        <w:tblLook w:val="0420" w:firstRow="1" w:lastRow="0" w:firstColumn="0" w:lastColumn="0" w:noHBand="0" w:noVBand="1"/>
      </w:tblPr>
      <w:tblGrid>
        <w:gridCol w:w="2404"/>
        <w:gridCol w:w="2404"/>
        <w:gridCol w:w="2405"/>
        <w:gridCol w:w="2405"/>
      </w:tblGrid>
      <w:tr w:rsidR="00AC28E1" w:rsidRPr="001E1145" w14:paraId="2C008AAA" w14:textId="77777777" w:rsidTr="009B651B">
        <w:trPr>
          <w:trHeight w:val="510"/>
        </w:trPr>
        <w:tc>
          <w:tcPr>
            <w:tcW w:w="1250" w:type="pct"/>
            <w:tcBorders>
              <w:top w:val="single" w:sz="8" w:space="0" w:color="86BC25"/>
              <w:left w:val="single" w:sz="8" w:space="0" w:color="86BC25"/>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76181347" w14:textId="77777777" w:rsidR="00AC28E1" w:rsidRPr="001E1145" w:rsidRDefault="00AC28E1" w:rsidP="009B651B">
            <w:pPr>
              <w:rPr>
                <w:b/>
                <w:color w:val="FFFFFF" w:themeColor="background1"/>
              </w:rPr>
            </w:pPr>
            <w:r w:rsidRPr="00E72EB4">
              <w:rPr>
                <w:b/>
                <w:bCs/>
                <w:noProof/>
                <w:lang w:eastAsia="cs-CZ"/>
              </w:rPr>
              <mc:AlternateContent>
                <mc:Choice Requires="wps">
                  <w:drawing>
                    <wp:anchor distT="0" distB="0" distL="114300" distR="114300" simplePos="0" relativeHeight="251670016" behindDoc="0" locked="0" layoutInCell="1" allowOverlap="1" wp14:anchorId="2E7D48C5" wp14:editId="175D7BA5">
                      <wp:simplePos x="0" y="0"/>
                      <wp:positionH relativeFrom="column">
                        <wp:posOffset>887095</wp:posOffset>
                      </wp:positionH>
                      <wp:positionV relativeFrom="paragraph">
                        <wp:posOffset>-167005</wp:posOffset>
                      </wp:positionV>
                      <wp:extent cx="368935" cy="368935"/>
                      <wp:effectExtent l="0" t="0" r="0" b="0"/>
                      <wp:wrapNone/>
                      <wp:docPr id="87" name="Freeform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8935" cy="368935"/>
                              </a:xfrm>
                              <a:custGeom>
                                <a:avLst/>
                                <a:gdLst>
                                  <a:gd name="T0" fmla="*/ 490 w 512"/>
                                  <a:gd name="T1" fmla="*/ 256 h 512"/>
                                  <a:gd name="T2" fmla="*/ 21 w 512"/>
                                  <a:gd name="T3" fmla="*/ 256 h 512"/>
                                  <a:gd name="T4" fmla="*/ 256 w 512"/>
                                  <a:gd name="T5" fmla="*/ 0 h 512"/>
                                  <a:gd name="T6" fmla="*/ 256 w 512"/>
                                  <a:gd name="T7" fmla="*/ 512 h 512"/>
                                  <a:gd name="T8" fmla="*/ 256 w 512"/>
                                  <a:gd name="T9" fmla="*/ 0 h 512"/>
                                  <a:gd name="T10" fmla="*/ 372 w 512"/>
                                  <a:gd name="T11" fmla="*/ 245 h 512"/>
                                  <a:gd name="T12" fmla="*/ 370 w 512"/>
                                  <a:gd name="T13" fmla="*/ 157 h 512"/>
                                  <a:gd name="T14" fmla="*/ 355 w 512"/>
                                  <a:gd name="T15" fmla="*/ 141 h 512"/>
                                  <a:gd name="T16" fmla="*/ 266 w 512"/>
                                  <a:gd name="T17" fmla="*/ 139 h 512"/>
                                  <a:gd name="T18" fmla="*/ 256 w 512"/>
                                  <a:gd name="T19" fmla="*/ 96 h 512"/>
                                  <a:gd name="T20" fmla="*/ 245 w 512"/>
                                  <a:gd name="T21" fmla="*/ 139 h 512"/>
                                  <a:gd name="T22" fmla="*/ 157 w 512"/>
                                  <a:gd name="T23" fmla="*/ 141 h 512"/>
                                  <a:gd name="T24" fmla="*/ 141 w 512"/>
                                  <a:gd name="T25" fmla="*/ 157 h 512"/>
                                  <a:gd name="T26" fmla="*/ 139 w 512"/>
                                  <a:gd name="T27" fmla="*/ 245 h 512"/>
                                  <a:gd name="T28" fmla="*/ 96 w 512"/>
                                  <a:gd name="T29" fmla="*/ 256 h 512"/>
                                  <a:gd name="T30" fmla="*/ 139 w 512"/>
                                  <a:gd name="T31" fmla="*/ 266 h 512"/>
                                  <a:gd name="T32" fmla="*/ 141 w 512"/>
                                  <a:gd name="T33" fmla="*/ 355 h 512"/>
                                  <a:gd name="T34" fmla="*/ 149 w 512"/>
                                  <a:gd name="T35" fmla="*/ 373 h 512"/>
                                  <a:gd name="T36" fmla="*/ 181 w 512"/>
                                  <a:gd name="T37" fmla="*/ 346 h 512"/>
                                  <a:gd name="T38" fmla="*/ 245 w 512"/>
                                  <a:gd name="T39" fmla="*/ 405 h 512"/>
                                  <a:gd name="T40" fmla="*/ 266 w 512"/>
                                  <a:gd name="T41" fmla="*/ 405 h 512"/>
                                  <a:gd name="T42" fmla="*/ 331 w 512"/>
                                  <a:gd name="T43" fmla="*/ 346 h 512"/>
                                  <a:gd name="T44" fmla="*/ 362 w 512"/>
                                  <a:gd name="T45" fmla="*/ 373 h 512"/>
                                  <a:gd name="T46" fmla="*/ 370 w 512"/>
                                  <a:gd name="T47" fmla="*/ 355 h 512"/>
                                  <a:gd name="T48" fmla="*/ 372 w 512"/>
                                  <a:gd name="T49" fmla="*/ 266 h 512"/>
                                  <a:gd name="T50" fmla="*/ 416 w 512"/>
                                  <a:gd name="T51" fmla="*/ 256 h 512"/>
                                  <a:gd name="T52" fmla="*/ 351 w 512"/>
                                  <a:gd name="T53" fmla="*/ 245 h 512"/>
                                  <a:gd name="T54" fmla="*/ 286 w 512"/>
                                  <a:gd name="T55" fmla="*/ 245 h 512"/>
                                  <a:gd name="T56" fmla="*/ 286 w 512"/>
                                  <a:gd name="T57" fmla="*/ 241 h 512"/>
                                  <a:gd name="T58" fmla="*/ 351 w 512"/>
                                  <a:gd name="T59" fmla="*/ 245 h 512"/>
                                  <a:gd name="T60" fmla="*/ 271 w 512"/>
                                  <a:gd name="T61" fmla="*/ 226 h 512"/>
                                  <a:gd name="T62" fmla="*/ 266 w 512"/>
                                  <a:gd name="T63" fmla="*/ 226 h 512"/>
                                  <a:gd name="T64" fmla="*/ 266 w 512"/>
                                  <a:gd name="T65" fmla="*/ 160 h 512"/>
                                  <a:gd name="T66" fmla="*/ 256 w 512"/>
                                  <a:gd name="T67" fmla="*/ 266 h 512"/>
                                  <a:gd name="T68" fmla="*/ 256 w 512"/>
                                  <a:gd name="T69" fmla="*/ 245 h 512"/>
                                  <a:gd name="T70" fmla="*/ 256 w 512"/>
                                  <a:gd name="T71" fmla="*/ 266 h 512"/>
                                  <a:gd name="T72" fmla="*/ 245 w 512"/>
                                  <a:gd name="T73" fmla="*/ 224 h 512"/>
                                  <a:gd name="T74" fmla="*/ 242 w 512"/>
                                  <a:gd name="T75" fmla="*/ 227 h 512"/>
                                  <a:gd name="T76" fmla="*/ 196 w 512"/>
                                  <a:gd name="T77" fmla="*/ 181 h 512"/>
                                  <a:gd name="T78" fmla="*/ 181 w 512"/>
                                  <a:gd name="T79" fmla="*/ 196 h 512"/>
                                  <a:gd name="T80" fmla="*/ 227 w 512"/>
                                  <a:gd name="T81" fmla="*/ 242 h 512"/>
                                  <a:gd name="T82" fmla="*/ 224 w 512"/>
                                  <a:gd name="T83" fmla="*/ 245 h 512"/>
                                  <a:gd name="T84" fmla="*/ 181 w 512"/>
                                  <a:gd name="T85" fmla="*/ 196 h 512"/>
                                  <a:gd name="T86" fmla="*/ 224 w 512"/>
                                  <a:gd name="T87" fmla="*/ 266 h 512"/>
                                  <a:gd name="T88" fmla="*/ 227 w 512"/>
                                  <a:gd name="T89" fmla="*/ 270 h 512"/>
                                  <a:gd name="T90" fmla="*/ 181 w 512"/>
                                  <a:gd name="T91" fmla="*/ 316 h 512"/>
                                  <a:gd name="T92" fmla="*/ 196 w 512"/>
                                  <a:gd name="T93" fmla="*/ 331 h 512"/>
                                  <a:gd name="T94" fmla="*/ 242 w 512"/>
                                  <a:gd name="T95" fmla="*/ 284 h 512"/>
                                  <a:gd name="T96" fmla="*/ 245 w 512"/>
                                  <a:gd name="T97" fmla="*/ 288 h 512"/>
                                  <a:gd name="T98" fmla="*/ 196 w 512"/>
                                  <a:gd name="T99" fmla="*/ 331 h 512"/>
                                  <a:gd name="T100" fmla="*/ 266 w 512"/>
                                  <a:gd name="T101" fmla="*/ 288 h 512"/>
                                  <a:gd name="T102" fmla="*/ 270 w 512"/>
                                  <a:gd name="T103" fmla="*/ 284 h 512"/>
                                  <a:gd name="T104" fmla="*/ 316 w 512"/>
                                  <a:gd name="T105" fmla="*/ 331 h 512"/>
                                  <a:gd name="T106" fmla="*/ 331 w 512"/>
                                  <a:gd name="T107" fmla="*/ 316 h 512"/>
                                  <a:gd name="T108" fmla="*/ 284 w 512"/>
                                  <a:gd name="T109" fmla="*/ 270 h 512"/>
                                  <a:gd name="T110" fmla="*/ 288 w 512"/>
                                  <a:gd name="T111" fmla="*/ 266 h 512"/>
                                  <a:gd name="T112" fmla="*/ 331 w 512"/>
                                  <a:gd name="T113" fmla="*/ 316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405" y="245"/>
                                    </a:moveTo>
                                    <a:cubicBezTo>
                                      <a:pt x="372" y="245"/>
                                      <a:pt x="372" y="245"/>
                                      <a:pt x="372" y="245"/>
                                    </a:cubicBezTo>
                                    <a:cubicBezTo>
                                      <a:pt x="370" y="221"/>
                                      <a:pt x="361" y="198"/>
                                      <a:pt x="346" y="181"/>
                                    </a:cubicBezTo>
                                    <a:cubicBezTo>
                                      <a:pt x="370" y="157"/>
                                      <a:pt x="370" y="157"/>
                                      <a:pt x="370" y="157"/>
                                    </a:cubicBezTo>
                                    <a:cubicBezTo>
                                      <a:pt x="374" y="152"/>
                                      <a:pt x="374" y="146"/>
                                      <a:pt x="370" y="141"/>
                                    </a:cubicBezTo>
                                    <a:cubicBezTo>
                                      <a:pt x="366" y="137"/>
                                      <a:pt x="359" y="137"/>
                                      <a:pt x="355" y="141"/>
                                    </a:cubicBezTo>
                                    <a:cubicBezTo>
                                      <a:pt x="331" y="166"/>
                                      <a:pt x="331" y="166"/>
                                      <a:pt x="331" y="166"/>
                                    </a:cubicBezTo>
                                    <a:cubicBezTo>
                                      <a:pt x="313" y="151"/>
                                      <a:pt x="291" y="141"/>
                                      <a:pt x="266" y="139"/>
                                    </a:cubicBezTo>
                                    <a:cubicBezTo>
                                      <a:pt x="266" y="106"/>
                                      <a:pt x="266" y="106"/>
                                      <a:pt x="266" y="106"/>
                                    </a:cubicBezTo>
                                    <a:cubicBezTo>
                                      <a:pt x="266" y="100"/>
                                      <a:pt x="262" y="96"/>
                                      <a:pt x="256" y="96"/>
                                    </a:cubicBezTo>
                                    <a:cubicBezTo>
                                      <a:pt x="250" y="96"/>
                                      <a:pt x="245" y="100"/>
                                      <a:pt x="245" y="106"/>
                                    </a:cubicBezTo>
                                    <a:cubicBezTo>
                                      <a:pt x="245" y="139"/>
                                      <a:pt x="245" y="139"/>
                                      <a:pt x="245" y="139"/>
                                    </a:cubicBezTo>
                                    <a:cubicBezTo>
                                      <a:pt x="221" y="141"/>
                                      <a:pt x="198" y="151"/>
                                      <a:pt x="181" y="166"/>
                                    </a:cubicBezTo>
                                    <a:cubicBezTo>
                                      <a:pt x="157" y="141"/>
                                      <a:pt x="157" y="141"/>
                                      <a:pt x="157" y="141"/>
                                    </a:cubicBezTo>
                                    <a:cubicBezTo>
                                      <a:pt x="152" y="137"/>
                                      <a:pt x="146" y="137"/>
                                      <a:pt x="141" y="141"/>
                                    </a:cubicBezTo>
                                    <a:cubicBezTo>
                                      <a:pt x="137" y="146"/>
                                      <a:pt x="137" y="152"/>
                                      <a:pt x="141" y="157"/>
                                    </a:cubicBezTo>
                                    <a:cubicBezTo>
                                      <a:pt x="166" y="181"/>
                                      <a:pt x="166" y="181"/>
                                      <a:pt x="166" y="181"/>
                                    </a:cubicBezTo>
                                    <a:cubicBezTo>
                                      <a:pt x="151" y="198"/>
                                      <a:pt x="141" y="221"/>
                                      <a:pt x="139" y="245"/>
                                    </a:cubicBezTo>
                                    <a:cubicBezTo>
                                      <a:pt x="106" y="245"/>
                                      <a:pt x="106" y="245"/>
                                      <a:pt x="106" y="245"/>
                                    </a:cubicBezTo>
                                    <a:cubicBezTo>
                                      <a:pt x="100" y="245"/>
                                      <a:pt x="96" y="250"/>
                                      <a:pt x="96" y="256"/>
                                    </a:cubicBezTo>
                                    <a:cubicBezTo>
                                      <a:pt x="96" y="262"/>
                                      <a:pt x="100" y="266"/>
                                      <a:pt x="106" y="266"/>
                                    </a:cubicBezTo>
                                    <a:cubicBezTo>
                                      <a:pt x="139" y="266"/>
                                      <a:pt x="139" y="266"/>
                                      <a:pt x="139" y="266"/>
                                    </a:cubicBezTo>
                                    <a:cubicBezTo>
                                      <a:pt x="141" y="291"/>
                                      <a:pt x="151" y="313"/>
                                      <a:pt x="166" y="331"/>
                                    </a:cubicBezTo>
                                    <a:cubicBezTo>
                                      <a:pt x="141" y="355"/>
                                      <a:pt x="141" y="355"/>
                                      <a:pt x="141" y="355"/>
                                    </a:cubicBezTo>
                                    <a:cubicBezTo>
                                      <a:pt x="137" y="359"/>
                                      <a:pt x="137" y="366"/>
                                      <a:pt x="141" y="370"/>
                                    </a:cubicBezTo>
                                    <a:cubicBezTo>
                                      <a:pt x="144" y="372"/>
                                      <a:pt x="146" y="373"/>
                                      <a:pt x="149" y="373"/>
                                    </a:cubicBezTo>
                                    <a:cubicBezTo>
                                      <a:pt x="152" y="373"/>
                                      <a:pt x="154" y="372"/>
                                      <a:pt x="157" y="370"/>
                                    </a:cubicBezTo>
                                    <a:cubicBezTo>
                                      <a:pt x="181" y="346"/>
                                      <a:pt x="181" y="346"/>
                                      <a:pt x="181" y="346"/>
                                    </a:cubicBezTo>
                                    <a:cubicBezTo>
                                      <a:pt x="198" y="361"/>
                                      <a:pt x="221" y="370"/>
                                      <a:pt x="245" y="372"/>
                                    </a:cubicBezTo>
                                    <a:cubicBezTo>
                                      <a:pt x="245" y="405"/>
                                      <a:pt x="245" y="405"/>
                                      <a:pt x="245" y="405"/>
                                    </a:cubicBezTo>
                                    <a:cubicBezTo>
                                      <a:pt x="245" y="411"/>
                                      <a:pt x="250" y="416"/>
                                      <a:pt x="256" y="416"/>
                                    </a:cubicBezTo>
                                    <a:cubicBezTo>
                                      <a:pt x="262" y="416"/>
                                      <a:pt x="266" y="411"/>
                                      <a:pt x="266" y="405"/>
                                    </a:cubicBezTo>
                                    <a:cubicBezTo>
                                      <a:pt x="266" y="372"/>
                                      <a:pt x="266" y="372"/>
                                      <a:pt x="266" y="372"/>
                                    </a:cubicBezTo>
                                    <a:cubicBezTo>
                                      <a:pt x="291" y="370"/>
                                      <a:pt x="313" y="361"/>
                                      <a:pt x="331" y="346"/>
                                    </a:cubicBezTo>
                                    <a:cubicBezTo>
                                      <a:pt x="355" y="370"/>
                                      <a:pt x="355" y="370"/>
                                      <a:pt x="355" y="370"/>
                                    </a:cubicBezTo>
                                    <a:cubicBezTo>
                                      <a:pt x="357" y="372"/>
                                      <a:pt x="360" y="373"/>
                                      <a:pt x="362" y="373"/>
                                    </a:cubicBezTo>
                                    <a:cubicBezTo>
                                      <a:pt x="365" y="373"/>
                                      <a:pt x="368" y="372"/>
                                      <a:pt x="370" y="370"/>
                                    </a:cubicBezTo>
                                    <a:cubicBezTo>
                                      <a:pt x="374" y="366"/>
                                      <a:pt x="374" y="359"/>
                                      <a:pt x="370" y="355"/>
                                    </a:cubicBezTo>
                                    <a:cubicBezTo>
                                      <a:pt x="346" y="331"/>
                                      <a:pt x="346" y="331"/>
                                      <a:pt x="346" y="331"/>
                                    </a:cubicBezTo>
                                    <a:cubicBezTo>
                                      <a:pt x="361" y="313"/>
                                      <a:pt x="370" y="291"/>
                                      <a:pt x="372" y="266"/>
                                    </a:cubicBezTo>
                                    <a:cubicBezTo>
                                      <a:pt x="405" y="266"/>
                                      <a:pt x="405" y="266"/>
                                      <a:pt x="405" y="266"/>
                                    </a:cubicBezTo>
                                    <a:cubicBezTo>
                                      <a:pt x="411" y="266"/>
                                      <a:pt x="416" y="262"/>
                                      <a:pt x="416" y="256"/>
                                    </a:cubicBezTo>
                                    <a:cubicBezTo>
                                      <a:pt x="416" y="250"/>
                                      <a:pt x="411" y="245"/>
                                      <a:pt x="405" y="245"/>
                                    </a:cubicBezTo>
                                    <a:close/>
                                    <a:moveTo>
                                      <a:pt x="351" y="245"/>
                                    </a:moveTo>
                                    <a:cubicBezTo>
                                      <a:pt x="288" y="245"/>
                                      <a:pt x="288" y="245"/>
                                      <a:pt x="288" y="245"/>
                                    </a:cubicBezTo>
                                    <a:cubicBezTo>
                                      <a:pt x="287" y="245"/>
                                      <a:pt x="286" y="245"/>
                                      <a:pt x="286" y="245"/>
                                    </a:cubicBezTo>
                                    <a:cubicBezTo>
                                      <a:pt x="285" y="244"/>
                                      <a:pt x="285" y="243"/>
                                      <a:pt x="284" y="242"/>
                                    </a:cubicBezTo>
                                    <a:cubicBezTo>
                                      <a:pt x="285" y="241"/>
                                      <a:pt x="285" y="241"/>
                                      <a:pt x="286" y="241"/>
                                    </a:cubicBezTo>
                                    <a:cubicBezTo>
                                      <a:pt x="331" y="196"/>
                                      <a:pt x="331" y="196"/>
                                      <a:pt x="331" y="196"/>
                                    </a:cubicBezTo>
                                    <a:cubicBezTo>
                                      <a:pt x="342" y="210"/>
                                      <a:pt x="349" y="227"/>
                                      <a:pt x="351" y="245"/>
                                    </a:cubicBezTo>
                                    <a:close/>
                                    <a:moveTo>
                                      <a:pt x="316" y="181"/>
                                    </a:moveTo>
                                    <a:cubicBezTo>
                                      <a:pt x="271" y="226"/>
                                      <a:pt x="271" y="226"/>
                                      <a:pt x="271" y="226"/>
                                    </a:cubicBezTo>
                                    <a:cubicBezTo>
                                      <a:pt x="270" y="226"/>
                                      <a:pt x="270" y="227"/>
                                      <a:pt x="270" y="227"/>
                                    </a:cubicBezTo>
                                    <a:cubicBezTo>
                                      <a:pt x="269" y="226"/>
                                      <a:pt x="267" y="226"/>
                                      <a:pt x="266" y="226"/>
                                    </a:cubicBezTo>
                                    <a:cubicBezTo>
                                      <a:pt x="266" y="225"/>
                                      <a:pt x="266" y="224"/>
                                      <a:pt x="266" y="224"/>
                                    </a:cubicBezTo>
                                    <a:cubicBezTo>
                                      <a:pt x="266" y="160"/>
                                      <a:pt x="266" y="160"/>
                                      <a:pt x="266" y="160"/>
                                    </a:cubicBezTo>
                                    <a:cubicBezTo>
                                      <a:pt x="285" y="162"/>
                                      <a:pt x="302" y="170"/>
                                      <a:pt x="316" y="181"/>
                                    </a:cubicBezTo>
                                    <a:close/>
                                    <a:moveTo>
                                      <a:pt x="256" y="266"/>
                                    </a:moveTo>
                                    <a:cubicBezTo>
                                      <a:pt x="250" y="266"/>
                                      <a:pt x="245" y="262"/>
                                      <a:pt x="245" y="256"/>
                                    </a:cubicBezTo>
                                    <a:cubicBezTo>
                                      <a:pt x="245" y="250"/>
                                      <a:pt x="250" y="245"/>
                                      <a:pt x="256" y="245"/>
                                    </a:cubicBezTo>
                                    <a:cubicBezTo>
                                      <a:pt x="262" y="245"/>
                                      <a:pt x="266" y="250"/>
                                      <a:pt x="266" y="256"/>
                                    </a:cubicBezTo>
                                    <a:cubicBezTo>
                                      <a:pt x="266" y="262"/>
                                      <a:pt x="262" y="266"/>
                                      <a:pt x="256" y="266"/>
                                    </a:cubicBezTo>
                                    <a:close/>
                                    <a:moveTo>
                                      <a:pt x="245" y="160"/>
                                    </a:moveTo>
                                    <a:cubicBezTo>
                                      <a:pt x="245" y="224"/>
                                      <a:pt x="245" y="224"/>
                                      <a:pt x="245" y="224"/>
                                    </a:cubicBezTo>
                                    <a:cubicBezTo>
                                      <a:pt x="245" y="224"/>
                                      <a:pt x="245" y="225"/>
                                      <a:pt x="245" y="226"/>
                                    </a:cubicBezTo>
                                    <a:cubicBezTo>
                                      <a:pt x="244" y="226"/>
                                      <a:pt x="243" y="226"/>
                                      <a:pt x="242" y="227"/>
                                    </a:cubicBezTo>
                                    <a:cubicBezTo>
                                      <a:pt x="241" y="227"/>
                                      <a:pt x="241" y="226"/>
                                      <a:pt x="241" y="226"/>
                                    </a:cubicBezTo>
                                    <a:cubicBezTo>
                                      <a:pt x="196" y="181"/>
                                      <a:pt x="196" y="181"/>
                                      <a:pt x="196" y="181"/>
                                    </a:cubicBezTo>
                                    <a:cubicBezTo>
                                      <a:pt x="210" y="170"/>
                                      <a:pt x="227" y="162"/>
                                      <a:pt x="245" y="160"/>
                                    </a:cubicBezTo>
                                    <a:close/>
                                    <a:moveTo>
                                      <a:pt x="181" y="196"/>
                                    </a:moveTo>
                                    <a:cubicBezTo>
                                      <a:pt x="226" y="241"/>
                                      <a:pt x="226" y="241"/>
                                      <a:pt x="226" y="241"/>
                                    </a:cubicBezTo>
                                    <a:cubicBezTo>
                                      <a:pt x="226" y="241"/>
                                      <a:pt x="227" y="241"/>
                                      <a:pt x="227" y="242"/>
                                    </a:cubicBezTo>
                                    <a:cubicBezTo>
                                      <a:pt x="226" y="243"/>
                                      <a:pt x="226" y="244"/>
                                      <a:pt x="226" y="245"/>
                                    </a:cubicBezTo>
                                    <a:cubicBezTo>
                                      <a:pt x="225" y="245"/>
                                      <a:pt x="224" y="245"/>
                                      <a:pt x="224" y="245"/>
                                    </a:cubicBezTo>
                                    <a:cubicBezTo>
                                      <a:pt x="160" y="245"/>
                                      <a:pt x="160" y="245"/>
                                      <a:pt x="160" y="245"/>
                                    </a:cubicBezTo>
                                    <a:cubicBezTo>
                                      <a:pt x="162" y="227"/>
                                      <a:pt x="170" y="210"/>
                                      <a:pt x="181" y="196"/>
                                    </a:cubicBezTo>
                                    <a:close/>
                                    <a:moveTo>
                                      <a:pt x="160" y="266"/>
                                    </a:moveTo>
                                    <a:cubicBezTo>
                                      <a:pt x="224" y="266"/>
                                      <a:pt x="224" y="266"/>
                                      <a:pt x="224" y="266"/>
                                    </a:cubicBezTo>
                                    <a:cubicBezTo>
                                      <a:pt x="224" y="266"/>
                                      <a:pt x="225" y="266"/>
                                      <a:pt x="226" y="266"/>
                                    </a:cubicBezTo>
                                    <a:cubicBezTo>
                                      <a:pt x="226" y="267"/>
                                      <a:pt x="226" y="269"/>
                                      <a:pt x="227" y="270"/>
                                    </a:cubicBezTo>
                                    <a:cubicBezTo>
                                      <a:pt x="227" y="270"/>
                                      <a:pt x="226" y="270"/>
                                      <a:pt x="226" y="271"/>
                                    </a:cubicBezTo>
                                    <a:cubicBezTo>
                                      <a:pt x="181" y="316"/>
                                      <a:pt x="181" y="316"/>
                                      <a:pt x="181" y="316"/>
                                    </a:cubicBezTo>
                                    <a:cubicBezTo>
                                      <a:pt x="170" y="302"/>
                                      <a:pt x="162" y="285"/>
                                      <a:pt x="160" y="266"/>
                                    </a:cubicBezTo>
                                    <a:close/>
                                    <a:moveTo>
                                      <a:pt x="196" y="331"/>
                                    </a:moveTo>
                                    <a:cubicBezTo>
                                      <a:pt x="241" y="286"/>
                                      <a:pt x="241" y="286"/>
                                      <a:pt x="241" y="286"/>
                                    </a:cubicBezTo>
                                    <a:cubicBezTo>
                                      <a:pt x="241" y="285"/>
                                      <a:pt x="241" y="285"/>
                                      <a:pt x="242" y="284"/>
                                    </a:cubicBezTo>
                                    <a:cubicBezTo>
                                      <a:pt x="243" y="285"/>
                                      <a:pt x="244" y="285"/>
                                      <a:pt x="245" y="286"/>
                                    </a:cubicBezTo>
                                    <a:cubicBezTo>
                                      <a:pt x="245" y="286"/>
                                      <a:pt x="245" y="287"/>
                                      <a:pt x="245" y="288"/>
                                    </a:cubicBezTo>
                                    <a:cubicBezTo>
                                      <a:pt x="245" y="351"/>
                                      <a:pt x="245" y="351"/>
                                      <a:pt x="245" y="351"/>
                                    </a:cubicBezTo>
                                    <a:cubicBezTo>
                                      <a:pt x="227" y="349"/>
                                      <a:pt x="210" y="342"/>
                                      <a:pt x="196" y="331"/>
                                    </a:cubicBezTo>
                                    <a:close/>
                                    <a:moveTo>
                                      <a:pt x="266" y="351"/>
                                    </a:moveTo>
                                    <a:cubicBezTo>
                                      <a:pt x="266" y="288"/>
                                      <a:pt x="266" y="288"/>
                                      <a:pt x="266" y="288"/>
                                    </a:cubicBezTo>
                                    <a:cubicBezTo>
                                      <a:pt x="266" y="287"/>
                                      <a:pt x="266" y="286"/>
                                      <a:pt x="266" y="286"/>
                                    </a:cubicBezTo>
                                    <a:cubicBezTo>
                                      <a:pt x="267" y="285"/>
                                      <a:pt x="269" y="285"/>
                                      <a:pt x="270" y="284"/>
                                    </a:cubicBezTo>
                                    <a:cubicBezTo>
                                      <a:pt x="270" y="285"/>
                                      <a:pt x="270" y="285"/>
                                      <a:pt x="271" y="286"/>
                                    </a:cubicBezTo>
                                    <a:cubicBezTo>
                                      <a:pt x="316" y="331"/>
                                      <a:pt x="316" y="331"/>
                                      <a:pt x="316" y="331"/>
                                    </a:cubicBezTo>
                                    <a:cubicBezTo>
                                      <a:pt x="302" y="342"/>
                                      <a:pt x="285" y="349"/>
                                      <a:pt x="266" y="351"/>
                                    </a:cubicBezTo>
                                    <a:close/>
                                    <a:moveTo>
                                      <a:pt x="331" y="316"/>
                                    </a:moveTo>
                                    <a:cubicBezTo>
                                      <a:pt x="286" y="271"/>
                                      <a:pt x="286" y="271"/>
                                      <a:pt x="286" y="271"/>
                                    </a:cubicBezTo>
                                    <a:cubicBezTo>
                                      <a:pt x="285" y="270"/>
                                      <a:pt x="285" y="270"/>
                                      <a:pt x="284" y="270"/>
                                    </a:cubicBezTo>
                                    <a:cubicBezTo>
                                      <a:pt x="285" y="268"/>
                                      <a:pt x="285" y="267"/>
                                      <a:pt x="286" y="266"/>
                                    </a:cubicBezTo>
                                    <a:cubicBezTo>
                                      <a:pt x="286" y="266"/>
                                      <a:pt x="287" y="266"/>
                                      <a:pt x="288" y="266"/>
                                    </a:cubicBezTo>
                                    <a:cubicBezTo>
                                      <a:pt x="351" y="266"/>
                                      <a:pt x="351" y="266"/>
                                      <a:pt x="351" y="266"/>
                                    </a:cubicBezTo>
                                    <a:cubicBezTo>
                                      <a:pt x="349" y="285"/>
                                      <a:pt x="342" y="302"/>
                                      <a:pt x="331" y="31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64055" id="Freeform 1022" o:spid="_x0000_s1026" style="position:absolute;margin-left:69.85pt;margin-top:-13.15pt;width:29.05pt;height:2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" path="m256,21v129,,234,105,234,235c490,385,385,490,256,490,126,490,21,385,21,256,21,126,126,21,256,21m256,c114,,,114,,256,,397,114,512,256,512v141,,256,-115,256,-256c512,114,397,,256,xm405,245v-33,,-33,,-33,c370,221,361,198,346,181v24,-24,24,-24,24,-24c374,152,374,146,370,141v-4,-4,-11,-4,-15,c331,166,331,166,331,166,313,151,291,141,266,139v,-33,,-33,,-33c266,100,262,96,256,96v-6,,-11,4,-11,10c245,139,245,139,245,139v-24,2,-47,12,-64,27c157,141,157,141,157,141v-5,-4,-11,-4,-16,c137,146,137,152,141,157v25,24,25,24,25,24c151,198,141,221,139,245v-33,,-33,,-33,c100,245,96,250,96,256v,6,4,10,10,10c139,266,139,266,139,266v2,25,12,47,27,65c141,355,141,355,141,355v-4,4,-4,11,,15c144,372,146,373,149,373v3,,5,-1,8,-3c181,346,181,346,181,346v17,15,40,24,64,26c245,405,245,405,245,405v,6,5,11,11,11c262,416,266,411,266,405v,-33,,-33,,-33c291,370,313,361,331,346v24,24,24,24,24,24c357,372,360,373,362,373v3,,6,-1,8,-3c374,366,374,359,370,355,346,331,346,331,346,331v15,-18,24,-40,26,-65c405,266,405,266,405,266v6,,11,-4,11,-10c416,250,411,245,405,245xm351,245v-63,,-63,,-63,c287,245,286,245,286,245v-1,-1,-1,-2,-2,-3c285,241,285,241,286,241v45,-45,45,-45,45,-45c342,210,349,227,351,245xm316,181v-45,45,-45,45,-45,45c270,226,270,227,270,227v-1,-1,-3,-1,-4,-1c266,225,266,224,266,224v,-64,,-64,,-64c285,162,302,170,316,181xm256,266v-6,,-11,-4,-11,-10c245,250,250,245,256,245v6,,10,5,10,11c266,262,262,266,256,266xm245,160v,64,,64,,64c245,224,245,225,245,226v-1,,-2,,-3,1c241,227,241,226,241,226,196,181,196,181,196,181v14,-11,31,-19,49,-21xm181,196v45,45,45,45,45,45c226,241,227,241,227,242v-1,1,-1,2,-1,3c225,245,224,245,224,245v-64,,-64,,-64,c162,227,170,210,181,196xm160,266v64,,64,,64,c224,266,225,266,226,266v,1,,3,1,4c227,270,226,270,226,271v-45,45,-45,45,-45,45c170,302,162,285,160,266xm196,331v45,-45,45,-45,45,-45c241,285,241,285,242,284v1,1,2,1,3,2c245,286,245,287,245,288v,63,,63,,63c227,349,210,342,196,331xm266,351v,-63,,-63,,-63c266,287,266,286,266,286v1,-1,3,-1,4,-2c270,285,270,285,271,286v45,45,45,45,45,45c302,342,285,349,266,351xm331,316c286,271,286,271,286,271v-1,-1,-1,-1,-2,-1c285,268,285,267,286,266v,,1,,2,c351,266,351,266,351,266v-2,19,-9,36,-20,50xe" fillcolor="white [3212]" stroked="f">
                      <v:path arrowok="t" o:connecttype="custom" o:connectlocs="353082,184468;15132,184468;184468,0;184468,368935;184468,0;268054,176541;266613,113130;255805,101601;191673,100160;184468,69175;176541,100160;113130,101601;101601,113130;100160,176541;69175,184468;100160,191673;101601,255805;107366,268775;130424,249319;176541,291833;191673,291833;238511,249319;260849,268775;266613,255805;268054,191673;299760,184468;252922,176541;206085,176541;206085,173659;252922,176541;195276,162850;191673,162850;191673,115292;184468,191673;184468,176541;184468,191673;176541,161409;174379,163571;141233,130424;130424,141233;163571,174379;161409,176541;130424,141233;161409,191673;163571,194556;130424,227702;141233,238511;174379,204644;176541,207526;141233,238511;191673,207526;194556,204644;227702,238511;238511,227702;204644,194556;207526,191673;238511,227702" o:connectangles="0,0,0,0,0,0,0,0,0,0,0,0,0,0,0,0,0,0,0,0,0,0,0,0,0,0,0,0,0,0,0,0,0,0,0,0,0,0,0,0,0,0,0,0,0,0,0,0,0,0,0,0,0,0,0,0,0"/>
                      <o:lock v:ext="edit" aspectratio="t" verticies="t"/>
                    </v:shape>
                  </w:pict>
                </mc:Fallback>
              </mc:AlternateContent>
            </w:r>
            <w:r w:rsidRPr="001E1145">
              <w:rPr>
                <w:b/>
                <w:bCs/>
                <w:color w:val="FFFFFF" w:themeColor="background1"/>
              </w:rPr>
              <w:t xml:space="preserve">Řízení </w:t>
            </w:r>
            <w:r w:rsidRPr="001E1145">
              <w:rPr>
                <w:b/>
                <w:bCs/>
                <w:color w:val="FFFFFF" w:themeColor="background1"/>
              </w:rPr>
              <w:br/>
              <w:t>programu</w:t>
            </w:r>
          </w:p>
        </w:tc>
        <w:tc>
          <w:tcPr>
            <w:tcW w:w="1250" w:type="pct"/>
            <w:tcBorders>
              <w:top w:val="single" w:sz="8" w:space="0" w:color="86BC25"/>
              <w:left w:val="single" w:sz="8" w:space="0" w:color="FFFFFF"/>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14A86FB9" w14:textId="77777777" w:rsidR="00AC28E1" w:rsidRPr="001E1145" w:rsidRDefault="00AC28E1" w:rsidP="009B651B">
            <w:pPr>
              <w:rPr>
                <w:b/>
                <w:color w:val="FFFFFF" w:themeColor="background1"/>
              </w:rPr>
            </w:pPr>
            <w:r w:rsidRPr="00E72EB4">
              <w:rPr>
                <w:b/>
                <w:bCs/>
                <w:noProof/>
                <w:lang w:eastAsia="cs-CZ"/>
              </w:rPr>
              <mc:AlternateContent>
                <mc:Choice Requires="wpg">
                  <w:drawing>
                    <wp:anchor distT="0" distB="0" distL="114300" distR="114300" simplePos="0" relativeHeight="251671040" behindDoc="0" locked="0" layoutInCell="1" allowOverlap="1" wp14:anchorId="785D26C1" wp14:editId="28A4B4B3">
                      <wp:simplePos x="0" y="0"/>
                      <wp:positionH relativeFrom="column">
                        <wp:posOffset>916940</wp:posOffset>
                      </wp:positionH>
                      <wp:positionV relativeFrom="paragraph">
                        <wp:posOffset>-161925</wp:posOffset>
                      </wp:positionV>
                      <wp:extent cx="369570" cy="369570"/>
                      <wp:effectExtent l="0" t="0" r="0" b="0"/>
                      <wp:wrapNone/>
                      <wp:docPr id="88" name="Group 226"/>
                      <wp:cNvGraphicFramePr/>
                      <a:graphic xmlns:a="http://schemas.openxmlformats.org/drawingml/2006/main">
                        <a:graphicData uri="http://schemas.microsoft.com/office/word/2010/wordprocessingGroup">
                          <wpg:wgp>
                            <wpg:cNvGrpSpPr/>
                            <wpg:grpSpPr bwMode="auto">
                              <a:xfrm>
                                <a:off x="0" y="0"/>
                                <a:ext cx="369570" cy="369570"/>
                                <a:chOff x="0" y="0"/>
                                <a:chExt cx="340" cy="340"/>
                              </a:xfrm>
                              <a:solidFill>
                                <a:schemeClr val="bg1"/>
                              </a:solidFill>
                            </wpg:grpSpPr>
                            <wps:wsp>
                              <wps:cNvPr id="89" name="Freeform 89"/>
                              <wps:cNvSpPr>
                                <a:spLocks noEditPoints="1"/>
                              </wps:cNvSpPr>
                              <wps:spPr bwMode="auto">
                                <a:xfrm>
                                  <a:off x="64" y="85"/>
                                  <a:ext cx="212" cy="127"/>
                                </a:xfrm>
                                <a:custGeom>
                                  <a:avLst/>
                                  <a:gdLst>
                                    <a:gd name="T0" fmla="*/ 282 w 320"/>
                                    <a:gd name="T1" fmla="*/ 56 h 192"/>
                                    <a:gd name="T2" fmla="*/ 296 w 320"/>
                                    <a:gd name="T3" fmla="*/ 38 h 192"/>
                                    <a:gd name="T4" fmla="*/ 295 w 320"/>
                                    <a:gd name="T5" fmla="*/ 24 h 192"/>
                                    <a:gd name="T6" fmla="*/ 281 w 320"/>
                                    <a:gd name="T7" fmla="*/ 23 h 192"/>
                                    <a:gd name="T8" fmla="*/ 263 w 320"/>
                                    <a:gd name="T9" fmla="*/ 37 h 192"/>
                                    <a:gd name="T10" fmla="*/ 160 w 320"/>
                                    <a:gd name="T11" fmla="*/ 0 h 192"/>
                                    <a:gd name="T12" fmla="*/ 0 w 320"/>
                                    <a:gd name="T13" fmla="*/ 160 h 192"/>
                                    <a:gd name="T14" fmla="*/ 10 w 320"/>
                                    <a:gd name="T15" fmla="*/ 170 h 192"/>
                                    <a:gd name="T16" fmla="*/ 21 w 320"/>
                                    <a:gd name="T17" fmla="*/ 160 h 192"/>
                                    <a:gd name="T18" fmla="*/ 160 w 320"/>
                                    <a:gd name="T19" fmla="*/ 21 h 192"/>
                                    <a:gd name="T20" fmla="*/ 245 w 320"/>
                                    <a:gd name="T21" fmla="*/ 51 h 192"/>
                                    <a:gd name="T22" fmla="*/ 137 w 320"/>
                                    <a:gd name="T23" fmla="*/ 133 h 192"/>
                                    <a:gd name="T24" fmla="*/ 136 w 320"/>
                                    <a:gd name="T25" fmla="*/ 134 h 192"/>
                                    <a:gd name="T26" fmla="*/ 126 w 320"/>
                                    <a:gd name="T27" fmla="*/ 158 h 192"/>
                                    <a:gd name="T28" fmla="*/ 136 w 320"/>
                                    <a:gd name="T29" fmla="*/ 182 h 192"/>
                                    <a:gd name="T30" fmla="*/ 160 w 320"/>
                                    <a:gd name="T31" fmla="*/ 192 h 192"/>
                                    <a:gd name="T32" fmla="*/ 160 w 320"/>
                                    <a:gd name="T33" fmla="*/ 192 h 192"/>
                                    <a:gd name="T34" fmla="*/ 183 w 320"/>
                                    <a:gd name="T35" fmla="*/ 182 h 192"/>
                                    <a:gd name="T36" fmla="*/ 184 w 320"/>
                                    <a:gd name="T37" fmla="*/ 181 h 192"/>
                                    <a:gd name="T38" fmla="*/ 268 w 320"/>
                                    <a:gd name="T39" fmla="*/ 74 h 192"/>
                                    <a:gd name="T40" fmla="*/ 298 w 320"/>
                                    <a:gd name="T41" fmla="*/ 160 h 192"/>
                                    <a:gd name="T42" fmla="*/ 309 w 320"/>
                                    <a:gd name="T43" fmla="*/ 170 h 192"/>
                                    <a:gd name="T44" fmla="*/ 320 w 320"/>
                                    <a:gd name="T45" fmla="*/ 160 h 192"/>
                                    <a:gd name="T46" fmla="*/ 282 w 320"/>
                                    <a:gd name="T47" fmla="*/ 56 h 192"/>
                                    <a:gd name="T48" fmla="*/ 168 w 320"/>
                                    <a:gd name="T49" fmla="*/ 167 h 192"/>
                                    <a:gd name="T50" fmla="*/ 160 w 320"/>
                                    <a:gd name="T51" fmla="*/ 170 h 192"/>
                                    <a:gd name="T52" fmla="*/ 160 w 320"/>
                                    <a:gd name="T53" fmla="*/ 170 h 192"/>
                                    <a:gd name="T54" fmla="*/ 151 w 320"/>
                                    <a:gd name="T55" fmla="*/ 167 h 192"/>
                                    <a:gd name="T56" fmla="*/ 147 w 320"/>
                                    <a:gd name="T57" fmla="*/ 158 h 192"/>
                                    <a:gd name="T58" fmla="*/ 151 w 320"/>
                                    <a:gd name="T59" fmla="*/ 150 h 192"/>
                                    <a:gd name="T60" fmla="*/ 227 w 320"/>
                                    <a:gd name="T61" fmla="*/ 91 h 192"/>
                                    <a:gd name="T62" fmla="*/ 168 w 320"/>
                                    <a:gd name="T63" fmla="*/ 16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0" h="192">
                                      <a:moveTo>
                                        <a:pt x="282" y="56"/>
                                      </a:moveTo>
                                      <a:cubicBezTo>
                                        <a:pt x="296" y="38"/>
                                        <a:pt x="296" y="38"/>
                                        <a:pt x="296" y="38"/>
                                      </a:cubicBezTo>
                                      <a:cubicBezTo>
                                        <a:pt x="299" y="34"/>
                                        <a:pt x="299" y="28"/>
                                        <a:pt x="295" y="24"/>
                                      </a:cubicBezTo>
                                      <a:cubicBezTo>
                                        <a:pt x="291" y="20"/>
                                        <a:pt x="285" y="20"/>
                                        <a:pt x="281" y="23"/>
                                      </a:cubicBezTo>
                                      <a:cubicBezTo>
                                        <a:pt x="263" y="37"/>
                                        <a:pt x="263" y="37"/>
                                        <a:pt x="263" y="37"/>
                                      </a:cubicBezTo>
                                      <a:cubicBezTo>
                                        <a:pt x="235" y="14"/>
                                        <a:pt x="199" y="0"/>
                                        <a:pt x="160" y="0"/>
                                      </a:cubicBezTo>
                                      <a:cubicBezTo>
                                        <a:pt x="71" y="0"/>
                                        <a:pt x="0" y="71"/>
                                        <a:pt x="0" y="160"/>
                                      </a:cubicBezTo>
                                      <a:cubicBezTo>
                                        <a:pt x="0" y="166"/>
                                        <a:pt x="4" y="170"/>
                                        <a:pt x="10" y="170"/>
                                      </a:cubicBezTo>
                                      <a:cubicBezTo>
                                        <a:pt x="16" y="170"/>
                                        <a:pt x="21" y="166"/>
                                        <a:pt x="21" y="160"/>
                                      </a:cubicBezTo>
                                      <a:cubicBezTo>
                                        <a:pt x="21" y="83"/>
                                        <a:pt x="83" y="21"/>
                                        <a:pt x="160" y="21"/>
                                      </a:cubicBezTo>
                                      <a:cubicBezTo>
                                        <a:pt x="192" y="21"/>
                                        <a:pt x="222" y="32"/>
                                        <a:pt x="245" y="51"/>
                                      </a:cubicBezTo>
                                      <a:cubicBezTo>
                                        <a:pt x="137" y="133"/>
                                        <a:pt x="137" y="133"/>
                                        <a:pt x="137" y="133"/>
                                      </a:cubicBezTo>
                                      <a:cubicBezTo>
                                        <a:pt x="137" y="134"/>
                                        <a:pt x="136" y="134"/>
                                        <a:pt x="136" y="134"/>
                                      </a:cubicBezTo>
                                      <a:cubicBezTo>
                                        <a:pt x="130" y="141"/>
                                        <a:pt x="126" y="149"/>
                                        <a:pt x="126" y="158"/>
                                      </a:cubicBezTo>
                                      <a:cubicBezTo>
                                        <a:pt x="126" y="167"/>
                                        <a:pt x="130" y="175"/>
                                        <a:pt x="136" y="182"/>
                                      </a:cubicBezTo>
                                      <a:cubicBezTo>
                                        <a:pt x="142" y="188"/>
                                        <a:pt x="151" y="192"/>
                                        <a:pt x="160" y="192"/>
                                      </a:cubicBezTo>
                                      <a:cubicBezTo>
                                        <a:pt x="160" y="192"/>
                                        <a:pt x="160" y="192"/>
                                        <a:pt x="160" y="192"/>
                                      </a:cubicBezTo>
                                      <a:cubicBezTo>
                                        <a:pt x="169" y="192"/>
                                        <a:pt x="177" y="188"/>
                                        <a:pt x="183" y="182"/>
                                      </a:cubicBezTo>
                                      <a:cubicBezTo>
                                        <a:pt x="184" y="182"/>
                                        <a:pt x="184" y="181"/>
                                        <a:pt x="184" y="181"/>
                                      </a:cubicBezTo>
                                      <a:cubicBezTo>
                                        <a:pt x="268" y="74"/>
                                        <a:pt x="268" y="74"/>
                                        <a:pt x="268" y="74"/>
                                      </a:cubicBezTo>
                                      <a:cubicBezTo>
                                        <a:pt x="287" y="97"/>
                                        <a:pt x="298" y="127"/>
                                        <a:pt x="298" y="160"/>
                                      </a:cubicBezTo>
                                      <a:cubicBezTo>
                                        <a:pt x="298" y="166"/>
                                        <a:pt x="303" y="170"/>
                                        <a:pt x="309" y="170"/>
                                      </a:cubicBezTo>
                                      <a:cubicBezTo>
                                        <a:pt x="315" y="170"/>
                                        <a:pt x="320" y="166"/>
                                        <a:pt x="320" y="160"/>
                                      </a:cubicBezTo>
                                      <a:cubicBezTo>
                                        <a:pt x="320" y="120"/>
                                        <a:pt x="305" y="84"/>
                                        <a:pt x="282" y="56"/>
                                      </a:cubicBezTo>
                                      <a:close/>
                                      <a:moveTo>
                                        <a:pt x="168" y="167"/>
                                      </a:moveTo>
                                      <a:cubicBezTo>
                                        <a:pt x="166" y="169"/>
                                        <a:pt x="163" y="170"/>
                                        <a:pt x="160" y="170"/>
                                      </a:cubicBezTo>
                                      <a:cubicBezTo>
                                        <a:pt x="160" y="170"/>
                                        <a:pt x="160" y="170"/>
                                        <a:pt x="160" y="170"/>
                                      </a:cubicBezTo>
                                      <a:cubicBezTo>
                                        <a:pt x="156" y="170"/>
                                        <a:pt x="153" y="169"/>
                                        <a:pt x="151" y="167"/>
                                      </a:cubicBezTo>
                                      <a:cubicBezTo>
                                        <a:pt x="149" y="164"/>
                                        <a:pt x="147" y="161"/>
                                        <a:pt x="147" y="158"/>
                                      </a:cubicBezTo>
                                      <a:cubicBezTo>
                                        <a:pt x="147" y="155"/>
                                        <a:pt x="149" y="152"/>
                                        <a:pt x="151" y="150"/>
                                      </a:cubicBezTo>
                                      <a:cubicBezTo>
                                        <a:pt x="227" y="91"/>
                                        <a:pt x="227" y="91"/>
                                        <a:pt x="227" y="91"/>
                                      </a:cubicBezTo>
                                      <a:lnTo>
                                        <a:pt x="168" y="16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90"/>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159996" id="Group 226" o:spid="_x0000_s1026" style="position:absolute;margin-left:72.2pt;margin-top:-12.75pt;width:29.1pt;height:29.1pt;z-index:25167104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">
                      <v:shape id="Freeform 89" o:spid="_x0000_s1027" style="position:absolute;left:64;top:85;width:212;height:127;visibility:visible;mso-wrap-style:square;v-text-anchor:top" coordsize="3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" path="m282,56c296,38,296,38,296,38v3,-4,3,-10,-1,-14c291,20,285,20,281,23,263,37,263,37,263,37,235,14,199,,160,,71,,,71,,160v,6,4,10,10,10c16,170,21,166,21,160,21,83,83,21,160,21v32,,62,11,85,30c137,133,137,133,137,133v,1,-1,1,-1,1c130,141,126,149,126,158v,9,4,17,10,24c142,188,151,192,160,192v,,,,,c169,192,177,188,183,182v1,,1,-1,1,-1c268,74,268,74,268,74v19,23,30,53,30,86c298,166,303,170,309,170v6,,11,-4,11,-10c320,120,305,84,282,56xm168,167v-2,2,-5,3,-8,3c160,170,160,170,160,170v-4,,-7,-1,-9,-3c149,164,147,161,147,158v,-3,2,-6,4,-8c227,91,227,91,227,91r-59,76xe" filled="f" stroked="f">
                        <v:path arrowok="t" o:connecttype="custom" o:connectlocs="187,37;196,25;195,16;186,15;174,24;106,0;0,106;7,112;14,106;106,14;162,34;91,88;90,89;83,105;90,120;106,127;106,127;121,120;122,120;178,49;197,106;205,112;212,106;187,37;111,110;106,112;106,112;100,110;97,105;100,99;150,60;111,110" o:connectangles="0,0,0,0,0,0,0,0,0,0,0,0,0,0,0,0,0,0,0,0,0,0,0,0,0,0,0,0,0,0,0,0"/>
                        <o:lock v:ext="edit" verticies="t"/>
                      </v:shape>
                      <v:shape id="Freeform 90"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1E1145">
              <w:rPr>
                <w:b/>
                <w:bCs/>
                <w:color w:val="FFFFFF" w:themeColor="background1"/>
              </w:rPr>
              <w:t xml:space="preserve">Řízení </w:t>
            </w:r>
            <w:r w:rsidRPr="001E1145">
              <w:rPr>
                <w:b/>
                <w:bCs/>
                <w:color w:val="FFFFFF" w:themeColor="background1"/>
              </w:rPr>
              <w:br/>
              <w:t>výzev</w:t>
            </w:r>
          </w:p>
        </w:tc>
        <w:tc>
          <w:tcPr>
            <w:tcW w:w="1250" w:type="pct"/>
            <w:tcBorders>
              <w:top w:val="single" w:sz="8" w:space="0" w:color="86BC25"/>
              <w:left w:val="single" w:sz="8" w:space="0" w:color="FFFFFF"/>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1CD2D976" w14:textId="77777777" w:rsidR="00AC28E1" w:rsidRPr="00AD3298" w:rsidRDefault="00AC28E1" w:rsidP="009B651B">
            <w:pPr>
              <w:rPr>
                <w:b/>
                <w:bCs/>
                <w:color w:val="FFFFFF" w:themeColor="background1"/>
              </w:rPr>
            </w:pPr>
            <w:r w:rsidRPr="001E1145">
              <w:rPr>
                <w:b/>
                <w:bCs/>
                <w:color w:val="FFFFFF" w:themeColor="background1"/>
              </w:rPr>
              <w:t xml:space="preserve">Realizace </w:t>
            </w:r>
            <w:r>
              <w:rPr>
                <w:b/>
                <w:bCs/>
                <w:color w:val="FFFFFF" w:themeColor="background1"/>
              </w:rPr>
              <w:t xml:space="preserve">      </w:t>
            </w:r>
            <w:r w:rsidRPr="001E1145">
              <w:rPr>
                <w:b/>
                <w:bCs/>
                <w:color w:val="FFFFFF" w:themeColor="background1"/>
              </w:rPr>
              <w:t xml:space="preserve">projektů, </w:t>
            </w:r>
            <w:r w:rsidRPr="001E1145">
              <w:rPr>
                <w:b/>
                <w:bCs/>
                <w:color w:val="FFFFFF" w:themeColor="background1"/>
              </w:rPr>
              <w:br/>
              <w:t>metod. řízení a podpora příjemců</w:t>
            </w:r>
          </w:p>
        </w:tc>
        <w:tc>
          <w:tcPr>
            <w:tcW w:w="1250" w:type="pct"/>
            <w:tcBorders>
              <w:top w:val="single" w:sz="8" w:space="0" w:color="86BC25"/>
              <w:left w:val="single" w:sz="8" w:space="0" w:color="FFFFFF"/>
              <w:bottom w:val="single" w:sz="8" w:space="0" w:color="86BC25"/>
              <w:right w:val="single" w:sz="8" w:space="0" w:color="86BC25"/>
            </w:tcBorders>
            <w:shd w:val="clear" w:color="auto" w:fill="86BC25"/>
            <w:tcMar>
              <w:top w:w="72" w:type="dxa"/>
              <w:left w:w="144" w:type="dxa"/>
              <w:bottom w:w="72" w:type="dxa"/>
              <w:right w:w="144" w:type="dxa"/>
            </w:tcMar>
            <w:vAlign w:val="center"/>
            <w:hideMark/>
          </w:tcPr>
          <w:p w14:paraId="5FED41C2" w14:textId="77777777" w:rsidR="00AC28E1" w:rsidRPr="001E1145" w:rsidRDefault="00AC28E1" w:rsidP="009B651B">
            <w:pPr>
              <w:rPr>
                <w:b/>
                <w:color w:val="FFFFFF" w:themeColor="background1"/>
              </w:rPr>
            </w:pPr>
            <w:r w:rsidRPr="00E72EB4">
              <w:rPr>
                <w:b/>
                <w:bCs/>
                <w:noProof/>
                <w:lang w:eastAsia="cs-CZ"/>
              </w:rPr>
              <mc:AlternateContent>
                <mc:Choice Requires="wpg">
                  <w:drawing>
                    <wp:anchor distT="0" distB="0" distL="114300" distR="114300" simplePos="0" relativeHeight="251673088" behindDoc="0" locked="0" layoutInCell="1" allowOverlap="1" wp14:anchorId="51B4F0CC" wp14:editId="25869DAC">
                      <wp:simplePos x="0" y="0"/>
                      <wp:positionH relativeFrom="column">
                        <wp:posOffset>904240</wp:posOffset>
                      </wp:positionH>
                      <wp:positionV relativeFrom="paragraph">
                        <wp:posOffset>-224790</wp:posOffset>
                      </wp:positionV>
                      <wp:extent cx="367030" cy="367030"/>
                      <wp:effectExtent l="0" t="0" r="0" b="0"/>
                      <wp:wrapNone/>
                      <wp:docPr id="91" name="Group 262"/>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bg1"/>
                              </a:solidFill>
                            </wpg:grpSpPr>
                            <wps:wsp>
                              <wps:cNvPr id="92" name="Freeform 92"/>
                              <wps:cNvSpPr>
                                <a:spLocks noEditPoints="1"/>
                              </wps:cNvSpPr>
                              <wps:spPr bwMode="auto">
                                <a:xfrm>
                                  <a:off x="78" y="64"/>
                                  <a:ext cx="184" cy="212"/>
                                </a:xfrm>
                                <a:custGeom>
                                  <a:avLst/>
                                  <a:gdLst>
                                    <a:gd name="T0" fmla="*/ 267 w 277"/>
                                    <a:gd name="T1" fmla="*/ 128 h 320"/>
                                    <a:gd name="T2" fmla="*/ 149 w 277"/>
                                    <a:gd name="T3" fmla="*/ 128 h 320"/>
                                    <a:gd name="T4" fmla="*/ 149 w 277"/>
                                    <a:gd name="T5" fmla="*/ 106 h 320"/>
                                    <a:gd name="T6" fmla="*/ 224 w 277"/>
                                    <a:gd name="T7" fmla="*/ 106 h 320"/>
                                    <a:gd name="T8" fmla="*/ 230 w 277"/>
                                    <a:gd name="T9" fmla="*/ 104 h 320"/>
                                    <a:gd name="T10" fmla="*/ 273 w 277"/>
                                    <a:gd name="T11" fmla="*/ 72 h 320"/>
                                    <a:gd name="T12" fmla="*/ 277 w 277"/>
                                    <a:gd name="T13" fmla="*/ 64 h 320"/>
                                    <a:gd name="T14" fmla="*/ 273 w 277"/>
                                    <a:gd name="T15" fmla="*/ 55 h 320"/>
                                    <a:gd name="T16" fmla="*/ 230 w 277"/>
                                    <a:gd name="T17" fmla="*/ 23 h 320"/>
                                    <a:gd name="T18" fmla="*/ 224 w 277"/>
                                    <a:gd name="T19" fmla="*/ 21 h 320"/>
                                    <a:gd name="T20" fmla="*/ 149 w 277"/>
                                    <a:gd name="T21" fmla="*/ 21 h 320"/>
                                    <a:gd name="T22" fmla="*/ 149 w 277"/>
                                    <a:gd name="T23" fmla="*/ 10 h 320"/>
                                    <a:gd name="T24" fmla="*/ 139 w 277"/>
                                    <a:gd name="T25" fmla="*/ 0 h 320"/>
                                    <a:gd name="T26" fmla="*/ 128 w 277"/>
                                    <a:gd name="T27" fmla="*/ 10 h 320"/>
                                    <a:gd name="T28" fmla="*/ 128 w 277"/>
                                    <a:gd name="T29" fmla="*/ 21 h 320"/>
                                    <a:gd name="T30" fmla="*/ 11 w 277"/>
                                    <a:gd name="T31" fmla="*/ 21 h 320"/>
                                    <a:gd name="T32" fmla="*/ 0 w 277"/>
                                    <a:gd name="T33" fmla="*/ 32 h 320"/>
                                    <a:gd name="T34" fmla="*/ 0 w 277"/>
                                    <a:gd name="T35" fmla="*/ 96 h 320"/>
                                    <a:gd name="T36" fmla="*/ 11 w 277"/>
                                    <a:gd name="T37" fmla="*/ 106 h 320"/>
                                    <a:gd name="T38" fmla="*/ 128 w 277"/>
                                    <a:gd name="T39" fmla="*/ 106 h 320"/>
                                    <a:gd name="T40" fmla="*/ 128 w 277"/>
                                    <a:gd name="T41" fmla="*/ 128 h 320"/>
                                    <a:gd name="T42" fmla="*/ 53 w 277"/>
                                    <a:gd name="T43" fmla="*/ 128 h 320"/>
                                    <a:gd name="T44" fmla="*/ 47 w 277"/>
                                    <a:gd name="T45" fmla="*/ 130 h 320"/>
                                    <a:gd name="T46" fmla="*/ 4 w 277"/>
                                    <a:gd name="T47" fmla="*/ 162 h 320"/>
                                    <a:gd name="T48" fmla="*/ 0 w 277"/>
                                    <a:gd name="T49" fmla="*/ 170 h 320"/>
                                    <a:gd name="T50" fmla="*/ 4 w 277"/>
                                    <a:gd name="T51" fmla="*/ 179 h 320"/>
                                    <a:gd name="T52" fmla="*/ 47 w 277"/>
                                    <a:gd name="T53" fmla="*/ 211 h 320"/>
                                    <a:gd name="T54" fmla="*/ 53 w 277"/>
                                    <a:gd name="T55" fmla="*/ 213 h 320"/>
                                    <a:gd name="T56" fmla="*/ 128 w 277"/>
                                    <a:gd name="T57" fmla="*/ 213 h 320"/>
                                    <a:gd name="T58" fmla="*/ 128 w 277"/>
                                    <a:gd name="T59" fmla="*/ 309 h 320"/>
                                    <a:gd name="T60" fmla="*/ 139 w 277"/>
                                    <a:gd name="T61" fmla="*/ 320 h 320"/>
                                    <a:gd name="T62" fmla="*/ 149 w 277"/>
                                    <a:gd name="T63" fmla="*/ 309 h 320"/>
                                    <a:gd name="T64" fmla="*/ 149 w 277"/>
                                    <a:gd name="T65" fmla="*/ 213 h 320"/>
                                    <a:gd name="T66" fmla="*/ 267 w 277"/>
                                    <a:gd name="T67" fmla="*/ 213 h 320"/>
                                    <a:gd name="T68" fmla="*/ 277 w 277"/>
                                    <a:gd name="T69" fmla="*/ 202 h 320"/>
                                    <a:gd name="T70" fmla="*/ 277 w 277"/>
                                    <a:gd name="T71" fmla="*/ 138 h 320"/>
                                    <a:gd name="T72" fmla="*/ 267 w 277"/>
                                    <a:gd name="T73" fmla="*/ 128 h 320"/>
                                    <a:gd name="T74" fmla="*/ 21 w 277"/>
                                    <a:gd name="T75" fmla="*/ 85 h 320"/>
                                    <a:gd name="T76" fmla="*/ 21 w 277"/>
                                    <a:gd name="T77" fmla="*/ 42 h 320"/>
                                    <a:gd name="T78" fmla="*/ 220 w 277"/>
                                    <a:gd name="T79" fmla="*/ 42 h 320"/>
                                    <a:gd name="T80" fmla="*/ 249 w 277"/>
                                    <a:gd name="T81" fmla="*/ 64 h 320"/>
                                    <a:gd name="T82" fmla="*/ 220 w 277"/>
                                    <a:gd name="T83" fmla="*/ 85 h 320"/>
                                    <a:gd name="T84" fmla="*/ 21 w 277"/>
                                    <a:gd name="T85" fmla="*/ 85 h 320"/>
                                    <a:gd name="T86" fmla="*/ 256 w 277"/>
                                    <a:gd name="T87" fmla="*/ 192 h 320"/>
                                    <a:gd name="T88" fmla="*/ 57 w 277"/>
                                    <a:gd name="T89" fmla="*/ 192 h 320"/>
                                    <a:gd name="T90" fmla="*/ 28 w 277"/>
                                    <a:gd name="T91" fmla="*/ 170 h 320"/>
                                    <a:gd name="T92" fmla="*/ 57 w 277"/>
                                    <a:gd name="T93" fmla="*/ 149 h 320"/>
                                    <a:gd name="T94" fmla="*/ 256 w 277"/>
                                    <a:gd name="T95" fmla="*/ 149 h 320"/>
                                    <a:gd name="T96" fmla="*/ 256 w 277"/>
                                    <a:gd name="T97" fmla="*/ 19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7" h="320">
                                      <a:moveTo>
                                        <a:pt x="267" y="128"/>
                                      </a:moveTo>
                                      <a:cubicBezTo>
                                        <a:pt x="149" y="128"/>
                                        <a:pt x="149" y="128"/>
                                        <a:pt x="149" y="128"/>
                                      </a:cubicBezTo>
                                      <a:cubicBezTo>
                                        <a:pt x="149" y="106"/>
                                        <a:pt x="149" y="106"/>
                                        <a:pt x="149" y="106"/>
                                      </a:cubicBezTo>
                                      <a:cubicBezTo>
                                        <a:pt x="224" y="106"/>
                                        <a:pt x="224" y="106"/>
                                        <a:pt x="224" y="106"/>
                                      </a:cubicBezTo>
                                      <a:cubicBezTo>
                                        <a:pt x="226" y="106"/>
                                        <a:pt x="229" y="106"/>
                                        <a:pt x="230" y="104"/>
                                      </a:cubicBezTo>
                                      <a:cubicBezTo>
                                        <a:pt x="273" y="72"/>
                                        <a:pt x="273" y="72"/>
                                        <a:pt x="273" y="72"/>
                                      </a:cubicBezTo>
                                      <a:cubicBezTo>
                                        <a:pt x="276" y="70"/>
                                        <a:pt x="277" y="67"/>
                                        <a:pt x="277" y="64"/>
                                      </a:cubicBezTo>
                                      <a:cubicBezTo>
                                        <a:pt x="277" y="60"/>
                                        <a:pt x="276" y="57"/>
                                        <a:pt x="273" y="55"/>
                                      </a:cubicBezTo>
                                      <a:cubicBezTo>
                                        <a:pt x="230" y="23"/>
                                        <a:pt x="230" y="23"/>
                                        <a:pt x="230" y="23"/>
                                      </a:cubicBezTo>
                                      <a:cubicBezTo>
                                        <a:pt x="229" y="22"/>
                                        <a:pt x="226" y="21"/>
                                        <a:pt x="224" y="21"/>
                                      </a:cubicBezTo>
                                      <a:cubicBezTo>
                                        <a:pt x="149" y="21"/>
                                        <a:pt x="149" y="21"/>
                                        <a:pt x="149" y="21"/>
                                      </a:cubicBezTo>
                                      <a:cubicBezTo>
                                        <a:pt x="149" y="10"/>
                                        <a:pt x="149" y="10"/>
                                        <a:pt x="149" y="10"/>
                                      </a:cubicBezTo>
                                      <a:cubicBezTo>
                                        <a:pt x="149" y="4"/>
                                        <a:pt x="145" y="0"/>
                                        <a:pt x="139" y="0"/>
                                      </a:cubicBezTo>
                                      <a:cubicBezTo>
                                        <a:pt x="133" y="0"/>
                                        <a:pt x="128" y="4"/>
                                        <a:pt x="128" y="10"/>
                                      </a:cubicBezTo>
                                      <a:cubicBezTo>
                                        <a:pt x="128" y="21"/>
                                        <a:pt x="128" y="21"/>
                                        <a:pt x="128" y="21"/>
                                      </a:cubicBezTo>
                                      <a:cubicBezTo>
                                        <a:pt x="11" y="21"/>
                                        <a:pt x="11" y="21"/>
                                        <a:pt x="11" y="21"/>
                                      </a:cubicBezTo>
                                      <a:cubicBezTo>
                                        <a:pt x="5" y="21"/>
                                        <a:pt x="0" y="26"/>
                                        <a:pt x="0" y="32"/>
                                      </a:cubicBezTo>
                                      <a:cubicBezTo>
                                        <a:pt x="0" y="96"/>
                                        <a:pt x="0" y="96"/>
                                        <a:pt x="0" y="96"/>
                                      </a:cubicBezTo>
                                      <a:cubicBezTo>
                                        <a:pt x="0" y="102"/>
                                        <a:pt x="5" y="106"/>
                                        <a:pt x="11" y="106"/>
                                      </a:cubicBezTo>
                                      <a:cubicBezTo>
                                        <a:pt x="128" y="106"/>
                                        <a:pt x="128" y="106"/>
                                        <a:pt x="128" y="106"/>
                                      </a:cubicBezTo>
                                      <a:cubicBezTo>
                                        <a:pt x="128" y="128"/>
                                        <a:pt x="128" y="128"/>
                                        <a:pt x="128" y="128"/>
                                      </a:cubicBezTo>
                                      <a:cubicBezTo>
                                        <a:pt x="53" y="128"/>
                                        <a:pt x="53" y="128"/>
                                        <a:pt x="53" y="128"/>
                                      </a:cubicBezTo>
                                      <a:cubicBezTo>
                                        <a:pt x="51" y="128"/>
                                        <a:pt x="49" y="128"/>
                                        <a:pt x="47" y="130"/>
                                      </a:cubicBezTo>
                                      <a:cubicBezTo>
                                        <a:pt x="4" y="162"/>
                                        <a:pt x="4" y="162"/>
                                        <a:pt x="4" y="162"/>
                                      </a:cubicBezTo>
                                      <a:cubicBezTo>
                                        <a:pt x="2" y="164"/>
                                        <a:pt x="0" y="167"/>
                                        <a:pt x="0" y="170"/>
                                      </a:cubicBezTo>
                                      <a:cubicBezTo>
                                        <a:pt x="0" y="174"/>
                                        <a:pt x="2" y="177"/>
                                        <a:pt x="4" y="179"/>
                                      </a:cubicBezTo>
                                      <a:cubicBezTo>
                                        <a:pt x="47" y="211"/>
                                        <a:pt x="47" y="211"/>
                                        <a:pt x="47" y="211"/>
                                      </a:cubicBezTo>
                                      <a:cubicBezTo>
                                        <a:pt x="49" y="212"/>
                                        <a:pt x="51" y="213"/>
                                        <a:pt x="53" y="213"/>
                                      </a:cubicBezTo>
                                      <a:cubicBezTo>
                                        <a:pt x="128" y="213"/>
                                        <a:pt x="128" y="213"/>
                                        <a:pt x="128" y="213"/>
                                      </a:cubicBezTo>
                                      <a:cubicBezTo>
                                        <a:pt x="128" y="309"/>
                                        <a:pt x="128" y="309"/>
                                        <a:pt x="128" y="309"/>
                                      </a:cubicBezTo>
                                      <a:cubicBezTo>
                                        <a:pt x="128" y="315"/>
                                        <a:pt x="133" y="320"/>
                                        <a:pt x="139" y="320"/>
                                      </a:cubicBezTo>
                                      <a:cubicBezTo>
                                        <a:pt x="145" y="320"/>
                                        <a:pt x="149" y="315"/>
                                        <a:pt x="149" y="309"/>
                                      </a:cubicBezTo>
                                      <a:cubicBezTo>
                                        <a:pt x="149" y="213"/>
                                        <a:pt x="149" y="213"/>
                                        <a:pt x="149" y="213"/>
                                      </a:cubicBezTo>
                                      <a:cubicBezTo>
                                        <a:pt x="267" y="213"/>
                                        <a:pt x="267" y="213"/>
                                        <a:pt x="267" y="213"/>
                                      </a:cubicBezTo>
                                      <a:cubicBezTo>
                                        <a:pt x="273" y="213"/>
                                        <a:pt x="277" y="208"/>
                                        <a:pt x="277" y="202"/>
                                      </a:cubicBezTo>
                                      <a:cubicBezTo>
                                        <a:pt x="277" y="138"/>
                                        <a:pt x="277" y="138"/>
                                        <a:pt x="277" y="138"/>
                                      </a:cubicBezTo>
                                      <a:cubicBezTo>
                                        <a:pt x="277" y="132"/>
                                        <a:pt x="273" y="128"/>
                                        <a:pt x="267" y="128"/>
                                      </a:cubicBezTo>
                                      <a:close/>
                                      <a:moveTo>
                                        <a:pt x="21" y="85"/>
                                      </a:moveTo>
                                      <a:cubicBezTo>
                                        <a:pt x="21" y="42"/>
                                        <a:pt x="21" y="42"/>
                                        <a:pt x="21" y="42"/>
                                      </a:cubicBezTo>
                                      <a:cubicBezTo>
                                        <a:pt x="220" y="42"/>
                                        <a:pt x="220" y="42"/>
                                        <a:pt x="220" y="42"/>
                                      </a:cubicBezTo>
                                      <a:cubicBezTo>
                                        <a:pt x="249" y="64"/>
                                        <a:pt x="249" y="64"/>
                                        <a:pt x="249" y="64"/>
                                      </a:cubicBezTo>
                                      <a:cubicBezTo>
                                        <a:pt x="220" y="85"/>
                                        <a:pt x="220" y="85"/>
                                        <a:pt x="220" y="85"/>
                                      </a:cubicBezTo>
                                      <a:lnTo>
                                        <a:pt x="21" y="85"/>
                                      </a:lnTo>
                                      <a:close/>
                                      <a:moveTo>
                                        <a:pt x="256" y="192"/>
                                      </a:moveTo>
                                      <a:cubicBezTo>
                                        <a:pt x="57" y="192"/>
                                        <a:pt x="57" y="192"/>
                                        <a:pt x="57" y="192"/>
                                      </a:cubicBezTo>
                                      <a:cubicBezTo>
                                        <a:pt x="28" y="170"/>
                                        <a:pt x="28" y="170"/>
                                        <a:pt x="28" y="170"/>
                                      </a:cubicBezTo>
                                      <a:cubicBezTo>
                                        <a:pt x="57" y="149"/>
                                        <a:pt x="57" y="149"/>
                                        <a:pt x="57" y="149"/>
                                      </a:cubicBezTo>
                                      <a:cubicBezTo>
                                        <a:pt x="256" y="149"/>
                                        <a:pt x="256" y="149"/>
                                        <a:pt x="256" y="149"/>
                                      </a:cubicBezTo>
                                      <a:lnTo>
                                        <a:pt x="256" y="1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80AD1" id="Group 262" o:spid="_x0000_s1026" style="position:absolute;margin-left:71.2pt;margin-top:-17.7pt;width:28.9pt;height:28.9pt;z-index:25167308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">
                      <v:shape id="Freeform 92" o:spid="_x0000_s1027" style="position:absolute;left:78;top:64;width:184;height:212;visibility:visible;mso-wrap-style:square;v-text-anchor:top" coordsize="2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" path="m267,128v-118,,-118,,-118,c149,106,149,106,149,106v75,,75,,75,c226,106,229,106,230,104,273,72,273,72,273,72v3,-2,4,-5,4,-8c277,60,276,57,273,55,230,23,230,23,230,23v-1,-1,-4,-2,-6,-2c149,21,149,21,149,21v,-11,,-11,,-11c149,4,145,,139,v-6,,-11,4,-11,10c128,21,128,21,128,21,11,21,11,21,11,21,5,21,,26,,32,,96,,96,,96v,6,5,10,11,10c128,106,128,106,128,106v,22,,22,,22c53,128,53,128,53,128v-2,,-4,,-6,2c4,162,4,162,4,162v-2,2,-4,5,-4,8c,174,2,177,4,179v43,32,43,32,43,32c49,212,51,213,53,213v75,,75,,75,c128,309,128,309,128,309v,6,5,11,11,11c145,320,149,315,149,309v,-96,,-96,,-96c267,213,267,213,267,213v6,,10,-5,10,-11c277,138,277,138,277,138v,-6,-4,-10,-10,-10xm21,85v,-43,,-43,,-43c220,42,220,42,220,42v29,22,29,22,29,22c220,85,220,85,220,85l21,85xm256,192v-199,,-199,,-199,c28,170,28,170,28,170,57,149,57,149,57,149v199,,199,,199,l256,192xe" filled="f" stroked="f">
                        <v:path arrowok="t" o:connecttype="custom" o:connectlocs="177,85;99,85;99,70;149,70;153,69;181,48;184,42;181,36;153,15;149,14;99,14;99,7;92,0;85,7;85,14;7,14;0,21;0,64;7,70;85,70;85,85;35,85;31,86;3,107;0,113;3,119;31,140;35,141;85,141;85,205;92,212;99,205;99,141;177,141;184,134;184,91;177,85;14,56;14,28;146,28;165,42;146,56;14,56;170,127;38,127;19,113;38,99;170,99;170,127" o:connectangles="0,0,0,0,0,0,0,0,0,0,0,0,0,0,0,0,0,0,0,0,0,0,0,0,0,0,0,0,0,0,0,0,0,0,0,0,0,0,0,0,0,0,0,0,0,0,0,0,0"/>
                        <o:lock v:ext="edit" verticies="t"/>
                      </v:shape>
                      <v:shape id="Freeform 93"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1E1145">
              <w:rPr>
                <w:b/>
                <w:bCs/>
                <w:color w:val="FFFFFF" w:themeColor="background1"/>
              </w:rPr>
              <w:t>Další</w:t>
            </w:r>
          </w:p>
        </w:tc>
      </w:tr>
      <w:tr w:rsidR="00AC28E1" w:rsidRPr="008D5C22" w14:paraId="71789D84" w14:textId="77777777" w:rsidTr="009B651B">
        <w:trPr>
          <w:trHeight w:val="5577"/>
        </w:trPr>
        <w:tc>
          <w:tcPr>
            <w:tcW w:w="125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2BD477C5" w14:textId="77777777" w:rsidR="00AC28E1" w:rsidRPr="001E1145" w:rsidRDefault="00AC28E1" w:rsidP="00A557B0">
            <w:pPr>
              <w:pStyle w:val="ListParagraph"/>
              <w:numPr>
                <w:ilvl w:val="0"/>
                <w:numId w:val="137"/>
              </w:numPr>
              <w:spacing w:after="60"/>
              <w:ind w:left="272" w:hanging="357"/>
              <w:contextualSpacing w:val="0"/>
            </w:pPr>
            <w:r w:rsidRPr="001E1145">
              <w:rPr>
                <w:bCs/>
              </w:rPr>
              <w:t>Dokončit hodnocení a schvalování žádostí</w:t>
            </w:r>
            <w:r w:rsidRPr="001E1145">
              <w:t xml:space="preserve"> z dosud vyhlášených výzev</w:t>
            </w:r>
          </w:p>
          <w:p w14:paraId="11039C82" w14:textId="77777777" w:rsidR="00AC28E1" w:rsidRPr="001E1145" w:rsidRDefault="00AC28E1" w:rsidP="00A557B0">
            <w:pPr>
              <w:pStyle w:val="ListParagraph"/>
              <w:numPr>
                <w:ilvl w:val="0"/>
                <w:numId w:val="137"/>
              </w:numPr>
              <w:spacing w:after="60"/>
              <w:ind w:left="272" w:hanging="357"/>
              <w:contextualSpacing w:val="0"/>
            </w:pPr>
            <w:r w:rsidRPr="001E1145">
              <w:rPr>
                <w:bCs/>
              </w:rPr>
              <w:t>Navýšit alokaci výzev</w:t>
            </w:r>
            <w:r w:rsidRPr="001E1145">
              <w:t>, aby mohly být podpořeny všechny vyhovující žádosti</w:t>
            </w:r>
          </w:p>
          <w:p w14:paraId="5297D5D5" w14:textId="77777777" w:rsidR="00AC28E1" w:rsidRPr="001E1145" w:rsidRDefault="00AC28E1" w:rsidP="00A557B0">
            <w:pPr>
              <w:pStyle w:val="ListParagraph"/>
              <w:numPr>
                <w:ilvl w:val="0"/>
                <w:numId w:val="137"/>
              </w:numPr>
              <w:spacing w:after="60"/>
              <w:ind w:left="272" w:hanging="357"/>
              <w:contextualSpacing w:val="0"/>
            </w:pPr>
            <w:r w:rsidRPr="001E1145">
              <w:rPr>
                <w:bCs/>
              </w:rPr>
              <w:t>Sestavit realistický plán výzev</w:t>
            </w:r>
            <w:r w:rsidRPr="001E1145">
              <w:t xml:space="preserve"> až do konce období</w:t>
            </w:r>
          </w:p>
          <w:p w14:paraId="25F32578" w14:textId="77777777" w:rsidR="00AC28E1" w:rsidRPr="001E1145" w:rsidRDefault="00AC28E1" w:rsidP="00A557B0">
            <w:pPr>
              <w:pStyle w:val="ListParagraph"/>
              <w:numPr>
                <w:ilvl w:val="0"/>
                <w:numId w:val="137"/>
              </w:numPr>
              <w:spacing w:after="60"/>
              <w:ind w:left="272" w:hanging="357"/>
              <w:contextualSpacing w:val="0"/>
            </w:pPr>
            <w:r w:rsidRPr="001E1145">
              <w:t xml:space="preserve">V případě nízké absorpce zvážit vyhlášení dodatečné výzvy pro </w:t>
            </w:r>
            <w:r w:rsidRPr="001E1145">
              <w:rPr>
                <w:bCs/>
              </w:rPr>
              <w:t>velké podniky</w:t>
            </w:r>
          </w:p>
          <w:p w14:paraId="7BF1454E" w14:textId="77777777" w:rsidR="00AC28E1" w:rsidRPr="001E1145" w:rsidRDefault="00AC28E1" w:rsidP="00A557B0">
            <w:pPr>
              <w:pStyle w:val="ListParagraph"/>
              <w:numPr>
                <w:ilvl w:val="0"/>
                <w:numId w:val="137"/>
              </w:numPr>
              <w:spacing w:after="60"/>
              <w:ind w:left="272" w:hanging="357"/>
              <w:contextualSpacing w:val="0"/>
            </w:pPr>
            <w:r w:rsidRPr="001E1145">
              <w:rPr>
                <w:bCs/>
              </w:rPr>
              <w:t>Vyhodnotit efektivnost</w:t>
            </w:r>
            <w:r w:rsidRPr="001E1145">
              <w:t xml:space="preserve"> výzev </w:t>
            </w:r>
            <w:r w:rsidRPr="001E1145">
              <w:br/>
              <w:t>v rámci ITI</w:t>
            </w:r>
          </w:p>
        </w:tc>
        <w:tc>
          <w:tcPr>
            <w:tcW w:w="125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71FCC3EF"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Zajistit dostatečnou kapacitu lidských zdrojů a průběžně optimalizovat její využívání</w:t>
            </w:r>
          </w:p>
          <w:p w14:paraId="08F598BF"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Zavést robotickou procesní automatizaci činností s potenciálem pro automatizaci</w:t>
            </w:r>
          </w:p>
          <w:p w14:paraId="50F180AC"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Snížit administrativní zátěž spojenou s předkládáním žádostí i realizací projektů</w:t>
            </w:r>
          </w:p>
          <w:p w14:paraId="5BE2238B"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Zjednodušit podmínky nově vyhlašovaných výzev</w:t>
            </w:r>
          </w:p>
        </w:tc>
        <w:tc>
          <w:tcPr>
            <w:tcW w:w="125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0D7A7C44"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Zdržet se zbytných změn metodických postupů a pravidel</w:t>
            </w:r>
          </w:p>
          <w:p w14:paraId="2EFDFE57"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Zajistit jednoznačný a závazný výklad metodických pravidel</w:t>
            </w:r>
          </w:p>
          <w:p w14:paraId="61132DF0"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Umožnit větší flexibilitu při změnách během realizace projektu</w:t>
            </w:r>
          </w:p>
          <w:p w14:paraId="37D64454"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Posílit pro-klientský přístup a metodickou podporu příjemců    ze strany API. Posílit roli projektového manažera API jako klíčové kontaktní osoby pro příjemce</w:t>
            </w:r>
          </w:p>
        </w:tc>
        <w:tc>
          <w:tcPr>
            <w:tcW w:w="125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320812D3"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 xml:space="preserve">Zvýšit propagaci zahraničních programů podpory </w:t>
            </w:r>
            <w:proofErr w:type="spellStart"/>
            <w:r w:rsidRPr="001E1145">
              <w:rPr>
                <w:bCs/>
              </w:rPr>
              <w:t>VaVaI</w:t>
            </w:r>
            <w:proofErr w:type="spellEnd"/>
          </w:p>
          <w:p w14:paraId="7AC6E6FD"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Poskytovat technickou podporu při navazování zahraničních partnerství a při podávání žádostí      do evropských programů podpory</w:t>
            </w:r>
          </w:p>
          <w:p w14:paraId="3B987CE9"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Využít potenciál nepodpořených kvalitních mezinárodních projektů</w:t>
            </w:r>
          </w:p>
          <w:p w14:paraId="63FCBA01" w14:textId="77777777" w:rsidR="00AC28E1" w:rsidRPr="001E1145" w:rsidRDefault="00AC28E1" w:rsidP="00A557B0">
            <w:pPr>
              <w:pStyle w:val="ListParagraph"/>
              <w:numPr>
                <w:ilvl w:val="0"/>
                <w:numId w:val="137"/>
              </w:numPr>
              <w:spacing w:after="60"/>
              <w:ind w:left="272" w:hanging="357"/>
              <w:contextualSpacing w:val="0"/>
              <w:rPr>
                <w:bCs/>
              </w:rPr>
            </w:pPr>
            <w:r w:rsidRPr="001E1145">
              <w:rPr>
                <w:bCs/>
              </w:rPr>
              <w:t>Věnovat pozornost stabilizaci podnikatelského prostředí a systematické podpoře výzkumu a vývoje</w:t>
            </w:r>
          </w:p>
        </w:tc>
      </w:tr>
    </w:tbl>
    <w:p w14:paraId="3B3FB309" w14:textId="77777777" w:rsidR="00AC28E1" w:rsidRDefault="00AC28E1" w:rsidP="00AC28E1">
      <w:pPr>
        <w:spacing w:after="0" w:line="240" w:lineRule="auto"/>
        <w:rPr>
          <w:b/>
        </w:rPr>
      </w:pPr>
    </w:p>
    <w:p w14:paraId="15C43145" w14:textId="77777777" w:rsidR="00A557B0" w:rsidRDefault="00A557B0">
      <w:pPr>
        <w:spacing w:after="0" w:line="240" w:lineRule="auto"/>
        <w:rPr>
          <w:b/>
        </w:rPr>
      </w:pPr>
      <w:r>
        <w:rPr>
          <w:b/>
        </w:rPr>
        <w:br w:type="page"/>
      </w:r>
    </w:p>
    <w:p w14:paraId="22A2E51B" w14:textId="77777777" w:rsidR="00AC28E1" w:rsidRPr="008D5C22" w:rsidRDefault="00AC28E1" w:rsidP="00AC28E1">
      <w:pPr>
        <w:rPr>
          <w:b/>
        </w:rPr>
      </w:pPr>
      <w:r w:rsidRPr="001E1145">
        <w:rPr>
          <w:b/>
        </w:rPr>
        <w:t xml:space="preserve">Doporučení </w:t>
      </w:r>
      <w:r>
        <w:rPr>
          <w:b/>
        </w:rPr>
        <w:t>pro zaměření programového období 2021</w:t>
      </w:r>
      <w:r w:rsidRPr="008D5C22">
        <w:rPr>
          <w:b/>
        </w:rPr>
        <w:t>+</w:t>
      </w:r>
      <w:r>
        <w:rPr>
          <w:rStyle w:val="FootnoteReference"/>
          <w:b/>
        </w:rPr>
        <w:footnoteReference w:id="3"/>
      </w:r>
    </w:p>
    <w:tbl>
      <w:tblPr>
        <w:tblW w:w="5000" w:type="pct"/>
        <w:tblCellMar>
          <w:left w:w="0" w:type="dxa"/>
          <w:right w:w="0" w:type="dxa"/>
        </w:tblCellMar>
        <w:tblLook w:val="0420" w:firstRow="1" w:lastRow="0" w:firstColumn="0" w:lastColumn="0" w:noHBand="0" w:noVBand="1"/>
      </w:tblPr>
      <w:tblGrid>
        <w:gridCol w:w="4809"/>
        <w:gridCol w:w="4809"/>
      </w:tblGrid>
      <w:tr w:rsidR="00AC28E1" w:rsidRPr="001E1145" w14:paraId="3C45BE04" w14:textId="77777777" w:rsidTr="009B651B">
        <w:trPr>
          <w:trHeight w:val="952"/>
          <w:tblHeader/>
        </w:trPr>
        <w:tc>
          <w:tcPr>
            <w:tcW w:w="2500" w:type="pct"/>
            <w:tcBorders>
              <w:top w:val="single" w:sz="8" w:space="0" w:color="86BC25"/>
              <w:left w:val="single" w:sz="8" w:space="0" w:color="86BC25"/>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5E3C09C2" w14:textId="77777777" w:rsidR="00AC28E1" w:rsidRPr="001E1145" w:rsidRDefault="00AC28E1" w:rsidP="009B651B">
            <w:pPr>
              <w:ind w:left="1105"/>
              <w:rPr>
                <w:b/>
                <w:color w:val="FFFFFF" w:themeColor="background1"/>
              </w:rPr>
            </w:pPr>
            <w:r w:rsidRPr="00AD3298">
              <w:rPr>
                <w:b/>
                <w:noProof/>
                <w:lang w:eastAsia="cs-CZ"/>
              </w:rPr>
              <mc:AlternateContent>
                <mc:Choice Requires="wpg">
                  <w:drawing>
                    <wp:anchor distT="0" distB="0" distL="114300" distR="114300" simplePos="0" relativeHeight="251674112" behindDoc="0" locked="0" layoutInCell="1" allowOverlap="1" wp14:anchorId="385BA7FA" wp14:editId="2F47E927">
                      <wp:simplePos x="0" y="0"/>
                      <wp:positionH relativeFrom="column">
                        <wp:posOffset>26035</wp:posOffset>
                      </wp:positionH>
                      <wp:positionV relativeFrom="paragraph">
                        <wp:posOffset>-80010</wp:posOffset>
                      </wp:positionV>
                      <wp:extent cx="370205" cy="369570"/>
                      <wp:effectExtent l="0" t="0" r="0" b="0"/>
                      <wp:wrapNone/>
                      <wp:docPr id="94" name="Group 360"/>
                      <wp:cNvGraphicFramePr/>
                      <a:graphic xmlns:a="http://schemas.openxmlformats.org/drawingml/2006/main">
                        <a:graphicData uri="http://schemas.microsoft.com/office/word/2010/wordprocessingGroup">
                          <wpg:wgp>
                            <wpg:cNvGrpSpPr/>
                            <wpg:grpSpPr bwMode="auto">
                              <a:xfrm>
                                <a:off x="0" y="0"/>
                                <a:ext cx="370205" cy="369570"/>
                                <a:chOff x="0" y="0"/>
                                <a:chExt cx="341" cy="340"/>
                              </a:xfrm>
                              <a:solidFill>
                                <a:schemeClr val="accent4"/>
                              </a:solidFill>
                            </wpg:grpSpPr>
                            <wps:wsp>
                              <wps:cNvPr id="95" name="Freeform 95"/>
                              <wps:cNvSpPr>
                                <a:spLocks noEditPoints="1"/>
                              </wps:cNvSpPr>
                              <wps:spPr bwMode="auto">
                                <a:xfrm>
                                  <a:off x="63" y="64"/>
                                  <a:ext cx="214" cy="206"/>
                                </a:xfrm>
                                <a:custGeom>
                                  <a:avLst/>
                                  <a:gdLst>
                                    <a:gd name="T0" fmla="*/ 257 w 321"/>
                                    <a:gd name="T1" fmla="*/ 309 h 310"/>
                                    <a:gd name="T2" fmla="*/ 251 w 321"/>
                                    <a:gd name="T3" fmla="*/ 308 h 310"/>
                                    <a:gd name="T4" fmla="*/ 161 w 321"/>
                                    <a:gd name="T5" fmla="*/ 257 h 310"/>
                                    <a:gd name="T6" fmla="*/ 70 w 321"/>
                                    <a:gd name="T7" fmla="*/ 308 h 310"/>
                                    <a:gd name="T8" fmla="*/ 58 w 321"/>
                                    <a:gd name="T9" fmla="*/ 307 h 310"/>
                                    <a:gd name="T10" fmla="*/ 54 w 321"/>
                                    <a:gd name="T11" fmla="*/ 296 h 310"/>
                                    <a:gd name="T12" fmla="*/ 74 w 321"/>
                                    <a:gd name="T13" fmla="*/ 195 h 310"/>
                                    <a:gd name="T14" fmla="*/ 4 w 321"/>
                                    <a:gd name="T15" fmla="*/ 125 h 310"/>
                                    <a:gd name="T16" fmla="*/ 1 w 321"/>
                                    <a:gd name="T17" fmla="*/ 113 h 310"/>
                                    <a:gd name="T18" fmla="*/ 10 w 321"/>
                                    <a:gd name="T19" fmla="*/ 106 h 310"/>
                                    <a:gd name="T20" fmla="*/ 111 w 321"/>
                                    <a:gd name="T21" fmla="*/ 96 h 310"/>
                                    <a:gd name="T22" fmla="*/ 151 w 321"/>
                                    <a:gd name="T23" fmla="*/ 6 h 310"/>
                                    <a:gd name="T24" fmla="*/ 161 w 321"/>
                                    <a:gd name="T25" fmla="*/ 0 h 310"/>
                                    <a:gd name="T26" fmla="*/ 170 w 321"/>
                                    <a:gd name="T27" fmla="*/ 6 h 310"/>
                                    <a:gd name="T28" fmla="*/ 211 w 321"/>
                                    <a:gd name="T29" fmla="*/ 96 h 310"/>
                                    <a:gd name="T30" fmla="*/ 311 w 321"/>
                                    <a:gd name="T31" fmla="*/ 106 h 310"/>
                                    <a:gd name="T32" fmla="*/ 320 w 321"/>
                                    <a:gd name="T33" fmla="*/ 113 h 310"/>
                                    <a:gd name="T34" fmla="*/ 318 w 321"/>
                                    <a:gd name="T35" fmla="*/ 125 h 310"/>
                                    <a:gd name="T36" fmla="*/ 247 w 321"/>
                                    <a:gd name="T37" fmla="*/ 195 h 310"/>
                                    <a:gd name="T38" fmla="*/ 267 w 321"/>
                                    <a:gd name="T39" fmla="*/ 296 h 310"/>
                                    <a:gd name="T40" fmla="*/ 263 w 321"/>
                                    <a:gd name="T41" fmla="*/ 307 h 310"/>
                                    <a:gd name="T42" fmla="*/ 257 w 321"/>
                                    <a:gd name="T43" fmla="*/ 309 h 310"/>
                                    <a:gd name="T44" fmla="*/ 161 w 321"/>
                                    <a:gd name="T45" fmla="*/ 234 h 310"/>
                                    <a:gd name="T46" fmla="*/ 166 w 321"/>
                                    <a:gd name="T47" fmla="*/ 236 h 310"/>
                                    <a:gd name="T48" fmla="*/ 242 w 321"/>
                                    <a:gd name="T49" fmla="*/ 278 h 310"/>
                                    <a:gd name="T50" fmla="*/ 225 w 321"/>
                                    <a:gd name="T51" fmla="*/ 194 h 310"/>
                                    <a:gd name="T52" fmla="*/ 228 w 321"/>
                                    <a:gd name="T53" fmla="*/ 184 h 310"/>
                                    <a:gd name="T54" fmla="*/ 287 w 321"/>
                                    <a:gd name="T55" fmla="*/ 125 h 310"/>
                                    <a:gd name="T56" fmla="*/ 202 w 321"/>
                                    <a:gd name="T57" fmla="*/ 117 h 310"/>
                                    <a:gd name="T58" fmla="*/ 194 w 321"/>
                                    <a:gd name="T59" fmla="*/ 111 h 310"/>
                                    <a:gd name="T60" fmla="*/ 161 w 321"/>
                                    <a:gd name="T61" fmla="*/ 37 h 310"/>
                                    <a:gd name="T62" fmla="*/ 128 w 321"/>
                                    <a:gd name="T63" fmla="*/ 111 h 310"/>
                                    <a:gd name="T64" fmla="*/ 119 w 321"/>
                                    <a:gd name="T65" fmla="*/ 117 h 310"/>
                                    <a:gd name="T66" fmla="*/ 35 w 321"/>
                                    <a:gd name="T67" fmla="*/ 125 h 310"/>
                                    <a:gd name="T68" fmla="*/ 94 w 321"/>
                                    <a:gd name="T69" fmla="*/ 184 h 310"/>
                                    <a:gd name="T70" fmla="*/ 96 w 321"/>
                                    <a:gd name="T71" fmla="*/ 194 h 310"/>
                                    <a:gd name="T72" fmla="*/ 80 w 321"/>
                                    <a:gd name="T73" fmla="*/ 278 h 310"/>
                                    <a:gd name="T74" fmla="*/ 155 w 321"/>
                                    <a:gd name="T75" fmla="*/ 236 h 310"/>
                                    <a:gd name="T76" fmla="*/ 161 w 321"/>
                                    <a:gd name="T77" fmla="*/ 23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1" h="310">
                                      <a:moveTo>
                                        <a:pt x="257" y="309"/>
                                      </a:moveTo>
                                      <a:cubicBezTo>
                                        <a:pt x="255" y="309"/>
                                        <a:pt x="253" y="309"/>
                                        <a:pt x="251" y="308"/>
                                      </a:cubicBezTo>
                                      <a:cubicBezTo>
                                        <a:pt x="161" y="257"/>
                                        <a:pt x="161" y="257"/>
                                        <a:pt x="161" y="257"/>
                                      </a:cubicBezTo>
                                      <a:cubicBezTo>
                                        <a:pt x="70" y="308"/>
                                        <a:pt x="70" y="308"/>
                                        <a:pt x="70" y="308"/>
                                      </a:cubicBezTo>
                                      <a:cubicBezTo>
                                        <a:pt x="66" y="310"/>
                                        <a:pt x="62" y="309"/>
                                        <a:pt x="58" y="307"/>
                                      </a:cubicBezTo>
                                      <a:cubicBezTo>
                                        <a:pt x="55" y="305"/>
                                        <a:pt x="53" y="300"/>
                                        <a:pt x="54" y="296"/>
                                      </a:cubicBezTo>
                                      <a:cubicBezTo>
                                        <a:pt x="74" y="195"/>
                                        <a:pt x="74" y="195"/>
                                        <a:pt x="74" y="195"/>
                                      </a:cubicBezTo>
                                      <a:cubicBezTo>
                                        <a:pt x="4" y="125"/>
                                        <a:pt x="4" y="125"/>
                                        <a:pt x="4" y="125"/>
                                      </a:cubicBezTo>
                                      <a:cubicBezTo>
                                        <a:pt x="1" y="122"/>
                                        <a:pt x="0" y="117"/>
                                        <a:pt x="1" y="113"/>
                                      </a:cubicBezTo>
                                      <a:cubicBezTo>
                                        <a:pt x="3" y="110"/>
                                        <a:pt x="6" y="107"/>
                                        <a:pt x="10" y="106"/>
                                      </a:cubicBezTo>
                                      <a:cubicBezTo>
                                        <a:pt x="111" y="96"/>
                                        <a:pt x="111" y="96"/>
                                        <a:pt x="111" y="96"/>
                                      </a:cubicBezTo>
                                      <a:cubicBezTo>
                                        <a:pt x="151" y="6"/>
                                        <a:pt x="151" y="6"/>
                                        <a:pt x="151" y="6"/>
                                      </a:cubicBezTo>
                                      <a:cubicBezTo>
                                        <a:pt x="153" y="2"/>
                                        <a:pt x="156" y="0"/>
                                        <a:pt x="161" y="0"/>
                                      </a:cubicBezTo>
                                      <a:cubicBezTo>
                                        <a:pt x="165" y="0"/>
                                        <a:pt x="169" y="2"/>
                                        <a:pt x="170" y="6"/>
                                      </a:cubicBezTo>
                                      <a:cubicBezTo>
                                        <a:pt x="211" y="96"/>
                                        <a:pt x="211" y="96"/>
                                        <a:pt x="211" y="96"/>
                                      </a:cubicBezTo>
                                      <a:cubicBezTo>
                                        <a:pt x="311" y="106"/>
                                        <a:pt x="311" y="106"/>
                                        <a:pt x="311" y="106"/>
                                      </a:cubicBezTo>
                                      <a:cubicBezTo>
                                        <a:pt x="315" y="107"/>
                                        <a:pt x="319" y="110"/>
                                        <a:pt x="320" y="113"/>
                                      </a:cubicBezTo>
                                      <a:cubicBezTo>
                                        <a:pt x="321" y="117"/>
                                        <a:pt x="320" y="122"/>
                                        <a:pt x="318" y="125"/>
                                      </a:cubicBezTo>
                                      <a:cubicBezTo>
                                        <a:pt x="247" y="195"/>
                                        <a:pt x="247" y="195"/>
                                        <a:pt x="247" y="195"/>
                                      </a:cubicBezTo>
                                      <a:cubicBezTo>
                                        <a:pt x="267" y="296"/>
                                        <a:pt x="267" y="296"/>
                                        <a:pt x="267" y="296"/>
                                      </a:cubicBezTo>
                                      <a:cubicBezTo>
                                        <a:pt x="268" y="300"/>
                                        <a:pt x="266" y="305"/>
                                        <a:pt x="263" y="307"/>
                                      </a:cubicBezTo>
                                      <a:cubicBezTo>
                                        <a:pt x="261" y="308"/>
                                        <a:pt x="259" y="309"/>
                                        <a:pt x="257" y="309"/>
                                      </a:cubicBezTo>
                                      <a:close/>
                                      <a:moveTo>
                                        <a:pt x="161" y="234"/>
                                      </a:moveTo>
                                      <a:cubicBezTo>
                                        <a:pt x="162" y="234"/>
                                        <a:pt x="164" y="235"/>
                                        <a:pt x="166" y="236"/>
                                      </a:cubicBezTo>
                                      <a:cubicBezTo>
                                        <a:pt x="242" y="278"/>
                                        <a:pt x="242" y="278"/>
                                        <a:pt x="242" y="278"/>
                                      </a:cubicBezTo>
                                      <a:cubicBezTo>
                                        <a:pt x="225" y="194"/>
                                        <a:pt x="225" y="194"/>
                                        <a:pt x="225" y="194"/>
                                      </a:cubicBezTo>
                                      <a:cubicBezTo>
                                        <a:pt x="224" y="190"/>
                                        <a:pt x="225" y="187"/>
                                        <a:pt x="228" y="184"/>
                                      </a:cubicBezTo>
                                      <a:cubicBezTo>
                                        <a:pt x="287" y="125"/>
                                        <a:pt x="287" y="125"/>
                                        <a:pt x="287" y="125"/>
                                      </a:cubicBezTo>
                                      <a:cubicBezTo>
                                        <a:pt x="202" y="117"/>
                                        <a:pt x="202" y="117"/>
                                        <a:pt x="202" y="117"/>
                                      </a:cubicBezTo>
                                      <a:cubicBezTo>
                                        <a:pt x="198" y="117"/>
                                        <a:pt x="195" y="114"/>
                                        <a:pt x="194" y="111"/>
                                      </a:cubicBezTo>
                                      <a:cubicBezTo>
                                        <a:pt x="161" y="37"/>
                                        <a:pt x="161" y="37"/>
                                        <a:pt x="161" y="37"/>
                                      </a:cubicBezTo>
                                      <a:cubicBezTo>
                                        <a:pt x="128" y="111"/>
                                        <a:pt x="128" y="111"/>
                                        <a:pt x="128" y="111"/>
                                      </a:cubicBezTo>
                                      <a:cubicBezTo>
                                        <a:pt x="126" y="114"/>
                                        <a:pt x="123" y="117"/>
                                        <a:pt x="119" y="117"/>
                                      </a:cubicBezTo>
                                      <a:cubicBezTo>
                                        <a:pt x="35" y="125"/>
                                        <a:pt x="35" y="125"/>
                                        <a:pt x="35" y="125"/>
                                      </a:cubicBezTo>
                                      <a:cubicBezTo>
                                        <a:pt x="94" y="184"/>
                                        <a:pt x="94" y="184"/>
                                        <a:pt x="94" y="184"/>
                                      </a:cubicBezTo>
                                      <a:cubicBezTo>
                                        <a:pt x="96" y="187"/>
                                        <a:pt x="97" y="190"/>
                                        <a:pt x="96" y="194"/>
                                      </a:cubicBezTo>
                                      <a:cubicBezTo>
                                        <a:pt x="80" y="278"/>
                                        <a:pt x="80" y="278"/>
                                        <a:pt x="80" y="278"/>
                                      </a:cubicBezTo>
                                      <a:cubicBezTo>
                                        <a:pt x="155" y="236"/>
                                        <a:pt x="155" y="236"/>
                                        <a:pt x="155" y="236"/>
                                      </a:cubicBezTo>
                                      <a:cubicBezTo>
                                        <a:pt x="157" y="235"/>
                                        <a:pt x="159" y="234"/>
                                        <a:pt x="161" y="234"/>
                                      </a:cubicBezTo>
                                      <a:close/>
                                    </a:path>
                                  </a:pathLst>
                                </a:custGeom>
                                <a:solidFill>
                                  <a:schemeClr val="bg1"/>
                                </a:solid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96" name="Freeform 96"/>
                              <wps:cNvSpPr>
                                <a:spLocks noEditPoints="1"/>
                              </wps:cNvSpPr>
                              <wps:spPr bwMode="auto">
                                <a:xfrm>
                                  <a:off x="0" y="0"/>
                                  <a:ext cx="341"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B77368" id="Group 360" o:spid="_x0000_s1026" style="position:absolute;margin-left:2.05pt;margin-top:-6.3pt;width:29.15pt;height:29.1pt;z-index:251674112;mso-width-relative:margin;mso-height-relative:margin"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">
                      <v:shape id="Freeform 95" o:spid="_x0000_s1027" style="position:absolute;left:63;top:64;width:214;height:206;visibility:visible;mso-wrap-style:square;v-text-anchor:top" coordsize="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" path="m257,309v-2,,-4,,-6,-1c161,257,161,257,161,257,70,308,70,308,70,308v-4,2,-8,1,-12,-1c55,305,53,300,54,296,74,195,74,195,74,195,4,125,4,125,4,125,1,122,,117,1,113v2,-3,5,-6,9,-7c111,96,111,96,111,96,151,6,151,6,151,6,153,2,156,,161,v4,,8,2,9,6c211,96,211,96,211,96v100,10,100,10,100,10c315,107,319,110,320,113v1,4,,9,-2,12c247,195,247,195,247,195v20,101,20,101,20,101c268,300,266,305,263,307v-2,1,-4,2,-6,2xm161,234v1,,3,1,5,2c242,278,242,278,242,278,225,194,225,194,225,194v-1,-4,,-7,3,-10c287,125,287,125,287,125v-85,-8,-85,-8,-85,-8c198,117,195,114,194,111,161,37,161,37,161,37v-33,74,-33,74,-33,74c126,114,123,117,119,117v-84,8,-84,8,-84,8c94,184,94,184,94,184v2,3,3,6,2,10c80,278,80,278,80,278v75,-42,75,-42,75,-42c157,235,159,234,161,234xe" fillcolor="white [3212]" strokecolor="white [3212]">
                        <v:path arrowok="t" o:connecttype="custom" o:connectlocs="171,205;167,205;107,171;47,205;39,204;36,197;49,130;3,83;1,75;7,70;74,64;101,4;107,0;113,4;141,64;207,70;213,75;212,83;165,130;178,197;175,204;171,205;107,155;111,157;161,185;150,129;152,122;191,83;135,78;129,74;107,25;85,74;79,78;23,83;63,122;64,129;53,185;103,157;107,155" o:connectangles="0,0,0,0,0,0,0,0,0,0,0,0,0,0,0,0,0,0,0,0,0,0,0,0,0,0,0,0,0,0,0,0,0,0,0,0,0,0,0"/>
                        <o:lock v:ext="edit" verticies="t"/>
                      </v:shape>
                      <v:shape id="Freeform 96" o:spid="_x0000_s1028" style="position:absolute;width:341;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" path="m256,21v129,,234,105,234,235c490,385,385,490,256,490,126,490,21,385,21,256,21,126,126,21,256,21m256,c114,,,114,,256,,397,114,512,256,512v141,,256,-115,256,-256c512,114,397,,256,xe" fillcolor="white [3212]" stroked="f">
                        <v:path arrowok="t" o:connecttype="custom" o:connectlocs="171,14;326,170;171,325;14,170;171,14;171,0;0,170;171,340;341,170;171,0" o:connectangles="0,0,0,0,0,0,0,0,0,0"/>
                        <o:lock v:ext="edit" verticies="t"/>
                      </v:shape>
                    </v:group>
                  </w:pict>
                </mc:Fallback>
              </mc:AlternateContent>
            </w:r>
            <w:r w:rsidRPr="001E1145">
              <w:rPr>
                <w:b/>
                <w:bCs/>
                <w:color w:val="FFFFFF" w:themeColor="background1"/>
              </w:rPr>
              <w:t>Hlavní doporučení</w:t>
            </w:r>
          </w:p>
        </w:tc>
        <w:tc>
          <w:tcPr>
            <w:tcW w:w="2500" w:type="pct"/>
            <w:tcBorders>
              <w:top w:val="single" w:sz="8" w:space="0" w:color="86BC25"/>
              <w:left w:val="single" w:sz="8" w:space="0" w:color="FFFFFF"/>
              <w:bottom w:val="single" w:sz="8" w:space="0" w:color="86BC25"/>
              <w:right w:val="single" w:sz="8" w:space="0" w:color="86BC25"/>
            </w:tcBorders>
            <w:shd w:val="clear" w:color="auto" w:fill="86BC25"/>
            <w:tcMar>
              <w:top w:w="72" w:type="dxa"/>
              <w:left w:w="144" w:type="dxa"/>
              <w:bottom w:w="72" w:type="dxa"/>
              <w:right w:w="144" w:type="dxa"/>
            </w:tcMar>
            <w:vAlign w:val="center"/>
            <w:hideMark/>
          </w:tcPr>
          <w:p w14:paraId="404F4639" w14:textId="77777777" w:rsidR="00AC28E1" w:rsidRPr="001E1145" w:rsidRDefault="00AC28E1" w:rsidP="009B651B">
            <w:pPr>
              <w:ind w:left="1263"/>
              <w:rPr>
                <w:b/>
                <w:color w:val="FFFFFF" w:themeColor="background1"/>
              </w:rPr>
            </w:pPr>
            <w:r w:rsidRPr="00AD3298">
              <w:rPr>
                <w:b/>
                <w:noProof/>
                <w:lang w:eastAsia="cs-CZ"/>
              </w:rPr>
              <mc:AlternateContent>
                <mc:Choice Requires="wpg">
                  <w:drawing>
                    <wp:anchor distT="0" distB="0" distL="114300" distR="114300" simplePos="0" relativeHeight="251675136" behindDoc="0" locked="0" layoutInCell="1" allowOverlap="1" wp14:anchorId="74C85402" wp14:editId="444BBE92">
                      <wp:simplePos x="0" y="0"/>
                      <wp:positionH relativeFrom="column">
                        <wp:posOffset>69850</wp:posOffset>
                      </wp:positionH>
                      <wp:positionV relativeFrom="paragraph">
                        <wp:posOffset>-83820</wp:posOffset>
                      </wp:positionV>
                      <wp:extent cx="367030" cy="367030"/>
                      <wp:effectExtent l="0" t="0" r="0" b="0"/>
                      <wp:wrapNone/>
                      <wp:docPr id="97" name="Group 262"/>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bg1"/>
                              </a:solidFill>
                            </wpg:grpSpPr>
                            <wps:wsp>
                              <wps:cNvPr id="98" name="Freeform 98"/>
                              <wps:cNvSpPr>
                                <a:spLocks noEditPoints="1"/>
                              </wps:cNvSpPr>
                              <wps:spPr bwMode="auto">
                                <a:xfrm>
                                  <a:off x="78" y="64"/>
                                  <a:ext cx="184" cy="212"/>
                                </a:xfrm>
                                <a:custGeom>
                                  <a:avLst/>
                                  <a:gdLst>
                                    <a:gd name="T0" fmla="*/ 267 w 277"/>
                                    <a:gd name="T1" fmla="*/ 128 h 320"/>
                                    <a:gd name="T2" fmla="*/ 149 w 277"/>
                                    <a:gd name="T3" fmla="*/ 128 h 320"/>
                                    <a:gd name="T4" fmla="*/ 149 w 277"/>
                                    <a:gd name="T5" fmla="*/ 106 h 320"/>
                                    <a:gd name="T6" fmla="*/ 224 w 277"/>
                                    <a:gd name="T7" fmla="*/ 106 h 320"/>
                                    <a:gd name="T8" fmla="*/ 230 w 277"/>
                                    <a:gd name="T9" fmla="*/ 104 h 320"/>
                                    <a:gd name="T10" fmla="*/ 273 w 277"/>
                                    <a:gd name="T11" fmla="*/ 72 h 320"/>
                                    <a:gd name="T12" fmla="*/ 277 w 277"/>
                                    <a:gd name="T13" fmla="*/ 64 h 320"/>
                                    <a:gd name="T14" fmla="*/ 273 w 277"/>
                                    <a:gd name="T15" fmla="*/ 55 h 320"/>
                                    <a:gd name="T16" fmla="*/ 230 w 277"/>
                                    <a:gd name="T17" fmla="*/ 23 h 320"/>
                                    <a:gd name="T18" fmla="*/ 224 w 277"/>
                                    <a:gd name="T19" fmla="*/ 21 h 320"/>
                                    <a:gd name="T20" fmla="*/ 149 w 277"/>
                                    <a:gd name="T21" fmla="*/ 21 h 320"/>
                                    <a:gd name="T22" fmla="*/ 149 w 277"/>
                                    <a:gd name="T23" fmla="*/ 10 h 320"/>
                                    <a:gd name="T24" fmla="*/ 139 w 277"/>
                                    <a:gd name="T25" fmla="*/ 0 h 320"/>
                                    <a:gd name="T26" fmla="*/ 128 w 277"/>
                                    <a:gd name="T27" fmla="*/ 10 h 320"/>
                                    <a:gd name="T28" fmla="*/ 128 w 277"/>
                                    <a:gd name="T29" fmla="*/ 21 h 320"/>
                                    <a:gd name="T30" fmla="*/ 11 w 277"/>
                                    <a:gd name="T31" fmla="*/ 21 h 320"/>
                                    <a:gd name="T32" fmla="*/ 0 w 277"/>
                                    <a:gd name="T33" fmla="*/ 32 h 320"/>
                                    <a:gd name="T34" fmla="*/ 0 w 277"/>
                                    <a:gd name="T35" fmla="*/ 96 h 320"/>
                                    <a:gd name="T36" fmla="*/ 11 w 277"/>
                                    <a:gd name="T37" fmla="*/ 106 h 320"/>
                                    <a:gd name="T38" fmla="*/ 128 w 277"/>
                                    <a:gd name="T39" fmla="*/ 106 h 320"/>
                                    <a:gd name="T40" fmla="*/ 128 w 277"/>
                                    <a:gd name="T41" fmla="*/ 128 h 320"/>
                                    <a:gd name="T42" fmla="*/ 53 w 277"/>
                                    <a:gd name="T43" fmla="*/ 128 h 320"/>
                                    <a:gd name="T44" fmla="*/ 47 w 277"/>
                                    <a:gd name="T45" fmla="*/ 130 h 320"/>
                                    <a:gd name="T46" fmla="*/ 4 w 277"/>
                                    <a:gd name="T47" fmla="*/ 162 h 320"/>
                                    <a:gd name="T48" fmla="*/ 0 w 277"/>
                                    <a:gd name="T49" fmla="*/ 170 h 320"/>
                                    <a:gd name="T50" fmla="*/ 4 w 277"/>
                                    <a:gd name="T51" fmla="*/ 179 h 320"/>
                                    <a:gd name="T52" fmla="*/ 47 w 277"/>
                                    <a:gd name="T53" fmla="*/ 211 h 320"/>
                                    <a:gd name="T54" fmla="*/ 53 w 277"/>
                                    <a:gd name="T55" fmla="*/ 213 h 320"/>
                                    <a:gd name="T56" fmla="*/ 128 w 277"/>
                                    <a:gd name="T57" fmla="*/ 213 h 320"/>
                                    <a:gd name="T58" fmla="*/ 128 w 277"/>
                                    <a:gd name="T59" fmla="*/ 309 h 320"/>
                                    <a:gd name="T60" fmla="*/ 139 w 277"/>
                                    <a:gd name="T61" fmla="*/ 320 h 320"/>
                                    <a:gd name="T62" fmla="*/ 149 w 277"/>
                                    <a:gd name="T63" fmla="*/ 309 h 320"/>
                                    <a:gd name="T64" fmla="*/ 149 w 277"/>
                                    <a:gd name="T65" fmla="*/ 213 h 320"/>
                                    <a:gd name="T66" fmla="*/ 267 w 277"/>
                                    <a:gd name="T67" fmla="*/ 213 h 320"/>
                                    <a:gd name="T68" fmla="*/ 277 w 277"/>
                                    <a:gd name="T69" fmla="*/ 202 h 320"/>
                                    <a:gd name="T70" fmla="*/ 277 w 277"/>
                                    <a:gd name="T71" fmla="*/ 138 h 320"/>
                                    <a:gd name="T72" fmla="*/ 267 w 277"/>
                                    <a:gd name="T73" fmla="*/ 128 h 320"/>
                                    <a:gd name="T74" fmla="*/ 21 w 277"/>
                                    <a:gd name="T75" fmla="*/ 85 h 320"/>
                                    <a:gd name="T76" fmla="*/ 21 w 277"/>
                                    <a:gd name="T77" fmla="*/ 42 h 320"/>
                                    <a:gd name="T78" fmla="*/ 220 w 277"/>
                                    <a:gd name="T79" fmla="*/ 42 h 320"/>
                                    <a:gd name="T80" fmla="*/ 249 w 277"/>
                                    <a:gd name="T81" fmla="*/ 64 h 320"/>
                                    <a:gd name="T82" fmla="*/ 220 w 277"/>
                                    <a:gd name="T83" fmla="*/ 85 h 320"/>
                                    <a:gd name="T84" fmla="*/ 21 w 277"/>
                                    <a:gd name="T85" fmla="*/ 85 h 320"/>
                                    <a:gd name="T86" fmla="*/ 256 w 277"/>
                                    <a:gd name="T87" fmla="*/ 192 h 320"/>
                                    <a:gd name="T88" fmla="*/ 57 w 277"/>
                                    <a:gd name="T89" fmla="*/ 192 h 320"/>
                                    <a:gd name="T90" fmla="*/ 28 w 277"/>
                                    <a:gd name="T91" fmla="*/ 170 h 320"/>
                                    <a:gd name="T92" fmla="*/ 57 w 277"/>
                                    <a:gd name="T93" fmla="*/ 149 h 320"/>
                                    <a:gd name="T94" fmla="*/ 256 w 277"/>
                                    <a:gd name="T95" fmla="*/ 149 h 320"/>
                                    <a:gd name="T96" fmla="*/ 256 w 277"/>
                                    <a:gd name="T97" fmla="*/ 19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7" h="320">
                                      <a:moveTo>
                                        <a:pt x="267" y="128"/>
                                      </a:moveTo>
                                      <a:cubicBezTo>
                                        <a:pt x="149" y="128"/>
                                        <a:pt x="149" y="128"/>
                                        <a:pt x="149" y="128"/>
                                      </a:cubicBezTo>
                                      <a:cubicBezTo>
                                        <a:pt x="149" y="106"/>
                                        <a:pt x="149" y="106"/>
                                        <a:pt x="149" y="106"/>
                                      </a:cubicBezTo>
                                      <a:cubicBezTo>
                                        <a:pt x="224" y="106"/>
                                        <a:pt x="224" y="106"/>
                                        <a:pt x="224" y="106"/>
                                      </a:cubicBezTo>
                                      <a:cubicBezTo>
                                        <a:pt x="226" y="106"/>
                                        <a:pt x="229" y="106"/>
                                        <a:pt x="230" y="104"/>
                                      </a:cubicBezTo>
                                      <a:cubicBezTo>
                                        <a:pt x="273" y="72"/>
                                        <a:pt x="273" y="72"/>
                                        <a:pt x="273" y="72"/>
                                      </a:cubicBezTo>
                                      <a:cubicBezTo>
                                        <a:pt x="276" y="70"/>
                                        <a:pt x="277" y="67"/>
                                        <a:pt x="277" y="64"/>
                                      </a:cubicBezTo>
                                      <a:cubicBezTo>
                                        <a:pt x="277" y="60"/>
                                        <a:pt x="276" y="57"/>
                                        <a:pt x="273" y="55"/>
                                      </a:cubicBezTo>
                                      <a:cubicBezTo>
                                        <a:pt x="230" y="23"/>
                                        <a:pt x="230" y="23"/>
                                        <a:pt x="230" y="23"/>
                                      </a:cubicBezTo>
                                      <a:cubicBezTo>
                                        <a:pt x="229" y="22"/>
                                        <a:pt x="226" y="21"/>
                                        <a:pt x="224" y="21"/>
                                      </a:cubicBezTo>
                                      <a:cubicBezTo>
                                        <a:pt x="149" y="21"/>
                                        <a:pt x="149" y="21"/>
                                        <a:pt x="149" y="21"/>
                                      </a:cubicBezTo>
                                      <a:cubicBezTo>
                                        <a:pt x="149" y="10"/>
                                        <a:pt x="149" y="10"/>
                                        <a:pt x="149" y="10"/>
                                      </a:cubicBezTo>
                                      <a:cubicBezTo>
                                        <a:pt x="149" y="4"/>
                                        <a:pt x="145" y="0"/>
                                        <a:pt x="139" y="0"/>
                                      </a:cubicBezTo>
                                      <a:cubicBezTo>
                                        <a:pt x="133" y="0"/>
                                        <a:pt x="128" y="4"/>
                                        <a:pt x="128" y="10"/>
                                      </a:cubicBezTo>
                                      <a:cubicBezTo>
                                        <a:pt x="128" y="21"/>
                                        <a:pt x="128" y="21"/>
                                        <a:pt x="128" y="21"/>
                                      </a:cubicBezTo>
                                      <a:cubicBezTo>
                                        <a:pt x="11" y="21"/>
                                        <a:pt x="11" y="21"/>
                                        <a:pt x="11" y="21"/>
                                      </a:cubicBezTo>
                                      <a:cubicBezTo>
                                        <a:pt x="5" y="21"/>
                                        <a:pt x="0" y="26"/>
                                        <a:pt x="0" y="32"/>
                                      </a:cubicBezTo>
                                      <a:cubicBezTo>
                                        <a:pt x="0" y="96"/>
                                        <a:pt x="0" y="96"/>
                                        <a:pt x="0" y="96"/>
                                      </a:cubicBezTo>
                                      <a:cubicBezTo>
                                        <a:pt x="0" y="102"/>
                                        <a:pt x="5" y="106"/>
                                        <a:pt x="11" y="106"/>
                                      </a:cubicBezTo>
                                      <a:cubicBezTo>
                                        <a:pt x="128" y="106"/>
                                        <a:pt x="128" y="106"/>
                                        <a:pt x="128" y="106"/>
                                      </a:cubicBezTo>
                                      <a:cubicBezTo>
                                        <a:pt x="128" y="128"/>
                                        <a:pt x="128" y="128"/>
                                        <a:pt x="128" y="128"/>
                                      </a:cubicBezTo>
                                      <a:cubicBezTo>
                                        <a:pt x="53" y="128"/>
                                        <a:pt x="53" y="128"/>
                                        <a:pt x="53" y="128"/>
                                      </a:cubicBezTo>
                                      <a:cubicBezTo>
                                        <a:pt x="51" y="128"/>
                                        <a:pt x="49" y="128"/>
                                        <a:pt x="47" y="130"/>
                                      </a:cubicBezTo>
                                      <a:cubicBezTo>
                                        <a:pt x="4" y="162"/>
                                        <a:pt x="4" y="162"/>
                                        <a:pt x="4" y="162"/>
                                      </a:cubicBezTo>
                                      <a:cubicBezTo>
                                        <a:pt x="2" y="164"/>
                                        <a:pt x="0" y="167"/>
                                        <a:pt x="0" y="170"/>
                                      </a:cubicBezTo>
                                      <a:cubicBezTo>
                                        <a:pt x="0" y="174"/>
                                        <a:pt x="2" y="177"/>
                                        <a:pt x="4" y="179"/>
                                      </a:cubicBezTo>
                                      <a:cubicBezTo>
                                        <a:pt x="47" y="211"/>
                                        <a:pt x="47" y="211"/>
                                        <a:pt x="47" y="211"/>
                                      </a:cubicBezTo>
                                      <a:cubicBezTo>
                                        <a:pt x="49" y="212"/>
                                        <a:pt x="51" y="213"/>
                                        <a:pt x="53" y="213"/>
                                      </a:cubicBezTo>
                                      <a:cubicBezTo>
                                        <a:pt x="128" y="213"/>
                                        <a:pt x="128" y="213"/>
                                        <a:pt x="128" y="213"/>
                                      </a:cubicBezTo>
                                      <a:cubicBezTo>
                                        <a:pt x="128" y="309"/>
                                        <a:pt x="128" y="309"/>
                                        <a:pt x="128" y="309"/>
                                      </a:cubicBezTo>
                                      <a:cubicBezTo>
                                        <a:pt x="128" y="315"/>
                                        <a:pt x="133" y="320"/>
                                        <a:pt x="139" y="320"/>
                                      </a:cubicBezTo>
                                      <a:cubicBezTo>
                                        <a:pt x="145" y="320"/>
                                        <a:pt x="149" y="315"/>
                                        <a:pt x="149" y="309"/>
                                      </a:cubicBezTo>
                                      <a:cubicBezTo>
                                        <a:pt x="149" y="213"/>
                                        <a:pt x="149" y="213"/>
                                        <a:pt x="149" y="213"/>
                                      </a:cubicBezTo>
                                      <a:cubicBezTo>
                                        <a:pt x="267" y="213"/>
                                        <a:pt x="267" y="213"/>
                                        <a:pt x="267" y="213"/>
                                      </a:cubicBezTo>
                                      <a:cubicBezTo>
                                        <a:pt x="273" y="213"/>
                                        <a:pt x="277" y="208"/>
                                        <a:pt x="277" y="202"/>
                                      </a:cubicBezTo>
                                      <a:cubicBezTo>
                                        <a:pt x="277" y="138"/>
                                        <a:pt x="277" y="138"/>
                                        <a:pt x="277" y="138"/>
                                      </a:cubicBezTo>
                                      <a:cubicBezTo>
                                        <a:pt x="277" y="132"/>
                                        <a:pt x="273" y="128"/>
                                        <a:pt x="267" y="128"/>
                                      </a:cubicBezTo>
                                      <a:close/>
                                      <a:moveTo>
                                        <a:pt x="21" y="85"/>
                                      </a:moveTo>
                                      <a:cubicBezTo>
                                        <a:pt x="21" y="42"/>
                                        <a:pt x="21" y="42"/>
                                        <a:pt x="21" y="42"/>
                                      </a:cubicBezTo>
                                      <a:cubicBezTo>
                                        <a:pt x="220" y="42"/>
                                        <a:pt x="220" y="42"/>
                                        <a:pt x="220" y="42"/>
                                      </a:cubicBezTo>
                                      <a:cubicBezTo>
                                        <a:pt x="249" y="64"/>
                                        <a:pt x="249" y="64"/>
                                        <a:pt x="249" y="64"/>
                                      </a:cubicBezTo>
                                      <a:cubicBezTo>
                                        <a:pt x="220" y="85"/>
                                        <a:pt x="220" y="85"/>
                                        <a:pt x="220" y="85"/>
                                      </a:cubicBezTo>
                                      <a:lnTo>
                                        <a:pt x="21" y="85"/>
                                      </a:lnTo>
                                      <a:close/>
                                      <a:moveTo>
                                        <a:pt x="256" y="192"/>
                                      </a:moveTo>
                                      <a:cubicBezTo>
                                        <a:pt x="57" y="192"/>
                                        <a:pt x="57" y="192"/>
                                        <a:pt x="57" y="192"/>
                                      </a:cubicBezTo>
                                      <a:cubicBezTo>
                                        <a:pt x="28" y="170"/>
                                        <a:pt x="28" y="170"/>
                                        <a:pt x="28" y="170"/>
                                      </a:cubicBezTo>
                                      <a:cubicBezTo>
                                        <a:pt x="57" y="149"/>
                                        <a:pt x="57" y="149"/>
                                        <a:pt x="57" y="149"/>
                                      </a:cubicBezTo>
                                      <a:cubicBezTo>
                                        <a:pt x="256" y="149"/>
                                        <a:pt x="256" y="149"/>
                                        <a:pt x="256" y="149"/>
                                      </a:cubicBezTo>
                                      <a:lnTo>
                                        <a:pt x="256" y="1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 name="Freeform 99"/>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85B85D" id="Group 262" o:spid="_x0000_s1026" style="position:absolute;margin-left:5.5pt;margin-top:-6.6pt;width:28.9pt;height:28.9pt;z-index:25167513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">
                      <v:shape id="Freeform 98" o:spid="_x0000_s1027" style="position:absolute;left:78;top:64;width:184;height:212;visibility:visible;mso-wrap-style:square;v-text-anchor:top" coordsize="2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" path="m267,128v-118,,-118,,-118,c149,106,149,106,149,106v75,,75,,75,c226,106,229,106,230,104,273,72,273,72,273,72v3,-2,4,-5,4,-8c277,60,276,57,273,55,230,23,230,23,230,23v-1,-1,-4,-2,-6,-2c149,21,149,21,149,21v,-11,,-11,,-11c149,4,145,,139,v-6,,-11,4,-11,10c128,21,128,21,128,21,11,21,11,21,11,21,5,21,,26,,32,,96,,96,,96v,6,5,10,11,10c128,106,128,106,128,106v,22,,22,,22c53,128,53,128,53,128v-2,,-4,,-6,2c4,162,4,162,4,162v-2,2,-4,5,-4,8c,174,2,177,4,179v43,32,43,32,43,32c49,212,51,213,53,213v75,,75,,75,c128,309,128,309,128,309v,6,5,11,11,11c145,320,149,315,149,309v,-96,,-96,,-96c267,213,267,213,267,213v6,,10,-5,10,-11c277,138,277,138,277,138v,-6,-4,-10,-10,-10xm21,85v,-43,,-43,,-43c220,42,220,42,220,42v29,22,29,22,29,22c220,85,220,85,220,85l21,85xm256,192v-199,,-199,,-199,c28,170,28,170,28,170,57,149,57,149,57,149v199,,199,,199,l256,192xe" filled="f" stroked="f">
                        <v:path arrowok="t" o:connecttype="custom" o:connectlocs="177,85;99,85;99,70;149,70;153,69;181,48;184,42;181,36;153,15;149,14;99,14;99,7;92,0;85,7;85,14;7,14;0,21;0,64;7,70;85,70;85,85;35,85;31,86;3,107;0,113;3,119;31,140;35,141;85,141;85,205;92,212;99,205;99,141;177,141;184,134;184,91;177,85;14,56;14,28;146,28;165,42;146,56;14,56;170,127;38,127;19,113;38,99;170,99;170,127" o:connectangles="0,0,0,0,0,0,0,0,0,0,0,0,0,0,0,0,0,0,0,0,0,0,0,0,0,0,0,0,0,0,0,0,0,0,0,0,0,0,0,0,0,0,0,0,0,0,0,0,0"/>
                        <o:lock v:ext="edit" verticies="t"/>
                      </v:shape>
                      <v:shape id="Freeform 99"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1E1145">
              <w:rPr>
                <w:b/>
                <w:bCs/>
                <w:color w:val="FFFFFF" w:themeColor="background1"/>
              </w:rPr>
              <w:t>Další doporučení</w:t>
            </w:r>
          </w:p>
        </w:tc>
      </w:tr>
      <w:tr w:rsidR="00AC28E1" w:rsidRPr="008D5C22" w14:paraId="0E0EB9F7" w14:textId="77777777" w:rsidTr="009B651B">
        <w:trPr>
          <w:trHeight w:val="7435"/>
        </w:trPr>
        <w:tc>
          <w:tcPr>
            <w:tcW w:w="250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5A9779F7" w14:textId="77777777" w:rsidR="00AC28E1" w:rsidRPr="001E1145" w:rsidRDefault="00AC28E1" w:rsidP="00AC28E1">
            <w:pPr>
              <w:numPr>
                <w:ilvl w:val="0"/>
                <w:numId w:val="136"/>
              </w:numPr>
              <w:tabs>
                <w:tab w:val="clear" w:pos="720"/>
                <w:tab w:val="num" w:pos="417"/>
              </w:tabs>
              <w:ind w:left="417"/>
            </w:pPr>
            <w:r w:rsidRPr="001E1145">
              <w:rPr>
                <w:bCs/>
              </w:rPr>
              <w:t>Trvale snižovat administrativní zátěž</w:t>
            </w:r>
            <w:r w:rsidRPr="001E1145">
              <w:t>, urychlovat procesy hodnocení, schvalování a řízení projektů ze strany ŘO, API a umožnit flexibilní změny projektu</w:t>
            </w:r>
          </w:p>
          <w:p w14:paraId="002EE2C2" w14:textId="77777777" w:rsidR="00AC28E1" w:rsidRPr="001E1145" w:rsidRDefault="00AC28E1" w:rsidP="00AC28E1">
            <w:pPr>
              <w:numPr>
                <w:ilvl w:val="0"/>
                <w:numId w:val="136"/>
              </w:numPr>
              <w:tabs>
                <w:tab w:val="clear" w:pos="720"/>
                <w:tab w:val="num" w:pos="417"/>
              </w:tabs>
              <w:ind w:left="417"/>
            </w:pPr>
            <w:r w:rsidRPr="001E1145">
              <w:rPr>
                <w:bCs/>
              </w:rPr>
              <w:t>Sjednotit a zachovat neměnná pravidla   a metodiku</w:t>
            </w:r>
            <w:r w:rsidRPr="001E1145">
              <w:t xml:space="preserve"> podpory napříč auditními orgány, NOK, ŘO, ZS</w:t>
            </w:r>
          </w:p>
          <w:p w14:paraId="21BDE0C7" w14:textId="77777777" w:rsidR="00AC28E1" w:rsidRPr="001E1145" w:rsidRDefault="00AC28E1" w:rsidP="00AC28E1">
            <w:pPr>
              <w:numPr>
                <w:ilvl w:val="0"/>
                <w:numId w:val="136"/>
              </w:numPr>
              <w:tabs>
                <w:tab w:val="clear" w:pos="720"/>
                <w:tab w:val="num" w:pos="417"/>
              </w:tabs>
              <w:ind w:left="417"/>
            </w:pPr>
            <w:r w:rsidRPr="001E1145">
              <w:rPr>
                <w:bCs/>
              </w:rPr>
              <w:t>Zjednodušit výpočet a dokladování způsobilých výdajů</w:t>
            </w:r>
          </w:p>
          <w:p w14:paraId="0C6503E5" w14:textId="77777777" w:rsidR="00AC28E1" w:rsidRPr="001E1145" w:rsidRDefault="00AC28E1" w:rsidP="00AC28E1">
            <w:pPr>
              <w:numPr>
                <w:ilvl w:val="0"/>
                <w:numId w:val="136"/>
              </w:numPr>
              <w:tabs>
                <w:tab w:val="clear" w:pos="720"/>
                <w:tab w:val="num" w:pos="417"/>
              </w:tabs>
              <w:ind w:left="417"/>
            </w:pPr>
            <w:r w:rsidRPr="001E1145">
              <w:rPr>
                <w:bCs/>
              </w:rPr>
              <w:t>Zjednodušit pravidla</w:t>
            </w:r>
            <w:r w:rsidRPr="001E1145">
              <w:t xml:space="preserve"> poskytování podpory </w:t>
            </w:r>
          </w:p>
          <w:p w14:paraId="1A5322A3" w14:textId="77777777" w:rsidR="00AC28E1" w:rsidRPr="001E1145" w:rsidRDefault="00AC28E1" w:rsidP="00AC28E1">
            <w:pPr>
              <w:numPr>
                <w:ilvl w:val="0"/>
                <w:numId w:val="136"/>
              </w:numPr>
              <w:tabs>
                <w:tab w:val="clear" w:pos="720"/>
                <w:tab w:val="num" w:pos="417"/>
              </w:tabs>
              <w:ind w:left="417"/>
            </w:pPr>
            <w:r w:rsidRPr="001E1145">
              <w:rPr>
                <w:bCs/>
              </w:rPr>
              <w:t>Do přípravy</w:t>
            </w:r>
            <w:r w:rsidRPr="001E1145">
              <w:t xml:space="preserve"> programového období </w:t>
            </w:r>
            <w:r w:rsidRPr="001E1145">
              <w:rPr>
                <w:bCs/>
              </w:rPr>
              <w:t>více zapojit ZS</w:t>
            </w:r>
            <w:r w:rsidRPr="001E1145">
              <w:t xml:space="preserve"> a využít jejich zkušenosti</w:t>
            </w:r>
          </w:p>
        </w:tc>
        <w:tc>
          <w:tcPr>
            <w:tcW w:w="250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026494C5" w14:textId="77777777" w:rsidR="00AC28E1" w:rsidRPr="001E1145" w:rsidRDefault="00AC28E1" w:rsidP="00AC28E1">
            <w:pPr>
              <w:numPr>
                <w:ilvl w:val="0"/>
                <w:numId w:val="136"/>
              </w:numPr>
              <w:tabs>
                <w:tab w:val="clear" w:pos="720"/>
                <w:tab w:val="num" w:pos="417"/>
              </w:tabs>
              <w:ind w:left="428"/>
            </w:pPr>
            <w:r w:rsidRPr="001E1145">
              <w:rPr>
                <w:bCs/>
              </w:rPr>
              <w:t>Posílit finanční řízení programu</w:t>
            </w:r>
          </w:p>
          <w:p w14:paraId="67ABFCF7" w14:textId="77777777" w:rsidR="00AC28E1" w:rsidRPr="001E1145" w:rsidRDefault="00AC28E1" w:rsidP="00AC28E1">
            <w:pPr>
              <w:numPr>
                <w:ilvl w:val="0"/>
                <w:numId w:val="136"/>
              </w:numPr>
              <w:tabs>
                <w:tab w:val="clear" w:pos="720"/>
                <w:tab w:val="num" w:pos="417"/>
              </w:tabs>
              <w:ind w:left="428"/>
            </w:pPr>
            <w:r w:rsidRPr="001E1145">
              <w:rPr>
                <w:bCs/>
              </w:rPr>
              <w:t>Revidovat indikátorovou soustavu</w:t>
            </w:r>
            <w:r w:rsidRPr="001E1145">
              <w:t xml:space="preserve"> a způsob monitoringu a reportingu indikátorů</w:t>
            </w:r>
          </w:p>
          <w:p w14:paraId="4C1480CD" w14:textId="77777777" w:rsidR="00AC28E1" w:rsidRPr="001E1145" w:rsidRDefault="00AC28E1" w:rsidP="00AC28E1">
            <w:pPr>
              <w:numPr>
                <w:ilvl w:val="0"/>
                <w:numId w:val="136"/>
              </w:numPr>
              <w:tabs>
                <w:tab w:val="clear" w:pos="720"/>
                <w:tab w:val="num" w:pos="417"/>
              </w:tabs>
              <w:ind w:left="428"/>
            </w:pPr>
            <w:r w:rsidRPr="001E1145">
              <w:rPr>
                <w:bCs/>
              </w:rPr>
              <w:t>Využít finanční nástroje na podporu MSP</w:t>
            </w:r>
          </w:p>
          <w:p w14:paraId="499E069F" w14:textId="77777777" w:rsidR="00AC28E1" w:rsidRPr="001E1145" w:rsidRDefault="00AC28E1" w:rsidP="00AC28E1">
            <w:pPr>
              <w:numPr>
                <w:ilvl w:val="0"/>
                <w:numId w:val="136"/>
              </w:numPr>
              <w:tabs>
                <w:tab w:val="clear" w:pos="720"/>
                <w:tab w:val="num" w:pos="417"/>
              </w:tabs>
              <w:ind w:left="428"/>
            </w:pPr>
            <w:r w:rsidRPr="001E1145">
              <w:rPr>
                <w:bCs/>
              </w:rPr>
              <w:t>Dbát na srozumitelnost pravidel a metodik</w:t>
            </w:r>
          </w:p>
          <w:p w14:paraId="4E70ECE9" w14:textId="77777777" w:rsidR="00AC28E1" w:rsidRPr="001E1145" w:rsidRDefault="00AC28E1" w:rsidP="00AC28E1">
            <w:pPr>
              <w:numPr>
                <w:ilvl w:val="0"/>
                <w:numId w:val="136"/>
              </w:numPr>
              <w:tabs>
                <w:tab w:val="clear" w:pos="720"/>
                <w:tab w:val="num" w:pos="417"/>
              </w:tabs>
              <w:ind w:left="428"/>
            </w:pPr>
            <w:r w:rsidRPr="001E1145">
              <w:t xml:space="preserve">Vyhlašovat výzvy tak, aby umožňovaly </w:t>
            </w:r>
            <w:r w:rsidRPr="001E1145">
              <w:rPr>
                <w:bCs/>
              </w:rPr>
              <w:t>co největší flexibilitu</w:t>
            </w:r>
          </w:p>
          <w:p w14:paraId="5D3D76BE" w14:textId="77777777" w:rsidR="00AC28E1" w:rsidRPr="001E1145" w:rsidRDefault="00AC28E1" w:rsidP="00AC28E1">
            <w:pPr>
              <w:numPr>
                <w:ilvl w:val="0"/>
                <w:numId w:val="136"/>
              </w:numPr>
              <w:tabs>
                <w:tab w:val="clear" w:pos="720"/>
                <w:tab w:val="num" w:pos="417"/>
              </w:tabs>
              <w:ind w:left="428"/>
            </w:pPr>
            <w:r w:rsidRPr="001E1145">
              <w:t xml:space="preserve">Ponechat </w:t>
            </w:r>
            <w:r w:rsidRPr="001E1145">
              <w:rPr>
                <w:bCs/>
              </w:rPr>
              <w:t>jednotné metodické prostředí</w:t>
            </w:r>
            <w:r w:rsidRPr="001E1145">
              <w:t xml:space="preserve"> pouze</w:t>
            </w:r>
            <w:r w:rsidRPr="001E1145">
              <w:rPr>
                <w:bCs/>
              </w:rPr>
              <w:t xml:space="preserve"> na centrální úrovni</w:t>
            </w:r>
            <w:r w:rsidRPr="001E1145">
              <w:t xml:space="preserve"> a zautomatizovat sdílení a výměnu dat a dokumentů</w:t>
            </w:r>
          </w:p>
          <w:p w14:paraId="1A013789" w14:textId="77777777" w:rsidR="00AC28E1" w:rsidRPr="001E1145" w:rsidRDefault="00AC28E1" w:rsidP="00AC28E1">
            <w:pPr>
              <w:numPr>
                <w:ilvl w:val="0"/>
                <w:numId w:val="136"/>
              </w:numPr>
              <w:tabs>
                <w:tab w:val="clear" w:pos="720"/>
                <w:tab w:val="num" w:pos="417"/>
              </w:tabs>
              <w:ind w:left="428"/>
            </w:pPr>
            <w:r w:rsidRPr="001E1145">
              <w:rPr>
                <w:bCs/>
              </w:rPr>
              <w:t>Vyhodnotit možnosti komplementární TP na vyhodnocení připravenosti žadatelů</w:t>
            </w:r>
            <w:r w:rsidRPr="001E1145">
              <w:t xml:space="preserve"> na realizaci </w:t>
            </w:r>
            <w:proofErr w:type="spellStart"/>
            <w:r w:rsidRPr="001E1145">
              <w:t>VaVaI</w:t>
            </w:r>
            <w:proofErr w:type="spellEnd"/>
            <w:r w:rsidRPr="001E1145">
              <w:t xml:space="preserve"> projektů </w:t>
            </w:r>
          </w:p>
          <w:p w14:paraId="3BBC3473" w14:textId="77777777" w:rsidR="00AC28E1" w:rsidRPr="001E1145" w:rsidRDefault="00AC28E1" w:rsidP="00AC28E1">
            <w:pPr>
              <w:numPr>
                <w:ilvl w:val="0"/>
                <w:numId w:val="136"/>
              </w:numPr>
              <w:tabs>
                <w:tab w:val="clear" w:pos="720"/>
                <w:tab w:val="num" w:pos="417"/>
              </w:tabs>
              <w:ind w:left="428"/>
            </w:pPr>
            <w:r w:rsidRPr="001E1145">
              <w:rPr>
                <w:bCs/>
              </w:rPr>
              <w:t xml:space="preserve">Vyhodnotit </w:t>
            </w:r>
            <w:r w:rsidRPr="001E1145">
              <w:t xml:space="preserve">možnosti komplementární </w:t>
            </w:r>
            <w:r w:rsidRPr="001E1145">
              <w:rPr>
                <w:bCs/>
              </w:rPr>
              <w:t xml:space="preserve">právní podpory </w:t>
            </w:r>
            <w:r w:rsidRPr="001E1145">
              <w:t>pro získání a ochranu celosvětových patentů</w:t>
            </w:r>
          </w:p>
          <w:p w14:paraId="3E34E3AA" w14:textId="77777777" w:rsidR="00AC28E1" w:rsidRPr="001E1145" w:rsidRDefault="00AC28E1" w:rsidP="00AC28E1">
            <w:pPr>
              <w:numPr>
                <w:ilvl w:val="0"/>
                <w:numId w:val="136"/>
              </w:numPr>
              <w:tabs>
                <w:tab w:val="clear" w:pos="720"/>
                <w:tab w:val="num" w:pos="417"/>
              </w:tabs>
              <w:ind w:left="428"/>
            </w:pPr>
            <w:r w:rsidRPr="001E1145">
              <w:rPr>
                <w:bCs/>
              </w:rPr>
              <w:t>Navýšit finanční alokaci na „nákup“ služeb od VVP přes inovační vouchery</w:t>
            </w:r>
          </w:p>
        </w:tc>
      </w:tr>
    </w:tbl>
    <w:p w14:paraId="6600FDF6" w14:textId="77777777" w:rsidR="00AC28E1" w:rsidRDefault="00AC28E1" w:rsidP="00AC28E1">
      <w:pPr>
        <w:rPr>
          <w:b/>
        </w:rPr>
      </w:pPr>
    </w:p>
    <w:p w14:paraId="4F1BC046" w14:textId="77777777" w:rsidR="00AC28E1" w:rsidRDefault="00AC28E1" w:rsidP="00AC28E1">
      <w:pPr>
        <w:spacing w:after="0" w:line="240" w:lineRule="auto"/>
        <w:rPr>
          <w:b/>
        </w:rPr>
      </w:pPr>
      <w:r>
        <w:rPr>
          <w:b/>
        </w:rPr>
        <w:br w:type="page"/>
      </w:r>
    </w:p>
    <w:p w14:paraId="76AC2B92" w14:textId="77777777" w:rsidR="00AC28E1" w:rsidRPr="00BC33EC" w:rsidRDefault="00AC28E1" w:rsidP="00BC33EC">
      <w:pPr>
        <w:pStyle w:val="Heading1"/>
        <w:numPr>
          <w:ilvl w:val="0"/>
          <w:numId w:val="2"/>
        </w:numPr>
        <w:spacing w:after="120"/>
        <w:rPr>
          <w:rFonts w:ascii="Verdana" w:eastAsia="MingLiU" w:hAnsi="Verdana" w:cs="Times New Roman"/>
          <w:b w:val="0"/>
          <w:color w:val="auto"/>
          <w:sz w:val="60"/>
          <w:szCs w:val="60"/>
        </w:rPr>
      </w:pPr>
      <w:bookmarkStart w:id="9" w:name="_Toc11679605"/>
      <w:proofErr w:type="spellStart"/>
      <w:r w:rsidRPr="00BC33EC">
        <w:rPr>
          <w:rFonts w:ascii="Verdana" w:eastAsia="MingLiU" w:hAnsi="Verdana" w:cs="Times New Roman"/>
          <w:b w:val="0"/>
          <w:color w:val="auto"/>
          <w:sz w:val="60"/>
          <w:szCs w:val="60"/>
        </w:rPr>
        <w:t>Executive</w:t>
      </w:r>
      <w:proofErr w:type="spellEnd"/>
      <w:r w:rsidRPr="00BC33EC">
        <w:rPr>
          <w:rFonts w:ascii="Verdana" w:eastAsia="MingLiU" w:hAnsi="Verdana" w:cs="Times New Roman"/>
          <w:b w:val="0"/>
          <w:color w:val="auto"/>
          <w:sz w:val="60"/>
          <w:szCs w:val="60"/>
        </w:rPr>
        <w:t xml:space="preserve"> </w:t>
      </w:r>
      <w:proofErr w:type="spellStart"/>
      <w:r w:rsidRPr="00BC33EC">
        <w:rPr>
          <w:rFonts w:ascii="Verdana" w:eastAsia="MingLiU" w:hAnsi="Verdana" w:cs="Times New Roman"/>
          <w:b w:val="0"/>
          <w:color w:val="auto"/>
          <w:sz w:val="60"/>
          <w:szCs w:val="60"/>
        </w:rPr>
        <w:t>summary</w:t>
      </w:r>
      <w:bookmarkEnd w:id="9"/>
      <w:proofErr w:type="spellEnd"/>
    </w:p>
    <w:p w14:paraId="461080B1" w14:textId="77777777" w:rsidR="00A557B0" w:rsidRDefault="00A557B0" w:rsidP="00AC28E1">
      <w:pPr>
        <w:jc w:val="both"/>
        <w:rPr>
          <w:lang w:val="en-US"/>
        </w:rPr>
      </w:pPr>
    </w:p>
    <w:p w14:paraId="0225DB80" w14:textId="77777777" w:rsidR="00AC28E1" w:rsidRPr="00D4686E" w:rsidRDefault="00AC28E1" w:rsidP="00AC28E1">
      <w:pPr>
        <w:jc w:val="both"/>
        <w:rPr>
          <w:lang w:val="en-US"/>
        </w:rPr>
      </w:pPr>
      <w:r w:rsidRPr="00D4686E">
        <w:rPr>
          <w:lang w:val="en-US"/>
        </w:rPr>
        <w:t xml:space="preserve">Given the phase in which the OP EIC is currently in place (65% of the allocation commitment), the low number of projects completed </w:t>
      </w:r>
      <w:r w:rsidR="00A557B0">
        <w:rPr>
          <w:lang w:val="en-US"/>
        </w:rPr>
        <w:t>to date</w:t>
      </w:r>
      <w:r w:rsidRPr="00D4686E">
        <w:rPr>
          <w:lang w:val="en-US"/>
        </w:rPr>
        <w:t xml:space="preserve"> and the short time after their completion, </w:t>
      </w:r>
      <w:r w:rsidRPr="00D4686E">
        <w:rPr>
          <w:b/>
          <w:lang w:val="en-US"/>
        </w:rPr>
        <w:t xml:space="preserve">the </w:t>
      </w:r>
      <w:r w:rsidR="00A557B0">
        <w:rPr>
          <w:b/>
          <w:lang w:val="en-US"/>
        </w:rPr>
        <w:t>outcomes</w:t>
      </w:r>
      <w:r w:rsidRPr="00D4686E">
        <w:rPr>
          <w:b/>
          <w:lang w:val="en-US"/>
        </w:rPr>
        <w:t xml:space="preserve"> </w:t>
      </w:r>
      <w:r w:rsidR="00A557B0">
        <w:rPr>
          <w:b/>
          <w:lang w:val="en-US"/>
        </w:rPr>
        <w:t>of the support provided within the</w:t>
      </w:r>
      <w:r w:rsidRPr="00D4686E">
        <w:rPr>
          <w:b/>
          <w:lang w:val="en-US"/>
        </w:rPr>
        <w:t xml:space="preserve"> S</w:t>
      </w:r>
      <w:r w:rsidR="00A557B0">
        <w:rPr>
          <w:b/>
          <w:lang w:val="en-US"/>
        </w:rPr>
        <w:t xml:space="preserve">trategic </w:t>
      </w:r>
      <w:r w:rsidRPr="00D4686E">
        <w:rPr>
          <w:b/>
          <w:lang w:val="en-US"/>
        </w:rPr>
        <w:t>G</w:t>
      </w:r>
      <w:r w:rsidR="00A557B0">
        <w:rPr>
          <w:b/>
          <w:lang w:val="en-US"/>
        </w:rPr>
        <w:t>oal</w:t>
      </w:r>
      <w:r w:rsidRPr="00D4686E">
        <w:rPr>
          <w:b/>
          <w:lang w:val="en-US"/>
        </w:rPr>
        <w:t xml:space="preserve"> 1.1 cannot be finally evaluated </w:t>
      </w:r>
      <w:r w:rsidRPr="00D4686E">
        <w:rPr>
          <w:lang w:val="en-US"/>
        </w:rPr>
        <w:t>as of the date of the Final Report.</w:t>
      </w:r>
    </w:p>
    <w:p w14:paraId="01625EC6" w14:textId="77777777" w:rsidR="00AC28E1" w:rsidRPr="00D4686E" w:rsidRDefault="00AC28E1" w:rsidP="00AC28E1">
      <w:pPr>
        <w:jc w:val="both"/>
        <w:rPr>
          <w:lang w:val="en-US"/>
        </w:rPr>
      </w:pPr>
      <w:r w:rsidRPr="00D4686E">
        <w:rPr>
          <w:lang w:val="en-US"/>
        </w:rPr>
        <w:t xml:space="preserve">The findings of this outcome evaluation can therefore be taken as an </w:t>
      </w:r>
      <w:r w:rsidRPr="00D4686E">
        <w:rPr>
          <w:b/>
          <w:lang w:val="en-US"/>
        </w:rPr>
        <w:t xml:space="preserve">indicative assessment of the </w:t>
      </w:r>
      <w:proofErr w:type="spellStart"/>
      <w:r w:rsidRPr="00D4686E">
        <w:rPr>
          <w:b/>
          <w:lang w:val="en-US"/>
        </w:rPr>
        <w:t>programme's</w:t>
      </w:r>
      <w:proofErr w:type="spellEnd"/>
      <w:r w:rsidRPr="00D4686E">
        <w:rPr>
          <w:b/>
          <w:lang w:val="en-US"/>
        </w:rPr>
        <w:t xml:space="preserve"> direction to achieve the desired </w:t>
      </w:r>
      <w:r w:rsidR="00A557B0">
        <w:rPr>
          <w:b/>
          <w:lang w:val="en-US"/>
        </w:rPr>
        <w:t>outcomes</w:t>
      </w:r>
      <w:r w:rsidRPr="00D4686E">
        <w:rPr>
          <w:b/>
          <w:lang w:val="en-US"/>
        </w:rPr>
        <w:t>, not as a comprehensive and final evaluation of program results</w:t>
      </w:r>
      <w:r w:rsidRPr="00D4686E">
        <w:rPr>
          <w:lang w:val="en-US"/>
        </w:rPr>
        <w:t>. A detailed description of the evaluation findings and the resulting recommendations are contained in Chapter 1</w:t>
      </w:r>
      <w:r w:rsidR="006B6799">
        <w:rPr>
          <w:lang w:val="en-US"/>
        </w:rPr>
        <w:t>4</w:t>
      </w:r>
      <w:r w:rsidRPr="00D4686E">
        <w:rPr>
          <w:lang w:val="en-US"/>
        </w:rPr>
        <w:t>.</w:t>
      </w:r>
      <w:r w:rsidR="00A557B0">
        <w:rPr>
          <w:rStyle w:val="FootnoteReference"/>
          <w:lang w:val="en-US"/>
        </w:rPr>
        <w:footnoteReference w:id="4"/>
      </w:r>
      <w:r w:rsidRPr="00D4686E">
        <w:rPr>
          <w:lang w:val="en-US"/>
        </w:rPr>
        <w:t xml:space="preserve"> </w:t>
      </w:r>
    </w:p>
    <w:p w14:paraId="35DA77EC" w14:textId="77777777" w:rsidR="00AC28E1" w:rsidRPr="00D4686E" w:rsidRDefault="00AC28E1" w:rsidP="00AC28E1">
      <w:pPr>
        <w:pStyle w:val="Caption"/>
        <w:rPr>
          <w:b/>
          <w:lang w:val="en-US"/>
        </w:rPr>
      </w:pPr>
      <w:r w:rsidRPr="00D4686E">
        <w:rPr>
          <w:b/>
          <w:lang w:val="en-US"/>
        </w:rPr>
        <w:t>Summary of responses to</w:t>
      </w:r>
      <w:r w:rsidR="00A557B0">
        <w:rPr>
          <w:b/>
          <w:lang w:val="en-US"/>
        </w:rPr>
        <w:t xml:space="preserve"> the</w:t>
      </w:r>
      <w:r w:rsidRPr="00D4686E">
        <w:rPr>
          <w:b/>
          <w:lang w:val="en-US"/>
        </w:rPr>
        <w:t xml:space="preserve"> evaluation questions</w:t>
      </w:r>
    </w:p>
    <w:tbl>
      <w:tblPr>
        <w:tblStyle w:val="ListTable3-Accent31"/>
        <w:tblW w:w="5000" w:type="pct"/>
        <w:tblBorders>
          <w:top w:val="none" w:sz="0" w:space="0" w:color="auto"/>
          <w:left w:val="none" w:sz="0" w:space="0" w:color="auto"/>
          <w:bottom w:val="single" w:sz="4" w:space="0" w:color="86BC25" w:themeColor="accent1"/>
          <w:right w:val="none" w:sz="0" w:space="0" w:color="auto"/>
          <w:insideH w:val="single" w:sz="4" w:space="0" w:color="86BC25" w:themeColor="accent1"/>
        </w:tblBorders>
        <w:tblCellMar>
          <w:left w:w="28" w:type="dxa"/>
          <w:right w:w="28" w:type="dxa"/>
        </w:tblCellMar>
        <w:tblLook w:val="04A0" w:firstRow="1" w:lastRow="0" w:firstColumn="1" w:lastColumn="0" w:noHBand="0" w:noVBand="1"/>
      </w:tblPr>
      <w:tblGrid>
        <w:gridCol w:w="313"/>
        <w:gridCol w:w="2197"/>
        <w:gridCol w:w="7128"/>
      </w:tblGrid>
      <w:tr w:rsidR="00A557B0" w:rsidRPr="00A557B0" w14:paraId="0ADD8E4D" w14:textId="77777777" w:rsidTr="009B651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62" w:type="pct"/>
            <w:shd w:val="clear" w:color="auto" w:fill="86BC25" w:themeFill="accent1"/>
            <w:vAlign w:val="center"/>
          </w:tcPr>
          <w:p w14:paraId="193766BB" w14:textId="77777777" w:rsidR="00AC28E1" w:rsidRPr="00A557B0" w:rsidRDefault="00A557B0" w:rsidP="009B651B">
            <w:pPr>
              <w:spacing w:after="0"/>
              <w:rPr>
                <w:color w:val="FFFFFF" w:themeColor="background1"/>
                <w:lang w:val="en-US"/>
              </w:rPr>
            </w:pPr>
            <w:r>
              <w:rPr>
                <w:color w:val="FFFFFF" w:themeColor="background1"/>
                <w:lang w:val="en-US"/>
              </w:rPr>
              <w:t>#</w:t>
            </w:r>
          </w:p>
        </w:tc>
        <w:tc>
          <w:tcPr>
            <w:tcW w:w="1140" w:type="pct"/>
            <w:shd w:val="clear" w:color="auto" w:fill="86BC25" w:themeFill="accent1"/>
            <w:vAlign w:val="center"/>
          </w:tcPr>
          <w:p w14:paraId="7D6CDE09" w14:textId="77777777" w:rsidR="00AC28E1" w:rsidRPr="00A557B0" w:rsidRDefault="00A557B0" w:rsidP="009B651B">
            <w:pPr>
              <w:spacing w:after="0"/>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Pr>
                <w:color w:val="FFFFFF" w:themeColor="background1"/>
                <w:lang w:val="en-US"/>
              </w:rPr>
              <w:t>Evaluation question</w:t>
            </w:r>
          </w:p>
        </w:tc>
        <w:tc>
          <w:tcPr>
            <w:tcW w:w="3698" w:type="pct"/>
            <w:shd w:val="clear" w:color="auto" w:fill="86BC25" w:themeFill="accent1"/>
            <w:vAlign w:val="center"/>
          </w:tcPr>
          <w:p w14:paraId="548EF1C2" w14:textId="77777777" w:rsidR="00AC28E1" w:rsidRPr="00A557B0" w:rsidRDefault="00A557B0" w:rsidP="00A557B0">
            <w:pPr>
              <w:spacing w:after="0"/>
              <w:ind w:left="151"/>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Pr>
                <w:color w:val="FFFFFF" w:themeColor="background1"/>
                <w:lang w:val="en-US"/>
              </w:rPr>
              <w:t>Answer</w:t>
            </w:r>
          </w:p>
        </w:tc>
      </w:tr>
      <w:tr w:rsidR="00AC28E1" w:rsidRPr="00D4686E" w14:paraId="5FA66AAC" w14:textId="77777777" w:rsidTr="009B651B">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62" w:type="pct"/>
          </w:tcPr>
          <w:p w14:paraId="70A8C5E2" w14:textId="77777777" w:rsidR="00AC28E1" w:rsidRPr="00D4686E" w:rsidRDefault="00AC28E1" w:rsidP="009B651B">
            <w:pPr>
              <w:spacing w:after="0"/>
              <w:rPr>
                <w:b w:val="0"/>
                <w:lang w:val="en-US"/>
              </w:rPr>
            </w:pPr>
            <w:r w:rsidRPr="00D4686E">
              <w:rPr>
                <w:b w:val="0"/>
                <w:lang w:val="en-US"/>
              </w:rPr>
              <w:t>1</w:t>
            </w:r>
          </w:p>
        </w:tc>
        <w:tc>
          <w:tcPr>
            <w:tcW w:w="1140" w:type="pct"/>
          </w:tcPr>
          <w:p w14:paraId="15BC6BDC"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How did the interventions implemented within the support programs Innovation, Applications and Potential contributed to achievement of the SG 1.1 OP EIC?</w:t>
            </w:r>
          </w:p>
          <w:p w14:paraId="78829B07"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p>
          <w:p w14:paraId="45826004" w14:textId="77777777" w:rsidR="00AC28E1" w:rsidRPr="00D4686E" w:rsidRDefault="00A557B0" w:rsidP="009B651B">
            <w:pPr>
              <w:spacing w:after="0"/>
              <w:cnfStyle w:val="000000100000" w:firstRow="0" w:lastRow="0" w:firstColumn="0" w:lastColumn="0" w:oddVBand="0" w:evenVBand="0" w:oddHBand="1" w:evenHBand="0" w:firstRowFirstColumn="0" w:firstRowLastColumn="0" w:lastRowFirstColumn="0" w:lastRowLastColumn="0"/>
              <w:rPr>
                <w:lang w:val="en-US"/>
              </w:rPr>
            </w:pPr>
            <w:r>
              <w:rPr>
                <w:lang w:val="en-US"/>
              </w:rPr>
              <w:t>(Programs</w:t>
            </w:r>
            <w:r w:rsidR="00AC28E1" w:rsidRPr="00D4686E">
              <w:rPr>
                <w:lang w:val="en-US"/>
              </w:rPr>
              <w:t>: INO, APL, POT</w:t>
            </w:r>
            <w:r>
              <w:rPr>
                <w:lang w:val="en-US"/>
              </w:rPr>
              <w:t>)</w:t>
            </w:r>
          </w:p>
        </w:tc>
        <w:tc>
          <w:tcPr>
            <w:tcW w:w="3698" w:type="pct"/>
          </w:tcPr>
          <w:p w14:paraId="35AA58B0" w14:textId="77777777" w:rsidR="00AC28E1" w:rsidRPr="00D4686E"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rPr>
                <w:b/>
                <w:lang w:val="en-US"/>
              </w:rPr>
            </w:pPr>
            <w:r w:rsidRPr="00D4686E">
              <w:rPr>
                <w:lang w:val="en-US"/>
              </w:rPr>
              <w:t xml:space="preserve">Due to the program phase and the low number of completed projects, the impact of OP EIC support to increase innovation performance of Czech enterprises </w:t>
            </w:r>
            <w:r w:rsidRPr="00D4686E">
              <w:rPr>
                <w:b/>
                <w:lang w:val="en-US"/>
              </w:rPr>
              <w:t>cannot be comprehensively assessed</w:t>
            </w:r>
          </w:p>
          <w:p w14:paraId="63192C9B" w14:textId="77777777" w:rsidR="00AC28E1" w:rsidRPr="00D4686E"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 xml:space="preserve">Support under SG 1.1 is </w:t>
            </w:r>
            <w:r w:rsidRPr="00D4686E">
              <w:rPr>
                <w:b/>
                <w:lang w:val="en-US"/>
              </w:rPr>
              <w:t xml:space="preserve">assessed positively by beneficiaries, </w:t>
            </w:r>
            <w:r w:rsidRPr="00D4686E">
              <w:rPr>
                <w:lang w:val="en-US"/>
              </w:rPr>
              <w:t>leading to:</w:t>
            </w:r>
          </w:p>
          <w:p w14:paraId="57D119E3" w14:textId="77777777" w:rsidR="00AC28E1" w:rsidRPr="00D4686E" w:rsidRDefault="00AC28E1" w:rsidP="00AC28E1">
            <w:pPr>
              <w:pStyle w:val="ListParagraph"/>
              <w:numPr>
                <w:ilvl w:val="0"/>
                <w:numId w:val="138"/>
              </w:numPr>
              <w:ind w:left="1029"/>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 xml:space="preserve">Speeding up innovation by </w:t>
            </w:r>
            <w:r w:rsidRPr="00D4686E">
              <w:rPr>
                <w:b/>
                <w:lang w:val="en-US"/>
              </w:rPr>
              <w:t>up to two years</w:t>
            </w:r>
          </w:p>
          <w:p w14:paraId="0BDB02AB" w14:textId="77777777" w:rsidR="00AC28E1" w:rsidRPr="00D4686E" w:rsidRDefault="00AC28E1" w:rsidP="00AC28E1">
            <w:pPr>
              <w:pStyle w:val="ListParagraph"/>
              <w:numPr>
                <w:ilvl w:val="0"/>
                <w:numId w:val="138"/>
              </w:numPr>
              <w:ind w:left="1029"/>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 xml:space="preserve">Implementation of more </w:t>
            </w:r>
            <w:r w:rsidRPr="00D4686E">
              <w:rPr>
                <w:b/>
                <w:lang w:val="en-US"/>
              </w:rPr>
              <w:t>complex solutions</w:t>
            </w:r>
          </w:p>
          <w:p w14:paraId="6C020E7E" w14:textId="77777777" w:rsidR="00AC28E1" w:rsidRPr="00D4686E" w:rsidRDefault="00AC28E1" w:rsidP="00AC28E1">
            <w:pPr>
              <w:pStyle w:val="ListParagraph"/>
              <w:numPr>
                <w:ilvl w:val="0"/>
                <w:numId w:val="138"/>
              </w:numPr>
              <w:ind w:left="1029"/>
              <w:cnfStyle w:val="000000100000" w:firstRow="0" w:lastRow="0" w:firstColumn="0" w:lastColumn="0" w:oddVBand="0" w:evenVBand="0" w:oddHBand="1" w:evenHBand="0" w:firstRowFirstColumn="0" w:firstRowLastColumn="0" w:lastRowFirstColumn="0" w:lastRowLastColumn="0"/>
              <w:rPr>
                <w:b/>
                <w:lang w:val="en-US"/>
              </w:rPr>
            </w:pPr>
            <w:r w:rsidRPr="00D4686E">
              <w:rPr>
                <w:lang w:val="en-US"/>
              </w:rPr>
              <w:t xml:space="preserve">Increasing the number of companies with </w:t>
            </w:r>
            <w:r w:rsidRPr="00D4686E">
              <w:rPr>
                <w:b/>
                <w:lang w:val="en-US"/>
              </w:rPr>
              <w:t>modern R&amp;D infrastructure</w:t>
            </w:r>
          </w:p>
          <w:p w14:paraId="25F2F6B4" w14:textId="77777777" w:rsidR="00AC28E1" w:rsidRPr="00D4686E"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 xml:space="preserve">Supported projects, however, are </w:t>
            </w:r>
            <w:r w:rsidRPr="00D4686E">
              <w:rPr>
                <w:b/>
                <w:lang w:val="en-US"/>
              </w:rPr>
              <w:t>rather conservative and of rather an average innovation rank</w:t>
            </w:r>
          </w:p>
          <w:p w14:paraId="74EF25D6" w14:textId="77777777" w:rsidR="00AC28E1" w:rsidRPr="00D4686E" w:rsidRDefault="00AC28E1" w:rsidP="00AC28E1">
            <w:pPr>
              <w:pStyle w:val="ListParagraph"/>
              <w:numPr>
                <w:ilvl w:val="0"/>
                <w:numId w:val="119"/>
              </w:numPr>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Negatively rated:</w:t>
            </w:r>
          </w:p>
          <w:p w14:paraId="158B89C4" w14:textId="77777777" w:rsidR="00AC28E1" w:rsidRPr="00D4686E" w:rsidRDefault="00AC28E1" w:rsidP="00AC28E1">
            <w:pPr>
              <w:pStyle w:val="ListParagraph"/>
              <w:numPr>
                <w:ilvl w:val="0"/>
                <w:numId w:val="139"/>
              </w:numPr>
              <w:ind w:left="1029"/>
              <w:cnfStyle w:val="000000100000" w:firstRow="0" w:lastRow="0" w:firstColumn="0" w:lastColumn="0" w:oddVBand="0" w:evenVBand="0" w:oddHBand="1" w:evenHBand="0" w:firstRowFirstColumn="0" w:firstRowLastColumn="0" w:lastRowFirstColumn="0" w:lastRowLastColumn="0"/>
              <w:rPr>
                <w:lang w:val="en-US"/>
              </w:rPr>
            </w:pPr>
            <w:r w:rsidRPr="00D4686E">
              <w:rPr>
                <w:b/>
                <w:lang w:val="en-US"/>
              </w:rPr>
              <w:t>Delay</w:t>
            </w:r>
            <w:r w:rsidRPr="00D4686E">
              <w:rPr>
                <w:lang w:val="en-US"/>
              </w:rPr>
              <w:t xml:space="preserve"> in project proposals assessment and approval and in Payment Request Administration</w:t>
            </w:r>
          </w:p>
          <w:p w14:paraId="2530E3F8" w14:textId="77777777" w:rsidR="00AC28E1" w:rsidRPr="00D4686E" w:rsidRDefault="00AC28E1" w:rsidP="00AC28E1">
            <w:pPr>
              <w:pStyle w:val="ListParagraph"/>
              <w:numPr>
                <w:ilvl w:val="0"/>
                <w:numId w:val="139"/>
              </w:numPr>
              <w:spacing w:after="60"/>
              <w:ind w:left="1029"/>
              <w:cnfStyle w:val="000000100000" w:firstRow="0" w:lastRow="0" w:firstColumn="0" w:lastColumn="0" w:oddVBand="0" w:evenVBand="0" w:oddHBand="1" w:evenHBand="0" w:firstRowFirstColumn="0" w:firstRowLastColumn="0" w:lastRowFirstColumn="0" w:lastRowLastColumn="0"/>
              <w:rPr>
                <w:lang w:val="en-US"/>
              </w:rPr>
            </w:pPr>
            <w:r w:rsidRPr="00D4686E">
              <w:rPr>
                <w:b/>
                <w:lang w:val="en-US"/>
              </w:rPr>
              <w:t>Low flexibility</w:t>
            </w:r>
            <w:r w:rsidRPr="00D4686E">
              <w:rPr>
                <w:lang w:val="en-US"/>
              </w:rPr>
              <w:t xml:space="preserve"> in projects changes</w:t>
            </w:r>
          </w:p>
        </w:tc>
      </w:tr>
      <w:tr w:rsidR="00AC28E1" w:rsidRPr="00D4686E" w14:paraId="2485CF3E"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0E573090" w14:textId="77777777" w:rsidR="00AC28E1" w:rsidRPr="00D4686E" w:rsidRDefault="00AC28E1" w:rsidP="009B651B">
            <w:pPr>
              <w:spacing w:after="0"/>
              <w:rPr>
                <w:b w:val="0"/>
                <w:lang w:val="en-US"/>
              </w:rPr>
            </w:pPr>
            <w:r w:rsidRPr="00D4686E">
              <w:rPr>
                <w:b w:val="0"/>
                <w:lang w:val="en-US"/>
              </w:rPr>
              <w:t>2</w:t>
            </w:r>
          </w:p>
        </w:tc>
        <w:tc>
          <w:tcPr>
            <w:tcW w:w="1140" w:type="pct"/>
          </w:tcPr>
          <w:p w14:paraId="41EEC341"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What is the share of supported enterprises that have successfully introduced innovated products on the market compared to those that did not, or failed to?</w:t>
            </w:r>
          </w:p>
          <w:p w14:paraId="7FC55E44"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What are the main reasons for the failure of promoted businesses to launch the product? Did the supported projects contribute to increasing the success of Czech companies in foreign markets?</w:t>
            </w:r>
          </w:p>
          <w:p w14:paraId="51BE45BF" w14:textId="77777777" w:rsidR="00AC28E1" w:rsidRPr="00D4686E" w:rsidRDefault="00A557B0" w:rsidP="00A557B0">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w:t>
            </w:r>
            <w:r w:rsidR="00AC28E1" w:rsidRPr="00D4686E">
              <w:rPr>
                <w:lang w:val="en-US"/>
              </w:rPr>
              <w:t>INO, APL, POT</w:t>
            </w:r>
            <w:r>
              <w:rPr>
                <w:lang w:val="en-US"/>
              </w:rPr>
              <w:t>)</w:t>
            </w:r>
          </w:p>
        </w:tc>
        <w:tc>
          <w:tcPr>
            <w:tcW w:w="3698" w:type="pct"/>
          </w:tcPr>
          <w:p w14:paraId="0B8691B9" w14:textId="77777777" w:rsidR="00AC28E1" w:rsidRPr="00D4686E" w:rsidRDefault="00AC28E1" w:rsidP="00AC28E1">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Enterprises are more successful in introducing innovated products to the market (in the Czech Republic and abroad)</w:t>
            </w:r>
          </w:p>
          <w:p w14:paraId="449117CF" w14:textId="77777777" w:rsidR="00AC28E1" w:rsidRPr="00D4686E" w:rsidRDefault="00AC28E1" w:rsidP="00AC28E1">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The impact of OP EIC support cannot be precisely quantified</w:t>
            </w:r>
          </w:p>
          <w:p w14:paraId="0D4B437C" w14:textId="77777777" w:rsidR="00AC28E1" w:rsidRPr="00D4686E" w:rsidRDefault="00AC28E1" w:rsidP="00AC28E1">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Main reasons for product launch problems or failures:</w:t>
            </w:r>
          </w:p>
          <w:p w14:paraId="1B689303"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Large administrative burden, delay in project implementation</w:t>
            </w:r>
          </w:p>
          <w:p w14:paraId="15DC9EF4"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High level of competition</w:t>
            </w:r>
          </w:p>
          <w:p w14:paraId="4BCAA758"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High input costs</w:t>
            </w:r>
          </w:p>
          <w:p w14:paraId="3882B75B"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Conservativeness of the Czech market</w:t>
            </w:r>
          </w:p>
          <w:p w14:paraId="09C0F67A"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External influences discontinuous with OP EIC support</w:t>
            </w:r>
          </w:p>
          <w:p w14:paraId="4ABC66AF" w14:textId="77777777" w:rsidR="00AC28E1" w:rsidRPr="00D4686E" w:rsidRDefault="00AC28E1" w:rsidP="00AC28E1">
            <w:pPr>
              <w:pStyle w:val="ListParagraph"/>
              <w:numPr>
                <w:ilvl w:val="0"/>
                <w:numId w:val="140"/>
              </w:numPr>
              <w:ind w:left="1029"/>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Internal changes in the company</w:t>
            </w:r>
          </w:p>
          <w:p w14:paraId="38BC228A" w14:textId="77777777" w:rsidR="00AC28E1" w:rsidRPr="00D4686E" w:rsidRDefault="00AC28E1" w:rsidP="00AC28E1">
            <w:pPr>
              <w:pStyle w:val="ListParagraph"/>
              <w:numPr>
                <w:ilvl w:val="0"/>
                <w:numId w:val="122"/>
              </w:numPr>
              <w:spacing w:after="60"/>
              <w:contextualSpacing w:val="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Supported projects contributed to a certain extent to a greater success of Czech companies in foreign markets</w:t>
            </w:r>
          </w:p>
        </w:tc>
      </w:tr>
      <w:tr w:rsidR="00AC28E1" w:rsidRPr="00D4686E" w14:paraId="4FBF696E"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3C6C3F76" w14:textId="77777777" w:rsidR="00AC28E1" w:rsidRPr="00D4686E" w:rsidRDefault="00AC28E1" w:rsidP="009B651B">
            <w:pPr>
              <w:spacing w:after="0"/>
              <w:rPr>
                <w:b w:val="0"/>
                <w:lang w:val="en-US"/>
              </w:rPr>
            </w:pPr>
            <w:r w:rsidRPr="00D4686E">
              <w:rPr>
                <w:b w:val="0"/>
                <w:lang w:val="en-US"/>
              </w:rPr>
              <w:t>3</w:t>
            </w:r>
          </w:p>
        </w:tc>
        <w:tc>
          <w:tcPr>
            <w:tcW w:w="1140" w:type="pct"/>
          </w:tcPr>
          <w:p w14:paraId="1FCB65B7"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bCs/>
                <w:szCs w:val="18"/>
                <w:lang w:val="en-US"/>
              </w:rPr>
            </w:pPr>
            <w:r w:rsidRPr="00D4686E">
              <w:rPr>
                <w:bCs/>
                <w:szCs w:val="18"/>
                <w:lang w:val="en-US"/>
              </w:rPr>
              <w:t>What is the share of different types of innovations (product, process, organizational, marketing) among supported projects?</w:t>
            </w:r>
          </w:p>
          <w:p w14:paraId="5909DAC5"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bCs/>
                <w:szCs w:val="18"/>
                <w:lang w:val="en-US"/>
              </w:rPr>
              <w:t>(INO)</w:t>
            </w:r>
          </w:p>
        </w:tc>
        <w:tc>
          <w:tcPr>
            <w:tcW w:w="3698" w:type="pct"/>
          </w:tcPr>
          <w:p w14:paraId="6A1AA7BB" w14:textId="77777777" w:rsidR="00AC28E1" w:rsidRPr="00D4686E" w:rsidRDefault="00AC28E1" w:rsidP="00AC28E1">
            <w:pPr>
              <w:pStyle w:val="ListParagraph"/>
              <w:numPr>
                <w:ilvl w:val="0"/>
                <w:numId w:val="125"/>
              </w:num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 xml:space="preserve">Expert Appraisal API: </w:t>
            </w:r>
            <w:r w:rsidRPr="00D4686E">
              <w:rPr>
                <w:b/>
                <w:lang w:val="en-US"/>
              </w:rPr>
              <w:t>90% of all innovations</w:t>
            </w:r>
            <w:r w:rsidRPr="00D4686E">
              <w:rPr>
                <w:lang w:val="en-US"/>
              </w:rPr>
              <w:t xml:space="preserve"> are </w:t>
            </w:r>
            <w:r w:rsidRPr="00D4686E">
              <w:rPr>
                <w:b/>
                <w:lang w:val="en-US"/>
              </w:rPr>
              <w:t>product innovations</w:t>
            </w:r>
            <w:r w:rsidRPr="00D4686E">
              <w:rPr>
                <w:lang w:val="en-US"/>
              </w:rPr>
              <w:t>, others are usually accompanying innovations</w:t>
            </w:r>
          </w:p>
          <w:p w14:paraId="1BA1ADEB" w14:textId="77777777" w:rsidR="00AC28E1" w:rsidRPr="00D4686E" w:rsidRDefault="00AC28E1" w:rsidP="00AC28E1">
            <w:pPr>
              <w:pStyle w:val="ListParagraph"/>
              <w:numPr>
                <w:ilvl w:val="0"/>
                <w:numId w:val="125"/>
              </w:num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Questionnaire Survey results:</w:t>
            </w:r>
          </w:p>
          <w:p w14:paraId="2499C2F3" w14:textId="77777777" w:rsidR="00AC28E1" w:rsidRPr="00D4686E" w:rsidRDefault="00AC28E1" w:rsidP="00AC28E1">
            <w:pPr>
              <w:pStyle w:val="ListParagraph"/>
              <w:numPr>
                <w:ilvl w:val="0"/>
                <w:numId w:val="125"/>
              </w:numPr>
              <w:spacing w:after="0"/>
              <w:cnfStyle w:val="000000100000" w:firstRow="0" w:lastRow="0" w:firstColumn="0" w:lastColumn="0" w:oddVBand="0" w:evenVBand="0" w:oddHBand="1" w:evenHBand="0" w:firstRowFirstColumn="0" w:firstRowLastColumn="0" w:lastRowFirstColumn="0" w:lastRowLastColumn="0"/>
              <w:rPr>
                <w:b/>
                <w:lang w:val="en-US"/>
              </w:rPr>
            </w:pPr>
            <w:r w:rsidRPr="00D4686E">
              <w:rPr>
                <w:b/>
                <w:lang w:val="en-US"/>
              </w:rPr>
              <w:t>66% product innovation</w:t>
            </w:r>
          </w:p>
          <w:p w14:paraId="39D8AF0E" w14:textId="77777777" w:rsidR="00AC28E1" w:rsidRPr="00D4686E" w:rsidRDefault="00AC28E1" w:rsidP="00AC28E1">
            <w:pPr>
              <w:pStyle w:val="ListParagraph"/>
              <w:numPr>
                <w:ilvl w:val="0"/>
                <w:numId w:val="125"/>
              </w:numPr>
              <w:spacing w:after="0"/>
              <w:cnfStyle w:val="000000100000" w:firstRow="0" w:lastRow="0" w:firstColumn="0" w:lastColumn="0" w:oddVBand="0" w:evenVBand="0" w:oddHBand="1" w:evenHBand="0" w:firstRowFirstColumn="0" w:firstRowLastColumn="0" w:lastRowFirstColumn="0" w:lastRowLastColumn="0"/>
              <w:rPr>
                <w:b/>
                <w:lang w:val="en-US"/>
              </w:rPr>
            </w:pPr>
            <w:r w:rsidRPr="00D4686E">
              <w:rPr>
                <w:b/>
                <w:lang w:val="en-US"/>
              </w:rPr>
              <w:t>38% process innovation</w:t>
            </w:r>
          </w:p>
          <w:p w14:paraId="48C09091" w14:textId="77777777" w:rsidR="00AC28E1" w:rsidRPr="00D4686E" w:rsidRDefault="00AC28E1" w:rsidP="00AC28E1">
            <w:pPr>
              <w:pStyle w:val="ListParagraph"/>
              <w:numPr>
                <w:ilvl w:val="0"/>
                <w:numId w:val="125"/>
              </w:num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4% organizational innovation</w:t>
            </w:r>
          </w:p>
          <w:p w14:paraId="1E76D468" w14:textId="77777777" w:rsidR="00AC28E1" w:rsidRPr="00D4686E" w:rsidRDefault="00AC28E1" w:rsidP="00AC28E1">
            <w:pPr>
              <w:numPr>
                <w:ilvl w:val="0"/>
                <w:numId w:val="125"/>
              </w:num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3% marketing innovation</w:t>
            </w:r>
          </w:p>
        </w:tc>
      </w:tr>
      <w:tr w:rsidR="00AC28E1" w:rsidRPr="00D4686E" w14:paraId="141A0824" w14:textId="77777777" w:rsidTr="009B651B">
        <w:trPr>
          <w:trHeight w:val="2682"/>
        </w:trPr>
        <w:tc>
          <w:tcPr>
            <w:cnfStyle w:val="001000000000" w:firstRow="0" w:lastRow="0" w:firstColumn="1" w:lastColumn="0" w:oddVBand="0" w:evenVBand="0" w:oddHBand="0" w:evenHBand="0" w:firstRowFirstColumn="0" w:firstRowLastColumn="0" w:lastRowFirstColumn="0" w:lastRowLastColumn="0"/>
            <w:tcW w:w="162" w:type="pct"/>
          </w:tcPr>
          <w:p w14:paraId="7D3C7E05" w14:textId="77777777" w:rsidR="00AC28E1" w:rsidRPr="00D4686E" w:rsidRDefault="00AC28E1" w:rsidP="009B651B">
            <w:pPr>
              <w:spacing w:after="0"/>
              <w:rPr>
                <w:b w:val="0"/>
                <w:lang w:val="en-US"/>
              </w:rPr>
            </w:pPr>
            <w:r w:rsidRPr="00D4686E">
              <w:rPr>
                <w:b w:val="0"/>
                <w:lang w:val="en-US"/>
              </w:rPr>
              <w:t>4</w:t>
            </w:r>
          </w:p>
        </w:tc>
        <w:tc>
          <w:tcPr>
            <w:tcW w:w="1140" w:type="pct"/>
          </w:tcPr>
          <w:p w14:paraId="14BB7696"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What is the share of eco-innovation</w:t>
            </w:r>
            <w:r w:rsidR="00A557B0">
              <w:rPr>
                <w:lang w:val="en-US"/>
              </w:rPr>
              <w:t>s</w:t>
            </w:r>
            <w:r w:rsidRPr="00D4686E">
              <w:rPr>
                <w:lang w:val="en-US"/>
              </w:rPr>
              <w:t xml:space="preserve"> and R&amp;D in terms of improving the environment among supported projects?</w:t>
            </w:r>
          </w:p>
          <w:p w14:paraId="76C11A34"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(INO)</w:t>
            </w:r>
          </w:p>
        </w:tc>
        <w:tc>
          <w:tcPr>
            <w:tcW w:w="3698" w:type="pct"/>
          </w:tcPr>
          <w:p w14:paraId="69172231" w14:textId="77777777" w:rsidR="00AC28E1" w:rsidRPr="00D4686E"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rPr>
                <w:bCs/>
                <w:lang w:val="en-US"/>
              </w:rPr>
            </w:pPr>
            <w:r w:rsidRPr="00D4686E">
              <w:rPr>
                <w:b/>
                <w:bCs/>
                <w:lang w:val="en-US"/>
              </w:rPr>
              <w:t>The share of eco-innovation at the level of all projects under SG 1.1 cannot be clearly identified</w:t>
            </w:r>
          </w:p>
          <w:p w14:paraId="3787A1D2" w14:textId="77777777" w:rsidR="00AC28E1" w:rsidRPr="00D4686E"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rPr>
                <w:bCs/>
                <w:lang w:val="en-US"/>
              </w:rPr>
            </w:pPr>
            <w:r w:rsidRPr="00D4686E">
              <w:rPr>
                <w:lang w:val="en-US"/>
              </w:rPr>
              <w:t>Questionnaire Survey results:</w:t>
            </w:r>
          </w:p>
          <w:p w14:paraId="6957BDF8" w14:textId="77777777" w:rsidR="00AC28E1" w:rsidRPr="00D4686E" w:rsidRDefault="00AC28E1" w:rsidP="00AC28E1">
            <w:pPr>
              <w:pStyle w:val="ListParagraph"/>
              <w:numPr>
                <w:ilvl w:val="0"/>
                <w:numId w:val="141"/>
              </w:numPr>
              <w:spacing w:after="60"/>
              <w:ind w:left="1029"/>
              <w:cnfStyle w:val="000000000000" w:firstRow="0" w:lastRow="0" w:firstColumn="0" w:lastColumn="0" w:oddVBand="0" w:evenVBand="0" w:oddHBand="0" w:evenHBand="0" w:firstRowFirstColumn="0" w:firstRowLastColumn="0" w:lastRowFirstColumn="0" w:lastRowLastColumn="0"/>
              <w:rPr>
                <w:b/>
                <w:bCs/>
                <w:lang w:val="en-US"/>
              </w:rPr>
            </w:pPr>
            <w:r w:rsidRPr="00D4686E">
              <w:rPr>
                <w:b/>
                <w:bCs/>
                <w:lang w:val="en-US"/>
              </w:rPr>
              <w:t>6 %</w:t>
            </w:r>
            <w:r w:rsidRPr="00D4686E">
              <w:rPr>
                <w:bCs/>
                <w:lang w:val="en-US"/>
              </w:rPr>
              <w:t xml:space="preserve"> of respondents: improving the environment was the </w:t>
            </w:r>
            <w:r w:rsidRPr="00D4686E">
              <w:rPr>
                <w:b/>
                <w:bCs/>
                <w:lang w:val="en-US"/>
              </w:rPr>
              <w:t xml:space="preserve">essence </w:t>
            </w:r>
            <w:r w:rsidRPr="00D4686E">
              <w:rPr>
                <w:bCs/>
                <w:lang w:val="en-US"/>
              </w:rPr>
              <w:t>of supported innovation</w:t>
            </w:r>
          </w:p>
          <w:p w14:paraId="661FB446" w14:textId="77777777" w:rsidR="00AC28E1" w:rsidRPr="00D4686E" w:rsidRDefault="00AC28E1" w:rsidP="00AC28E1">
            <w:pPr>
              <w:pStyle w:val="ListParagraph"/>
              <w:numPr>
                <w:ilvl w:val="0"/>
                <w:numId w:val="141"/>
              </w:numPr>
              <w:spacing w:after="60"/>
              <w:ind w:left="1029"/>
              <w:cnfStyle w:val="000000000000" w:firstRow="0" w:lastRow="0" w:firstColumn="0" w:lastColumn="0" w:oddVBand="0" w:evenVBand="0" w:oddHBand="0" w:evenHBand="0" w:firstRowFirstColumn="0" w:firstRowLastColumn="0" w:lastRowFirstColumn="0" w:lastRowLastColumn="0"/>
              <w:rPr>
                <w:bCs/>
                <w:lang w:val="en-US"/>
              </w:rPr>
            </w:pPr>
            <w:r w:rsidRPr="00D4686E">
              <w:rPr>
                <w:b/>
                <w:bCs/>
                <w:lang w:val="en-US"/>
              </w:rPr>
              <w:t xml:space="preserve">25 % </w:t>
            </w:r>
            <w:r w:rsidRPr="00D4686E">
              <w:rPr>
                <w:bCs/>
                <w:lang w:val="en-US"/>
              </w:rPr>
              <w:t xml:space="preserve">of respondents: the environment was an </w:t>
            </w:r>
            <w:r w:rsidRPr="00D4686E">
              <w:rPr>
                <w:b/>
                <w:bCs/>
                <w:lang w:val="en-US"/>
              </w:rPr>
              <w:t>important part</w:t>
            </w:r>
            <w:r w:rsidRPr="00D4686E">
              <w:rPr>
                <w:bCs/>
                <w:lang w:val="en-US"/>
              </w:rPr>
              <w:t xml:space="preserve"> of supported innovation</w:t>
            </w:r>
          </w:p>
          <w:p w14:paraId="6953D1D2" w14:textId="77777777" w:rsidR="00AC28E1" w:rsidRPr="00D4686E" w:rsidRDefault="00AC28E1" w:rsidP="00AC28E1">
            <w:pPr>
              <w:pStyle w:val="ListParagraph"/>
              <w:numPr>
                <w:ilvl w:val="0"/>
                <w:numId w:val="141"/>
              </w:numPr>
              <w:spacing w:after="60"/>
              <w:ind w:left="1029"/>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 xml:space="preserve">The rest of the respondents: Innovations have touched the environment </w:t>
            </w:r>
            <w:r w:rsidRPr="00D4686E">
              <w:rPr>
                <w:b/>
                <w:bCs/>
                <w:lang w:val="en-US"/>
              </w:rPr>
              <w:t>marginally</w:t>
            </w:r>
            <w:r w:rsidRPr="00D4686E">
              <w:rPr>
                <w:bCs/>
                <w:lang w:val="en-US"/>
              </w:rPr>
              <w:t xml:space="preserve"> or have had </w:t>
            </w:r>
            <w:r w:rsidRPr="00D4686E">
              <w:rPr>
                <w:b/>
                <w:bCs/>
                <w:lang w:val="en-US"/>
              </w:rPr>
              <w:t>no effect</w:t>
            </w:r>
          </w:p>
          <w:p w14:paraId="4FA550CF" w14:textId="77777777" w:rsidR="00AC28E1" w:rsidRPr="00D4686E" w:rsidRDefault="00AC28E1" w:rsidP="00AC28E1">
            <w:pPr>
              <w:pStyle w:val="ListParagraph"/>
              <w:numPr>
                <w:ilvl w:val="0"/>
                <w:numId w:val="126"/>
              </w:numPr>
              <w:spacing w:after="60"/>
              <w:cnfStyle w:val="000000000000" w:firstRow="0" w:lastRow="0" w:firstColumn="0" w:lastColumn="0" w:oddVBand="0" w:evenVBand="0" w:oddHBand="0" w:evenHBand="0" w:firstRowFirstColumn="0" w:firstRowLastColumn="0" w:lastRowFirstColumn="0" w:lastRowLastColumn="0"/>
              <w:rPr>
                <w:lang w:val="en-US"/>
              </w:rPr>
            </w:pPr>
            <w:r w:rsidRPr="00D4686E">
              <w:rPr>
                <w:bCs/>
                <w:lang w:val="en-US"/>
              </w:rPr>
              <w:t xml:space="preserve">Environmental protection therefore appears to be </w:t>
            </w:r>
            <w:r w:rsidRPr="00D4686E">
              <w:rPr>
                <w:b/>
                <w:bCs/>
                <w:lang w:val="en-US"/>
              </w:rPr>
              <w:t>rather a declaratory part of the project without any real impact</w:t>
            </w:r>
          </w:p>
        </w:tc>
      </w:tr>
      <w:tr w:rsidR="00AC28E1" w:rsidRPr="00D4686E" w14:paraId="595B0856"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45B718FB" w14:textId="77777777" w:rsidR="00AC28E1" w:rsidRPr="00D4686E" w:rsidRDefault="00AC28E1" w:rsidP="009B651B">
            <w:pPr>
              <w:spacing w:after="0"/>
              <w:rPr>
                <w:b w:val="0"/>
                <w:lang w:val="en-US"/>
              </w:rPr>
            </w:pPr>
            <w:r w:rsidRPr="00D4686E">
              <w:rPr>
                <w:b w:val="0"/>
                <w:lang w:val="en-US"/>
              </w:rPr>
              <w:t>5</w:t>
            </w:r>
          </w:p>
        </w:tc>
        <w:tc>
          <w:tcPr>
            <w:tcW w:w="1140" w:type="pct"/>
          </w:tcPr>
          <w:p w14:paraId="1C462F1A"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What proportion of supported projects falls under the area of industrial challenges and key technologies (KETs)?</w:t>
            </w:r>
          </w:p>
          <w:p w14:paraId="4B89AAB9"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(APL, POT)</w:t>
            </w:r>
          </w:p>
        </w:tc>
        <w:tc>
          <w:tcPr>
            <w:tcW w:w="3698" w:type="pct"/>
          </w:tcPr>
          <w:p w14:paraId="7B675079" w14:textId="77777777" w:rsidR="00AC28E1" w:rsidRPr="00D4686E" w:rsidRDefault="00AC28E1" w:rsidP="00AC28E1">
            <w:pPr>
              <w:pStyle w:val="ListParagraph"/>
              <w:numPr>
                <w:ilvl w:val="0"/>
                <w:numId w:val="129"/>
              </w:numPr>
              <w:spacing w:after="0"/>
              <w:cnfStyle w:val="000000100000" w:firstRow="0" w:lastRow="0" w:firstColumn="0" w:lastColumn="0" w:oddVBand="0" w:evenVBand="0" w:oddHBand="1" w:evenHBand="0" w:firstRowFirstColumn="0" w:firstRowLastColumn="0" w:lastRowFirstColumn="0" w:lastRowLastColumn="0"/>
              <w:rPr>
                <w:b/>
                <w:bCs/>
                <w:lang w:val="en-US"/>
              </w:rPr>
            </w:pPr>
            <w:r w:rsidRPr="00D4686E">
              <w:rPr>
                <w:b/>
                <w:bCs/>
                <w:lang w:val="en-US"/>
              </w:rPr>
              <w:t xml:space="preserve">It is not possible to conclusively identify the proportion of projects under industrial calls and KETs </w:t>
            </w:r>
            <w:r w:rsidRPr="00D4686E">
              <w:rPr>
                <w:bCs/>
                <w:lang w:val="en-US"/>
              </w:rPr>
              <w:t>at the level of all projects under SG 1.1</w:t>
            </w:r>
          </w:p>
          <w:p w14:paraId="458726EC" w14:textId="77777777" w:rsidR="00AC28E1" w:rsidRPr="00D4686E" w:rsidRDefault="00AC28E1" w:rsidP="00AC28E1">
            <w:pPr>
              <w:pStyle w:val="ListParagraph"/>
              <w:numPr>
                <w:ilvl w:val="0"/>
                <w:numId w:val="129"/>
              </w:numPr>
              <w:spacing w:after="60"/>
              <w:cnfStyle w:val="000000100000" w:firstRow="0" w:lastRow="0" w:firstColumn="0" w:lastColumn="0" w:oddVBand="0" w:evenVBand="0" w:oddHBand="1" w:evenHBand="0" w:firstRowFirstColumn="0" w:firstRowLastColumn="0" w:lastRowFirstColumn="0" w:lastRowLastColumn="0"/>
              <w:rPr>
                <w:bCs/>
                <w:lang w:val="en-US"/>
              </w:rPr>
            </w:pPr>
            <w:r w:rsidRPr="00D4686E">
              <w:rPr>
                <w:lang w:val="en-US"/>
              </w:rPr>
              <w:t>Questionnaire Survey results:</w:t>
            </w:r>
          </w:p>
          <w:p w14:paraId="6CECF40A" w14:textId="77777777" w:rsidR="00AC28E1" w:rsidRPr="00D4686E" w:rsidRDefault="00AC28E1" w:rsidP="00A557B0">
            <w:pPr>
              <w:pStyle w:val="ListParagraph"/>
              <w:numPr>
                <w:ilvl w:val="0"/>
                <w:numId w:val="149"/>
              </w:numPr>
              <w:spacing w:after="0"/>
              <w:ind w:left="1001"/>
              <w:cnfStyle w:val="000000100000" w:firstRow="0" w:lastRow="0" w:firstColumn="0" w:lastColumn="0" w:oddVBand="0" w:evenVBand="0" w:oddHBand="1" w:evenHBand="0" w:firstRowFirstColumn="0" w:firstRowLastColumn="0" w:lastRowFirstColumn="0" w:lastRowLastColumn="0"/>
              <w:rPr>
                <w:lang w:val="en-US"/>
              </w:rPr>
            </w:pPr>
            <w:r w:rsidRPr="00D4686E">
              <w:rPr>
                <w:b/>
                <w:bCs/>
                <w:lang w:val="en-US"/>
              </w:rPr>
              <w:t>42% of respondents</w:t>
            </w:r>
            <w:r w:rsidRPr="00D4686E">
              <w:rPr>
                <w:bCs/>
                <w:lang w:val="en-US"/>
              </w:rPr>
              <w:t>: the project falls in the area of industrial calls and KET technologies</w:t>
            </w:r>
          </w:p>
        </w:tc>
      </w:tr>
      <w:tr w:rsidR="00AC28E1" w:rsidRPr="00D4686E" w14:paraId="78D72DF2"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145BA9E1" w14:textId="77777777" w:rsidR="00AC28E1" w:rsidRPr="00D4686E" w:rsidRDefault="00AC28E1" w:rsidP="009B651B">
            <w:pPr>
              <w:spacing w:after="0"/>
              <w:rPr>
                <w:b w:val="0"/>
                <w:lang w:val="en-US"/>
              </w:rPr>
            </w:pPr>
            <w:r w:rsidRPr="00D4686E">
              <w:rPr>
                <w:b w:val="0"/>
                <w:lang w:val="en-US"/>
              </w:rPr>
              <w:t>6</w:t>
            </w:r>
          </w:p>
        </w:tc>
        <w:tc>
          <w:tcPr>
            <w:tcW w:w="1140" w:type="pct"/>
          </w:tcPr>
          <w:p w14:paraId="1B90E007"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To what extend has increased the participation of Czech companies in European Horizon 2020 programs due to SG 1.1?</w:t>
            </w:r>
          </w:p>
          <w:p w14:paraId="1FEF245E"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(INO, APL, POT)</w:t>
            </w:r>
          </w:p>
        </w:tc>
        <w:tc>
          <w:tcPr>
            <w:tcW w:w="3698" w:type="pct"/>
          </w:tcPr>
          <w:p w14:paraId="3452E9FD" w14:textId="77777777" w:rsidR="00AC28E1" w:rsidRPr="00D4686E" w:rsidRDefault="00AC28E1" w:rsidP="00AC28E1">
            <w:pPr>
              <w:pStyle w:val="ListParagraph"/>
              <w:numPr>
                <w:ilvl w:val="0"/>
                <w:numId w:val="130"/>
              </w:numPr>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Questionnaire Survey results:</w:t>
            </w:r>
          </w:p>
          <w:p w14:paraId="6BE75F75" w14:textId="77777777" w:rsidR="00AC28E1" w:rsidRPr="00D4686E" w:rsidRDefault="00AC28E1" w:rsidP="00AC28E1">
            <w:pPr>
              <w:pStyle w:val="ListParagraph"/>
              <w:numPr>
                <w:ilvl w:val="0"/>
                <w:numId w:val="142"/>
              </w:numPr>
              <w:ind w:left="1029"/>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lang w:val="en-US"/>
              </w:rPr>
            </w:pPr>
            <w:r w:rsidRPr="00D4686E">
              <w:rPr>
                <w:rFonts w:asciiTheme="minorHAnsi" w:eastAsiaTheme="minorHAnsi" w:hAnsiTheme="minorHAnsi"/>
                <w:b/>
                <w:lang w:val="en-US"/>
              </w:rPr>
              <w:t>70%</w:t>
            </w:r>
            <w:r w:rsidRPr="00D4686E">
              <w:rPr>
                <w:rFonts w:asciiTheme="minorHAnsi" w:eastAsiaTheme="minorHAnsi" w:hAnsiTheme="minorHAnsi"/>
                <w:lang w:val="en-US"/>
              </w:rPr>
              <w:t xml:space="preserve"> of respondents</w:t>
            </w:r>
            <w:r w:rsidRPr="00D4686E">
              <w:rPr>
                <w:lang w:val="en-US"/>
              </w:rPr>
              <w:t xml:space="preserve"> </w:t>
            </w:r>
            <w:r w:rsidRPr="00D4686E">
              <w:rPr>
                <w:b/>
                <w:lang w:val="en-US"/>
              </w:rPr>
              <w:t>are not involved</w:t>
            </w:r>
            <w:r w:rsidRPr="00D4686E">
              <w:rPr>
                <w:lang w:val="en-US"/>
              </w:rPr>
              <w:t xml:space="preserve"> in European R</w:t>
            </w:r>
            <w:r w:rsidRPr="00D4686E">
              <w:rPr>
                <w:rFonts w:asciiTheme="minorHAnsi" w:eastAsiaTheme="minorHAnsi" w:hAnsiTheme="minorHAnsi"/>
                <w:lang w:val="en-US"/>
              </w:rPr>
              <w:t>&amp;</w:t>
            </w:r>
            <w:r w:rsidRPr="00D4686E">
              <w:rPr>
                <w:lang w:val="en-US"/>
              </w:rPr>
              <w:t>D</w:t>
            </w:r>
            <w:r w:rsidRPr="00D4686E">
              <w:rPr>
                <w:rFonts w:asciiTheme="minorHAnsi" w:eastAsiaTheme="minorHAnsi" w:hAnsiTheme="minorHAnsi"/>
                <w:lang w:val="en-US"/>
              </w:rPr>
              <w:t>&amp;I support programs</w:t>
            </w:r>
          </w:p>
          <w:p w14:paraId="2645EF76" w14:textId="77777777" w:rsidR="00AC28E1" w:rsidRPr="00D4686E" w:rsidRDefault="00AC28E1" w:rsidP="00AC28E1">
            <w:pPr>
              <w:pStyle w:val="ListParagraph"/>
              <w:numPr>
                <w:ilvl w:val="0"/>
                <w:numId w:val="143"/>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lang w:val="en-US"/>
              </w:rPr>
            </w:pPr>
            <w:r w:rsidRPr="00D4686E">
              <w:rPr>
                <w:rFonts w:asciiTheme="minorHAnsi" w:eastAsiaTheme="minorHAnsi" w:hAnsiTheme="minorHAnsi"/>
                <w:lang w:val="en-US"/>
              </w:rPr>
              <w:t xml:space="preserve">OP EIC </w:t>
            </w:r>
            <w:r w:rsidRPr="00D4686E">
              <w:rPr>
                <w:lang w:val="en-US"/>
              </w:rPr>
              <w:t xml:space="preserve">support </w:t>
            </w:r>
            <w:r w:rsidRPr="00D4686E">
              <w:rPr>
                <w:rFonts w:asciiTheme="minorHAnsi" w:eastAsiaTheme="minorHAnsi" w:hAnsiTheme="minorHAnsi"/>
                <w:lang w:val="en-US"/>
              </w:rPr>
              <w:t>has only a very minor influence on the involvement of beneficiaries in European R&amp;D&amp;I su</w:t>
            </w:r>
            <w:r w:rsidRPr="00D4686E">
              <w:rPr>
                <w:lang w:val="en-US"/>
              </w:rPr>
              <w:t>pport programs (support under SG</w:t>
            </w:r>
            <w:r w:rsidRPr="00D4686E">
              <w:rPr>
                <w:rFonts w:asciiTheme="minorHAnsi" w:eastAsiaTheme="minorHAnsi" w:hAnsiTheme="minorHAnsi"/>
                <w:lang w:val="en-US"/>
              </w:rPr>
              <w:t xml:space="preserve"> 1.1 did not affect this trend)</w:t>
            </w:r>
          </w:p>
          <w:p w14:paraId="64004154" w14:textId="77777777" w:rsidR="00AC28E1" w:rsidRPr="00D4686E" w:rsidRDefault="00AC28E1" w:rsidP="00AC28E1">
            <w:pPr>
              <w:pStyle w:val="ListParagraph"/>
              <w:numPr>
                <w:ilvl w:val="0"/>
                <w:numId w:val="143"/>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lang w:val="en-US"/>
              </w:rPr>
            </w:pPr>
            <w:r w:rsidRPr="00D4686E">
              <w:rPr>
                <w:rFonts w:asciiTheme="minorHAnsi" w:eastAsiaTheme="minorHAnsi" w:hAnsiTheme="minorHAnsi"/>
                <w:lang w:val="en-US"/>
              </w:rPr>
              <w:t>There is no interest in participating in transnational support programs because of the high availability of resources at national level</w:t>
            </w:r>
          </w:p>
        </w:tc>
      </w:tr>
      <w:tr w:rsidR="00AC28E1" w:rsidRPr="00D4686E" w14:paraId="5623F0E4"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720A9579" w14:textId="77777777" w:rsidR="00AC28E1" w:rsidRPr="00D4686E" w:rsidRDefault="00AC28E1" w:rsidP="009B651B">
            <w:pPr>
              <w:spacing w:after="0"/>
              <w:rPr>
                <w:b w:val="0"/>
                <w:lang w:val="en-US"/>
              </w:rPr>
            </w:pPr>
            <w:r w:rsidRPr="00D4686E">
              <w:rPr>
                <w:b w:val="0"/>
                <w:lang w:val="en-US"/>
              </w:rPr>
              <w:t>7</w:t>
            </w:r>
          </w:p>
        </w:tc>
        <w:tc>
          <w:tcPr>
            <w:tcW w:w="1140" w:type="pct"/>
          </w:tcPr>
          <w:p w14:paraId="1B1526D7"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What is the current contribution of S</w:t>
            </w:r>
            <w:r>
              <w:t>G</w:t>
            </w:r>
            <w:r w:rsidRPr="00D4686E">
              <w:rPr>
                <w:lang w:val="en-US"/>
              </w:rPr>
              <w:t xml:space="preserve"> 1.1 to the fulfillment of the strategic objectives of the National Research and Innovation Strategy for Smart Specialization of the Czech Republic (hereinafter referred to as “RIS3”)?</w:t>
            </w:r>
          </w:p>
          <w:p w14:paraId="157FBE88"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(INO, APL, POT)</w:t>
            </w:r>
          </w:p>
        </w:tc>
        <w:tc>
          <w:tcPr>
            <w:tcW w:w="3698" w:type="pct"/>
          </w:tcPr>
          <w:p w14:paraId="60BD1243" w14:textId="7AC6679C" w:rsidR="00AC28E1" w:rsidRPr="00D4686E" w:rsidRDefault="00AC28E1" w:rsidP="00AC28E1">
            <w:pPr>
              <w:pStyle w:val="ListParagraph"/>
              <w:numPr>
                <w:ilvl w:val="0"/>
                <w:numId w:val="132"/>
              </w:numPr>
              <w:cnfStyle w:val="000000100000" w:firstRow="0" w:lastRow="0" w:firstColumn="0" w:lastColumn="0" w:oddVBand="0" w:evenVBand="0" w:oddHBand="1" w:evenHBand="0" w:firstRowFirstColumn="0" w:firstRowLastColumn="0" w:lastRowFirstColumn="0" w:lastRowLastColumn="0"/>
              <w:rPr>
                <w:b/>
                <w:bCs/>
                <w:lang w:val="en-US"/>
              </w:rPr>
            </w:pPr>
            <w:r w:rsidRPr="00D4686E">
              <w:rPr>
                <w:b/>
                <w:bCs/>
                <w:lang w:val="en-US"/>
              </w:rPr>
              <w:t xml:space="preserve">The contribution </w:t>
            </w:r>
            <w:r w:rsidRPr="00D4686E">
              <w:rPr>
                <w:bCs/>
                <w:lang w:val="en-US"/>
              </w:rPr>
              <w:t>of SG 1.1 to the fulfillment of RIS3 objectives</w:t>
            </w:r>
            <w:r w:rsidRPr="00D4686E">
              <w:rPr>
                <w:b/>
                <w:bCs/>
                <w:lang w:val="en-US"/>
              </w:rPr>
              <w:t xml:space="preserve"> cannot be set beyond the framework of PA1 OP EIC</w:t>
            </w:r>
          </w:p>
          <w:p w14:paraId="507290A5" w14:textId="77777777" w:rsidR="00AC28E1" w:rsidRPr="00D4686E" w:rsidRDefault="00AC28E1" w:rsidP="00AC28E1">
            <w:pPr>
              <w:numPr>
                <w:ilvl w:val="0"/>
                <w:numId w:val="132"/>
              </w:numPr>
              <w:spacing w:after="60"/>
              <w:cnfStyle w:val="000000100000" w:firstRow="0" w:lastRow="0" w:firstColumn="0" w:lastColumn="0" w:oddVBand="0" w:evenVBand="0" w:oddHBand="1" w:evenHBand="0" w:firstRowFirstColumn="0" w:firstRowLastColumn="0" w:lastRowFirstColumn="0" w:lastRowLastColumn="0"/>
              <w:rPr>
                <w:lang w:val="en-US"/>
              </w:rPr>
            </w:pPr>
            <w:r w:rsidRPr="00D4686E">
              <w:rPr>
                <w:b/>
                <w:bCs/>
                <w:lang w:val="en-US"/>
              </w:rPr>
              <w:t xml:space="preserve">RIS3 does not have its own indicators or target values </w:t>
            </w:r>
            <w:r w:rsidRPr="00D4686E">
              <w:rPr>
                <w:bCs/>
                <w:lang w:val="en-US"/>
              </w:rPr>
              <w:t>to verify the fulfillment of the strategy objectives (their creation is being considered in 2020)</w:t>
            </w:r>
          </w:p>
        </w:tc>
      </w:tr>
      <w:tr w:rsidR="00AC28E1" w:rsidRPr="00D4686E" w14:paraId="03462BA2"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3BDD4AB2" w14:textId="77777777" w:rsidR="00AC28E1" w:rsidRPr="00D4686E" w:rsidRDefault="00AC28E1" w:rsidP="009B651B">
            <w:pPr>
              <w:spacing w:after="0"/>
              <w:rPr>
                <w:b w:val="0"/>
                <w:lang w:val="en-US"/>
              </w:rPr>
            </w:pPr>
            <w:r w:rsidRPr="00D4686E">
              <w:rPr>
                <w:b w:val="0"/>
                <w:lang w:val="en-US"/>
              </w:rPr>
              <w:t>8</w:t>
            </w:r>
          </w:p>
        </w:tc>
        <w:tc>
          <w:tcPr>
            <w:tcW w:w="1140" w:type="pct"/>
          </w:tcPr>
          <w:p w14:paraId="33876FC6"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What are unintended</w:t>
            </w:r>
          </w:p>
          <w:p w14:paraId="6DD7C1FD"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(positive and negative) effects in achieving SG 1.1? The supplier identifies unintended impacts and evaluates their significance. Recommendation: Supplier will conduct case studies min. three supported enterprises for each support program.</w:t>
            </w:r>
          </w:p>
          <w:p w14:paraId="0939F68F"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lang w:val="en-US"/>
              </w:rPr>
              <w:t>(INO, APL, POT)</w:t>
            </w:r>
          </w:p>
        </w:tc>
        <w:tc>
          <w:tcPr>
            <w:tcW w:w="3698" w:type="pct"/>
          </w:tcPr>
          <w:p w14:paraId="0FB471F1" w14:textId="77777777" w:rsidR="00AC28E1" w:rsidRPr="00D4686E" w:rsidRDefault="00AC28E1" w:rsidP="00AC28E1">
            <w:pPr>
              <w:pStyle w:val="ListParagraph"/>
              <w:numPr>
                <w:ilvl w:val="0"/>
                <w:numId w:val="132"/>
              </w:numPr>
              <w:spacing w:after="60"/>
              <w:cnfStyle w:val="000000000000" w:firstRow="0" w:lastRow="0" w:firstColumn="0" w:lastColumn="0" w:oddVBand="0" w:evenVBand="0" w:oddHBand="0" w:evenHBand="0" w:firstRowFirstColumn="0" w:firstRowLastColumn="0" w:lastRowFirstColumn="0" w:lastRowLastColumn="0"/>
              <w:rPr>
                <w:b/>
                <w:bCs/>
                <w:lang w:val="en-US"/>
              </w:rPr>
            </w:pPr>
            <w:r w:rsidRPr="00D4686E">
              <w:rPr>
                <w:b/>
                <w:bCs/>
                <w:lang w:val="en-US"/>
              </w:rPr>
              <w:t>Positive unintended effects of support are:</w:t>
            </w:r>
          </w:p>
          <w:p w14:paraId="1883E18D" w14:textId="77777777" w:rsidR="00AC28E1" w:rsidRPr="00D4686E" w:rsidRDefault="00AC28E1" w:rsidP="00AC28E1">
            <w:pPr>
              <w:pStyle w:val="ListParagraph"/>
              <w:numPr>
                <w:ilvl w:val="0"/>
                <w:numId w:val="144"/>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Increasing emphasis on innovation in business strategy and culture</w:t>
            </w:r>
          </w:p>
          <w:p w14:paraId="16709E24" w14:textId="77777777" w:rsidR="00AC28E1" w:rsidRPr="00D4686E" w:rsidRDefault="00AC28E1" w:rsidP="00AC28E1">
            <w:pPr>
              <w:pStyle w:val="ListParagraph"/>
              <w:numPr>
                <w:ilvl w:val="0"/>
                <w:numId w:val="144"/>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Positive impact on HR processes in the company</w:t>
            </w:r>
          </w:p>
          <w:p w14:paraId="796F7C3A" w14:textId="77777777" w:rsidR="00AC28E1" w:rsidRPr="00D4686E" w:rsidRDefault="00AC28E1" w:rsidP="00AC28E1">
            <w:pPr>
              <w:pStyle w:val="ListParagraph"/>
              <w:numPr>
                <w:ilvl w:val="0"/>
                <w:numId w:val="144"/>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Attracting foreign investors</w:t>
            </w:r>
          </w:p>
          <w:p w14:paraId="44FDC344" w14:textId="77777777" w:rsidR="00AC28E1" w:rsidRPr="00D4686E" w:rsidRDefault="00AC28E1" w:rsidP="00AC28E1">
            <w:pPr>
              <w:pStyle w:val="ListParagraph"/>
              <w:numPr>
                <w:ilvl w:val="0"/>
                <w:numId w:val="144"/>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Reorganization, optimization of enterprises (especially SMEs)</w:t>
            </w:r>
          </w:p>
          <w:p w14:paraId="5638EDD4" w14:textId="77777777" w:rsidR="00AC28E1" w:rsidRPr="00D4686E" w:rsidRDefault="00AC28E1" w:rsidP="00AC28E1">
            <w:pPr>
              <w:pStyle w:val="ListParagraph"/>
              <w:numPr>
                <w:ilvl w:val="0"/>
                <w:numId w:val="132"/>
              </w:numPr>
              <w:spacing w:after="60"/>
              <w:cnfStyle w:val="000000000000" w:firstRow="0" w:lastRow="0" w:firstColumn="0" w:lastColumn="0" w:oddVBand="0" w:evenVBand="0" w:oddHBand="0" w:evenHBand="0" w:firstRowFirstColumn="0" w:firstRowLastColumn="0" w:lastRowFirstColumn="0" w:lastRowLastColumn="0"/>
              <w:rPr>
                <w:b/>
                <w:bCs/>
                <w:lang w:val="en-US"/>
              </w:rPr>
            </w:pPr>
            <w:r w:rsidRPr="00D4686E">
              <w:rPr>
                <w:b/>
                <w:bCs/>
                <w:lang w:val="en-US"/>
              </w:rPr>
              <w:t>Negative unintended effects of support are:</w:t>
            </w:r>
          </w:p>
          <w:p w14:paraId="6108CDF5" w14:textId="77777777" w:rsidR="00AC28E1" w:rsidRPr="00D4686E" w:rsidRDefault="00AC28E1" w:rsidP="00AC28E1">
            <w:pPr>
              <w:pStyle w:val="ListParagraph"/>
              <w:numPr>
                <w:ilvl w:val="0"/>
                <w:numId w:val="145"/>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Customizing projects to open calls for proposals conditions</w:t>
            </w:r>
          </w:p>
          <w:p w14:paraId="29D21815" w14:textId="77777777" w:rsidR="00AC28E1" w:rsidRPr="00D4686E" w:rsidRDefault="00AC28E1" w:rsidP="00AC28E1">
            <w:pPr>
              <w:pStyle w:val="ListParagraph"/>
              <w:numPr>
                <w:ilvl w:val="0"/>
                <w:numId w:val="145"/>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Supporting average businesses and innovation</w:t>
            </w:r>
          </w:p>
          <w:p w14:paraId="7BF29C91" w14:textId="77777777" w:rsidR="00AC28E1" w:rsidRPr="00D4686E" w:rsidRDefault="00AC28E1" w:rsidP="00AC28E1">
            <w:pPr>
              <w:pStyle w:val="ListParagraph"/>
              <w:numPr>
                <w:ilvl w:val="0"/>
                <w:numId w:val="145"/>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Low flexibility, long evaluation and project proposals approval times and delays in ex post payments:</w:t>
            </w:r>
          </w:p>
          <w:p w14:paraId="256D56B2" w14:textId="77777777" w:rsidR="00AC28E1" w:rsidRPr="00D4686E" w:rsidRDefault="00AC28E1" w:rsidP="00AC28E1">
            <w:pPr>
              <w:pStyle w:val="ListParagraph"/>
              <w:numPr>
                <w:ilvl w:val="0"/>
                <w:numId w:val="145"/>
              </w:numPr>
              <w:spacing w:after="60"/>
              <w:ind w:left="139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Delays in the introduction of innovation (innovations by the date of introduction)</w:t>
            </w:r>
          </w:p>
          <w:p w14:paraId="6EA3B36B" w14:textId="77777777" w:rsidR="00AC28E1" w:rsidRPr="00D4686E" w:rsidRDefault="00AC28E1" w:rsidP="00AC28E1">
            <w:pPr>
              <w:pStyle w:val="ListParagraph"/>
              <w:numPr>
                <w:ilvl w:val="0"/>
                <w:numId w:val="145"/>
              </w:numPr>
              <w:spacing w:after="60"/>
              <w:ind w:left="139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Indebtedness and deterioration of the economic situation of enterprises</w:t>
            </w:r>
          </w:p>
          <w:p w14:paraId="1926F806" w14:textId="77777777" w:rsidR="00AC28E1" w:rsidRPr="00D4686E" w:rsidRDefault="00AC28E1" w:rsidP="00AC28E1">
            <w:pPr>
              <w:pStyle w:val="ListParagraph"/>
              <w:numPr>
                <w:ilvl w:val="0"/>
                <w:numId w:val="145"/>
              </w:numPr>
              <w:spacing w:after="60"/>
              <w:ind w:left="103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Inefficient and uneconomical selection of uncertain quality suppliers</w:t>
            </w:r>
          </w:p>
          <w:p w14:paraId="0705C43E" w14:textId="77777777" w:rsidR="00AC28E1" w:rsidRPr="00D4686E" w:rsidRDefault="00AC28E1" w:rsidP="00AC28E1">
            <w:pPr>
              <w:pStyle w:val="ListParagraph"/>
              <w:numPr>
                <w:ilvl w:val="0"/>
                <w:numId w:val="145"/>
              </w:numPr>
              <w:spacing w:after="60"/>
              <w:ind w:left="1033"/>
              <w:cnfStyle w:val="000000000000" w:firstRow="0" w:lastRow="0" w:firstColumn="0" w:lastColumn="0" w:oddVBand="0" w:evenVBand="0" w:oddHBand="0" w:evenHBand="0" w:firstRowFirstColumn="0" w:firstRowLastColumn="0" w:lastRowFirstColumn="0" w:lastRowLastColumn="0"/>
              <w:rPr>
                <w:lang w:val="en-US"/>
              </w:rPr>
            </w:pPr>
            <w:r w:rsidRPr="00D4686E">
              <w:rPr>
                <w:bCs/>
                <w:lang w:val="en-US"/>
              </w:rPr>
              <w:t>Increase of costs on the part of enterprises and increase of administrative demands on the part of MA / IB due to the use of external consultants</w:t>
            </w:r>
          </w:p>
        </w:tc>
      </w:tr>
      <w:tr w:rsidR="00AC28E1" w:rsidRPr="00D4686E" w14:paraId="5566C3A1" w14:textId="77777777" w:rsidTr="009B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 w:type="pct"/>
          </w:tcPr>
          <w:p w14:paraId="3604A6AA" w14:textId="77777777" w:rsidR="00AC28E1" w:rsidRPr="00D4686E" w:rsidRDefault="00AC28E1" w:rsidP="009B651B">
            <w:pPr>
              <w:spacing w:after="0"/>
              <w:rPr>
                <w:b w:val="0"/>
                <w:lang w:val="en-US"/>
              </w:rPr>
            </w:pPr>
            <w:r w:rsidRPr="00D4686E">
              <w:rPr>
                <w:b w:val="0"/>
                <w:lang w:val="en-US"/>
              </w:rPr>
              <w:t>9</w:t>
            </w:r>
          </w:p>
        </w:tc>
        <w:tc>
          <w:tcPr>
            <w:tcW w:w="1140" w:type="pct"/>
          </w:tcPr>
          <w:p w14:paraId="6B7AA62B"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Is it possible to assume that interventions implemented under SG 1.1 will lead to a permanent improvement of the identified problems? Is there a need to continue to support these activities, or does the 3E support do not appear meaningful?</w:t>
            </w:r>
          </w:p>
          <w:p w14:paraId="5B45AB5E" w14:textId="77777777" w:rsidR="00AC28E1" w:rsidRPr="00D4686E" w:rsidRDefault="00AC28E1" w:rsidP="009B651B">
            <w:pPr>
              <w:spacing w:after="0"/>
              <w:cnfStyle w:val="000000100000" w:firstRow="0" w:lastRow="0" w:firstColumn="0" w:lastColumn="0" w:oddVBand="0" w:evenVBand="0" w:oddHBand="1" w:evenHBand="0" w:firstRowFirstColumn="0" w:firstRowLastColumn="0" w:lastRowFirstColumn="0" w:lastRowLastColumn="0"/>
              <w:rPr>
                <w:lang w:val="en-US"/>
              </w:rPr>
            </w:pPr>
            <w:r w:rsidRPr="00D4686E">
              <w:rPr>
                <w:lang w:val="en-US"/>
              </w:rPr>
              <w:t>(INO, APL, POT)</w:t>
            </w:r>
          </w:p>
        </w:tc>
        <w:tc>
          <w:tcPr>
            <w:tcW w:w="3698" w:type="pct"/>
          </w:tcPr>
          <w:p w14:paraId="1ACC16C8" w14:textId="77777777" w:rsidR="00AC28E1" w:rsidRPr="00D4686E" w:rsidRDefault="00AC28E1" w:rsidP="00AC28E1">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rPr>
                <w:bCs/>
                <w:lang w:val="en-US"/>
              </w:rPr>
            </w:pPr>
            <w:r w:rsidRPr="00D4686E">
              <w:rPr>
                <w:b/>
                <w:bCs/>
                <w:lang w:val="en-US"/>
              </w:rPr>
              <w:t>It is not possible</w:t>
            </w:r>
            <w:r w:rsidRPr="00D4686E">
              <w:rPr>
                <w:bCs/>
                <w:lang w:val="en-US"/>
              </w:rPr>
              <w:t xml:space="preserve"> to precisely assume if the OP EIC intervention results will lead to permanent improvement</w:t>
            </w:r>
          </w:p>
          <w:p w14:paraId="2292C422" w14:textId="77777777" w:rsidR="00AC28E1" w:rsidRPr="00D4686E" w:rsidRDefault="00AC28E1" w:rsidP="00AC28E1">
            <w:pPr>
              <w:pStyle w:val="ListParagraph"/>
              <w:numPr>
                <w:ilvl w:val="0"/>
                <w:numId w:val="132"/>
              </w:numPr>
              <w:spacing w:after="60"/>
              <w:cnfStyle w:val="000000100000" w:firstRow="0" w:lastRow="0" w:firstColumn="0" w:lastColumn="0" w:oddVBand="0" w:evenVBand="0" w:oddHBand="1" w:evenHBand="0" w:firstRowFirstColumn="0" w:firstRowLastColumn="0" w:lastRowFirstColumn="0" w:lastRowLastColumn="0"/>
              <w:rPr>
                <w:bCs/>
                <w:lang w:val="en-US"/>
              </w:rPr>
            </w:pPr>
            <w:r w:rsidRPr="00D4686E">
              <w:rPr>
                <w:b/>
                <w:bCs/>
                <w:lang w:val="en-US"/>
              </w:rPr>
              <w:t xml:space="preserve">The indicator system does not contain relevant impact indicators </w:t>
            </w:r>
            <w:r w:rsidRPr="00D4686E">
              <w:rPr>
                <w:bCs/>
                <w:lang w:val="en-US"/>
              </w:rPr>
              <w:t>and therefore it is not possible to evaluate the change in the „behavioral patterns“ of the beneficiaries</w:t>
            </w:r>
          </w:p>
          <w:p w14:paraId="737B1F25" w14:textId="77777777" w:rsidR="00AC28E1" w:rsidRPr="00D4686E" w:rsidRDefault="00AC28E1" w:rsidP="00AC28E1">
            <w:pPr>
              <w:pStyle w:val="ListParagraph"/>
              <w:numPr>
                <w:ilvl w:val="0"/>
                <w:numId w:val="132"/>
              </w:numPr>
              <w:spacing w:after="60"/>
              <w:contextualSpacing w:val="0"/>
              <w:cnfStyle w:val="000000100000" w:firstRow="0" w:lastRow="0" w:firstColumn="0" w:lastColumn="0" w:oddVBand="0" w:evenVBand="0" w:oddHBand="1" w:evenHBand="0" w:firstRowFirstColumn="0" w:firstRowLastColumn="0" w:lastRowFirstColumn="0" w:lastRowLastColumn="0"/>
              <w:rPr>
                <w:lang w:val="en-US"/>
              </w:rPr>
            </w:pPr>
            <w:r w:rsidRPr="00D4686E">
              <w:rPr>
                <w:b/>
                <w:bCs/>
                <w:lang w:val="en-US"/>
              </w:rPr>
              <w:t>Support</w:t>
            </w:r>
            <w:r w:rsidRPr="00D4686E">
              <w:rPr>
                <w:bCs/>
                <w:lang w:val="en-US"/>
              </w:rPr>
              <w:t xml:space="preserve"> for the OP EIC, however, </w:t>
            </w:r>
            <w:r w:rsidRPr="00D4686E">
              <w:rPr>
                <w:b/>
                <w:bCs/>
                <w:lang w:val="en-US"/>
              </w:rPr>
              <w:t>has so far had a significant impact</w:t>
            </w:r>
            <w:r w:rsidRPr="00D4686E">
              <w:rPr>
                <w:bCs/>
                <w:lang w:val="en-US"/>
              </w:rPr>
              <w:t xml:space="preserve"> on strengthening the innovation performance of beneficiaries, especially SMEs, and continues to make sense in the future as it </w:t>
            </w:r>
            <w:r w:rsidRPr="00D4686E">
              <w:rPr>
                <w:b/>
                <w:bCs/>
                <w:lang w:val="en-US"/>
              </w:rPr>
              <w:t>can motivate SMEs to support their own research and innovation</w:t>
            </w:r>
            <w:r w:rsidRPr="00D4686E">
              <w:rPr>
                <w:bCs/>
                <w:lang w:val="en-US"/>
              </w:rPr>
              <w:t xml:space="preserve"> and has the potential to </w:t>
            </w:r>
            <w:r w:rsidRPr="00D4686E">
              <w:rPr>
                <w:b/>
                <w:bCs/>
                <w:lang w:val="en-US"/>
              </w:rPr>
              <w:t>promote higher-risk innovation of higher innovation rank.</w:t>
            </w:r>
          </w:p>
        </w:tc>
      </w:tr>
      <w:tr w:rsidR="00AC28E1" w:rsidRPr="00D4686E" w14:paraId="1C708F9D" w14:textId="77777777" w:rsidTr="009B651B">
        <w:tc>
          <w:tcPr>
            <w:cnfStyle w:val="001000000000" w:firstRow="0" w:lastRow="0" w:firstColumn="1" w:lastColumn="0" w:oddVBand="0" w:evenVBand="0" w:oddHBand="0" w:evenHBand="0" w:firstRowFirstColumn="0" w:firstRowLastColumn="0" w:lastRowFirstColumn="0" w:lastRowLastColumn="0"/>
            <w:tcW w:w="162" w:type="pct"/>
          </w:tcPr>
          <w:p w14:paraId="626BD49F" w14:textId="77777777" w:rsidR="00AC28E1" w:rsidRPr="00D4686E" w:rsidRDefault="00AC28E1" w:rsidP="009B651B">
            <w:pPr>
              <w:spacing w:after="0"/>
              <w:rPr>
                <w:b w:val="0"/>
                <w:lang w:val="en-US"/>
              </w:rPr>
            </w:pPr>
            <w:r w:rsidRPr="00D4686E">
              <w:rPr>
                <w:b w:val="0"/>
                <w:lang w:val="en-US"/>
              </w:rPr>
              <w:t>10</w:t>
            </w:r>
          </w:p>
        </w:tc>
        <w:tc>
          <w:tcPr>
            <w:tcW w:w="1140" w:type="pct"/>
          </w:tcPr>
          <w:p w14:paraId="5DC8CF7F"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bCs/>
                <w:szCs w:val="18"/>
                <w:lang w:val="en-US"/>
              </w:rPr>
            </w:pPr>
            <w:r w:rsidRPr="00D4686E">
              <w:rPr>
                <w:bCs/>
                <w:szCs w:val="18"/>
                <w:lang w:val="en-US"/>
              </w:rPr>
              <w:t>Can the results achieved be considered sufficient in terms of the objectives set? Alternatively, what could not be achieved and for what reasons? At the same time, the supplier will predict whether the objectives set will be achieved by the end of the programming period and under what assumptions. If the prediction is negative, the supplier will propose solutions that would contribute to achieving the set goals.</w:t>
            </w:r>
          </w:p>
          <w:p w14:paraId="7BCD1F03" w14:textId="77777777" w:rsidR="00AC28E1" w:rsidRPr="00D4686E" w:rsidRDefault="00AC28E1" w:rsidP="009B651B">
            <w:pPr>
              <w:spacing w:after="0"/>
              <w:cnfStyle w:val="000000000000" w:firstRow="0" w:lastRow="0" w:firstColumn="0" w:lastColumn="0" w:oddVBand="0" w:evenVBand="0" w:oddHBand="0" w:evenHBand="0" w:firstRowFirstColumn="0" w:firstRowLastColumn="0" w:lastRowFirstColumn="0" w:lastRowLastColumn="0"/>
              <w:rPr>
                <w:lang w:val="en-US"/>
              </w:rPr>
            </w:pPr>
            <w:r w:rsidRPr="00D4686E">
              <w:rPr>
                <w:bCs/>
                <w:szCs w:val="18"/>
                <w:lang w:val="en-US"/>
              </w:rPr>
              <w:t>(INO, APL, POT)</w:t>
            </w:r>
          </w:p>
        </w:tc>
        <w:tc>
          <w:tcPr>
            <w:tcW w:w="3698" w:type="pct"/>
          </w:tcPr>
          <w:p w14:paraId="072BBB2B" w14:textId="77777777" w:rsidR="00AC28E1" w:rsidRPr="00D4686E" w:rsidRDefault="00AC28E1" w:rsidP="00AC28E1">
            <w:pPr>
              <w:pStyle w:val="ListParagraph"/>
              <w:numPr>
                <w:ilvl w:val="0"/>
                <w:numId w:val="134"/>
              </w:numPr>
              <w:ind w:left="67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 xml:space="preserve">In the light of the objectives set and the expected values </w:t>
            </w:r>
            <w:r w:rsidRPr="00D4686E">
              <w:rPr>
                <w:b/>
                <w:bCs/>
                <w:lang w:val="en-US"/>
              </w:rPr>
              <w:t xml:space="preserve">the results achieved can be considered to be sufficient only partially </w:t>
            </w:r>
            <w:r w:rsidRPr="00D4686E">
              <w:rPr>
                <w:bCs/>
                <w:lang w:val="en-US"/>
              </w:rPr>
              <w:t>due to the very low number of completed projects</w:t>
            </w:r>
          </w:p>
          <w:p w14:paraId="33B80483" w14:textId="77777777" w:rsidR="00AC28E1" w:rsidRPr="00D4686E" w:rsidRDefault="00AC28E1" w:rsidP="00AC28E1">
            <w:pPr>
              <w:pStyle w:val="ListParagraph"/>
              <w:numPr>
                <w:ilvl w:val="0"/>
                <w:numId w:val="134"/>
              </w:numPr>
              <w:ind w:left="673"/>
              <w:cnfStyle w:val="000000000000" w:firstRow="0" w:lastRow="0" w:firstColumn="0" w:lastColumn="0" w:oddVBand="0" w:evenVBand="0" w:oddHBand="0" w:evenHBand="0" w:firstRowFirstColumn="0" w:firstRowLastColumn="0" w:lastRowFirstColumn="0" w:lastRowLastColumn="0"/>
              <w:rPr>
                <w:bCs/>
                <w:lang w:val="en-US"/>
              </w:rPr>
            </w:pPr>
            <w:r w:rsidRPr="00D4686E">
              <w:rPr>
                <w:bCs/>
                <w:lang w:val="en-US"/>
              </w:rPr>
              <w:t xml:space="preserve">All </w:t>
            </w:r>
            <w:r w:rsidRPr="00D4686E">
              <w:rPr>
                <w:b/>
                <w:bCs/>
                <w:lang w:val="en-US"/>
              </w:rPr>
              <w:t>2018 PA 1 milestones were filled to a minimum requested amount of 85 %</w:t>
            </w:r>
          </w:p>
          <w:p w14:paraId="3591EFA8" w14:textId="77777777" w:rsidR="00AC28E1" w:rsidRPr="00D4686E" w:rsidRDefault="00AC28E1" w:rsidP="00AC28E1">
            <w:pPr>
              <w:pStyle w:val="ListParagraph"/>
              <w:numPr>
                <w:ilvl w:val="0"/>
                <w:numId w:val="134"/>
              </w:numPr>
              <w:ind w:left="673"/>
              <w:cnfStyle w:val="000000000000" w:firstRow="0" w:lastRow="0" w:firstColumn="0" w:lastColumn="0" w:oddVBand="0" w:evenVBand="0" w:oddHBand="0" w:evenHBand="0" w:firstRowFirstColumn="0" w:firstRowLastColumn="0" w:lastRowFirstColumn="0" w:lastRowLastColumn="0"/>
              <w:rPr>
                <w:bCs/>
                <w:lang w:val="en-US"/>
              </w:rPr>
            </w:pPr>
            <w:r w:rsidRPr="00D4686E">
              <w:rPr>
                <w:b/>
                <w:bCs/>
                <w:lang w:val="en-US"/>
              </w:rPr>
              <w:t>The objectives</w:t>
            </w:r>
            <w:r w:rsidRPr="00D4686E">
              <w:rPr>
                <w:bCs/>
                <w:lang w:val="en-US"/>
              </w:rPr>
              <w:t xml:space="preserve"> </w:t>
            </w:r>
            <w:r w:rsidRPr="00D4686E">
              <w:rPr>
                <w:b/>
                <w:bCs/>
                <w:lang w:val="en-US"/>
              </w:rPr>
              <w:t>set should therefore be achievable by the end of the programming period,</w:t>
            </w:r>
            <w:r w:rsidRPr="00D4686E">
              <w:rPr>
                <w:bCs/>
                <w:lang w:val="en-US"/>
              </w:rPr>
              <w:t xml:space="preserve"> in particular under the following assumptions:</w:t>
            </w:r>
          </w:p>
          <w:p w14:paraId="3AA3C03F" w14:textId="77777777" w:rsidR="00AC28E1" w:rsidRPr="00D4686E" w:rsidRDefault="00AC28E1" w:rsidP="00AC28E1">
            <w:pPr>
              <w:pStyle w:val="ListParagraph"/>
              <w:numPr>
                <w:ilvl w:val="0"/>
                <w:numId w:val="146"/>
              </w:numPr>
              <w:ind w:left="1123"/>
              <w:cnfStyle w:val="000000000000" w:firstRow="0" w:lastRow="0" w:firstColumn="0" w:lastColumn="0" w:oddVBand="0" w:evenVBand="0" w:oddHBand="0" w:evenHBand="0" w:firstRowFirstColumn="0" w:firstRowLastColumn="0" w:lastRowFirstColumn="0" w:lastRowLastColumn="0"/>
              <w:rPr>
                <w:b/>
                <w:bCs/>
                <w:lang w:val="en-US"/>
              </w:rPr>
            </w:pPr>
            <w:r w:rsidRPr="00D4686E">
              <w:rPr>
                <w:b/>
                <w:bCs/>
                <w:lang w:val="en-US"/>
              </w:rPr>
              <w:t>Announcement of calls or increase of allocation of announced calls in sufficient volume</w:t>
            </w:r>
          </w:p>
          <w:p w14:paraId="3712FDEA" w14:textId="77777777" w:rsidR="00AC28E1" w:rsidRPr="00D4686E" w:rsidRDefault="00AC28E1" w:rsidP="00AC28E1">
            <w:pPr>
              <w:pStyle w:val="ListParagraph"/>
              <w:numPr>
                <w:ilvl w:val="0"/>
                <w:numId w:val="146"/>
              </w:numPr>
              <w:ind w:left="1123"/>
              <w:cnfStyle w:val="000000000000" w:firstRow="0" w:lastRow="0" w:firstColumn="0" w:lastColumn="0" w:oddVBand="0" w:evenVBand="0" w:oddHBand="0" w:evenHBand="0" w:firstRowFirstColumn="0" w:firstRowLastColumn="0" w:lastRowFirstColumn="0" w:lastRowLastColumn="0"/>
              <w:rPr>
                <w:bCs/>
                <w:lang w:val="en-US"/>
              </w:rPr>
            </w:pPr>
            <w:r w:rsidRPr="00D4686E">
              <w:rPr>
                <w:b/>
                <w:bCs/>
                <w:lang w:val="en-US"/>
              </w:rPr>
              <w:t>Acceleration of project applications assessment</w:t>
            </w:r>
            <w:r w:rsidRPr="00D4686E">
              <w:rPr>
                <w:bCs/>
                <w:lang w:val="en-US"/>
              </w:rPr>
              <w:t xml:space="preserve"> and payment requests (adjustments of MS2014 +, process automation, increase of API personnel capacity)</w:t>
            </w:r>
          </w:p>
          <w:p w14:paraId="6EA3C95B" w14:textId="77777777" w:rsidR="00AC28E1" w:rsidRPr="00D4686E" w:rsidRDefault="00AC28E1" w:rsidP="00AC28E1">
            <w:pPr>
              <w:pStyle w:val="ListParagraph"/>
              <w:numPr>
                <w:ilvl w:val="0"/>
                <w:numId w:val="146"/>
              </w:numPr>
              <w:spacing w:after="60"/>
              <w:ind w:left="1123"/>
              <w:contextualSpacing w:val="0"/>
              <w:cnfStyle w:val="000000000000" w:firstRow="0" w:lastRow="0" w:firstColumn="0" w:lastColumn="0" w:oddVBand="0" w:evenVBand="0" w:oddHBand="0" w:evenHBand="0" w:firstRowFirstColumn="0" w:firstRowLastColumn="0" w:lastRowFirstColumn="0" w:lastRowLastColumn="0"/>
              <w:rPr>
                <w:lang w:val="en-US"/>
              </w:rPr>
            </w:pPr>
            <w:r w:rsidRPr="00D4686E">
              <w:rPr>
                <w:b/>
                <w:bCs/>
                <w:lang w:val="en-US"/>
              </w:rPr>
              <w:t>Reduction of administrative burden</w:t>
            </w:r>
            <w:r w:rsidRPr="00D4686E">
              <w:rPr>
                <w:bCs/>
                <w:lang w:val="en-US"/>
              </w:rPr>
              <w:t xml:space="preserve"> on the side of applicants / beneficiaries and administrators, mainly related to filing, checking and evaluation of project applications, proof of wage costs and selection of subcontractors</w:t>
            </w:r>
          </w:p>
        </w:tc>
      </w:tr>
    </w:tbl>
    <w:p w14:paraId="25422EB6" w14:textId="77777777" w:rsidR="00AC28E1" w:rsidRPr="00D4686E" w:rsidRDefault="00AC28E1" w:rsidP="00AC28E1">
      <w:pPr>
        <w:rPr>
          <w:lang w:val="en-US"/>
        </w:rPr>
      </w:pPr>
    </w:p>
    <w:p w14:paraId="7706CA30" w14:textId="77777777" w:rsidR="00AC28E1" w:rsidRPr="00D4686E" w:rsidRDefault="00AC28E1" w:rsidP="00AC28E1">
      <w:pPr>
        <w:rPr>
          <w:b/>
          <w:lang w:val="en-US"/>
        </w:rPr>
      </w:pPr>
      <w:proofErr w:type="spellStart"/>
      <w:r>
        <w:rPr>
          <w:b/>
        </w:rPr>
        <w:t>Recommendations</w:t>
      </w:r>
      <w:proofErr w:type="spellEnd"/>
      <w:r>
        <w:rPr>
          <w:b/>
        </w:rPr>
        <w:t xml:space="preserve"> </w:t>
      </w:r>
      <w:proofErr w:type="spellStart"/>
      <w:r>
        <w:rPr>
          <w:b/>
        </w:rPr>
        <w:t>for</w:t>
      </w:r>
      <w:proofErr w:type="spellEnd"/>
      <w:r>
        <w:rPr>
          <w:b/>
        </w:rPr>
        <w:t xml:space="preserve"> OP EIC </w:t>
      </w:r>
      <w:proofErr w:type="spellStart"/>
      <w:r>
        <w:rPr>
          <w:b/>
        </w:rPr>
        <w:t>till</w:t>
      </w:r>
      <w:proofErr w:type="spellEnd"/>
      <w:r>
        <w:rPr>
          <w:b/>
        </w:rPr>
        <w:t xml:space="preserve"> </w:t>
      </w:r>
      <w:proofErr w:type="spellStart"/>
      <w:r>
        <w:rPr>
          <w:b/>
        </w:rPr>
        <w:t>the</w:t>
      </w:r>
      <w:proofErr w:type="spellEnd"/>
      <w:r>
        <w:rPr>
          <w:b/>
        </w:rPr>
        <w:t xml:space="preserve"> end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current</w:t>
      </w:r>
      <w:proofErr w:type="spellEnd"/>
      <w:r>
        <w:rPr>
          <w:b/>
        </w:rPr>
        <w:t xml:space="preserve"> </w:t>
      </w:r>
      <w:proofErr w:type="spellStart"/>
      <w:r>
        <w:rPr>
          <w:b/>
        </w:rPr>
        <w:t>programming</w:t>
      </w:r>
      <w:proofErr w:type="spellEnd"/>
      <w:r>
        <w:rPr>
          <w:b/>
        </w:rPr>
        <w:t xml:space="preserve"> period</w:t>
      </w:r>
      <w:r w:rsidRPr="00D4686E">
        <w:rPr>
          <w:rStyle w:val="FootnoteReference"/>
          <w:b/>
          <w:lang w:val="en-US"/>
        </w:rPr>
        <w:footnoteReference w:id="5"/>
      </w:r>
    </w:p>
    <w:tbl>
      <w:tblPr>
        <w:tblW w:w="5000" w:type="pct"/>
        <w:tblCellMar>
          <w:left w:w="0" w:type="dxa"/>
          <w:right w:w="0" w:type="dxa"/>
        </w:tblCellMar>
        <w:tblLook w:val="0420" w:firstRow="1" w:lastRow="0" w:firstColumn="0" w:lastColumn="0" w:noHBand="0" w:noVBand="1"/>
      </w:tblPr>
      <w:tblGrid>
        <w:gridCol w:w="2352"/>
        <w:gridCol w:w="2353"/>
        <w:gridCol w:w="2562"/>
        <w:gridCol w:w="2351"/>
      </w:tblGrid>
      <w:tr w:rsidR="00AC28E1" w:rsidRPr="00D4686E" w14:paraId="51EB3CB6" w14:textId="77777777" w:rsidTr="00AC28E1">
        <w:trPr>
          <w:trHeight w:val="510"/>
        </w:trPr>
        <w:tc>
          <w:tcPr>
            <w:tcW w:w="1223" w:type="pct"/>
            <w:tcBorders>
              <w:top w:val="single" w:sz="8" w:space="0" w:color="86BC25"/>
              <w:left w:val="single" w:sz="8" w:space="0" w:color="86BC25"/>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5A879DFB" w14:textId="77777777" w:rsidR="00AC28E1" w:rsidRPr="00D4686E" w:rsidRDefault="00AC28E1" w:rsidP="009B651B">
            <w:pPr>
              <w:ind w:left="562"/>
              <w:rPr>
                <w:b/>
                <w:color w:val="FFFFFF" w:themeColor="background1"/>
                <w:lang w:val="en-US"/>
              </w:rPr>
            </w:pPr>
            <w:r w:rsidRPr="00A9171F">
              <w:rPr>
                <w:b/>
                <w:bCs/>
                <w:noProof/>
                <w:color w:val="FFFFFF" w:themeColor="background1"/>
                <w:lang w:eastAsia="cs-CZ"/>
              </w:rPr>
              <mc:AlternateContent>
                <mc:Choice Requires="wps">
                  <w:drawing>
                    <wp:anchor distT="0" distB="0" distL="114300" distR="114300" simplePos="0" relativeHeight="251676160" behindDoc="0" locked="0" layoutInCell="1" allowOverlap="1" wp14:anchorId="28DACBF8" wp14:editId="6CCFB644">
                      <wp:simplePos x="0" y="0"/>
                      <wp:positionH relativeFrom="column">
                        <wp:posOffset>-60325</wp:posOffset>
                      </wp:positionH>
                      <wp:positionV relativeFrom="paragraph">
                        <wp:posOffset>-19685</wp:posOffset>
                      </wp:positionV>
                      <wp:extent cx="368935" cy="368935"/>
                      <wp:effectExtent l="0" t="0" r="0" b="0"/>
                      <wp:wrapNone/>
                      <wp:docPr id="100" name="Freeform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68935" cy="368935"/>
                              </a:xfrm>
                              <a:custGeom>
                                <a:avLst/>
                                <a:gdLst>
                                  <a:gd name="T0" fmla="*/ 490 w 512"/>
                                  <a:gd name="T1" fmla="*/ 256 h 512"/>
                                  <a:gd name="T2" fmla="*/ 21 w 512"/>
                                  <a:gd name="T3" fmla="*/ 256 h 512"/>
                                  <a:gd name="T4" fmla="*/ 256 w 512"/>
                                  <a:gd name="T5" fmla="*/ 0 h 512"/>
                                  <a:gd name="T6" fmla="*/ 256 w 512"/>
                                  <a:gd name="T7" fmla="*/ 512 h 512"/>
                                  <a:gd name="T8" fmla="*/ 256 w 512"/>
                                  <a:gd name="T9" fmla="*/ 0 h 512"/>
                                  <a:gd name="T10" fmla="*/ 372 w 512"/>
                                  <a:gd name="T11" fmla="*/ 245 h 512"/>
                                  <a:gd name="T12" fmla="*/ 370 w 512"/>
                                  <a:gd name="T13" fmla="*/ 157 h 512"/>
                                  <a:gd name="T14" fmla="*/ 355 w 512"/>
                                  <a:gd name="T15" fmla="*/ 141 h 512"/>
                                  <a:gd name="T16" fmla="*/ 266 w 512"/>
                                  <a:gd name="T17" fmla="*/ 139 h 512"/>
                                  <a:gd name="T18" fmla="*/ 256 w 512"/>
                                  <a:gd name="T19" fmla="*/ 96 h 512"/>
                                  <a:gd name="T20" fmla="*/ 245 w 512"/>
                                  <a:gd name="T21" fmla="*/ 139 h 512"/>
                                  <a:gd name="T22" fmla="*/ 157 w 512"/>
                                  <a:gd name="T23" fmla="*/ 141 h 512"/>
                                  <a:gd name="T24" fmla="*/ 141 w 512"/>
                                  <a:gd name="T25" fmla="*/ 157 h 512"/>
                                  <a:gd name="T26" fmla="*/ 139 w 512"/>
                                  <a:gd name="T27" fmla="*/ 245 h 512"/>
                                  <a:gd name="T28" fmla="*/ 96 w 512"/>
                                  <a:gd name="T29" fmla="*/ 256 h 512"/>
                                  <a:gd name="T30" fmla="*/ 139 w 512"/>
                                  <a:gd name="T31" fmla="*/ 266 h 512"/>
                                  <a:gd name="T32" fmla="*/ 141 w 512"/>
                                  <a:gd name="T33" fmla="*/ 355 h 512"/>
                                  <a:gd name="T34" fmla="*/ 149 w 512"/>
                                  <a:gd name="T35" fmla="*/ 373 h 512"/>
                                  <a:gd name="T36" fmla="*/ 181 w 512"/>
                                  <a:gd name="T37" fmla="*/ 346 h 512"/>
                                  <a:gd name="T38" fmla="*/ 245 w 512"/>
                                  <a:gd name="T39" fmla="*/ 405 h 512"/>
                                  <a:gd name="T40" fmla="*/ 266 w 512"/>
                                  <a:gd name="T41" fmla="*/ 405 h 512"/>
                                  <a:gd name="T42" fmla="*/ 331 w 512"/>
                                  <a:gd name="T43" fmla="*/ 346 h 512"/>
                                  <a:gd name="T44" fmla="*/ 362 w 512"/>
                                  <a:gd name="T45" fmla="*/ 373 h 512"/>
                                  <a:gd name="T46" fmla="*/ 370 w 512"/>
                                  <a:gd name="T47" fmla="*/ 355 h 512"/>
                                  <a:gd name="T48" fmla="*/ 372 w 512"/>
                                  <a:gd name="T49" fmla="*/ 266 h 512"/>
                                  <a:gd name="T50" fmla="*/ 416 w 512"/>
                                  <a:gd name="T51" fmla="*/ 256 h 512"/>
                                  <a:gd name="T52" fmla="*/ 351 w 512"/>
                                  <a:gd name="T53" fmla="*/ 245 h 512"/>
                                  <a:gd name="T54" fmla="*/ 286 w 512"/>
                                  <a:gd name="T55" fmla="*/ 245 h 512"/>
                                  <a:gd name="T56" fmla="*/ 286 w 512"/>
                                  <a:gd name="T57" fmla="*/ 241 h 512"/>
                                  <a:gd name="T58" fmla="*/ 351 w 512"/>
                                  <a:gd name="T59" fmla="*/ 245 h 512"/>
                                  <a:gd name="T60" fmla="*/ 271 w 512"/>
                                  <a:gd name="T61" fmla="*/ 226 h 512"/>
                                  <a:gd name="T62" fmla="*/ 266 w 512"/>
                                  <a:gd name="T63" fmla="*/ 226 h 512"/>
                                  <a:gd name="T64" fmla="*/ 266 w 512"/>
                                  <a:gd name="T65" fmla="*/ 160 h 512"/>
                                  <a:gd name="T66" fmla="*/ 256 w 512"/>
                                  <a:gd name="T67" fmla="*/ 266 h 512"/>
                                  <a:gd name="T68" fmla="*/ 256 w 512"/>
                                  <a:gd name="T69" fmla="*/ 245 h 512"/>
                                  <a:gd name="T70" fmla="*/ 256 w 512"/>
                                  <a:gd name="T71" fmla="*/ 266 h 512"/>
                                  <a:gd name="T72" fmla="*/ 245 w 512"/>
                                  <a:gd name="T73" fmla="*/ 224 h 512"/>
                                  <a:gd name="T74" fmla="*/ 242 w 512"/>
                                  <a:gd name="T75" fmla="*/ 227 h 512"/>
                                  <a:gd name="T76" fmla="*/ 196 w 512"/>
                                  <a:gd name="T77" fmla="*/ 181 h 512"/>
                                  <a:gd name="T78" fmla="*/ 181 w 512"/>
                                  <a:gd name="T79" fmla="*/ 196 h 512"/>
                                  <a:gd name="T80" fmla="*/ 227 w 512"/>
                                  <a:gd name="T81" fmla="*/ 242 h 512"/>
                                  <a:gd name="T82" fmla="*/ 224 w 512"/>
                                  <a:gd name="T83" fmla="*/ 245 h 512"/>
                                  <a:gd name="T84" fmla="*/ 181 w 512"/>
                                  <a:gd name="T85" fmla="*/ 196 h 512"/>
                                  <a:gd name="T86" fmla="*/ 224 w 512"/>
                                  <a:gd name="T87" fmla="*/ 266 h 512"/>
                                  <a:gd name="T88" fmla="*/ 227 w 512"/>
                                  <a:gd name="T89" fmla="*/ 270 h 512"/>
                                  <a:gd name="T90" fmla="*/ 181 w 512"/>
                                  <a:gd name="T91" fmla="*/ 316 h 512"/>
                                  <a:gd name="T92" fmla="*/ 196 w 512"/>
                                  <a:gd name="T93" fmla="*/ 331 h 512"/>
                                  <a:gd name="T94" fmla="*/ 242 w 512"/>
                                  <a:gd name="T95" fmla="*/ 284 h 512"/>
                                  <a:gd name="T96" fmla="*/ 245 w 512"/>
                                  <a:gd name="T97" fmla="*/ 288 h 512"/>
                                  <a:gd name="T98" fmla="*/ 196 w 512"/>
                                  <a:gd name="T99" fmla="*/ 331 h 512"/>
                                  <a:gd name="T100" fmla="*/ 266 w 512"/>
                                  <a:gd name="T101" fmla="*/ 288 h 512"/>
                                  <a:gd name="T102" fmla="*/ 270 w 512"/>
                                  <a:gd name="T103" fmla="*/ 284 h 512"/>
                                  <a:gd name="T104" fmla="*/ 316 w 512"/>
                                  <a:gd name="T105" fmla="*/ 331 h 512"/>
                                  <a:gd name="T106" fmla="*/ 331 w 512"/>
                                  <a:gd name="T107" fmla="*/ 316 h 512"/>
                                  <a:gd name="T108" fmla="*/ 284 w 512"/>
                                  <a:gd name="T109" fmla="*/ 270 h 512"/>
                                  <a:gd name="T110" fmla="*/ 288 w 512"/>
                                  <a:gd name="T111" fmla="*/ 266 h 512"/>
                                  <a:gd name="T112" fmla="*/ 331 w 512"/>
                                  <a:gd name="T113" fmla="*/ 316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405" y="245"/>
                                    </a:moveTo>
                                    <a:cubicBezTo>
                                      <a:pt x="372" y="245"/>
                                      <a:pt x="372" y="245"/>
                                      <a:pt x="372" y="245"/>
                                    </a:cubicBezTo>
                                    <a:cubicBezTo>
                                      <a:pt x="370" y="221"/>
                                      <a:pt x="361" y="198"/>
                                      <a:pt x="346" y="181"/>
                                    </a:cubicBezTo>
                                    <a:cubicBezTo>
                                      <a:pt x="370" y="157"/>
                                      <a:pt x="370" y="157"/>
                                      <a:pt x="370" y="157"/>
                                    </a:cubicBezTo>
                                    <a:cubicBezTo>
                                      <a:pt x="374" y="152"/>
                                      <a:pt x="374" y="146"/>
                                      <a:pt x="370" y="141"/>
                                    </a:cubicBezTo>
                                    <a:cubicBezTo>
                                      <a:pt x="366" y="137"/>
                                      <a:pt x="359" y="137"/>
                                      <a:pt x="355" y="141"/>
                                    </a:cubicBezTo>
                                    <a:cubicBezTo>
                                      <a:pt x="331" y="166"/>
                                      <a:pt x="331" y="166"/>
                                      <a:pt x="331" y="166"/>
                                    </a:cubicBezTo>
                                    <a:cubicBezTo>
                                      <a:pt x="313" y="151"/>
                                      <a:pt x="291" y="141"/>
                                      <a:pt x="266" y="139"/>
                                    </a:cubicBezTo>
                                    <a:cubicBezTo>
                                      <a:pt x="266" y="106"/>
                                      <a:pt x="266" y="106"/>
                                      <a:pt x="266" y="106"/>
                                    </a:cubicBezTo>
                                    <a:cubicBezTo>
                                      <a:pt x="266" y="100"/>
                                      <a:pt x="262" y="96"/>
                                      <a:pt x="256" y="96"/>
                                    </a:cubicBezTo>
                                    <a:cubicBezTo>
                                      <a:pt x="250" y="96"/>
                                      <a:pt x="245" y="100"/>
                                      <a:pt x="245" y="106"/>
                                    </a:cubicBezTo>
                                    <a:cubicBezTo>
                                      <a:pt x="245" y="139"/>
                                      <a:pt x="245" y="139"/>
                                      <a:pt x="245" y="139"/>
                                    </a:cubicBezTo>
                                    <a:cubicBezTo>
                                      <a:pt x="221" y="141"/>
                                      <a:pt x="198" y="151"/>
                                      <a:pt x="181" y="166"/>
                                    </a:cubicBezTo>
                                    <a:cubicBezTo>
                                      <a:pt x="157" y="141"/>
                                      <a:pt x="157" y="141"/>
                                      <a:pt x="157" y="141"/>
                                    </a:cubicBezTo>
                                    <a:cubicBezTo>
                                      <a:pt x="152" y="137"/>
                                      <a:pt x="146" y="137"/>
                                      <a:pt x="141" y="141"/>
                                    </a:cubicBezTo>
                                    <a:cubicBezTo>
                                      <a:pt x="137" y="146"/>
                                      <a:pt x="137" y="152"/>
                                      <a:pt x="141" y="157"/>
                                    </a:cubicBezTo>
                                    <a:cubicBezTo>
                                      <a:pt x="166" y="181"/>
                                      <a:pt x="166" y="181"/>
                                      <a:pt x="166" y="181"/>
                                    </a:cubicBezTo>
                                    <a:cubicBezTo>
                                      <a:pt x="151" y="198"/>
                                      <a:pt x="141" y="221"/>
                                      <a:pt x="139" y="245"/>
                                    </a:cubicBezTo>
                                    <a:cubicBezTo>
                                      <a:pt x="106" y="245"/>
                                      <a:pt x="106" y="245"/>
                                      <a:pt x="106" y="245"/>
                                    </a:cubicBezTo>
                                    <a:cubicBezTo>
                                      <a:pt x="100" y="245"/>
                                      <a:pt x="96" y="250"/>
                                      <a:pt x="96" y="256"/>
                                    </a:cubicBezTo>
                                    <a:cubicBezTo>
                                      <a:pt x="96" y="262"/>
                                      <a:pt x="100" y="266"/>
                                      <a:pt x="106" y="266"/>
                                    </a:cubicBezTo>
                                    <a:cubicBezTo>
                                      <a:pt x="139" y="266"/>
                                      <a:pt x="139" y="266"/>
                                      <a:pt x="139" y="266"/>
                                    </a:cubicBezTo>
                                    <a:cubicBezTo>
                                      <a:pt x="141" y="291"/>
                                      <a:pt x="151" y="313"/>
                                      <a:pt x="166" y="331"/>
                                    </a:cubicBezTo>
                                    <a:cubicBezTo>
                                      <a:pt x="141" y="355"/>
                                      <a:pt x="141" y="355"/>
                                      <a:pt x="141" y="355"/>
                                    </a:cubicBezTo>
                                    <a:cubicBezTo>
                                      <a:pt x="137" y="359"/>
                                      <a:pt x="137" y="366"/>
                                      <a:pt x="141" y="370"/>
                                    </a:cubicBezTo>
                                    <a:cubicBezTo>
                                      <a:pt x="144" y="372"/>
                                      <a:pt x="146" y="373"/>
                                      <a:pt x="149" y="373"/>
                                    </a:cubicBezTo>
                                    <a:cubicBezTo>
                                      <a:pt x="152" y="373"/>
                                      <a:pt x="154" y="372"/>
                                      <a:pt x="157" y="370"/>
                                    </a:cubicBezTo>
                                    <a:cubicBezTo>
                                      <a:pt x="181" y="346"/>
                                      <a:pt x="181" y="346"/>
                                      <a:pt x="181" y="346"/>
                                    </a:cubicBezTo>
                                    <a:cubicBezTo>
                                      <a:pt x="198" y="361"/>
                                      <a:pt x="221" y="370"/>
                                      <a:pt x="245" y="372"/>
                                    </a:cubicBezTo>
                                    <a:cubicBezTo>
                                      <a:pt x="245" y="405"/>
                                      <a:pt x="245" y="405"/>
                                      <a:pt x="245" y="405"/>
                                    </a:cubicBezTo>
                                    <a:cubicBezTo>
                                      <a:pt x="245" y="411"/>
                                      <a:pt x="250" y="416"/>
                                      <a:pt x="256" y="416"/>
                                    </a:cubicBezTo>
                                    <a:cubicBezTo>
                                      <a:pt x="262" y="416"/>
                                      <a:pt x="266" y="411"/>
                                      <a:pt x="266" y="405"/>
                                    </a:cubicBezTo>
                                    <a:cubicBezTo>
                                      <a:pt x="266" y="372"/>
                                      <a:pt x="266" y="372"/>
                                      <a:pt x="266" y="372"/>
                                    </a:cubicBezTo>
                                    <a:cubicBezTo>
                                      <a:pt x="291" y="370"/>
                                      <a:pt x="313" y="361"/>
                                      <a:pt x="331" y="346"/>
                                    </a:cubicBezTo>
                                    <a:cubicBezTo>
                                      <a:pt x="355" y="370"/>
                                      <a:pt x="355" y="370"/>
                                      <a:pt x="355" y="370"/>
                                    </a:cubicBezTo>
                                    <a:cubicBezTo>
                                      <a:pt x="357" y="372"/>
                                      <a:pt x="360" y="373"/>
                                      <a:pt x="362" y="373"/>
                                    </a:cubicBezTo>
                                    <a:cubicBezTo>
                                      <a:pt x="365" y="373"/>
                                      <a:pt x="368" y="372"/>
                                      <a:pt x="370" y="370"/>
                                    </a:cubicBezTo>
                                    <a:cubicBezTo>
                                      <a:pt x="374" y="366"/>
                                      <a:pt x="374" y="359"/>
                                      <a:pt x="370" y="355"/>
                                    </a:cubicBezTo>
                                    <a:cubicBezTo>
                                      <a:pt x="346" y="331"/>
                                      <a:pt x="346" y="331"/>
                                      <a:pt x="346" y="331"/>
                                    </a:cubicBezTo>
                                    <a:cubicBezTo>
                                      <a:pt x="361" y="313"/>
                                      <a:pt x="370" y="291"/>
                                      <a:pt x="372" y="266"/>
                                    </a:cubicBezTo>
                                    <a:cubicBezTo>
                                      <a:pt x="405" y="266"/>
                                      <a:pt x="405" y="266"/>
                                      <a:pt x="405" y="266"/>
                                    </a:cubicBezTo>
                                    <a:cubicBezTo>
                                      <a:pt x="411" y="266"/>
                                      <a:pt x="416" y="262"/>
                                      <a:pt x="416" y="256"/>
                                    </a:cubicBezTo>
                                    <a:cubicBezTo>
                                      <a:pt x="416" y="250"/>
                                      <a:pt x="411" y="245"/>
                                      <a:pt x="405" y="245"/>
                                    </a:cubicBezTo>
                                    <a:close/>
                                    <a:moveTo>
                                      <a:pt x="351" y="245"/>
                                    </a:moveTo>
                                    <a:cubicBezTo>
                                      <a:pt x="288" y="245"/>
                                      <a:pt x="288" y="245"/>
                                      <a:pt x="288" y="245"/>
                                    </a:cubicBezTo>
                                    <a:cubicBezTo>
                                      <a:pt x="287" y="245"/>
                                      <a:pt x="286" y="245"/>
                                      <a:pt x="286" y="245"/>
                                    </a:cubicBezTo>
                                    <a:cubicBezTo>
                                      <a:pt x="285" y="244"/>
                                      <a:pt x="285" y="243"/>
                                      <a:pt x="284" y="242"/>
                                    </a:cubicBezTo>
                                    <a:cubicBezTo>
                                      <a:pt x="285" y="241"/>
                                      <a:pt x="285" y="241"/>
                                      <a:pt x="286" y="241"/>
                                    </a:cubicBezTo>
                                    <a:cubicBezTo>
                                      <a:pt x="331" y="196"/>
                                      <a:pt x="331" y="196"/>
                                      <a:pt x="331" y="196"/>
                                    </a:cubicBezTo>
                                    <a:cubicBezTo>
                                      <a:pt x="342" y="210"/>
                                      <a:pt x="349" y="227"/>
                                      <a:pt x="351" y="245"/>
                                    </a:cubicBezTo>
                                    <a:close/>
                                    <a:moveTo>
                                      <a:pt x="316" y="181"/>
                                    </a:moveTo>
                                    <a:cubicBezTo>
                                      <a:pt x="271" y="226"/>
                                      <a:pt x="271" y="226"/>
                                      <a:pt x="271" y="226"/>
                                    </a:cubicBezTo>
                                    <a:cubicBezTo>
                                      <a:pt x="270" y="226"/>
                                      <a:pt x="270" y="227"/>
                                      <a:pt x="270" y="227"/>
                                    </a:cubicBezTo>
                                    <a:cubicBezTo>
                                      <a:pt x="269" y="226"/>
                                      <a:pt x="267" y="226"/>
                                      <a:pt x="266" y="226"/>
                                    </a:cubicBezTo>
                                    <a:cubicBezTo>
                                      <a:pt x="266" y="225"/>
                                      <a:pt x="266" y="224"/>
                                      <a:pt x="266" y="224"/>
                                    </a:cubicBezTo>
                                    <a:cubicBezTo>
                                      <a:pt x="266" y="160"/>
                                      <a:pt x="266" y="160"/>
                                      <a:pt x="266" y="160"/>
                                    </a:cubicBezTo>
                                    <a:cubicBezTo>
                                      <a:pt x="285" y="162"/>
                                      <a:pt x="302" y="170"/>
                                      <a:pt x="316" y="181"/>
                                    </a:cubicBezTo>
                                    <a:close/>
                                    <a:moveTo>
                                      <a:pt x="256" y="266"/>
                                    </a:moveTo>
                                    <a:cubicBezTo>
                                      <a:pt x="250" y="266"/>
                                      <a:pt x="245" y="262"/>
                                      <a:pt x="245" y="256"/>
                                    </a:cubicBezTo>
                                    <a:cubicBezTo>
                                      <a:pt x="245" y="250"/>
                                      <a:pt x="250" y="245"/>
                                      <a:pt x="256" y="245"/>
                                    </a:cubicBezTo>
                                    <a:cubicBezTo>
                                      <a:pt x="262" y="245"/>
                                      <a:pt x="266" y="250"/>
                                      <a:pt x="266" y="256"/>
                                    </a:cubicBezTo>
                                    <a:cubicBezTo>
                                      <a:pt x="266" y="262"/>
                                      <a:pt x="262" y="266"/>
                                      <a:pt x="256" y="266"/>
                                    </a:cubicBezTo>
                                    <a:close/>
                                    <a:moveTo>
                                      <a:pt x="245" y="160"/>
                                    </a:moveTo>
                                    <a:cubicBezTo>
                                      <a:pt x="245" y="224"/>
                                      <a:pt x="245" y="224"/>
                                      <a:pt x="245" y="224"/>
                                    </a:cubicBezTo>
                                    <a:cubicBezTo>
                                      <a:pt x="245" y="224"/>
                                      <a:pt x="245" y="225"/>
                                      <a:pt x="245" y="226"/>
                                    </a:cubicBezTo>
                                    <a:cubicBezTo>
                                      <a:pt x="244" y="226"/>
                                      <a:pt x="243" y="226"/>
                                      <a:pt x="242" y="227"/>
                                    </a:cubicBezTo>
                                    <a:cubicBezTo>
                                      <a:pt x="241" y="227"/>
                                      <a:pt x="241" y="226"/>
                                      <a:pt x="241" y="226"/>
                                    </a:cubicBezTo>
                                    <a:cubicBezTo>
                                      <a:pt x="196" y="181"/>
                                      <a:pt x="196" y="181"/>
                                      <a:pt x="196" y="181"/>
                                    </a:cubicBezTo>
                                    <a:cubicBezTo>
                                      <a:pt x="210" y="170"/>
                                      <a:pt x="227" y="162"/>
                                      <a:pt x="245" y="160"/>
                                    </a:cubicBezTo>
                                    <a:close/>
                                    <a:moveTo>
                                      <a:pt x="181" y="196"/>
                                    </a:moveTo>
                                    <a:cubicBezTo>
                                      <a:pt x="226" y="241"/>
                                      <a:pt x="226" y="241"/>
                                      <a:pt x="226" y="241"/>
                                    </a:cubicBezTo>
                                    <a:cubicBezTo>
                                      <a:pt x="226" y="241"/>
                                      <a:pt x="227" y="241"/>
                                      <a:pt x="227" y="242"/>
                                    </a:cubicBezTo>
                                    <a:cubicBezTo>
                                      <a:pt x="226" y="243"/>
                                      <a:pt x="226" y="244"/>
                                      <a:pt x="226" y="245"/>
                                    </a:cubicBezTo>
                                    <a:cubicBezTo>
                                      <a:pt x="225" y="245"/>
                                      <a:pt x="224" y="245"/>
                                      <a:pt x="224" y="245"/>
                                    </a:cubicBezTo>
                                    <a:cubicBezTo>
                                      <a:pt x="160" y="245"/>
                                      <a:pt x="160" y="245"/>
                                      <a:pt x="160" y="245"/>
                                    </a:cubicBezTo>
                                    <a:cubicBezTo>
                                      <a:pt x="162" y="227"/>
                                      <a:pt x="170" y="210"/>
                                      <a:pt x="181" y="196"/>
                                    </a:cubicBezTo>
                                    <a:close/>
                                    <a:moveTo>
                                      <a:pt x="160" y="266"/>
                                    </a:moveTo>
                                    <a:cubicBezTo>
                                      <a:pt x="224" y="266"/>
                                      <a:pt x="224" y="266"/>
                                      <a:pt x="224" y="266"/>
                                    </a:cubicBezTo>
                                    <a:cubicBezTo>
                                      <a:pt x="224" y="266"/>
                                      <a:pt x="225" y="266"/>
                                      <a:pt x="226" y="266"/>
                                    </a:cubicBezTo>
                                    <a:cubicBezTo>
                                      <a:pt x="226" y="267"/>
                                      <a:pt x="226" y="269"/>
                                      <a:pt x="227" y="270"/>
                                    </a:cubicBezTo>
                                    <a:cubicBezTo>
                                      <a:pt x="227" y="270"/>
                                      <a:pt x="226" y="270"/>
                                      <a:pt x="226" y="271"/>
                                    </a:cubicBezTo>
                                    <a:cubicBezTo>
                                      <a:pt x="181" y="316"/>
                                      <a:pt x="181" y="316"/>
                                      <a:pt x="181" y="316"/>
                                    </a:cubicBezTo>
                                    <a:cubicBezTo>
                                      <a:pt x="170" y="302"/>
                                      <a:pt x="162" y="285"/>
                                      <a:pt x="160" y="266"/>
                                    </a:cubicBezTo>
                                    <a:close/>
                                    <a:moveTo>
                                      <a:pt x="196" y="331"/>
                                    </a:moveTo>
                                    <a:cubicBezTo>
                                      <a:pt x="241" y="286"/>
                                      <a:pt x="241" y="286"/>
                                      <a:pt x="241" y="286"/>
                                    </a:cubicBezTo>
                                    <a:cubicBezTo>
                                      <a:pt x="241" y="285"/>
                                      <a:pt x="241" y="285"/>
                                      <a:pt x="242" y="284"/>
                                    </a:cubicBezTo>
                                    <a:cubicBezTo>
                                      <a:pt x="243" y="285"/>
                                      <a:pt x="244" y="285"/>
                                      <a:pt x="245" y="286"/>
                                    </a:cubicBezTo>
                                    <a:cubicBezTo>
                                      <a:pt x="245" y="286"/>
                                      <a:pt x="245" y="287"/>
                                      <a:pt x="245" y="288"/>
                                    </a:cubicBezTo>
                                    <a:cubicBezTo>
                                      <a:pt x="245" y="351"/>
                                      <a:pt x="245" y="351"/>
                                      <a:pt x="245" y="351"/>
                                    </a:cubicBezTo>
                                    <a:cubicBezTo>
                                      <a:pt x="227" y="349"/>
                                      <a:pt x="210" y="342"/>
                                      <a:pt x="196" y="331"/>
                                    </a:cubicBezTo>
                                    <a:close/>
                                    <a:moveTo>
                                      <a:pt x="266" y="351"/>
                                    </a:moveTo>
                                    <a:cubicBezTo>
                                      <a:pt x="266" y="288"/>
                                      <a:pt x="266" y="288"/>
                                      <a:pt x="266" y="288"/>
                                    </a:cubicBezTo>
                                    <a:cubicBezTo>
                                      <a:pt x="266" y="287"/>
                                      <a:pt x="266" y="286"/>
                                      <a:pt x="266" y="286"/>
                                    </a:cubicBezTo>
                                    <a:cubicBezTo>
                                      <a:pt x="267" y="285"/>
                                      <a:pt x="269" y="285"/>
                                      <a:pt x="270" y="284"/>
                                    </a:cubicBezTo>
                                    <a:cubicBezTo>
                                      <a:pt x="270" y="285"/>
                                      <a:pt x="270" y="285"/>
                                      <a:pt x="271" y="286"/>
                                    </a:cubicBezTo>
                                    <a:cubicBezTo>
                                      <a:pt x="316" y="331"/>
                                      <a:pt x="316" y="331"/>
                                      <a:pt x="316" y="331"/>
                                    </a:cubicBezTo>
                                    <a:cubicBezTo>
                                      <a:pt x="302" y="342"/>
                                      <a:pt x="285" y="349"/>
                                      <a:pt x="266" y="351"/>
                                    </a:cubicBezTo>
                                    <a:close/>
                                    <a:moveTo>
                                      <a:pt x="331" y="316"/>
                                    </a:moveTo>
                                    <a:cubicBezTo>
                                      <a:pt x="286" y="271"/>
                                      <a:pt x="286" y="271"/>
                                      <a:pt x="286" y="271"/>
                                    </a:cubicBezTo>
                                    <a:cubicBezTo>
                                      <a:pt x="285" y="270"/>
                                      <a:pt x="285" y="270"/>
                                      <a:pt x="284" y="270"/>
                                    </a:cubicBezTo>
                                    <a:cubicBezTo>
                                      <a:pt x="285" y="268"/>
                                      <a:pt x="285" y="267"/>
                                      <a:pt x="286" y="266"/>
                                    </a:cubicBezTo>
                                    <a:cubicBezTo>
                                      <a:pt x="286" y="266"/>
                                      <a:pt x="287" y="266"/>
                                      <a:pt x="288" y="266"/>
                                    </a:cubicBezTo>
                                    <a:cubicBezTo>
                                      <a:pt x="351" y="266"/>
                                      <a:pt x="351" y="266"/>
                                      <a:pt x="351" y="266"/>
                                    </a:cubicBezTo>
                                    <a:cubicBezTo>
                                      <a:pt x="349" y="285"/>
                                      <a:pt x="342" y="302"/>
                                      <a:pt x="331" y="31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79688" id="Freeform 1022" o:spid="_x0000_s1026" style="position:absolute;margin-left:-4.75pt;margin-top:-1.55pt;width:29.05pt;height:29.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" path="m256,21v129,,234,105,234,235c490,385,385,490,256,490,126,490,21,385,21,256,21,126,126,21,256,21m256,c114,,,114,,256,,397,114,512,256,512v141,,256,-115,256,-256c512,114,397,,256,xm405,245v-33,,-33,,-33,c370,221,361,198,346,181v24,-24,24,-24,24,-24c374,152,374,146,370,141v-4,-4,-11,-4,-15,c331,166,331,166,331,166,313,151,291,141,266,139v,-33,,-33,,-33c266,100,262,96,256,96v-6,,-11,4,-11,10c245,139,245,139,245,139v-24,2,-47,12,-64,27c157,141,157,141,157,141v-5,-4,-11,-4,-16,c137,146,137,152,141,157v25,24,25,24,25,24c151,198,141,221,139,245v-33,,-33,,-33,c100,245,96,250,96,256v,6,4,10,10,10c139,266,139,266,139,266v2,25,12,47,27,65c141,355,141,355,141,355v-4,4,-4,11,,15c144,372,146,373,149,373v3,,5,-1,8,-3c181,346,181,346,181,346v17,15,40,24,64,26c245,405,245,405,245,405v,6,5,11,11,11c262,416,266,411,266,405v,-33,,-33,,-33c291,370,313,361,331,346v24,24,24,24,24,24c357,372,360,373,362,373v3,,6,-1,8,-3c374,366,374,359,370,355,346,331,346,331,346,331v15,-18,24,-40,26,-65c405,266,405,266,405,266v6,,11,-4,11,-10c416,250,411,245,405,245xm351,245v-63,,-63,,-63,c287,245,286,245,286,245v-1,-1,-1,-2,-2,-3c285,241,285,241,286,241v45,-45,45,-45,45,-45c342,210,349,227,351,245xm316,181v-45,45,-45,45,-45,45c270,226,270,227,270,227v-1,-1,-3,-1,-4,-1c266,225,266,224,266,224v,-64,,-64,,-64c285,162,302,170,316,181xm256,266v-6,,-11,-4,-11,-10c245,250,250,245,256,245v6,,10,5,10,11c266,262,262,266,256,266xm245,160v,64,,64,,64c245,224,245,225,245,226v-1,,-2,,-3,1c241,227,241,226,241,226,196,181,196,181,196,181v14,-11,31,-19,49,-21xm181,196v45,45,45,45,45,45c226,241,227,241,227,242v-1,1,-1,2,-1,3c225,245,224,245,224,245v-64,,-64,,-64,c162,227,170,210,181,196xm160,266v64,,64,,64,c224,266,225,266,226,266v,1,,3,1,4c227,270,226,270,226,271v-45,45,-45,45,-45,45c170,302,162,285,160,266xm196,331v45,-45,45,-45,45,-45c241,285,241,285,242,284v1,1,2,1,3,2c245,286,245,287,245,288v,63,,63,,63c227,349,210,342,196,331xm266,351v,-63,,-63,,-63c266,287,266,286,266,286v1,-1,3,-1,4,-2c270,285,270,285,271,286v45,45,45,45,45,45c302,342,285,349,266,351xm331,316c286,271,286,271,286,271v-1,-1,-1,-1,-2,-1c285,268,285,267,286,266v,,1,,2,c351,266,351,266,351,266v-2,19,-9,36,-20,50xe" fillcolor="white [3212]" stroked="f">
                      <v:path arrowok="t" o:connecttype="custom" o:connectlocs="353082,184468;15132,184468;184468,0;184468,368935;184468,0;268054,176541;266613,113130;255805,101601;191673,100160;184468,69175;176541,100160;113130,101601;101601,113130;100160,176541;69175,184468;100160,191673;101601,255805;107366,268775;130424,249319;176541,291833;191673,291833;238511,249319;260849,268775;266613,255805;268054,191673;299760,184468;252922,176541;206085,176541;206085,173659;252922,176541;195276,162850;191673,162850;191673,115292;184468,191673;184468,176541;184468,191673;176541,161409;174379,163571;141233,130424;130424,141233;163571,174379;161409,176541;130424,141233;161409,191673;163571,194556;130424,227702;141233,238511;174379,204644;176541,207526;141233,238511;191673,207526;194556,204644;227702,238511;238511,227702;204644,194556;207526,191673;238511,227702" o:connectangles="0,0,0,0,0,0,0,0,0,0,0,0,0,0,0,0,0,0,0,0,0,0,0,0,0,0,0,0,0,0,0,0,0,0,0,0,0,0,0,0,0,0,0,0,0,0,0,0,0,0,0,0,0,0,0,0,0"/>
                      <o:lock v:ext="edit" aspectratio="t" verticies="t"/>
                    </v:shape>
                  </w:pict>
                </mc:Fallback>
              </mc:AlternateContent>
            </w:r>
            <w:r>
              <w:rPr>
                <w:b/>
                <w:bCs/>
                <w:color w:val="FFFFFF" w:themeColor="background1"/>
              </w:rPr>
              <w:t>Program management</w:t>
            </w:r>
          </w:p>
        </w:tc>
        <w:tc>
          <w:tcPr>
            <w:tcW w:w="1223" w:type="pct"/>
            <w:tcBorders>
              <w:top w:val="single" w:sz="8" w:space="0" w:color="86BC25"/>
              <w:left w:val="single" w:sz="8" w:space="0" w:color="FFFFFF"/>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1FC47A7B" w14:textId="77777777" w:rsidR="00AC28E1" w:rsidRPr="00D4686E" w:rsidRDefault="00AC28E1" w:rsidP="009B651B">
            <w:pPr>
              <w:ind w:left="825"/>
              <w:rPr>
                <w:b/>
                <w:color w:val="FFFFFF" w:themeColor="background1"/>
                <w:lang w:val="en-US"/>
              </w:rPr>
            </w:pPr>
            <w:r w:rsidRPr="00A9171F">
              <w:rPr>
                <w:b/>
                <w:bCs/>
                <w:noProof/>
                <w:color w:val="FFFFFF" w:themeColor="background1"/>
                <w:lang w:eastAsia="cs-CZ"/>
              </w:rPr>
              <mc:AlternateContent>
                <mc:Choice Requires="wpg">
                  <w:drawing>
                    <wp:anchor distT="0" distB="0" distL="114300" distR="114300" simplePos="0" relativeHeight="251677184" behindDoc="0" locked="0" layoutInCell="1" allowOverlap="1" wp14:anchorId="77905259" wp14:editId="76B42613">
                      <wp:simplePos x="0" y="0"/>
                      <wp:positionH relativeFrom="column">
                        <wp:posOffset>-40005</wp:posOffset>
                      </wp:positionH>
                      <wp:positionV relativeFrom="paragraph">
                        <wp:posOffset>-20320</wp:posOffset>
                      </wp:positionV>
                      <wp:extent cx="369570" cy="369570"/>
                      <wp:effectExtent l="0" t="0" r="0" b="0"/>
                      <wp:wrapNone/>
                      <wp:docPr id="101" name="Group 226"/>
                      <wp:cNvGraphicFramePr/>
                      <a:graphic xmlns:a="http://schemas.openxmlformats.org/drawingml/2006/main">
                        <a:graphicData uri="http://schemas.microsoft.com/office/word/2010/wordprocessingGroup">
                          <wpg:wgp>
                            <wpg:cNvGrpSpPr/>
                            <wpg:grpSpPr bwMode="auto">
                              <a:xfrm>
                                <a:off x="0" y="0"/>
                                <a:ext cx="369570" cy="369570"/>
                                <a:chOff x="0" y="0"/>
                                <a:chExt cx="340" cy="340"/>
                              </a:xfrm>
                              <a:solidFill>
                                <a:schemeClr val="bg1"/>
                              </a:solidFill>
                            </wpg:grpSpPr>
                            <wps:wsp>
                              <wps:cNvPr id="102" name="Freeform 102"/>
                              <wps:cNvSpPr>
                                <a:spLocks noEditPoints="1"/>
                              </wps:cNvSpPr>
                              <wps:spPr bwMode="auto">
                                <a:xfrm>
                                  <a:off x="64" y="85"/>
                                  <a:ext cx="212" cy="127"/>
                                </a:xfrm>
                                <a:custGeom>
                                  <a:avLst/>
                                  <a:gdLst>
                                    <a:gd name="T0" fmla="*/ 282 w 320"/>
                                    <a:gd name="T1" fmla="*/ 56 h 192"/>
                                    <a:gd name="T2" fmla="*/ 296 w 320"/>
                                    <a:gd name="T3" fmla="*/ 38 h 192"/>
                                    <a:gd name="T4" fmla="*/ 295 w 320"/>
                                    <a:gd name="T5" fmla="*/ 24 h 192"/>
                                    <a:gd name="T6" fmla="*/ 281 w 320"/>
                                    <a:gd name="T7" fmla="*/ 23 h 192"/>
                                    <a:gd name="T8" fmla="*/ 263 w 320"/>
                                    <a:gd name="T9" fmla="*/ 37 h 192"/>
                                    <a:gd name="T10" fmla="*/ 160 w 320"/>
                                    <a:gd name="T11" fmla="*/ 0 h 192"/>
                                    <a:gd name="T12" fmla="*/ 0 w 320"/>
                                    <a:gd name="T13" fmla="*/ 160 h 192"/>
                                    <a:gd name="T14" fmla="*/ 10 w 320"/>
                                    <a:gd name="T15" fmla="*/ 170 h 192"/>
                                    <a:gd name="T16" fmla="*/ 21 w 320"/>
                                    <a:gd name="T17" fmla="*/ 160 h 192"/>
                                    <a:gd name="T18" fmla="*/ 160 w 320"/>
                                    <a:gd name="T19" fmla="*/ 21 h 192"/>
                                    <a:gd name="T20" fmla="*/ 245 w 320"/>
                                    <a:gd name="T21" fmla="*/ 51 h 192"/>
                                    <a:gd name="T22" fmla="*/ 137 w 320"/>
                                    <a:gd name="T23" fmla="*/ 133 h 192"/>
                                    <a:gd name="T24" fmla="*/ 136 w 320"/>
                                    <a:gd name="T25" fmla="*/ 134 h 192"/>
                                    <a:gd name="T26" fmla="*/ 126 w 320"/>
                                    <a:gd name="T27" fmla="*/ 158 h 192"/>
                                    <a:gd name="T28" fmla="*/ 136 w 320"/>
                                    <a:gd name="T29" fmla="*/ 182 h 192"/>
                                    <a:gd name="T30" fmla="*/ 160 w 320"/>
                                    <a:gd name="T31" fmla="*/ 192 h 192"/>
                                    <a:gd name="T32" fmla="*/ 160 w 320"/>
                                    <a:gd name="T33" fmla="*/ 192 h 192"/>
                                    <a:gd name="T34" fmla="*/ 183 w 320"/>
                                    <a:gd name="T35" fmla="*/ 182 h 192"/>
                                    <a:gd name="T36" fmla="*/ 184 w 320"/>
                                    <a:gd name="T37" fmla="*/ 181 h 192"/>
                                    <a:gd name="T38" fmla="*/ 268 w 320"/>
                                    <a:gd name="T39" fmla="*/ 74 h 192"/>
                                    <a:gd name="T40" fmla="*/ 298 w 320"/>
                                    <a:gd name="T41" fmla="*/ 160 h 192"/>
                                    <a:gd name="T42" fmla="*/ 309 w 320"/>
                                    <a:gd name="T43" fmla="*/ 170 h 192"/>
                                    <a:gd name="T44" fmla="*/ 320 w 320"/>
                                    <a:gd name="T45" fmla="*/ 160 h 192"/>
                                    <a:gd name="T46" fmla="*/ 282 w 320"/>
                                    <a:gd name="T47" fmla="*/ 56 h 192"/>
                                    <a:gd name="T48" fmla="*/ 168 w 320"/>
                                    <a:gd name="T49" fmla="*/ 167 h 192"/>
                                    <a:gd name="T50" fmla="*/ 160 w 320"/>
                                    <a:gd name="T51" fmla="*/ 170 h 192"/>
                                    <a:gd name="T52" fmla="*/ 160 w 320"/>
                                    <a:gd name="T53" fmla="*/ 170 h 192"/>
                                    <a:gd name="T54" fmla="*/ 151 w 320"/>
                                    <a:gd name="T55" fmla="*/ 167 h 192"/>
                                    <a:gd name="T56" fmla="*/ 147 w 320"/>
                                    <a:gd name="T57" fmla="*/ 158 h 192"/>
                                    <a:gd name="T58" fmla="*/ 151 w 320"/>
                                    <a:gd name="T59" fmla="*/ 150 h 192"/>
                                    <a:gd name="T60" fmla="*/ 227 w 320"/>
                                    <a:gd name="T61" fmla="*/ 91 h 192"/>
                                    <a:gd name="T62" fmla="*/ 168 w 320"/>
                                    <a:gd name="T63" fmla="*/ 167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0" h="192">
                                      <a:moveTo>
                                        <a:pt x="282" y="56"/>
                                      </a:moveTo>
                                      <a:cubicBezTo>
                                        <a:pt x="296" y="38"/>
                                        <a:pt x="296" y="38"/>
                                        <a:pt x="296" y="38"/>
                                      </a:cubicBezTo>
                                      <a:cubicBezTo>
                                        <a:pt x="299" y="34"/>
                                        <a:pt x="299" y="28"/>
                                        <a:pt x="295" y="24"/>
                                      </a:cubicBezTo>
                                      <a:cubicBezTo>
                                        <a:pt x="291" y="20"/>
                                        <a:pt x="285" y="20"/>
                                        <a:pt x="281" y="23"/>
                                      </a:cubicBezTo>
                                      <a:cubicBezTo>
                                        <a:pt x="263" y="37"/>
                                        <a:pt x="263" y="37"/>
                                        <a:pt x="263" y="37"/>
                                      </a:cubicBezTo>
                                      <a:cubicBezTo>
                                        <a:pt x="235" y="14"/>
                                        <a:pt x="199" y="0"/>
                                        <a:pt x="160" y="0"/>
                                      </a:cubicBezTo>
                                      <a:cubicBezTo>
                                        <a:pt x="71" y="0"/>
                                        <a:pt x="0" y="71"/>
                                        <a:pt x="0" y="160"/>
                                      </a:cubicBezTo>
                                      <a:cubicBezTo>
                                        <a:pt x="0" y="166"/>
                                        <a:pt x="4" y="170"/>
                                        <a:pt x="10" y="170"/>
                                      </a:cubicBezTo>
                                      <a:cubicBezTo>
                                        <a:pt x="16" y="170"/>
                                        <a:pt x="21" y="166"/>
                                        <a:pt x="21" y="160"/>
                                      </a:cubicBezTo>
                                      <a:cubicBezTo>
                                        <a:pt x="21" y="83"/>
                                        <a:pt x="83" y="21"/>
                                        <a:pt x="160" y="21"/>
                                      </a:cubicBezTo>
                                      <a:cubicBezTo>
                                        <a:pt x="192" y="21"/>
                                        <a:pt x="222" y="32"/>
                                        <a:pt x="245" y="51"/>
                                      </a:cubicBezTo>
                                      <a:cubicBezTo>
                                        <a:pt x="137" y="133"/>
                                        <a:pt x="137" y="133"/>
                                        <a:pt x="137" y="133"/>
                                      </a:cubicBezTo>
                                      <a:cubicBezTo>
                                        <a:pt x="137" y="134"/>
                                        <a:pt x="136" y="134"/>
                                        <a:pt x="136" y="134"/>
                                      </a:cubicBezTo>
                                      <a:cubicBezTo>
                                        <a:pt x="130" y="141"/>
                                        <a:pt x="126" y="149"/>
                                        <a:pt x="126" y="158"/>
                                      </a:cubicBezTo>
                                      <a:cubicBezTo>
                                        <a:pt x="126" y="167"/>
                                        <a:pt x="130" y="175"/>
                                        <a:pt x="136" y="182"/>
                                      </a:cubicBezTo>
                                      <a:cubicBezTo>
                                        <a:pt x="142" y="188"/>
                                        <a:pt x="151" y="192"/>
                                        <a:pt x="160" y="192"/>
                                      </a:cubicBezTo>
                                      <a:cubicBezTo>
                                        <a:pt x="160" y="192"/>
                                        <a:pt x="160" y="192"/>
                                        <a:pt x="160" y="192"/>
                                      </a:cubicBezTo>
                                      <a:cubicBezTo>
                                        <a:pt x="169" y="192"/>
                                        <a:pt x="177" y="188"/>
                                        <a:pt x="183" y="182"/>
                                      </a:cubicBezTo>
                                      <a:cubicBezTo>
                                        <a:pt x="184" y="182"/>
                                        <a:pt x="184" y="181"/>
                                        <a:pt x="184" y="181"/>
                                      </a:cubicBezTo>
                                      <a:cubicBezTo>
                                        <a:pt x="268" y="74"/>
                                        <a:pt x="268" y="74"/>
                                        <a:pt x="268" y="74"/>
                                      </a:cubicBezTo>
                                      <a:cubicBezTo>
                                        <a:pt x="287" y="97"/>
                                        <a:pt x="298" y="127"/>
                                        <a:pt x="298" y="160"/>
                                      </a:cubicBezTo>
                                      <a:cubicBezTo>
                                        <a:pt x="298" y="166"/>
                                        <a:pt x="303" y="170"/>
                                        <a:pt x="309" y="170"/>
                                      </a:cubicBezTo>
                                      <a:cubicBezTo>
                                        <a:pt x="315" y="170"/>
                                        <a:pt x="320" y="166"/>
                                        <a:pt x="320" y="160"/>
                                      </a:cubicBezTo>
                                      <a:cubicBezTo>
                                        <a:pt x="320" y="120"/>
                                        <a:pt x="305" y="84"/>
                                        <a:pt x="282" y="56"/>
                                      </a:cubicBezTo>
                                      <a:close/>
                                      <a:moveTo>
                                        <a:pt x="168" y="167"/>
                                      </a:moveTo>
                                      <a:cubicBezTo>
                                        <a:pt x="166" y="169"/>
                                        <a:pt x="163" y="170"/>
                                        <a:pt x="160" y="170"/>
                                      </a:cubicBezTo>
                                      <a:cubicBezTo>
                                        <a:pt x="160" y="170"/>
                                        <a:pt x="160" y="170"/>
                                        <a:pt x="160" y="170"/>
                                      </a:cubicBezTo>
                                      <a:cubicBezTo>
                                        <a:pt x="156" y="170"/>
                                        <a:pt x="153" y="169"/>
                                        <a:pt x="151" y="167"/>
                                      </a:cubicBezTo>
                                      <a:cubicBezTo>
                                        <a:pt x="149" y="164"/>
                                        <a:pt x="147" y="161"/>
                                        <a:pt x="147" y="158"/>
                                      </a:cubicBezTo>
                                      <a:cubicBezTo>
                                        <a:pt x="147" y="155"/>
                                        <a:pt x="149" y="152"/>
                                        <a:pt x="151" y="150"/>
                                      </a:cubicBezTo>
                                      <a:cubicBezTo>
                                        <a:pt x="227" y="91"/>
                                        <a:pt x="227" y="91"/>
                                        <a:pt x="227" y="91"/>
                                      </a:cubicBezTo>
                                      <a:lnTo>
                                        <a:pt x="168" y="16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 name="Freeform 103"/>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919F80" id="Group 226" o:spid="_x0000_s1026" style="position:absolute;margin-left:-3.15pt;margin-top:-1.6pt;width:29.1pt;height:29.1pt;z-index:25167718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">
                      <v:shape id="Freeform 102" o:spid="_x0000_s1027" style="position:absolute;left:64;top:85;width:212;height:127;visibility:visible;mso-wrap-style:square;v-text-anchor:top" coordsize="3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" path="m282,56c296,38,296,38,296,38v3,-4,3,-10,-1,-14c291,20,285,20,281,23,263,37,263,37,263,37,235,14,199,,160,,71,,,71,,160v,6,4,10,10,10c16,170,21,166,21,160,21,83,83,21,160,21v32,,62,11,85,30c137,133,137,133,137,133v,1,-1,1,-1,1c130,141,126,149,126,158v,9,4,17,10,24c142,188,151,192,160,192v,,,,,c169,192,177,188,183,182v1,,1,-1,1,-1c268,74,268,74,268,74v19,23,30,53,30,86c298,166,303,170,309,170v6,,11,-4,11,-10c320,120,305,84,282,56xm168,167v-2,2,-5,3,-8,3c160,170,160,170,160,170v-4,,-7,-1,-9,-3c149,164,147,161,147,158v,-3,2,-6,4,-8c227,91,227,91,227,91r-59,76xe" filled="f" stroked="f">
                        <v:path arrowok="t" o:connecttype="custom" o:connectlocs="187,37;196,25;195,16;186,15;174,24;106,0;0,106;7,112;14,106;106,14;162,34;91,88;90,89;83,105;90,120;106,127;106,127;121,120;122,120;178,49;197,106;205,112;212,106;187,37;111,110;106,112;106,112;100,110;97,105;100,99;150,60;111,110" o:connectangles="0,0,0,0,0,0,0,0,0,0,0,0,0,0,0,0,0,0,0,0,0,0,0,0,0,0,0,0,0,0,0,0"/>
                        <o:lock v:ext="edit" verticies="t"/>
                      </v:shape>
                      <v:shape id="Freeform 103"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roofErr w:type="spellStart"/>
            <w:r>
              <w:rPr>
                <w:b/>
                <w:bCs/>
                <w:color w:val="FFFFFF" w:themeColor="background1"/>
              </w:rPr>
              <w:t>Calls</w:t>
            </w:r>
            <w:proofErr w:type="spellEnd"/>
            <w:r>
              <w:rPr>
                <w:b/>
                <w:bCs/>
                <w:color w:val="FFFFFF" w:themeColor="background1"/>
              </w:rPr>
              <w:t xml:space="preserve"> </w:t>
            </w:r>
            <w:proofErr w:type="spellStart"/>
            <w:r>
              <w:rPr>
                <w:b/>
                <w:bCs/>
                <w:color w:val="FFFFFF" w:themeColor="background1"/>
              </w:rPr>
              <w:t>for</w:t>
            </w:r>
            <w:proofErr w:type="spellEnd"/>
            <w:r>
              <w:rPr>
                <w:b/>
                <w:bCs/>
                <w:color w:val="FFFFFF" w:themeColor="background1"/>
              </w:rPr>
              <w:t xml:space="preserve"> </w:t>
            </w:r>
            <w:proofErr w:type="spellStart"/>
            <w:r>
              <w:rPr>
                <w:b/>
                <w:bCs/>
                <w:color w:val="FFFFFF" w:themeColor="background1"/>
              </w:rPr>
              <w:t>proposals</w:t>
            </w:r>
            <w:proofErr w:type="spellEnd"/>
          </w:p>
        </w:tc>
        <w:tc>
          <w:tcPr>
            <w:tcW w:w="1332" w:type="pct"/>
            <w:tcBorders>
              <w:top w:val="single" w:sz="8" w:space="0" w:color="86BC25"/>
              <w:left w:val="single" w:sz="8" w:space="0" w:color="FFFFFF"/>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4F9B816C" w14:textId="77777777" w:rsidR="00AC28E1" w:rsidRPr="00D4686E" w:rsidRDefault="00AC28E1" w:rsidP="009B651B">
            <w:pPr>
              <w:ind w:left="614"/>
              <w:rPr>
                <w:b/>
                <w:color w:val="FFFFFF" w:themeColor="background1"/>
                <w:lang w:val="en-US"/>
              </w:rPr>
            </w:pPr>
            <w:r w:rsidRPr="00A9171F">
              <w:rPr>
                <w:b/>
                <w:bCs/>
                <w:noProof/>
                <w:color w:val="FFFFFF" w:themeColor="background1"/>
                <w:lang w:eastAsia="cs-CZ"/>
              </w:rPr>
              <mc:AlternateContent>
                <mc:Choice Requires="wpg">
                  <w:drawing>
                    <wp:anchor distT="0" distB="0" distL="114300" distR="114300" simplePos="0" relativeHeight="251678208" behindDoc="0" locked="0" layoutInCell="1" allowOverlap="1" wp14:anchorId="7825AFF1" wp14:editId="58DBB94B">
                      <wp:simplePos x="0" y="0"/>
                      <wp:positionH relativeFrom="column">
                        <wp:posOffset>-41910</wp:posOffset>
                      </wp:positionH>
                      <wp:positionV relativeFrom="paragraph">
                        <wp:posOffset>283210</wp:posOffset>
                      </wp:positionV>
                      <wp:extent cx="369570" cy="369570"/>
                      <wp:effectExtent l="0" t="0" r="0" b="0"/>
                      <wp:wrapNone/>
                      <wp:docPr id="104" name="Group 235"/>
                      <wp:cNvGraphicFramePr/>
                      <a:graphic xmlns:a="http://schemas.openxmlformats.org/drawingml/2006/main">
                        <a:graphicData uri="http://schemas.microsoft.com/office/word/2010/wordprocessingGroup">
                          <wpg:wgp>
                            <wpg:cNvGrpSpPr/>
                            <wpg:grpSpPr bwMode="auto">
                              <a:xfrm>
                                <a:off x="0" y="0"/>
                                <a:ext cx="369570" cy="369570"/>
                                <a:chOff x="0" y="0"/>
                                <a:chExt cx="340" cy="340"/>
                              </a:xfrm>
                              <a:solidFill>
                                <a:schemeClr val="bg1"/>
                              </a:solidFill>
                            </wpg:grpSpPr>
                            <wps:wsp>
                              <wps:cNvPr id="105" name="Freeform 105"/>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6" name="Freeform 106"/>
                              <wps:cNvSpPr>
                                <a:spLocks noEditPoints="1"/>
                              </wps:cNvSpPr>
                              <wps:spPr bwMode="auto">
                                <a:xfrm>
                                  <a:off x="64" y="92"/>
                                  <a:ext cx="127" cy="113"/>
                                </a:xfrm>
                                <a:custGeom>
                                  <a:avLst/>
                                  <a:gdLst>
                                    <a:gd name="T0" fmla="*/ 192 w 192"/>
                                    <a:gd name="T1" fmla="*/ 118 h 171"/>
                                    <a:gd name="T2" fmla="*/ 192 w 192"/>
                                    <a:gd name="T3" fmla="*/ 11 h 171"/>
                                    <a:gd name="T4" fmla="*/ 181 w 192"/>
                                    <a:gd name="T5" fmla="*/ 0 h 171"/>
                                    <a:gd name="T6" fmla="*/ 10 w 192"/>
                                    <a:gd name="T7" fmla="*/ 0 h 171"/>
                                    <a:gd name="T8" fmla="*/ 0 w 192"/>
                                    <a:gd name="T9" fmla="*/ 11 h 171"/>
                                    <a:gd name="T10" fmla="*/ 0 w 192"/>
                                    <a:gd name="T11" fmla="*/ 118 h 171"/>
                                    <a:gd name="T12" fmla="*/ 10 w 192"/>
                                    <a:gd name="T13" fmla="*/ 128 h 171"/>
                                    <a:gd name="T14" fmla="*/ 32 w 192"/>
                                    <a:gd name="T15" fmla="*/ 128 h 171"/>
                                    <a:gd name="T16" fmla="*/ 32 w 192"/>
                                    <a:gd name="T17" fmla="*/ 160 h 171"/>
                                    <a:gd name="T18" fmla="*/ 38 w 192"/>
                                    <a:gd name="T19" fmla="*/ 170 h 171"/>
                                    <a:gd name="T20" fmla="*/ 42 w 192"/>
                                    <a:gd name="T21" fmla="*/ 171 h 171"/>
                                    <a:gd name="T22" fmla="*/ 50 w 192"/>
                                    <a:gd name="T23" fmla="*/ 168 h 171"/>
                                    <a:gd name="T24" fmla="*/ 89 w 192"/>
                                    <a:gd name="T25" fmla="*/ 128 h 171"/>
                                    <a:gd name="T26" fmla="*/ 181 w 192"/>
                                    <a:gd name="T27" fmla="*/ 128 h 171"/>
                                    <a:gd name="T28" fmla="*/ 192 w 192"/>
                                    <a:gd name="T29" fmla="*/ 118 h 171"/>
                                    <a:gd name="T30" fmla="*/ 170 w 192"/>
                                    <a:gd name="T31" fmla="*/ 107 h 171"/>
                                    <a:gd name="T32" fmla="*/ 85 w 192"/>
                                    <a:gd name="T33" fmla="*/ 107 h 171"/>
                                    <a:gd name="T34" fmla="*/ 77 w 192"/>
                                    <a:gd name="T35" fmla="*/ 110 h 171"/>
                                    <a:gd name="T36" fmla="*/ 53 w 192"/>
                                    <a:gd name="T37" fmla="*/ 135 h 171"/>
                                    <a:gd name="T38" fmla="*/ 53 w 192"/>
                                    <a:gd name="T39" fmla="*/ 118 h 171"/>
                                    <a:gd name="T40" fmla="*/ 42 w 192"/>
                                    <a:gd name="T41" fmla="*/ 107 h 171"/>
                                    <a:gd name="T42" fmla="*/ 21 w 192"/>
                                    <a:gd name="T43" fmla="*/ 107 h 171"/>
                                    <a:gd name="T44" fmla="*/ 21 w 192"/>
                                    <a:gd name="T45" fmla="*/ 22 h 171"/>
                                    <a:gd name="T46" fmla="*/ 170 w 192"/>
                                    <a:gd name="T47" fmla="*/ 22 h 171"/>
                                    <a:gd name="T48" fmla="*/ 170 w 192"/>
                                    <a:gd name="T49" fmla="*/ 10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171">
                                      <a:moveTo>
                                        <a:pt x="192" y="118"/>
                                      </a:moveTo>
                                      <a:cubicBezTo>
                                        <a:pt x="192" y="11"/>
                                        <a:pt x="192" y="11"/>
                                        <a:pt x="192" y="11"/>
                                      </a:cubicBezTo>
                                      <a:cubicBezTo>
                                        <a:pt x="192" y="5"/>
                                        <a:pt x="187" y="0"/>
                                        <a:pt x="181" y="0"/>
                                      </a:cubicBezTo>
                                      <a:cubicBezTo>
                                        <a:pt x="10" y="0"/>
                                        <a:pt x="10" y="0"/>
                                        <a:pt x="10" y="0"/>
                                      </a:cubicBezTo>
                                      <a:cubicBezTo>
                                        <a:pt x="4" y="0"/>
                                        <a:pt x="0" y="5"/>
                                        <a:pt x="0" y="11"/>
                                      </a:cubicBezTo>
                                      <a:cubicBezTo>
                                        <a:pt x="0" y="118"/>
                                        <a:pt x="0" y="118"/>
                                        <a:pt x="0" y="118"/>
                                      </a:cubicBezTo>
                                      <a:cubicBezTo>
                                        <a:pt x="0" y="124"/>
                                        <a:pt x="4" y="128"/>
                                        <a:pt x="10" y="128"/>
                                      </a:cubicBezTo>
                                      <a:cubicBezTo>
                                        <a:pt x="32" y="128"/>
                                        <a:pt x="32" y="128"/>
                                        <a:pt x="32" y="128"/>
                                      </a:cubicBezTo>
                                      <a:cubicBezTo>
                                        <a:pt x="32" y="160"/>
                                        <a:pt x="32" y="160"/>
                                        <a:pt x="32" y="160"/>
                                      </a:cubicBezTo>
                                      <a:cubicBezTo>
                                        <a:pt x="32" y="165"/>
                                        <a:pt x="34" y="169"/>
                                        <a:pt x="38" y="170"/>
                                      </a:cubicBezTo>
                                      <a:cubicBezTo>
                                        <a:pt x="40" y="171"/>
                                        <a:pt x="41" y="171"/>
                                        <a:pt x="42" y="171"/>
                                      </a:cubicBezTo>
                                      <a:cubicBezTo>
                                        <a:pt x="45" y="171"/>
                                        <a:pt x="48" y="170"/>
                                        <a:pt x="50" y="168"/>
                                      </a:cubicBezTo>
                                      <a:cubicBezTo>
                                        <a:pt x="89" y="128"/>
                                        <a:pt x="89" y="128"/>
                                        <a:pt x="89" y="128"/>
                                      </a:cubicBezTo>
                                      <a:cubicBezTo>
                                        <a:pt x="181" y="128"/>
                                        <a:pt x="181" y="128"/>
                                        <a:pt x="181" y="128"/>
                                      </a:cubicBezTo>
                                      <a:cubicBezTo>
                                        <a:pt x="187" y="128"/>
                                        <a:pt x="192" y="124"/>
                                        <a:pt x="192" y="118"/>
                                      </a:cubicBezTo>
                                      <a:close/>
                                      <a:moveTo>
                                        <a:pt x="170" y="107"/>
                                      </a:moveTo>
                                      <a:cubicBezTo>
                                        <a:pt x="85" y="107"/>
                                        <a:pt x="85" y="107"/>
                                        <a:pt x="85" y="107"/>
                                      </a:cubicBezTo>
                                      <a:cubicBezTo>
                                        <a:pt x="82" y="107"/>
                                        <a:pt x="79" y="108"/>
                                        <a:pt x="77" y="110"/>
                                      </a:cubicBezTo>
                                      <a:cubicBezTo>
                                        <a:pt x="53" y="135"/>
                                        <a:pt x="53" y="135"/>
                                        <a:pt x="53" y="135"/>
                                      </a:cubicBezTo>
                                      <a:cubicBezTo>
                                        <a:pt x="53" y="118"/>
                                        <a:pt x="53" y="118"/>
                                        <a:pt x="53" y="118"/>
                                      </a:cubicBezTo>
                                      <a:cubicBezTo>
                                        <a:pt x="53" y="112"/>
                                        <a:pt x="48" y="107"/>
                                        <a:pt x="42" y="107"/>
                                      </a:cubicBezTo>
                                      <a:cubicBezTo>
                                        <a:pt x="21" y="107"/>
                                        <a:pt x="21" y="107"/>
                                        <a:pt x="21" y="107"/>
                                      </a:cubicBezTo>
                                      <a:cubicBezTo>
                                        <a:pt x="21" y="22"/>
                                        <a:pt x="21" y="22"/>
                                        <a:pt x="21" y="22"/>
                                      </a:cubicBezTo>
                                      <a:cubicBezTo>
                                        <a:pt x="170" y="22"/>
                                        <a:pt x="170" y="22"/>
                                        <a:pt x="170" y="22"/>
                                      </a:cubicBezTo>
                                      <a:lnTo>
                                        <a:pt x="170" y="10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49" y="149"/>
                                  <a:ext cx="127" cy="127"/>
                                </a:xfrm>
                                <a:custGeom>
                                  <a:avLst/>
                                  <a:gdLst>
                                    <a:gd name="T0" fmla="*/ 181 w 192"/>
                                    <a:gd name="T1" fmla="*/ 0 h 192"/>
                                    <a:gd name="T2" fmla="*/ 96 w 192"/>
                                    <a:gd name="T3" fmla="*/ 0 h 192"/>
                                    <a:gd name="T4" fmla="*/ 85 w 192"/>
                                    <a:gd name="T5" fmla="*/ 10 h 192"/>
                                    <a:gd name="T6" fmla="*/ 96 w 192"/>
                                    <a:gd name="T7" fmla="*/ 21 h 192"/>
                                    <a:gd name="T8" fmla="*/ 170 w 192"/>
                                    <a:gd name="T9" fmla="*/ 21 h 192"/>
                                    <a:gd name="T10" fmla="*/ 170 w 192"/>
                                    <a:gd name="T11" fmla="*/ 128 h 192"/>
                                    <a:gd name="T12" fmla="*/ 138 w 192"/>
                                    <a:gd name="T13" fmla="*/ 128 h 192"/>
                                    <a:gd name="T14" fmla="*/ 128 w 192"/>
                                    <a:gd name="T15" fmla="*/ 138 h 192"/>
                                    <a:gd name="T16" fmla="*/ 128 w 192"/>
                                    <a:gd name="T17" fmla="*/ 155 h 192"/>
                                    <a:gd name="T18" fmla="*/ 103 w 192"/>
                                    <a:gd name="T19" fmla="*/ 131 h 192"/>
                                    <a:gd name="T20" fmla="*/ 96 w 192"/>
                                    <a:gd name="T21" fmla="*/ 128 h 192"/>
                                    <a:gd name="T22" fmla="*/ 21 w 192"/>
                                    <a:gd name="T23" fmla="*/ 128 h 192"/>
                                    <a:gd name="T24" fmla="*/ 21 w 192"/>
                                    <a:gd name="T25" fmla="*/ 74 h 192"/>
                                    <a:gd name="T26" fmla="*/ 10 w 192"/>
                                    <a:gd name="T27" fmla="*/ 64 h 192"/>
                                    <a:gd name="T28" fmla="*/ 0 w 192"/>
                                    <a:gd name="T29" fmla="*/ 74 h 192"/>
                                    <a:gd name="T30" fmla="*/ 0 w 192"/>
                                    <a:gd name="T31" fmla="*/ 138 h 192"/>
                                    <a:gd name="T32" fmla="*/ 10 w 192"/>
                                    <a:gd name="T33" fmla="*/ 149 h 192"/>
                                    <a:gd name="T34" fmla="*/ 91 w 192"/>
                                    <a:gd name="T35" fmla="*/ 149 h 192"/>
                                    <a:gd name="T36" fmla="*/ 131 w 192"/>
                                    <a:gd name="T37" fmla="*/ 189 h 192"/>
                                    <a:gd name="T38" fmla="*/ 138 w 192"/>
                                    <a:gd name="T39" fmla="*/ 192 h 192"/>
                                    <a:gd name="T40" fmla="*/ 142 w 192"/>
                                    <a:gd name="T41" fmla="*/ 191 h 192"/>
                                    <a:gd name="T42" fmla="*/ 149 w 192"/>
                                    <a:gd name="T43" fmla="*/ 181 h 192"/>
                                    <a:gd name="T44" fmla="*/ 149 w 192"/>
                                    <a:gd name="T45" fmla="*/ 149 h 192"/>
                                    <a:gd name="T46" fmla="*/ 181 w 192"/>
                                    <a:gd name="T47" fmla="*/ 149 h 192"/>
                                    <a:gd name="T48" fmla="*/ 192 w 192"/>
                                    <a:gd name="T49" fmla="*/ 138 h 192"/>
                                    <a:gd name="T50" fmla="*/ 192 w 192"/>
                                    <a:gd name="T51" fmla="*/ 10 h 192"/>
                                    <a:gd name="T52" fmla="*/ 181 w 192"/>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2" h="192">
                                      <a:moveTo>
                                        <a:pt x="181" y="0"/>
                                      </a:moveTo>
                                      <a:cubicBezTo>
                                        <a:pt x="96" y="0"/>
                                        <a:pt x="96" y="0"/>
                                        <a:pt x="96" y="0"/>
                                      </a:cubicBezTo>
                                      <a:cubicBezTo>
                                        <a:pt x="90" y="0"/>
                                        <a:pt x="85" y="4"/>
                                        <a:pt x="85" y="10"/>
                                      </a:cubicBezTo>
                                      <a:cubicBezTo>
                                        <a:pt x="85" y="16"/>
                                        <a:pt x="90" y="21"/>
                                        <a:pt x="96" y="21"/>
                                      </a:cubicBezTo>
                                      <a:cubicBezTo>
                                        <a:pt x="170" y="21"/>
                                        <a:pt x="170" y="21"/>
                                        <a:pt x="170" y="21"/>
                                      </a:cubicBezTo>
                                      <a:cubicBezTo>
                                        <a:pt x="170" y="128"/>
                                        <a:pt x="170" y="128"/>
                                        <a:pt x="170" y="128"/>
                                      </a:cubicBezTo>
                                      <a:cubicBezTo>
                                        <a:pt x="138" y="128"/>
                                        <a:pt x="138" y="128"/>
                                        <a:pt x="138" y="128"/>
                                      </a:cubicBezTo>
                                      <a:cubicBezTo>
                                        <a:pt x="132" y="128"/>
                                        <a:pt x="128" y="132"/>
                                        <a:pt x="128" y="138"/>
                                      </a:cubicBezTo>
                                      <a:cubicBezTo>
                                        <a:pt x="128" y="155"/>
                                        <a:pt x="128" y="155"/>
                                        <a:pt x="128" y="155"/>
                                      </a:cubicBezTo>
                                      <a:cubicBezTo>
                                        <a:pt x="103" y="131"/>
                                        <a:pt x="103" y="131"/>
                                        <a:pt x="103" y="131"/>
                                      </a:cubicBezTo>
                                      <a:cubicBezTo>
                                        <a:pt x="101" y="129"/>
                                        <a:pt x="98" y="128"/>
                                        <a:pt x="96" y="128"/>
                                      </a:cubicBezTo>
                                      <a:cubicBezTo>
                                        <a:pt x="21" y="128"/>
                                        <a:pt x="21" y="128"/>
                                        <a:pt x="21" y="128"/>
                                      </a:cubicBezTo>
                                      <a:cubicBezTo>
                                        <a:pt x="21" y="74"/>
                                        <a:pt x="21" y="74"/>
                                        <a:pt x="21" y="74"/>
                                      </a:cubicBezTo>
                                      <a:cubicBezTo>
                                        <a:pt x="21" y="68"/>
                                        <a:pt x="16" y="64"/>
                                        <a:pt x="10" y="64"/>
                                      </a:cubicBezTo>
                                      <a:cubicBezTo>
                                        <a:pt x="4" y="64"/>
                                        <a:pt x="0" y="68"/>
                                        <a:pt x="0" y="74"/>
                                      </a:cubicBezTo>
                                      <a:cubicBezTo>
                                        <a:pt x="0" y="138"/>
                                        <a:pt x="0" y="138"/>
                                        <a:pt x="0" y="138"/>
                                      </a:cubicBezTo>
                                      <a:cubicBezTo>
                                        <a:pt x="0" y="144"/>
                                        <a:pt x="4" y="149"/>
                                        <a:pt x="10" y="149"/>
                                      </a:cubicBezTo>
                                      <a:cubicBezTo>
                                        <a:pt x="91" y="149"/>
                                        <a:pt x="91" y="149"/>
                                        <a:pt x="91" y="149"/>
                                      </a:cubicBezTo>
                                      <a:cubicBezTo>
                                        <a:pt x="131" y="189"/>
                                        <a:pt x="131" y="189"/>
                                        <a:pt x="131" y="189"/>
                                      </a:cubicBezTo>
                                      <a:cubicBezTo>
                                        <a:pt x="133" y="191"/>
                                        <a:pt x="136" y="192"/>
                                        <a:pt x="138" y="192"/>
                                      </a:cubicBezTo>
                                      <a:cubicBezTo>
                                        <a:pt x="140" y="192"/>
                                        <a:pt x="141" y="191"/>
                                        <a:pt x="142" y="191"/>
                                      </a:cubicBezTo>
                                      <a:cubicBezTo>
                                        <a:pt x="146" y="189"/>
                                        <a:pt x="149" y="185"/>
                                        <a:pt x="149" y="181"/>
                                      </a:cubicBezTo>
                                      <a:cubicBezTo>
                                        <a:pt x="149" y="149"/>
                                        <a:pt x="149" y="149"/>
                                        <a:pt x="149" y="149"/>
                                      </a:cubicBezTo>
                                      <a:cubicBezTo>
                                        <a:pt x="181" y="149"/>
                                        <a:pt x="181" y="149"/>
                                        <a:pt x="181" y="149"/>
                                      </a:cubicBezTo>
                                      <a:cubicBezTo>
                                        <a:pt x="187" y="149"/>
                                        <a:pt x="192" y="144"/>
                                        <a:pt x="192" y="138"/>
                                      </a:cubicBezTo>
                                      <a:cubicBezTo>
                                        <a:pt x="192" y="10"/>
                                        <a:pt x="192" y="10"/>
                                        <a:pt x="192" y="10"/>
                                      </a:cubicBezTo>
                                      <a:cubicBezTo>
                                        <a:pt x="192" y="4"/>
                                        <a:pt x="187" y="0"/>
                                        <a:pt x="18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7C7B3F" id="Group 235" o:spid="_x0000_s1026" style="position:absolute;margin-left:-3.3pt;margin-top:22.3pt;width:29.1pt;height:29.1pt;z-index:25167820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">
                      <v:shape id="Freeform 105" o:spid="_x0000_s1027"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06" o:spid="_x0000_s1028" style="position:absolute;left:64;top:92;width:127;height:113;visibility:visible;mso-wrap-style:square;v-text-anchor:top" coordsize="1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" path="m192,118v,-107,,-107,,-107c192,5,187,,181,,10,,10,,10,,4,,,5,,11,,118,,118,,118v,6,4,10,10,10c32,128,32,128,32,128v,32,,32,,32c32,165,34,169,38,170v2,1,3,1,4,1c45,171,48,170,50,168,89,128,89,128,89,128v92,,92,,92,c187,128,192,124,192,118xm170,107v-85,,-85,,-85,c82,107,79,108,77,110,53,135,53,135,53,135v,-17,,-17,,-17c53,112,48,107,42,107v-21,,-21,,-21,c21,22,21,22,21,22v149,,149,,149,l170,107xe" filled="f" stroked="f">
                        <v:path arrowok="t" o:connecttype="custom" o:connectlocs="127,78;127,7;120,0;7,0;0,7;0,78;7,85;21,85;21,106;25,112;28,113;33,111;59,85;120,85;127,78;112,71;56,71;51,73;35,89;35,78;28,71;14,71;14,15;112,15;112,71" o:connectangles="0,0,0,0,0,0,0,0,0,0,0,0,0,0,0,0,0,0,0,0,0,0,0,0,0"/>
                        <o:lock v:ext="edit" verticies="t"/>
                      </v:shape>
                      <v:shape id="Freeform 107" o:spid="_x0000_s1029" style="position:absolute;left:149;top:149;width:127;height:127;visibility:visible;mso-wrap-style:square;v-text-anchor:top"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" path="m181,c96,,96,,96,,90,,85,4,85,10v,6,5,11,11,11c170,21,170,21,170,21v,107,,107,,107c138,128,138,128,138,128v-6,,-10,4,-10,10c128,155,128,155,128,155,103,131,103,131,103,131v-2,-2,-5,-3,-7,-3c21,128,21,128,21,128v,-54,,-54,,-54c21,68,16,64,10,64,4,64,,68,,74v,64,,64,,64c,144,4,149,10,149v81,,81,,81,c131,189,131,189,131,189v2,2,5,3,7,3c140,192,141,191,142,191v4,-2,7,-6,7,-10c149,149,149,149,149,149v32,,32,,32,c187,149,192,144,192,138v,-128,,-128,,-128c192,4,187,,181,xe" filled="f" stroked="f">
                        <v:path arrowok="t" o:connecttype="custom" o:connectlocs="120,0;64,0;56,7;64,14;112,14;112,85;91,85;85,91;85,103;68,87;64,85;14,85;14,49;7,42;0,49;0,91;7,99;60,99;87,125;91,127;94,126;99,120;99,99;120,99;127,91;127,7;120,0" o:connectangles="0,0,0,0,0,0,0,0,0,0,0,0,0,0,0,0,0,0,0,0,0,0,0,0,0,0,0"/>
                      </v:shape>
                    </v:group>
                  </w:pict>
                </mc:Fallback>
              </mc:AlternateContent>
            </w:r>
            <w:proofErr w:type="spellStart"/>
            <w:r>
              <w:rPr>
                <w:b/>
                <w:bCs/>
                <w:color w:val="FFFFFF" w:themeColor="background1"/>
              </w:rPr>
              <w:t>Projects</w:t>
            </w:r>
            <w:proofErr w:type="spellEnd"/>
            <w:r>
              <w:rPr>
                <w:b/>
                <w:bCs/>
                <w:color w:val="FFFFFF" w:themeColor="background1"/>
              </w:rPr>
              <w:t xml:space="preserve"> </w:t>
            </w:r>
            <w:proofErr w:type="spellStart"/>
            <w:r>
              <w:rPr>
                <w:b/>
                <w:bCs/>
                <w:color w:val="FFFFFF" w:themeColor="background1"/>
              </w:rPr>
              <w:t>implementation</w:t>
            </w:r>
            <w:proofErr w:type="spellEnd"/>
            <w:r>
              <w:rPr>
                <w:b/>
                <w:bCs/>
                <w:color w:val="FFFFFF" w:themeColor="background1"/>
              </w:rPr>
              <w:t xml:space="preserve">, </w:t>
            </w:r>
            <w:proofErr w:type="spellStart"/>
            <w:r>
              <w:rPr>
                <w:b/>
                <w:bCs/>
                <w:color w:val="FFFFFF" w:themeColor="background1"/>
              </w:rPr>
              <w:t>methodological</w:t>
            </w:r>
            <w:proofErr w:type="spellEnd"/>
            <w:r>
              <w:rPr>
                <w:b/>
                <w:bCs/>
                <w:color w:val="FFFFFF" w:themeColor="background1"/>
              </w:rPr>
              <w:t xml:space="preserve"> </w:t>
            </w:r>
            <w:proofErr w:type="spellStart"/>
            <w:r>
              <w:rPr>
                <w:b/>
                <w:bCs/>
                <w:color w:val="FFFFFF" w:themeColor="background1"/>
              </w:rPr>
              <w:t>guidance</w:t>
            </w:r>
            <w:proofErr w:type="spellEnd"/>
            <w:r>
              <w:rPr>
                <w:b/>
                <w:bCs/>
                <w:color w:val="FFFFFF" w:themeColor="background1"/>
              </w:rPr>
              <w:t xml:space="preserve">, support </w:t>
            </w:r>
            <w:proofErr w:type="spellStart"/>
            <w:r>
              <w:rPr>
                <w:b/>
                <w:bCs/>
                <w:color w:val="FFFFFF" w:themeColor="background1"/>
              </w:rPr>
              <w:t>for</w:t>
            </w:r>
            <w:proofErr w:type="spellEnd"/>
            <w:r>
              <w:rPr>
                <w:b/>
                <w:bCs/>
                <w:color w:val="FFFFFF" w:themeColor="background1"/>
              </w:rPr>
              <w:t xml:space="preserve"> </w:t>
            </w:r>
            <w:proofErr w:type="spellStart"/>
            <w:r>
              <w:rPr>
                <w:b/>
                <w:bCs/>
                <w:color w:val="FFFFFF" w:themeColor="background1"/>
              </w:rPr>
              <w:t>beneficiaries</w:t>
            </w:r>
            <w:proofErr w:type="spellEnd"/>
          </w:p>
        </w:tc>
        <w:tc>
          <w:tcPr>
            <w:tcW w:w="1223" w:type="pct"/>
            <w:tcBorders>
              <w:top w:val="single" w:sz="8" w:space="0" w:color="86BC25"/>
              <w:left w:val="single" w:sz="8" w:space="0" w:color="FFFFFF"/>
              <w:bottom w:val="single" w:sz="8" w:space="0" w:color="86BC25"/>
              <w:right w:val="single" w:sz="8" w:space="0" w:color="86BC25"/>
            </w:tcBorders>
            <w:shd w:val="clear" w:color="auto" w:fill="86BC25"/>
            <w:tcMar>
              <w:top w:w="72" w:type="dxa"/>
              <w:left w:w="144" w:type="dxa"/>
              <w:bottom w:w="72" w:type="dxa"/>
              <w:right w:w="144" w:type="dxa"/>
            </w:tcMar>
            <w:vAlign w:val="center"/>
            <w:hideMark/>
          </w:tcPr>
          <w:p w14:paraId="1BC0E3AE" w14:textId="77777777" w:rsidR="00AC28E1" w:rsidRPr="00D4686E" w:rsidRDefault="00AC28E1" w:rsidP="009B651B">
            <w:pPr>
              <w:ind w:left="787"/>
              <w:rPr>
                <w:b/>
                <w:color w:val="FFFFFF" w:themeColor="background1"/>
                <w:lang w:val="en-US"/>
              </w:rPr>
            </w:pPr>
            <w:r w:rsidRPr="00A9171F">
              <w:rPr>
                <w:b/>
                <w:bCs/>
                <w:noProof/>
                <w:color w:val="FFFFFF" w:themeColor="background1"/>
                <w:lang w:eastAsia="cs-CZ"/>
              </w:rPr>
              <mc:AlternateContent>
                <mc:Choice Requires="wpg">
                  <w:drawing>
                    <wp:anchor distT="0" distB="0" distL="114300" distR="114300" simplePos="0" relativeHeight="251679232" behindDoc="0" locked="0" layoutInCell="1" allowOverlap="1" wp14:anchorId="00605F1F" wp14:editId="0C2DD8D2">
                      <wp:simplePos x="0" y="0"/>
                      <wp:positionH relativeFrom="column">
                        <wp:posOffset>-20320</wp:posOffset>
                      </wp:positionH>
                      <wp:positionV relativeFrom="paragraph">
                        <wp:posOffset>-75565</wp:posOffset>
                      </wp:positionV>
                      <wp:extent cx="367030" cy="367030"/>
                      <wp:effectExtent l="0" t="0" r="0" b="0"/>
                      <wp:wrapNone/>
                      <wp:docPr id="108" name="Group 262"/>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bg1"/>
                              </a:solidFill>
                            </wpg:grpSpPr>
                            <wps:wsp>
                              <wps:cNvPr id="109" name="Freeform 109"/>
                              <wps:cNvSpPr>
                                <a:spLocks noEditPoints="1"/>
                              </wps:cNvSpPr>
                              <wps:spPr bwMode="auto">
                                <a:xfrm>
                                  <a:off x="78" y="64"/>
                                  <a:ext cx="184" cy="212"/>
                                </a:xfrm>
                                <a:custGeom>
                                  <a:avLst/>
                                  <a:gdLst>
                                    <a:gd name="T0" fmla="*/ 267 w 277"/>
                                    <a:gd name="T1" fmla="*/ 128 h 320"/>
                                    <a:gd name="T2" fmla="*/ 149 w 277"/>
                                    <a:gd name="T3" fmla="*/ 128 h 320"/>
                                    <a:gd name="T4" fmla="*/ 149 w 277"/>
                                    <a:gd name="T5" fmla="*/ 106 h 320"/>
                                    <a:gd name="T6" fmla="*/ 224 w 277"/>
                                    <a:gd name="T7" fmla="*/ 106 h 320"/>
                                    <a:gd name="T8" fmla="*/ 230 w 277"/>
                                    <a:gd name="T9" fmla="*/ 104 h 320"/>
                                    <a:gd name="T10" fmla="*/ 273 w 277"/>
                                    <a:gd name="T11" fmla="*/ 72 h 320"/>
                                    <a:gd name="T12" fmla="*/ 277 w 277"/>
                                    <a:gd name="T13" fmla="*/ 64 h 320"/>
                                    <a:gd name="T14" fmla="*/ 273 w 277"/>
                                    <a:gd name="T15" fmla="*/ 55 h 320"/>
                                    <a:gd name="T16" fmla="*/ 230 w 277"/>
                                    <a:gd name="T17" fmla="*/ 23 h 320"/>
                                    <a:gd name="T18" fmla="*/ 224 w 277"/>
                                    <a:gd name="T19" fmla="*/ 21 h 320"/>
                                    <a:gd name="T20" fmla="*/ 149 w 277"/>
                                    <a:gd name="T21" fmla="*/ 21 h 320"/>
                                    <a:gd name="T22" fmla="*/ 149 w 277"/>
                                    <a:gd name="T23" fmla="*/ 10 h 320"/>
                                    <a:gd name="T24" fmla="*/ 139 w 277"/>
                                    <a:gd name="T25" fmla="*/ 0 h 320"/>
                                    <a:gd name="T26" fmla="*/ 128 w 277"/>
                                    <a:gd name="T27" fmla="*/ 10 h 320"/>
                                    <a:gd name="T28" fmla="*/ 128 w 277"/>
                                    <a:gd name="T29" fmla="*/ 21 h 320"/>
                                    <a:gd name="T30" fmla="*/ 11 w 277"/>
                                    <a:gd name="T31" fmla="*/ 21 h 320"/>
                                    <a:gd name="T32" fmla="*/ 0 w 277"/>
                                    <a:gd name="T33" fmla="*/ 32 h 320"/>
                                    <a:gd name="T34" fmla="*/ 0 w 277"/>
                                    <a:gd name="T35" fmla="*/ 96 h 320"/>
                                    <a:gd name="T36" fmla="*/ 11 w 277"/>
                                    <a:gd name="T37" fmla="*/ 106 h 320"/>
                                    <a:gd name="T38" fmla="*/ 128 w 277"/>
                                    <a:gd name="T39" fmla="*/ 106 h 320"/>
                                    <a:gd name="T40" fmla="*/ 128 w 277"/>
                                    <a:gd name="T41" fmla="*/ 128 h 320"/>
                                    <a:gd name="T42" fmla="*/ 53 w 277"/>
                                    <a:gd name="T43" fmla="*/ 128 h 320"/>
                                    <a:gd name="T44" fmla="*/ 47 w 277"/>
                                    <a:gd name="T45" fmla="*/ 130 h 320"/>
                                    <a:gd name="T46" fmla="*/ 4 w 277"/>
                                    <a:gd name="T47" fmla="*/ 162 h 320"/>
                                    <a:gd name="T48" fmla="*/ 0 w 277"/>
                                    <a:gd name="T49" fmla="*/ 170 h 320"/>
                                    <a:gd name="T50" fmla="*/ 4 w 277"/>
                                    <a:gd name="T51" fmla="*/ 179 h 320"/>
                                    <a:gd name="T52" fmla="*/ 47 w 277"/>
                                    <a:gd name="T53" fmla="*/ 211 h 320"/>
                                    <a:gd name="T54" fmla="*/ 53 w 277"/>
                                    <a:gd name="T55" fmla="*/ 213 h 320"/>
                                    <a:gd name="T56" fmla="*/ 128 w 277"/>
                                    <a:gd name="T57" fmla="*/ 213 h 320"/>
                                    <a:gd name="T58" fmla="*/ 128 w 277"/>
                                    <a:gd name="T59" fmla="*/ 309 h 320"/>
                                    <a:gd name="T60" fmla="*/ 139 w 277"/>
                                    <a:gd name="T61" fmla="*/ 320 h 320"/>
                                    <a:gd name="T62" fmla="*/ 149 w 277"/>
                                    <a:gd name="T63" fmla="*/ 309 h 320"/>
                                    <a:gd name="T64" fmla="*/ 149 w 277"/>
                                    <a:gd name="T65" fmla="*/ 213 h 320"/>
                                    <a:gd name="T66" fmla="*/ 267 w 277"/>
                                    <a:gd name="T67" fmla="*/ 213 h 320"/>
                                    <a:gd name="T68" fmla="*/ 277 w 277"/>
                                    <a:gd name="T69" fmla="*/ 202 h 320"/>
                                    <a:gd name="T70" fmla="*/ 277 w 277"/>
                                    <a:gd name="T71" fmla="*/ 138 h 320"/>
                                    <a:gd name="T72" fmla="*/ 267 w 277"/>
                                    <a:gd name="T73" fmla="*/ 128 h 320"/>
                                    <a:gd name="T74" fmla="*/ 21 w 277"/>
                                    <a:gd name="T75" fmla="*/ 85 h 320"/>
                                    <a:gd name="T76" fmla="*/ 21 w 277"/>
                                    <a:gd name="T77" fmla="*/ 42 h 320"/>
                                    <a:gd name="T78" fmla="*/ 220 w 277"/>
                                    <a:gd name="T79" fmla="*/ 42 h 320"/>
                                    <a:gd name="T80" fmla="*/ 249 w 277"/>
                                    <a:gd name="T81" fmla="*/ 64 h 320"/>
                                    <a:gd name="T82" fmla="*/ 220 w 277"/>
                                    <a:gd name="T83" fmla="*/ 85 h 320"/>
                                    <a:gd name="T84" fmla="*/ 21 w 277"/>
                                    <a:gd name="T85" fmla="*/ 85 h 320"/>
                                    <a:gd name="T86" fmla="*/ 256 w 277"/>
                                    <a:gd name="T87" fmla="*/ 192 h 320"/>
                                    <a:gd name="T88" fmla="*/ 57 w 277"/>
                                    <a:gd name="T89" fmla="*/ 192 h 320"/>
                                    <a:gd name="T90" fmla="*/ 28 w 277"/>
                                    <a:gd name="T91" fmla="*/ 170 h 320"/>
                                    <a:gd name="T92" fmla="*/ 57 w 277"/>
                                    <a:gd name="T93" fmla="*/ 149 h 320"/>
                                    <a:gd name="T94" fmla="*/ 256 w 277"/>
                                    <a:gd name="T95" fmla="*/ 149 h 320"/>
                                    <a:gd name="T96" fmla="*/ 256 w 277"/>
                                    <a:gd name="T97" fmla="*/ 19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7" h="320">
                                      <a:moveTo>
                                        <a:pt x="267" y="128"/>
                                      </a:moveTo>
                                      <a:cubicBezTo>
                                        <a:pt x="149" y="128"/>
                                        <a:pt x="149" y="128"/>
                                        <a:pt x="149" y="128"/>
                                      </a:cubicBezTo>
                                      <a:cubicBezTo>
                                        <a:pt x="149" y="106"/>
                                        <a:pt x="149" y="106"/>
                                        <a:pt x="149" y="106"/>
                                      </a:cubicBezTo>
                                      <a:cubicBezTo>
                                        <a:pt x="224" y="106"/>
                                        <a:pt x="224" y="106"/>
                                        <a:pt x="224" y="106"/>
                                      </a:cubicBezTo>
                                      <a:cubicBezTo>
                                        <a:pt x="226" y="106"/>
                                        <a:pt x="229" y="106"/>
                                        <a:pt x="230" y="104"/>
                                      </a:cubicBezTo>
                                      <a:cubicBezTo>
                                        <a:pt x="273" y="72"/>
                                        <a:pt x="273" y="72"/>
                                        <a:pt x="273" y="72"/>
                                      </a:cubicBezTo>
                                      <a:cubicBezTo>
                                        <a:pt x="276" y="70"/>
                                        <a:pt x="277" y="67"/>
                                        <a:pt x="277" y="64"/>
                                      </a:cubicBezTo>
                                      <a:cubicBezTo>
                                        <a:pt x="277" y="60"/>
                                        <a:pt x="276" y="57"/>
                                        <a:pt x="273" y="55"/>
                                      </a:cubicBezTo>
                                      <a:cubicBezTo>
                                        <a:pt x="230" y="23"/>
                                        <a:pt x="230" y="23"/>
                                        <a:pt x="230" y="23"/>
                                      </a:cubicBezTo>
                                      <a:cubicBezTo>
                                        <a:pt x="229" y="22"/>
                                        <a:pt x="226" y="21"/>
                                        <a:pt x="224" y="21"/>
                                      </a:cubicBezTo>
                                      <a:cubicBezTo>
                                        <a:pt x="149" y="21"/>
                                        <a:pt x="149" y="21"/>
                                        <a:pt x="149" y="21"/>
                                      </a:cubicBezTo>
                                      <a:cubicBezTo>
                                        <a:pt x="149" y="10"/>
                                        <a:pt x="149" y="10"/>
                                        <a:pt x="149" y="10"/>
                                      </a:cubicBezTo>
                                      <a:cubicBezTo>
                                        <a:pt x="149" y="4"/>
                                        <a:pt x="145" y="0"/>
                                        <a:pt x="139" y="0"/>
                                      </a:cubicBezTo>
                                      <a:cubicBezTo>
                                        <a:pt x="133" y="0"/>
                                        <a:pt x="128" y="4"/>
                                        <a:pt x="128" y="10"/>
                                      </a:cubicBezTo>
                                      <a:cubicBezTo>
                                        <a:pt x="128" y="21"/>
                                        <a:pt x="128" y="21"/>
                                        <a:pt x="128" y="21"/>
                                      </a:cubicBezTo>
                                      <a:cubicBezTo>
                                        <a:pt x="11" y="21"/>
                                        <a:pt x="11" y="21"/>
                                        <a:pt x="11" y="21"/>
                                      </a:cubicBezTo>
                                      <a:cubicBezTo>
                                        <a:pt x="5" y="21"/>
                                        <a:pt x="0" y="26"/>
                                        <a:pt x="0" y="32"/>
                                      </a:cubicBezTo>
                                      <a:cubicBezTo>
                                        <a:pt x="0" y="96"/>
                                        <a:pt x="0" y="96"/>
                                        <a:pt x="0" y="96"/>
                                      </a:cubicBezTo>
                                      <a:cubicBezTo>
                                        <a:pt x="0" y="102"/>
                                        <a:pt x="5" y="106"/>
                                        <a:pt x="11" y="106"/>
                                      </a:cubicBezTo>
                                      <a:cubicBezTo>
                                        <a:pt x="128" y="106"/>
                                        <a:pt x="128" y="106"/>
                                        <a:pt x="128" y="106"/>
                                      </a:cubicBezTo>
                                      <a:cubicBezTo>
                                        <a:pt x="128" y="128"/>
                                        <a:pt x="128" y="128"/>
                                        <a:pt x="128" y="128"/>
                                      </a:cubicBezTo>
                                      <a:cubicBezTo>
                                        <a:pt x="53" y="128"/>
                                        <a:pt x="53" y="128"/>
                                        <a:pt x="53" y="128"/>
                                      </a:cubicBezTo>
                                      <a:cubicBezTo>
                                        <a:pt x="51" y="128"/>
                                        <a:pt x="49" y="128"/>
                                        <a:pt x="47" y="130"/>
                                      </a:cubicBezTo>
                                      <a:cubicBezTo>
                                        <a:pt x="4" y="162"/>
                                        <a:pt x="4" y="162"/>
                                        <a:pt x="4" y="162"/>
                                      </a:cubicBezTo>
                                      <a:cubicBezTo>
                                        <a:pt x="2" y="164"/>
                                        <a:pt x="0" y="167"/>
                                        <a:pt x="0" y="170"/>
                                      </a:cubicBezTo>
                                      <a:cubicBezTo>
                                        <a:pt x="0" y="174"/>
                                        <a:pt x="2" y="177"/>
                                        <a:pt x="4" y="179"/>
                                      </a:cubicBezTo>
                                      <a:cubicBezTo>
                                        <a:pt x="47" y="211"/>
                                        <a:pt x="47" y="211"/>
                                        <a:pt x="47" y="211"/>
                                      </a:cubicBezTo>
                                      <a:cubicBezTo>
                                        <a:pt x="49" y="212"/>
                                        <a:pt x="51" y="213"/>
                                        <a:pt x="53" y="213"/>
                                      </a:cubicBezTo>
                                      <a:cubicBezTo>
                                        <a:pt x="128" y="213"/>
                                        <a:pt x="128" y="213"/>
                                        <a:pt x="128" y="213"/>
                                      </a:cubicBezTo>
                                      <a:cubicBezTo>
                                        <a:pt x="128" y="309"/>
                                        <a:pt x="128" y="309"/>
                                        <a:pt x="128" y="309"/>
                                      </a:cubicBezTo>
                                      <a:cubicBezTo>
                                        <a:pt x="128" y="315"/>
                                        <a:pt x="133" y="320"/>
                                        <a:pt x="139" y="320"/>
                                      </a:cubicBezTo>
                                      <a:cubicBezTo>
                                        <a:pt x="145" y="320"/>
                                        <a:pt x="149" y="315"/>
                                        <a:pt x="149" y="309"/>
                                      </a:cubicBezTo>
                                      <a:cubicBezTo>
                                        <a:pt x="149" y="213"/>
                                        <a:pt x="149" y="213"/>
                                        <a:pt x="149" y="213"/>
                                      </a:cubicBezTo>
                                      <a:cubicBezTo>
                                        <a:pt x="267" y="213"/>
                                        <a:pt x="267" y="213"/>
                                        <a:pt x="267" y="213"/>
                                      </a:cubicBezTo>
                                      <a:cubicBezTo>
                                        <a:pt x="273" y="213"/>
                                        <a:pt x="277" y="208"/>
                                        <a:pt x="277" y="202"/>
                                      </a:cubicBezTo>
                                      <a:cubicBezTo>
                                        <a:pt x="277" y="138"/>
                                        <a:pt x="277" y="138"/>
                                        <a:pt x="277" y="138"/>
                                      </a:cubicBezTo>
                                      <a:cubicBezTo>
                                        <a:pt x="277" y="132"/>
                                        <a:pt x="273" y="128"/>
                                        <a:pt x="267" y="128"/>
                                      </a:cubicBezTo>
                                      <a:close/>
                                      <a:moveTo>
                                        <a:pt x="21" y="85"/>
                                      </a:moveTo>
                                      <a:cubicBezTo>
                                        <a:pt x="21" y="42"/>
                                        <a:pt x="21" y="42"/>
                                        <a:pt x="21" y="42"/>
                                      </a:cubicBezTo>
                                      <a:cubicBezTo>
                                        <a:pt x="220" y="42"/>
                                        <a:pt x="220" y="42"/>
                                        <a:pt x="220" y="42"/>
                                      </a:cubicBezTo>
                                      <a:cubicBezTo>
                                        <a:pt x="249" y="64"/>
                                        <a:pt x="249" y="64"/>
                                        <a:pt x="249" y="64"/>
                                      </a:cubicBezTo>
                                      <a:cubicBezTo>
                                        <a:pt x="220" y="85"/>
                                        <a:pt x="220" y="85"/>
                                        <a:pt x="220" y="85"/>
                                      </a:cubicBezTo>
                                      <a:lnTo>
                                        <a:pt x="21" y="85"/>
                                      </a:lnTo>
                                      <a:close/>
                                      <a:moveTo>
                                        <a:pt x="256" y="192"/>
                                      </a:moveTo>
                                      <a:cubicBezTo>
                                        <a:pt x="57" y="192"/>
                                        <a:pt x="57" y="192"/>
                                        <a:pt x="57" y="192"/>
                                      </a:cubicBezTo>
                                      <a:cubicBezTo>
                                        <a:pt x="28" y="170"/>
                                        <a:pt x="28" y="170"/>
                                        <a:pt x="28" y="170"/>
                                      </a:cubicBezTo>
                                      <a:cubicBezTo>
                                        <a:pt x="57" y="149"/>
                                        <a:pt x="57" y="149"/>
                                        <a:pt x="57" y="149"/>
                                      </a:cubicBezTo>
                                      <a:cubicBezTo>
                                        <a:pt x="256" y="149"/>
                                        <a:pt x="256" y="149"/>
                                        <a:pt x="256" y="149"/>
                                      </a:cubicBezTo>
                                      <a:lnTo>
                                        <a:pt x="256" y="1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110"/>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A8A567" id="Group 262" o:spid="_x0000_s1026" style="position:absolute;margin-left:-1.6pt;margin-top:-5.95pt;width:28.9pt;height:28.9pt;z-index:25167923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">
                      <v:shape id="Freeform 109" o:spid="_x0000_s1027" style="position:absolute;left:78;top:64;width:184;height:212;visibility:visible;mso-wrap-style:square;v-text-anchor:top" coordsize="2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" path="m267,128v-118,,-118,,-118,c149,106,149,106,149,106v75,,75,,75,c226,106,229,106,230,104,273,72,273,72,273,72v3,-2,4,-5,4,-8c277,60,276,57,273,55,230,23,230,23,230,23v-1,-1,-4,-2,-6,-2c149,21,149,21,149,21v,-11,,-11,,-11c149,4,145,,139,v-6,,-11,4,-11,10c128,21,128,21,128,21,11,21,11,21,11,21,5,21,,26,,32,,96,,96,,96v,6,5,10,11,10c128,106,128,106,128,106v,22,,22,,22c53,128,53,128,53,128v-2,,-4,,-6,2c4,162,4,162,4,162v-2,2,-4,5,-4,8c,174,2,177,4,179v43,32,43,32,43,32c49,212,51,213,53,213v75,,75,,75,c128,309,128,309,128,309v,6,5,11,11,11c145,320,149,315,149,309v,-96,,-96,,-96c267,213,267,213,267,213v6,,10,-5,10,-11c277,138,277,138,277,138v,-6,-4,-10,-10,-10xm21,85v,-43,,-43,,-43c220,42,220,42,220,42v29,22,29,22,29,22c220,85,220,85,220,85l21,85xm256,192v-199,,-199,,-199,c28,170,28,170,28,170,57,149,57,149,57,149v199,,199,,199,l256,192xe" filled="f" stroked="f">
                        <v:path arrowok="t" o:connecttype="custom" o:connectlocs="177,85;99,85;99,70;149,70;153,69;181,48;184,42;181,36;153,15;149,14;99,14;99,7;92,0;85,7;85,14;7,14;0,21;0,64;7,70;85,70;85,85;35,85;31,86;3,107;0,113;3,119;31,140;35,141;85,141;85,205;92,212;99,205;99,141;177,141;184,134;184,91;177,85;14,56;14,28;146,28;165,42;146,56;14,56;170,127;38,127;19,113;38,99;170,99;170,127" o:connectangles="0,0,0,0,0,0,0,0,0,0,0,0,0,0,0,0,0,0,0,0,0,0,0,0,0,0,0,0,0,0,0,0,0,0,0,0,0,0,0,0,0,0,0,0,0,0,0,0,0"/>
                        <o:lock v:ext="edit" verticies="t"/>
                      </v:shape>
                      <v:shape id="Freeform 110"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roofErr w:type="spellStart"/>
            <w:r>
              <w:rPr>
                <w:b/>
                <w:bCs/>
                <w:color w:val="FFFFFF" w:themeColor="background1"/>
              </w:rPr>
              <w:t>Others</w:t>
            </w:r>
            <w:proofErr w:type="spellEnd"/>
          </w:p>
        </w:tc>
      </w:tr>
      <w:tr w:rsidR="00AC28E1" w:rsidRPr="00D4686E" w14:paraId="23D99EF1" w14:textId="77777777" w:rsidTr="00AC28E1">
        <w:trPr>
          <w:trHeight w:val="5577"/>
        </w:trPr>
        <w:tc>
          <w:tcPr>
            <w:tcW w:w="1223"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4884FC4A" w14:textId="77777777" w:rsidR="00AC28E1" w:rsidRPr="00C4164E" w:rsidRDefault="00AC28E1" w:rsidP="00C065B3">
            <w:pPr>
              <w:pStyle w:val="ListParagraph"/>
              <w:numPr>
                <w:ilvl w:val="0"/>
                <w:numId w:val="137"/>
              </w:numPr>
              <w:spacing w:after="60"/>
              <w:ind w:left="112" w:hanging="180"/>
              <w:contextualSpacing w:val="0"/>
              <w:rPr>
                <w:bCs/>
                <w:lang w:val="en-US"/>
              </w:rPr>
            </w:pPr>
            <w:r w:rsidRPr="00C4164E">
              <w:rPr>
                <w:bCs/>
                <w:lang w:val="en-US"/>
              </w:rPr>
              <w:t>Complete the evaluation and approval of applications for</w:t>
            </w:r>
            <w:r>
              <w:rPr>
                <w:bCs/>
                <w:lang w:val="en-US"/>
              </w:rPr>
              <w:t xml:space="preserve"> the</w:t>
            </w:r>
            <w:r w:rsidRPr="00C4164E">
              <w:rPr>
                <w:bCs/>
                <w:lang w:val="en-US"/>
              </w:rPr>
              <w:t xml:space="preserve"> calls announced so far</w:t>
            </w:r>
          </w:p>
          <w:p w14:paraId="30CF8B7C" w14:textId="77777777" w:rsidR="00AC28E1" w:rsidRPr="00C4164E" w:rsidRDefault="00AC28E1" w:rsidP="00C065B3">
            <w:pPr>
              <w:pStyle w:val="ListParagraph"/>
              <w:numPr>
                <w:ilvl w:val="0"/>
                <w:numId w:val="137"/>
              </w:numPr>
              <w:spacing w:after="60"/>
              <w:ind w:left="112" w:hanging="180"/>
              <w:contextualSpacing w:val="0"/>
              <w:rPr>
                <w:bCs/>
                <w:lang w:val="en-US"/>
              </w:rPr>
            </w:pPr>
            <w:r w:rsidRPr="00C4164E">
              <w:rPr>
                <w:bCs/>
                <w:lang w:val="en-US"/>
              </w:rPr>
              <w:t xml:space="preserve">Increase the allocation of </w:t>
            </w:r>
            <w:r>
              <w:rPr>
                <w:bCs/>
                <w:lang w:val="en-US"/>
              </w:rPr>
              <w:t xml:space="preserve">current </w:t>
            </w:r>
            <w:r w:rsidRPr="00C4164E">
              <w:rPr>
                <w:bCs/>
                <w:lang w:val="en-US"/>
              </w:rPr>
              <w:t>calls to support all compliant applications</w:t>
            </w:r>
          </w:p>
          <w:p w14:paraId="2526DD67" w14:textId="77777777" w:rsidR="00AC28E1" w:rsidRPr="00C4164E" w:rsidRDefault="00AC28E1" w:rsidP="00C065B3">
            <w:pPr>
              <w:pStyle w:val="ListParagraph"/>
              <w:numPr>
                <w:ilvl w:val="0"/>
                <w:numId w:val="137"/>
              </w:numPr>
              <w:spacing w:after="60"/>
              <w:ind w:left="112" w:hanging="180"/>
              <w:contextualSpacing w:val="0"/>
              <w:rPr>
                <w:bCs/>
                <w:lang w:val="en-US"/>
              </w:rPr>
            </w:pPr>
            <w:r w:rsidRPr="00C4164E">
              <w:rPr>
                <w:bCs/>
                <w:lang w:val="en-US"/>
              </w:rPr>
              <w:t xml:space="preserve">Develop a realistic </w:t>
            </w:r>
            <w:r>
              <w:rPr>
                <w:bCs/>
                <w:lang w:val="en-US"/>
              </w:rPr>
              <w:t xml:space="preserve">plan for </w:t>
            </w:r>
            <w:r w:rsidRPr="00C4164E">
              <w:rPr>
                <w:bCs/>
                <w:lang w:val="en-US"/>
              </w:rPr>
              <w:t>call</w:t>
            </w:r>
            <w:r>
              <w:rPr>
                <w:bCs/>
                <w:lang w:val="en-US"/>
              </w:rPr>
              <w:t>s</w:t>
            </w:r>
            <w:r w:rsidRPr="00C4164E">
              <w:rPr>
                <w:bCs/>
                <w:lang w:val="en-US"/>
              </w:rPr>
              <w:t xml:space="preserve"> until the end of the </w:t>
            </w:r>
            <w:r>
              <w:rPr>
                <w:bCs/>
                <w:lang w:val="en-US"/>
              </w:rPr>
              <w:t>prog</w:t>
            </w:r>
            <w:r w:rsidR="00C065B3">
              <w:rPr>
                <w:bCs/>
                <w:lang w:val="en-US"/>
              </w:rPr>
              <w:t>ramming</w:t>
            </w:r>
            <w:r>
              <w:rPr>
                <w:bCs/>
                <w:lang w:val="en-US"/>
              </w:rPr>
              <w:t xml:space="preserve"> </w:t>
            </w:r>
            <w:r w:rsidRPr="00C4164E">
              <w:rPr>
                <w:bCs/>
                <w:lang w:val="en-US"/>
              </w:rPr>
              <w:t>period</w:t>
            </w:r>
          </w:p>
          <w:p w14:paraId="5F088B96" w14:textId="77777777" w:rsidR="00AC28E1" w:rsidRPr="00C4164E" w:rsidRDefault="00AC28E1" w:rsidP="00C065B3">
            <w:pPr>
              <w:pStyle w:val="ListParagraph"/>
              <w:numPr>
                <w:ilvl w:val="0"/>
                <w:numId w:val="137"/>
              </w:numPr>
              <w:spacing w:after="60"/>
              <w:ind w:left="112" w:hanging="180"/>
              <w:contextualSpacing w:val="0"/>
              <w:rPr>
                <w:bCs/>
                <w:lang w:val="en-US"/>
              </w:rPr>
            </w:pPr>
            <w:r w:rsidRPr="00C4164E">
              <w:rPr>
                <w:bCs/>
                <w:lang w:val="en-US"/>
              </w:rPr>
              <w:t xml:space="preserve">In case of low absorption, consider announcing additional </w:t>
            </w:r>
            <w:r>
              <w:rPr>
                <w:bCs/>
                <w:lang w:val="en-US"/>
              </w:rPr>
              <w:t>call</w:t>
            </w:r>
            <w:r w:rsidRPr="00C4164E">
              <w:rPr>
                <w:bCs/>
                <w:lang w:val="en-US"/>
              </w:rPr>
              <w:t xml:space="preserve"> for large enterprises</w:t>
            </w:r>
          </w:p>
          <w:p w14:paraId="65DFEB28" w14:textId="77777777" w:rsidR="00AC28E1" w:rsidRPr="00D4686E" w:rsidRDefault="00AC28E1" w:rsidP="00C065B3">
            <w:pPr>
              <w:pStyle w:val="ListParagraph"/>
              <w:numPr>
                <w:ilvl w:val="0"/>
                <w:numId w:val="137"/>
              </w:numPr>
              <w:spacing w:after="60"/>
              <w:ind w:left="112" w:hanging="180"/>
              <w:contextualSpacing w:val="0"/>
              <w:rPr>
                <w:lang w:val="en-US"/>
              </w:rPr>
            </w:pPr>
            <w:r w:rsidRPr="00C4164E">
              <w:rPr>
                <w:bCs/>
                <w:lang w:val="en-US"/>
              </w:rPr>
              <w:t>Evaluate the effectiveness of calls</w:t>
            </w:r>
            <w:r>
              <w:rPr>
                <w:bCs/>
                <w:lang w:val="en-US"/>
              </w:rPr>
              <w:t xml:space="preserve"> </w:t>
            </w:r>
            <w:r w:rsidRPr="00C4164E">
              <w:rPr>
                <w:bCs/>
                <w:lang w:val="en-US"/>
              </w:rPr>
              <w:t>within ITI</w:t>
            </w:r>
          </w:p>
        </w:tc>
        <w:tc>
          <w:tcPr>
            <w:tcW w:w="1223"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5A4D4C6D" w14:textId="77777777" w:rsidR="00AC28E1" w:rsidRPr="00567EFC" w:rsidRDefault="00AC28E1" w:rsidP="00C065B3">
            <w:pPr>
              <w:pStyle w:val="ListParagraph"/>
              <w:numPr>
                <w:ilvl w:val="0"/>
                <w:numId w:val="137"/>
              </w:numPr>
              <w:spacing w:after="60"/>
              <w:ind w:left="105" w:hanging="180"/>
              <w:contextualSpacing w:val="0"/>
              <w:rPr>
                <w:bCs/>
                <w:lang w:val="en-US"/>
              </w:rPr>
            </w:pPr>
            <w:r w:rsidRPr="00567EFC">
              <w:rPr>
                <w:bCs/>
                <w:lang w:val="en-US"/>
              </w:rPr>
              <w:t>Ensure sufficient human resources capacity and continuously optimize its use</w:t>
            </w:r>
          </w:p>
          <w:p w14:paraId="6279C4D7" w14:textId="77777777" w:rsidR="00AC28E1" w:rsidRPr="00567EFC" w:rsidRDefault="00AC28E1" w:rsidP="00C065B3">
            <w:pPr>
              <w:pStyle w:val="ListParagraph"/>
              <w:numPr>
                <w:ilvl w:val="0"/>
                <w:numId w:val="137"/>
              </w:numPr>
              <w:spacing w:after="60"/>
              <w:ind w:left="105" w:hanging="180"/>
              <w:contextualSpacing w:val="0"/>
              <w:rPr>
                <w:bCs/>
                <w:lang w:val="en-US"/>
              </w:rPr>
            </w:pPr>
            <w:r w:rsidRPr="00567EFC">
              <w:rPr>
                <w:bCs/>
                <w:lang w:val="en-US"/>
              </w:rPr>
              <w:t xml:space="preserve">Introduce robotic process automation </w:t>
            </w:r>
            <w:r>
              <w:rPr>
                <w:bCs/>
                <w:lang w:val="en-US"/>
              </w:rPr>
              <w:t xml:space="preserve">of </w:t>
            </w:r>
            <w:r w:rsidRPr="00567EFC">
              <w:rPr>
                <w:bCs/>
                <w:lang w:val="en-US"/>
              </w:rPr>
              <w:t>activities with automation potential</w:t>
            </w:r>
            <w:r>
              <w:rPr>
                <w:bCs/>
                <w:lang w:val="en-US"/>
              </w:rPr>
              <w:t xml:space="preserve"> in general</w:t>
            </w:r>
          </w:p>
          <w:p w14:paraId="748164BD" w14:textId="77777777" w:rsidR="00AC28E1" w:rsidRPr="00567EFC" w:rsidRDefault="00AC28E1" w:rsidP="00C065B3">
            <w:pPr>
              <w:pStyle w:val="ListParagraph"/>
              <w:numPr>
                <w:ilvl w:val="0"/>
                <w:numId w:val="137"/>
              </w:numPr>
              <w:spacing w:after="60"/>
              <w:ind w:left="105" w:hanging="180"/>
              <w:contextualSpacing w:val="0"/>
              <w:rPr>
                <w:bCs/>
                <w:lang w:val="en-US"/>
              </w:rPr>
            </w:pPr>
            <w:r w:rsidRPr="00567EFC">
              <w:rPr>
                <w:bCs/>
                <w:lang w:val="en-US"/>
              </w:rPr>
              <w:t xml:space="preserve">Reduce the administrative burden </w:t>
            </w:r>
            <w:r>
              <w:rPr>
                <w:bCs/>
                <w:lang w:val="en-US"/>
              </w:rPr>
              <w:t>within the</w:t>
            </w:r>
            <w:r w:rsidRPr="00567EFC">
              <w:rPr>
                <w:bCs/>
                <w:lang w:val="en-US"/>
              </w:rPr>
              <w:t xml:space="preserve"> app</w:t>
            </w:r>
            <w:r>
              <w:rPr>
                <w:bCs/>
                <w:lang w:val="en-US"/>
              </w:rPr>
              <w:t>lication</w:t>
            </w:r>
            <w:r w:rsidRPr="00567EFC">
              <w:rPr>
                <w:bCs/>
                <w:lang w:val="en-US"/>
              </w:rPr>
              <w:t xml:space="preserve"> </w:t>
            </w:r>
            <w:r>
              <w:rPr>
                <w:bCs/>
                <w:lang w:val="en-US"/>
              </w:rPr>
              <w:t xml:space="preserve">procedure </w:t>
            </w:r>
            <w:r w:rsidRPr="00567EFC">
              <w:rPr>
                <w:bCs/>
                <w:lang w:val="en-US"/>
              </w:rPr>
              <w:t xml:space="preserve">and </w:t>
            </w:r>
            <w:r>
              <w:rPr>
                <w:bCs/>
                <w:lang w:val="en-US"/>
              </w:rPr>
              <w:t>during projects implementation</w:t>
            </w:r>
          </w:p>
          <w:p w14:paraId="2302916F" w14:textId="77777777" w:rsidR="00AC28E1" w:rsidRPr="00D4686E" w:rsidRDefault="00AC28E1" w:rsidP="00C065B3">
            <w:pPr>
              <w:pStyle w:val="ListParagraph"/>
              <w:numPr>
                <w:ilvl w:val="0"/>
                <w:numId w:val="137"/>
              </w:numPr>
              <w:spacing w:after="60"/>
              <w:ind w:left="105" w:hanging="180"/>
              <w:contextualSpacing w:val="0"/>
              <w:rPr>
                <w:bCs/>
                <w:lang w:val="en-US"/>
              </w:rPr>
            </w:pPr>
            <w:r w:rsidRPr="00567EFC">
              <w:rPr>
                <w:bCs/>
                <w:lang w:val="en-US"/>
              </w:rPr>
              <w:t>Simplify the conditions for new calls</w:t>
            </w:r>
            <w:r>
              <w:rPr>
                <w:bCs/>
                <w:lang w:val="en-US"/>
              </w:rPr>
              <w:t xml:space="preserve"> for proposals</w:t>
            </w:r>
          </w:p>
        </w:tc>
        <w:tc>
          <w:tcPr>
            <w:tcW w:w="1332"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34922305" w14:textId="77777777" w:rsidR="00AC28E1" w:rsidRPr="00B5318C" w:rsidRDefault="00AC28E1" w:rsidP="00C065B3">
            <w:pPr>
              <w:pStyle w:val="ListParagraph"/>
              <w:numPr>
                <w:ilvl w:val="0"/>
                <w:numId w:val="137"/>
              </w:numPr>
              <w:spacing w:after="60"/>
              <w:ind w:left="98" w:hanging="189"/>
              <w:contextualSpacing w:val="0"/>
              <w:rPr>
                <w:bCs/>
                <w:lang w:val="en-US"/>
              </w:rPr>
            </w:pPr>
            <w:r w:rsidRPr="00B5318C">
              <w:rPr>
                <w:bCs/>
                <w:lang w:val="en-US"/>
              </w:rPr>
              <w:t>Abstain from unnecessary changes in methodologies and rules</w:t>
            </w:r>
          </w:p>
          <w:p w14:paraId="65564C88" w14:textId="77777777" w:rsidR="00AC28E1" w:rsidRPr="00B5318C" w:rsidRDefault="00AC28E1" w:rsidP="00C065B3">
            <w:pPr>
              <w:pStyle w:val="ListParagraph"/>
              <w:numPr>
                <w:ilvl w:val="0"/>
                <w:numId w:val="137"/>
              </w:numPr>
              <w:spacing w:after="60"/>
              <w:ind w:left="98" w:hanging="189"/>
              <w:contextualSpacing w:val="0"/>
              <w:rPr>
                <w:bCs/>
                <w:lang w:val="en-US"/>
              </w:rPr>
            </w:pPr>
            <w:r w:rsidRPr="00B5318C">
              <w:rPr>
                <w:bCs/>
                <w:lang w:val="en-US"/>
              </w:rPr>
              <w:t>Ensure a clear and binding interpretation of methodological rules</w:t>
            </w:r>
          </w:p>
          <w:p w14:paraId="3AC2F5D1" w14:textId="77777777" w:rsidR="00AC28E1" w:rsidRPr="00B5318C" w:rsidRDefault="00AC28E1" w:rsidP="00C065B3">
            <w:pPr>
              <w:pStyle w:val="ListParagraph"/>
              <w:numPr>
                <w:ilvl w:val="0"/>
                <w:numId w:val="137"/>
              </w:numPr>
              <w:spacing w:after="60"/>
              <w:ind w:left="98" w:hanging="189"/>
              <w:contextualSpacing w:val="0"/>
              <w:rPr>
                <w:bCs/>
                <w:lang w:val="en-US"/>
              </w:rPr>
            </w:pPr>
            <w:r w:rsidRPr="00B5318C">
              <w:rPr>
                <w:bCs/>
                <w:lang w:val="en-US"/>
              </w:rPr>
              <w:t>Enable greater flexibility for changes during project</w:t>
            </w:r>
            <w:r>
              <w:rPr>
                <w:bCs/>
                <w:lang w:val="en-US"/>
              </w:rPr>
              <w:t>s</w:t>
            </w:r>
            <w:r w:rsidRPr="00B5318C">
              <w:rPr>
                <w:bCs/>
                <w:lang w:val="en-US"/>
              </w:rPr>
              <w:t xml:space="preserve"> implementation</w:t>
            </w:r>
          </w:p>
          <w:p w14:paraId="645D28CB" w14:textId="77777777" w:rsidR="00AC28E1" w:rsidRDefault="00AC28E1" w:rsidP="00C065B3">
            <w:pPr>
              <w:pStyle w:val="ListParagraph"/>
              <w:numPr>
                <w:ilvl w:val="0"/>
                <w:numId w:val="137"/>
              </w:numPr>
              <w:spacing w:after="60"/>
              <w:ind w:left="98" w:hanging="189"/>
              <w:contextualSpacing w:val="0"/>
              <w:rPr>
                <w:bCs/>
                <w:lang w:val="en-US"/>
              </w:rPr>
            </w:pPr>
            <w:r w:rsidRPr="00B5318C">
              <w:rPr>
                <w:bCs/>
                <w:lang w:val="en-US"/>
              </w:rPr>
              <w:t xml:space="preserve">Strengthen pro-client </w:t>
            </w:r>
            <w:r>
              <w:rPr>
                <w:bCs/>
                <w:lang w:val="en-US"/>
              </w:rPr>
              <w:t>approach</w:t>
            </w:r>
            <w:r w:rsidRPr="00B5318C">
              <w:rPr>
                <w:bCs/>
                <w:lang w:val="en-US"/>
              </w:rPr>
              <w:t xml:space="preserve"> and methodological support for API recipients. </w:t>
            </w:r>
          </w:p>
          <w:p w14:paraId="64F2D3BA" w14:textId="77777777" w:rsidR="00AC28E1" w:rsidRPr="00D4686E" w:rsidRDefault="00AC28E1" w:rsidP="00C065B3">
            <w:pPr>
              <w:pStyle w:val="ListParagraph"/>
              <w:numPr>
                <w:ilvl w:val="0"/>
                <w:numId w:val="137"/>
              </w:numPr>
              <w:spacing w:after="60"/>
              <w:ind w:left="98" w:hanging="189"/>
              <w:contextualSpacing w:val="0"/>
              <w:rPr>
                <w:bCs/>
                <w:lang w:val="en-US"/>
              </w:rPr>
            </w:pPr>
            <w:r w:rsidRPr="00B5318C">
              <w:rPr>
                <w:bCs/>
                <w:lang w:val="en-US"/>
              </w:rPr>
              <w:t xml:space="preserve">Strengthen the role of API </w:t>
            </w:r>
            <w:r>
              <w:rPr>
                <w:bCs/>
                <w:lang w:val="en-US"/>
              </w:rPr>
              <w:t xml:space="preserve">Project </w:t>
            </w:r>
            <w:r w:rsidRPr="00B5318C">
              <w:rPr>
                <w:bCs/>
                <w:lang w:val="en-US"/>
              </w:rPr>
              <w:t>Manager as a key contact point for beneficiaries</w:t>
            </w:r>
          </w:p>
        </w:tc>
        <w:tc>
          <w:tcPr>
            <w:tcW w:w="1223"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52B17A8F" w14:textId="77777777" w:rsidR="00AC28E1" w:rsidRPr="00F71DED" w:rsidRDefault="00AC28E1" w:rsidP="00C065B3">
            <w:pPr>
              <w:pStyle w:val="ListParagraph"/>
              <w:numPr>
                <w:ilvl w:val="0"/>
                <w:numId w:val="137"/>
              </w:numPr>
              <w:spacing w:after="60"/>
              <w:ind w:left="75" w:hanging="180"/>
              <w:contextualSpacing w:val="0"/>
              <w:rPr>
                <w:bCs/>
                <w:lang w:val="en-US"/>
              </w:rPr>
            </w:pPr>
            <w:r w:rsidRPr="00F71DED">
              <w:rPr>
                <w:bCs/>
                <w:lang w:val="en-US"/>
              </w:rPr>
              <w:t>Increase the promotion of foreign R&amp;D support programs</w:t>
            </w:r>
          </w:p>
          <w:p w14:paraId="7DB7A0AE" w14:textId="77777777" w:rsidR="00AC28E1" w:rsidRPr="00F71DED" w:rsidRDefault="00AC28E1" w:rsidP="00C065B3">
            <w:pPr>
              <w:pStyle w:val="ListParagraph"/>
              <w:numPr>
                <w:ilvl w:val="0"/>
                <w:numId w:val="137"/>
              </w:numPr>
              <w:spacing w:after="60"/>
              <w:ind w:left="75" w:hanging="180"/>
              <w:contextualSpacing w:val="0"/>
              <w:rPr>
                <w:bCs/>
                <w:lang w:val="en-US"/>
              </w:rPr>
            </w:pPr>
            <w:r w:rsidRPr="00F71DED">
              <w:rPr>
                <w:bCs/>
                <w:lang w:val="en-US"/>
              </w:rPr>
              <w:t xml:space="preserve">Provide technical support for establishing foreign partnerships and </w:t>
            </w:r>
            <w:r>
              <w:rPr>
                <w:bCs/>
                <w:lang w:val="en-US"/>
              </w:rPr>
              <w:t xml:space="preserve">when </w:t>
            </w:r>
            <w:r w:rsidRPr="00F71DED">
              <w:rPr>
                <w:bCs/>
                <w:lang w:val="en-US"/>
              </w:rPr>
              <w:t>applying for European support programs</w:t>
            </w:r>
          </w:p>
          <w:p w14:paraId="089C2029" w14:textId="77777777" w:rsidR="00AC28E1" w:rsidRPr="00F71DED" w:rsidRDefault="00AC28E1" w:rsidP="00C065B3">
            <w:pPr>
              <w:pStyle w:val="ListParagraph"/>
              <w:numPr>
                <w:ilvl w:val="0"/>
                <w:numId w:val="137"/>
              </w:numPr>
              <w:spacing w:after="60"/>
              <w:ind w:left="75" w:hanging="180"/>
              <w:contextualSpacing w:val="0"/>
              <w:rPr>
                <w:bCs/>
                <w:lang w:val="en-US"/>
              </w:rPr>
            </w:pPr>
            <w:r w:rsidRPr="00F71DED">
              <w:rPr>
                <w:bCs/>
                <w:lang w:val="en-US"/>
              </w:rPr>
              <w:t>Use the potential of unsupported quality international projects</w:t>
            </w:r>
          </w:p>
          <w:p w14:paraId="688A7C90" w14:textId="77777777" w:rsidR="00AC28E1" w:rsidRPr="00D4686E" w:rsidRDefault="00AC28E1" w:rsidP="00C065B3">
            <w:pPr>
              <w:pStyle w:val="ListParagraph"/>
              <w:numPr>
                <w:ilvl w:val="0"/>
                <w:numId w:val="137"/>
              </w:numPr>
              <w:spacing w:after="60"/>
              <w:ind w:left="75" w:hanging="180"/>
              <w:contextualSpacing w:val="0"/>
              <w:rPr>
                <w:bCs/>
                <w:lang w:val="en-US"/>
              </w:rPr>
            </w:pPr>
            <w:r w:rsidRPr="00F71DED">
              <w:rPr>
                <w:bCs/>
                <w:lang w:val="en-US"/>
              </w:rPr>
              <w:t>Pay attention to stabilizing the business environment and systematically supporting research and development</w:t>
            </w:r>
          </w:p>
        </w:tc>
      </w:tr>
    </w:tbl>
    <w:p w14:paraId="6EB35C57" w14:textId="77777777" w:rsidR="00AC28E1" w:rsidRPr="00D4686E" w:rsidRDefault="00AC28E1" w:rsidP="00AC28E1">
      <w:pPr>
        <w:rPr>
          <w:b/>
          <w:lang w:val="en-US"/>
        </w:rPr>
      </w:pPr>
    </w:p>
    <w:p w14:paraId="71EA58CF" w14:textId="77777777" w:rsidR="00AC28E1" w:rsidRPr="00D4686E" w:rsidRDefault="00AC28E1" w:rsidP="00AC28E1">
      <w:pPr>
        <w:spacing w:after="0" w:line="240" w:lineRule="auto"/>
        <w:rPr>
          <w:b/>
          <w:lang w:val="en-US"/>
        </w:rPr>
      </w:pPr>
    </w:p>
    <w:p w14:paraId="465DE9EC" w14:textId="77777777" w:rsidR="00A557B0" w:rsidRDefault="00A557B0">
      <w:pPr>
        <w:spacing w:after="0" w:line="240" w:lineRule="auto"/>
        <w:rPr>
          <w:b/>
        </w:rPr>
      </w:pPr>
      <w:r>
        <w:rPr>
          <w:b/>
        </w:rPr>
        <w:br w:type="page"/>
      </w:r>
    </w:p>
    <w:p w14:paraId="1BE3CBCB" w14:textId="77777777" w:rsidR="00AC28E1" w:rsidRPr="00D4686E" w:rsidRDefault="00AC28E1" w:rsidP="00AC28E1">
      <w:pPr>
        <w:rPr>
          <w:b/>
          <w:lang w:val="en-US"/>
        </w:rPr>
      </w:pPr>
      <w:proofErr w:type="spellStart"/>
      <w:r>
        <w:rPr>
          <w:b/>
        </w:rPr>
        <w:t>Recommendations</w:t>
      </w:r>
      <w:proofErr w:type="spellEnd"/>
      <w:r>
        <w:rPr>
          <w:b/>
        </w:rPr>
        <w:t xml:space="preserve"> </w:t>
      </w:r>
      <w:proofErr w:type="spellStart"/>
      <w:r>
        <w:rPr>
          <w:b/>
        </w:rPr>
        <w:t>for</w:t>
      </w:r>
      <w:proofErr w:type="spellEnd"/>
      <w:r>
        <w:rPr>
          <w:b/>
        </w:rPr>
        <w:t xml:space="preserve"> </w:t>
      </w:r>
      <w:proofErr w:type="spellStart"/>
      <w:r>
        <w:rPr>
          <w:b/>
        </w:rPr>
        <w:t>the</w:t>
      </w:r>
      <w:proofErr w:type="spellEnd"/>
      <w:r>
        <w:rPr>
          <w:b/>
        </w:rPr>
        <w:t xml:space="preserve"> 2021+ </w:t>
      </w:r>
      <w:proofErr w:type="spellStart"/>
      <w:r>
        <w:rPr>
          <w:b/>
        </w:rPr>
        <w:t>programming</w:t>
      </w:r>
      <w:proofErr w:type="spellEnd"/>
      <w:r>
        <w:rPr>
          <w:b/>
        </w:rPr>
        <w:t xml:space="preserve"> period</w:t>
      </w:r>
      <w:r w:rsidRPr="00D4686E">
        <w:rPr>
          <w:rStyle w:val="FootnoteReference"/>
          <w:b/>
          <w:lang w:val="en-US"/>
        </w:rPr>
        <w:footnoteReference w:id="6"/>
      </w:r>
    </w:p>
    <w:tbl>
      <w:tblPr>
        <w:tblW w:w="5000" w:type="pct"/>
        <w:tblCellMar>
          <w:left w:w="0" w:type="dxa"/>
          <w:right w:w="0" w:type="dxa"/>
        </w:tblCellMar>
        <w:tblLook w:val="0420" w:firstRow="1" w:lastRow="0" w:firstColumn="0" w:lastColumn="0" w:noHBand="0" w:noVBand="1"/>
      </w:tblPr>
      <w:tblGrid>
        <w:gridCol w:w="4809"/>
        <w:gridCol w:w="4809"/>
      </w:tblGrid>
      <w:tr w:rsidR="00AC28E1" w:rsidRPr="004F67D0" w14:paraId="3456350D" w14:textId="77777777" w:rsidTr="00AC28E1">
        <w:trPr>
          <w:trHeight w:val="628"/>
          <w:tblHeader/>
        </w:trPr>
        <w:tc>
          <w:tcPr>
            <w:tcW w:w="2500" w:type="pct"/>
            <w:tcBorders>
              <w:top w:val="single" w:sz="8" w:space="0" w:color="86BC25"/>
              <w:left w:val="single" w:sz="8" w:space="0" w:color="86BC25"/>
              <w:bottom w:val="single" w:sz="8" w:space="0" w:color="86BC25"/>
              <w:right w:val="single" w:sz="8" w:space="0" w:color="FFFFFF"/>
            </w:tcBorders>
            <w:shd w:val="clear" w:color="auto" w:fill="86BC25"/>
            <w:tcMar>
              <w:top w:w="72" w:type="dxa"/>
              <w:left w:w="144" w:type="dxa"/>
              <w:bottom w:w="72" w:type="dxa"/>
              <w:right w:w="144" w:type="dxa"/>
            </w:tcMar>
            <w:vAlign w:val="center"/>
            <w:hideMark/>
          </w:tcPr>
          <w:p w14:paraId="0D0DE20C" w14:textId="77777777" w:rsidR="00AC28E1" w:rsidRPr="004F67D0" w:rsidRDefault="00AC28E1" w:rsidP="004F67D0">
            <w:pPr>
              <w:spacing w:after="0"/>
              <w:ind w:left="1012"/>
              <w:rPr>
                <w:b/>
                <w:color w:val="FFFFFF" w:themeColor="background1"/>
                <w:lang w:val="en-US"/>
              </w:rPr>
            </w:pPr>
            <w:r w:rsidRPr="004F67D0">
              <w:rPr>
                <w:b/>
                <w:bCs/>
                <w:noProof/>
                <w:color w:val="FFFFFF" w:themeColor="background1"/>
                <w:lang w:eastAsia="cs-CZ"/>
              </w:rPr>
              <mc:AlternateContent>
                <mc:Choice Requires="wpg">
                  <w:drawing>
                    <wp:anchor distT="0" distB="0" distL="114300" distR="114300" simplePos="0" relativeHeight="251680256" behindDoc="0" locked="0" layoutInCell="1" allowOverlap="1" wp14:anchorId="55E39860" wp14:editId="175989EA">
                      <wp:simplePos x="0" y="0"/>
                      <wp:positionH relativeFrom="column">
                        <wp:posOffset>-19685</wp:posOffset>
                      </wp:positionH>
                      <wp:positionV relativeFrom="paragraph">
                        <wp:posOffset>-8255</wp:posOffset>
                      </wp:positionV>
                      <wp:extent cx="370205" cy="369570"/>
                      <wp:effectExtent l="0" t="0" r="0" b="0"/>
                      <wp:wrapNone/>
                      <wp:docPr id="111" name="Group 360"/>
                      <wp:cNvGraphicFramePr/>
                      <a:graphic xmlns:a="http://schemas.openxmlformats.org/drawingml/2006/main">
                        <a:graphicData uri="http://schemas.microsoft.com/office/word/2010/wordprocessingGroup">
                          <wpg:wgp>
                            <wpg:cNvGrpSpPr/>
                            <wpg:grpSpPr bwMode="auto">
                              <a:xfrm>
                                <a:off x="0" y="0"/>
                                <a:ext cx="370205" cy="369570"/>
                                <a:chOff x="0" y="0"/>
                                <a:chExt cx="341" cy="340"/>
                              </a:xfrm>
                              <a:solidFill>
                                <a:schemeClr val="accent4"/>
                              </a:solidFill>
                            </wpg:grpSpPr>
                            <wps:wsp>
                              <wps:cNvPr id="112" name="Freeform 112"/>
                              <wps:cNvSpPr>
                                <a:spLocks noEditPoints="1"/>
                              </wps:cNvSpPr>
                              <wps:spPr bwMode="auto">
                                <a:xfrm>
                                  <a:off x="63" y="64"/>
                                  <a:ext cx="214" cy="206"/>
                                </a:xfrm>
                                <a:custGeom>
                                  <a:avLst/>
                                  <a:gdLst>
                                    <a:gd name="T0" fmla="*/ 257 w 321"/>
                                    <a:gd name="T1" fmla="*/ 309 h 310"/>
                                    <a:gd name="T2" fmla="*/ 251 w 321"/>
                                    <a:gd name="T3" fmla="*/ 308 h 310"/>
                                    <a:gd name="T4" fmla="*/ 161 w 321"/>
                                    <a:gd name="T5" fmla="*/ 257 h 310"/>
                                    <a:gd name="T6" fmla="*/ 70 w 321"/>
                                    <a:gd name="T7" fmla="*/ 308 h 310"/>
                                    <a:gd name="T8" fmla="*/ 58 w 321"/>
                                    <a:gd name="T9" fmla="*/ 307 h 310"/>
                                    <a:gd name="T10" fmla="*/ 54 w 321"/>
                                    <a:gd name="T11" fmla="*/ 296 h 310"/>
                                    <a:gd name="T12" fmla="*/ 74 w 321"/>
                                    <a:gd name="T13" fmla="*/ 195 h 310"/>
                                    <a:gd name="T14" fmla="*/ 4 w 321"/>
                                    <a:gd name="T15" fmla="*/ 125 h 310"/>
                                    <a:gd name="T16" fmla="*/ 1 w 321"/>
                                    <a:gd name="T17" fmla="*/ 113 h 310"/>
                                    <a:gd name="T18" fmla="*/ 10 w 321"/>
                                    <a:gd name="T19" fmla="*/ 106 h 310"/>
                                    <a:gd name="T20" fmla="*/ 111 w 321"/>
                                    <a:gd name="T21" fmla="*/ 96 h 310"/>
                                    <a:gd name="T22" fmla="*/ 151 w 321"/>
                                    <a:gd name="T23" fmla="*/ 6 h 310"/>
                                    <a:gd name="T24" fmla="*/ 161 w 321"/>
                                    <a:gd name="T25" fmla="*/ 0 h 310"/>
                                    <a:gd name="T26" fmla="*/ 170 w 321"/>
                                    <a:gd name="T27" fmla="*/ 6 h 310"/>
                                    <a:gd name="T28" fmla="*/ 211 w 321"/>
                                    <a:gd name="T29" fmla="*/ 96 h 310"/>
                                    <a:gd name="T30" fmla="*/ 311 w 321"/>
                                    <a:gd name="T31" fmla="*/ 106 h 310"/>
                                    <a:gd name="T32" fmla="*/ 320 w 321"/>
                                    <a:gd name="T33" fmla="*/ 113 h 310"/>
                                    <a:gd name="T34" fmla="*/ 318 w 321"/>
                                    <a:gd name="T35" fmla="*/ 125 h 310"/>
                                    <a:gd name="T36" fmla="*/ 247 w 321"/>
                                    <a:gd name="T37" fmla="*/ 195 h 310"/>
                                    <a:gd name="T38" fmla="*/ 267 w 321"/>
                                    <a:gd name="T39" fmla="*/ 296 h 310"/>
                                    <a:gd name="T40" fmla="*/ 263 w 321"/>
                                    <a:gd name="T41" fmla="*/ 307 h 310"/>
                                    <a:gd name="T42" fmla="*/ 257 w 321"/>
                                    <a:gd name="T43" fmla="*/ 309 h 310"/>
                                    <a:gd name="T44" fmla="*/ 161 w 321"/>
                                    <a:gd name="T45" fmla="*/ 234 h 310"/>
                                    <a:gd name="T46" fmla="*/ 166 w 321"/>
                                    <a:gd name="T47" fmla="*/ 236 h 310"/>
                                    <a:gd name="T48" fmla="*/ 242 w 321"/>
                                    <a:gd name="T49" fmla="*/ 278 h 310"/>
                                    <a:gd name="T50" fmla="*/ 225 w 321"/>
                                    <a:gd name="T51" fmla="*/ 194 h 310"/>
                                    <a:gd name="T52" fmla="*/ 228 w 321"/>
                                    <a:gd name="T53" fmla="*/ 184 h 310"/>
                                    <a:gd name="T54" fmla="*/ 287 w 321"/>
                                    <a:gd name="T55" fmla="*/ 125 h 310"/>
                                    <a:gd name="T56" fmla="*/ 202 w 321"/>
                                    <a:gd name="T57" fmla="*/ 117 h 310"/>
                                    <a:gd name="T58" fmla="*/ 194 w 321"/>
                                    <a:gd name="T59" fmla="*/ 111 h 310"/>
                                    <a:gd name="T60" fmla="*/ 161 w 321"/>
                                    <a:gd name="T61" fmla="*/ 37 h 310"/>
                                    <a:gd name="T62" fmla="*/ 128 w 321"/>
                                    <a:gd name="T63" fmla="*/ 111 h 310"/>
                                    <a:gd name="T64" fmla="*/ 119 w 321"/>
                                    <a:gd name="T65" fmla="*/ 117 h 310"/>
                                    <a:gd name="T66" fmla="*/ 35 w 321"/>
                                    <a:gd name="T67" fmla="*/ 125 h 310"/>
                                    <a:gd name="T68" fmla="*/ 94 w 321"/>
                                    <a:gd name="T69" fmla="*/ 184 h 310"/>
                                    <a:gd name="T70" fmla="*/ 96 w 321"/>
                                    <a:gd name="T71" fmla="*/ 194 h 310"/>
                                    <a:gd name="T72" fmla="*/ 80 w 321"/>
                                    <a:gd name="T73" fmla="*/ 278 h 310"/>
                                    <a:gd name="T74" fmla="*/ 155 w 321"/>
                                    <a:gd name="T75" fmla="*/ 236 h 310"/>
                                    <a:gd name="T76" fmla="*/ 161 w 321"/>
                                    <a:gd name="T77" fmla="*/ 23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1" h="310">
                                      <a:moveTo>
                                        <a:pt x="257" y="309"/>
                                      </a:moveTo>
                                      <a:cubicBezTo>
                                        <a:pt x="255" y="309"/>
                                        <a:pt x="253" y="309"/>
                                        <a:pt x="251" y="308"/>
                                      </a:cubicBezTo>
                                      <a:cubicBezTo>
                                        <a:pt x="161" y="257"/>
                                        <a:pt x="161" y="257"/>
                                        <a:pt x="161" y="257"/>
                                      </a:cubicBezTo>
                                      <a:cubicBezTo>
                                        <a:pt x="70" y="308"/>
                                        <a:pt x="70" y="308"/>
                                        <a:pt x="70" y="308"/>
                                      </a:cubicBezTo>
                                      <a:cubicBezTo>
                                        <a:pt x="66" y="310"/>
                                        <a:pt x="62" y="309"/>
                                        <a:pt x="58" y="307"/>
                                      </a:cubicBezTo>
                                      <a:cubicBezTo>
                                        <a:pt x="55" y="305"/>
                                        <a:pt x="53" y="300"/>
                                        <a:pt x="54" y="296"/>
                                      </a:cubicBezTo>
                                      <a:cubicBezTo>
                                        <a:pt x="74" y="195"/>
                                        <a:pt x="74" y="195"/>
                                        <a:pt x="74" y="195"/>
                                      </a:cubicBezTo>
                                      <a:cubicBezTo>
                                        <a:pt x="4" y="125"/>
                                        <a:pt x="4" y="125"/>
                                        <a:pt x="4" y="125"/>
                                      </a:cubicBezTo>
                                      <a:cubicBezTo>
                                        <a:pt x="1" y="122"/>
                                        <a:pt x="0" y="117"/>
                                        <a:pt x="1" y="113"/>
                                      </a:cubicBezTo>
                                      <a:cubicBezTo>
                                        <a:pt x="3" y="110"/>
                                        <a:pt x="6" y="107"/>
                                        <a:pt x="10" y="106"/>
                                      </a:cubicBezTo>
                                      <a:cubicBezTo>
                                        <a:pt x="111" y="96"/>
                                        <a:pt x="111" y="96"/>
                                        <a:pt x="111" y="96"/>
                                      </a:cubicBezTo>
                                      <a:cubicBezTo>
                                        <a:pt x="151" y="6"/>
                                        <a:pt x="151" y="6"/>
                                        <a:pt x="151" y="6"/>
                                      </a:cubicBezTo>
                                      <a:cubicBezTo>
                                        <a:pt x="153" y="2"/>
                                        <a:pt x="156" y="0"/>
                                        <a:pt x="161" y="0"/>
                                      </a:cubicBezTo>
                                      <a:cubicBezTo>
                                        <a:pt x="165" y="0"/>
                                        <a:pt x="169" y="2"/>
                                        <a:pt x="170" y="6"/>
                                      </a:cubicBezTo>
                                      <a:cubicBezTo>
                                        <a:pt x="211" y="96"/>
                                        <a:pt x="211" y="96"/>
                                        <a:pt x="211" y="96"/>
                                      </a:cubicBezTo>
                                      <a:cubicBezTo>
                                        <a:pt x="311" y="106"/>
                                        <a:pt x="311" y="106"/>
                                        <a:pt x="311" y="106"/>
                                      </a:cubicBezTo>
                                      <a:cubicBezTo>
                                        <a:pt x="315" y="107"/>
                                        <a:pt x="319" y="110"/>
                                        <a:pt x="320" y="113"/>
                                      </a:cubicBezTo>
                                      <a:cubicBezTo>
                                        <a:pt x="321" y="117"/>
                                        <a:pt x="320" y="122"/>
                                        <a:pt x="318" y="125"/>
                                      </a:cubicBezTo>
                                      <a:cubicBezTo>
                                        <a:pt x="247" y="195"/>
                                        <a:pt x="247" y="195"/>
                                        <a:pt x="247" y="195"/>
                                      </a:cubicBezTo>
                                      <a:cubicBezTo>
                                        <a:pt x="267" y="296"/>
                                        <a:pt x="267" y="296"/>
                                        <a:pt x="267" y="296"/>
                                      </a:cubicBezTo>
                                      <a:cubicBezTo>
                                        <a:pt x="268" y="300"/>
                                        <a:pt x="266" y="305"/>
                                        <a:pt x="263" y="307"/>
                                      </a:cubicBezTo>
                                      <a:cubicBezTo>
                                        <a:pt x="261" y="308"/>
                                        <a:pt x="259" y="309"/>
                                        <a:pt x="257" y="309"/>
                                      </a:cubicBezTo>
                                      <a:close/>
                                      <a:moveTo>
                                        <a:pt x="161" y="234"/>
                                      </a:moveTo>
                                      <a:cubicBezTo>
                                        <a:pt x="162" y="234"/>
                                        <a:pt x="164" y="235"/>
                                        <a:pt x="166" y="236"/>
                                      </a:cubicBezTo>
                                      <a:cubicBezTo>
                                        <a:pt x="242" y="278"/>
                                        <a:pt x="242" y="278"/>
                                        <a:pt x="242" y="278"/>
                                      </a:cubicBezTo>
                                      <a:cubicBezTo>
                                        <a:pt x="225" y="194"/>
                                        <a:pt x="225" y="194"/>
                                        <a:pt x="225" y="194"/>
                                      </a:cubicBezTo>
                                      <a:cubicBezTo>
                                        <a:pt x="224" y="190"/>
                                        <a:pt x="225" y="187"/>
                                        <a:pt x="228" y="184"/>
                                      </a:cubicBezTo>
                                      <a:cubicBezTo>
                                        <a:pt x="287" y="125"/>
                                        <a:pt x="287" y="125"/>
                                        <a:pt x="287" y="125"/>
                                      </a:cubicBezTo>
                                      <a:cubicBezTo>
                                        <a:pt x="202" y="117"/>
                                        <a:pt x="202" y="117"/>
                                        <a:pt x="202" y="117"/>
                                      </a:cubicBezTo>
                                      <a:cubicBezTo>
                                        <a:pt x="198" y="117"/>
                                        <a:pt x="195" y="114"/>
                                        <a:pt x="194" y="111"/>
                                      </a:cubicBezTo>
                                      <a:cubicBezTo>
                                        <a:pt x="161" y="37"/>
                                        <a:pt x="161" y="37"/>
                                        <a:pt x="161" y="37"/>
                                      </a:cubicBezTo>
                                      <a:cubicBezTo>
                                        <a:pt x="128" y="111"/>
                                        <a:pt x="128" y="111"/>
                                        <a:pt x="128" y="111"/>
                                      </a:cubicBezTo>
                                      <a:cubicBezTo>
                                        <a:pt x="126" y="114"/>
                                        <a:pt x="123" y="117"/>
                                        <a:pt x="119" y="117"/>
                                      </a:cubicBezTo>
                                      <a:cubicBezTo>
                                        <a:pt x="35" y="125"/>
                                        <a:pt x="35" y="125"/>
                                        <a:pt x="35" y="125"/>
                                      </a:cubicBezTo>
                                      <a:cubicBezTo>
                                        <a:pt x="94" y="184"/>
                                        <a:pt x="94" y="184"/>
                                        <a:pt x="94" y="184"/>
                                      </a:cubicBezTo>
                                      <a:cubicBezTo>
                                        <a:pt x="96" y="187"/>
                                        <a:pt x="97" y="190"/>
                                        <a:pt x="96" y="194"/>
                                      </a:cubicBezTo>
                                      <a:cubicBezTo>
                                        <a:pt x="80" y="278"/>
                                        <a:pt x="80" y="278"/>
                                        <a:pt x="80" y="278"/>
                                      </a:cubicBezTo>
                                      <a:cubicBezTo>
                                        <a:pt x="155" y="236"/>
                                        <a:pt x="155" y="236"/>
                                        <a:pt x="155" y="236"/>
                                      </a:cubicBezTo>
                                      <a:cubicBezTo>
                                        <a:pt x="157" y="235"/>
                                        <a:pt x="159" y="234"/>
                                        <a:pt x="161" y="234"/>
                                      </a:cubicBezTo>
                                      <a:close/>
                                    </a:path>
                                  </a:pathLst>
                                </a:custGeom>
                                <a:solidFill>
                                  <a:schemeClr val="bg1"/>
                                </a:solidFill>
                                <a:ln w="9525">
                                  <a:solidFill>
                                    <a:schemeClr val="bg1"/>
                                  </a:solidFill>
                                  <a:round/>
                                  <a:headEnd/>
                                  <a:tailEnd/>
                                </a:ln>
                              </wps:spPr>
                              <wps:bodyPr vert="horz" wrap="square" lIns="91440" tIns="45720" rIns="91440" bIns="45720" numCol="1" anchor="t" anchorCtr="0" compatLnSpc="1">
                                <a:prstTxWarp prst="textNoShape">
                                  <a:avLst/>
                                </a:prstTxWarp>
                              </wps:bodyPr>
                            </wps:wsp>
                            <wps:wsp>
                              <wps:cNvPr id="113" name="Freeform 113"/>
                              <wps:cNvSpPr>
                                <a:spLocks noEditPoints="1"/>
                              </wps:cNvSpPr>
                              <wps:spPr bwMode="auto">
                                <a:xfrm>
                                  <a:off x="0" y="0"/>
                                  <a:ext cx="341"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7CAA39" id="Group 360" o:spid="_x0000_s1026" style="position:absolute;margin-left:-1.55pt;margin-top:-.65pt;width:29.15pt;height:29.1pt;z-index:251680256;mso-width-relative:margin;mso-height-relative:margin"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">
                      <v:shape id="Freeform 112" o:spid="_x0000_s1027" style="position:absolute;left:63;top:64;width:214;height:206;visibility:visible;mso-wrap-style:square;v-text-anchor:top" coordsize="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" path="m257,309v-2,,-4,,-6,-1c161,257,161,257,161,257,70,308,70,308,70,308v-4,2,-8,1,-12,-1c55,305,53,300,54,296,74,195,74,195,74,195,4,125,4,125,4,125,1,122,,117,1,113v2,-3,5,-6,9,-7c111,96,111,96,111,96,151,6,151,6,151,6,153,2,156,,161,v4,,8,2,9,6c211,96,211,96,211,96v100,10,100,10,100,10c315,107,319,110,320,113v1,4,,9,-2,12c247,195,247,195,247,195v20,101,20,101,20,101c268,300,266,305,263,307v-2,1,-4,2,-6,2xm161,234v1,,3,1,5,2c242,278,242,278,242,278,225,194,225,194,225,194v-1,-4,,-7,3,-10c287,125,287,125,287,125v-85,-8,-85,-8,-85,-8c198,117,195,114,194,111,161,37,161,37,161,37v-33,74,-33,74,-33,74c126,114,123,117,119,117v-84,8,-84,8,-84,8c94,184,94,184,94,184v2,3,3,6,2,10c80,278,80,278,80,278v75,-42,75,-42,75,-42c157,235,159,234,161,234xe" fillcolor="white [3212]" strokecolor="white [3212]">
                        <v:path arrowok="t" o:connecttype="custom" o:connectlocs="171,205;167,205;107,171;47,205;39,204;36,197;49,130;3,83;1,75;7,70;74,64;101,4;107,0;113,4;141,64;207,70;213,75;212,83;165,130;178,197;175,204;171,205;107,155;111,157;161,185;150,129;152,122;191,83;135,78;129,74;107,25;85,74;79,78;23,83;63,122;64,129;53,185;103,157;107,155" o:connectangles="0,0,0,0,0,0,0,0,0,0,0,0,0,0,0,0,0,0,0,0,0,0,0,0,0,0,0,0,0,0,0,0,0,0,0,0,0,0,0"/>
                        <o:lock v:ext="edit" verticies="t"/>
                      </v:shape>
                      <v:shape id="Freeform 113" o:spid="_x0000_s1028" style="position:absolute;width:341;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" path="m256,21v129,,234,105,234,235c490,385,385,490,256,490,126,490,21,385,21,256,21,126,126,21,256,21m256,c114,,,114,,256,,397,114,512,256,512v141,,256,-115,256,-256c512,114,397,,256,xe" fillcolor="white [3212]" stroked="f">
                        <v:path arrowok="t" o:connecttype="custom" o:connectlocs="171,14;326,170;171,325;14,170;171,14;171,0;0,170;171,340;341,170;171,0" o:connectangles="0,0,0,0,0,0,0,0,0,0"/>
                        <o:lock v:ext="edit" verticies="t"/>
                      </v:shape>
                    </v:group>
                  </w:pict>
                </mc:Fallback>
              </mc:AlternateContent>
            </w:r>
            <w:r w:rsidRPr="004F67D0">
              <w:rPr>
                <w:b/>
                <w:bCs/>
                <w:color w:val="FFFFFF" w:themeColor="background1"/>
                <w:lang w:val="en-US"/>
              </w:rPr>
              <w:t>Main recommendations</w:t>
            </w:r>
          </w:p>
        </w:tc>
        <w:tc>
          <w:tcPr>
            <w:tcW w:w="2500" w:type="pct"/>
            <w:tcBorders>
              <w:top w:val="single" w:sz="8" w:space="0" w:color="86BC25"/>
              <w:left w:val="single" w:sz="8" w:space="0" w:color="FFFFFF"/>
              <w:bottom w:val="single" w:sz="8" w:space="0" w:color="86BC25"/>
              <w:right w:val="single" w:sz="8" w:space="0" w:color="86BC25"/>
            </w:tcBorders>
            <w:shd w:val="clear" w:color="auto" w:fill="86BC25"/>
            <w:tcMar>
              <w:top w:w="72" w:type="dxa"/>
              <w:left w:w="144" w:type="dxa"/>
              <w:bottom w:w="72" w:type="dxa"/>
              <w:right w:w="144" w:type="dxa"/>
            </w:tcMar>
            <w:vAlign w:val="center"/>
            <w:hideMark/>
          </w:tcPr>
          <w:p w14:paraId="68A59BC8" w14:textId="77777777" w:rsidR="00AC28E1" w:rsidRPr="004F67D0" w:rsidRDefault="00AC28E1" w:rsidP="004F67D0">
            <w:pPr>
              <w:spacing w:after="0"/>
              <w:ind w:left="1079"/>
              <w:rPr>
                <w:b/>
                <w:color w:val="FFFFFF" w:themeColor="background1"/>
                <w:lang w:val="en-US"/>
              </w:rPr>
            </w:pPr>
            <w:r w:rsidRPr="004F67D0">
              <w:rPr>
                <w:b/>
                <w:bCs/>
                <w:noProof/>
                <w:color w:val="FFFFFF" w:themeColor="background1"/>
                <w:lang w:eastAsia="cs-CZ"/>
              </w:rPr>
              <mc:AlternateContent>
                <mc:Choice Requires="wpg">
                  <w:drawing>
                    <wp:anchor distT="0" distB="0" distL="114300" distR="114300" simplePos="0" relativeHeight="251681280" behindDoc="0" locked="0" layoutInCell="1" allowOverlap="1" wp14:anchorId="610C818A" wp14:editId="37D2796E">
                      <wp:simplePos x="0" y="0"/>
                      <wp:positionH relativeFrom="column">
                        <wp:posOffset>-11430</wp:posOffset>
                      </wp:positionH>
                      <wp:positionV relativeFrom="paragraph">
                        <wp:posOffset>-12065</wp:posOffset>
                      </wp:positionV>
                      <wp:extent cx="367030" cy="367030"/>
                      <wp:effectExtent l="0" t="0" r="0" b="0"/>
                      <wp:wrapNone/>
                      <wp:docPr id="30" name="Group 262"/>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bg1"/>
                              </a:solidFill>
                            </wpg:grpSpPr>
                            <wps:wsp>
                              <wps:cNvPr id="31" name="Freeform 31"/>
                              <wps:cNvSpPr>
                                <a:spLocks noEditPoints="1"/>
                              </wps:cNvSpPr>
                              <wps:spPr bwMode="auto">
                                <a:xfrm>
                                  <a:off x="78" y="64"/>
                                  <a:ext cx="184" cy="212"/>
                                </a:xfrm>
                                <a:custGeom>
                                  <a:avLst/>
                                  <a:gdLst>
                                    <a:gd name="T0" fmla="*/ 267 w 277"/>
                                    <a:gd name="T1" fmla="*/ 128 h 320"/>
                                    <a:gd name="T2" fmla="*/ 149 w 277"/>
                                    <a:gd name="T3" fmla="*/ 128 h 320"/>
                                    <a:gd name="T4" fmla="*/ 149 w 277"/>
                                    <a:gd name="T5" fmla="*/ 106 h 320"/>
                                    <a:gd name="T6" fmla="*/ 224 w 277"/>
                                    <a:gd name="T7" fmla="*/ 106 h 320"/>
                                    <a:gd name="T8" fmla="*/ 230 w 277"/>
                                    <a:gd name="T9" fmla="*/ 104 h 320"/>
                                    <a:gd name="T10" fmla="*/ 273 w 277"/>
                                    <a:gd name="T11" fmla="*/ 72 h 320"/>
                                    <a:gd name="T12" fmla="*/ 277 w 277"/>
                                    <a:gd name="T13" fmla="*/ 64 h 320"/>
                                    <a:gd name="T14" fmla="*/ 273 w 277"/>
                                    <a:gd name="T15" fmla="*/ 55 h 320"/>
                                    <a:gd name="T16" fmla="*/ 230 w 277"/>
                                    <a:gd name="T17" fmla="*/ 23 h 320"/>
                                    <a:gd name="T18" fmla="*/ 224 w 277"/>
                                    <a:gd name="T19" fmla="*/ 21 h 320"/>
                                    <a:gd name="T20" fmla="*/ 149 w 277"/>
                                    <a:gd name="T21" fmla="*/ 21 h 320"/>
                                    <a:gd name="T22" fmla="*/ 149 w 277"/>
                                    <a:gd name="T23" fmla="*/ 10 h 320"/>
                                    <a:gd name="T24" fmla="*/ 139 w 277"/>
                                    <a:gd name="T25" fmla="*/ 0 h 320"/>
                                    <a:gd name="T26" fmla="*/ 128 w 277"/>
                                    <a:gd name="T27" fmla="*/ 10 h 320"/>
                                    <a:gd name="T28" fmla="*/ 128 w 277"/>
                                    <a:gd name="T29" fmla="*/ 21 h 320"/>
                                    <a:gd name="T30" fmla="*/ 11 w 277"/>
                                    <a:gd name="T31" fmla="*/ 21 h 320"/>
                                    <a:gd name="T32" fmla="*/ 0 w 277"/>
                                    <a:gd name="T33" fmla="*/ 32 h 320"/>
                                    <a:gd name="T34" fmla="*/ 0 w 277"/>
                                    <a:gd name="T35" fmla="*/ 96 h 320"/>
                                    <a:gd name="T36" fmla="*/ 11 w 277"/>
                                    <a:gd name="T37" fmla="*/ 106 h 320"/>
                                    <a:gd name="T38" fmla="*/ 128 w 277"/>
                                    <a:gd name="T39" fmla="*/ 106 h 320"/>
                                    <a:gd name="T40" fmla="*/ 128 w 277"/>
                                    <a:gd name="T41" fmla="*/ 128 h 320"/>
                                    <a:gd name="T42" fmla="*/ 53 w 277"/>
                                    <a:gd name="T43" fmla="*/ 128 h 320"/>
                                    <a:gd name="T44" fmla="*/ 47 w 277"/>
                                    <a:gd name="T45" fmla="*/ 130 h 320"/>
                                    <a:gd name="T46" fmla="*/ 4 w 277"/>
                                    <a:gd name="T47" fmla="*/ 162 h 320"/>
                                    <a:gd name="T48" fmla="*/ 0 w 277"/>
                                    <a:gd name="T49" fmla="*/ 170 h 320"/>
                                    <a:gd name="T50" fmla="*/ 4 w 277"/>
                                    <a:gd name="T51" fmla="*/ 179 h 320"/>
                                    <a:gd name="T52" fmla="*/ 47 w 277"/>
                                    <a:gd name="T53" fmla="*/ 211 h 320"/>
                                    <a:gd name="T54" fmla="*/ 53 w 277"/>
                                    <a:gd name="T55" fmla="*/ 213 h 320"/>
                                    <a:gd name="T56" fmla="*/ 128 w 277"/>
                                    <a:gd name="T57" fmla="*/ 213 h 320"/>
                                    <a:gd name="T58" fmla="*/ 128 w 277"/>
                                    <a:gd name="T59" fmla="*/ 309 h 320"/>
                                    <a:gd name="T60" fmla="*/ 139 w 277"/>
                                    <a:gd name="T61" fmla="*/ 320 h 320"/>
                                    <a:gd name="T62" fmla="*/ 149 w 277"/>
                                    <a:gd name="T63" fmla="*/ 309 h 320"/>
                                    <a:gd name="T64" fmla="*/ 149 w 277"/>
                                    <a:gd name="T65" fmla="*/ 213 h 320"/>
                                    <a:gd name="T66" fmla="*/ 267 w 277"/>
                                    <a:gd name="T67" fmla="*/ 213 h 320"/>
                                    <a:gd name="T68" fmla="*/ 277 w 277"/>
                                    <a:gd name="T69" fmla="*/ 202 h 320"/>
                                    <a:gd name="T70" fmla="*/ 277 w 277"/>
                                    <a:gd name="T71" fmla="*/ 138 h 320"/>
                                    <a:gd name="T72" fmla="*/ 267 w 277"/>
                                    <a:gd name="T73" fmla="*/ 128 h 320"/>
                                    <a:gd name="T74" fmla="*/ 21 w 277"/>
                                    <a:gd name="T75" fmla="*/ 85 h 320"/>
                                    <a:gd name="T76" fmla="*/ 21 w 277"/>
                                    <a:gd name="T77" fmla="*/ 42 h 320"/>
                                    <a:gd name="T78" fmla="*/ 220 w 277"/>
                                    <a:gd name="T79" fmla="*/ 42 h 320"/>
                                    <a:gd name="T80" fmla="*/ 249 w 277"/>
                                    <a:gd name="T81" fmla="*/ 64 h 320"/>
                                    <a:gd name="T82" fmla="*/ 220 w 277"/>
                                    <a:gd name="T83" fmla="*/ 85 h 320"/>
                                    <a:gd name="T84" fmla="*/ 21 w 277"/>
                                    <a:gd name="T85" fmla="*/ 85 h 320"/>
                                    <a:gd name="T86" fmla="*/ 256 w 277"/>
                                    <a:gd name="T87" fmla="*/ 192 h 320"/>
                                    <a:gd name="T88" fmla="*/ 57 w 277"/>
                                    <a:gd name="T89" fmla="*/ 192 h 320"/>
                                    <a:gd name="T90" fmla="*/ 28 w 277"/>
                                    <a:gd name="T91" fmla="*/ 170 h 320"/>
                                    <a:gd name="T92" fmla="*/ 57 w 277"/>
                                    <a:gd name="T93" fmla="*/ 149 h 320"/>
                                    <a:gd name="T94" fmla="*/ 256 w 277"/>
                                    <a:gd name="T95" fmla="*/ 149 h 320"/>
                                    <a:gd name="T96" fmla="*/ 256 w 277"/>
                                    <a:gd name="T97" fmla="*/ 19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7" h="320">
                                      <a:moveTo>
                                        <a:pt x="267" y="128"/>
                                      </a:moveTo>
                                      <a:cubicBezTo>
                                        <a:pt x="149" y="128"/>
                                        <a:pt x="149" y="128"/>
                                        <a:pt x="149" y="128"/>
                                      </a:cubicBezTo>
                                      <a:cubicBezTo>
                                        <a:pt x="149" y="106"/>
                                        <a:pt x="149" y="106"/>
                                        <a:pt x="149" y="106"/>
                                      </a:cubicBezTo>
                                      <a:cubicBezTo>
                                        <a:pt x="224" y="106"/>
                                        <a:pt x="224" y="106"/>
                                        <a:pt x="224" y="106"/>
                                      </a:cubicBezTo>
                                      <a:cubicBezTo>
                                        <a:pt x="226" y="106"/>
                                        <a:pt x="229" y="106"/>
                                        <a:pt x="230" y="104"/>
                                      </a:cubicBezTo>
                                      <a:cubicBezTo>
                                        <a:pt x="273" y="72"/>
                                        <a:pt x="273" y="72"/>
                                        <a:pt x="273" y="72"/>
                                      </a:cubicBezTo>
                                      <a:cubicBezTo>
                                        <a:pt x="276" y="70"/>
                                        <a:pt x="277" y="67"/>
                                        <a:pt x="277" y="64"/>
                                      </a:cubicBezTo>
                                      <a:cubicBezTo>
                                        <a:pt x="277" y="60"/>
                                        <a:pt x="276" y="57"/>
                                        <a:pt x="273" y="55"/>
                                      </a:cubicBezTo>
                                      <a:cubicBezTo>
                                        <a:pt x="230" y="23"/>
                                        <a:pt x="230" y="23"/>
                                        <a:pt x="230" y="23"/>
                                      </a:cubicBezTo>
                                      <a:cubicBezTo>
                                        <a:pt x="229" y="22"/>
                                        <a:pt x="226" y="21"/>
                                        <a:pt x="224" y="21"/>
                                      </a:cubicBezTo>
                                      <a:cubicBezTo>
                                        <a:pt x="149" y="21"/>
                                        <a:pt x="149" y="21"/>
                                        <a:pt x="149" y="21"/>
                                      </a:cubicBezTo>
                                      <a:cubicBezTo>
                                        <a:pt x="149" y="10"/>
                                        <a:pt x="149" y="10"/>
                                        <a:pt x="149" y="10"/>
                                      </a:cubicBezTo>
                                      <a:cubicBezTo>
                                        <a:pt x="149" y="4"/>
                                        <a:pt x="145" y="0"/>
                                        <a:pt x="139" y="0"/>
                                      </a:cubicBezTo>
                                      <a:cubicBezTo>
                                        <a:pt x="133" y="0"/>
                                        <a:pt x="128" y="4"/>
                                        <a:pt x="128" y="10"/>
                                      </a:cubicBezTo>
                                      <a:cubicBezTo>
                                        <a:pt x="128" y="21"/>
                                        <a:pt x="128" y="21"/>
                                        <a:pt x="128" y="21"/>
                                      </a:cubicBezTo>
                                      <a:cubicBezTo>
                                        <a:pt x="11" y="21"/>
                                        <a:pt x="11" y="21"/>
                                        <a:pt x="11" y="21"/>
                                      </a:cubicBezTo>
                                      <a:cubicBezTo>
                                        <a:pt x="5" y="21"/>
                                        <a:pt x="0" y="26"/>
                                        <a:pt x="0" y="32"/>
                                      </a:cubicBezTo>
                                      <a:cubicBezTo>
                                        <a:pt x="0" y="96"/>
                                        <a:pt x="0" y="96"/>
                                        <a:pt x="0" y="96"/>
                                      </a:cubicBezTo>
                                      <a:cubicBezTo>
                                        <a:pt x="0" y="102"/>
                                        <a:pt x="5" y="106"/>
                                        <a:pt x="11" y="106"/>
                                      </a:cubicBezTo>
                                      <a:cubicBezTo>
                                        <a:pt x="128" y="106"/>
                                        <a:pt x="128" y="106"/>
                                        <a:pt x="128" y="106"/>
                                      </a:cubicBezTo>
                                      <a:cubicBezTo>
                                        <a:pt x="128" y="128"/>
                                        <a:pt x="128" y="128"/>
                                        <a:pt x="128" y="128"/>
                                      </a:cubicBezTo>
                                      <a:cubicBezTo>
                                        <a:pt x="53" y="128"/>
                                        <a:pt x="53" y="128"/>
                                        <a:pt x="53" y="128"/>
                                      </a:cubicBezTo>
                                      <a:cubicBezTo>
                                        <a:pt x="51" y="128"/>
                                        <a:pt x="49" y="128"/>
                                        <a:pt x="47" y="130"/>
                                      </a:cubicBezTo>
                                      <a:cubicBezTo>
                                        <a:pt x="4" y="162"/>
                                        <a:pt x="4" y="162"/>
                                        <a:pt x="4" y="162"/>
                                      </a:cubicBezTo>
                                      <a:cubicBezTo>
                                        <a:pt x="2" y="164"/>
                                        <a:pt x="0" y="167"/>
                                        <a:pt x="0" y="170"/>
                                      </a:cubicBezTo>
                                      <a:cubicBezTo>
                                        <a:pt x="0" y="174"/>
                                        <a:pt x="2" y="177"/>
                                        <a:pt x="4" y="179"/>
                                      </a:cubicBezTo>
                                      <a:cubicBezTo>
                                        <a:pt x="47" y="211"/>
                                        <a:pt x="47" y="211"/>
                                        <a:pt x="47" y="211"/>
                                      </a:cubicBezTo>
                                      <a:cubicBezTo>
                                        <a:pt x="49" y="212"/>
                                        <a:pt x="51" y="213"/>
                                        <a:pt x="53" y="213"/>
                                      </a:cubicBezTo>
                                      <a:cubicBezTo>
                                        <a:pt x="128" y="213"/>
                                        <a:pt x="128" y="213"/>
                                        <a:pt x="128" y="213"/>
                                      </a:cubicBezTo>
                                      <a:cubicBezTo>
                                        <a:pt x="128" y="309"/>
                                        <a:pt x="128" y="309"/>
                                        <a:pt x="128" y="309"/>
                                      </a:cubicBezTo>
                                      <a:cubicBezTo>
                                        <a:pt x="128" y="315"/>
                                        <a:pt x="133" y="320"/>
                                        <a:pt x="139" y="320"/>
                                      </a:cubicBezTo>
                                      <a:cubicBezTo>
                                        <a:pt x="145" y="320"/>
                                        <a:pt x="149" y="315"/>
                                        <a:pt x="149" y="309"/>
                                      </a:cubicBezTo>
                                      <a:cubicBezTo>
                                        <a:pt x="149" y="213"/>
                                        <a:pt x="149" y="213"/>
                                        <a:pt x="149" y="213"/>
                                      </a:cubicBezTo>
                                      <a:cubicBezTo>
                                        <a:pt x="267" y="213"/>
                                        <a:pt x="267" y="213"/>
                                        <a:pt x="267" y="213"/>
                                      </a:cubicBezTo>
                                      <a:cubicBezTo>
                                        <a:pt x="273" y="213"/>
                                        <a:pt x="277" y="208"/>
                                        <a:pt x="277" y="202"/>
                                      </a:cubicBezTo>
                                      <a:cubicBezTo>
                                        <a:pt x="277" y="138"/>
                                        <a:pt x="277" y="138"/>
                                        <a:pt x="277" y="138"/>
                                      </a:cubicBezTo>
                                      <a:cubicBezTo>
                                        <a:pt x="277" y="132"/>
                                        <a:pt x="273" y="128"/>
                                        <a:pt x="267" y="128"/>
                                      </a:cubicBezTo>
                                      <a:close/>
                                      <a:moveTo>
                                        <a:pt x="21" y="85"/>
                                      </a:moveTo>
                                      <a:cubicBezTo>
                                        <a:pt x="21" y="42"/>
                                        <a:pt x="21" y="42"/>
                                        <a:pt x="21" y="42"/>
                                      </a:cubicBezTo>
                                      <a:cubicBezTo>
                                        <a:pt x="220" y="42"/>
                                        <a:pt x="220" y="42"/>
                                        <a:pt x="220" y="42"/>
                                      </a:cubicBezTo>
                                      <a:cubicBezTo>
                                        <a:pt x="249" y="64"/>
                                        <a:pt x="249" y="64"/>
                                        <a:pt x="249" y="64"/>
                                      </a:cubicBezTo>
                                      <a:cubicBezTo>
                                        <a:pt x="220" y="85"/>
                                        <a:pt x="220" y="85"/>
                                        <a:pt x="220" y="85"/>
                                      </a:cubicBezTo>
                                      <a:lnTo>
                                        <a:pt x="21" y="85"/>
                                      </a:lnTo>
                                      <a:close/>
                                      <a:moveTo>
                                        <a:pt x="256" y="192"/>
                                      </a:moveTo>
                                      <a:cubicBezTo>
                                        <a:pt x="57" y="192"/>
                                        <a:pt x="57" y="192"/>
                                        <a:pt x="57" y="192"/>
                                      </a:cubicBezTo>
                                      <a:cubicBezTo>
                                        <a:pt x="28" y="170"/>
                                        <a:pt x="28" y="170"/>
                                        <a:pt x="28" y="170"/>
                                      </a:cubicBezTo>
                                      <a:cubicBezTo>
                                        <a:pt x="57" y="149"/>
                                        <a:pt x="57" y="149"/>
                                        <a:pt x="57" y="149"/>
                                      </a:cubicBezTo>
                                      <a:cubicBezTo>
                                        <a:pt x="256" y="149"/>
                                        <a:pt x="256" y="149"/>
                                        <a:pt x="256" y="149"/>
                                      </a:cubicBezTo>
                                      <a:lnTo>
                                        <a:pt x="256" y="19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FC88BB" id="Group 262" o:spid="_x0000_s1026" style="position:absolute;margin-left:-.9pt;margin-top:-.95pt;width:28.9pt;height:28.9pt;z-index:25168128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">
                      <v:shape id="Freeform 31" o:spid="_x0000_s1027" style="position:absolute;left:78;top:64;width:184;height:212;visibility:visible;mso-wrap-style:square;v-text-anchor:top" coordsize="2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" path="m267,128v-118,,-118,,-118,c149,106,149,106,149,106v75,,75,,75,c226,106,229,106,230,104,273,72,273,72,273,72v3,-2,4,-5,4,-8c277,60,276,57,273,55,230,23,230,23,230,23v-1,-1,-4,-2,-6,-2c149,21,149,21,149,21v,-11,,-11,,-11c149,4,145,,139,v-6,,-11,4,-11,10c128,21,128,21,128,21,11,21,11,21,11,21,5,21,,26,,32,,96,,96,,96v,6,5,10,11,10c128,106,128,106,128,106v,22,,22,,22c53,128,53,128,53,128v-2,,-4,,-6,2c4,162,4,162,4,162v-2,2,-4,5,-4,8c,174,2,177,4,179v43,32,43,32,43,32c49,212,51,213,53,213v75,,75,,75,c128,309,128,309,128,309v,6,5,11,11,11c145,320,149,315,149,309v,-96,,-96,,-96c267,213,267,213,267,213v6,,10,-5,10,-11c277,138,277,138,277,138v,-6,-4,-10,-10,-10xm21,85v,-43,,-43,,-43c220,42,220,42,220,42v29,22,29,22,29,22c220,85,220,85,220,85l21,85xm256,192v-199,,-199,,-199,c28,170,28,170,28,170,57,149,57,149,57,149v199,,199,,199,l256,192xe" filled="f" stroked="f">
                        <v:path arrowok="t" o:connecttype="custom" o:connectlocs="177,85;99,85;99,70;149,70;153,69;181,48;184,42;181,36;153,15;149,14;99,14;99,7;92,0;85,7;85,14;7,14;0,21;0,64;7,70;85,70;85,85;35,85;31,86;3,107;0,113;3,119;31,140;35,141;85,141;85,205;92,212;99,205;99,141;177,141;184,134;184,91;177,85;14,56;14,28;146,28;165,42;146,56;14,56;170,127;38,127;19,113;38,99;170,99;170,127" o:connectangles="0,0,0,0,0,0,0,0,0,0,0,0,0,0,0,0,0,0,0,0,0,0,0,0,0,0,0,0,0,0,0,0,0,0,0,0,0,0,0,0,0,0,0,0,0,0,0,0,0"/>
                        <o:lock v:ext="edit" verticies="t"/>
                      </v:shape>
                      <v:shape id="Freeform 32" o:spid="_x0000_s1028"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r w:rsidRPr="004F67D0">
              <w:rPr>
                <w:b/>
                <w:bCs/>
                <w:color w:val="FFFFFF" w:themeColor="background1"/>
                <w:lang w:val="en-US"/>
              </w:rPr>
              <w:t>Other recommendations</w:t>
            </w:r>
          </w:p>
        </w:tc>
      </w:tr>
      <w:tr w:rsidR="00AC28E1" w:rsidRPr="004F67D0" w14:paraId="720E8AE1" w14:textId="77777777" w:rsidTr="00AC28E1">
        <w:trPr>
          <w:tblHeader/>
        </w:trPr>
        <w:tc>
          <w:tcPr>
            <w:tcW w:w="250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6A3E150D" w14:textId="77777777" w:rsidR="00AC28E1" w:rsidRPr="004F67D0" w:rsidRDefault="00AC28E1" w:rsidP="00AC28E1">
            <w:pPr>
              <w:numPr>
                <w:ilvl w:val="0"/>
                <w:numId w:val="147"/>
              </w:numPr>
              <w:tabs>
                <w:tab w:val="clear" w:pos="720"/>
                <w:tab w:val="num" w:pos="382"/>
              </w:tabs>
              <w:ind w:left="202" w:hanging="270"/>
              <w:rPr>
                <w:bCs/>
                <w:lang w:val="en-US"/>
              </w:rPr>
            </w:pPr>
            <w:r w:rsidRPr="004F67D0">
              <w:rPr>
                <w:bCs/>
                <w:lang w:val="en-US"/>
              </w:rPr>
              <w:t>Permanently reduce administrative burden, speed up project applications evaluation and approval, streamline project management processes by MA, API and allow flexible project changes</w:t>
            </w:r>
          </w:p>
          <w:p w14:paraId="6ABA920D" w14:textId="77777777" w:rsidR="00AC28E1" w:rsidRPr="004F67D0" w:rsidRDefault="00AC28E1" w:rsidP="00AC28E1">
            <w:pPr>
              <w:numPr>
                <w:ilvl w:val="0"/>
                <w:numId w:val="147"/>
              </w:numPr>
              <w:tabs>
                <w:tab w:val="clear" w:pos="720"/>
                <w:tab w:val="num" w:pos="382"/>
              </w:tabs>
              <w:ind w:left="202" w:hanging="270"/>
              <w:rPr>
                <w:bCs/>
                <w:lang w:val="en-US"/>
              </w:rPr>
            </w:pPr>
            <w:r w:rsidRPr="004F67D0">
              <w:rPr>
                <w:bCs/>
                <w:lang w:val="en-US"/>
              </w:rPr>
              <w:t>Unify and maintain unchanged rules and methodology of support across audit bodies, NCA, MA, IB</w:t>
            </w:r>
          </w:p>
          <w:p w14:paraId="1281E001" w14:textId="77777777" w:rsidR="00AC28E1" w:rsidRPr="004F67D0" w:rsidRDefault="00AC28E1" w:rsidP="00AC28E1">
            <w:pPr>
              <w:numPr>
                <w:ilvl w:val="0"/>
                <w:numId w:val="147"/>
              </w:numPr>
              <w:tabs>
                <w:tab w:val="clear" w:pos="720"/>
                <w:tab w:val="num" w:pos="382"/>
              </w:tabs>
              <w:ind w:left="202" w:hanging="270"/>
              <w:rPr>
                <w:bCs/>
                <w:lang w:val="en-US"/>
              </w:rPr>
            </w:pPr>
            <w:r w:rsidRPr="004F67D0">
              <w:rPr>
                <w:bCs/>
                <w:lang w:val="en-US"/>
              </w:rPr>
              <w:t>Simplify the calculation and documentation of eligible expenditure</w:t>
            </w:r>
          </w:p>
          <w:p w14:paraId="1B7B53B1" w14:textId="77777777" w:rsidR="00AC28E1" w:rsidRPr="004F67D0" w:rsidRDefault="00AC28E1" w:rsidP="00AC28E1">
            <w:pPr>
              <w:numPr>
                <w:ilvl w:val="0"/>
                <w:numId w:val="147"/>
              </w:numPr>
              <w:tabs>
                <w:tab w:val="clear" w:pos="720"/>
                <w:tab w:val="num" w:pos="382"/>
              </w:tabs>
              <w:ind w:left="202" w:hanging="270"/>
              <w:rPr>
                <w:bCs/>
                <w:lang w:val="en-US"/>
              </w:rPr>
            </w:pPr>
            <w:r w:rsidRPr="004F67D0">
              <w:rPr>
                <w:bCs/>
                <w:lang w:val="en-US"/>
              </w:rPr>
              <w:t>Simplify support rules</w:t>
            </w:r>
          </w:p>
          <w:p w14:paraId="65467228" w14:textId="77777777" w:rsidR="00AC28E1" w:rsidRPr="004F67D0" w:rsidRDefault="00AC28E1" w:rsidP="00AC28E1">
            <w:pPr>
              <w:numPr>
                <w:ilvl w:val="0"/>
                <w:numId w:val="147"/>
              </w:numPr>
              <w:tabs>
                <w:tab w:val="clear" w:pos="720"/>
                <w:tab w:val="num" w:pos="382"/>
              </w:tabs>
              <w:ind w:left="202" w:hanging="270"/>
              <w:rPr>
                <w:lang w:val="en-US"/>
              </w:rPr>
            </w:pPr>
            <w:r w:rsidRPr="004F67D0">
              <w:rPr>
                <w:bCs/>
                <w:lang w:val="en-US"/>
              </w:rPr>
              <w:t>Involve the IBs (API) and use their experience to prepare the next programming period</w:t>
            </w:r>
          </w:p>
        </w:tc>
        <w:tc>
          <w:tcPr>
            <w:tcW w:w="2500" w:type="pct"/>
            <w:tcBorders>
              <w:top w:val="single" w:sz="8" w:space="0" w:color="86BC25"/>
              <w:left w:val="single" w:sz="8" w:space="0" w:color="86BC25"/>
              <w:bottom w:val="single" w:sz="8" w:space="0" w:color="86BC25"/>
              <w:right w:val="single" w:sz="8" w:space="0" w:color="86BC25"/>
            </w:tcBorders>
            <w:shd w:val="clear" w:color="auto" w:fill="auto"/>
            <w:tcMar>
              <w:top w:w="72" w:type="dxa"/>
              <w:left w:w="144" w:type="dxa"/>
              <w:bottom w:w="72" w:type="dxa"/>
              <w:right w:w="144" w:type="dxa"/>
            </w:tcMar>
            <w:hideMark/>
          </w:tcPr>
          <w:p w14:paraId="5A9665F6"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Strengthen the financial management of the program</w:t>
            </w:r>
          </w:p>
          <w:p w14:paraId="56D26AC1"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Revise the indicator system and the way of monitoring and reporting indicators</w:t>
            </w:r>
          </w:p>
          <w:p w14:paraId="61564687"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Use financial instruments to support SMEs</w:t>
            </w:r>
          </w:p>
          <w:p w14:paraId="45DC8FC5"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Keep the rules and methodologies simple and understandable</w:t>
            </w:r>
          </w:p>
          <w:p w14:paraId="39845388"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Announced calls should allow maximum flexibility</w:t>
            </w:r>
          </w:p>
          <w:p w14:paraId="24854F84"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 xml:space="preserve">Keep the </w:t>
            </w:r>
            <w:r w:rsidRPr="004F67D0">
              <w:rPr>
                <w:lang w:val="en-US"/>
              </w:rPr>
              <w:t>Single Methodological Framework</w:t>
            </w:r>
            <w:r w:rsidRPr="004F67D0">
              <w:rPr>
                <w:bCs/>
                <w:lang w:val="en-US"/>
              </w:rPr>
              <w:t xml:space="preserve"> (JMP) only at the central level and automate sharing and exchange of data and documents </w:t>
            </w:r>
          </w:p>
          <w:p w14:paraId="29483CE4"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Assess the possibilities of complementary TA to evaluate applicants' preparedness to implement R&amp;D&amp;I projects</w:t>
            </w:r>
          </w:p>
          <w:p w14:paraId="5354CAAC" w14:textId="77777777" w:rsidR="00AC28E1" w:rsidRPr="004F67D0" w:rsidRDefault="00AC28E1" w:rsidP="00AC28E1">
            <w:pPr>
              <w:numPr>
                <w:ilvl w:val="0"/>
                <w:numId w:val="148"/>
              </w:numPr>
              <w:tabs>
                <w:tab w:val="clear" w:pos="720"/>
                <w:tab w:val="num" w:pos="539"/>
              </w:tabs>
              <w:ind w:left="179" w:hanging="270"/>
              <w:rPr>
                <w:bCs/>
                <w:lang w:val="en-US"/>
              </w:rPr>
            </w:pPr>
            <w:r w:rsidRPr="004F67D0">
              <w:rPr>
                <w:bCs/>
                <w:lang w:val="en-US"/>
              </w:rPr>
              <w:t>Evaluate options for complementary legal support for obtaining and protecting global patents</w:t>
            </w:r>
          </w:p>
          <w:p w14:paraId="76F00C23" w14:textId="77777777" w:rsidR="00AC28E1" w:rsidRPr="004F67D0" w:rsidRDefault="00AC28E1" w:rsidP="00AC28E1">
            <w:pPr>
              <w:numPr>
                <w:ilvl w:val="0"/>
                <w:numId w:val="148"/>
              </w:numPr>
              <w:tabs>
                <w:tab w:val="clear" w:pos="720"/>
                <w:tab w:val="num" w:pos="539"/>
              </w:tabs>
              <w:ind w:left="179" w:hanging="270"/>
              <w:rPr>
                <w:lang w:val="en-US"/>
              </w:rPr>
            </w:pPr>
            <w:r w:rsidRPr="004F67D0">
              <w:rPr>
                <w:bCs/>
                <w:lang w:val="en-US"/>
              </w:rPr>
              <w:t>Increase the financial allocation for the “purchase” of scientific research centers (VVP) services through innovative vouchers</w:t>
            </w:r>
          </w:p>
        </w:tc>
      </w:tr>
    </w:tbl>
    <w:p w14:paraId="32F2D6CB" w14:textId="77777777" w:rsidR="00AC28E1" w:rsidRPr="00D4686E" w:rsidRDefault="00AC28E1" w:rsidP="00AC28E1">
      <w:pPr>
        <w:rPr>
          <w:b/>
          <w:lang w:val="en-US"/>
        </w:rPr>
      </w:pPr>
    </w:p>
    <w:p w14:paraId="292709BB" w14:textId="77777777" w:rsidR="00AC28E1" w:rsidRPr="00D4686E" w:rsidRDefault="00AC28E1" w:rsidP="00AC28E1">
      <w:pPr>
        <w:rPr>
          <w:b/>
          <w:lang w:val="en-US"/>
        </w:rPr>
      </w:pPr>
    </w:p>
    <w:p w14:paraId="59AD188F" w14:textId="77777777" w:rsidR="00AC28E1" w:rsidRPr="00D4686E" w:rsidRDefault="00AC28E1" w:rsidP="00AC28E1">
      <w:pPr>
        <w:rPr>
          <w:lang w:val="en-US"/>
        </w:rPr>
      </w:pPr>
    </w:p>
    <w:p w14:paraId="609406AE" w14:textId="77777777" w:rsidR="00AC28E1" w:rsidRPr="00421A98" w:rsidRDefault="00AC28E1" w:rsidP="00AC28E1">
      <w:pPr>
        <w:rPr>
          <w:b/>
          <w:lang w:val="en-US"/>
        </w:rPr>
      </w:pPr>
    </w:p>
    <w:p w14:paraId="29D12E29" w14:textId="77777777" w:rsidR="00C029C1" w:rsidRDefault="00C029C1">
      <w:pPr>
        <w:spacing w:after="0" w:line="240" w:lineRule="auto"/>
      </w:pPr>
      <w:r>
        <w:br w:type="page"/>
      </w:r>
    </w:p>
    <w:p w14:paraId="58E4926A" w14:textId="77777777" w:rsidR="002E0C13" w:rsidRPr="00811A8E" w:rsidRDefault="002E0C13" w:rsidP="002E0C13">
      <w:pPr>
        <w:pStyle w:val="Heading1"/>
        <w:numPr>
          <w:ilvl w:val="0"/>
          <w:numId w:val="2"/>
        </w:numPr>
        <w:spacing w:after="120"/>
        <w:rPr>
          <w:rFonts w:ascii="Verdana" w:eastAsia="MingLiU" w:hAnsi="Verdana" w:cs="Times New Roman"/>
          <w:b w:val="0"/>
          <w:color w:val="auto"/>
          <w:sz w:val="60"/>
          <w:szCs w:val="60"/>
        </w:rPr>
      </w:pPr>
      <w:bookmarkStart w:id="10" w:name="_Toc11679606"/>
      <w:r w:rsidRPr="00811A8E">
        <w:rPr>
          <w:rFonts w:ascii="Verdana" w:eastAsia="MingLiU" w:hAnsi="Verdana" w:cs="Times New Roman"/>
          <w:b w:val="0"/>
          <w:color w:val="auto"/>
          <w:sz w:val="60"/>
          <w:szCs w:val="60"/>
        </w:rPr>
        <w:t>Metodický postup</w:t>
      </w:r>
      <w:bookmarkEnd w:id="7"/>
      <w:bookmarkEnd w:id="10"/>
    </w:p>
    <w:p w14:paraId="53D1DD33" w14:textId="77777777" w:rsidR="00B532D4" w:rsidRDefault="00B532D4" w:rsidP="00B532D4">
      <w:pPr>
        <w:pStyle w:val="BodyText1"/>
        <w:spacing w:after="240"/>
        <w:jc w:val="both"/>
      </w:pPr>
      <w:r>
        <w:rPr>
          <w:rFonts w:asciiTheme="majorHAnsi" w:hAnsiTheme="majorHAnsi" w:cstheme="minorBidi"/>
          <w:color w:val="00000A"/>
          <w:szCs w:val="22"/>
        </w:rPr>
        <w:t xml:space="preserve">Předkládaná Závěrečná zpráva je finálním výstupem projektu </w:t>
      </w:r>
      <w:r>
        <w:rPr>
          <w:rFonts w:asciiTheme="majorHAnsi" w:hAnsiTheme="majorHAnsi"/>
          <w:i/>
          <w:iCs/>
          <w:color w:val="00000A"/>
          <w:szCs w:val="22"/>
        </w:rPr>
        <w:t>„</w:t>
      </w:r>
      <w:r w:rsidRPr="00666530">
        <w:rPr>
          <w:rFonts w:asciiTheme="majorHAnsi" w:hAnsiTheme="majorHAnsi"/>
          <w:i/>
          <w:iCs/>
          <w:color w:val="00000A"/>
          <w:szCs w:val="22"/>
        </w:rPr>
        <w:t>Výsledková evaluace specifického cíle 1.1</w:t>
      </w:r>
      <w:r>
        <w:rPr>
          <w:rFonts w:asciiTheme="majorHAnsi" w:hAnsiTheme="majorHAnsi"/>
          <w:i/>
          <w:iCs/>
          <w:color w:val="00000A"/>
          <w:szCs w:val="22"/>
        </w:rPr>
        <w:t>:</w:t>
      </w:r>
      <w:r w:rsidRPr="00BF27C3">
        <w:rPr>
          <w:rFonts w:asciiTheme="majorHAnsi" w:hAnsiTheme="majorHAnsi"/>
          <w:iCs/>
          <w:color w:val="00000A"/>
          <w:szCs w:val="22"/>
        </w:rPr>
        <w:t xml:space="preserve"> </w:t>
      </w:r>
      <w:r w:rsidRPr="004C45B3">
        <w:rPr>
          <w:rFonts w:asciiTheme="majorHAnsi" w:hAnsiTheme="majorHAnsi"/>
          <w:i/>
          <w:iCs/>
          <w:color w:val="00000A"/>
          <w:szCs w:val="22"/>
        </w:rPr>
        <w:t>Zvýšit inovační výkonnost podniků</w:t>
      </w:r>
      <w:r w:rsidRPr="004C45B3">
        <w:rPr>
          <w:rFonts w:asciiTheme="majorHAnsi" w:hAnsiTheme="majorHAnsi" w:cstheme="minorBidi"/>
          <w:i/>
          <w:color w:val="00000A"/>
          <w:szCs w:val="22"/>
        </w:rPr>
        <w:t xml:space="preserve"> a jejich výsledky (tj. plněním indikátorů)</w:t>
      </w:r>
      <w:r>
        <w:rPr>
          <w:rFonts w:asciiTheme="majorHAnsi" w:hAnsiTheme="majorHAnsi"/>
          <w:i/>
          <w:iCs/>
          <w:color w:val="00000A"/>
          <w:szCs w:val="22"/>
        </w:rPr>
        <w:t xml:space="preserve"> </w:t>
      </w:r>
      <w:r w:rsidRPr="00666530">
        <w:rPr>
          <w:rFonts w:asciiTheme="majorHAnsi" w:hAnsiTheme="majorHAnsi"/>
          <w:i/>
          <w:iCs/>
          <w:color w:val="00000A"/>
          <w:szCs w:val="22"/>
        </w:rPr>
        <w:t>Operačního programu Podnikání a inovace pro konkurenceschopnost</w:t>
      </w:r>
      <w:r>
        <w:rPr>
          <w:rFonts w:asciiTheme="majorHAnsi" w:hAnsiTheme="majorHAnsi"/>
          <w:i/>
          <w:iCs/>
          <w:color w:val="00000A"/>
          <w:szCs w:val="22"/>
        </w:rPr>
        <w:t>“</w:t>
      </w:r>
      <w:r>
        <w:rPr>
          <w:rFonts w:asciiTheme="majorHAnsi" w:hAnsiTheme="majorHAnsi"/>
          <w:color w:val="00000A"/>
          <w:szCs w:val="22"/>
        </w:rPr>
        <w:t xml:space="preserve"> (dále také „Projekt“). </w:t>
      </w:r>
      <w:r>
        <w:rPr>
          <w:rFonts w:asciiTheme="majorHAnsi" w:hAnsiTheme="majorHAnsi" w:cstheme="minorBidi"/>
          <w:color w:val="00000A"/>
          <w:szCs w:val="22"/>
        </w:rPr>
        <w:t xml:space="preserve">Zjištění a doporučení obsažená v této Závěrečné zprávě vychází z důkladné </w:t>
      </w:r>
      <w:r w:rsidRPr="0027793F">
        <w:rPr>
          <w:rFonts w:asciiTheme="majorHAnsi" w:hAnsiTheme="majorHAnsi" w:cstheme="minorBidi"/>
          <w:color w:val="00000A"/>
          <w:szCs w:val="22"/>
        </w:rPr>
        <w:t>analýz</w:t>
      </w:r>
      <w:r>
        <w:rPr>
          <w:rFonts w:asciiTheme="majorHAnsi" w:hAnsiTheme="majorHAnsi" w:cstheme="minorBidi"/>
          <w:color w:val="00000A"/>
          <w:szCs w:val="22"/>
        </w:rPr>
        <w:t>y</w:t>
      </w:r>
      <w:r w:rsidRPr="0027793F">
        <w:rPr>
          <w:rFonts w:asciiTheme="majorHAnsi" w:hAnsiTheme="majorHAnsi" w:cstheme="minorBidi"/>
          <w:color w:val="00000A"/>
          <w:szCs w:val="22"/>
        </w:rPr>
        <w:t xml:space="preserve"> dat z MS2014+</w:t>
      </w:r>
      <w:r>
        <w:rPr>
          <w:rFonts w:asciiTheme="majorHAnsi" w:hAnsiTheme="majorHAnsi" w:cstheme="minorBidi"/>
          <w:color w:val="00000A"/>
          <w:szCs w:val="22"/>
        </w:rPr>
        <w:t>, dalších relevantních dat a dokumentů</w:t>
      </w:r>
      <w:r w:rsidRPr="0027793F">
        <w:rPr>
          <w:rFonts w:asciiTheme="majorHAnsi" w:hAnsiTheme="majorHAnsi" w:cstheme="minorBidi"/>
          <w:color w:val="00000A"/>
          <w:szCs w:val="22"/>
        </w:rPr>
        <w:t>, realizované</w:t>
      </w:r>
      <w:r>
        <w:rPr>
          <w:rFonts w:asciiTheme="majorHAnsi" w:hAnsiTheme="majorHAnsi" w:cstheme="minorBidi"/>
          <w:color w:val="00000A"/>
          <w:szCs w:val="22"/>
        </w:rPr>
        <w:t>ho</w:t>
      </w:r>
      <w:r w:rsidRPr="0027793F">
        <w:rPr>
          <w:rFonts w:asciiTheme="majorHAnsi" w:hAnsiTheme="majorHAnsi" w:cstheme="minorBidi"/>
          <w:color w:val="00000A"/>
          <w:szCs w:val="22"/>
        </w:rPr>
        <w:t xml:space="preserve"> dotazníkové</w:t>
      </w:r>
      <w:r>
        <w:rPr>
          <w:rFonts w:asciiTheme="majorHAnsi" w:hAnsiTheme="majorHAnsi" w:cstheme="minorBidi"/>
          <w:color w:val="00000A"/>
          <w:szCs w:val="22"/>
        </w:rPr>
        <w:t>ho</w:t>
      </w:r>
      <w:r w:rsidRPr="0027793F">
        <w:rPr>
          <w:rFonts w:asciiTheme="majorHAnsi" w:hAnsiTheme="majorHAnsi" w:cstheme="minorBidi"/>
          <w:color w:val="00000A"/>
          <w:szCs w:val="22"/>
        </w:rPr>
        <w:t xml:space="preserve"> šetření</w:t>
      </w:r>
      <w:r>
        <w:rPr>
          <w:rFonts w:asciiTheme="majorHAnsi" w:hAnsiTheme="majorHAnsi" w:cstheme="minorBidi"/>
          <w:color w:val="00000A"/>
          <w:szCs w:val="22"/>
        </w:rPr>
        <w:t xml:space="preserve"> (dále také „DŠ“)</w:t>
      </w:r>
      <w:r w:rsidRPr="0027793F">
        <w:rPr>
          <w:rFonts w:asciiTheme="majorHAnsi" w:hAnsiTheme="majorHAnsi" w:cstheme="minorBidi"/>
          <w:color w:val="00000A"/>
          <w:szCs w:val="22"/>
        </w:rPr>
        <w:t xml:space="preserve">, </w:t>
      </w:r>
      <w:r>
        <w:rPr>
          <w:rFonts w:asciiTheme="majorHAnsi" w:hAnsiTheme="majorHAnsi" w:cstheme="minorBidi"/>
          <w:color w:val="00000A"/>
          <w:szCs w:val="22"/>
        </w:rPr>
        <w:t xml:space="preserve">realizovaných </w:t>
      </w:r>
      <w:r w:rsidRPr="0027793F">
        <w:rPr>
          <w:rFonts w:asciiTheme="majorHAnsi" w:hAnsiTheme="majorHAnsi" w:cstheme="minorBidi"/>
          <w:color w:val="00000A"/>
          <w:szCs w:val="22"/>
        </w:rPr>
        <w:t>polostrukturovaný</w:t>
      </w:r>
      <w:r>
        <w:rPr>
          <w:rFonts w:asciiTheme="majorHAnsi" w:hAnsiTheme="majorHAnsi" w:cstheme="minorBidi"/>
          <w:color w:val="00000A"/>
          <w:szCs w:val="22"/>
        </w:rPr>
        <w:t>ch</w:t>
      </w:r>
      <w:r w:rsidRPr="0027793F">
        <w:rPr>
          <w:rFonts w:asciiTheme="majorHAnsi" w:hAnsiTheme="majorHAnsi" w:cstheme="minorBidi"/>
          <w:color w:val="00000A"/>
          <w:szCs w:val="22"/>
        </w:rPr>
        <w:t xml:space="preserve"> rozhovorů, expertní</w:t>
      </w:r>
      <w:r>
        <w:rPr>
          <w:rFonts w:asciiTheme="majorHAnsi" w:hAnsiTheme="majorHAnsi" w:cstheme="minorBidi"/>
          <w:color w:val="00000A"/>
          <w:szCs w:val="22"/>
        </w:rPr>
        <w:t>ho</w:t>
      </w:r>
      <w:r w:rsidRPr="0027793F">
        <w:rPr>
          <w:rFonts w:asciiTheme="majorHAnsi" w:hAnsiTheme="majorHAnsi" w:cstheme="minorBidi"/>
          <w:color w:val="00000A"/>
          <w:szCs w:val="22"/>
        </w:rPr>
        <w:t xml:space="preserve"> panelu </w:t>
      </w:r>
      <w:r>
        <w:rPr>
          <w:rFonts w:asciiTheme="majorHAnsi" w:hAnsiTheme="majorHAnsi" w:cstheme="minorBidi"/>
          <w:color w:val="00000A"/>
          <w:szCs w:val="22"/>
        </w:rPr>
        <w:t>s odborníky</w:t>
      </w:r>
      <w:r w:rsidRPr="008275B5">
        <w:rPr>
          <w:rFonts w:asciiTheme="majorHAnsi" w:hAnsiTheme="majorHAnsi" w:cstheme="minorBidi"/>
          <w:color w:val="00000A"/>
          <w:szCs w:val="22"/>
        </w:rPr>
        <w:t xml:space="preserve"> na podnikové inovace a průmyslový </w:t>
      </w:r>
      <w:proofErr w:type="spellStart"/>
      <w:r w:rsidRPr="008275B5">
        <w:rPr>
          <w:rFonts w:asciiTheme="majorHAnsi" w:hAnsiTheme="majorHAnsi" w:cstheme="minorBidi"/>
          <w:color w:val="00000A"/>
          <w:szCs w:val="22"/>
        </w:rPr>
        <w:t>VaV</w:t>
      </w:r>
      <w:proofErr w:type="spellEnd"/>
      <w:r>
        <w:rPr>
          <w:rFonts w:asciiTheme="majorHAnsi" w:hAnsiTheme="majorHAnsi" w:cstheme="minorBidi"/>
          <w:color w:val="00000A"/>
          <w:szCs w:val="22"/>
        </w:rPr>
        <w:t xml:space="preserve"> </w:t>
      </w:r>
      <w:r w:rsidRPr="0027793F">
        <w:rPr>
          <w:rFonts w:asciiTheme="majorHAnsi" w:hAnsiTheme="majorHAnsi" w:cstheme="minorBidi"/>
          <w:color w:val="00000A"/>
          <w:szCs w:val="22"/>
        </w:rPr>
        <w:t xml:space="preserve">a </w:t>
      </w:r>
      <w:r>
        <w:rPr>
          <w:rFonts w:asciiTheme="majorHAnsi" w:hAnsiTheme="majorHAnsi" w:cstheme="minorBidi"/>
          <w:color w:val="00000A"/>
          <w:szCs w:val="22"/>
        </w:rPr>
        <w:t>devíti</w:t>
      </w:r>
      <w:r w:rsidRPr="0027793F">
        <w:rPr>
          <w:rFonts w:asciiTheme="majorHAnsi" w:hAnsiTheme="majorHAnsi" w:cstheme="minorBidi"/>
          <w:color w:val="00000A"/>
          <w:szCs w:val="22"/>
        </w:rPr>
        <w:t xml:space="preserve"> </w:t>
      </w:r>
      <w:r>
        <w:rPr>
          <w:rFonts w:asciiTheme="majorHAnsi" w:hAnsiTheme="majorHAnsi" w:cstheme="minorBidi"/>
          <w:color w:val="00000A"/>
          <w:szCs w:val="22"/>
        </w:rPr>
        <w:t xml:space="preserve">zpracovaných </w:t>
      </w:r>
      <w:r w:rsidRPr="0027793F">
        <w:rPr>
          <w:rFonts w:asciiTheme="majorHAnsi" w:hAnsiTheme="majorHAnsi" w:cstheme="minorBidi"/>
          <w:color w:val="00000A"/>
          <w:szCs w:val="22"/>
        </w:rPr>
        <w:t>případový</w:t>
      </w:r>
      <w:r>
        <w:rPr>
          <w:rFonts w:asciiTheme="majorHAnsi" w:hAnsiTheme="majorHAnsi" w:cstheme="minorBidi"/>
          <w:color w:val="00000A"/>
          <w:szCs w:val="22"/>
        </w:rPr>
        <w:t>ch</w:t>
      </w:r>
      <w:r w:rsidRPr="0027793F">
        <w:rPr>
          <w:rFonts w:asciiTheme="majorHAnsi" w:hAnsiTheme="majorHAnsi" w:cstheme="minorBidi"/>
          <w:color w:val="00000A"/>
          <w:szCs w:val="22"/>
        </w:rPr>
        <w:t xml:space="preserve"> studií</w:t>
      </w:r>
      <w:r>
        <w:rPr>
          <w:rFonts w:asciiTheme="majorHAnsi" w:hAnsiTheme="majorHAnsi" w:cstheme="minorBidi"/>
          <w:color w:val="00000A"/>
          <w:szCs w:val="22"/>
        </w:rPr>
        <w:t>.</w:t>
      </w:r>
    </w:p>
    <w:p w14:paraId="351FCE8F" w14:textId="77777777" w:rsidR="00B532D4" w:rsidRDefault="00B532D4" w:rsidP="00B532D4">
      <w:pPr>
        <w:pStyle w:val="BodyText1"/>
        <w:spacing w:after="120"/>
        <w:jc w:val="both"/>
        <w:rPr>
          <w:rFonts w:asciiTheme="majorHAnsi" w:hAnsiTheme="majorHAnsi" w:cstheme="minorBidi"/>
          <w:color w:val="00000A"/>
          <w:szCs w:val="22"/>
        </w:rPr>
      </w:pPr>
      <w:r>
        <w:rPr>
          <w:rFonts w:asciiTheme="majorHAnsi" w:hAnsiTheme="majorHAnsi" w:cstheme="minorBidi"/>
          <w:color w:val="00000A"/>
          <w:szCs w:val="22"/>
        </w:rPr>
        <w:t>Tato Závěrečná zpráva v souladu s požadavky Zadavatele obsahuje následující části:</w:t>
      </w:r>
    </w:p>
    <w:p w14:paraId="20442668" w14:textId="77777777" w:rsidR="00B532D4" w:rsidRPr="00016C82" w:rsidRDefault="00B532D4" w:rsidP="00B532D4">
      <w:pPr>
        <w:pStyle w:val="BodyText1"/>
        <w:numPr>
          <w:ilvl w:val="0"/>
          <w:numId w:val="6"/>
        </w:numPr>
        <w:spacing w:after="120"/>
        <w:jc w:val="both"/>
        <w:rPr>
          <w:rFonts w:asciiTheme="majorHAnsi" w:hAnsiTheme="majorHAnsi" w:cstheme="minorBidi"/>
          <w:color w:val="00000A"/>
          <w:szCs w:val="22"/>
        </w:rPr>
      </w:pPr>
      <w:r>
        <w:rPr>
          <w:rFonts w:asciiTheme="majorHAnsi" w:hAnsiTheme="majorHAnsi" w:cstheme="minorBidi"/>
          <w:color w:val="00000A"/>
          <w:szCs w:val="22"/>
        </w:rPr>
        <w:t>Stručný popis postupu prací na Projektu, resp. použitých evaluačních metod (kapitola 2)</w:t>
      </w:r>
    </w:p>
    <w:p w14:paraId="7182312E" w14:textId="77777777" w:rsidR="00B532D4" w:rsidRPr="00016C82" w:rsidRDefault="00B532D4" w:rsidP="00B532D4">
      <w:pPr>
        <w:pStyle w:val="BodyText1"/>
        <w:numPr>
          <w:ilvl w:val="0"/>
          <w:numId w:val="6"/>
        </w:numPr>
        <w:spacing w:after="120"/>
        <w:jc w:val="both"/>
        <w:rPr>
          <w:rFonts w:asciiTheme="majorHAnsi" w:hAnsiTheme="majorHAnsi" w:cstheme="minorBidi"/>
          <w:color w:val="00000A"/>
          <w:szCs w:val="22"/>
        </w:rPr>
      </w:pPr>
      <w:r>
        <w:rPr>
          <w:rFonts w:asciiTheme="majorHAnsi" w:hAnsiTheme="majorHAnsi" w:cstheme="minorBidi"/>
          <w:color w:val="00000A"/>
          <w:szCs w:val="22"/>
        </w:rPr>
        <w:t>Odpovědi na jednotlivé evaluační otázky (kapitoly 3 - 12)</w:t>
      </w:r>
    </w:p>
    <w:p w14:paraId="2AA5A3E7" w14:textId="77777777" w:rsidR="00B532D4" w:rsidRPr="00016C82" w:rsidRDefault="00B532D4" w:rsidP="00B532D4">
      <w:pPr>
        <w:pStyle w:val="BodyText1"/>
        <w:numPr>
          <w:ilvl w:val="0"/>
          <w:numId w:val="6"/>
        </w:numPr>
        <w:spacing w:after="120"/>
        <w:jc w:val="both"/>
        <w:rPr>
          <w:rFonts w:asciiTheme="majorHAnsi" w:hAnsiTheme="majorHAnsi" w:cstheme="minorBidi"/>
          <w:color w:val="00000A"/>
          <w:szCs w:val="22"/>
        </w:rPr>
      </w:pPr>
      <w:r>
        <w:rPr>
          <w:rFonts w:asciiTheme="majorHAnsi" w:hAnsiTheme="majorHAnsi" w:cstheme="minorBidi"/>
          <w:color w:val="00000A"/>
          <w:szCs w:val="22"/>
        </w:rPr>
        <w:t>Syntézu zjištění a návrh doporučení pro stávající a nadcházející programové období (kapitola 13)</w:t>
      </w:r>
    </w:p>
    <w:p w14:paraId="2F8DA7DD" w14:textId="77777777" w:rsidR="002E0C13" w:rsidRDefault="00B532D4" w:rsidP="00CE2FF0">
      <w:pPr>
        <w:pStyle w:val="BodyText1"/>
        <w:numPr>
          <w:ilvl w:val="0"/>
          <w:numId w:val="6"/>
        </w:numPr>
        <w:spacing w:after="120" w:line="276" w:lineRule="auto"/>
        <w:jc w:val="both"/>
      </w:pPr>
      <w:r w:rsidRPr="00DF4FA8">
        <w:rPr>
          <w:rFonts w:asciiTheme="majorHAnsi" w:hAnsiTheme="majorHAnsi" w:cstheme="minorBidi"/>
          <w:color w:val="00000A"/>
          <w:szCs w:val="22"/>
        </w:rPr>
        <w:t>Přílohy shrnující zjištění z jednotlivých evaluačních metod</w:t>
      </w:r>
    </w:p>
    <w:tbl>
      <w:tblPr>
        <w:tblStyle w:val="Tabulkaseznamu3zvraznn11"/>
        <w:tblW w:w="5000" w:type="pct"/>
        <w:tblBorders>
          <w:left w:val="none" w:sz="0" w:space="0" w:color="auto"/>
          <w:right w:val="none" w:sz="0" w:space="0" w:color="auto"/>
          <w:insideH w:val="single" w:sz="4" w:space="0" w:color="86BC25" w:themeColor="accent1"/>
        </w:tblBorders>
        <w:tblCellMar>
          <w:left w:w="57" w:type="dxa"/>
          <w:right w:w="57" w:type="dxa"/>
        </w:tblCellMar>
        <w:tblLook w:val="04A0" w:firstRow="1" w:lastRow="0" w:firstColumn="1" w:lastColumn="0" w:noHBand="0" w:noVBand="1"/>
      </w:tblPr>
      <w:tblGrid>
        <w:gridCol w:w="532"/>
        <w:gridCol w:w="1879"/>
        <w:gridCol w:w="7227"/>
      </w:tblGrid>
      <w:tr w:rsidR="00B2069E" w:rsidRPr="002B634F" w14:paraId="7BC2A321" w14:textId="77777777" w:rsidTr="00B206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6" w:type="pct"/>
            <w:vAlign w:val="center"/>
          </w:tcPr>
          <w:p w14:paraId="686DA60B" w14:textId="77777777" w:rsidR="00B2069E" w:rsidRPr="004230E5" w:rsidRDefault="00B2069E" w:rsidP="005E4A54">
            <w:pPr>
              <w:pStyle w:val="BodyText1"/>
              <w:spacing w:after="120"/>
              <w:rPr>
                <w:rFonts w:asciiTheme="majorHAnsi" w:hAnsiTheme="majorHAnsi" w:cstheme="minorBidi"/>
                <w:color w:val="FFFFFF" w:themeColor="background1"/>
                <w:szCs w:val="22"/>
              </w:rPr>
            </w:pPr>
            <w:r>
              <w:rPr>
                <w:rFonts w:asciiTheme="majorHAnsi" w:hAnsiTheme="majorHAnsi" w:cstheme="minorBidi"/>
                <w:color w:val="FFFFFF" w:themeColor="background1"/>
                <w:szCs w:val="22"/>
              </w:rPr>
              <w:t>Č.</w:t>
            </w:r>
          </w:p>
        </w:tc>
        <w:tc>
          <w:tcPr>
            <w:tcW w:w="975" w:type="pct"/>
            <w:vAlign w:val="center"/>
          </w:tcPr>
          <w:p w14:paraId="5187EF41" w14:textId="77777777" w:rsidR="00B2069E" w:rsidRPr="004230E5" w:rsidRDefault="00B2069E" w:rsidP="005E4A54">
            <w:pPr>
              <w:pStyle w:val="BodyText1"/>
              <w:spacing w:after="120"/>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color w:val="FFFFFF" w:themeColor="background1"/>
                <w:szCs w:val="22"/>
              </w:rPr>
            </w:pPr>
            <w:r w:rsidRPr="004230E5">
              <w:rPr>
                <w:rFonts w:asciiTheme="majorHAnsi" w:hAnsiTheme="majorHAnsi" w:cstheme="minorBidi"/>
                <w:color w:val="FFFFFF" w:themeColor="background1"/>
                <w:szCs w:val="22"/>
              </w:rPr>
              <w:t>Evaluační metoda</w:t>
            </w:r>
          </w:p>
        </w:tc>
        <w:tc>
          <w:tcPr>
            <w:tcW w:w="3749" w:type="pct"/>
            <w:vAlign w:val="center"/>
          </w:tcPr>
          <w:p w14:paraId="66F262BC" w14:textId="77777777" w:rsidR="00B2069E" w:rsidRPr="002B634F" w:rsidRDefault="00B2069E" w:rsidP="005E4A54">
            <w:pPr>
              <w:pStyle w:val="BodyText1"/>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Bidi"/>
                <w:color w:val="FFFFFF" w:themeColor="background1"/>
                <w:szCs w:val="22"/>
              </w:rPr>
            </w:pPr>
            <w:r>
              <w:rPr>
                <w:rFonts w:asciiTheme="majorHAnsi" w:hAnsiTheme="majorHAnsi" w:cstheme="minorBidi"/>
                <w:color w:val="FFFFFF" w:themeColor="background1"/>
                <w:szCs w:val="22"/>
              </w:rPr>
              <w:t>Komentář</w:t>
            </w:r>
          </w:p>
        </w:tc>
      </w:tr>
      <w:tr w:rsidR="00B2069E" w14:paraId="3C387AAF" w14:textId="77777777" w:rsidTr="00B2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74F92B36"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1</w:t>
            </w:r>
          </w:p>
        </w:tc>
        <w:tc>
          <w:tcPr>
            <w:tcW w:w="975" w:type="pct"/>
          </w:tcPr>
          <w:p w14:paraId="15FBAB22" w14:textId="77777777" w:rsidR="00B2069E" w:rsidRPr="00DC3CD2" w:rsidRDefault="00B2069E" w:rsidP="002D5ADE">
            <w:pPr>
              <w:pStyle w:val="BodyText1"/>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Analýza dat MS2014+</w:t>
            </w:r>
          </w:p>
        </w:tc>
        <w:tc>
          <w:tcPr>
            <w:tcW w:w="3749" w:type="pct"/>
          </w:tcPr>
          <w:p w14:paraId="72E0FC35" w14:textId="77777777" w:rsidR="00B2069E" w:rsidRDefault="00B2069E" w:rsidP="00AA02CD">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Byla provedena a</w:t>
            </w:r>
            <w:r w:rsidRPr="0059253D">
              <w:rPr>
                <w:rFonts w:asciiTheme="majorHAnsi" w:hAnsiTheme="majorHAnsi" w:cstheme="minorBidi"/>
                <w:color w:val="00000A"/>
                <w:szCs w:val="22"/>
              </w:rPr>
              <w:t xml:space="preserve">nalýza </w:t>
            </w:r>
            <w:r>
              <w:rPr>
                <w:rFonts w:asciiTheme="majorHAnsi" w:hAnsiTheme="majorHAnsi" w:cstheme="minorBidi"/>
                <w:color w:val="00000A"/>
                <w:szCs w:val="22"/>
              </w:rPr>
              <w:t xml:space="preserve">projektových </w:t>
            </w:r>
            <w:r w:rsidRPr="0059253D">
              <w:rPr>
                <w:rFonts w:asciiTheme="majorHAnsi" w:hAnsiTheme="majorHAnsi" w:cstheme="minorBidi"/>
                <w:color w:val="00000A"/>
                <w:szCs w:val="22"/>
              </w:rPr>
              <w:t>dat</w:t>
            </w:r>
            <w:r>
              <w:rPr>
                <w:rFonts w:asciiTheme="majorHAnsi" w:hAnsiTheme="majorHAnsi" w:cstheme="minorBidi"/>
                <w:color w:val="00000A"/>
                <w:szCs w:val="22"/>
              </w:rPr>
              <w:t xml:space="preserve"> z </w:t>
            </w:r>
            <w:r w:rsidRPr="0059253D">
              <w:rPr>
                <w:rFonts w:asciiTheme="majorHAnsi" w:hAnsiTheme="majorHAnsi" w:cstheme="minorBidi"/>
                <w:color w:val="00000A"/>
                <w:szCs w:val="22"/>
              </w:rPr>
              <w:t>monitorovacího systému MS2014+ vycház</w:t>
            </w:r>
            <w:r>
              <w:rPr>
                <w:rFonts w:asciiTheme="majorHAnsi" w:hAnsiTheme="majorHAnsi" w:cstheme="minorBidi"/>
                <w:color w:val="00000A"/>
                <w:szCs w:val="22"/>
              </w:rPr>
              <w:t>ející z </w:t>
            </w:r>
            <w:r w:rsidRPr="0059253D">
              <w:rPr>
                <w:rFonts w:asciiTheme="majorHAnsi" w:hAnsiTheme="majorHAnsi" w:cstheme="minorBidi"/>
                <w:color w:val="00000A"/>
                <w:szCs w:val="22"/>
              </w:rPr>
              <w:t>datov</w:t>
            </w:r>
            <w:r>
              <w:rPr>
                <w:rFonts w:asciiTheme="majorHAnsi" w:hAnsiTheme="majorHAnsi" w:cstheme="minorBidi"/>
                <w:color w:val="00000A"/>
                <w:szCs w:val="22"/>
              </w:rPr>
              <w:t>ých sestav</w:t>
            </w:r>
            <w:r w:rsidRPr="0059253D">
              <w:rPr>
                <w:rFonts w:asciiTheme="majorHAnsi" w:hAnsiTheme="majorHAnsi" w:cstheme="minorBidi"/>
                <w:color w:val="00000A"/>
                <w:szCs w:val="22"/>
              </w:rPr>
              <w:t xml:space="preserve"> </w:t>
            </w:r>
            <w:r>
              <w:rPr>
                <w:rFonts w:asciiTheme="majorHAnsi" w:hAnsiTheme="majorHAnsi" w:cstheme="minorBidi"/>
                <w:color w:val="00000A"/>
                <w:szCs w:val="22"/>
              </w:rPr>
              <w:t>vytvořených</w:t>
            </w:r>
            <w:r w:rsidRPr="0059253D">
              <w:rPr>
                <w:rFonts w:asciiTheme="majorHAnsi" w:hAnsiTheme="majorHAnsi" w:cstheme="minorBidi"/>
                <w:color w:val="00000A"/>
                <w:szCs w:val="22"/>
              </w:rPr>
              <w:t xml:space="preserve"> ke dni 8. </w:t>
            </w:r>
            <w:r>
              <w:rPr>
                <w:rFonts w:asciiTheme="majorHAnsi" w:hAnsiTheme="majorHAnsi" w:cstheme="minorBidi"/>
                <w:color w:val="00000A"/>
                <w:szCs w:val="22"/>
              </w:rPr>
              <w:t>1.</w:t>
            </w:r>
            <w:r w:rsidRPr="0059253D">
              <w:rPr>
                <w:rFonts w:asciiTheme="majorHAnsi" w:hAnsiTheme="majorHAnsi" w:cstheme="minorBidi"/>
                <w:color w:val="00000A"/>
                <w:szCs w:val="22"/>
              </w:rPr>
              <w:t xml:space="preserve"> 2019.</w:t>
            </w:r>
            <w:r>
              <w:rPr>
                <w:rFonts w:asciiTheme="majorHAnsi" w:hAnsiTheme="majorHAnsi" w:cstheme="minorBidi"/>
                <w:color w:val="00000A"/>
                <w:szCs w:val="22"/>
              </w:rPr>
              <w:t xml:space="preserve"> Cílem analýzy byla především kategorizace projektů, v</w:t>
            </w:r>
            <w:r w:rsidRPr="00A67C89">
              <w:rPr>
                <w:rFonts w:asciiTheme="majorHAnsi" w:hAnsiTheme="majorHAnsi" w:cstheme="minorBidi"/>
                <w:color w:val="00000A"/>
                <w:szCs w:val="22"/>
              </w:rPr>
              <w:t xml:space="preserve">yhodnocení </w:t>
            </w:r>
            <w:r>
              <w:rPr>
                <w:rFonts w:asciiTheme="majorHAnsi" w:hAnsiTheme="majorHAnsi" w:cstheme="minorBidi"/>
                <w:color w:val="00000A"/>
                <w:szCs w:val="22"/>
              </w:rPr>
              <w:t xml:space="preserve">dosažených a plánovaných hodnot </w:t>
            </w:r>
            <w:r w:rsidRPr="00A67C89">
              <w:rPr>
                <w:rFonts w:asciiTheme="majorHAnsi" w:hAnsiTheme="majorHAnsi" w:cstheme="minorBidi"/>
                <w:color w:val="00000A"/>
                <w:szCs w:val="22"/>
              </w:rPr>
              <w:t>výstupových</w:t>
            </w:r>
            <w:r>
              <w:rPr>
                <w:rFonts w:asciiTheme="majorHAnsi" w:hAnsiTheme="majorHAnsi" w:cstheme="minorBidi"/>
                <w:color w:val="00000A"/>
                <w:szCs w:val="22"/>
              </w:rPr>
              <w:t xml:space="preserve"> a </w:t>
            </w:r>
            <w:r w:rsidRPr="00A67C89">
              <w:rPr>
                <w:rFonts w:asciiTheme="majorHAnsi" w:hAnsiTheme="majorHAnsi" w:cstheme="minorBidi"/>
                <w:color w:val="00000A"/>
                <w:szCs w:val="22"/>
              </w:rPr>
              <w:t>výsledkových indikátorů</w:t>
            </w:r>
            <w:r>
              <w:rPr>
                <w:rFonts w:asciiTheme="majorHAnsi" w:hAnsiTheme="majorHAnsi" w:cstheme="minorBidi"/>
                <w:color w:val="00000A"/>
                <w:szCs w:val="22"/>
              </w:rPr>
              <w:t>, p</w:t>
            </w:r>
            <w:r w:rsidRPr="00A67C89">
              <w:rPr>
                <w:rFonts w:asciiTheme="majorHAnsi" w:hAnsiTheme="majorHAnsi" w:cstheme="minorBidi"/>
                <w:color w:val="00000A"/>
                <w:szCs w:val="22"/>
              </w:rPr>
              <w:t>orovnání seznamu projektů</w:t>
            </w:r>
            <w:r>
              <w:rPr>
                <w:rFonts w:asciiTheme="majorHAnsi" w:hAnsiTheme="majorHAnsi" w:cstheme="minorBidi"/>
                <w:color w:val="00000A"/>
                <w:szCs w:val="22"/>
              </w:rPr>
              <w:t xml:space="preserve"> a </w:t>
            </w:r>
            <w:r w:rsidRPr="00A67C89">
              <w:rPr>
                <w:rFonts w:asciiTheme="majorHAnsi" w:hAnsiTheme="majorHAnsi" w:cstheme="minorBidi"/>
                <w:color w:val="00000A"/>
                <w:szCs w:val="22"/>
              </w:rPr>
              <w:t>jejich tematického zaměření se strat</w:t>
            </w:r>
            <w:r>
              <w:rPr>
                <w:rFonts w:asciiTheme="majorHAnsi" w:hAnsiTheme="majorHAnsi" w:cstheme="minorBidi"/>
                <w:color w:val="00000A"/>
                <w:szCs w:val="22"/>
              </w:rPr>
              <w:t>egickými cíli RIS3 a typologická a finanční analýza</w:t>
            </w:r>
            <w:r w:rsidRPr="00A67C89">
              <w:rPr>
                <w:rFonts w:asciiTheme="majorHAnsi" w:hAnsiTheme="majorHAnsi" w:cstheme="minorBidi"/>
                <w:color w:val="00000A"/>
                <w:szCs w:val="22"/>
              </w:rPr>
              <w:t xml:space="preserve"> projektů roztříděných dle</w:t>
            </w:r>
            <w:r>
              <w:rPr>
                <w:rFonts w:asciiTheme="majorHAnsi" w:hAnsiTheme="majorHAnsi" w:cstheme="minorBidi"/>
                <w:color w:val="00000A"/>
                <w:szCs w:val="22"/>
              </w:rPr>
              <w:t xml:space="preserve"> strategických cílů RIS3.</w:t>
            </w:r>
            <w:r w:rsidRPr="00A67C89">
              <w:rPr>
                <w:rFonts w:asciiTheme="majorHAnsi" w:hAnsiTheme="majorHAnsi" w:cstheme="minorBidi"/>
                <w:color w:val="00000A"/>
                <w:szCs w:val="22"/>
              </w:rPr>
              <w:t xml:space="preserve"> </w:t>
            </w:r>
            <w:r>
              <w:rPr>
                <w:rFonts w:asciiTheme="majorHAnsi" w:hAnsiTheme="majorHAnsi" w:cstheme="minorBidi"/>
                <w:color w:val="00000A"/>
                <w:szCs w:val="22"/>
              </w:rPr>
              <w:t xml:space="preserve">Blíže k výsledkům analýzy viz </w:t>
            </w:r>
            <w:r w:rsidR="00A37C33" w:rsidRPr="00A37C33">
              <w:rPr>
                <w:rFonts w:asciiTheme="majorHAnsi" w:hAnsiTheme="majorHAnsi" w:cstheme="minorBidi"/>
                <w:i/>
                <w:color w:val="00000A"/>
                <w:szCs w:val="22"/>
              </w:rPr>
              <w:t>Příloha 1</w:t>
            </w:r>
            <w:r w:rsidR="00A37C33">
              <w:rPr>
                <w:rFonts w:asciiTheme="majorHAnsi" w:hAnsiTheme="majorHAnsi" w:cstheme="minorBidi"/>
                <w:color w:val="00000A"/>
                <w:szCs w:val="22"/>
              </w:rPr>
              <w:t>.</w:t>
            </w:r>
          </w:p>
        </w:tc>
      </w:tr>
      <w:tr w:rsidR="00B2069E" w14:paraId="2ACA0986" w14:textId="77777777" w:rsidTr="00B2069E">
        <w:tc>
          <w:tcPr>
            <w:cnfStyle w:val="001000000000" w:firstRow="0" w:lastRow="0" w:firstColumn="1" w:lastColumn="0" w:oddVBand="0" w:evenVBand="0" w:oddHBand="0" w:evenHBand="0" w:firstRowFirstColumn="0" w:firstRowLastColumn="0" w:lastRowFirstColumn="0" w:lastRowLastColumn="0"/>
            <w:tcW w:w="276" w:type="pct"/>
          </w:tcPr>
          <w:p w14:paraId="5DC7681C"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2</w:t>
            </w:r>
          </w:p>
        </w:tc>
        <w:tc>
          <w:tcPr>
            <w:tcW w:w="975" w:type="pct"/>
          </w:tcPr>
          <w:p w14:paraId="45F1E086" w14:textId="77777777" w:rsidR="00B2069E" w:rsidRPr="00DC3CD2" w:rsidRDefault="00B2069E" w:rsidP="002D5ADE">
            <w:pPr>
              <w:pStyle w:val="BodyText1"/>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Analýza sekundárních dat</w:t>
            </w:r>
            <w:r>
              <w:rPr>
                <w:rFonts w:asciiTheme="majorHAnsi" w:hAnsiTheme="majorHAnsi" w:cstheme="minorBidi"/>
                <w:b/>
                <w:color w:val="00000A"/>
                <w:szCs w:val="22"/>
              </w:rPr>
              <w:t xml:space="preserve"> a dokumentů</w:t>
            </w:r>
          </w:p>
        </w:tc>
        <w:tc>
          <w:tcPr>
            <w:tcW w:w="3749" w:type="pct"/>
          </w:tcPr>
          <w:p w14:paraId="6B3F5329" w14:textId="77777777" w:rsidR="00B2069E" w:rsidRDefault="00B2069E" w:rsidP="002D5ADE">
            <w:pPr>
              <w:pStyle w:val="BodyText1"/>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Dodavatel zpracoval analýzu dokumentů poskytnutých ze strany Zadavatele a zrealizoval sběr a analýzu dalších relevantních dokumentů obsahujících data a informace o inovační výkonnosti českých podniků. Jednalo se především o analýzy zpracované pro Zadavatele, data ČSÚ k výdajům na výzkum a vývoj uskutečněným v podnikatelském sektoru, data z výročních zpráv RIS3 a zprávu Národního kontrolního úřadu.</w:t>
            </w:r>
          </w:p>
          <w:p w14:paraId="77664DF8" w14:textId="77777777" w:rsidR="00B2069E" w:rsidRDefault="00B2069E" w:rsidP="00AA02CD">
            <w:pPr>
              <w:pStyle w:val="BodyText1"/>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 xml:space="preserve">Blíže k analýze sekundárních dat a dokumentů viz </w:t>
            </w:r>
            <w:r w:rsidR="00A37C33">
              <w:rPr>
                <w:rFonts w:asciiTheme="majorHAnsi" w:hAnsiTheme="majorHAnsi" w:cstheme="minorBidi"/>
                <w:i/>
                <w:color w:val="00000A"/>
                <w:szCs w:val="22"/>
              </w:rPr>
              <w:t>Příloha 1</w:t>
            </w:r>
            <w:r>
              <w:rPr>
                <w:rFonts w:asciiTheme="majorHAnsi" w:hAnsiTheme="majorHAnsi" w:cstheme="minorBidi"/>
                <w:i/>
                <w:color w:val="00000A"/>
                <w:szCs w:val="22"/>
              </w:rPr>
              <w:t>.</w:t>
            </w:r>
          </w:p>
        </w:tc>
      </w:tr>
      <w:tr w:rsidR="00B2069E" w14:paraId="2E399D04" w14:textId="77777777" w:rsidTr="00B2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23DC18D9"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3</w:t>
            </w:r>
          </w:p>
        </w:tc>
        <w:tc>
          <w:tcPr>
            <w:tcW w:w="975" w:type="pct"/>
          </w:tcPr>
          <w:p w14:paraId="4DB1F507" w14:textId="77777777" w:rsidR="00B2069E" w:rsidRPr="00DC3CD2" w:rsidRDefault="00B2069E" w:rsidP="002D5ADE">
            <w:pPr>
              <w:pStyle w:val="BodyText1"/>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Dotazníkové šetření</w:t>
            </w:r>
          </w:p>
        </w:tc>
        <w:tc>
          <w:tcPr>
            <w:tcW w:w="3749" w:type="pct"/>
          </w:tcPr>
          <w:p w14:paraId="3F11F039" w14:textId="77777777" w:rsidR="00B2069E" w:rsidRDefault="00B2069E" w:rsidP="00AA02CD">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Dotazníkové šetření mezi realizátory projektů podpořených z programů podpory Inovace, Aplikace a Potenciál bylo realizováno ve dnech 6. 2. – 25. 2. 2019 prostřednictvím on-line</w:t>
            </w:r>
            <w:r w:rsidRPr="00D004EF">
              <w:rPr>
                <w:rFonts w:asciiTheme="majorHAnsi" w:hAnsiTheme="majorHAnsi" w:cstheme="minorBidi"/>
                <w:color w:val="00000A"/>
                <w:szCs w:val="22"/>
              </w:rPr>
              <w:t xml:space="preserve"> dotazníku</w:t>
            </w:r>
            <w:r>
              <w:rPr>
                <w:rFonts w:asciiTheme="majorHAnsi" w:hAnsiTheme="majorHAnsi" w:cstheme="minorBidi"/>
                <w:color w:val="00000A"/>
                <w:szCs w:val="22"/>
              </w:rPr>
              <w:t xml:space="preserve">. Šetření se zúčastnilo 122 respondentů. Návratnost dotazníku odpovídá běžné praxi a vzhledem k zastoupení respondentů napříč programy podpory, geografickými regiony i podniky různé velikosti lze výsledky šetření považovat za reprezentativní. Blíže k výsledkům dotazníkového šetření viz </w:t>
            </w:r>
            <w:r w:rsidR="00A37C33" w:rsidRPr="00A37C33">
              <w:rPr>
                <w:rFonts w:asciiTheme="majorHAnsi" w:hAnsiTheme="majorHAnsi" w:cstheme="minorBidi"/>
                <w:i/>
                <w:color w:val="00000A"/>
                <w:szCs w:val="22"/>
              </w:rPr>
              <w:t>Příloha 2</w:t>
            </w:r>
            <w:r>
              <w:rPr>
                <w:rFonts w:asciiTheme="majorHAnsi" w:hAnsiTheme="majorHAnsi" w:cstheme="minorBidi"/>
                <w:color w:val="00000A"/>
                <w:szCs w:val="22"/>
              </w:rPr>
              <w:t xml:space="preserve">. </w:t>
            </w:r>
          </w:p>
        </w:tc>
      </w:tr>
      <w:tr w:rsidR="00B2069E" w14:paraId="4699A6D3" w14:textId="77777777" w:rsidTr="00B2069E">
        <w:tc>
          <w:tcPr>
            <w:cnfStyle w:val="001000000000" w:firstRow="0" w:lastRow="0" w:firstColumn="1" w:lastColumn="0" w:oddVBand="0" w:evenVBand="0" w:oddHBand="0" w:evenHBand="0" w:firstRowFirstColumn="0" w:firstRowLastColumn="0" w:lastRowFirstColumn="0" w:lastRowLastColumn="0"/>
            <w:tcW w:w="276" w:type="pct"/>
          </w:tcPr>
          <w:p w14:paraId="734961EA"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4</w:t>
            </w:r>
          </w:p>
        </w:tc>
        <w:tc>
          <w:tcPr>
            <w:tcW w:w="975" w:type="pct"/>
          </w:tcPr>
          <w:p w14:paraId="613E4870" w14:textId="77777777" w:rsidR="00B2069E" w:rsidRPr="00DC3CD2" w:rsidRDefault="00B2069E" w:rsidP="002D5ADE">
            <w:pPr>
              <w:pStyle w:val="BodyText1"/>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Expertní panel</w:t>
            </w:r>
          </w:p>
        </w:tc>
        <w:tc>
          <w:tcPr>
            <w:tcW w:w="3749" w:type="pct"/>
          </w:tcPr>
          <w:p w14:paraId="2D6DE966" w14:textId="77777777" w:rsidR="00B2069E" w:rsidRPr="00BB4832" w:rsidRDefault="00B2069E" w:rsidP="00BB4832">
            <w:pPr>
              <w:pStyle w:val="BodyText1"/>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00000A"/>
                <w:szCs w:val="22"/>
              </w:rPr>
            </w:pPr>
            <w:r w:rsidRPr="00BB4832">
              <w:rPr>
                <w:rFonts w:asciiTheme="majorHAnsi" w:hAnsiTheme="majorHAnsi" w:cstheme="minorBidi"/>
                <w:color w:val="00000A"/>
                <w:szCs w:val="22"/>
              </w:rPr>
              <w:t>Expertní panel, jehož cílem bylo vyhodnocení současného stavu</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vývoje v oblasti inovační výkonnosti českých podniků, vývoje v uplatňování průmyslového výzkumu</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experimentálního vývoje</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 xml:space="preserve">vývoje kapacit českých podniků pro realizaci vlastních </w:t>
            </w:r>
            <w:proofErr w:type="spellStart"/>
            <w:r w:rsidRPr="00BB4832">
              <w:rPr>
                <w:rFonts w:asciiTheme="majorHAnsi" w:hAnsiTheme="majorHAnsi" w:cstheme="minorBidi"/>
                <w:color w:val="00000A"/>
                <w:szCs w:val="22"/>
              </w:rPr>
              <w:t>VaVaI</w:t>
            </w:r>
            <w:proofErr w:type="spellEnd"/>
            <w:r w:rsidRPr="00BB4832">
              <w:rPr>
                <w:rFonts w:asciiTheme="majorHAnsi" w:hAnsiTheme="majorHAnsi" w:cstheme="minorBidi"/>
                <w:color w:val="00000A"/>
                <w:szCs w:val="22"/>
              </w:rPr>
              <w:t xml:space="preserve"> aktivit, se uskutečnil dne 6. 3. 2019. Účastnili se ho celkem 8 účastníků</w:t>
            </w:r>
            <w:r>
              <w:rPr>
                <w:rFonts w:asciiTheme="majorHAnsi" w:hAnsiTheme="majorHAnsi" w:cstheme="minorBidi"/>
                <w:color w:val="00000A"/>
                <w:szCs w:val="22"/>
              </w:rPr>
              <w:t xml:space="preserve"> z </w:t>
            </w:r>
            <w:r w:rsidRPr="00BB4832">
              <w:rPr>
                <w:rFonts w:asciiTheme="majorHAnsi" w:hAnsiTheme="majorHAnsi" w:cstheme="minorBidi"/>
                <w:color w:val="00000A"/>
                <w:szCs w:val="22"/>
              </w:rPr>
              <w:t>řad zástupců podnikatelských svazů</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asociací, expertů na podnikové inovace</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 xml:space="preserve">průmyslový </w:t>
            </w:r>
            <w:proofErr w:type="spellStart"/>
            <w:r w:rsidRPr="00BB4832">
              <w:rPr>
                <w:rFonts w:asciiTheme="majorHAnsi" w:hAnsiTheme="majorHAnsi" w:cstheme="minorBidi"/>
                <w:color w:val="00000A"/>
                <w:szCs w:val="22"/>
              </w:rPr>
              <w:t>VaV</w:t>
            </w:r>
            <w:proofErr w:type="spellEnd"/>
            <w:r w:rsidRPr="00BB4832">
              <w:rPr>
                <w:rFonts w:asciiTheme="majorHAnsi" w:hAnsiTheme="majorHAnsi" w:cstheme="minorBidi"/>
                <w:color w:val="00000A"/>
                <w:szCs w:val="22"/>
              </w:rPr>
              <w:t>, zástupců vysoké školy</w:t>
            </w:r>
            <w:r>
              <w:rPr>
                <w:rFonts w:asciiTheme="majorHAnsi" w:hAnsiTheme="majorHAnsi" w:cstheme="minorBidi"/>
                <w:color w:val="00000A"/>
                <w:szCs w:val="22"/>
              </w:rPr>
              <w:t xml:space="preserve"> a </w:t>
            </w:r>
            <w:r w:rsidRPr="00BB4832">
              <w:rPr>
                <w:rFonts w:asciiTheme="majorHAnsi" w:hAnsiTheme="majorHAnsi" w:cstheme="minorBidi"/>
                <w:color w:val="00000A"/>
                <w:szCs w:val="22"/>
              </w:rPr>
              <w:t>zástupců příjemců podpory.</w:t>
            </w:r>
          </w:p>
          <w:p w14:paraId="6C9FB96E" w14:textId="77777777" w:rsidR="00B2069E" w:rsidRPr="001B1C95" w:rsidRDefault="00B2069E" w:rsidP="00AA02CD">
            <w:pPr>
              <w:pStyle w:val="BodyText1"/>
              <w:spacing w:after="120"/>
              <w:jc w:val="both"/>
              <w:cnfStyle w:val="000000000000" w:firstRow="0" w:lastRow="0" w:firstColumn="0" w:lastColumn="0" w:oddVBand="0" w:evenVBand="0" w:oddHBand="0" w:evenHBand="0" w:firstRowFirstColumn="0" w:firstRowLastColumn="0" w:lastRowFirstColumn="0" w:lastRowLastColumn="0"/>
              <w:rPr>
                <w:szCs w:val="18"/>
              </w:rPr>
            </w:pPr>
            <w:r w:rsidRPr="00BB4832">
              <w:rPr>
                <w:rFonts w:asciiTheme="majorHAnsi" w:hAnsiTheme="majorHAnsi" w:cstheme="minorBidi"/>
                <w:color w:val="00000A"/>
                <w:szCs w:val="22"/>
              </w:rPr>
              <w:t>Blíže</w:t>
            </w:r>
            <w:r>
              <w:rPr>
                <w:rFonts w:asciiTheme="majorHAnsi" w:hAnsiTheme="majorHAnsi" w:cstheme="minorBidi"/>
                <w:color w:val="00000A"/>
                <w:szCs w:val="22"/>
              </w:rPr>
              <w:t xml:space="preserve"> k </w:t>
            </w:r>
            <w:r w:rsidRPr="00BB4832">
              <w:rPr>
                <w:rFonts w:asciiTheme="majorHAnsi" w:hAnsiTheme="majorHAnsi" w:cstheme="minorBidi"/>
                <w:color w:val="00000A"/>
                <w:szCs w:val="22"/>
              </w:rPr>
              <w:t xml:space="preserve">výsledkům expertního panelu viz </w:t>
            </w:r>
            <w:r w:rsidR="006E7DE5" w:rsidRPr="006E7DE5">
              <w:rPr>
                <w:rFonts w:asciiTheme="majorHAnsi" w:hAnsiTheme="majorHAnsi" w:cstheme="minorBidi"/>
                <w:i/>
                <w:color w:val="00000A"/>
                <w:szCs w:val="22"/>
              </w:rPr>
              <w:t>P</w:t>
            </w:r>
            <w:r w:rsidR="00145574" w:rsidRPr="006E7DE5">
              <w:rPr>
                <w:rFonts w:asciiTheme="majorHAnsi" w:hAnsiTheme="majorHAnsi" w:cstheme="minorBidi"/>
                <w:i/>
                <w:color w:val="00000A"/>
                <w:szCs w:val="22"/>
              </w:rPr>
              <w:t>říloha 5</w:t>
            </w:r>
            <w:r w:rsidR="006E7DE5">
              <w:rPr>
                <w:rFonts w:asciiTheme="majorHAnsi" w:hAnsiTheme="majorHAnsi" w:cstheme="minorBidi"/>
                <w:color w:val="00000A"/>
                <w:szCs w:val="22"/>
              </w:rPr>
              <w:t>.</w:t>
            </w:r>
          </w:p>
        </w:tc>
      </w:tr>
      <w:tr w:rsidR="00B2069E" w14:paraId="2BCC9752" w14:textId="77777777" w:rsidTr="00B2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0FA1BBDB"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5</w:t>
            </w:r>
          </w:p>
        </w:tc>
        <w:tc>
          <w:tcPr>
            <w:tcW w:w="975" w:type="pct"/>
          </w:tcPr>
          <w:p w14:paraId="4AB073CF" w14:textId="77777777" w:rsidR="00B2069E" w:rsidRPr="00DC3CD2" w:rsidRDefault="00B2069E" w:rsidP="002D5ADE">
            <w:pPr>
              <w:pStyle w:val="BodyText1"/>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Případové studie</w:t>
            </w:r>
          </w:p>
        </w:tc>
        <w:tc>
          <w:tcPr>
            <w:tcW w:w="3749" w:type="pct"/>
          </w:tcPr>
          <w:p w14:paraId="6E57AF54" w14:textId="77777777" w:rsidR="00B2069E" w:rsidRDefault="00B2069E" w:rsidP="002D5ADE">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V konzultaci s garanty programů byly identifikovány projekty vhodné pro případové studie, které byly validovány se Zadavatelem. U předmětných projektů byla poskytnutá projektová dokumentace. Dodavatel oslovil příjemce projektů</w:t>
            </w:r>
            <w:r w:rsidR="00A37C33">
              <w:rPr>
                <w:rFonts w:asciiTheme="majorHAnsi" w:hAnsiTheme="majorHAnsi" w:cstheme="minorBidi"/>
                <w:color w:val="00000A"/>
                <w:szCs w:val="22"/>
              </w:rPr>
              <w:t xml:space="preserve"> a provedl s nimi hloubkové rozhovory</w:t>
            </w:r>
            <w:r>
              <w:rPr>
                <w:rFonts w:asciiTheme="majorHAnsi" w:hAnsiTheme="majorHAnsi" w:cstheme="minorBidi"/>
                <w:color w:val="00000A"/>
                <w:szCs w:val="22"/>
              </w:rPr>
              <w:t>.</w:t>
            </w:r>
          </w:p>
          <w:p w14:paraId="34EE0F45" w14:textId="77777777" w:rsidR="00B2069E" w:rsidRDefault="00B2069E" w:rsidP="00AA02CD">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 xml:space="preserve">Blíže k výsledkům těchto případových studií viz </w:t>
            </w:r>
            <w:r w:rsidR="00A37C33" w:rsidRPr="00A37C33">
              <w:rPr>
                <w:rFonts w:asciiTheme="majorHAnsi" w:hAnsiTheme="majorHAnsi" w:cstheme="minorBidi"/>
                <w:i/>
                <w:color w:val="00000A"/>
                <w:szCs w:val="22"/>
              </w:rPr>
              <w:t>Příloha 4</w:t>
            </w:r>
            <w:r w:rsidRPr="00D36809">
              <w:rPr>
                <w:rFonts w:asciiTheme="majorHAnsi" w:hAnsiTheme="majorHAnsi" w:cstheme="minorBidi"/>
                <w:i/>
                <w:color w:val="00000A"/>
                <w:szCs w:val="22"/>
              </w:rPr>
              <w:t>.</w:t>
            </w:r>
          </w:p>
        </w:tc>
      </w:tr>
      <w:tr w:rsidR="00B2069E" w14:paraId="3232A5AD" w14:textId="77777777" w:rsidTr="00B2069E">
        <w:tc>
          <w:tcPr>
            <w:cnfStyle w:val="001000000000" w:firstRow="0" w:lastRow="0" w:firstColumn="1" w:lastColumn="0" w:oddVBand="0" w:evenVBand="0" w:oddHBand="0" w:evenHBand="0" w:firstRowFirstColumn="0" w:firstRowLastColumn="0" w:lastRowFirstColumn="0" w:lastRowLastColumn="0"/>
            <w:tcW w:w="276" w:type="pct"/>
          </w:tcPr>
          <w:p w14:paraId="62D5E2AE" w14:textId="77777777" w:rsidR="00B2069E" w:rsidRPr="004230E5" w:rsidRDefault="00B2069E" w:rsidP="002D5ADE">
            <w:pPr>
              <w:pStyle w:val="BodyText1"/>
              <w:spacing w:after="120"/>
              <w:rPr>
                <w:rFonts w:asciiTheme="majorHAnsi" w:hAnsiTheme="majorHAnsi" w:cstheme="minorBidi"/>
                <w:color w:val="00000A"/>
                <w:szCs w:val="22"/>
              </w:rPr>
            </w:pPr>
            <w:r>
              <w:rPr>
                <w:rFonts w:asciiTheme="majorHAnsi" w:hAnsiTheme="majorHAnsi" w:cstheme="minorBidi"/>
                <w:color w:val="00000A"/>
                <w:szCs w:val="22"/>
              </w:rPr>
              <w:t>6</w:t>
            </w:r>
          </w:p>
        </w:tc>
        <w:tc>
          <w:tcPr>
            <w:tcW w:w="975" w:type="pct"/>
          </w:tcPr>
          <w:p w14:paraId="42660866" w14:textId="77777777" w:rsidR="00B2069E" w:rsidRPr="00DC3CD2" w:rsidRDefault="00B2069E" w:rsidP="002D5ADE">
            <w:pPr>
              <w:pStyle w:val="BodyText1"/>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A"/>
              </w:rPr>
            </w:pPr>
            <w:r w:rsidRPr="00DC3CD2">
              <w:rPr>
                <w:rFonts w:asciiTheme="majorHAnsi" w:hAnsiTheme="majorHAnsi" w:cstheme="minorBidi"/>
                <w:b/>
                <w:color w:val="00000A"/>
                <w:szCs w:val="22"/>
              </w:rPr>
              <w:t>Polo-strukturované rozhovory</w:t>
            </w:r>
          </w:p>
        </w:tc>
        <w:tc>
          <w:tcPr>
            <w:tcW w:w="3749" w:type="pct"/>
          </w:tcPr>
          <w:p w14:paraId="5F5D0D11" w14:textId="77777777" w:rsidR="00B2069E" w:rsidRDefault="00B2069E" w:rsidP="002D5ADE">
            <w:pPr>
              <w:pStyle w:val="BodyText1"/>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K datu odevzdání této zprávy bylo</w:t>
            </w:r>
            <w:r w:rsidRPr="000A6C36">
              <w:rPr>
                <w:rFonts w:asciiTheme="majorHAnsi" w:hAnsiTheme="majorHAnsi" w:cstheme="minorBidi"/>
                <w:color w:val="00000A"/>
                <w:szCs w:val="22"/>
              </w:rPr>
              <w:t xml:space="preserve"> realizováno </w:t>
            </w:r>
            <w:r>
              <w:rPr>
                <w:rFonts w:asciiTheme="majorHAnsi" w:hAnsiTheme="majorHAnsi" w:cstheme="minorBidi"/>
                <w:color w:val="00000A"/>
                <w:szCs w:val="22"/>
              </w:rPr>
              <w:t>7</w:t>
            </w:r>
            <w:r w:rsidRPr="000A6C36">
              <w:rPr>
                <w:rFonts w:asciiTheme="majorHAnsi" w:hAnsiTheme="majorHAnsi" w:cstheme="minorBidi"/>
                <w:color w:val="00000A"/>
                <w:szCs w:val="22"/>
              </w:rPr>
              <w:t xml:space="preserve"> hloubkových individuálních rozhovorů s</w:t>
            </w:r>
            <w:r>
              <w:rPr>
                <w:rFonts w:asciiTheme="majorHAnsi" w:hAnsiTheme="majorHAnsi" w:cstheme="minorBidi"/>
                <w:color w:val="00000A"/>
                <w:szCs w:val="22"/>
              </w:rPr>
              <w:t>e zástupci:</w:t>
            </w:r>
          </w:p>
          <w:p w14:paraId="0FCB211E" w14:textId="77777777" w:rsidR="00B2069E" w:rsidRDefault="00B2069E" w:rsidP="002D5ADE">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r w:rsidRPr="006F59B3">
              <w:rPr>
                <w:szCs w:val="18"/>
              </w:rPr>
              <w:t>Ministerstv</w:t>
            </w:r>
            <w:r>
              <w:rPr>
                <w:szCs w:val="18"/>
              </w:rPr>
              <w:t>a</w:t>
            </w:r>
            <w:r w:rsidRPr="006F59B3">
              <w:rPr>
                <w:szCs w:val="18"/>
              </w:rPr>
              <w:t xml:space="preserve"> průmyslu</w:t>
            </w:r>
            <w:r>
              <w:rPr>
                <w:szCs w:val="18"/>
              </w:rPr>
              <w:t xml:space="preserve"> a </w:t>
            </w:r>
            <w:r w:rsidRPr="006F59B3">
              <w:rPr>
                <w:szCs w:val="18"/>
              </w:rPr>
              <w:t>obchodu</w:t>
            </w:r>
            <w:r>
              <w:rPr>
                <w:szCs w:val="18"/>
              </w:rPr>
              <w:t>:</w:t>
            </w:r>
          </w:p>
          <w:p w14:paraId="7EC22A80" w14:textId="77777777" w:rsidR="00B2069E" w:rsidRDefault="00B2069E" w:rsidP="00C508A0">
            <w:pPr>
              <w:pStyle w:val="ListParagraph"/>
              <w:numPr>
                <w:ilvl w:val="0"/>
                <w:numId w:val="7"/>
              </w:numPr>
              <w:spacing w:after="113" w:line="240" w:lineRule="auto"/>
              <w:ind w:left="1077" w:hanging="284"/>
              <w:contextualSpacing w:val="0"/>
              <w:jc w:val="both"/>
              <w:cnfStyle w:val="000000000000" w:firstRow="0" w:lastRow="0" w:firstColumn="0" w:lastColumn="0" w:oddVBand="0" w:evenVBand="0" w:oddHBand="0" w:evenHBand="0" w:firstRowFirstColumn="0" w:firstRowLastColumn="0" w:lastRowFirstColumn="0" w:lastRowLastColumn="0"/>
              <w:rPr>
                <w:szCs w:val="18"/>
              </w:rPr>
            </w:pPr>
            <w:r w:rsidRPr="006F59B3">
              <w:rPr>
                <w:szCs w:val="18"/>
              </w:rPr>
              <w:t>Odbor PO1</w:t>
            </w:r>
            <w:r>
              <w:rPr>
                <w:szCs w:val="18"/>
              </w:rPr>
              <w:t xml:space="preserve"> a </w:t>
            </w:r>
            <w:r w:rsidRPr="006F59B3">
              <w:rPr>
                <w:szCs w:val="18"/>
              </w:rPr>
              <w:t>finančních nástrojů</w:t>
            </w:r>
          </w:p>
          <w:p w14:paraId="79E56FF3" w14:textId="77777777" w:rsidR="00B2069E" w:rsidRDefault="00B2069E" w:rsidP="00C508A0">
            <w:pPr>
              <w:pStyle w:val="ListParagraph"/>
              <w:numPr>
                <w:ilvl w:val="0"/>
                <w:numId w:val="7"/>
              </w:numPr>
              <w:spacing w:after="113" w:line="240" w:lineRule="auto"/>
              <w:ind w:left="1077" w:hanging="284"/>
              <w:contextualSpacing w:val="0"/>
              <w:jc w:val="both"/>
              <w:cnfStyle w:val="000000000000" w:firstRow="0" w:lastRow="0" w:firstColumn="0" w:lastColumn="0" w:oddVBand="0" w:evenVBand="0" w:oddHBand="0" w:evenHBand="0" w:firstRowFirstColumn="0" w:firstRowLastColumn="0" w:lastRowFirstColumn="0" w:lastRowLastColumn="0"/>
              <w:rPr>
                <w:szCs w:val="18"/>
              </w:rPr>
            </w:pPr>
            <w:r w:rsidRPr="00065D58">
              <w:rPr>
                <w:szCs w:val="18"/>
              </w:rPr>
              <w:t>Oddělení metodiky, koncepcí</w:t>
            </w:r>
            <w:r>
              <w:rPr>
                <w:szCs w:val="18"/>
              </w:rPr>
              <w:t xml:space="preserve"> a </w:t>
            </w:r>
            <w:r w:rsidRPr="00065D58">
              <w:rPr>
                <w:szCs w:val="18"/>
              </w:rPr>
              <w:t>hodnocení</w:t>
            </w:r>
          </w:p>
          <w:p w14:paraId="7204BC6E" w14:textId="77777777" w:rsidR="00B2069E" w:rsidRPr="00065D58" w:rsidRDefault="00B2069E" w:rsidP="00C508A0">
            <w:pPr>
              <w:pStyle w:val="ListParagraph"/>
              <w:numPr>
                <w:ilvl w:val="0"/>
                <w:numId w:val="7"/>
              </w:numPr>
              <w:spacing w:after="113" w:line="240" w:lineRule="auto"/>
              <w:ind w:left="1077" w:hanging="284"/>
              <w:contextualSpacing w:val="0"/>
              <w:jc w:val="both"/>
              <w:cnfStyle w:val="000000000000" w:firstRow="0" w:lastRow="0" w:firstColumn="0" w:lastColumn="0" w:oddVBand="0" w:evenVBand="0" w:oddHBand="0" w:evenHBand="0" w:firstRowFirstColumn="0" w:firstRowLastColumn="0" w:lastRowFirstColumn="0" w:lastRowLastColumn="0"/>
              <w:rPr>
                <w:szCs w:val="18"/>
              </w:rPr>
            </w:pPr>
            <w:r w:rsidRPr="00065D58">
              <w:rPr>
                <w:szCs w:val="18"/>
              </w:rPr>
              <w:t>Oddělení strategie S3 - Sekce digitalizace</w:t>
            </w:r>
            <w:r>
              <w:rPr>
                <w:szCs w:val="18"/>
              </w:rPr>
              <w:t xml:space="preserve"> a </w:t>
            </w:r>
            <w:r w:rsidRPr="00065D58">
              <w:rPr>
                <w:szCs w:val="18"/>
              </w:rPr>
              <w:t>inovací</w:t>
            </w:r>
          </w:p>
          <w:p w14:paraId="3ABDAB3E" w14:textId="77777777" w:rsidR="00B2069E" w:rsidRDefault="00B2069E" w:rsidP="002D5ADE">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r>
              <w:rPr>
                <w:szCs w:val="18"/>
              </w:rPr>
              <w:t>Agentury</w:t>
            </w:r>
            <w:r w:rsidRPr="006F59B3">
              <w:rPr>
                <w:szCs w:val="18"/>
              </w:rPr>
              <w:t xml:space="preserve"> pro podnikání</w:t>
            </w:r>
            <w:r>
              <w:rPr>
                <w:szCs w:val="18"/>
              </w:rPr>
              <w:t xml:space="preserve"> a </w:t>
            </w:r>
            <w:r w:rsidRPr="006F59B3">
              <w:rPr>
                <w:szCs w:val="18"/>
              </w:rPr>
              <w:t>inovace – Odbor výzkumu, vývoje</w:t>
            </w:r>
            <w:r>
              <w:rPr>
                <w:szCs w:val="18"/>
              </w:rPr>
              <w:t xml:space="preserve"> a </w:t>
            </w:r>
            <w:r w:rsidRPr="006F59B3">
              <w:rPr>
                <w:szCs w:val="18"/>
              </w:rPr>
              <w:t>inovací</w:t>
            </w:r>
          </w:p>
          <w:p w14:paraId="195F36ED" w14:textId="77777777" w:rsidR="00C95AB4" w:rsidRDefault="00C95AB4" w:rsidP="002D5ADE">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r>
              <w:rPr>
                <w:szCs w:val="18"/>
              </w:rPr>
              <w:t>Technologické</w:t>
            </w:r>
            <w:r w:rsidR="00D10F20">
              <w:rPr>
                <w:szCs w:val="18"/>
              </w:rPr>
              <w:t>ho centra</w:t>
            </w:r>
            <w:r>
              <w:rPr>
                <w:szCs w:val="18"/>
              </w:rPr>
              <w:t xml:space="preserve"> Akademie věd ČR</w:t>
            </w:r>
          </w:p>
          <w:p w14:paraId="74CAEDEC" w14:textId="77777777" w:rsidR="00D10F20" w:rsidRDefault="00D10F20" w:rsidP="002D5ADE">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r>
              <w:rPr>
                <w:szCs w:val="18"/>
              </w:rPr>
              <w:t>Asociace malých a středních podnikatelů ČR</w:t>
            </w:r>
          </w:p>
          <w:p w14:paraId="2816700C" w14:textId="77777777" w:rsidR="00D10F20" w:rsidRDefault="00D10F20" w:rsidP="00D10F20">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proofErr w:type="spellStart"/>
            <w:r w:rsidRPr="00D10F20">
              <w:rPr>
                <w:szCs w:val="18"/>
              </w:rPr>
              <w:t>Eaton</w:t>
            </w:r>
            <w:proofErr w:type="spellEnd"/>
            <w:r w:rsidRPr="00D10F20">
              <w:rPr>
                <w:szCs w:val="18"/>
              </w:rPr>
              <w:t xml:space="preserve"> </w:t>
            </w:r>
            <w:proofErr w:type="spellStart"/>
            <w:r w:rsidRPr="00D10F20">
              <w:rPr>
                <w:szCs w:val="18"/>
              </w:rPr>
              <w:t>European</w:t>
            </w:r>
            <w:proofErr w:type="spellEnd"/>
            <w:r w:rsidRPr="00D10F20">
              <w:rPr>
                <w:szCs w:val="18"/>
              </w:rPr>
              <w:t xml:space="preserve"> </w:t>
            </w:r>
            <w:proofErr w:type="spellStart"/>
            <w:r w:rsidRPr="00D10F20">
              <w:rPr>
                <w:szCs w:val="18"/>
              </w:rPr>
              <w:t>Innovation</w:t>
            </w:r>
            <w:proofErr w:type="spellEnd"/>
            <w:r w:rsidRPr="00D10F20">
              <w:rPr>
                <w:szCs w:val="18"/>
              </w:rPr>
              <w:t xml:space="preserve"> Center</w:t>
            </w:r>
          </w:p>
          <w:p w14:paraId="7FD532D4" w14:textId="77777777" w:rsidR="00D10F20" w:rsidRPr="006F59B3" w:rsidRDefault="00D10F20" w:rsidP="00D10F20">
            <w:pPr>
              <w:pStyle w:val="ListParagraph"/>
              <w:numPr>
                <w:ilvl w:val="0"/>
                <w:numId w:val="3"/>
              </w:numPr>
              <w:spacing w:after="113" w:line="240" w:lineRule="auto"/>
              <w:contextualSpacing w:val="0"/>
              <w:jc w:val="both"/>
              <w:cnfStyle w:val="000000000000" w:firstRow="0" w:lastRow="0" w:firstColumn="0" w:lastColumn="0" w:oddVBand="0" w:evenVBand="0" w:oddHBand="0" w:evenHBand="0" w:firstRowFirstColumn="0" w:firstRowLastColumn="0" w:lastRowFirstColumn="0" w:lastRowLastColumn="0"/>
              <w:rPr>
                <w:szCs w:val="18"/>
              </w:rPr>
            </w:pPr>
            <w:r>
              <w:rPr>
                <w:szCs w:val="18"/>
              </w:rPr>
              <w:t>Technologick</w:t>
            </w:r>
            <w:r w:rsidR="00EB2999">
              <w:rPr>
                <w:szCs w:val="18"/>
              </w:rPr>
              <w:t>é</w:t>
            </w:r>
            <w:r>
              <w:rPr>
                <w:szCs w:val="18"/>
              </w:rPr>
              <w:t xml:space="preserve"> agentur</w:t>
            </w:r>
            <w:r w:rsidR="00EB2999">
              <w:rPr>
                <w:szCs w:val="18"/>
              </w:rPr>
              <w:t>y</w:t>
            </w:r>
            <w:r>
              <w:rPr>
                <w:szCs w:val="18"/>
              </w:rPr>
              <w:t xml:space="preserve"> ČR</w:t>
            </w:r>
          </w:p>
          <w:p w14:paraId="310BF13E" w14:textId="77777777" w:rsidR="00B2069E" w:rsidRPr="00A37C33" w:rsidRDefault="00B2069E" w:rsidP="00AA02CD">
            <w:pPr>
              <w:pStyle w:val="BodyText1"/>
              <w:spacing w:after="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3E444B">
              <w:rPr>
                <w:rFonts w:asciiTheme="majorHAnsi" w:hAnsiTheme="majorHAnsi"/>
                <w:szCs w:val="18"/>
              </w:rPr>
              <w:t>Blíže k</w:t>
            </w:r>
            <w:r>
              <w:rPr>
                <w:rFonts w:asciiTheme="majorHAnsi" w:hAnsiTheme="majorHAnsi"/>
                <w:szCs w:val="18"/>
              </w:rPr>
              <w:t>e zjištěním z rozhovorů</w:t>
            </w:r>
            <w:r w:rsidRPr="003E444B">
              <w:rPr>
                <w:rFonts w:asciiTheme="majorHAnsi" w:hAnsiTheme="majorHAnsi"/>
                <w:szCs w:val="18"/>
              </w:rPr>
              <w:t xml:space="preserve"> viz </w:t>
            </w:r>
            <w:r w:rsidR="009A7253" w:rsidRPr="006E7DE5">
              <w:rPr>
                <w:rFonts w:asciiTheme="majorHAnsi" w:hAnsiTheme="majorHAnsi"/>
                <w:i/>
                <w:szCs w:val="18"/>
              </w:rPr>
              <w:t>P</w:t>
            </w:r>
            <w:r w:rsidR="00145574" w:rsidRPr="006E7DE5">
              <w:rPr>
                <w:rFonts w:asciiTheme="majorHAnsi" w:hAnsiTheme="majorHAnsi"/>
                <w:i/>
                <w:szCs w:val="18"/>
              </w:rPr>
              <w:t>říloha 5</w:t>
            </w:r>
            <w:r w:rsidRPr="003E444B">
              <w:rPr>
                <w:rFonts w:asciiTheme="majorHAnsi" w:hAnsiTheme="majorHAnsi"/>
                <w:szCs w:val="18"/>
              </w:rPr>
              <w:t>.</w:t>
            </w:r>
          </w:p>
        </w:tc>
      </w:tr>
      <w:tr w:rsidR="00B2069E" w14:paraId="1C6FAEC6" w14:textId="77777777" w:rsidTr="00B2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14:paraId="5C0AA2A1" w14:textId="77777777" w:rsidR="00B2069E" w:rsidRPr="004230E5" w:rsidRDefault="00B2069E" w:rsidP="002D5ADE">
            <w:pPr>
              <w:rPr>
                <w:rFonts w:asciiTheme="majorHAnsi" w:hAnsiTheme="majorHAnsi"/>
              </w:rPr>
            </w:pPr>
            <w:r>
              <w:rPr>
                <w:rFonts w:asciiTheme="majorHAnsi" w:hAnsiTheme="majorHAnsi"/>
              </w:rPr>
              <w:t>7</w:t>
            </w:r>
          </w:p>
        </w:tc>
        <w:tc>
          <w:tcPr>
            <w:tcW w:w="975" w:type="pct"/>
          </w:tcPr>
          <w:p w14:paraId="1F0DF0F4" w14:textId="77777777" w:rsidR="00B2069E" w:rsidRPr="00DC3CD2" w:rsidRDefault="00B2069E" w:rsidP="002D5ADE">
            <w:pPr>
              <w:cnfStyle w:val="000000100000" w:firstRow="0" w:lastRow="0" w:firstColumn="0" w:lastColumn="0" w:oddVBand="0" w:evenVBand="0" w:oddHBand="1" w:evenHBand="0" w:firstRowFirstColumn="0" w:firstRowLastColumn="0" w:lastRowFirstColumn="0" w:lastRowLastColumn="0"/>
              <w:rPr>
                <w:b/>
              </w:rPr>
            </w:pPr>
            <w:r>
              <w:rPr>
                <w:rFonts w:asciiTheme="majorHAnsi" w:hAnsiTheme="majorHAnsi" w:cstheme="minorBidi"/>
                <w:b/>
              </w:rPr>
              <w:t>Modelování ekonomických</w:t>
            </w:r>
            <w:r w:rsidRPr="00DC3CD2">
              <w:rPr>
                <w:rFonts w:asciiTheme="majorHAnsi" w:hAnsiTheme="majorHAnsi" w:cstheme="minorBidi"/>
                <w:b/>
              </w:rPr>
              <w:t xml:space="preserve"> dopadů</w:t>
            </w:r>
          </w:p>
        </w:tc>
        <w:tc>
          <w:tcPr>
            <w:tcW w:w="3749" w:type="pct"/>
          </w:tcPr>
          <w:p w14:paraId="74E17AC8" w14:textId="77777777" w:rsidR="00B2069E" w:rsidRDefault="00B2069E" w:rsidP="00323645">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Pr>
                <w:rFonts w:asciiTheme="majorHAnsi" w:hAnsiTheme="majorHAnsi" w:cstheme="minorBidi"/>
                <w:color w:val="00000A"/>
                <w:szCs w:val="22"/>
              </w:rPr>
              <w:t xml:space="preserve">Modelování </w:t>
            </w:r>
            <w:r w:rsidR="008C6DC8">
              <w:rPr>
                <w:rFonts w:asciiTheme="majorHAnsi" w:hAnsiTheme="majorHAnsi" w:cstheme="minorBidi"/>
                <w:color w:val="00000A"/>
                <w:szCs w:val="22"/>
              </w:rPr>
              <w:t xml:space="preserve">dopadu bylo provedeno </w:t>
            </w:r>
            <w:r w:rsidR="0094613B">
              <w:rPr>
                <w:rFonts w:asciiTheme="majorHAnsi" w:hAnsiTheme="majorHAnsi" w:cstheme="minorBidi"/>
                <w:color w:val="00000A"/>
                <w:szCs w:val="22"/>
              </w:rPr>
              <w:t xml:space="preserve">dle možností v závislosti </w:t>
            </w:r>
            <w:r w:rsidR="006E7DE5">
              <w:rPr>
                <w:rFonts w:asciiTheme="majorHAnsi" w:hAnsiTheme="majorHAnsi" w:cstheme="minorBidi"/>
                <w:color w:val="00000A"/>
                <w:szCs w:val="22"/>
              </w:rPr>
              <w:t>na</w:t>
            </w:r>
            <w:r w:rsidR="0094613B">
              <w:rPr>
                <w:rFonts w:asciiTheme="majorHAnsi" w:hAnsiTheme="majorHAnsi" w:cstheme="minorBidi"/>
                <w:color w:val="00000A"/>
                <w:szCs w:val="22"/>
              </w:rPr>
              <w:t xml:space="preserve"> dostupnosti dat. D</w:t>
            </w:r>
            <w:r>
              <w:rPr>
                <w:rFonts w:asciiTheme="majorHAnsi" w:hAnsiTheme="majorHAnsi" w:cstheme="minorBidi"/>
                <w:color w:val="00000A"/>
                <w:szCs w:val="22"/>
              </w:rPr>
              <w:t>at</w:t>
            </w:r>
            <w:r w:rsidR="008C6DC8">
              <w:rPr>
                <w:rFonts w:asciiTheme="majorHAnsi" w:hAnsiTheme="majorHAnsi" w:cstheme="minorBidi"/>
                <w:color w:val="00000A"/>
                <w:szCs w:val="22"/>
              </w:rPr>
              <w:t>a</w:t>
            </w:r>
            <w:r>
              <w:rPr>
                <w:rFonts w:asciiTheme="majorHAnsi" w:hAnsiTheme="majorHAnsi" w:cstheme="minorBidi"/>
                <w:color w:val="00000A"/>
                <w:szCs w:val="22"/>
              </w:rPr>
              <w:t xml:space="preserve"> z MS2014</w:t>
            </w:r>
            <w:r w:rsidRPr="004B6014">
              <w:rPr>
                <w:rFonts w:asciiTheme="majorHAnsi" w:hAnsiTheme="majorHAnsi" w:cstheme="minorBidi"/>
                <w:color w:val="00000A"/>
                <w:szCs w:val="22"/>
              </w:rPr>
              <w:t>+</w:t>
            </w:r>
            <w:r w:rsidR="008C6DC8">
              <w:rPr>
                <w:rFonts w:asciiTheme="majorHAnsi" w:hAnsiTheme="majorHAnsi" w:cstheme="minorBidi"/>
                <w:color w:val="00000A"/>
                <w:szCs w:val="22"/>
              </w:rPr>
              <w:t xml:space="preserve"> neposkytují všechny relevantní informace</w:t>
            </w:r>
            <w:r w:rsidR="0094613B">
              <w:rPr>
                <w:rFonts w:asciiTheme="majorHAnsi" w:hAnsiTheme="majorHAnsi" w:cstheme="minorBidi"/>
                <w:color w:val="00000A"/>
                <w:szCs w:val="22"/>
              </w:rPr>
              <w:t>, např. n</w:t>
            </w:r>
            <w:r w:rsidR="008C6DC8">
              <w:rPr>
                <w:rFonts w:asciiTheme="majorHAnsi" w:hAnsiTheme="majorHAnsi" w:cstheme="minorBidi"/>
                <w:color w:val="00000A"/>
                <w:szCs w:val="22"/>
              </w:rPr>
              <w:t>ení možné posoudit celkový multiplikační efekt dotace, protože data neobsahují informace o celkové výši soukromých investic a v aktuální fázi pokroku ani nelze posoudit zvýšení tržeb vyvolané realizací projektu, neboť je ukončena pouze malá část projektů s vydaným právním aktem.</w:t>
            </w:r>
          </w:p>
          <w:p w14:paraId="09304910" w14:textId="77777777" w:rsidR="008C6DC8" w:rsidRPr="004B6014" w:rsidRDefault="008C6DC8" w:rsidP="00323645">
            <w:pPr>
              <w:pStyle w:val="BodyText1"/>
              <w:spacing w:after="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olor w:val="00000A"/>
                <w:szCs w:val="22"/>
              </w:rPr>
            </w:pPr>
            <w:r w:rsidRPr="003E444B">
              <w:rPr>
                <w:rFonts w:asciiTheme="majorHAnsi" w:hAnsiTheme="majorHAnsi"/>
                <w:szCs w:val="18"/>
              </w:rPr>
              <w:t>Blíže k</w:t>
            </w:r>
            <w:r>
              <w:rPr>
                <w:rFonts w:asciiTheme="majorHAnsi" w:hAnsiTheme="majorHAnsi"/>
                <w:szCs w:val="18"/>
              </w:rPr>
              <w:t xml:space="preserve">e zjištěním </w:t>
            </w:r>
            <w:r w:rsidRPr="003E444B">
              <w:rPr>
                <w:rFonts w:asciiTheme="majorHAnsi" w:hAnsiTheme="majorHAnsi"/>
                <w:szCs w:val="18"/>
              </w:rPr>
              <w:t>viz kap</w:t>
            </w:r>
            <w:r>
              <w:rPr>
                <w:rFonts w:asciiTheme="majorHAnsi" w:hAnsiTheme="majorHAnsi"/>
                <w:szCs w:val="18"/>
              </w:rPr>
              <w:t>itola</w:t>
            </w:r>
            <w:r w:rsidRPr="003E444B">
              <w:rPr>
                <w:rFonts w:asciiTheme="majorHAnsi" w:hAnsiTheme="majorHAnsi"/>
                <w:szCs w:val="18"/>
              </w:rPr>
              <w:t xml:space="preserve"> </w:t>
            </w:r>
            <w:r>
              <w:rPr>
                <w:rFonts w:asciiTheme="majorHAnsi" w:hAnsiTheme="majorHAnsi"/>
                <w:i/>
                <w:szCs w:val="18"/>
              </w:rPr>
              <w:t>12. Evaluační otázka č. 10</w:t>
            </w:r>
            <w:r w:rsidRPr="003E444B">
              <w:rPr>
                <w:rFonts w:asciiTheme="majorHAnsi" w:hAnsiTheme="majorHAnsi"/>
                <w:szCs w:val="18"/>
              </w:rPr>
              <w:t>.</w:t>
            </w:r>
          </w:p>
        </w:tc>
      </w:tr>
    </w:tbl>
    <w:p w14:paraId="0390B21B" w14:textId="77777777" w:rsidR="002E0C13" w:rsidRDefault="002E0C13" w:rsidP="002E0C13">
      <w:pPr>
        <w:spacing w:line="276" w:lineRule="auto"/>
        <w:jc w:val="both"/>
      </w:pPr>
    </w:p>
    <w:p w14:paraId="610D76EB" w14:textId="77777777" w:rsidR="002E0C13" w:rsidRDefault="002E0C13" w:rsidP="002E0C13">
      <w:pPr>
        <w:spacing w:after="0" w:line="240" w:lineRule="auto"/>
        <w:rPr>
          <w:rFonts w:eastAsia="MingLiU" w:cs="Times New Roman"/>
          <w:bCs/>
          <w:color w:val="auto"/>
          <w:sz w:val="60"/>
          <w:szCs w:val="60"/>
        </w:rPr>
      </w:pPr>
      <w:bookmarkStart w:id="11" w:name="_Toc535414997"/>
      <w:r>
        <w:rPr>
          <w:rFonts w:eastAsia="MingLiU" w:cs="Times New Roman"/>
          <w:b/>
          <w:color w:val="auto"/>
          <w:sz w:val="60"/>
          <w:szCs w:val="60"/>
        </w:rPr>
        <w:br w:type="page"/>
      </w:r>
    </w:p>
    <w:p w14:paraId="5C980FA7" w14:textId="73178ECF" w:rsidR="008F3D0F" w:rsidRPr="00D73025" w:rsidRDefault="00B2069E" w:rsidP="00D73025">
      <w:pPr>
        <w:pStyle w:val="Heading1"/>
        <w:numPr>
          <w:ilvl w:val="0"/>
          <w:numId w:val="2"/>
        </w:numPr>
        <w:spacing w:after="120"/>
        <w:rPr>
          <w:rFonts w:ascii="Verdana" w:eastAsia="MingLiU" w:hAnsi="Verdana" w:cs="Times New Roman"/>
          <w:b w:val="0"/>
          <w:color w:val="auto"/>
          <w:sz w:val="60"/>
          <w:szCs w:val="60"/>
        </w:rPr>
      </w:pPr>
      <w:bookmarkStart w:id="12" w:name="_Toc11679607"/>
      <w:bookmarkEnd w:id="8"/>
      <w:bookmarkEnd w:id="11"/>
      <w:r w:rsidRPr="00D73025">
        <w:rPr>
          <w:rFonts w:ascii="Verdana" w:eastAsia="MingLiU" w:hAnsi="Verdana" w:cs="Times New Roman"/>
          <w:b w:val="0"/>
          <w:color w:val="auto"/>
          <w:sz w:val="60"/>
          <w:szCs w:val="60"/>
        </w:rPr>
        <w:t>E</w:t>
      </w:r>
      <w:r w:rsidR="008F3D0F" w:rsidRPr="00D73025">
        <w:rPr>
          <w:rFonts w:ascii="Verdana" w:eastAsia="MingLiU" w:hAnsi="Verdana" w:cs="Times New Roman"/>
          <w:b w:val="0"/>
          <w:color w:val="auto"/>
          <w:sz w:val="60"/>
          <w:szCs w:val="60"/>
        </w:rPr>
        <w:t xml:space="preserve">valuační otázka </w:t>
      </w:r>
      <w:r w:rsidR="00D73025">
        <w:rPr>
          <w:rFonts w:ascii="Verdana" w:eastAsia="MingLiU" w:hAnsi="Verdana" w:cs="Times New Roman"/>
          <w:b w:val="0"/>
          <w:color w:val="auto"/>
          <w:sz w:val="60"/>
          <w:szCs w:val="60"/>
        </w:rPr>
        <w:t xml:space="preserve">č. </w:t>
      </w:r>
      <w:r w:rsidR="008727E9" w:rsidRPr="00D73025">
        <w:rPr>
          <w:rFonts w:ascii="Verdana" w:eastAsia="MingLiU" w:hAnsi="Verdana" w:cs="Times New Roman"/>
          <w:b w:val="0"/>
          <w:color w:val="auto"/>
          <w:sz w:val="60"/>
          <w:szCs w:val="60"/>
        </w:rPr>
        <w:t>1</w:t>
      </w:r>
      <w:bookmarkEnd w:id="12"/>
    </w:p>
    <w:p w14:paraId="509D644A" w14:textId="77777777" w:rsidR="008F3D0F" w:rsidRPr="000D5DE1" w:rsidRDefault="008F3D0F" w:rsidP="000D5DE1">
      <w:pPr>
        <w:spacing w:after="0"/>
        <w:jc w:val="both"/>
        <w:rPr>
          <w:b/>
        </w:rPr>
      </w:pPr>
    </w:p>
    <w:p w14:paraId="411D56EE" w14:textId="77777777" w:rsidR="00D73025" w:rsidRPr="00D73025" w:rsidRDefault="00D73025" w:rsidP="00D73025">
      <w:pPr>
        <w:jc w:val="both"/>
        <w:rPr>
          <w:b/>
        </w:rPr>
      </w:pPr>
      <w:r w:rsidRPr="00D73025">
        <w:rPr>
          <w:b/>
        </w:rPr>
        <w:t>Jak přispěly intervence realizované v rámci programů podpory Inovace, Aplikace a Potenciál k</w:t>
      </w:r>
      <w:r w:rsidR="009A7253">
        <w:rPr>
          <w:b/>
        </w:rPr>
        <w:t> </w:t>
      </w:r>
      <w:r w:rsidRPr="00D73025">
        <w:rPr>
          <w:b/>
        </w:rPr>
        <w:t>dosahování SC 1.1 OP PIK?</w:t>
      </w:r>
      <w:r w:rsidR="004D20B5">
        <w:rPr>
          <w:b/>
        </w:rPr>
        <w:t xml:space="preserve"> </w:t>
      </w:r>
      <w:r w:rsidR="004D20B5" w:rsidRPr="00CE2FF0">
        <w:rPr>
          <w:b/>
        </w:rPr>
        <w:t xml:space="preserve">Dodavatel zhodnotí, do jaké míry přispívají intervence realizované v tomto programu podpory k posílení inovační výkonnosti českých podniků, většímu uplatnění průmyslového výzkumu a experimentálního vývoje a </w:t>
      </w:r>
      <w:r w:rsidR="004D20B5" w:rsidRPr="00CE2FF0">
        <w:rPr>
          <w:rFonts w:cstheme="minorHAnsi"/>
          <w:b/>
        </w:rPr>
        <w:t>zvyšování kapacit podniků pro realizaci vlastních výzkumných, vývojových a inovačních (</w:t>
      </w:r>
      <w:proofErr w:type="spellStart"/>
      <w:r w:rsidR="004D20B5" w:rsidRPr="00CE2FF0">
        <w:rPr>
          <w:rFonts w:cstheme="minorHAnsi"/>
          <w:b/>
        </w:rPr>
        <w:t>VaVaI</w:t>
      </w:r>
      <w:proofErr w:type="spellEnd"/>
      <w:r w:rsidR="004D20B5" w:rsidRPr="00CE2FF0">
        <w:rPr>
          <w:rFonts w:cstheme="minorHAnsi"/>
          <w:b/>
        </w:rPr>
        <w:t>) aktivit</w:t>
      </w:r>
      <w:r w:rsidR="004D20B5" w:rsidRPr="00CE2FF0">
        <w:rPr>
          <w:b/>
        </w:rPr>
        <w:t>. Bude zhodnocen příspěvek podpořených projektů k naplňování výsledkových indikátorů.</w:t>
      </w:r>
    </w:p>
    <w:p w14:paraId="1D9CBF75" w14:textId="77777777" w:rsidR="00D73025" w:rsidRDefault="00606535" w:rsidP="00152DAD">
      <w:pPr>
        <w:pStyle w:val="Heading1"/>
        <w:numPr>
          <w:ilvl w:val="1"/>
          <w:numId w:val="2"/>
        </w:numPr>
        <w:spacing w:before="240" w:after="120"/>
        <w:ind w:left="714" w:hanging="357"/>
      </w:pPr>
      <w:bookmarkStart w:id="13" w:name="_Toc8825062"/>
      <w:bookmarkStart w:id="14" w:name="_Toc8825192"/>
      <w:bookmarkStart w:id="15" w:name="_Toc11679608"/>
      <w:r>
        <w:t>Úkol</w:t>
      </w:r>
      <w:bookmarkEnd w:id="13"/>
      <w:bookmarkEnd w:id="14"/>
      <w:bookmarkEnd w:id="15"/>
    </w:p>
    <w:p w14:paraId="21699A90" w14:textId="77777777" w:rsidR="007C6E0F" w:rsidRDefault="007C6E0F" w:rsidP="007C6E0F">
      <w:pPr>
        <w:pStyle w:val="Smlouvaheading1"/>
        <w:spacing w:before="113" w:after="113" w:line="240" w:lineRule="auto"/>
        <w:rPr>
          <w:b w:val="0"/>
        </w:rPr>
      </w:pPr>
      <w:r>
        <w:rPr>
          <w:b w:val="0"/>
        </w:rPr>
        <w:t xml:space="preserve">Předmětem evaluace v rámci evaluační otázky 1 </w:t>
      </w:r>
      <w:r w:rsidR="00E717CA">
        <w:rPr>
          <w:b w:val="0"/>
        </w:rPr>
        <w:t>bylo</w:t>
      </w:r>
      <w:r>
        <w:rPr>
          <w:b w:val="0"/>
        </w:rPr>
        <w:t xml:space="preserve"> </w:t>
      </w:r>
      <w:r>
        <w:t>vyhodnocení vlivu</w:t>
      </w:r>
      <w:r>
        <w:rPr>
          <w:b w:val="0"/>
        </w:rPr>
        <w:t xml:space="preserve"> opatření realizovaných v rámci programů Inovace, Aplikace a Potenciál na:</w:t>
      </w:r>
    </w:p>
    <w:p w14:paraId="6B5B3C7C" w14:textId="77777777" w:rsidR="007C6E0F" w:rsidRDefault="007C6E0F" w:rsidP="007C6E0F">
      <w:pPr>
        <w:pStyle w:val="Smlouvaheading1"/>
        <w:numPr>
          <w:ilvl w:val="0"/>
          <w:numId w:val="46"/>
        </w:numPr>
        <w:spacing w:before="113" w:after="113" w:line="240" w:lineRule="auto"/>
        <w:ind w:left="714" w:hanging="357"/>
      </w:pPr>
      <w:r>
        <w:rPr>
          <w:b w:val="0"/>
        </w:rPr>
        <w:t>Posílení inovační výkonnosti českých podniků,</w:t>
      </w:r>
    </w:p>
    <w:p w14:paraId="262C4767" w14:textId="77777777" w:rsidR="007C6E0F" w:rsidRDefault="007C6E0F" w:rsidP="007C6E0F">
      <w:pPr>
        <w:pStyle w:val="Smlouvaheading1"/>
        <w:numPr>
          <w:ilvl w:val="0"/>
          <w:numId w:val="46"/>
        </w:numPr>
        <w:spacing w:before="113" w:after="113" w:line="240" w:lineRule="auto"/>
        <w:ind w:left="714" w:hanging="357"/>
      </w:pPr>
      <w:r>
        <w:rPr>
          <w:b w:val="0"/>
        </w:rPr>
        <w:t>Větší uplatnění průmyslového výzkumu a experimentálního vývoje,</w:t>
      </w:r>
    </w:p>
    <w:p w14:paraId="0BBBF2B1" w14:textId="77777777" w:rsidR="007C6E0F" w:rsidRDefault="007C6E0F" w:rsidP="007C6E0F">
      <w:pPr>
        <w:pStyle w:val="Smlouvaheading1"/>
        <w:numPr>
          <w:ilvl w:val="0"/>
          <w:numId w:val="46"/>
        </w:numPr>
        <w:spacing w:before="113" w:after="113" w:line="240" w:lineRule="auto"/>
        <w:ind w:left="714" w:hanging="357"/>
      </w:pPr>
      <w:r>
        <w:rPr>
          <w:b w:val="0"/>
        </w:rPr>
        <w:t>Zvyšování kapacit podniků pro realizaci vlastních výzkumných, vývojových a inovačních (</w:t>
      </w:r>
      <w:proofErr w:type="spellStart"/>
      <w:r>
        <w:rPr>
          <w:b w:val="0"/>
        </w:rPr>
        <w:t>VaVaI</w:t>
      </w:r>
      <w:proofErr w:type="spellEnd"/>
      <w:r>
        <w:rPr>
          <w:b w:val="0"/>
        </w:rPr>
        <w:t>) aktivit.</w:t>
      </w:r>
    </w:p>
    <w:p w14:paraId="445A3396" w14:textId="77777777" w:rsidR="002A5244" w:rsidRDefault="002A5244" w:rsidP="002A5244">
      <w:pPr>
        <w:pStyle w:val="Smlouvaheading1"/>
        <w:spacing w:before="113" w:after="113" w:line="240" w:lineRule="auto"/>
        <w:ind w:firstLine="1"/>
        <w:rPr>
          <w:b w:val="0"/>
        </w:rPr>
      </w:pPr>
      <w:r w:rsidRPr="007448C5">
        <w:rPr>
          <w:rFonts w:cstheme="minorHAnsi"/>
        </w:rPr>
        <w:t xml:space="preserve">SC 1.1 je především zaměřen na </w:t>
      </w:r>
      <w:r w:rsidRPr="00260C93">
        <w:rPr>
          <w:rFonts w:cstheme="minorHAnsi"/>
          <w:b w:val="0"/>
        </w:rPr>
        <w:t>zlepšení technických fází inovačního procesu firem</w:t>
      </w:r>
      <w:r>
        <w:rPr>
          <w:rFonts w:cstheme="minorHAnsi"/>
        </w:rPr>
        <w:t xml:space="preserve"> </w:t>
      </w:r>
      <w:r w:rsidRPr="00CE2FF0">
        <w:rPr>
          <w:rFonts w:cstheme="minorHAnsi"/>
          <w:b w:val="0"/>
        </w:rPr>
        <w:t>a</w:t>
      </w:r>
      <w:r>
        <w:rPr>
          <w:rFonts w:cstheme="minorHAnsi"/>
        </w:rPr>
        <w:t> </w:t>
      </w:r>
      <w:r w:rsidRPr="00260C93">
        <w:rPr>
          <w:rFonts w:cstheme="minorHAnsi"/>
          <w:b w:val="0"/>
        </w:rPr>
        <w:t>zavádění všech typů inovací ve firmách</w:t>
      </w:r>
      <w:r w:rsidRPr="007448C5">
        <w:rPr>
          <w:rFonts w:cstheme="minorHAnsi"/>
        </w:rPr>
        <w:t xml:space="preserve"> (produktové, procesní, marketingové ad.). Podporovaná opatření by měla vést ke </w:t>
      </w:r>
      <w:r w:rsidRPr="00260C93">
        <w:rPr>
          <w:rFonts w:cstheme="minorHAnsi"/>
          <w:b w:val="0"/>
        </w:rPr>
        <w:t>zvýšení podílu</w:t>
      </w:r>
      <w:r w:rsidRPr="00260C93">
        <w:rPr>
          <w:b w:val="0"/>
        </w:rPr>
        <w:t xml:space="preserve"> českých podniků na hospodářském růstu ČR</w:t>
      </w:r>
      <w:r>
        <w:t xml:space="preserve"> </w:t>
      </w:r>
      <w:r w:rsidRPr="00CE2FF0">
        <w:rPr>
          <w:b w:val="0"/>
        </w:rPr>
        <w:t>a</w:t>
      </w:r>
      <w:r>
        <w:t> </w:t>
      </w:r>
      <w:r w:rsidRPr="00260C93">
        <w:rPr>
          <w:b w:val="0"/>
        </w:rPr>
        <w:t>snížení závislosti české ekonomiky na přílivu zahraničních investic</w:t>
      </w:r>
      <w:r>
        <w:t xml:space="preserve">. </w:t>
      </w:r>
    </w:p>
    <w:p w14:paraId="5379DFAD" w14:textId="77777777" w:rsidR="007C6E0F" w:rsidRDefault="007C6E0F" w:rsidP="007C6E0F">
      <w:pPr>
        <w:pStyle w:val="Smlouvaheading1"/>
        <w:spacing w:before="113" w:after="113" w:line="240" w:lineRule="auto"/>
        <w:ind w:firstLine="1"/>
      </w:pPr>
      <w:r>
        <w:rPr>
          <w:b w:val="0"/>
        </w:rPr>
        <w:t xml:space="preserve">S cílem maximalizace validity evaluace </w:t>
      </w:r>
      <w:r w:rsidR="00E717CA">
        <w:rPr>
          <w:b w:val="0"/>
        </w:rPr>
        <w:t>byla</w:t>
      </w:r>
      <w:r>
        <w:rPr>
          <w:b w:val="0"/>
        </w:rPr>
        <w:t xml:space="preserve"> v rámci vyhodnocení EO 1 využita kombinace kvalitativních a</w:t>
      </w:r>
      <w:r w:rsidR="00085324">
        <w:rPr>
          <w:b w:val="0"/>
        </w:rPr>
        <w:t> </w:t>
      </w:r>
      <w:r>
        <w:rPr>
          <w:b w:val="0"/>
        </w:rPr>
        <w:t xml:space="preserve">kvantitativních metod. Primárním vstupem do </w:t>
      </w:r>
      <w:r w:rsidR="00152DAD">
        <w:rPr>
          <w:b w:val="0"/>
        </w:rPr>
        <w:t>e</w:t>
      </w:r>
      <w:r>
        <w:rPr>
          <w:b w:val="0"/>
        </w:rPr>
        <w:t>valuace b</w:t>
      </w:r>
      <w:r w:rsidR="00BA0627">
        <w:rPr>
          <w:b w:val="0"/>
        </w:rPr>
        <w:t>ylo</w:t>
      </w:r>
      <w:r>
        <w:rPr>
          <w:b w:val="0"/>
        </w:rPr>
        <w:t xml:space="preserve"> </w:t>
      </w:r>
      <w:r>
        <w:t>vyhodnocení výsledkových indikátorů SC 1.1</w:t>
      </w:r>
      <w:r>
        <w:rPr>
          <w:b w:val="0"/>
        </w:rPr>
        <w:t>. Dalším vstupem do evaluace b</w:t>
      </w:r>
      <w:r w:rsidR="00C75A7A">
        <w:rPr>
          <w:b w:val="0"/>
        </w:rPr>
        <w:t>yly</w:t>
      </w:r>
      <w:r>
        <w:rPr>
          <w:b w:val="0"/>
        </w:rPr>
        <w:t xml:space="preserve"> </w:t>
      </w:r>
      <w:r>
        <w:t>makroekonomické analýzy popisující situaci v oblasti podnikového výzkumu a vývoje v ČR</w:t>
      </w:r>
      <w:r>
        <w:rPr>
          <w:b w:val="0"/>
        </w:rPr>
        <w:t xml:space="preserve"> a další statistická data. Kvantitativní analýzy </w:t>
      </w:r>
      <w:r w:rsidR="00C75A7A">
        <w:rPr>
          <w:b w:val="0"/>
        </w:rPr>
        <w:t>byly</w:t>
      </w:r>
      <w:r>
        <w:rPr>
          <w:b w:val="0"/>
        </w:rPr>
        <w:t xml:space="preserve"> dopln</w:t>
      </w:r>
      <w:r w:rsidR="00C75A7A">
        <w:rPr>
          <w:b w:val="0"/>
        </w:rPr>
        <w:t>ěny</w:t>
      </w:r>
      <w:r>
        <w:rPr>
          <w:b w:val="0"/>
        </w:rPr>
        <w:t xml:space="preserve"> o</w:t>
      </w:r>
      <w:r w:rsidR="00EA4D5C">
        <w:rPr>
          <w:b w:val="0"/>
        </w:rPr>
        <w:t> </w:t>
      </w:r>
      <w:r>
        <w:rPr>
          <w:b w:val="0"/>
        </w:rPr>
        <w:t>kvalitativní vyhodnocení vlivu podpory v rámci SC 1.1 ze strany realizátorů projektů získanou v rámci dotazníkového šetření. D</w:t>
      </w:r>
      <w:r w:rsidR="00152DAD">
        <w:rPr>
          <w:b w:val="0"/>
        </w:rPr>
        <w:t>ále byl realizován</w:t>
      </w:r>
      <w:r>
        <w:rPr>
          <w:b w:val="0"/>
        </w:rPr>
        <w:t xml:space="preserve"> </w:t>
      </w:r>
      <w:r w:rsidR="00152DAD">
        <w:rPr>
          <w:b w:val="0"/>
        </w:rPr>
        <w:t>e</w:t>
      </w:r>
      <w:r>
        <w:rPr>
          <w:b w:val="0"/>
        </w:rPr>
        <w:t xml:space="preserve">xpertní panel, v rámci něhož experti na podnikové inovace a průmyslový </w:t>
      </w:r>
      <w:proofErr w:type="spellStart"/>
      <w:r>
        <w:rPr>
          <w:b w:val="0"/>
        </w:rPr>
        <w:t>VaV</w:t>
      </w:r>
      <w:proofErr w:type="spellEnd"/>
      <w:r>
        <w:rPr>
          <w:b w:val="0"/>
        </w:rPr>
        <w:t xml:space="preserve"> hodnot</w:t>
      </w:r>
      <w:r w:rsidR="00C75A7A">
        <w:rPr>
          <w:b w:val="0"/>
        </w:rPr>
        <w:t>ili</w:t>
      </w:r>
      <w:r>
        <w:rPr>
          <w:b w:val="0"/>
        </w:rPr>
        <w:t xml:space="preserve"> současný stav a vývoj v oblasti inovační výkonnosti českých podniků a vyhodnocení vlivu programů podpory v rámci SC 1.1.</w:t>
      </w:r>
    </w:p>
    <w:p w14:paraId="0586D60E" w14:textId="77777777" w:rsidR="00D73025" w:rsidRPr="00D73025" w:rsidRDefault="00D73025" w:rsidP="00152DAD">
      <w:pPr>
        <w:pStyle w:val="Heading1"/>
        <w:numPr>
          <w:ilvl w:val="1"/>
          <w:numId w:val="2"/>
        </w:numPr>
        <w:spacing w:before="240" w:after="120"/>
        <w:ind w:left="714" w:hanging="357"/>
      </w:pPr>
      <w:bookmarkStart w:id="16" w:name="_Toc8825063"/>
      <w:bookmarkStart w:id="17" w:name="_Toc8825193"/>
      <w:bookmarkStart w:id="18" w:name="_Toc11679609"/>
      <w:r>
        <w:t>Zjištění a doporučení</w:t>
      </w:r>
      <w:bookmarkEnd w:id="16"/>
      <w:bookmarkEnd w:id="17"/>
      <w:bookmarkEnd w:id="18"/>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B2069E" w:rsidRPr="003E4246" w14:paraId="5BA05D7E" w14:textId="77777777" w:rsidTr="00A672C6">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20CE8146" w14:textId="77777777" w:rsidR="00B2069E" w:rsidRPr="003E4246" w:rsidRDefault="00D73025" w:rsidP="00A672C6">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2D421806" w14:textId="77777777" w:rsidR="00B2069E" w:rsidRPr="00D73025" w:rsidRDefault="00D73025" w:rsidP="00A672C6">
            <w:pPr>
              <w:spacing w:before="120" w:after="120"/>
              <w:jc w:val="both"/>
              <w:cnfStyle w:val="100000000000" w:firstRow="1" w:lastRow="0" w:firstColumn="0" w:lastColumn="0" w:oddVBand="0" w:evenVBand="0" w:oddHBand="0" w:evenHBand="0" w:firstRowFirstColumn="0" w:firstRowLastColumn="0" w:lastRowFirstColumn="0" w:lastRowLastColumn="0"/>
            </w:pPr>
            <w:r w:rsidRPr="00D73025">
              <w:t>Jak přispěly intervence realizované v rámci programů podpory Inovace, Aplikace a Potenciál k dosahování SC 1.1 OP PIK?</w:t>
            </w:r>
          </w:p>
        </w:tc>
      </w:tr>
      <w:tr w:rsidR="00622A6D" w14:paraId="16AB93EC" w14:textId="77777777" w:rsidTr="00A672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22F9745" w14:textId="77777777" w:rsidR="00622A6D" w:rsidRDefault="00622A6D" w:rsidP="00A672C6">
            <w:pPr>
              <w:spacing w:before="120" w:after="120"/>
              <w:rPr>
                <w:color w:val="FFFFFF" w:themeColor="background1"/>
              </w:rPr>
            </w:pPr>
            <w:r>
              <w:rPr>
                <w:color w:val="FFFFFF" w:themeColor="background1"/>
              </w:rPr>
              <w:t>Program podpory</w:t>
            </w:r>
          </w:p>
        </w:tc>
        <w:tc>
          <w:tcPr>
            <w:tcW w:w="3777" w:type="pct"/>
          </w:tcPr>
          <w:p w14:paraId="66CB0C81" w14:textId="77777777" w:rsidR="00622A6D" w:rsidRPr="007A0414" w:rsidRDefault="00622A6D" w:rsidP="00A672C6">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606535" w14:paraId="262B48C3" w14:textId="77777777" w:rsidTr="00A672C6">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F567D28" w14:textId="77777777" w:rsidR="00606535" w:rsidRDefault="00606535" w:rsidP="00622A6D">
            <w:pPr>
              <w:spacing w:after="0"/>
              <w:rPr>
                <w:color w:val="FFFFFF" w:themeColor="background1"/>
              </w:rPr>
            </w:pPr>
            <w:r>
              <w:rPr>
                <w:color w:val="FFFFFF" w:themeColor="background1"/>
              </w:rPr>
              <w:t>Evaluační metody</w:t>
            </w:r>
          </w:p>
        </w:tc>
        <w:tc>
          <w:tcPr>
            <w:tcW w:w="3777" w:type="pct"/>
          </w:tcPr>
          <w:p w14:paraId="440C38C1" w14:textId="77777777" w:rsidR="00606535" w:rsidRDefault="00606535"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Analýza projektových dat MS2014+</w:t>
            </w:r>
          </w:p>
          <w:p w14:paraId="23EA1A0F" w14:textId="77777777" w:rsidR="00606535" w:rsidRDefault="00606535"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Analýza sekundárních zdrojů dat</w:t>
            </w:r>
          </w:p>
          <w:p w14:paraId="66F67209" w14:textId="77777777" w:rsidR="00606535" w:rsidRDefault="00606535"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Dotazníkové šetření</w:t>
            </w:r>
          </w:p>
          <w:p w14:paraId="1781B324" w14:textId="77777777" w:rsidR="00606535" w:rsidRDefault="00606535"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Expertní panel</w:t>
            </w:r>
          </w:p>
          <w:p w14:paraId="65C226D2" w14:textId="77777777" w:rsidR="00152DAD" w:rsidRDefault="00152DAD"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Polostrukturované rozhovory</w:t>
            </w:r>
          </w:p>
          <w:p w14:paraId="64582FB6" w14:textId="77777777" w:rsidR="00152DAD" w:rsidRPr="007A0414" w:rsidRDefault="00152DAD" w:rsidP="002449AE">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Případové studie</w:t>
            </w:r>
          </w:p>
        </w:tc>
      </w:tr>
      <w:tr w:rsidR="00B2069E" w14:paraId="4C6741B9" w14:textId="77777777" w:rsidTr="00A672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65932D0A" w14:textId="77777777" w:rsidR="00B2069E" w:rsidRPr="00622A6D" w:rsidRDefault="00622A6D" w:rsidP="00EA4D5C">
            <w:pPr>
              <w:spacing w:after="0"/>
              <w:rPr>
                <w:color w:val="FFFFFF" w:themeColor="background1"/>
              </w:rPr>
            </w:pPr>
            <w:r>
              <w:rPr>
                <w:color w:val="FFFFFF" w:themeColor="background1"/>
              </w:rPr>
              <w:t>Hlavní závěry a</w:t>
            </w:r>
            <w:r w:rsidR="00EA4D5C">
              <w:rPr>
                <w:color w:val="FFFFFF" w:themeColor="background1"/>
              </w:rPr>
              <w:t> </w:t>
            </w:r>
            <w:r>
              <w:rPr>
                <w:color w:val="FFFFFF" w:themeColor="background1"/>
              </w:rPr>
              <w:t>z</w:t>
            </w:r>
            <w:r w:rsidRPr="00622A6D">
              <w:rPr>
                <w:color w:val="FFFFFF" w:themeColor="background1"/>
              </w:rPr>
              <w:t>jištění</w:t>
            </w:r>
          </w:p>
        </w:tc>
        <w:tc>
          <w:tcPr>
            <w:tcW w:w="3777" w:type="pct"/>
          </w:tcPr>
          <w:p w14:paraId="5A33CE6B" w14:textId="77777777" w:rsidR="00622A6D" w:rsidRPr="007A0414" w:rsidRDefault="00622A6D" w:rsidP="00680E5B">
            <w:pPr>
              <w:spacing w:after="60"/>
              <w:cnfStyle w:val="000000100000" w:firstRow="0" w:lastRow="0" w:firstColumn="0" w:lastColumn="0" w:oddVBand="0" w:evenVBand="0" w:oddHBand="1" w:evenHBand="0" w:firstRowFirstColumn="0" w:firstRowLastColumn="0" w:lastRowFirstColumn="0" w:lastRowLastColumn="0"/>
            </w:pPr>
            <w:r w:rsidRPr="007A0414">
              <w:t xml:space="preserve">V současné době </w:t>
            </w:r>
            <w:r w:rsidRPr="00680E5B">
              <w:rPr>
                <w:b/>
              </w:rPr>
              <w:t>není možné komplexně vyhodnotit dopady podpory OP PIK na zvýšení inovační výkonnosti podniků v ČR</w:t>
            </w:r>
            <w:r w:rsidRPr="00152DAD">
              <w:t>, a</w:t>
            </w:r>
            <w:r w:rsidRPr="00680E5B">
              <w:rPr>
                <w:b/>
              </w:rPr>
              <w:t> </w:t>
            </w:r>
            <w:r w:rsidRPr="007A0414">
              <w:t xml:space="preserve">to především z důvodu nízkého počtu ukončených projektů. </w:t>
            </w:r>
          </w:p>
          <w:p w14:paraId="1082CD65" w14:textId="77777777" w:rsidR="00622A6D" w:rsidRPr="007A0414" w:rsidRDefault="00622A6D" w:rsidP="002449AE">
            <w:pPr>
              <w:pStyle w:val="ListParagraph"/>
              <w:numPr>
                <w:ilvl w:val="0"/>
                <w:numId w:val="16"/>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Na základě informací a dat získaných prostřednictvím expertního panelu, dotazníkového šetření, hloubkových rozhovorů a případových studií </w:t>
            </w:r>
            <w:r w:rsidRPr="007A0414">
              <w:rPr>
                <w:b/>
              </w:rPr>
              <w:t>hodnotí příjemci podporu v rámci SC 1.1 pozitivně</w:t>
            </w:r>
            <w:r w:rsidRPr="007A0414">
              <w:t xml:space="preserve"> a dle jejich názorů </w:t>
            </w:r>
            <w:r w:rsidRPr="004C45B3">
              <w:rPr>
                <w:b/>
              </w:rPr>
              <w:t>přispívá k dosahování cílů SC 1.1</w:t>
            </w:r>
            <w:r w:rsidRPr="007A0414">
              <w:t xml:space="preserve">, přestože toto tvrzení není možné doložit robustními kvantitativními daty. </w:t>
            </w:r>
          </w:p>
          <w:p w14:paraId="050E4C19" w14:textId="77777777" w:rsidR="00EC0381" w:rsidRDefault="00622A6D" w:rsidP="002449AE">
            <w:pPr>
              <w:pStyle w:val="ListParagraph"/>
              <w:numPr>
                <w:ilvl w:val="0"/>
                <w:numId w:val="17"/>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Z expertního panelu a dotazníkového šetření vyplývá, že </w:t>
            </w:r>
            <w:r w:rsidRPr="007A0414">
              <w:rPr>
                <w:b/>
              </w:rPr>
              <w:t>podpořené projekty měly jednoznačně pozitivní vliv na inovační výkonnost individuálních podniků</w:t>
            </w:r>
            <w:r w:rsidR="001F461F">
              <w:rPr>
                <w:b/>
              </w:rPr>
              <w:t>,</w:t>
            </w:r>
            <w:r w:rsidRPr="007A0414">
              <w:rPr>
                <w:b/>
              </w:rPr>
              <w:t xml:space="preserve"> </w:t>
            </w:r>
            <w:r w:rsidRPr="002449AE">
              <w:t>a</w:t>
            </w:r>
            <w:r w:rsidRPr="007A0414">
              <w:rPr>
                <w:b/>
              </w:rPr>
              <w:t> </w:t>
            </w:r>
            <w:r w:rsidRPr="007A0414">
              <w:t xml:space="preserve">to </w:t>
            </w:r>
            <w:r w:rsidRPr="004C45B3">
              <w:rPr>
                <w:b/>
              </w:rPr>
              <w:t>především podniků malých a středních.</w:t>
            </w:r>
            <w:r w:rsidRPr="007A0414">
              <w:t xml:space="preserve"> </w:t>
            </w:r>
          </w:p>
          <w:p w14:paraId="108A1B99" w14:textId="77777777" w:rsidR="00EC0381" w:rsidRDefault="00EC0381" w:rsidP="002449AE">
            <w:pPr>
              <w:pStyle w:val="ListParagraph"/>
              <w:numPr>
                <w:ilvl w:val="0"/>
                <w:numId w:val="17"/>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V mnoha případech vedly podpořené projekty k </w:t>
            </w:r>
            <w:r w:rsidRPr="007A0414">
              <w:rPr>
                <w:b/>
              </w:rPr>
              <w:t>urychlení inovací až o dva roky</w:t>
            </w:r>
            <w:r w:rsidRPr="007A0414">
              <w:t xml:space="preserve"> a </w:t>
            </w:r>
            <w:r w:rsidRPr="007A0414">
              <w:rPr>
                <w:b/>
              </w:rPr>
              <w:t>implementaci komplexnějších řešení</w:t>
            </w:r>
            <w:r w:rsidRPr="007A0414">
              <w:t xml:space="preserve">. </w:t>
            </w:r>
          </w:p>
          <w:p w14:paraId="1D517F1F" w14:textId="77777777" w:rsidR="00680E5B" w:rsidRPr="007A0414" w:rsidRDefault="00680E5B" w:rsidP="002449AE">
            <w:pPr>
              <w:pStyle w:val="ListParagraph"/>
              <w:numPr>
                <w:ilvl w:val="0"/>
                <w:numId w:val="17"/>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Díky podpoře z programu Potenciál pak </w:t>
            </w:r>
            <w:r w:rsidRPr="007A0414">
              <w:rPr>
                <w:b/>
              </w:rPr>
              <w:t xml:space="preserve">došlo ke zvýšení počtu firem disponujících moderní </w:t>
            </w:r>
            <w:proofErr w:type="spellStart"/>
            <w:r w:rsidRPr="007A0414">
              <w:rPr>
                <w:b/>
              </w:rPr>
              <w:t>VaV</w:t>
            </w:r>
            <w:proofErr w:type="spellEnd"/>
            <w:r w:rsidRPr="007A0414">
              <w:rPr>
                <w:b/>
              </w:rPr>
              <w:t xml:space="preserve"> infrastrukturou</w:t>
            </w:r>
            <w:r w:rsidRPr="007A0414">
              <w:t>. Zároveň však není jisté, bude-li tato infrastruktura po skončení projektu opravdu využívána pro výzkumné účely.</w:t>
            </w:r>
          </w:p>
          <w:p w14:paraId="5A868720" w14:textId="77777777" w:rsidR="00680E5B" w:rsidRDefault="00622A6D"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Někteří příjemci uvedl</w:t>
            </w:r>
            <w:r w:rsidR="00680E5B">
              <w:t>i</w:t>
            </w:r>
            <w:r w:rsidRPr="007A0414">
              <w:t xml:space="preserve">, že </w:t>
            </w:r>
            <w:r w:rsidRPr="00EC0381">
              <w:rPr>
                <w:b/>
              </w:rPr>
              <w:t>inovace by realizovali i bez dotační podpory</w:t>
            </w:r>
            <w:r w:rsidRPr="007A0414">
              <w:t xml:space="preserve">, avšak je pravděpodobné, že by jim to zejména z finančních důvodů trvalo déle nebo by realizovali pouze dílčí či nezbytné inovace. </w:t>
            </w:r>
          </w:p>
          <w:p w14:paraId="75FABFAC" w14:textId="77777777" w:rsidR="001E1F40" w:rsidRDefault="001E1F40"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2A5244">
              <w:rPr>
                <w:b/>
              </w:rPr>
              <w:t>Vzhledem ke zdlouhavému procesu hodnocení projektů</w:t>
            </w:r>
            <w:r>
              <w:t xml:space="preserve"> zejména na začátku programovacího období, kdy hodnocení projektů trvalo i déle než rok, </w:t>
            </w:r>
            <w:r w:rsidRPr="002A5244">
              <w:rPr>
                <w:b/>
              </w:rPr>
              <w:t>nebyly podniky schopné realizovat inovace tak rychle jako bez podpory</w:t>
            </w:r>
            <w:r>
              <w:t xml:space="preserve">. Vývoj trhu byl často rychlejší než proces hodnocení projektů a rozhodnutí o přidělení dotace, takže </w:t>
            </w:r>
            <w:r w:rsidRPr="002A5244">
              <w:rPr>
                <w:b/>
              </w:rPr>
              <w:t>v momentě schválení projektu byly některé</w:t>
            </w:r>
            <w:r w:rsidR="002A5244" w:rsidRPr="002A5244">
              <w:rPr>
                <w:b/>
              </w:rPr>
              <w:t xml:space="preserve"> inovace</w:t>
            </w:r>
            <w:r w:rsidRPr="002A5244">
              <w:rPr>
                <w:b/>
              </w:rPr>
              <w:t xml:space="preserve"> </w:t>
            </w:r>
            <w:r w:rsidR="002A5244">
              <w:rPr>
                <w:b/>
              </w:rPr>
              <w:t xml:space="preserve">uvedené v žádosti </w:t>
            </w:r>
            <w:r w:rsidRPr="002A5244">
              <w:rPr>
                <w:b/>
              </w:rPr>
              <w:t>již zastaralé</w:t>
            </w:r>
            <w:r>
              <w:t>. Žadatelé tedy od projektu odstoupili, nebo aby byli schopni projekt realizovat, museli projít komplikovaným změnovým řízením.</w:t>
            </w:r>
          </w:p>
          <w:p w14:paraId="2F981CA7" w14:textId="77777777" w:rsidR="00680E5B" w:rsidRDefault="00622A6D"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Podpořené projekty jsou však </w:t>
            </w:r>
            <w:r w:rsidRPr="00680E5B">
              <w:rPr>
                <w:b/>
              </w:rPr>
              <w:t xml:space="preserve">poměrně konzervativní </w:t>
            </w:r>
            <w:r w:rsidRPr="002A5244">
              <w:t>a</w:t>
            </w:r>
            <w:r w:rsidRPr="00680E5B">
              <w:rPr>
                <w:b/>
              </w:rPr>
              <w:t> </w:t>
            </w:r>
            <w:r w:rsidRPr="007A0414">
              <w:t>spíše průměrného inovačního řádu, tj. 5 u MSP a 6 u VP, jen velmi málo příjemců podpory dosahuje na inovační řád 7</w:t>
            </w:r>
            <w:r w:rsidR="00EB2999">
              <w:rPr>
                <w:rStyle w:val="FootnoteReference"/>
              </w:rPr>
              <w:footnoteReference w:id="7"/>
            </w:r>
            <w:r w:rsidRPr="007A0414">
              <w:t xml:space="preserve">. </w:t>
            </w:r>
          </w:p>
          <w:p w14:paraId="798FED2F" w14:textId="77777777" w:rsidR="001E1F40" w:rsidRDefault="001E1F40"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Bylo realizováno </w:t>
            </w:r>
            <w:r w:rsidRPr="002A5244">
              <w:rPr>
                <w:b/>
              </w:rPr>
              <w:t>méně marketingově-obchodních inovací</w:t>
            </w:r>
            <w:r>
              <w:t>.</w:t>
            </w:r>
          </w:p>
          <w:p w14:paraId="218B1EF5" w14:textId="77777777" w:rsidR="001E1F40" w:rsidRPr="00680E5B" w:rsidRDefault="001E1F40"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Řada žádostí byla </w:t>
            </w:r>
            <w:r w:rsidRPr="002A5244">
              <w:rPr>
                <w:b/>
              </w:rPr>
              <w:t>zaměřená na</w:t>
            </w:r>
            <w:r>
              <w:t xml:space="preserve"> </w:t>
            </w:r>
            <w:r w:rsidRPr="002A5244">
              <w:rPr>
                <w:b/>
              </w:rPr>
              <w:t xml:space="preserve">rozšíření výroby spíše než na </w:t>
            </w:r>
            <w:proofErr w:type="spellStart"/>
            <w:r w:rsidRPr="002A5244">
              <w:rPr>
                <w:b/>
              </w:rPr>
              <w:t>VaVaI</w:t>
            </w:r>
            <w:proofErr w:type="spellEnd"/>
            <w:r>
              <w:t>.</w:t>
            </w:r>
          </w:p>
          <w:p w14:paraId="712F72A5" w14:textId="77777777" w:rsidR="00680E5B" w:rsidRDefault="00622A6D"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Díky podpoře OP PIK došlo i k</w:t>
            </w:r>
            <w:r w:rsidR="003231D5">
              <w:t> </w:t>
            </w:r>
            <w:r w:rsidR="003231D5" w:rsidRPr="004C45B3">
              <w:rPr>
                <w:b/>
              </w:rPr>
              <w:t>mírnému</w:t>
            </w:r>
            <w:r w:rsidR="003231D5">
              <w:t xml:space="preserve"> </w:t>
            </w:r>
            <w:r w:rsidRPr="00680E5B">
              <w:rPr>
                <w:b/>
              </w:rPr>
              <w:t>navýšení technické kapacity podniků</w:t>
            </w:r>
            <w:r w:rsidRPr="007A0414">
              <w:t xml:space="preserve">, ačkoli přínos podpory nebyl tak výrazný jako u inovační výkonnosti.  </w:t>
            </w:r>
          </w:p>
          <w:p w14:paraId="444E1562" w14:textId="77777777" w:rsidR="001E1F40" w:rsidRPr="002449AE" w:rsidRDefault="00622A6D" w:rsidP="002449AE">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Naopak </w:t>
            </w:r>
            <w:r w:rsidRPr="00680E5B">
              <w:rPr>
                <w:b/>
              </w:rPr>
              <w:t>zanedbatelný vliv</w:t>
            </w:r>
            <w:r w:rsidRPr="007A0414">
              <w:t xml:space="preserve"> měla podpora OP PIK </w:t>
            </w:r>
            <w:r w:rsidRPr="00680E5B">
              <w:rPr>
                <w:b/>
              </w:rPr>
              <w:t>na personální kapacitu podniků.</w:t>
            </w:r>
          </w:p>
          <w:p w14:paraId="02972ABF" w14:textId="77777777" w:rsidR="00FF41C8" w:rsidRPr="00CE2FF0" w:rsidRDefault="00622A6D" w:rsidP="00E70799">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7A0414">
              <w:t xml:space="preserve">Indikátorová soustava OP PIK </w:t>
            </w:r>
            <w:r w:rsidRPr="00680E5B">
              <w:rPr>
                <w:b/>
              </w:rPr>
              <w:t>neobsahuje vhodné indikátory, ze kterých by bylo možné dopad podpory na inovační výkonnost přímo vyhodnoti</w:t>
            </w:r>
            <w:r w:rsidRPr="007A0414">
              <w:t xml:space="preserve">t, a </w:t>
            </w:r>
            <w:r w:rsidRPr="00680E5B">
              <w:rPr>
                <w:b/>
              </w:rPr>
              <w:t>z dat ČSÚ nelze</w:t>
            </w:r>
            <w:r w:rsidRPr="007A0414">
              <w:t xml:space="preserve"> vzhledem k působení široké škály socioekonomických faktorů na inovační výkonnost firem </w:t>
            </w:r>
            <w:r w:rsidRPr="00680E5B">
              <w:rPr>
                <w:b/>
              </w:rPr>
              <w:t>jednoznačně určit vliv podpory OP PIK.</w:t>
            </w:r>
          </w:p>
          <w:p w14:paraId="7C4F8234" w14:textId="77777777" w:rsidR="009C4E63" w:rsidRDefault="009C4E63" w:rsidP="00E70799">
            <w:pPr>
              <w:pStyle w:val="ListParagraph"/>
              <w:numPr>
                <w:ilvl w:val="0"/>
                <w:numId w:val="18"/>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CE2FF0">
              <w:rPr>
                <w:b/>
                <w:bCs/>
              </w:rPr>
              <w:t>Příspěvek podpořených projektů k naplňování výsledkových indikátorů nelze vyhodnotit</w:t>
            </w:r>
            <w:r>
              <w:t>, neboť indikátorová soustava neobsahuje relevantní informace</w:t>
            </w:r>
            <w:r w:rsidR="00F234D1">
              <w:t>, bez jejichž znalosti nelze provést vyhodnocení</w:t>
            </w:r>
            <w:r>
              <w:t>:</w:t>
            </w:r>
          </w:p>
          <w:p w14:paraId="1142F42A" w14:textId="77777777" w:rsidR="009C4E63" w:rsidRDefault="00F234D1" w:rsidP="00CE2FF0">
            <w:pPr>
              <w:pStyle w:val="ListParagraph"/>
              <w:numPr>
                <w:ilvl w:val="0"/>
                <w:numId w:val="18"/>
              </w:numPr>
              <w:spacing w:after="60"/>
              <w:contextualSpacing w:val="0"/>
              <w:cnfStyle w:val="000000100000" w:firstRow="0" w:lastRow="0" w:firstColumn="0" w:lastColumn="0" w:oddVBand="0" w:evenVBand="0" w:oddHBand="1" w:evenHBand="0" w:firstRowFirstColumn="0" w:firstRowLastColumn="0" w:lastRowFirstColumn="0" w:lastRowLastColumn="0"/>
            </w:pPr>
            <w:r>
              <w:t>pro v</w:t>
            </w:r>
            <w:r w:rsidR="009C4E63">
              <w:t xml:space="preserve">ýsledkový indikátor 21010 - </w:t>
            </w:r>
            <w:r w:rsidR="009C4E63" w:rsidRPr="009C4E63">
              <w:t xml:space="preserve">Podnikové výdaje na </w:t>
            </w:r>
            <w:proofErr w:type="spellStart"/>
            <w:r w:rsidR="009C4E63" w:rsidRPr="009C4E63">
              <w:t>VaV</w:t>
            </w:r>
            <w:proofErr w:type="spellEnd"/>
            <w:r w:rsidR="009C4E63" w:rsidRPr="009C4E63">
              <w:t xml:space="preserve"> v podnikatelském sektoru jako % HDP - regiony ČR (mimo hl. m. Praha)</w:t>
            </w:r>
            <w:r w:rsidR="009C4E63">
              <w:t xml:space="preserve"> </w:t>
            </w:r>
            <w:r>
              <w:t>–</w:t>
            </w:r>
            <w:r w:rsidR="009C4E63">
              <w:t xml:space="preserve"> </w:t>
            </w:r>
            <w:r>
              <w:t xml:space="preserve">není dostupná informace o podnikových výdajích z podpořených projektů (mj. indikátor 10300 - </w:t>
            </w:r>
            <w:r w:rsidRPr="00F234D1">
              <w:t>Soukromé investice odpovídající veřejné podpoře podniků (granty)</w:t>
            </w:r>
            <w:r>
              <w:t>;</w:t>
            </w:r>
          </w:p>
          <w:p w14:paraId="509DAF9F" w14:textId="77777777" w:rsidR="00F234D1" w:rsidRDefault="00F234D1" w:rsidP="00CE2FF0">
            <w:pPr>
              <w:pStyle w:val="ListParagraph"/>
              <w:numPr>
                <w:ilvl w:val="0"/>
                <w:numId w:val="18"/>
              </w:numPr>
              <w:spacing w:after="60"/>
              <w:contextualSpacing w:val="0"/>
              <w:cnfStyle w:val="000000100000" w:firstRow="0" w:lastRow="0" w:firstColumn="0" w:lastColumn="0" w:oddVBand="0" w:evenVBand="0" w:oddHBand="1" w:evenHBand="0" w:firstRowFirstColumn="0" w:firstRowLastColumn="0" w:lastRowFirstColumn="0" w:lastRowLastColumn="0"/>
            </w:pPr>
            <w:r>
              <w:t xml:space="preserve">pro výsledkový indikátor 21411 - </w:t>
            </w:r>
            <w:r w:rsidRPr="00F234D1">
              <w:t>Tržby z inovované produkce jako % celkových tržeb podniků s produktovou inovací</w:t>
            </w:r>
            <w:r>
              <w:t xml:space="preserve"> – není dostupná informace o tržbách (celkových a z inovované produkce) podpořených projektů – mj. nerelevantní údaje indikátoru 21410 - </w:t>
            </w:r>
            <w:r w:rsidRPr="00F234D1">
              <w:t>Tržby podpořených podniků v důsledku zavedené inovace</w:t>
            </w:r>
            <w:r>
              <w:t>.</w:t>
            </w:r>
          </w:p>
        </w:tc>
      </w:tr>
      <w:tr w:rsidR="00B2069E" w14:paraId="3F4AA0F6" w14:textId="77777777" w:rsidTr="00A672C6">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05143AE" w14:textId="77777777" w:rsidR="00B2069E" w:rsidRPr="00622A6D" w:rsidRDefault="00622A6D" w:rsidP="00EC0381">
            <w:pPr>
              <w:spacing w:after="0"/>
              <w:rPr>
                <w:color w:val="FFFFFF" w:themeColor="background1"/>
              </w:rPr>
            </w:pPr>
            <w:r w:rsidRPr="00622A6D">
              <w:rPr>
                <w:color w:val="FFFFFF" w:themeColor="background1"/>
              </w:rPr>
              <w:t>Doporučení</w:t>
            </w:r>
            <w:r>
              <w:rPr>
                <w:color w:val="FFFFFF" w:themeColor="background1"/>
              </w:rPr>
              <w:t xml:space="preserve"> </w:t>
            </w:r>
            <w:r w:rsidR="00EC0381">
              <w:rPr>
                <w:color w:val="FFFFFF" w:themeColor="background1"/>
              </w:rPr>
              <w:t>pro současné</w:t>
            </w:r>
            <w:r>
              <w:rPr>
                <w:color w:val="FFFFFF" w:themeColor="background1"/>
              </w:rPr>
              <w:t xml:space="preserve"> program</w:t>
            </w:r>
            <w:r w:rsidR="00A672C6">
              <w:rPr>
                <w:color w:val="FFFFFF" w:themeColor="background1"/>
              </w:rPr>
              <w:t>.</w:t>
            </w:r>
            <w:r>
              <w:rPr>
                <w:color w:val="FFFFFF" w:themeColor="background1"/>
              </w:rPr>
              <w:t xml:space="preserve"> </w:t>
            </w:r>
            <w:r w:rsidR="002A5244">
              <w:rPr>
                <w:color w:val="FFFFFF" w:themeColor="background1"/>
              </w:rPr>
              <w:t>O</w:t>
            </w:r>
            <w:r>
              <w:rPr>
                <w:color w:val="FFFFFF" w:themeColor="background1"/>
              </w:rPr>
              <w:t>bdobí</w:t>
            </w:r>
          </w:p>
        </w:tc>
        <w:tc>
          <w:tcPr>
            <w:tcW w:w="3777" w:type="pct"/>
          </w:tcPr>
          <w:p w14:paraId="389E2C26" w14:textId="77777777" w:rsidR="00F52E43" w:rsidRDefault="00F52E43"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F52E43">
              <w:rPr>
                <w:b/>
              </w:rPr>
              <w:t>Zajistit dostatečnou implementační kapacitu a urychlit kontrolní procesy</w:t>
            </w:r>
            <w:r>
              <w:t xml:space="preserve"> (hodnocení žádostí, kontroly VZ, žádosti o platbu), zároveň s tím snižovat administrativní zátěž (množství dokládané a kontrolované dokumentace).</w:t>
            </w:r>
          </w:p>
          <w:p w14:paraId="271081A7" w14:textId="77777777" w:rsidR="00F52E43" w:rsidRDefault="00F52E43"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F52E43">
              <w:rPr>
                <w:b/>
              </w:rPr>
              <w:t>Vyhodnotit indikátorovou soustavu a zaměřit se na řešení indikátorů</w:t>
            </w:r>
            <w:r>
              <w:t>, které vykazují zjevné nedostatky ve způsobu jejich monitorování (hodnoty nejsou k dispozici nebo jsou zadávány v rozporu s definicí indikátoru) a indikátory, u kterých je vykazována nízká hodnota.</w:t>
            </w:r>
          </w:p>
        </w:tc>
      </w:tr>
      <w:tr w:rsidR="00B2069E" w14:paraId="78387B5D" w14:textId="77777777" w:rsidTr="00A672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D0DC72C" w14:textId="77777777" w:rsidR="00B2069E" w:rsidRPr="00622A6D" w:rsidRDefault="00622A6D" w:rsidP="00A672C6">
            <w:pPr>
              <w:spacing w:after="0"/>
              <w:rPr>
                <w:color w:val="FFFFFF" w:themeColor="background1"/>
              </w:rPr>
            </w:pPr>
            <w:r>
              <w:rPr>
                <w:color w:val="FFFFFF" w:themeColor="background1"/>
              </w:rPr>
              <w:t>Doporučení pro program</w:t>
            </w:r>
            <w:r w:rsidR="00A672C6">
              <w:rPr>
                <w:color w:val="FFFFFF" w:themeColor="background1"/>
              </w:rPr>
              <w:t>.</w:t>
            </w:r>
            <w:r>
              <w:rPr>
                <w:color w:val="FFFFFF" w:themeColor="background1"/>
              </w:rPr>
              <w:t xml:space="preserve"> období 2021+</w:t>
            </w:r>
          </w:p>
        </w:tc>
        <w:tc>
          <w:tcPr>
            <w:tcW w:w="3777" w:type="pct"/>
          </w:tcPr>
          <w:p w14:paraId="049EB99B" w14:textId="77777777" w:rsidR="00B2069E" w:rsidRDefault="00F52E43"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F52E43">
              <w:rPr>
                <w:b/>
              </w:rPr>
              <w:t>Zachovat stávající strukturu programů</w:t>
            </w:r>
            <w:r>
              <w:t>, tj. Aplikace, Inovace a Potenciál</w:t>
            </w:r>
            <w:r w:rsidR="00AA02CD">
              <w:t>.</w:t>
            </w:r>
          </w:p>
          <w:p w14:paraId="584321E2" w14:textId="77777777" w:rsidR="002A5244" w:rsidRDefault="00F52E43"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F52E43">
              <w:rPr>
                <w:b/>
              </w:rPr>
              <w:t>Soustředit se na zjednodušování</w:t>
            </w:r>
            <w:r>
              <w:t xml:space="preserve"> napříč všemi implementačními mechanismy (vymezení způsobilých výdajů, metodické postupy, dokladování a kontrola dokumentů)</w:t>
            </w:r>
            <w:r w:rsidR="00AA02CD">
              <w:t>.</w:t>
            </w:r>
          </w:p>
          <w:p w14:paraId="2277CC3F" w14:textId="77777777" w:rsidR="002A5244" w:rsidRDefault="002A5244"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2A5244">
              <w:rPr>
                <w:b/>
              </w:rPr>
              <w:t>Revidovat indikátorov</w:t>
            </w:r>
            <w:r w:rsidR="002449AE">
              <w:rPr>
                <w:b/>
              </w:rPr>
              <w:t>o</w:t>
            </w:r>
            <w:r w:rsidRPr="002A5244">
              <w:rPr>
                <w:b/>
              </w:rPr>
              <w:t>u soustavu</w:t>
            </w:r>
            <w:r>
              <w:t>, doplnit indikátory umožňující měření výsledků</w:t>
            </w:r>
            <w:r w:rsidR="00AA02CD">
              <w:t>.</w:t>
            </w:r>
          </w:p>
          <w:p w14:paraId="68E34B00" w14:textId="77777777" w:rsidR="002A5244" w:rsidRDefault="002A5244"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2A5244">
              <w:rPr>
                <w:b/>
              </w:rPr>
              <w:t>Umožnit flexibilitu</w:t>
            </w:r>
            <w:r>
              <w:t xml:space="preserve"> v rámci projektů – např. rychlé a efektivní změnové řízení</w:t>
            </w:r>
            <w:r w:rsidR="00AA02CD">
              <w:t>.</w:t>
            </w:r>
          </w:p>
          <w:p w14:paraId="72C12F17" w14:textId="77777777" w:rsidR="002A5244" w:rsidRDefault="002A5244"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2A5244">
              <w:rPr>
                <w:b/>
              </w:rPr>
              <w:t>Zrychlit proces hodnocení a schvalování</w:t>
            </w:r>
            <w:r>
              <w:t xml:space="preserve"> projektových žádostí</w:t>
            </w:r>
            <w:r w:rsidR="00AA02CD">
              <w:t>.</w:t>
            </w:r>
          </w:p>
        </w:tc>
      </w:tr>
    </w:tbl>
    <w:p w14:paraId="29E1A249" w14:textId="77777777" w:rsidR="00D73025" w:rsidRPr="00D73025" w:rsidRDefault="00D73025" w:rsidP="00152DAD">
      <w:pPr>
        <w:pStyle w:val="Heading1"/>
        <w:numPr>
          <w:ilvl w:val="1"/>
          <w:numId w:val="2"/>
        </w:numPr>
        <w:spacing w:before="240" w:after="120"/>
        <w:ind w:left="714" w:hanging="357"/>
      </w:pPr>
      <w:bookmarkStart w:id="19" w:name="_Toc8825064"/>
      <w:bookmarkStart w:id="20" w:name="_Toc8825194"/>
      <w:bookmarkStart w:id="21" w:name="_Toc11679610"/>
      <w:r>
        <w:t>Doplňující informace</w:t>
      </w:r>
      <w:bookmarkEnd w:id="19"/>
      <w:bookmarkEnd w:id="20"/>
      <w:bookmarkEnd w:id="21"/>
    </w:p>
    <w:p w14:paraId="501B9BF7" w14:textId="77777777" w:rsidR="00BF2C1C" w:rsidRDefault="00BF2C1C" w:rsidP="00BF2C1C">
      <w:pPr>
        <w:jc w:val="both"/>
      </w:pPr>
      <w:r>
        <w:t>Ze situační analýzy SC 1.1</w:t>
      </w:r>
      <w:r w:rsidR="008C4584">
        <w:t xml:space="preserve"> </w:t>
      </w:r>
      <w:r>
        <w:t xml:space="preserve">vyplývá, že hlavním problémem, který by měla podpora OP PIK pomoci řešit, je nízká inovační výkonnost podniků. Vedle zahraničních firem je v české ekonomice minimum firem, které přicházejí s inovacemi, jež jsou </w:t>
      </w:r>
      <w:r w:rsidR="008C4584">
        <w:t xml:space="preserve">zcela </w:t>
      </w:r>
      <w:r>
        <w:t>nové pro trh. Pouze minimum firem dosahuje technologické hranice v oboru svého působení a má interní potenciál pro radikální technické inovace. Průlomové netechnické inovace nejsou v Č</w:t>
      </w:r>
      <w:r w:rsidR="002A5244">
        <w:t>R</w:t>
      </w:r>
      <w:r>
        <w:t xml:space="preserve"> časté, což mnozí experti spojují se silně převažující kulturou </w:t>
      </w:r>
      <w:proofErr w:type="spellStart"/>
      <w:r>
        <w:t>technicko-výrobní</w:t>
      </w:r>
      <w:proofErr w:type="spellEnd"/>
      <w:r>
        <w:t xml:space="preserve"> nad </w:t>
      </w:r>
      <w:bookmarkStart w:id="22" w:name="_Hlk10149942"/>
      <w:r>
        <w:t>kulturou marketingově-obchodní</w:t>
      </w:r>
      <w:bookmarkEnd w:id="22"/>
      <w:r>
        <w:t xml:space="preserve">. </w:t>
      </w:r>
      <w:r w:rsidR="0061093E">
        <w:t xml:space="preserve">V ČR tak převažuje lidský kapitál a firmy s vysokými technickými znalostmi ale méně rozvinutými měkkými dovednostmi, které by podpořily vstup na zahraniční trhy. </w:t>
      </w:r>
      <w:r>
        <w:t xml:space="preserve">Pro českou ekonomiku je typická </w:t>
      </w:r>
      <w:r w:rsidRPr="005C3D49">
        <w:t>relativně omezená poptávka po inovacích vyšších řádů</w:t>
      </w:r>
      <w:r>
        <w:t xml:space="preserve"> a </w:t>
      </w:r>
      <w:r w:rsidRPr="005C3D49">
        <w:t xml:space="preserve">také důraz </w:t>
      </w:r>
      <w:r>
        <w:t xml:space="preserve">pouze </w:t>
      </w:r>
      <w:r w:rsidRPr="005C3D49">
        <w:t>na inkrementální procesní inovace, zvláště ve výrobě, což je typické pro firmy v závislém postavení v nižších patrech hodnotových řetězců.</w:t>
      </w:r>
    </w:p>
    <w:p w14:paraId="4E3B3D94" w14:textId="77777777" w:rsidR="00BF2C1C" w:rsidRDefault="00BF2C1C" w:rsidP="00BF2C1C">
      <w:pPr>
        <w:jc w:val="both"/>
      </w:pPr>
      <w:r>
        <w:t>Pro významnou část firem se inovace staly zásadní složkou strategie až v posledních letech. Často v důsledku negativního dopadu závislosti na úzkém okruhu odběratelů z řad výrobních závodů zahraničních firem v ČR či okolních zemích, popř. jejich přímých dodavatelů.</w:t>
      </w:r>
      <w:r w:rsidR="008C4584">
        <w:t xml:space="preserve"> </w:t>
      </w:r>
    </w:p>
    <w:p w14:paraId="51B6315A" w14:textId="77777777" w:rsidR="00BF2C1C" w:rsidRDefault="00BF2C1C" w:rsidP="00BF2C1C">
      <w:pPr>
        <w:jc w:val="both"/>
      </w:pPr>
    </w:p>
    <w:p w14:paraId="55903AB0" w14:textId="77777777" w:rsidR="00BF2C1C" w:rsidRPr="00260C93" w:rsidRDefault="00BF2C1C" w:rsidP="00BF2C1C">
      <w:pPr>
        <w:spacing w:after="120"/>
        <w:jc w:val="both"/>
        <w:rPr>
          <w:b/>
        </w:rPr>
      </w:pPr>
      <w:r w:rsidRPr="00260C93">
        <w:rPr>
          <w:b/>
        </w:rPr>
        <w:t>Současný stav realizace projektů podpořených</w:t>
      </w:r>
      <w:r>
        <w:rPr>
          <w:b/>
        </w:rPr>
        <w:t xml:space="preserve"> z </w:t>
      </w:r>
      <w:r w:rsidRPr="00260C93">
        <w:rPr>
          <w:b/>
        </w:rPr>
        <w:t>prostředků SC 1.1</w:t>
      </w:r>
    </w:p>
    <w:p w14:paraId="1928487B" w14:textId="77777777" w:rsidR="00BF2C1C" w:rsidRDefault="00BF2C1C" w:rsidP="00BF2C1C">
      <w:pPr>
        <w:jc w:val="both"/>
      </w:pPr>
      <w:r w:rsidRPr="00FF1A65">
        <w:t xml:space="preserve">Z projektů, kterým byl vydán právní akt (1 507), </w:t>
      </w:r>
      <w:r w:rsidR="002A5244">
        <w:t>bylo</w:t>
      </w:r>
      <w:r>
        <w:t xml:space="preserve"> k datu analýzy (8. 1. 2019) ukončeno </w:t>
      </w:r>
      <w:r w:rsidRPr="00FF1A65">
        <w:t>22</w:t>
      </w:r>
      <w:r>
        <w:t> </w:t>
      </w:r>
      <w:r w:rsidRPr="00FF1A65">
        <w:t>%, tj. 338 projektů</w:t>
      </w:r>
      <w:r>
        <w:t xml:space="preserve">. </w:t>
      </w:r>
      <w:r w:rsidRPr="00FF1A65">
        <w:t xml:space="preserve">Tomu odpovídají vykazované hodnoty </w:t>
      </w:r>
      <w:r>
        <w:t xml:space="preserve">monitorovacích </w:t>
      </w:r>
      <w:r w:rsidRPr="00FF1A65">
        <w:t>indikátorů – dosažné hodnoty jsou zatím relativně nízké</w:t>
      </w:r>
      <w:r>
        <w:t xml:space="preserve"> a </w:t>
      </w:r>
      <w:r w:rsidRPr="00FF1A65">
        <w:t>je proto potřeba brát v potaz hodnoty naplánované příjemci</w:t>
      </w:r>
      <w:r>
        <w:t>, resp. vycházející z vydaných právních aktů. Na druhou stranu, jedná-li se o hodnoty plánované, je evidentní, že skutečnost jejich plnění se bude lišit. Odchylka v tomto případě může být oběma směry.</w:t>
      </w:r>
    </w:p>
    <w:p w14:paraId="397168A8" w14:textId="3D0D7DB5" w:rsidR="00BF2C1C" w:rsidRPr="00FF1A65" w:rsidRDefault="00BF2C1C" w:rsidP="00BF2C1C">
      <w:pPr>
        <w:jc w:val="both"/>
      </w:pPr>
      <w:r w:rsidRPr="00FF1A65">
        <w:t>V každém programu podpory je pro příjemce povinn</w:t>
      </w:r>
      <w:r>
        <w:t>é</w:t>
      </w:r>
      <w:r w:rsidRPr="00FF1A65">
        <w:t xml:space="preserve"> </w:t>
      </w:r>
      <w:r>
        <w:t xml:space="preserve">vykazovat </w:t>
      </w:r>
      <w:r w:rsidRPr="00FF1A65">
        <w:t>pouze jeden indikátor:</w:t>
      </w:r>
    </w:p>
    <w:p w14:paraId="4EC8C3EE" w14:textId="77777777" w:rsidR="00BF2C1C" w:rsidRPr="00FF1A65" w:rsidRDefault="00BF2C1C" w:rsidP="00BF2C1C">
      <w:pPr>
        <w:pStyle w:val="ListParagraph"/>
        <w:numPr>
          <w:ilvl w:val="0"/>
          <w:numId w:val="72"/>
        </w:numPr>
        <w:spacing w:after="120"/>
        <w:ind w:left="714" w:hanging="357"/>
        <w:contextualSpacing w:val="0"/>
        <w:jc w:val="both"/>
      </w:pPr>
      <w:r w:rsidRPr="00260C93">
        <w:rPr>
          <w:b/>
        </w:rPr>
        <w:t>Aplikace:</w:t>
      </w:r>
      <w:r w:rsidRPr="00FF1A65">
        <w:t xml:space="preserve"> </w:t>
      </w:r>
      <w:r>
        <w:t>21610 -</w:t>
      </w:r>
      <w:r w:rsidRPr="00FF1A65">
        <w:t xml:space="preserve"> </w:t>
      </w:r>
      <w:r w:rsidRPr="00260C93">
        <w:rPr>
          <w:b/>
        </w:rPr>
        <w:t>Počet nových přihlášených výsledků aplikovaného výzkumu</w:t>
      </w:r>
    </w:p>
    <w:p w14:paraId="07116592" w14:textId="77777777" w:rsidR="00BF2C1C" w:rsidRPr="00FF1A65" w:rsidRDefault="00BF2C1C" w:rsidP="00BF2C1C">
      <w:pPr>
        <w:pStyle w:val="ListParagraph"/>
        <w:numPr>
          <w:ilvl w:val="0"/>
          <w:numId w:val="72"/>
        </w:numPr>
        <w:spacing w:after="120"/>
        <w:ind w:left="714" w:hanging="357"/>
        <w:contextualSpacing w:val="0"/>
        <w:jc w:val="both"/>
      </w:pPr>
      <w:r w:rsidRPr="00260C93">
        <w:rPr>
          <w:b/>
        </w:rPr>
        <w:t>Inovace:</w:t>
      </w:r>
      <w:r>
        <w:t xml:space="preserve"> 22501 </w:t>
      </w:r>
      <w:r w:rsidR="002A5244">
        <w:t>-</w:t>
      </w:r>
      <w:r w:rsidRPr="00FF1A65">
        <w:t xml:space="preserve"> </w:t>
      </w:r>
      <w:r w:rsidRPr="00260C93">
        <w:rPr>
          <w:b/>
        </w:rPr>
        <w:t>Počet zavedených inovací</w:t>
      </w:r>
    </w:p>
    <w:p w14:paraId="417238ED" w14:textId="77777777" w:rsidR="00BF2C1C" w:rsidRDefault="00BF2C1C" w:rsidP="00BF2C1C">
      <w:pPr>
        <w:pStyle w:val="ListParagraph"/>
        <w:numPr>
          <w:ilvl w:val="0"/>
          <w:numId w:val="72"/>
        </w:numPr>
        <w:spacing w:after="120"/>
        <w:ind w:left="714" w:hanging="357"/>
        <w:contextualSpacing w:val="0"/>
        <w:jc w:val="both"/>
      </w:pPr>
      <w:r w:rsidRPr="00260C93">
        <w:rPr>
          <w:b/>
        </w:rPr>
        <w:t>Potenciál:</w:t>
      </w:r>
      <w:r>
        <w:t xml:space="preserve"> 24102 </w:t>
      </w:r>
      <w:r w:rsidR="002A5244">
        <w:t>-</w:t>
      </w:r>
      <w:r w:rsidRPr="00FF1A65">
        <w:t xml:space="preserve"> </w:t>
      </w:r>
      <w:r w:rsidRPr="00260C93">
        <w:rPr>
          <w:b/>
        </w:rPr>
        <w:t>Počet nových, rozšířených či modernizovaných výzkumných pracovišť podniků</w:t>
      </w:r>
    </w:p>
    <w:p w14:paraId="55FEC05A" w14:textId="77777777" w:rsidR="00BF2C1C" w:rsidRDefault="00BF2C1C" w:rsidP="00BF2C1C"/>
    <w:p w14:paraId="292617E2" w14:textId="499C5C73" w:rsidR="00BF2C1C" w:rsidRDefault="00BF2C1C" w:rsidP="00BF2C1C">
      <w:pPr>
        <w:jc w:val="both"/>
      </w:pPr>
      <w:r>
        <w:t>Jak je patrné z následující tabulky, tyto pro příjemce p</w:t>
      </w:r>
      <w:r w:rsidRPr="001C17FD">
        <w:t>ovinné indikátory se daří plnit</w:t>
      </w:r>
      <w:r w:rsidR="008C4584">
        <w:t>, resp. plánovat v souladu s nastavenými cíli</w:t>
      </w:r>
      <w:r w:rsidRPr="001C17FD">
        <w:t xml:space="preserve"> </w:t>
      </w:r>
      <w:r w:rsidR="00007381">
        <w:t>–</w:t>
      </w:r>
      <w:r w:rsidR="00007381" w:rsidRPr="001C17FD">
        <w:t xml:space="preserve"> </w:t>
      </w:r>
      <w:r w:rsidRPr="001C17FD">
        <w:t xml:space="preserve">poměr příjemci naplánovaných povinných indikátorů odpovídá poměru </w:t>
      </w:r>
      <w:proofErr w:type="spellStart"/>
      <w:r w:rsidRPr="001C17FD">
        <w:t>zazávazkovaných</w:t>
      </w:r>
      <w:proofErr w:type="spellEnd"/>
      <w:r w:rsidRPr="001C17FD">
        <w:t xml:space="preserve"> alokací</w:t>
      </w:r>
      <w:r>
        <w:t>.</w:t>
      </w:r>
    </w:p>
    <w:p w14:paraId="356F151D" w14:textId="46E875FB" w:rsidR="00BF2C1C" w:rsidRDefault="00BF2C1C" w:rsidP="00BF2C1C">
      <w:pPr>
        <w:pStyle w:val="Caption"/>
      </w:pPr>
      <w:r>
        <w:t xml:space="preserve">Tabulka </w:t>
      </w:r>
      <w:r>
        <w:fldChar w:fldCharType="begin"/>
      </w:r>
      <w:r>
        <w:instrText xml:space="preserve"> SEQ Tabulka \* ARABIC </w:instrText>
      </w:r>
      <w:r>
        <w:fldChar w:fldCharType="separate"/>
      </w:r>
      <w:r w:rsidR="00F77CAE">
        <w:rPr>
          <w:noProof/>
        </w:rPr>
        <w:t>1</w:t>
      </w:r>
      <w:r>
        <w:fldChar w:fldCharType="end"/>
      </w:r>
      <w:r>
        <w:t xml:space="preserve"> - Poměr indikátorů povinných pro příjemce vůči </w:t>
      </w:r>
      <w:proofErr w:type="spellStart"/>
      <w:r>
        <w:t>zazávazkované</w:t>
      </w:r>
      <w:proofErr w:type="spellEnd"/>
      <w:r>
        <w:t xml:space="preserve"> alokaci</w:t>
      </w:r>
    </w:p>
    <w:tbl>
      <w:tblPr>
        <w:tblStyle w:val="ListTable3-Accent11"/>
        <w:tblW w:w="5000" w:type="pct"/>
        <w:tblBorders>
          <w:left w:val="none" w:sz="0" w:space="0" w:color="auto"/>
          <w:right w:val="none" w:sz="0" w:space="0" w:color="auto"/>
          <w:insideH w:val="single" w:sz="4" w:space="0" w:color="86BC25" w:themeColor="accent1"/>
        </w:tblBorders>
        <w:tblLook w:val="0620" w:firstRow="1" w:lastRow="0" w:firstColumn="0" w:lastColumn="0" w:noHBand="1" w:noVBand="1"/>
      </w:tblPr>
      <w:tblGrid>
        <w:gridCol w:w="1320"/>
        <w:gridCol w:w="3429"/>
        <w:gridCol w:w="1876"/>
        <w:gridCol w:w="1608"/>
        <w:gridCol w:w="1405"/>
      </w:tblGrid>
      <w:tr w:rsidR="00BF2C1C" w:rsidRPr="006C494D" w14:paraId="16D8646A" w14:textId="77777777" w:rsidTr="004E4749">
        <w:trPr>
          <w:cnfStyle w:val="100000000000" w:firstRow="1" w:lastRow="0" w:firstColumn="0" w:lastColumn="0" w:oddVBand="0" w:evenVBand="0" w:oddHBand="0" w:evenHBand="0" w:firstRowFirstColumn="0" w:firstRowLastColumn="0" w:lastRowFirstColumn="0" w:lastRowLastColumn="0"/>
          <w:trHeight w:val="390"/>
        </w:trPr>
        <w:tc>
          <w:tcPr>
            <w:tcW w:w="685" w:type="pct"/>
            <w:hideMark/>
          </w:tcPr>
          <w:p w14:paraId="0189D57A" w14:textId="77777777" w:rsidR="00BF2C1C" w:rsidRPr="00C865F1" w:rsidRDefault="00BF2C1C" w:rsidP="004E4749">
            <w:pPr>
              <w:spacing w:after="0" w:line="240" w:lineRule="auto"/>
              <w:rPr>
                <w:rFonts w:asciiTheme="minorHAnsi" w:eastAsia="Times New Roman" w:hAnsiTheme="minorHAnsi" w:cs="Times New Roman"/>
                <w:color w:val="FFFFFF"/>
                <w:szCs w:val="18"/>
                <w:lang w:eastAsia="cs-CZ"/>
              </w:rPr>
            </w:pPr>
            <w:r w:rsidRPr="00C865F1">
              <w:rPr>
                <w:rFonts w:asciiTheme="minorHAnsi" w:eastAsia="Times New Roman" w:hAnsiTheme="minorHAnsi" w:cs="Calibri"/>
                <w:color w:val="FFFFFF"/>
                <w:szCs w:val="18"/>
                <w:lang w:eastAsia="cs-CZ"/>
              </w:rPr>
              <w:t>Program podpory</w:t>
            </w:r>
          </w:p>
        </w:tc>
        <w:tc>
          <w:tcPr>
            <w:tcW w:w="1779" w:type="pct"/>
          </w:tcPr>
          <w:p w14:paraId="1FCF57EE" w14:textId="77777777" w:rsidR="00BF2C1C" w:rsidRPr="00C865F1" w:rsidRDefault="00BF2C1C" w:rsidP="004E4749">
            <w:pPr>
              <w:spacing w:after="0" w:line="240" w:lineRule="auto"/>
              <w:rPr>
                <w:rFonts w:asciiTheme="minorHAnsi" w:eastAsia="Times New Roman" w:hAnsiTheme="minorHAnsi" w:cs="Calibri"/>
                <w:color w:val="FFFFFF"/>
                <w:szCs w:val="18"/>
                <w:lang w:eastAsia="cs-CZ"/>
              </w:rPr>
            </w:pPr>
            <w:r>
              <w:rPr>
                <w:rFonts w:asciiTheme="minorHAnsi" w:eastAsia="Times New Roman" w:hAnsiTheme="minorHAnsi" w:cs="Calibri"/>
                <w:color w:val="FFFFFF"/>
                <w:szCs w:val="18"/>
                <w:lang w:eastAsia="cs-CZ"/>
              </w:rPr>
              <w:t>Indikátor</w:t>
            </w:r>
          </w:p>
        </w:tc>
        <w:tc>
          <w:tcPr>
            <w:tcW w:w="973" w:type="pct"/>
            <w:hideMark/>
          </w:tcPr>
          <w:p w14:paraId="706CF830" w14:textId="77777777" w:rsidR="00BF2C1C" w:rsidRPr="00260C93" w:rsidRDefault="00BF2C1C" w:rsidP="004E4749">
            <w:pPr>
              <w:spacing w:after="0" w:line="240" w:lineRule="auto"/>
              <w:jc w:val="center"/>
              <w:rPr>
                <w:rFonts w:asciiTheme="minorHAnsi" w:eastAsia="Times New Roman" w:hAnsiTheme="minorHAnsi" w:cs="Calibri"/>
                <w:bCs w:val="0"/>
                <w:color w:val="FFFFFF"/>
                <w:szCs w:val="18"/>
                <w:lang w:eastAsia="cs-CZ"/>
              </w:rPr>
            </w:pPr>
            <w:proofErr w:type="spellStart"/>
            <w:r w:rsidRPr="000764B1">
              <w:rPr>
                <w:rFonts w:asciiTheme="minorHAnsi" w:eastAsia="Times New Roman" w:hAnsiTheme="minorHAnsi" w:cs="Calibri"/>
                <w:color w:val="FFFFFF"/>
                <w:szCs w:val="18"/>
                <w:lang w:eastAsia="cs-CZ"/>
              </w:rPr>
              <w:t>Zazávazkovaná</w:t>
            </w:r>
            <w:proofErr w:type="spellEnd"/>
            <w:r w:rsidRPr="000764B1">
              <w:rPr>
                <w:rFonts w:asciiTheme="minorHAnsi" w:eastAsia="Times New Roman" w:hAnsiTheme="minorHAnsi" w:cs="Calibri"/>
                <w:color w:val="FFFFFF"/>
                <w:szCs w:val="18"/>
                <w:lang w:eastAsia="cs-CZ"/>
              </w:rPr>
              <w:t xml:space="preserve"> alokace</w:t>
            </w:r>
          </w:p>
        </w:tc>
        <w:tc>
          <w:tcPr>
            <w:tcW w:w="834" w:type="pct"/>
          </w:tcPr>
          <w:p w14:paraId="1F7A2DA8" w14:textId="77777777" w:rsidR="00BF2C1C" w:rsidRPr="00C865F1" w:rsidRDefault="00BF2C1C" w:rsidP="004E4749">
            <w:pPr>
              <w:spacing w:after="0" w:line="240" w:lineRule="auto"/>
              <w:jc w:val="center"/>
              <w:rPr>
                <w:rFonts w:asciiTheme="minorHAnsi" w:eastAsia="Times New Roman" w:hAnsiTheme="minorHAnsi" w:cs="Calibri"/>
                <w:color w:val="FFFFFF"/>
                <w:szCs w:val="18"/>
                <w:lang w:eastAsia="cs-CZ"/>
              </w:rPr>
            </w:pPr>
            <w:r>
              <w:rPr>
                <w:rFonts w:asciiTheme="minorHAnsi" w:eastAsia="Times New Roman" w:hAnsiTheme="minorHAnsi" w:cs="Calibri"/>
                <w:color w:val="FFFFFF"/>
                <w:szCs w:val="18"/>
                <w:lang w:eastAsia="cs-CZ"/>
              </w:rPr>
              <w:t>Indikátor - naplánováno</w:t>
            </w:r>
          </w:p>
        </w:tc>
        <w:tc>
          <w:tcPr>
            <w:tcW w:w="729" w:type="pct"/>
          </w:tcPr>
          <w:p w14:paraId="2D364A98" w14:textId="77777777" w:rsidR="00BF2C1C" w:rsidRDefault="00BF2C1C" w:rsidP="004E4749">
            <w:pPr>
              <w:spacing w:after="0" w:line="240" w:lineRule="auto"/>
              <w:jc w:val="center"/>
              <w:rPr>
                <w:rFonts w:asciiTheme="minorHAnsi" w:eastAsia="Times New Roman" w:hAnsiTheme="minorHAnsi" w:cs="Calibri"/>
                <w:color w:val="FFFFFF"/>
                <w:szCs w:val="18"/>
                <w:lang w:eastAsia="cs-CZ"/>
              </w:rPr>
            </w:pPr>
            <w:r>
              <w:rPr>
                <w:rFonts w:asciiTheme="minorHAnsi" w:eastAsia="Times New Roman" w:hAnsiTheme="minorHAnsi" w:cs="Calibri"/>
                <w:color w:val="FFFFFF"/>
                <w:szCs w:val="18"/>
                <w:lang w:eastAsia="cs-CZ"/>
              </w:rPr>
              <w:t>Indikátor - dosaženo</w:t>
            </w:r>
          </w:p>
        </w:tc>
      </w:tr>
      <w:tr w:rsidR="00BF2C1C" w:rsidRPr="006C494D" w14:paraId="3B8A7DD6" w14:textId="77777777" w:rsidTr="004E4749">
        <w:trPr>
          <w:trHeight w:val="300"/>
        </w:trPr>
        <w:tc>
          <w:tcPr>
            <w:tcW w:w="685" w:type="pct"/>
            <w:hideMark/>
          </w:tcPr>
          <w:p w14:paraId="0690FD05"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Aplikace</w:t>
            </w:r>
          </w:p>
        </w:tc>
        <w:tc>
          <w:tcPr>
            <w:tcW w:w="1779" w:type="pct"/>
          </w:tcPr>
          <w:p w14:paraId="03475960"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0E63E8">
              <w:rPr>
                <w:rFonts w:asciiTheme="minorHAnsi" w:eastAsia="Times New Roman" w:hAnsiTheme="minorHAnsi" w:cs="Calibri"/>
                <w:color w:val="000000"/>
                <w:szCs w:val="18"/>
                <w:lang w:eastAsia="cs-CZ"/>
              </w:rPr>
              <w:t>Počet nových přihlášených výsledků aplikovaného výzkumu</w:t>
            </w:r>
          </w:p>
        </w:tc>
        <w:tc>
          <w:tcPr>
            <w:tcW w:w="973" w:type="pct"/>
          </w:tcPr>
          <w:p w14:paraId="633C5FF6"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56 %</w:t>
            </w:r>
          </w:p>
        </w:tc>
        <w:tc>
          <w:tcPr>
            <w:tcW w:w="834" w:type="pct"/>
          </w:tcPr>
          <w:p w14:paraId="1E3A4108"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62 %</w:t>
            </w:r>
          </w:p>
        </w:tc>
        <w:tc>
          <w:tcPr>
            <w:tcW w:w="729" w:type="pct"/>
          </w:tcPr>
          <w:p w14:paraId="3BDD8029" w14:textId="77777777" w:rsidR="00BF2C1C"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6 %</w:t>
            </w:r>
          </w:p>
        </w:tc>
      </w:tr>
      <w:tr w:rsidR="00BF2C1C" w:rsidRPr="006C494D" w14:paraId="660526E6" w14:textId="77777777" w:rsidTr="004E4749">
        <w:trPr>
          <w:trHeight w:val="300"/>
        </w:trPr>
        <w:tc>
          <w:tcPr>
            <w:tcW w:w="685" w:type="pct"/>
            <w:hideMark/>
          </w:tcPr>
          <w:p w14:paraId="4B0A4585"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Inovace</w:t>
            </w:r>
          </w:p>
        </w:tc>
        <w:tc>
          <w:tcPr>
            <w:tcW w:w="1779" w:type="pct"/>
          </w:tcPr>
          <w:p w14:paraId="6419E3CB"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0E63E8">
              <w:rPr>
                <w:rFonts w:asciiTheme="minorHAnsi" w:eastAsia="Times New Roman" w:hAnsiTheme="minorHAnsi" w:cs="Calibri"/>
                <w:color w:val="000000"/>
                <w:szCs w:val="18"/>
                <w:lang w:eastAsia="cs-CZ"/>
              </w:rPr>
              <w:t>Počet zavedených inovací</w:t>
            </w:r>
          </w:p>
        </w:tc>
        <w:tc>
          <w:tcPr>
            <w:tcW w:w="973" w:type="pct"/>
          </w:tcPr>
          <w:p w14:paraId="5044D2D7"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70 %</w:t>
            </w:r>
          </w:p>
        </w:tc>
        <w:tc>
          <w:tcPr>
            <w:tcW w:w="834" w:type="pct"/>
          </w:tcPr>
          <w:p w14:paraId="7B5951C0"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90 %</w:t>
            </w:r>
          </w:p>
        </w:tc>
        <w:tc>
          <w:tcPr>
            <w:tcW w:w="729" w:type="pct"/>
          </w:tcPr>
          <w:p w14:paraId="2CA2362D" w14:textId="77777777" w:rsidR="00BF2C1C"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32 %</w:t>
            </w:r>
          </w:p>
        </w:tc>
      </w:tr>
      <w:tr w:rsidR="00BF2C1C" w:rsidRPr="006C494D" w14:paraId="340F83A1" w14:textId="77777777" w:rsidTr="004E4749">
        <w:trPr>
          <w:trHeight w:val="300"/>
        </w:trPr>
        <w:tc>
          <w:tcPr>
            <w:tcW w:w="685" w:type="pct"/>
            <w:hideMark/>
          </w:tcPr>
          <w:p w14:paraId="6EB23B7D"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Potenciál</w:t>
            </w:r>
          </w:p>
        </w:tc>
        <w:tc>
          <w:tcPr>
            <w:tcW w:w="1779" w:type="pct"/>
          </w:tcPr>
          <w:p w14:paraId="46A126DE"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sidRPr="000E63E8">
              <w:rPr>
                <w:rFonts w:asciiTheme="minorHAnsi" w:eastAsia="Times New Roman" w:hAnsiTheme="minorHAnsi" w:cs="Calibri"/>
                <w:color w:val="000000"/>
                <w:szCs w:val="18"/>
                <w:lang w:eastAsia="cs-CZ"/>
              </w:rPr>
              <w:t>Počet nových, rozšířených či modernizovaných výzkumných pracovišť podniků</w:t>
            </w:r>
          </w:p>
        </w:tc>
        <w:tc>
          <w:tcPr>
            <w:tcW w:w="973" w:type="pct"/>
          </w:tcPr>
          <w:p w14:paraId="2F5CE140"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72 %</w:t>
            </w:r>
          </w:p>
        </w:tc>
        <w:tc>
          <w:tcPr>
            <w:tcW w:w="834" w:type="pct"/>
          </w:tcPr>
          <w:p w14:paraId="193A1C7C"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79 %</w:t>
            </w:r>
          </w:p>
        </w:tc>
        <w:tc>
          <w:tcPr>
            <w:tcW w:w="729" w:type="pct"/>
          </w:tcPr>
          <w:p w14:paraId="6563786B" w14:textId="77777777" w:rsidR="00BF2C1C"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28 %</w:t>
            </w:r>
          </w:p>
        </w:tc>
      </w:tr>
    </w:tbl>
    <w:p w14:paraId="52397A66" w14:textId="77777777" w:rsidR="00BF2C1C" w:rsidRPr="001C17FD" w:rsidRDefault="00BF2C1C" w:rsidP="00BF2C1C">
      <w:pPr>
        <w:spacing w:after="0"/>
      </w:pPr>
    </w:p>
    <w:p w14:paraId="02197CC4" w14:textId="77777777" w:rsidR="00BF2C1C" w:rsidRDefault="00BF2C1C" w:rsidP="00BF2C1C">
      <w:pPr>
        <w:jc w:val="both"/>
      </w:pPr>
      <w:r>
        <w:t xml:space="preserve">Pro hodnocení naplněnosti indikátorů vůči alokaci SC 1.1 lze porovnávat plánované hodnoty, tj. hodnoty indikátorů naplánovaných v projektech vůči </w:t>
      </w:r>
      <w:proofErr w:type="spellStart"/>
      <w:r>
        <w:t>zazávazkované</w:t>
      </w:r>
      <w:proofErr w:type="spellEnd"/>
      <w:r>
        <w:t xml:space="preserve"> alokaci, nebo hodnoty dosažené, tj. dosažené hodnoty indikátorů vůči skutečné alokaci již ukončených projektů. Při celkovém </w:t>
      </w:r>
      <w:proofErr w:type="spellStart"/>
      <w:r>
        <w:t>zazávazkování</w:t>
      </w:r>
      <w:proofErr w:type="spellEnd"/>
      <w:r>
        <w:t xml:space="preserve"> programů SC 1.1 ve výši 64,90 % plánované alokace je žádoucí, aby se hodnoty sledovaných indikátorů pohybovaly v přibližně stejné úrovni </w:t>
      </w:r>
      <w:proofErr w:type="spellStart"/>
      <w:r>
        <w:t>zazávazkování</w:t>
      </w:r>
      <w:proofErr w:type="spellEnd"/>
      <w:r>
        <w:t>, resp. naplánování. Stejně tak poměr dosažených hodnot indikátorů by měl dosahovat přibližně stejné úrovně vyčerpané alokace ukončených projektů, tj. 10,49 %. Z tohoto pohledu lze indikátory rozdělit do 4 skupin:</w:t>
      </w:r>
    </w:p>
    <w:p w14:paraId="26D41949" w14:textId="77777777" w:rsidR="00BF2C1C" w:rsidRDefault="00BF2C1C" w:rsidP="00BF2C1C">
      <w:pPr>
        <w:pStyle w:val="ListParagraph"/>
        <w:numPr>
          <w:ilvl w:val="0"/>
          <w:numId w:val="74"/>
        </w:numPr>
        <w:spacing w:after="120"/>
        <w:ind w:left="850" w:hanging="357"/>
        <w:contextualSpacing w:val="0"/>
      </w:pPr>
      <w:r>
        <w:t>Indikátory, které vykazují vysokou plánovanou hodnotu</w:t>
      </w:r>
      <w:r w:rsidR="00AA02CD">
        <w:t>.</w:t>
      </w:r>
      <w:r w:rsidDel="00C711DC">
        <w:t xml:space="preserve"> </w:t>
      </w:r>
    </w:p>
    <w:p w14:paraId="31DAD433" w14:textId="77777777" w:rsidR="00BF2C1C" w:rsidRDefault="00BF2C1C" w:rsidP="00BF2C1C">
      <w:pPr>
        <w:pStyle w:val="ListParagraph"/>
        <w:numPr>
          <w:ilvl w:val="0"/>
          <w:numId w:val="74"/>
        </w:numPr>
        <w:spacing w:after="120"/>
        <w:ind w:left="850" w:hanging="357"/>
        <w:contextualSpacing w:val="0"/>
      </w:pPr>
      <w:r>
        <w:t>Indikátory s průměrnou či mírně podprůměrnou naplánovanou hodnotou</w:t>
      </w:r>
      <w:r w:rsidR="00AA02CD">
        <w:t>.</w:t>
      </w:r>
    </w:p>
    <w:p w14:paraId="330B685E" w14:textId="77777777" w:rsidR="00BF2C1C" w:rsidRDefault="00BF2C1C" w:rsidP="00BF2C1C">
      <w:pPr>
        <w:pStyle w:val="ListParagraph"/>
        <w:numPr>
          <w:ilvl w:val="0"/>
          <w:numId w:val="74"/>
        </w:numPr>
        <w:spacing w:after="120"/>
        <w:ind w:left="850" w:hanging="357"/>
        <w:contextualSpacing w:val="0"/>
      </w:pPr>
      <w:r>
        <w:t>Indikátory s nízkou plánovanou hodnotou</w:t>
      </w:r>
      <w:r w:rsidR="00AA02CD">
        <w:t>.</w:t>
      </w:r>
    </w:p>
    <w:p w14:paraId="57AFAEB2" w14:textId="77777777" w:rsidR="00BF2C1C" w:rsidRDefault="00BF2C1C" w:rsidP="00BF2C1C">
      <w:pPr>
        <w:pStyle w:val="ListParagraph"/>
        <w:numPr>
          <w:ilvl w:val="0"/>
          <w:numId w:val="74"/>
        </w:numPr>
        <w:spacing w:after="120"/>
        <w:ind w:left="850" w:hanging="357"/>
        <w:contextualSpacing w:val="0"/>
      </w:pPr>
      <w:r>
        <w:t>Indikátory, u kterých nelze naplánovanou, příp. dosaženou, hodnotu posoudit.</w:t>
      </w:r>
    </w:p>
    <w:p w14:paraId="09CDC69F" w14:textId="77777777" w:rsidR="00BF2C1C" w:rsidRDefault="00BF2C1C" w:rsidP="00BF2C1C">
      <w:pPr>
        <w:spacing w:after="120"/>
      </w:pPr>
      <w:r>
        <w:t>Ve čtvrté skupině se konkrétně jedná o tyto indikátory, resp. důvody, proč je nelze vyhodnotit:</w:t>
      </w:r>
    </w:p>
    <w:p w14:paraId="36498114" w14:textId="77777777" w:rsidR="00BF2C1C" w:rsidRDefault="00BF2C1C" w:rsidP="00BF2C1C">
      <w:pPr>
        <w:pStyle w:val="ListParagraph"/>
        <w:numPr>
          <w:ilvl w:val="1"/>
          <w:numId w:val="74"/>
        </w:numPr>
        <w:spacing w:after="120"/>
        <w:ind w:left="850" w:hanging="357"/>
        <w:contextualSpacing w:val="0"/>
      </w:pPr>
      <w:r>
        <w:t xml:space="preserve">10300 </w:t>
      </w:r>
      <w:r w:rsidRPr="00BE368A">
        <w:t>Soukromé investice odpovídající veřejné podpoře podniků (granty)</w:t>
      </w:r>
      <w:r>
        <w:t xml:space="preserve"> – pro indikátor nejsou dostupná relevantní data (neuznatelné výdaje projektů).</w:t>
      </w:r>
    </w:p>
    <w:p w14:paraId="3CE9A266" w14:textId="77777777" w:rsidR="00BF2C1C" w:rsidRDefault="00BF2C1C" w:rsidP="00BF2C1C">
      <w:pPr>
        <w:pStyle w:val="ListParagraph"/>
        <w:numPr>
          <w:ilvl w:val="1"/>
          <w:numId w:val="74"/>
        </w:numPr>
        <w:spacing w:after="120"/>
        <w:ind w:left="850" w:hanging="357"/>
        <w:contextualSpacing w:val="0"/>
      </w:pPr>
      <w:r>
        <w:t xml:space="preserve">20900 </w:t>
      </w:r>
      <w:r w:rsidRPr="00BE368A">
        <w:t>Soukromé investice v projektech s veřejnou podporou v oblasti inovací nebo výzkumu</w:t>
      </w:r>
      <w:r>
        <w:t xml:space="preserve"> a </w:t>
      </w:r>
      <w:r w:rsidRPr="00BE368A">
        <w:t>vývoje</w:t>
      </w:r>
      <w:r>
        <w:t xml:space="preserve"> – pro indikátor nejsou dostupná relevantní data (neuznatelné výdaje projektů).</w:t>
      </w:r>
    </w:p>
    <w:p w14:paraId="6A07FD7E" w14:textId="77777777" w:rsidR="00BF2C1C" w:rsidRDefault="00BF2C1C" w:rsidP="00AA02CD">
      <w:pPr>
        <w:pStyle w:val="ListParagraph"/>
        <w:numPr>
          <w:ilvl w:val="1"/>
          <w:numId w:val="74"/>
        </w:numPr>
        <w:spacing w:after="120"/>
        <w:ind w:left="850" w:hanging="357"/>
        <w:contextualSpacing w:val="0"/>
      </w:pPr>
      <w:r>
        <w:t xml:space="preserve">21410 </w:t>
      </w:r>
      <w:r w:rsidRPr="00BE368A">
        <w:t>Tržby podpořených podniků v důsledku zavedené inovace</w:t>
      </w:r>
      <w:r>
        <w:t xml:space="preserve"> </w:t>
      </w:r>
      <w:r w:rsidR="00AA02CD">
        <w:t>–</w:t>
      </w:r>
      <w:r>
        <w:t xml:space="preserve"> indikátor vykazuje chybovost při jeho vyplňování (hodnoty uváděné v nesprávné měrné jednotce).</w:t>
      </w:r>
    </w:p>
    <w:p w14:paraId="4F94ADD4" w14:textId="77777777" w:rsidR="00BF2C1C" w:rsidRDefault="00BF2C1C" w:rsidP="00BF2C1C">
      <w:pPr>
        <w:spacing w:after="0"/>
        <w:jc w:val="both"/>
      </w:pPr>
    </w:p>
    <w:p w14:paraId="15DD7CCE" w14:textId="77777777" w:rsidR="00BF2C1C" w:rsidRDefault="00BF2C1C" w:rsidP="00BF2C1C">
      <w:pPr>
        <w:jc w:val="both"/>
      </w:pPr>
      <w:r>
        <w:t xml:space="preserve">Hodnocení naplněnosti indikátorů je provedeno v následující tabulce. Pro hodnocení byla využita </w:t>
      </w:r>
      <w:r w:rsidR="00AA02CD">
        <w:t xml:space="preserve">následující </w:t>
      </w:r>
      <w:r>
        <w:t>barevná stupnice:</w:t>
      </w:r>
    </w:p>
    <w:p w14:paraId="6D0995B1" w14:textId="76C7F03B" w:rsidR="00BF2C1C" w:rsidRDefault="00BF2C1C" w:rsidP="00BF2C1C">
      <w:pPr>
        <w:pStyle w:val="Caption"/>
      </w:pPr>
      <w:r>
        <w:t xml:space="preserve">Tabulka </w:t>
      </w:r>
      <w:r>
        <w:fldChar w:fldCharType="begin"/>
      </w:r>
      <w:r>
        <w:instrText xml:space="preserve"> SEQ Tabulka \* ARABIC </w:instrText>
      </w:r>
      <w:r>
        <w:fldChar w:fldCharType="separate"/>
      </w:r>
      <w:r w:rsidR="00F77CAE">
        <w:rPr>
          <w:noProof/>
        </w:rPr>
        <w:t>2</w:t>
      </w:r>
      <w:r>
        <w:fldChar w:fldCharType="end"/>
      </w:r>
      <w:r>
        <w:t xml:space="preserve"> - Matice hodnocení naplněnosti indikátorů</w:t>
      </w:r>
    </w:p>
    <w:tbl>
      <w:tblPr>
        <w:tblStyle w:val="Tabulkasmkou4zvraznn61"/>
        <w:tblW w:w="5000" w:type="pct"/>
        <w:tblBorders>
          <w:top w:val="none" w:sz="0" w:space="0" w:color="auto"/>
          <w:left w:val="none" w:sz="0" w:space="0" w:color="auto"/>
          <w:bottom w:val="single" w:sz="4" w:space="0" w:color="86BC25" w:themeColor="accent1"/>
          <w:right w:val="none" w:sz="0" w:space="0" w:color="auto"/>
          <w:insideH w:val="single" w:sz="4" w:space="0" w:color="86BC25" w:themeColor="accent1"/>
          <w:insideV w:val="none" w:sz="0" w:space="0" w:color="auto"/>
        </w:tblBorders>
        <w:tblLook w:val="0620" w:firstRow="1" w:lastRow="0" w:firstColumn="0" w:lastColumn="0" w:noHBand="1" w:noVBand="1"/>
      </w:tblPr>
      <w:tblGrid>
        <w:gridCol w:w="2880"/>
        <w:gridCol w:w="3140"/>
        <w:gridCol w:w="3618"/>
      </w:tblGrid>
      <w:tr w:rsidR="00BF2C1C" w:rsidRPr="006C494D" w14:paraId="69E66877" w14:textId="77777777" w:rsidTr="004E4749">
        <w:trPr>
          <w:cnfStyle w:val="100000000000" w:firstRow="1" w:lastRow="0" w:firstColumn="0" w:lastColumn="0" w:oddVBand="0" w:evenVBand="0" w:oddHBand="0" w:evenHBand="0" w:firstRowFirstColumn="0" w:firstRowLastColumn="0" w:lastRowFirstColumn="0" w:lastRowLastColumn="0"/>
          <w:trHeight w:val="397"/>
        </w:trPr>
        <w:tc>
          <w:tcPr>
            <w:tcW w:w="0" w:type="pct"/>
            <w:tcBorders>
              <w:top w:val="none" w:sz="0" w:space="0" w:color="auto"/>
              <w:left w:val="none" w:sz="0" w:space="0" w:color="auto"/>
              <w:bottom w:val="none" w:sz="0" w:space="0" w:color="auto"/>
              <w:right w:val="none" w:sz="0" w:space="0" w:color="auto"/>
            </w:tcBorders>
            <w:shd w:val="clear" w:color="auto" w:fill="86BC25" w:themeFill="accent1"/>
            <w:vAlign w:val="center"/>
            <w:hideMark/>
          </w:tcPr>
          <w:p w14:paraId="23C0A39C" w14:textId="77777777" w:rsidR="00BF2C1C" w:rsidRPr="00C865F1" w:rsidRDefault="00BF2C1C" w:rsidP="004E4749">
            <w:pPr>
              <w:spacing w:after="0" w:line="240" w:lineRule="auto"/>
              <w:rPr>
                <w:rFonts w:asciiTheme="minorHAnsi" w:eastAsia="Times New Roman" w:hAnsiTheme="minorHAnsi" w:cs="Times New Roman"/>
                <w:color w:val="FFFFFF"/>
                <w:szCs w:val="18"/>
                <w:lang w:eastAsia="cs-CZ"/>
              </w:rPr>
            </w:pPr>
            <w:r>
              <w:rPr>
                <w:rFonts w:asciiTheme="minorHAnsi" w:eastAsia="Times New Roman" w:hAnsiTheme="minorHAnsi" w:cs="Times New Roman"/>
                <w:color w:val="FFFFFF"/>
                <w:szCs w:val="18"/>
                <w:lang w:eastAsia="cs-CZ"/>
              </w:rPr>
              <w:t>Skupina / barva</w:t>
            </w:r>
          </w:p>
        </w:tc>
        <w:tc>
          <w:tcPr>
            <w:tcW w:w="0" w:type="pct"/>
            <w:tcBorders>
              <w:top w:val="none" w:sz="0" w:space="0" w:color="auto"/>
              <w:left w:val="none" w:sz="0" w:space="0" w:color="auto"/>
              <w:bottom w:val="none" w:sz="0" w:space="0" w:color="auto"/>
              <w:right w:val="none" w:sz="0" w:space="0" w:color="auto"/>
            </w:tcBorders>
            <w:shd w:val="clear" w:color="auto" w:fill="86BC25" w:themeFill="accent1"/>
            <w:vAlign w:val="center"/>
          </w:tcPr>
          <w:p w14:paraId="30515856" w14:textId="77777777" w:rsidR="00BF2C1C" w:rsidRPr="00C865F1" w:rsidRDefault="00BF2C1C" w:rsidP="004E4749">
            <w:pPr>
              <w:spacing w:after="0" w:line="240" w:lineRule="auto"/>
              <w:jc w:val="center"/>
              <w:rPr>
                <w:rFonts w:asciiTheme="minorHAnsi" w:eastAsia="Times New Roman" w:hAnsiTheme="minorHAnsi" w:cs="Calibri"/>
                <w:color w:val="FFFFFF"/>
                <w:szCs w:val="18"/>
                <w:lang w:eastAsia="cs-CZ"/>
              </w:rPr>
            </w:pPr>
            <w:r>
              <w:rPr>
                <w:rFonts w:asciiTheme="minorHAnsi" w:eastAsia="Times New Roman" w:hAnsiTheme="minorHAnsi" w:cs="Calibri"/>
                <w:color w:val="FFFFFF"/>
                <w:szCs w:val="18"/>
                <w:lang w:eastAsia="cs-CZ"/>
              </w:rPr>
              <w:t>Naplánovaná hodnota indikátoru</w:t>
            </w:r>
          </w:p>
        </w:tc>
        <w:tc>
          <w:tcPr>
            <w:tcW w:w="1877" w:type="pct"/>
            <w:tcBorders>
              <w:top w:val="none" w:sz="0" w:space="0" w:color="auto"/>
              <w:left w:val="none" w:sz="0" w:space="0" w:color="auto"/>
              <w:bottom w:val="none" w:sz="0" w:space="0" w:color="auto"/>
              <w:right w:val="none" w:sz="0" w:space="0" w:color="auto"/>
            </w:tcBorders>
            <w:shd w:val="clear" w:color="auto" w:fill="86BC25" w:themeFill="accent1"/>
            <w:vAlign w:val="center"/>
            <w:hideMark/>
          </w:tcPr>
          <w:p w14:paraId="3BB6ABB7" w14:textId="77777777" w:rsidR="00BF2C1C" w:rsidRPr="0042795A" w:rsidRDefault="00BF2C1C" w:rsidP="004E4749">
            <w:pPr>
              <w:spacing w:after="0" w:line="240" w:lineRule="auto"/>
              <w:jc w:val="center"/>
              <w:rPr>
                <w:rFonts w:asciiTheme="minorHAnsi" w:eastAsia="Times New Roman" w:hAnsiTheme="minorHAnsi" w:cs="Calibri"/>
                <w:bCs w:val="0"/>
                <w:color w:val="FFFFFF"/>
                <w:szCs w:val="18"/>
                <w:lang w:eastAsia="cs-CZ"/>
              </w:rPr>
            </w:pPr>
            <w:r>
              <w:rPr>
                <w:rFonts w:asciiTheme="minorHAnsi" w:eastAsia="Times New Roman" w:hAnsiTheme="minorHAnsi" w:cs="Calibri"/>
                <w:color w:val="FFFFFF"/>
                <w:szCs w:val="18"/>
                <w:lang w:eastAsia="cs-CZ"/>
              </w:rPr>
              <w:t>Dosažená hodnota indikátoru</w:t>
            </w:r>
          </w:p>
        </w:tc>
      </w:tr>
      <w:tr w:rsidR="00BF2C1C" w:rsidRPr="006C494D" w14:paraId="61D45A24" w14:textId="77777777" w:rsidTr="004E4749">
        <w:trPr>
          <w:trHeight w:val="300"/>
        </w:trPr>
        <w:tc>
          <w:tcPr>
            <w:tcW w:w="0" w:type="pct"/>
            <w:shd w:val="clear" w:color="auto" w:fill="auto"/>
            <w:vAlign w:val="center"/>
          </w:tcPr>
          <w:p w14:paraId="47428707"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Referenční hodnota alokace</w:t>
            </w:r>
          </w:p>
        </w:tc>
        <w:tc>
          <w:tcPr>
            <w:tcW w:w="0" w:type="pct"/>
            <w:vAlign w:val="center"/>
          </w:tcPr>
          <w:p w14:paraId="5E4303AA"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64,90 %</w:t>
            </w:r>
          </w:p>
        </w:tc>
        <w:tc>
          <w:tcPr>
            <w:tcW w:w="1877" w:type="pct"/>
            <w:vAlign w:val="center"/>
          </w:tcPr>
          <w:p w14:paraId="4BF06EB8"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10,49 %</w:t>
            </w:r>
          </w:p>
        </w:tc>
      </w:tr>
      <w:tr w:rsidR="00BF2C1C" w:rsidRPr="006C494D" w14:paraId="142D6082" w14:textId="77777777" w:rsidTr="004E4749">
        <w:trPr>
          <w:trHeight w:val="300"/>
        </w:trPr>
        <w:tc>
          <w:tcPr>
            <w:tcW w:w="1494" w:type="pct"/>
            <w:shd w:val="clear" w:color="auto" w:fill="92D050"/>
            <w:vAlign w:val="center"/>
          </w:tcPr>
          <w:p w14:paraId="2A92F3FE" w14:textId="77777777" w:rsidR="00BF2C1C" w:rsidRDefault="00BF2C1C" w:rsidP="004E4749">
            <w:pPr>
              <w:spacing w:after="0" w:line="240" w:lineRule="auto"/>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Vysoká hodnota indikátoru</w:t>
            </w:r>
          </w:p>
        </w:tc>
        <w:tc>
          <w:tcPr>
            <w:tcW w:w="1629" w:type="pct"/>
            <w:vAlign w:val="center"/>
          </w:tcPr>
          <w:p w14:paraId="62A713BD" w14:textId="77777777" w:rsidR="00BF2C1C"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&gt; 75 %</w:t>
            </w:r>
          </w:p>
        </w:tc>
        <w:tc>
          <w:tcPr>
            <w:tcW w:w="1877" w:type="pct"/>
            <w:vAlign w:val="center"/>
          </w:tcPr>
          <w:p w14:paraId="3EAD29E7" w14:textId="77777777" w:rsidR="00BF2C1C"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&gt; 12 %</w:t>
            </w:r>
          </w:p>
        </w:tc>
      </w:tr>
      <w:tr w:rsidR="00BF2C1C" w:rsidRPr="006C494D" w14:paraId="4E592788" w14:textId="77777777" w:rsidTr="004E4749">
        <w:trPr>
          <w:trHeight w:val="300"/>
        </w:trPr>
        <w:tc>
          <w:tcPr>
            <w:tcW w:w="0" w:type="pct"/>
            <w:shd w:val="clear" w:color="auto" w:fill="FFFF00"/>
            <w:vAlign w:val="center"/>
            <w:hideMark/>
          </w:tcPr>
          <w:p w14:paraId="2BDC09AF"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Průměrná hodnota indikátoru</w:t>
            </w:r>
          </w:p>
        </w:tc>
        <w:tc>
          <w:tcPr>
            <w:tcW w:w="0" w:type="pct"/>
            <w:vAlign w:val="center"/>
          </w:tcPr>
          <w:p w14:paraId="336C49BA"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50 – 75 %</w:t>
            </w:r>
          </w:p>
        </w:tc>
        <w:tc>
          <w:tcPr>
            <w:tcW w:w="1877" w:type="pct"/>
            <w:vAlign w:val="center"/>
          </w:tcPr>
          <w:p w14:paraId="5C554587"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10 – 12 %</w:t>
            </w:r>
          </w:p>
        </w:tc>
      </w:tr>
      <w:tr w:rsidR="00BF2C1C" w:rsidRPr="006C494D" w14:paraId="646CAC52" w14:textId="77777777" w:rsidTr="002449AE">
        <w:trPr>
          <w:trHeight w:val="300"/>
        </w:trPr>
        <w:tc>
          <w:tcPr>
            <w:tcW w:w="0" w:type="pct"/>
            <w:tcBorders>
              <w:bottom w:val="single" w:sz="4" w:space="0" w:color="86BC25" w:themeColor="accent1"/>
            </w:tcBorders>
            <w:shd w:val="clear" w:color="auto" w:fill="FF0000"/>
            <w:vAlign w:val="center"/>
            <w:hideMark/>
          </w:tcPr>
          <w:p w14:paraId="4D4E5DEE" w14:textId="77777777" w:rsidR="00BF2C1C" w:rsidRPr="00C865F1" w:rsidRDefault="00BF2C1C" w:rsidP="004E4749">
            <w:pPr>
              <w:spacing w:after="0" w:line="240" w:lineRule="auto"/>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Nízká hodnota indikátoru</w:t>
            </w:r>
          </w:p>
        </w:tc>
        <w:tc>
          <w:tcPr>
            <w:tcW w:w="0" w:type="pct"/>
            <w:vAlign w:val="center"/>
          </w:tcPr>
          <w:p w14:paraId="52763EEA"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&lt; 50 %</w:t>
            </w:r>
          </w:p>
        </w:tc>
        <w:tc>
          <w:tcPr>
            <w:tcW w:w="1877" w:type="pct"/>
            <w:vAlign w:val="center"/>
          </w:tcPr>
          <w:p w14:paraId="1D586D7A" w14:textId="77777777" w:rsidR="00BF2C1C" w:rsidRPr="00C865F1" w:rsidRDefault="00BF2C1C" w:rsidP="004E4749">
            <w:pPr>
              <w:spacing w:after="0" w:line="240" w:lineRule="auto"/>
              <w:jc w:val="center"/>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&lt; 10 %</w:t>
            </w:r>
          </w:p>
        </w:tc>
      </w:tr>
      <w:tr w:rsidR="00AA02CD" w:rsidRPr="006C494D" w14:paraId="0DA0071D" w14:textId="77777777" w:rsidTr="002449AE">
        <w:trPr>
          <w:trHeight w:val="300"/>
        </w:trPr>
        <w:tc>
          <w:tcPr>
            <w:tcW w:w="0" w:type="pct"/>
            <w:tcBorders>
              <w:top w:val="single" w:sz="4" w:space="0" w:color="86BC25" w:themeColor="accent1"/>
            </w:tcBorders>
            <w:shd w:val="clear" w:color="auto" w:fill="00B0F0"/>
            <w:vAlign w:val="center"/>
          </w:tcPr>
          <w:p w14:paraId="381BBF2C" w14:textId="77777777" w:rsidR="00AA02CD" w:rsidRDefault="00AA02CD" w:rsidP="004E4749">
            <w:pPr>
              <w:spacing w:after="0" w:line="240" w:lineRule="auto"/>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Nelze vyhodnotit</w:t>
            </w:r>
          </w:p>
        </w:tc>
        <w:tc>
          <w:tcPr>
            <w:tcW w:w="0" w:type="pct"/>
            <w:vAlign w:val="center"/>
          </w:tcPr>
          <w:p w14:paraId="1B81DEB7" w14:textId="77777777" w:rsidR="00AA02CD" w:rsidRDefault="00AA02CD" w:rsidP="004E4749">
            <w:pPr>
              <w:spacing w:after="0" w:line="240" w:lineRule="auto"/>
              <w:jc w:val="center"/>
              <w:rPr>
                <w:rFonts w:asciiTheme="minorHAnsi" w:eastAsia="Times New Roman" w:hAnsiTheme="minorHAnsi" w:cs="Calibri"/>
                <w:color w:val="000000"/>
                <w:szCs w:val="18"/>
                <w:lang w:eastAsia="cs-CZ"/>
              </w:rPr>
            </w:pPr>
          </w:p>
        </w:tc>
        <w:tc>
          <w:tcPr>
            <w:tcW w:w="1877" w:type="pct"/>
            <w:vAlign w:val="center"/>
          </w:tcPr>
          <w:p w14:paraId="6049E340" w14:textId="77777777" w:rsidR="00AA02CD" w:rsidRDefault="00AA02CD" w:rsidP="004E4749">
            <w:pPr>
              <w:spacing w:after="0" w:line="240" w:lineRule="auto"/>
              <w:jc w:val="center"/>
              <w:rPr>
                <w:rFonts w:asciiTheme="minorHAnsi" w:eastAsia="Times New Roman" w:hAnsiTheme="minorHAnsi" w:cs="Calibri"/>
                <w:color w:val="000000"/>
                <w:szCs w:val="18"/>
                <w:lang w:eastAsia="cs-CZ"/>
              </w:rPr>
            </w:pPr>
          </w:p>
        </w:tc>
      </w:tr>
    </w:tbl>
    <w:p w14:paraId="4F3D967C" w14:textId="77777777" w:rsidR="00BF2C1C" w:rsidRDefault="00BF2C1C" w:rsidP="00BF2C1C">
      <w:pPr>
        <w:spacing w:after="0"/>
        <w:jc w:val="both"/>
      </w:pPr>
    </w:p>
    <w:p w14:paraId="08C300AC" w14:textId="77777777" w:rsidR="00BF2C1C" w:rsidRDefault="00BF2C1C" w:rsidP="00BF2C1C">
      <w:pPr>
        <w:jc w:val="both"/>
      </w:pPr>
      <w:r>
        <w:t>Sloupec „Žadatel“ v následující tabulce odpovídá hodnotě indikátoru naplánované žadateli v projektové žádosti. Tučně jsou zvýrazněny indikátory pro žadatele povinné.</w:t>
      </w:r>
    </w:p>
    <w:p w14:paraId="3BFD6FFF" w14:textId="77777777" w:rsidR="00BF2C1C" w:rsidRPr="00420197" w:rsidRDefault="00BF2C1C" w:rsidP="00BF2C1C">
      <w:pPr>
        <w:rPr>
          <w:i/>
        </w:rPr>
        <w:sectPr w:rsidR="00BF2C1C" w:rsidRPr="00420197" w:rsidSect="00530463">
          <w:footerReference w:type="default" r:id="rId16"/>
          <w:pgSz w:w="11906" w:h="16838"/>
          <w:pgMar w:top="1985" w:right="1134" w:bottom="1134" w:left="1134" w:header="680" w:footer="567" w:gutter="0"/>
          <w:cols w:space="708"/>
          <w:formProt w:val="0"/>
          <w:docGrid w:linePitch="360" w:charSpace="6143"/>
        </w:sectPr>
      </w:pPr>
      <w:r w:rsidRPr="00420197">
        <w:rPr>
          <w:i/>
        </w:rPr>
        <w:t xml:space="preserve">Pozn.: Definice a komentář k indikátorové soustavě SC 1.1 je obsažen v Příloze </w:t>
      </w:r>
      <w:r w:rsidR="00377091">
        <w:rPr>
          <w:i/>
        </w:rPr>
        <w:t>6</w:t>
      </w:r>
      <w:r w:rsidRPr="00420197">
        <w:rPr>
          <w:i/>
        </w:rPr>
        <w:t>.</w:t>
      </w:r>
    </w:p>
    <w:p w14:paraId="04BE553E" w14:textId="58A2889C" w:rsidR="00BF2C1C" w:rsidRDefault="00BF2C1C" w:rsidP="00BF2C1C">
      <w:pPr>
        <w:pStyle w:val="Caption"/>
        <w:ind w:left="-426"/>
      </w:pPr>
      <w:r>
        <w:t xml:space="preserve">Tabulka </w:t>
      </w:r>
      <w:r>
        <w:fldChar w:fldCharType="begin"/>
      </w:r>
      <w:r>
        <w:instrText xml:space="preserve"> SEQ Tabulka \* ARABIC </w:instrText>
      </w:r>
      <w:r>
        <w:fldChar w:fldCharType="separate"/>
      </w:r>
      <w:r w:rsidR="00F77CAE">
        <w:rPr>
          <w:noProof/>
        </w:rPr>
        <w:t>3</w:t>
      </w:r>
      <w:r>
        <w:fldChar w:fldCharType="end"/>
      </w:r>
      <w:r>
        <w:t xml:space="preserve"> - Přehled plnění indikátorů</w:t>
      </w:r>
    </w:p>
    <w:tbl>
      <w:tblPr>
        <w:tblStyle w:val="TableGrid"/>
        <w:tblW w:w="14317" w:type="dxa"/>
        <w:tblInd w:w="-426" w:type="dxa"/>
        <w:tblBorders>
          <w:bottom w:val="single" w:sz="4" w:space="0" w:color="86BC25" w:themeColor="accent1"/>
          <w:insideH w:val="single" w:sz="4" w:space="0" w:color="86BC25" w:themeColor="accent1"/>
        </w:tblBorders>
        <w:tblLayout w:type="fixed"/>
        <w:tblLook w:val="04A0" w:firstRow="1" w:lastRow="0" w:firstColumn="1" w:lastColumn="0" w:noHBand="0" w:noVBand="1"/>
      </w:tblPr>
      <w:tblGrid>
        <w:gridCol w:w="625"/>
        <w:gridCol w:w="4556"/>
        <w:gridCol w:w="965"/>
        <w:gridCol w:w="984"/>
        <w:gridCol w:w="1182"/>
        <w:gridCol w:w="1170"/>
        <w:gridCol w:w="706"/>
        <w:gridCol w:w="706"/>
        <w:gridCol w:w="706"/>
        <w:gridCol w:w="907"/>
        <w:gridCol w:w="706"/>
        <w:gridCol w:w="88"/>
        <w:gridCol w:w="1016"/>
      </w:tblGrid>
      <w:tr w:rsidR="00BF2C1C" w:rsidRPr="00DD14E8" w14:paraId="577A06C4" w14:textId="77777777" w:rsidTr="00CE2FF0">
        <w:trPr>
          <w:cnfStyle w:val="100000000000" w:firstRow="1" w:lastRow="0" w:firstColumn="0" w:lastColumn="0" w:oddVBand="0" w:evenVBand="0" w:oddHBand="0" w:evenHBand="0" w:firstRowFirstColumn="0" w:firstRowLastColumn="0" w:lastRowFirstColumn="0" w:lastRowLastColumn="0"/>
          <w:trHeight w:val="300"/>
          <w:tblHeader/>
        </w:trPr>
        <w:tc>
          <w:tcPr>
            <w:tcW w:w="625" w:type="dxa"/>
            <w:vMerge w:val="restart"/>
            <w:shd w:val="clear" w:color="auto" w:fill="86BC25" w:themeFill="accent1"/>
            <w:noWrap/>
            <w:vAlign w:val="center"/>
            <w:hideMark/>
          </w:tcPr>
          <w:p w14:paraId="14D8E991" w14:textId="77777777" w:rsidR="00BF2C1C" w:rsidRPr="00DD14E8" w:rsidRDefault="00BF2C1C" w:rsidP="004E4749">
            <w:pPr>
              <w:spacing w:after="0"/>
              <w:jc w:val="center"/>
              <w:rPr>
                <w:rFonts w:asciiTheme="minorHAnsi" w:hAnsiTheme="minorHAnsi"/>
                <w:b/>
                <w:color w:val="FFFFFF"/>
                <w:sz w:val="16"/>
                <w:szCs w:val="16"/>
              </w:rPr>
            </w:pPr>
            <w:r w:rsidRPr="00DD14E8">
              <w:rPr>
                <w:rFonts w:asciiTheme="minorHAnsi" w:hAnsiTheme="minorHAnsi"/>
                <w:b/>
                <w:bCs/>
                <w:color w:val="FFFFFF"/>
                <w:sz w:val="16"/>
                <w:szCs w:val="16"/>
              </w:rPr>
              <w:t>Kód NČI 2014+</w:t>
            </w:r>
          </w:p>
        </w:tc>
        <w:tc>
          <w:tcPr>
            <w:tcW w:w="4556" w:type="dxa"/>
            <w:vMerge w:val="restart"/>
            <w:shd w:val="clear" w:color="auto" w:fill="86BC25" w:themeFill="accent1"/>
            <w:noWrap/>
            <w:vAlign w:val="center"/>
            <w:hideMark/>
          </w:tcPr>
          <w:p w14:paraId="6085226F" w14:textId="77777777" w:rsidR="00BF2C1C" w:rsidRPr="00DD14E8" w:rsidRDefault="00BF2C1C" w:rsidP="004E4749">
            <w:pPr>
              <w:spacing w:after="0"/>
              <w:jc w:val="center"/>
              <w:rPr>
                <w:rFonts w:asciiTheme="minorHAnsi" w:hAnsiTheme="minorHAnsi"/>
                <w:b/>
                <w:color w:val="FFFFFF"/>
                <w:sz w:val="16"/>
                <w:szCs w:val="16"/>
              </w:rPr>
            </w:pPr>
            <w:r w:rsidRPr="00DD14E8">
              <w:rPr>
                <w:rFonts w:asciiTheme="minorHAnsi" w:hAnsiTheme="minorHAnsi"/>
                <w:b/>
                <w:bCs/>
                <w:color w:val="FFFFFF"/>
                <w:sz w:val="16"/>
                <w:szCs w:val="16"/>
              </w:rPr>
              <w:t>Název indikátoru</w:t>
            </w:r>
          </w:p>
        </w:tc>
        <w:tc>
          <w:tcPr>
            <w:tcW w:w="965" w:type="dxa"/>
            <w:vMerge w:val="restart"/>
            <w:shd w:val="clear" w:color="auto" w:fill="86BC25" w:themeFill="accent1"/>
            <w:noWrap/>
            <w:vAlign w:val="center"/>
            <w:hideMark/>
          </w:tcPr>
          <w:p w14:paraId="6E86F674" w14:textId="77777777" w:rsidR="00BF2C1C" w:rsidRPr="00DD14E8" w:rsidRDefault="00BF2C1C" w:rsidP="004E4749">
            <w:pPr>
              <w:spacing w:after="0"/>
              <w:jc w:val="center"/>
              <w:rPr>
                <w:rFonts w:asciiTheme="minorHAnsi" w:hAnsiTheme="minorHAnsi"/>
                <w:b/>
                <w:color w:val="FFFFFF"/>
                <w:sz w:val="16"/>
                <w:szCs w:val="16"/>
              </w:rPr>
            </w:pPr>
            <w:r w:rsidRPr="00DD14E8">
              <w:rPr>
                <w:rFonts w:asciiTheme="minorHAnsi" w:hAnsiTheme="minorHAnsi"/>
                <w:b/>
                <w:bCs/>
                <w:color w:val="FFFFFF"/>
                <w:sz w:val="16"/>
                <w:szCs w:val="16"/>
              </w:rPr>
              <w:t>Typ indikátoru</w:t>
            </w:r>
          </w:p>
        </w:tc>
        <w:tc>
          <w:tcPr>
            <w:tcW w:w="984" w:type="dxa"/>
            <w:vMerge w:val="restart"/>
            <w:shd w:val="clear" w:color="auto" w:fill="86BC25" w:themeFill="accent1"/>
            <w:vAlign w:val="center"/>
          </w:tcPr>
          <w:p w14:paraId="4AA9C331"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Hlavní / projektový</w:t>
            </w:r>
          </w:p>
        </w:tc>
        <w:tc>
          <w:tcPr>
            <w:tcW w:w="1182" w:type="dxa"/>
            <w:vMerge w:val="restart"/>
            <w:shd w:val="clear" w:color="auto" w:fill="86BC25" w:themeFill="accent1"/>
            <w:noWrap/>
            <w:vAlign w:val="center"/>
            <w:hideMark/>
          </w:tcPr>
          <w:p w14:paraId="6DB1FCCC" w14:textId="77777777" w:rsidR="00BF2C1C" w:rsidRPr="00DD14E8" w:rsidRDefault="00BF2C1C" w:rsidP="004E4749">
            <w:pPr>
              <w:spacing w:after="0"/>
              <w:jc w:val="center"/>
              <w:rPr>
                <w:rFonts w:asciiTheme="minorHAnsi" w:hAnsiTheme="minorHAnsi"/>
                <w:b/>
                <w:color w:val="FFFFFF"/>
                <w:sz w:val="16"/>
                <w:szCs w:val="16"/>
              </w:rPr>
            </w:pPr>
            <w:r w:rsidRPr="00DD14E8">
              <w:rPr>
                <w:rFonts w:asciiTheme="minorHAnsi" w:hAnsiTheme="minorHAnsi"/>
                <w:b/>
                <w:bCs/>
                <w:color w:val="FFFFFF"/>
                <w:sz w:val="16"/>
                <w:szCs w:val="16"/>
              </w:rPr>
              <w:t>Měrná jednotka</w:t>
            </w:r>
          </w:p>
        </w:tc>
        <w:tc>
          <w:tcPr>
            <w:tcW w:w="1170" w:type="dxa"/>
            <w:vMerge w:val="restart"/>
            <w:shd w:val="clear" w:color="auto" w:fill="86BC25" w:themeFill="accent1"/>
            <w:vAlign w:val="center"/>
          </w:tcPr>
          <w:p w14:paraId="603C21AF"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Programy</w:t>
            </w:r>
          </w:p>
        </w:tc>
        <w:tc>
          <w:tcPr>
            <w:tcW w:w="4835" w:type="dxa"/>
            <w:gridSpan w:val="7"/>
            <w:shd w:val="clear" w:color="auto" w:fill="86BC25" w:themeFill="accent1"/>
            <w:noWrap/>
            <w:vAlign w:val="center"/>
            <w:hideMark/>
          </w:tcPr>
          <w:p w14:paraId="7DE50EE9"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CELKEM</w:t>
            </w:r>
          </w:p>
        </w:tc>
      </w:tr>
      <w:tr w:rsidR="00BC1A01" w:rsidRPr="00DD14E8" w14:paraId="54DCE575" w14:textId="77777777" w:rsidTr="006D1933">
        <w:trPr>
          <w:cnfStyle w:val="100000000000" w:firstRow="1" w:lastRow="0" w:firstColumn="0" w:lastColumn="0" w:oddVBand="0" w:evenVBand="0" w:oddHBand="0" w:evenHBand="0" w:firstRowFirstColumn="0" w:firstRowLastColumn="0" w:lastRowFirstColumn="0" w:lastRowLastColumn="0"/>
          <w:trHeight w:val="300"/>
          <w:tblHeader/>
        </w:trPr>
        <w:tc>
          <w:tcPr>
            <w:tcW w:w="625" w:type="dxa"/>
            <w:vMerge/>
            <w:shd w:val="clear" w:color="auto" w:fill="76933C"/>
            <w:noWrap/>
            <w:vAlign w:val="center"/>
            <w:hideMark/>
          </w:tcPr>
          <w:p w14:paraId="7F626C6F" w14:textId="77777777" w:rsidR="00BF2C1C" w:rsidRPr="00DD14E8" w:rsidRDefault="00BF2C1C" w:rsidP="004E4749">
            <w:pPr>
              <w:spacing w:after="0"/>
              <w:jc w:val="center"/>
              <w:rPr>
                <w:rFonts w:asciiTheme="minorHAnsi" w:hAnsiTheme="minorHAnsi"/>
                <w:bCs/>
                <w:color w:val="FFFFFF"/>
                <w:sz w:val="16"/>
                <w:szCs w:val="16"/>
              </w:rPr>
            </w:pPr>
            <w:bookmarkStart w:id="23" w:name="_Hlk3482790"/>
          </w:p>
        </w:tc>
        <w:tc>
          <w:tcPr>
            <w:tcW w:w="4556" w:type="dxa"/>
            <w:vMerge/>
            <w:shd w:val="clear" w:color="auto" w:fill="76933C"/>
            <w:noWrap/>
            <w:vAlign w:val="center"/>
            <w:hideMark/>
          </w:tcPr>
          <w:p w14:paraId="7DE6D95A" w14:textId="77777777" w:rsidR="00BF2C1C" w:rsidRPr="00DD14E8" w:rsidRDefault="00BF2C1C" w:rsidP="004E4749">
            <w:pPr>
              <w:spacing w:after="0"/>
              <w:jc w:val="center"/>
              <w:rPr>
                <w:rFonts w:asciiTheme="minorHAnsi" w:hAnsiTheme="minorHAnsi"/>
                <w:bCs/>
                <w:color w:val="FFFFFF"/>
                <w:sz w:val="16"/>
                <w:szCs w:val="16"/>
              </w:rPr>
            </w:pPr>
          </w:p>
        </w:tc>
        <w:tc>
          <w:tcPr>
            <w:tcW w:w="965" w:type="dxa"/>
            <w:vMerge/>
            <w:shd w:val="clear" w:color="auto" w:fill="76933C"/>
            <w:noWrap/>
            <w:vAlign w:val="center"/>
            <w:hideMark/>
          </w:tcPr>
          <w:p w14:paraId="1C2D5BCA" w14:textId="77777777" w:rsidR="00BF2C1C" w:rsidRPr="00DD14E8" w:rsidRDefault="00BF2C1C" w:rsidP="004E4749">
            <w:pPr>
              <w:spacing w:after="0"/>
              <w:jc w:val="center"/>
              <w:rPr>
                <w:rFonts w:asciiTheme="minorHAnsi" w:hAnsiTheme="minorHAnsi"/>
                <w:bCs/>
                <w:color w:val="FFFFFF"/>
                <w:sz w:val="16"/>
                <w:szCs w:val="16"/>
              </w:rPr>
            </w:pPr>
          </w:p>
        </w:tc>
        <w:tc>
          <w:tcPr>
            <w:tcW w:w="984" w:type="dxa"/>
            <w:vMerge/>
            <w:shd w:val="clear" w:color="auto" w:fill="76933C"/>
            <w:vAlign w:val="center"/>
          </w:tcPr>
          <w:p w14:paraId="1327253C" w14:textId="77777777" w:rsidR="00BF2C1C" w:rsidRPr="00DD14E8" w:rsidRDefault="00BF2C1C" w:rsidP="004E4749">
            <w:pPr>
              <w:spacing w:after="0"/>
              <w:jc w:val="center"/>
              <w:rPr>
                <w:rFonts w:asciiTheme="minorHAnsi" w:hAnsiTheme="minorHAnsi"/>
                <w:bCs/>
                <w:color w:val="FFFFFF"/>
                <w:sz w:val="16"/>
                <w:szCs w:val="16"/>
              </w:rPr>
            </w:pPr>
          </w:p>
        </w:tc>
        <w:tc>
          <w:tcPr>
            <w:tcW w:w="1182" w:type="dxa"/>
            <w:vMerge/>
            <w:shd w:val="clear" w:color="auto" w:fill="76933C"/>
            <w:noWrap/>
            <w:vAlign w:val="center"/>
            <w:hideMark/>
          </w:tcPr>
          <w:p w14:paraId="5FCC21E5" w14:textId="77777777" w:rsidR="00BF2C1C" w:rsidRPr="00DD14E8" w:rsidRDefault="00BF2C1C" w:rsidP="004E4749">
            <w:pPr>
              <w:spacing w:after="0"/>
              <w:jc w:val="center"/>
              <w:rPr>
                <w:rFonts w:asciiTheme="minorHAnsi" w:hAnsiTheme="minorHAnsi"/>
                <w:bCs/>
                <w:color w:val="FFFFFF"/>
                <w:sz w:val="16"/>
                <w:szCs w:val="16"/>
              </w:rPr>
            </w:pPr>
          </w:p>
        </w:tc>
        <w:tc>
          <w:tcPr>
            <w:tcW w:w="1170" w:type="dxa"/>
            <w:vMerge/>
            <w:shd w:val="clear" w:color="auto" w:fill="76933C"/>
          </w:tcPr>
          <w:p w14:paraId="353D49C0" w14:textId="77777777" w:rsidR="00BF2C1C" w:rsidRPr="00DD14E8" w:rsidRDefault="00BF2C1C" w:rsidP="004E4749">
            <w:pPr>
              <w:spacing w:after="0"/>
              <w:jc w:val="center"/>
              <w:rPr>
                <w:rFonts w:asciiTheme="minorHAnsi" w:hAnsiTheme="minorHAnsi"/>
                <w:bCs/>
                <w:color w:val="FFFFFF"/>
                <w:sz w:val="16"/>
                <w:szCs w:val="16"/>
              </w:rPr>
            </w:pPr>
          </w:p>
        </w:tc>
        <w:tc>
          <w:tcPr>
            <w:tcW w:w="706" w:type="dxa"/>
            <w:shd w:val="clear" w:color="auto" w:fill="86BC25" w:themeFill="accent1"/>
            <w:noWrap/>
            <w:vAlign w:val="center"/>
            <w:hideMark/>
          </w:tcPr>
          <w:p w14:paraId="0B431263"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Výchozí</w:t>
            </w:r>
          </w:p>
        </w:tc>
        <w:tc>
          <w:tcPr>
            <w:tcW w:w="706" w:type="dxa"/>
            <w:shd w:val="clear" w:color="auto" w:fill="86BC25" w:themeFill="accent1"/>
            <w:noWrap/>
            <w:vAlign w:val="center"/>
            <w:hideMark/>
          </w:tcPr>
          <w:p w14:paraId="272505F5"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Cílová</w:t>
            </w:r>
          </w:p>
        </w:tc>
        <w:tc>
          <w:tcPr>
            <w:tcW w:w="706" w:type="dxa"/>
            <w:shd w:val="clear" w:color="auto" w:fill="86BC25" w:themeFill="accent1"/>
            <w:noWrap/>
            <w:vAlign w:val="center"/>
            <w:hideMark/>
          </w:tcPr>
          <w:p w14:paraId="52623F00"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Žadatel</w:t>
            </w:r>
          </w:p>
        </w:tc>
        <w:tc>
          <w:tcPr>
            <w:tcW w:w="907" w:type="dxa"/>
            <w:shd w:val="clear" w:color="auto" w:fill="86BC25" w:themeFill="accent1"/>
            <w:noWrap/>
            <w:vAlign w:val="center"/>
            <w:hideMark/>
          </w:tcPr>
          <w:p w14:paraId="1E17C948"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Dosažená</w:t>
            </w:r>
          </w:p>
        </w:tc>
        <w:tc>
          <w:tcPr>
            <w:tcW w:w="706" w:type="dxa"/>
            <w:shd w:val="clear" w:color="auto" w:fill="86BC25" w:themeFill="accent1"/>
            <w:noWrap/>
            <w:vAlign w:val="center"/>
            <w:hideMark/>
          </w:tcPr>
          <w:p w14:paraId="11918050"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Žadatel</w:t>
            </w:r>
          </w:p>
        </w:tc>
        <w:tc>
          <w:tcPr>
            <w:tcW w:w="1104" w:type="dxa"/>
            <w:gridSpan w:val="2"/>
            <w:shd w:val="clear" w:color="auto" w:fill="86BC25" w:themeFill="accent1"/>
            <w:noWrap/>
            <w:vAlign w:val="center"/>
            <w:hideMark/>
          </w:tcPr>
          <w:p w14:paraId="15F43689" w14:textId="77777777" w:rsidR="00BF2C1C" w:rsidRPr="00DD14E8" w:rsidRDefault="00BF2C1C" w:rsidP="004E4749">
            <w:pPr>
              <w:spacing w:after="0"/>
              <w:jc w:val="center"/>
              <w:rPr>
                <w:rFonts w:asciiTheme="minorHAnsi" w:hAnsiTheme="minorHAnsi"/>
                <w:b/>
                <w:bCs/>
                <w:color w:val="FFFFFF"/>
                <w:sz w:val="16"/>
                <w:szCs w:val="16"/>
              </w:rPr>
            </w:pPr>
            <w:r w:rsidRPr="00DD14E8">
              <w:rPr>
                <w:rFonts w:asciiTheme="minorHAnsi" w:hAnsiTheme="minorHAnsi"/>
                <w:b/>
                <w:bCs/>
                <w:color w:val="FFFFFF"/>
                <w:sz w:val="16"/>
                <w:szCs w:val="16"/>
              </w:rPr>
              <w:t>Dosaženo</w:t>
            </w:r>
          </w:p>
        </w:tc>
      </w:tr>
      <w:tr w:rsidR="00BF2C1C" w:rsidRPr="00DD14E8" w14:paraId="1E2781BF" w14:textId="77777777" w:rsidTr="004E4749">
        <w:trPr>
          <w:trHeight w:val="216"/>
        </w:trPr>
        <w:tc>
          <w:tcPr>
            <w:tcW w:w="625" w:type="dxa"/>
            <w:shd w:val="clear" w:color="auto" w:fill="auto"/>
            <w:noWrap/>
            <w:hideMark/>
          </w:tcPr>
          <w:p w14:paraId="395BA27B"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10000</w:t>
            </w:r>
          </w:p>
        </w:tc>
        <w:tc>
          <w:tcPr>
            <w:tcW w:w="4556" w:type="dxa"/>
            <w:shd w:val="clear" w:color="auto" w:fill="auto"/>
            <w:noWrap/>
            <w:hideMark/>
          </w:tcPr>
          <w:p w14:paraId="0B750E85"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podniků pobírajících podporu</w:t>
            </w:r>
          </w:p>
        </w:tc>
        <w:tc>
          <w:tcPr>
            <w:tcW w:w="965" w:type="dxa"/>
            <w:shd w:val="clear" w:color="auto" w:fill="auto"/>
            <w:noWrap/>
            <w:hideMark/>
          </w:tcPr>
          <w:p w14:paraId="24BAC2E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2BD3254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5E49F21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Podniky</w:t>
            </w:r>
          </w:p>
        </w:tc>
        <w:tc>
          <w:tcPr>
            <w:tcW w:w="1170" w:type="dxa"/>
          </w:tcPr>
          <w:p w14:paraId="55D8C893"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78938B09"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4F49DE1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1400</w:t>
            </w:r>
          </w:p>
        </w:tc>
        <w:tc>
          <w:tcPr>
            <w:tcW w:w="706" w:type="dxa"/>
            <w:shd w:val="clear" w:color="auto" w:fill="auto"/>
            <w:noWrap/>
            <w:hideMark/>
          </w:tcPr>
          <w:p w14:paraId="5FDA021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1142</w:t>
            </w:r>
          </w:p>
        </w:tc>
        <w:tc>
          <w:tcPr>
            <w:tcW w:w="907" w:type="dxa"/>
            <w:shd w:val="clear" w:color="auto" w:fill="auto"/>
            <w:noWrap/>
            <w:hideMark/>
          </w:tcPr>
          <w:p w14:paraId="498E9E6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317</w:t>
            </w:r>
          </w:p>
        </w:tc>
        <w:tc>
          <w:tcPr>
            <w:tcW w:w="794" w:type="dxa"/>
            <w:gridSpan w:val="2"/>
            <w:shd w:val="clear" w:color="auto" w:fill="92D050"/>
            <w:noWrap/>
            <w:hideMark/>
          </w:tcPr>
          <w:p w14:paraId="7F6050F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81,57 %</w:t>
            </w:r>
          </w:p>
        </w:tc>
        <w:tc>
          <w:tcPr>
            <w:tcW w:w="1016" w:type="dxa"/>
            <w:shd w:val="clear" w:color="auto" w:fill="92D050"/>
            <w:noWrap/>
            <w:hideMark/>
          </w:tcPr>
          <w:p w14:paraId="2D0E719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22,64 %</w:t>
            </w:r>
          </w:p>
        </w:tc>
      </w:tr>
      <w:tr w:rsidR="00BF2C1C" w:rsidRPr="00DD14E8" w14:paraId="7393A4A8" w14:textId="77777777" w:rsidTr="004E4749">
        <w:trPr>
          <w:trHeight w:val="234"/>
        </w:trPr>
        <w:tc>
          <w:tcPr>
            <w:tcW w:w="625" w:type="dxa"/>
            <w:shd w:val="clear" w:color="auto" w:fill="auto"/>
            <w:noWrap/>
            <w:hideMark/>
          </w:tcPr>
          <w:p w14:paraId="6CA94D75"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10102</w:t>
            </w:r>
          </w:p>
        </w:tc>
        <w:tc>
          <w:tcPr>
            <w:tcW w:w="4556" w:type="dxa"/>
            <w:shd w:val="clear" w:color="auto" w:fill="auto"/>
            <w:noWrap/>
            <w:hideMark/>
          </w:tcPr>
          <w:p w14:paraId="360D6FE0"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podniků pobírajících granty</w:t>
            </w:r>
          </w:p>
        </w:tc>
        <w:tc>
          <w:tcPr>
            <w:tcW w:w="965" w:type="dxa"/>
            <w:shd w:val="clear" w:color="auto" w:fill="auto"/>
            <w:noWrap/>
            <w:hideMark/>
          </w:tcPr>
          <w:p w14:paraId="3C89AD4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08C972E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334905C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Podniky</w:t>
            </w:r>
          </w:p>
        </w:tc>
        <w:tc>
          <w:tcPr>
            <w:tcW w:w="1170" w:type="dxa"/>
          </w:tcPr>
          <w:p w14:paraId="136F1CDA"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28B29935"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66AC611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1400</w:t>
            </w:r>
          </w:p>
        </w:tc>
        <w:tc>
          <w:tcPr>
            <w:tcW w:w="706" w:type="dxa"/>
            <w:shd w:val="clear" w:color="auto" w:fill="auto"/>
            <w:noWrap/>
            <w:hideMark/>
          </w:tcPr>
          <w:p w14:paraId="7E14A8B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1142</w:t>
            </w:r>
          </w:p>
        </w:tc>
        <w:tc>
          <w:tcPr>
            <w:tcW w:w="907" w:type="dxa"/>
            <w:shd w:val="clear" w:color="auto" w:fill="auto"/>
            <w:noWrap/>
            <w:hideMark/>
          </w:tcPr>
          <w:p w14:paraId="7999184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317</w:t>
            </w:r>
          </w:p>
        </w:tc>
        <w:tc>
          <w:tcPr>
            <w:tcW w:w="794" w:type="dxa"/>
            <w:gridSpan w:val="2"/>
            <w:shd w:val="clear" w:color="auto" w:fill="92D050"/>
            <w:noWrap/>
            <w:hideMark/>
          </w:tcPr>
          <w:p w14:paraId="0145EED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81,57 %</w:t>
            </w:r>
          </w:p>
        </w:tc>
        <w:tc>
          <w:tcPr>
            <w:tcW w:w="1016" w:type="dxa"/>
            <w:shd w:val="clear" w:color="auto" w:fill="92D050"/>
            <w:noWrap/>
            <w:hideMark/>
          </w:tcPr>
          <w:p w14:paraId="72E919E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22,64 %</w:t>
            </w:r>
          </w:p>
        </w:tc>
      </w:tr>
      <w:tr w:rsidR="00BF2C1C" w:rsidRPr="00DD14E8" w14:paraId="1EC447F9" w14:textId="77777777" w:rsidTr="004E4749">
        <w:trPr>
          <w:trHeight w:val="137"/>
        </w:trPr>
        <w:tc>
          <w:tcPr>
            <w:tcW w:w="625" w:type="dxa"/>
            <w:shd w:val="clear" w:color="auto" w:fill="auto"/>
            <w:noWrap/>
            <w:hideMark/>
          </w:tcPr>
          <w:p w14:paraId="0220C270"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10300</w:t>
            </w:r>
          </w:p>
        </w:tc>
        <w:tc>
          <w:tcPr>
            <w:tcW w:w="4556" w:type="dxa"/>
            <w:shd w:val="clear" w:color="auto" w:fill="auto"/>
            <w:noWrap/>
            <w:hideMark/>
          </w:tcPr>
          <w:p w14:paraId="3DCFEA7A"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Soukromé investice odpovídající veřejné podpoře podniků (granty)</w:t>
            </w:r>
          </w:p>
        </w:tc>
        <w:tc>
          <w:tcPr>
            <w:tcW w:w="965" w:type="dxa"/>
            <w:shd w:val="clear" w:color="auto" w:fill="auto"/>
            <w:noWrap/>
            <w:hideMark/>
          </w:tcPr>
          <w:p w14:paraId="6C630F1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2F4765E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611D731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EUR</w:t>
            </w:r>
          </w:p>
        </w:tc>
        <w:tc>
          <w:tcPr>
            <w:tcW w:w="1170" w:type="dxa"/>
          </w:tcPr>
          <w:p w14:paraId="41D4EBDB"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20691ABC"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7B33608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3 440 mil.</w:t>
            </w:r>
          </w:p>
        </w:tc>
        <w:tc>
          <w:tcPr>
            <w:tcW w:w="706" w:type="dxa"/>
            <w:shd w:val="clear" w:color="auto" w:fill="auto"/>
            <w:noWrap/>
            <w:hideMark/>
          </w:tcPr>
          <w:p w14:paraId="7D0B311F" w14:textId="77777777" w:rsidR="00BF2C1C" w:rsidRPr="00DD14E8" w:rsidRDefault="00BF2C1C" w:rsidP="004E4749">
            <w:pPr>
              <w:spacing w:after="0"/>
              <w:jc w:val="center"/>
              <w:rPr>
                <w:rFonts w:asciiTheme="minorHAnsi" w:hAnsiTheme="minorHAnsi"/>
                <w:sz w:val="16"/>
                <w:szCs w:val="16"/>
              </w:rPr>
            </w:pPr>
          </w:p>
        </w:tc>
        <w:tc>
          <w:tcPr>
            <w:tcW w:w="907" w:type="dxa"/>
            <w:shd w:val="clear" w:color="auto" w:fill="00B0F0"/>
            <w:noWrap/>
            <w:hideMark/>
          </w:tcPr>
          <w:p w14:paraId="31686BD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w:t>
            </w:r>
          </w:p>
        </w:tc>
        <w:tc>
          <w:tcPr>
            <w:tcW w:w="794" w:type="dxa"/>
            <w:gridSpan w:val="2"/>
            <w:shd w:val="clear" w:color="auto" w:fill="auto"/>
            <w:noWrap/>
            <w:hideMark/>
          </w:tcPr>
          <w:p w14:paraId="0DFF1C5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X</w:t>
            </w:r>
          </w:p>
        </w:tc>
        <w:tc>
          <w:tcPr>
            <w:tcW w:w="1016" w:type="dxa"/>
            <w:shd w:val="clear" w:color="auto" w:fill="00B0F0"/>
            <w:noWrap/>
            <w:hideMark/>
          </w:tcPr>
          <w:p w14:paraId="0EEFC0C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w:t>
            </w:r>
          </w:p>
        </w:tc>
      </w:tr>
      <w:tr w:rsidR="00BF2C1C" w:rsidRPr="00DD14E8" w14:paraId="2593403E" w14:textId="77777777" w:rsidTr="004E4749">
        <w:trPr>
          <w:trHeight w:val="300"/>
        </w:trPr>
        <w:tc>
          <w:tcPr>
            <w:tcW w:w="625" w:type="dxa"/>
            <w:shd w:val="clear" w:color="auto" w:fill="auto"/>
            <w:noWrap/>
            <w:hideMark/>
          </w:tcPr>
          <w:p w14:paraId="6B09EA94"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20000</w:t>
            </w:r>
          </w:p>
        </w:tc>
        <w:tc>
          <w:tcPr>
            <w:tcW w:w="4556" w:type="dxa"/>
            <w:shd w:val="clear" w:color="auto" w:fill="auto"/>
            <w:noWrap/>
            <w:hideMark/>
          </w:tcPr>
          <w:p w14:paraId="767928C6"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podni</w:t>
            </w:r>
            <w:r>
              <w:rPr>
                <w:rFonts w:asciiTheme="minorHAnsi" w:hAnsiTheme="minorHAnsi"/>
                <w:sz w:val="16"/>
                <w:szCs w:val="16"/>
              </w:rPr>
              <w:t>ků spolupracujících s </w:t>
            </w:r>
            <w:proofErr w:type="spellStart"/>
            <w:r>
              <w:rPr>
                <w:rFonts w:asciiTheme="minorHAnsi" w:hAnsiTheme="minorHAnsi"/>
                <w:sz w:val="16"/>
                <w:szCs w:val="16"/>
              </w:rPr>
              <w:t>výzk</w:t>
            </w:r>
            <w:proofErr w:type="spellEnd"/>
            <w:r>
              <w:rPr>
                <w:rFonts w:asciiTheme="minorHAnsi" w:hAnsiTheme="minorHAnsi"/>
                <w:sz w:val="16"/>
                <w:szCs w:val="16"/>
              </w:rPr>
              <w:t>.</w:t>
            </w:r>
            <w:r w:rsidRPr="00DD14E8">
              <w:rPr>
                <w:rFonts w:asciiTheme="minorHAnsi" w:hAnsiTheme="minorHAnsi"/>
                <w:sz w:val="16"/>
                <w:szCs w:val="16"/>
              </w:rPr>
              <w:t xml:space="preserve"> institucemi</w:t>
            </w:r>
          </w:p>
        </w:tc>
        <w:tc>
          <w:tcPr>
            <w:tcW w:w="965" w:type="dxa"/>
            <w:shd w:val="clear" w:color="auto" w:fill="auto"/>
            <w:noWrap/>
            <w:hideMark/>
          </w:tcPr>
          <w:p w14:paraId="211E1B4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1B087909"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2F1821B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Podniky</w:t>
            </w:r>
          </w:p>
        </w:tc>
        <w:tc>
          <w:tcPr>
            <w:tcW w:w="1170" w:type="dxa"/>
          </w:tcPr>
          <w:p w14:paraId="4BD336D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APL, INO, POT</w:t>
            </w:r>
          </w:p>
        </w:tc>
        <w:tc>
          <w:tcPr>
            <w:tcW w:w="706" w:type="dxa"/>
            <w:shd w:val="clear" w:color="auto" w:fill="auto"/>
            <w:noWrap/>
            <w:hideMark/>
          </w:tcPr>
          <w:p w14:paraId="00EB8E2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67B942E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500</w:t>
            </w:r>
          </w:p>
        </w:tc>
        <w:tc>
          <w:tcPr>
            <w:tcW w:w="706" w:type="dxa"/>
            <w:shd w:val="clear" w:color="auto" w:fill="auto"/>
            <w:noWrap/>
            <w:hideMark/>
          </w:tcPr>
          <w:p w14:paraId="4948CF3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231</w:t>
            </w:r>
          </w:p>
        </w:tc>
        <w:tc>
          <w:tcPr>
            <w:tcW w:w="907" w:type="dxa"/>
            <w:shd w:val="clear" w:color="auto" w:fill="auto"/>
            <w:noWrap/>
            <w:hideMark/>
          </w:tcPr>
          <w:p w14:paraId="09417B5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105</w:t>
            </w:r>
          </w:p>
        </w:tc>
        <w:tc>
          <w:tcPr>
            <w:tcW w:w="794" w:type="dxa"/>
            <w:gridSpan w:val="2"/>
            <w:shd w:val="clear" w:color="auto" w:fill="FFFF00"/>
            <w:noWrap/>
            <w:hideMark/>
          </w:tcPr>
          <w:p w14:paraId="3025B21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46,20 %</w:t>
            </w:r>
          </w:p>
        </w:tc>
        <w:tc>
          <w:tcPr>
            <w:tcW w:w="1016" w:type="dxa"/>
            <w:shd w:val="clear" w:color="auto" w:fill="92D050"/>
            <w:noWrap/>
            <w:hideMark/>
          </w:tcPr>
          <w:p w14:paraId="312CFA8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21,00 %</w:t>
            </w:r>
          </w:p>
        </w:tc>
      </w:tr>
      <w:tr w:rsidR="00BF2C1C" w:rsidRPr="00DD14E8" w14:paraId="012650F4" w14:textId="77777777" w:rsidTr="004E4749">
        <w:trPr>
          <w:trHeight w:val="300"/>
        </w:trPr>
        <w:tc>
          <w:tcPr>
            <w:tcW w:w="625" w:type="dxa"/>
            <w:shd w:val="clear" w:color="auto" w:fill="auto"/>
            <w:noWrap/>
            <w:hideMark/>
          </w:tcPr>
          <w:p w14:paraId="1D145D66"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20101</w:t>
            </w:r>
          </w:p>
        </w:tc>
        <w:tc>
          <w:tcPr>
            <w:tcW w:w="4556" w:type="dxa"/>
            <w:shd w:val="clear" w:color="auto" w:fill="auto"/>
            <w:noWrap/>
            <w:hideMark/>
          </w:tcPr>
          <w:p w14:paraId="314FC17C"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výzkumných organizací spolupracujících s firmami</w:t>
            </w:r>
          </w:p>
        </w:tc>
        <w:tc>
          <w:tcPr>
            <w:tcW w:w="965" w:type="dxa"/>
            <w:shd w:val="clear" w:color="auto" w:fill="auto"/>
            <w:noWrap/>
            <w:hideMark/>
          </w:tcPr>
          <w:p w14:paraId="5BBE8B0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37E9B68F"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1C0D6C4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Organizace</w:t>
            </w:r>
          </w:p>
        </w:tc>
        <w:tc>
          <w:tcPr>
            <w:tcW w:w="1170" w:type="dxa"/>
          </w:tcPr>
          <w:p w14:paraId="4A00DCC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APL, INO, POT</w:t>
            </w:r>
          </w:p>
        </w:tc>
        <w:tc>
          <w:tcPr>
            <w:tcW w:w="706" w:type="dxa"/>
            <w:shd w:val="clear" w:color="auto" w:fill="auto"/>
            <w:noWrap/>
            <w:hideMark/>
          </w:tcPr>
          <w:p w14:paraId="1E2396F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56634A2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180</w:t>
            </w:r>
          </w:p>
        </w:tc>
        <w:tc>
          <w:tcPr>
            <w:tcW w:w="706" w:type="dxa"/>
            <w:shd w:val="clear" w:color="auto" w:fill="auto"/>
            <w:noWrap/>
            <w:hideMark/>
          </w:tcPr>
          <w:p w14:paraId="3A21DFB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w:t>
            </w:r>
          </w:p>
        </w:tc>
        <w:tc>
          <w:tcPr>
            <w:tcW w:w="907" w:type="dxa"/>
            <w:shd w:val="clear" w:color="auto" w:fill="auto"/>
            <w:noWrap/>
            <w:hideMark/>
          </w:tcPr>
          <w:p w14:paraId="409045E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w:t>
            </w:r>
          </w:p>
        </w:tc>
        <w:tc>
          <w:tcPr>
            <w:tcW w:w="794" w:type="dxa"/>
            <w:gridSpan w:val="2"/>
            <w:shd w:val="clear" w:color="auto" w:fill="FF0000"/>
            <w:noWrap/>
            <w:hideMark/>
          </w:tcPr>
          <w:p w14:paraId="79D5666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1,67 %</w:t>
            </w:r>
          </w:p>
        </w:tc>
        <w:tc>
          <w:tcPr>
            <w:tcW w:w="1016" w:type="dxa"/>
            <w:shd w:val="clear" w:color="auto" w:fill="FF0000"/>
            <w:noWrap/>
            <w:hideMark/>
          </w:tcPr>
          <w:p w14:paraId="0AC6A14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2,22 %</w:t>
            </w:r>
          </w:p>
        </w:tc>
      </w:tr>
      <w:tr w:rsidR="00BF2C1C" w:rsidRPr="00DD14E8" w14:paraId="011E53EE" w14:textId="77777777" w:rsidTr="004E4749">
        <w:trPr>
          <w:trHeight w:val="300"/>
        </w:trPr>
        <w:tc>
          <w:tcPr>
            <w:tcW w:w="625" w:type="dxa"/>
            <w:shd w:val="clear" w:color="auto" w:fill="auto"/>
            <w:noWrap/>
            <w:hideMark/>
          </w:tcPr>
          <w:p w14:paraId="35FC558A"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20400</w:t>
            </w:r>
          </w:p>
        </w:tc>
        <w:tc>
          <w:tcPr>
            <w:tcW w:w="4556" w:type="dxa"/>
            <w:shd w:val="clear" w:color="auto" w:fill="auto"/>
            <w:noWrap/>
            <w:hideMark/>
          </w:tcPr>
          <w:p w14:paraId="2C6A721E" w14:textId="77777777" w:rsidR="00BF2C1C" w:rsidRPr="00DD14E8" w:rsidRDefault="00BF2C1C" w:rsidP="004E4749">
            <w:pPr>
              <w:spacing w:after="0"/>
              <w:rPr>
                <w:rFonts w:asciiTheme="minorHAnsi" w:hAnsiTheme="minorHAnsi"/>
                <w:sz w:val="16"/>
                <w:szCs w:val="16"/>
              </w:rPr>
            </w:pPr>
            <w:r>
              <w:rPr>
                <w:rFonts w:asciiTheme="minorHAnsi" w:hAnsiTheme="minorHAnsi"/>
                <w:sz w:val="16"/>
                <w:szCs w:val="16"/>
              </w:rPr>
              <w:t xml:space="preserve">Počet nových </w:t>
            </w:r>
            <w:proofErr w:type="spellStart"/>
            <w:r>
              <w:rPr>
                <w:rFonts w:asciiTheme="minorHAnsi" w:hAnsiTheme="minorHAnsi"/>
                <w:sz w:val="16"/>
                <w:szCs w:val="16"/>
              </w:rPr>
              <w:t>výzk</w:t>
            </w:r>
            <w:proofErr w:type="spellEnd"/>
            <w:r>
              <w:rPr>
                <w:rFonts w:asciiTheme="minorHAnsi" w:hAnsiTheme="minorHAnsi"/>
                <w:sz w:val="16"/>
                <w:szCs w:val="16"/>
              </w:rPr>
              <w:t>.</w:t>
            </w:r>
            <w:r w:rsidRPr="00DD14E8">
              <w:rPr>
                <w:rFonts w:asciiTheme="minorHAnsi" w:hAnsiTheme="minorHAnsi"/>
                <w:sz w:val="16"/>
                <w:szCs w:val="16"/>
              </w:rPr>
              <w:t xml:space="preserve"> pracovníků v podporovaných </w:t>
            </w:r>
            <w:proofErr w:type="spellStart"/>
            <w:r w:rsidRPr="00DD14E8">
              <w:rPr>
                <w:rFonts w:asciiTheme="minorHAnsi" w:hAnsiTheme="minorHAnsi"/>
                <w:sz w:val="16"/>
                <w:szCs w:val="16"/>
              </w:rPr>
              <w:t>subj</w:t>
            </w:r>
            <w:proofErr w:type="spellEnd"/>
            <w:r>
              <w:rPr>
                <w:rFonts w:asciiTheme="minorHAnsi" w:hAnsiTheme="minorHAnsi"/>
                <w:sz w:val="16"/>
                <w:szCs w:val="16"/>
              </w:rPr>
              <w:t>.</w:t>
            </w:r>
          </w:p>
        </w:tc>
        <w:tc>
          <w:tcPr>
            <w:tcW w:w="965" w:type="dxa"/>
            <w:shd w:val="clear" w:color="auto" w:fill="auto"/>
            <w:noWrap/>
            <w:hideMark/>
          </w:tcPr>
          <w:p w14:paraId="0AA8A5D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02EE1041"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01F2527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FTE</w:t>
            </w:r>
          </w:p>
        </w:tc>
        <w:tc>
          <w:tcPr>
            <w:tcW w:w="1170" w:type="dxa"/>
          </w:tcPr>
          <w:p w14:paraId="4852C30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APL, INO, POT</w:t>
            </w:r>
          </w:p>
        </w:tc>
        <w:tc>
          <w:tcPr>
            <w:tcW w:w="706" w:type="dxa"/>
            <w:shd w:val="clear" w:color="auto" w:fill="auto"/>
            <w:noWrap/>
            <w:hideMark/>
          </w:tcPr>
          <w:p w14:paraId="2A10B09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5D52726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3200</w:t>
            </w:r>
          </w:p>
        </w:tc>
        <w:tc>
          <w:tcPr>
            <w:tcW w:w="706" w:type="dxa"/>
            <w:shd w:val="clear" w:color="auto" w:fill="auto"/>
            <w:noWrap/>
            <w:hideMark/>
          </w:tcPr>
          <w:p w14:paraId="3EFAECE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480,5</w:t>
            </w:r>
          </w:p>
        </w:tc>
        <w:tc>
          <w:tcPr>
            <w:tcW w:w="907" w:type="dxa"/>
            <w:shd w:val="clear" w:color="auto" w:fill="auto"/>
            <w:noWrap/>
            <w:hideMark/>
          </w:tcPr>
          <w:p w14:paraId="3B5FF2F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361,05</w:t>
            </w:r>
          </w:p>
        </w:tc>
        <w:tc>
          <w:tcPr>
            <w:tcW w:w="794" w:type="dxa"/>
            <w:gridSpan w:val="2"/>
            <w:shd w:val="clear" w:color="auto" w:fill="FF0000"/>
            <w:noWrap/>
            <w:hideMark/>
          </w:tcPr>
          <w:p w14:paraId="6AF9211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15,02 %</w:t>
            </w:r>
          </w:p>
        </w:tc>
        <w:tc>
          <w:tcPr>
            <w:tcW w:w="1016" w:type="dxa"/>
            <w:shd w:val="clear" w:color="auto" w:fill="FFFF00"/>
            <w:noWrap/>
            <w:hideMark/>
          </w:tcPr>
          <w:p w14:paraId="7278032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11,28 %</w:t>
            </w:r>
          </w:p>
        </w:tc>
      </w:tr>
      <w:tr w:rsidR="00BF2C1C" w:rsidRPr="00DD14E8" w14:paraId="5039FE3E" w14:textId="77777777" w:rsidTr="004E4749">
        <w:trPr>
          <w:trHeight w:val="222"/>
        </w:trPr>
        <w:tc>
          <w:tcPr>
            <w:tcW w:w="625" w:type="dxa"/>
            <w:shd w:val="clear" w:color="auto" w:fill="auto"/>
            <w:noWrap/>
            <w:hideMark/>
          </w:tcPr>
          <w:p w14:paraId="038673B5"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20702</w:t>
            </w:r>
          </w:p>
        </w:tc>
        <w:tc>
          <w:tcPr>
            <w:tcW w:w="4556" w:type="dxa"/>
            <w:shd w:val="clear" w:color="auto" w:fill="auto"/>
            <w:noWrap/>
            <w:hideMark/>
          </w:tcPr>
          <w:p w14:paraId="58119A9B"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 xml:space="preserve">Počet nově vytvořených pracovních míst, zaměstnanci </w:t>
            </w:r>
            <w:proofErr w:type="spellStart"/>
            <w:r w:rsidRPr="00DD14E8">
              <w:rPr>
                <w:rFonts w:asciiTheme="minorHAnsi" w:hAnsiTheme="minorHAnsi"/>
                <w:sz w:val="16"/>
                <w:szCs w:val="16"/>
              </w:rPr>
              <w:t>VaV</w:t>
            </w:r>
            <w:proofErr w:type="spellEnd"/>
            <w:r w:rsidRPr="00DD14E8">
              <w:rPr>
                <w:rFonts w:asciiTheme="minorHAnsi" w:hAnsiTheme="minorHAnsi"/>
                <w:sz w:val="16"/>
                <w:szCs w:val="16"/>
              </w:rPr>
              <w:t xml:space="preserve"> - ženy</w:t>
            </w:r>
          </w:p>
        </w:tc>
        <w:tc>
          <w:tcPr>
            <w:tcW w:w="965" w:type="dxa"/>
            <w:shd w:val="clear" w:color="auto" w:fill="auto"/>
            <w:noWrap/>
            <w:hideMark/>
          </w:tcPr>
          <w:p w14:paraId="366505F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5CA253D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Projektový</w:t>
            </w:r>
          </w:p>
        </w:tc>
        <w:tc>
          <w:tcPr>
            <w:tcW w:w="1182" w:type="dxa"/>
            <w:shd w:val="clear" w:color="auto" w:fill="auto"/>
            <w:noWrap/>
            <w:hideMark/>
          </w:tcPr>
          <w:p w14:paraId="5A76E55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FTE</w:t>
            </w:r>
          </w:p>
        </w:tc>
        <w:tc>
          <w:tcPr>
            <w:tcW w:w="1170" w:type="dxa"/>
          </w:tcPr>
          <w:p w14:paraId="1E487DE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APL, INO, POT</w:t>
            </w:r>
          </w:p>
        </w:tc>
        <w:tc>
          <w:tcPr>
            <w:tcW w:w="706" w:type="dxa"/>
            <w:shd w:val="clear" w:color="auto" w:fill="auto"/>
            <w:noWrap/>
            <w:hideMark/>
          </w:tcPr>
          <w:p w14:paraId="5E134EE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25C6C60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570</w:t>
            </w:r>
          </w:p>
        </w:tc>
        <w:tc>
          <w:tcPr>
            <w:tcW w:w="706" w:type="dxa"/>
            <w:shd w:val="clear" w:color="auto" w:fill="auto"/>
            <w:noWrap/>
            <w:hideMark/>
          </w:tcPr>
          <w:p w14:paraId="55A84A7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57,5</w:t>
            </w:r>
          </w:p>
        </w:tc>
        <w:tc>
          <w:tcPr>
            <w:tcW w:w="907" w:type="dxa"/>
            <w:shd w:val="clear" w:color="auto" w:fill="auto"/>
            <w:noWrap/>
            <w:hideMark/>
          </w:tcPr>
          <w:p w14:paraId="343DB97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59,25</w:t>
            </w:r>
          </w:p>
        </w:tc>
        <w:tc>
          <w:tcPr>
            <w:tcW w:w="794" w:type="dxa"/>
            <w:gridSpan w:val="2"/>
            <w:shd w:val="clear" w:color="auto" w:fill="FF0000"/>
            <w:noWrap/>
            <w:hideMark/>
          </w:tcPr>
          <w:p w14:paraId="3F008B8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10,09 %</w:t>
            </w:r>
          </w:p>
        </w:tc>
        <w:tc>
          <w:tcPr>
            <w:tcW w:w="1016" w:type="dxa"/>
            <w:shd w:val="clear" w:color="auto" w:fill="FFFF00"/>
            <w:noWrap/>
            <w:hideMark/>
          </w:tcPr>
          <w:p w14:paraId="12F4B11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10,39 %</w:t>
            </w:r>
          </w:p>
        </w:tc>
      </w:tr>
      <w:tr w:rsidR="00BF2C1C" w:rsidRPr="00DD14E8" w14:paraId="7F71B069" w14:textId="77777777" w:rsidTr="004E4749">
        <w:trPr>
          <w:trHeight w:val="300"/>
        </w:trPr>
        <w:tc>
          <w:tcPr>
            <w:tcW w:w="625" w:type="dxa"/>
            <w:shd w:val="clear" w:color="auto" w:fill="auto"/>
            <w:noWrap/>
            <w:hideMark/>
          </w:tcPr>
          <w:p w14:paraId="5BDB7048"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20900</w:t>
            </w:r>
          </w:p>
        </w:tc>
        <w:tc>
          <w:tcPr>
            <w:tcW w:w="4556" w:type="dxa"/>
            <w:shd w:val="clear" w:color="auto" w:fill="auto"/>
            <w:noWrap/>
            <w:hideMark/>
          </w:tcPr>
          <w:p w14:paraId="0C6F593E"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Soukromé investice v projektech s veřejnou podporou v oblasti inovací nebo výzkumu a vývoje</w:t>
            </w:r>
          </w:p>
        </w:tc>
        <w:tc>
          <w:tcPr>
            <w:tcW w:w="965" w:type="dxa"/>
            <w:shd w:val="clear" w:color="auto" w:fill="auto"/>
            <w:noWrap/>
            <w:hideMark/>
          </w:tcPr>
          <w:p w14:paraId="26BF664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17C2B77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240405C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EUR</w:t>
            </w:r>
          </w:p>
        </w:tc>
        <w:tc>
          <w:tcPr>
            <w:tcW w:w="1170" w:type="dxa"/>
          </w:tcPr>
          <w:p w14:paraId="495E5EB6"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44644788"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5618F6F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3 440 mil.</w:t>
            </w:r>
          </w:p>
        </w:tc>
        <w:tc>
          <w:tcPr>
            <w:tcW w:w="706" w:type="dxa"/>
            <w:shd w:val="clear" w:color="auto" w:fill="auto"/>
            <w:noWrap/>
            <w:hideMark/>
          </w:tcPr>
          <w:p w14:paraId="16C70AF2" w14:textId="77777777" w:rsidR="00BF2C1C" w:rsidRPr="00DD14E8" w:rsidRDefault="00BF2C1C" w:rsidP="004E4749">
            <w:pPr>
              <w:spacing w:after="0"/>
              <w:jc w:val="center"/>
              <w:rPr>
                <w:rFonts w:asciiTheme="minorHAnsi" w:hAnsiTheme="minorHAnsi"/>
                <w:sz w:val="16"/>
                <w:szCs w:val="16"/>
              </w:rPr>
            </w:pPr>
          </w:p>
        </w:tc>
        <w:tc>
          <w:tcPr>
            <w:tcW w:w="907" w:type="dxa"/>
            <w:shd w:val="clear" w:color="auto" w:fill="00B0F0"/>
            <w:noWrap/>
            <w:hideMark/>
          </w:tcPr>
          <w:p w14:paraId="6CFB95A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w:t>
            </w:r>
          </w:p>
        </w:tc>
        <w:tc>
          <w:tcPr>
            <w:tcW w:w="794" w:type="dxa"/>
            <w:gridSpan w:val="2"/>
            <w:shd w:val="clear" w:color="auto" w:fill="auto"/>
            <w:noWrap/>
            <w:hideMark/>
          </w:tcPr>
          <w:p w14:paraId="0AA8A97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X</w:t>
            </w:r>
          </w:p>
        </w:tc>
        <w:tc>
          <w:tcPr>
            <w:tcW w:w="1016" w:type="dxa"/>
            <w:shd w:val="clear" w:color="auto" w:fill="00B0F0"/>
            <w:noWrap/>
            <w:hideMark/>
          </w:tcPr>
          <w:p w14:paraId="037A21DC" w14:textId="77777777" w:rsidR="00BF2C1C" w:rsidRPr="00DD14E8" w:rsidRDefault="00BF2C1C" w:rsidP="004E4749">
            <w:pPr>
              <w:spacing w:after="0"/>
              <w:jc w:val="center"/>
              <w:rPr>
                <w:rFonts w:asciiTheme="minorHAnsi" w:hAnsiTheme="minorHAnsi"/>
                <w:sz w:val="16"/>
                <w:szCs w:val="16"/>
              </w:rPr>
            </w:pPr>
          </w:p>
        </w:tc>
      </w:tr>
      <w:tr w:rsidR="00BF2C1C" w:rsidRPr="00DD14E8" w14:paraId="5EB3415D" w14:textId="77777777" w:rsidTr="004E4749">
        <w:trPr>
          <w:trHeight w:val="300"/>
        </w:trPr>
        <w:tc>
          <w:tcPr>
            <w:tcW w:w="625" w:type="dxa"/>
            <w:shd w:val="clear" w:color="auto" w:fill="auto"/>
            <w:noWrap/>
            <w:hideMark/>
          </w:tcPr>
          <w:p w14:paraId="4789B4E3"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21010</w:t>
            </w:r>
          </w:p>
        </w:tc>
        <w:tc>
          <w:tcPr>
            <w:tcW w:w="4556" w:type="dxa"/>
            <w:shd w:val="clear" w:color="auto" w:fill="auto"/>
            <w:noWrap/>
            <w:hideMark/>
          </w:tcPr>
          <w:p w14:paraId="08ED5557"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 xml:space="preserve">Podnikové výdaje na </w:t>
            </w:r>
            <w:proofErr w:type="spellStart"/>
            <w:r w:rsidRPr="00DD14E8">
              <w:rPr>
                <w:rFonts w:asciiTheme="minorHAnsi" w:hAnsiTheme="minorHAnsi"/>
                <w:sz w:val="16"/>
                <w:szCs w:val="16"/>
              </w:rPr>
              <w:t>VaV</w:t>
            </w:r>
            <w:proofErr w:type="spellEnd"/>
            <w:r w:rsidRPr="00DD14E8">
              <w:rPr>
                <w:rFonts w:asciiTheme="minorHAnsi" w:hAnsiTheme="minorHAnsi"/>
                <w:sz w:val="16"/>
                <w:szCs w:val="16"/>
              </w:rPr>
              <w:t xml:space="preserve"> v podnikatelském sektoru jako % HDP - regiony ČR (mimo hl. m. Praha)</w:t>
            </w:r>
          </w:p>
        </w:tc>
        <w:tc>
          <w:tcPr>
            <w:tcW w:w="965" w:type="dxa"/>
            <w:shd w:val="clear" w:color="auto" w:fill="auto"/>
            <w:noWrap/>
            <w:hideMark/>
          </w:tcPr>
          <w:p w14:paraId="13EF9B2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Výsledek</w:t>
            </w:r>
          </w:p>
        </w:tc>
        <w:tc>
          <w:tcPr>
            <w:tcW w:w="984" w:type="dxa"/>
          </w:tcPr>
          <w:p w14:paraId="6A20425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729E0AA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w:t>
            </w:r>
          </w:p>
        </w:tc>
        <w:tc>
          <w:tcPr>
            <w:tcW w:w="1170" w:type="dxa"/>
          </w:tcPr>
          <w:p w14:paraId="340A821A"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122E0188"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09FD68F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0,62-0,8</w:t>
            </w:r>
          </w:p>
        </w:tc>
        <w:tc>
          <w:tcPr>
            <w:tcW w:w="706" w:type="dxa"/>
            <w:shd w:val="clear" w:color="auto" w:fill="auto"/>
            <w:noWrap/>
            <w:hideMark/>
          </w:tcPr>
          <w:p w14:paraId="59B0AC29" w14:textId="77777777" w:rsidR="00BF2C1C" w:rsidRPr="00DD14E8" w:rsidRDefault="00BF2C1C" w:rsidP="004E4749">
            <w:pPr>
              <w:spacing w:after="0"/>
              <w:jc w:val="center"/>
              <w:rPr>
                <w:rFonts w:asciiTheme="minorHAnsi" w:hAnsiTheme="minorHAnsi"/>
                <w:sz w:val="16"/>
                <w:szCs w:val="16"/>
              </w:rPr>
            </w:pPr>
          </w:p>
        </w:tc>
        <w:tc>
          <w:tcPr>
            <w:tcW w:w="907" w:type="dxa"/>
            <w:shd w:val="clear" w:color="auto" w:fill="auto"/>
            <w:noWrap/>
            <w:hideMark/>
          </w:tcPr>
          <w:p w14:paraId="69C9985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0,76</w:t>
            </w:r>
          </w:p>
        </w:tc>
        <w:tc>
          <w:tcPr>
            <w:tcW w:w="794" w:type="dxa"/>
            <w:gridSpan w:val="2"/>
            <w:shd w:val="clear" w:color="auto" w:fill="auto"/>
            <w:noWrap/>
            <w:hideMark/>
          </w:tcPr>
          <w:p w14:paraId="75E5BCE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X</w:t>
            </w:r>
          </w:p>
        </w:tc>
        <w:tc>
          <w:tcPr>
            <w:tcW w:w="1016" w:type="dxa"/>
            <w:shd w:val="clear" w:color="auto" w:fill="92D050"/>
            <w:noWrap/>
            <w:hideMark/>
          </w:tcPr>
          <w:p w14:paraId="098C194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ANO</w:t>
            </w:r>
          </w:p>
        </w:tc>
      </w:tr>
      <w:tr w:rsidR="00BF2C1C" w:rsidRPr="00DD14E8" w14:paraId="7B45B0DF" w14:textId="77777777" w:rsidTr="004E4749">
        <w:trPr>
          <w:trHeight w:val="300"/>
        </w:trPr>
        <w:tc>
          <w:tcPr>
            <w:tcW w:w="625" w:type="dxa"/>
            <w:shd w:val="clear" w:color="auto" w:fill="auto"/>
            <w:noWrap/>
            <w:hideMark/>
          </w:tcPr>
          <w:p w14:paraId="1DDF74F0"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21200</w:t>
            </w:r>
          </w:p>
        </w:tc>
        <w:tc>
          <w:tcPr>
            <w:tcW w:w="4556" w:type="dxa"/>
            <w:shd w:val="clear" w:color="auto" w:fill="auto"/>
            <w:noWrap/>
            <w:hideMark/>
          </w:tcPr>
          <w:p w14:paraId="2095E119"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podniků, které dostávají podporu pro účely uvádění nových výrobků na trh</w:t>
            </w:r>
          </w:p>
        </w:tc>
        <w:tc>
          <w:tcPr>
            <w:tcW w:w="965" w:type="dxa"/>
            <w:shd w:val="clear" w:color="auto" w:fill="auto"/>
            <w:noWrap/>
            <w:hideMark/>
          </w:tcPr>
          <w:p w14:paraId="30E9419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7F871373"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7C0226C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Podniky</w:t>
            </w:r>
          </w:p>
        </w:tc>
        <w:tc>
          <w:tcPr>
            <w:tcW w:w="1170" w:type="dxa"/>
          </w:tcPr>
          <w:p w14:paraId="7997626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3FA72B3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0B30B09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222</w:t>
            </w:r>
          </w:p>
        </w:tc>
        <w:tc>
          <w:tcPr>
            <w:tcW w:w="706" w:type="dxa"/>
            <w:shd w:val="clear" w:color="auto" w:fill="auto"/>
            <w:noWrap/>
            <w:hideMark/>
          </w:tcPr>
          <w:p w14:paraId="65F2AC9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500</w:t>
            </w:r>
          </w:p>
        </w:tc>
        <w:tc>
          <w:tcPr>
            <w:tcW w:w="907" w:type="dxa"/>
            <w:shd w:val="clear" w:color="auto" w:fill="auto"/>
            <w:noWrap/>
            <w:hideMark/>
          </w:tcPr>
          <w:p w14:paraId="29D4687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174</w:t>
            </w:r>
          </w:p>
        </w:tc>
        <w:tc>
          <w:tcPr>
            <w:tcW w:w="794" w:type="dxa"/>
            <w:gridSpan w:val="2"/>
            <w:shd w:val="clear" w:color="auto" w:fill="92D050"/>
            <w:noWrap/>
            <w:hideMark/>
          </w:tcPr>
          <w:p w14:paraId="54B7580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225,23 %</w:t>
            </w:r>
          </w:p>
        </w:tc>
        <w:tc>
          <w:tcPr>
            <w:tcW w:w="1016" w:type="dxa"/>
            <w:shd w:val="clear" w:color="auto" w:fill="92D050"/>
            <w:noWrap/>
            <w:hideMark/>
          </w:tcPr>
          <w:p w14:paraId="18B88EA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78,38 %</w:t>
            </w:r>
          </w:p>
        </w:tc>
      </w:tr>
      <w:tr w:rsidR="00BF2C1C" w:rsidRPr="00DD14E8" w14:paraId="2D96B3A9" w14:textId="77777777" w:rsidTr="004E4749">
        <w:trPr>
          <w:trHeight w:val="300"/>
        </w:trPr>
        <w:tc>
          <w:tcPr>
            <w:tcW w:w="625" w:type="dxa"/>
            <w:shd w:val="clear" w:color="auto" w:fill="auto"/>
            <w:noWrap/>
            <w:hideMark/>
          </w:tcPr>
          <w:p w14:paraId="3B9F6627"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21301</w:t>
            </w:r>
          </w:p>
        </w:tc>
        <w:tc>
          <w:tcPr>
            <w:tcW w:w="4556" w:type="dxa"/>
            <w:shd w:val="clear" w:color="auto" w:fill="auto"/>
            <w:noWrap/>
            <w:hideMark/>
          </w:tcPr>
          <w:p w14:paraId="6D1ECBD8"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podniků, které dostávají podporu pro účely zavádění výrobků nových pro podnik</w:t>
            </w:r>
          </w:p>
        </w:tc>
        <w:tc>
          <w:tcPr>
            <w:tcW w:w="965" w:type="dxa"/>
            <w:shd w:val="clear" w:color="auto" w:fill="auto"/>
            <w:noWrap/>
            <w:hideMark/>
          </w:tcPr>
          <w:p w14:paraId="517F09F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11AE232C"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60880BAD"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Podniky</w:t>
            </w:r>
          </w:p>
        </w:tc>
        <w:tc>
          <w:tcPr>
            <w:tcW w:w="1170" w:type="dxa"/>
          </w:tcPr>
          <w:p w14:paraId="5E34CAA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2A4E7A1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1FAE00D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475</w:t>
            </w:r>
          </w:p>
        </w:tc>
        <w:tc>
          <w:tcPr>
            <w:tcW w:w="706" w:type="dxa"/>
            <w:shd w:val="clear" w:color="auto" w:fill="auto"/>
            <w:noWrap/>
            <w:hideMark/>
          </w:tcPr>
          <w:p w14:paraId="7163456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93</w:t>
            </w:r>
          </w:p>
        </w:tc>
        <w:tc>
          <w:tcPr>
            <w:tcW w:w="907" w:type="dxa"/>
            <w:shd w:val="clear" w:color="auto" w:fill="auto"/>
            <w:noWrap/>
            <w:hideMark/>
          </w:tcPr>
          <w:p w14:paraId="086B09B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35</w:t>
            </w:r>
          </w:p>
        </w:tc>
        <w:tc>
          <w:tcPr>
            <w:tcW w:w="794" w:type="dxa"/>
            <w:gridSpan w:val="2"/>
            <w:shd w:val="clear" w:color="auto" w:fill="FF0000"/>
            <w:noWrap/>
            <w:hideMark/>
          </w:tcPr>
          <w:p w14:paraId="0D6178D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19,58 %</w:t>
            </w:r>
          </w:p>
        </w:tc>
        <w:tc>
          <w:tcPr>
            <w:tcW w:w="1016" w:type="dxa"/>
            <w:shd w:val="clear" w:color="auto" w:fill="FF0000"/>
            <w:noWrap/>
            <w:hideMark/>
          </w:tcPr>
          <w:p w14:paraId="6F65C07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7,37 %</w:t>
            </w:r>
          </w:p>
        </w:tc>
      </w:tr>
      <w:tr w:rsidR="00BF2C1C" w:rsidRPr="00DD14E8" w14:paraId="7BC9DE36" w14:textId="77777777" w:rsidTr="004E4749">
        <w:trPr>
          <w:trHeight w:val="139"/>
        </w:trPr>
        <w:tc>
          <w:tcPr>
            <w:tcW w:w="625" w:type="dxa"/>
            <w:shd w:val="clear" w:color="auto" w:fill="auto"/>
            <w:noWrap/>
            <w:hideMark/>
          </w:tcPr>
          <w:p w14:paraId="0977270D"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21410</w:t>
            </w:r>
          </w:p>
        </w:tc>
        <w:tc>
          <w:tcPr>
            <w:tcW w:w="4556" w:type="dxa"/>
            <w:shd w:val="clear" w:color="auto" w:fill="auto"/>
            <w:noWrap/>
            <w:hideMark/>
          </w:tcPr>
          <w:p w14:paraId="3B21CA3B"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Tržby podpořených podniků v důsledku zavedené inovace</w:t>
            </w:r>
          </w:p>
        </w:tc>
        <w:tc>
          <w:tcPr>
            <w:tcW w:w="965" w:type="dxa"/>
            <w:shd w:val="clear" w:color="auto" w:fill="auto"/>
            <w:noWrap/>
            <w:hideMark/>
          </w:tcPr>
          <w:p w14:paraId="1A580F3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Výsledek</w:t>
            </w:r>
          </w:p>
        </w:tc>
        <w:tc>
          <w:tcPr>
            <w:tcW w:w="984" w:type="dxa"/>
          </w:tcPr>
          <w:p w14:paraId="3F4CFD1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Projektový</w:t>
            </w:r>
          </w:p>
        </w:tc>
        <w:tc>
          <w:tcPr>
            <w:tcW w:w="1182" w:type="dxa"/>
            <w:shd w:val="clear" w:color="auto" w:fill="auto"/>
            <w:noWrap/>
            <w:hideMark/>
          </w:tcPr>
          <w:p w14:paraId="079606B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mil. Kč/rok</w:t>
            </w:r>
          </w:p>
        </w:tc>
        <w:tc>
          <w:tcPr>
            <w:tcW w:w="1170" w:type="dxa"/>
          </w:tcPr>
          <w:p w14:paraId="218D610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 POT</w:t>
            </w:r>
          </w:p>
        </w:tc>
        <w:tc>
          <w:tcPr>
            <w:tcW w:w="706" w:type="dxa"/>
            <w:shd w:val="clear" w:color="auto" w:fill="auto"/>
            <w:noWrap/>
            <w:hideMark/>
          </w:tcPr>
          <w:p w14:paraId="47CFC6E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15607</w:t>
            </w:r>
          </w:p>
        </w:tc>
        <w:tc>
          <w:tcPr>
            <w:tcW w:w="706" w:type="dxa"/>
            <w:shd w:val="clear" w:color="auto" w:fill="auto"/>
            <w:noWrap/>
            <w:hideMark/>
          </w:tcPr>
          <w:p w14:paraId="090F17DD"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723 978</w:t>
            </w:r>
          </w:p>
        </w:tc>
        <w:tc>
          <w:tcPr>
            <w:tcW w:w="706" w:type="dxa"/>
            <w:shd w:val="clear" w:color="auto" w:fill="auto"/>
            <w:noWrap/>
            <w:hideMark/>
          </w:tcPr>
          <w:p w14:paraId="231341B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2466</w:t>
            </w:r>
          </w:p>
        </w:tc>
        <w:tc>
          <w:tcPr>
            <w:tcW w:w="907" w:type="dxa"/>
            <w:shd w:val="clear" w:color="auto" w:fill="00B0F0"/>
            <w:noWrap/>
            <w:hideMark/>
          </w:tcPr>
          <w:p w14:paraId="34CDE24D"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12310845</w:t>
            </w:r>
          </w:p>
        </w:tc>
        <w:tc>
          <w:tcPr>
            <w:tcW w:w="794" w:type="dxa"/>
            <w:gridSpan w:val="2"/>
            <w:shd w:val="clear" w:color="auto" w:fill="00B0F0"/>
            <w:noWrap/>
            <w:hideMark/>
          </w:tcPr>
          <w:p w14:paraId="596F7A5D"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0,34 %</w:t>
            </w:r>
          </w:p>
        </w:tc>
        <w:tc>
          <w:tcPr>
            <w:tcW w:w="1016" w:type="dxa"/>
            <w:shd w:val="clear" w:color="auto" w:fill="00B0F0"/>
            <w:noWrap/>
            <w:hideMark/>
          </w:tcPr>
          <w:p w14:paraId="24B62C2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1700,44 %</w:t>
            </w:r>
          </w:p>
        </w:tc>
      </w:tr>
      <w:tr w:rsidR="00BF2C1C" w:rsidRPr="00DD14E8" w14:paraId="332EF77F" w14:textId="77777777" w:rsidTr="004E4749">
        <w:trPr>
          <w:trHeight w:val="300"/>
        </w:trPr>
        <w:tc>
          <w:tcPr>
            <w:tcW w:w="625" w:type="dxa"/>
            <w:shd w:val="clear" w:color="auto" w:fill="auto"/>
            <w:noWrap/>
            <w:hideMark/>
          </w:tcPr>
          <w:p w14:paraId="0A5EC757"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21411</w:t>
            </w:r>
          </w:p>
        </w:tc>
        <w:tc>
          <w:tcPr>
            <w:tcW w:w="4556" w:type="dxa"/>
            <w:shd w:val="clear" w:color="auto" w:fill="auto"/>
            <w:noWrap/>
            <w:hideMark/>
          </w:tcPr>
          <w:p w14:paraId="711202AF"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Tržby z inovované produkce jako % celkových tržeb podniků s produktovou inovací</w:t>
            </w:r>
          </w:p>
        </w:tc>
        <w:tc>
          <w:tcPr>
            <w:tcW w:w="965" w:type="dxa"/>
            <w:shd w:val="clear" w:color="auto" w:fill="auto"/>
            <w:noWrap/>
            <w:hideMark/>
          </w:tcPr>
          <w:p w14:paraId="5AFDE89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Výsledek</w:t>
            </w:r>
          </w:p>
        </w:tc>
        <w:tc>
          <w:tcPr>
            <w:tcW w:w="984" w:type="dxa"/>
          </w:tcPr>
          <w:p w14:paraId="59D19E6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Hlavní</w:t>
            </w:r>
          </w:p>
        </w:tc>
        <w:tc>
          <w:tcPr>
            <w:tcW w:w="1182" w:type="dxa"/>
            <w:shd w:val="clear" w:color="auto" w:fill="auto"/>
            <w:noWrap/>
            <w:hideMark/>
          </w:tcPr>
          <w:p w14:paraId="59B5FD2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w:t>
            </w:r>
          </w:p>
        </w:tc>
        <w:tc>
          <w:tcPr>
            <w:tcW w:w="1170" w:type="dxa"/>
          </w:tcPr>
          <w:p w14:paraId="35BD9C0F"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4618AB96" w14:textId="77777777" w:rsidR="00BF2C1C" w:rsidRPr="00DD14E8" w:rsidRDefault="00BF2C1C" w:rsidP="004E4749">
            <w:pPr>
              <w:spacing w:after="0"/>
              <w:jc w:val="center"/>
              <w:rPr>
                <w:rFonts w:asciiTheme="minorHAnsi" w:hAnsiTheme="minorHAnsi"/>
                <w:sz w:val="16"/>
                <w:szCs w:val="16"/>
              </w:rPr>
            </w:pPr>
          </w:p>
        </w:tc>
        <w:tc>
          <w:tcPr>
            <w:tcW w:w="706" w:type="dxa"/>
            <w:shd w:val="clear" w:color="auto" w:fill="auto"/>
            <w:noWrap/>
            <w:hideMark/>
          </w:tcPr>
          <w:p w14:paraId="3B7B85E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29,8-31</w:t>
            </w:r>
          </w:p>
        </w:tc>
        <w:tc>
          <w:tcPr>
            <w:tcW w:w="706" w:type="dxa"/>
            <w:shd w:val="clear" w:color="auto" w:fill="auto"/>
            <w:noWrap/>
            <w:hideMark/>
          </w:tcPr>
          <w:p w14:paraId="0CCD357B" w14:textId="77777777" w:rsidR="00BF2C1C" w:rsidRPr="00DD14E8" w:rsidRDefault="00BF2C1C" w:rsidP="004E4749">
            <w:pPr>
              <w:spacing w:after="0"/>
              <w:jc w:val="center"/>
              <w:rPr>
                <w:rFonts w:asciiTheme="minorHAnsi" w:hAnsiTheme="minorHAnsi"/>
                <w:sz w:val="16"/>
                <w:szCs w:val="16"/>
              </w:rPr>
            </w:pPr>
          </w:p>
        </w:tc>
        <w:tc>
          <w:tcPr>
            <w:tcW w:w="907" w:type="dxa"/>
            <w:shd w:val="clear" w:color="auto" w:fill="auto"/>
            <w:noWrap/>
            <w:hideMark/>
          </w:tcPr>
          <w:p w14:paraId="3789707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27,4</w:t>
            </w:r>
          </w:p>
        </w:tc>
        <w:tc>
          <w:tcPr>
            <w:tcW w:w="794" w:type="dxa"/>
            <w:gridSpan w:val="2"/>
            <w:shd w:val="clear" w:color="auto" w:fill="auto"/>
            <w:noWrap/>
            <w:hideMark/>
          </w:tcPr>
          <w:p w14:paraId="2EAD968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X</w:t>
            </w:r>
          </w:p>
        </w:tc>
        <w:tc>
          <w:tcPr>
            <w:tcW w:w="1016" w:type="dxa"/>
            <w:shd w:val="clear" w:color="auto" w:fill="FF0000"/>
            <w:noWrap/>
            <w:hideMark/>
          </w:tcPr>
          <w:p w14:paraId="54754D9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NE</w:t>
            </w:r>
          </w:p>
        </w:tc>
      </w:tr>
      <w:tr w:rsidR="00BF2C1C" w:rsidRPr="00DD14E8" w14:paraId="07F48BA5" w14:textId="77777777" w:rsidTr="004E4749">
        <w:trPr>
          <w:trHeight w:val="124"/>
        </w:trPr>
        <w:tc>
          <w:tcPr>
            <w:tcW w:w="625" w:type="dxa"/>
            <w:shd w:val="clear" w:color="auto" w:fill="auto"/>
            <w:noWrap/>
            <w:hideMark/>
          </w:tcPr>
          <w:p w14:paraId="2BD981DA"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21610</w:t>
            </w:r>
          </w:p>
        </w:tc>
        <w:tc>
          <w:tcPr>
            <w:tcW w:w="4556" w:type="dxa"/>
            <w:shd w:val="clear" w:color="auto" w:fill="auto"/>
            <w:noWrap/>
            <w:hideMark/>
          </w:tcPr>
          <w:p w14:paraId="5257634F"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Počet nových p</w:t>
            </w:r>
            <w:r>
              <w:rPr>
                <w:rFonts w:asciiTheme="minorHAnsi" w:hAnsiTheme="minorHAnsi"/>
                <w:b/>
                <w:sz w:val="16"/>
                <w:szCs w:val="16"/>
              </w:rPr>
              <w:t xml:space="preserve">řihlášených výsledků </w:t>
            </w:r>
            <w:proofErr w:type="spellStart"/>
            <w:r>
              <w:rPr>
                <w:rFonts w:asciiTheme="minorHAnsi" w:hAnsiTheme="minorHAnsi"/>
                <w:b/>
                <w:sz w:val="16"/>
                <w:szCs w:val="16"/>
              </w:rPr>
              <w:t>apl</w:t>
            </w:r>
            <w:proofErr w:type="spellEnd"/>
            <w:r>
              <w:rPr>
                <w:rFonts w:asciiTheme="minorHAnsi" w:hAnsiTheme="minorHAnsi"/>
                <w:b/>
                <w:sz w:val="16"/>
                <w:szCs w:val="16"/>
              </w:rPr>
              <w:t>.</w:t>
            </w:r>
            <w:r w:rsidRPr="00DD14E8">
              <w:rPr>
                <w:rFonts w:asciiTheme="minorHAnsi" w:hAnsiTheme="minorHAnsi"/>
                <w:b/>
                <w:sz w:val="16"/>
                <w:szCs w:val="16"/>
              </w:rPr>
              <w:t xml:space="preserve"> výzkumu</w:t>
            </w:r>
          </w:p>
        </w:tc>
        <w:tc>
          <w:tcPr>
            <w:tcW w:w="965" w:type="dxa"/>
            <w:shd w:val="clear" w:color="auto" w:fill="auto"/>
            <w:noWrap/>
            <w:hideMark/>
          </w:tcPr>
          <w:p w14:paraId="7D89A2BD"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Výsledek</w:t>
            </w:r>
          </w:p>
        </w:tc>
        <w:tc>
          <w:tcPr>
            <w:tcW w:w="984" w:type="dxa"/>
          </w:tcPr>
          <w:p w14:paraId="24353315"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Projektový</w:t>
            </w:r>
          </w:p>
        </w:tc>
        <w:tc>
          <w:tcPr>
            <w:tcW w:w="1182" w:type="dxa"/>
            <w:shd w:val="clear" w:color="auto" w:fill="auto"/>
            <w:noWrap/>
            <w:hideMark/>
          </w:tcPr>
          <w:p w14:paraId="27F58160"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Výsledky</w:t>
            </w:r>
          </w:p>
        </w:tc>
        <w:tc>
          <w:tcPr>
            <w:tcW w:w="1170" w:type="dxa"/>
          </w:tcPr>
          <w:p w14:paraId="10710410"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APL</w:t>
            </w:r>
          </w:p>
        </w:tc>
        <w:tc>
          <w:tcPr>
            <w:tcW w:w="706" w:type="dxa"/>
            <w:shd w:val="clear" w:color="auto" w:fill="auto"/>
            <w:noWrap/>
            <w:hideMark/>
          </w:tcPr>
          <w:p w14:paraId="5AB59887"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0</w:t>
            </w:r>
          </w:p>
        </w:tc>
        <w:tc>
          <w:tcPr>
            <w:tcW w:w="706" w:type="dxa"/>
            <w:shd w:val="clear" w:color="auto" w:fill="auto"/>
            <w:noWrap/>
            <w:hideMark/>
          </w:tcPr>
          <w:p w14:paraId="03A94E29"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2500</w:t>
            </w:r>
          </w:p>
        </w:tc>
        <w:tc>
          <w:tcPr>
            <w:tcW w:w="706" w:type="dxa"/>
            <w:shd w:val="clear" w:color="auto" w:fill="auto"/>
            <w:noWrap/>
            <w:hideMark/>
          </w:tcPr>
          <w:p w14:paraId="11282994"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1561</w:t>
            </w:r>
          </w:p>
        </w:tc>
        <w:tc>
          <w:tcPr>
            <w:tcW w:w="907" w:type="dxa"/>
            <w:shd w:val="clear" w:color="auto" w:fill="auto"/>
            <w:noWrap/>
            <w:hideMark/>
          </w:tcPr>
          <w:p w14:paraId="4CCFCC76"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143</w:t>
            </w:r>
          </w:p>
        </w:tc>
        <w:tc>
          <w:tcPr>
            <w:tcW w:w="794" w:type="dxa"/>
            <w:gridSpan w:val="2"/>
            <w:shd w:val="clear" w:color="auto" w:fill="FFFF00"/>
            <w:noWrap/>
            <w:hideMark/>
          </w:tcPr>
          <w:p w14:paraId="5AE39F76"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62,44 %</w:t>
            </w:r>
          </w:p>
        </w:tc>
        <w:tc>
          <w:tcPr>
            <w:tcW w:w="1016" w:type="dxa"/>
            <w:shd w:val="clear" w:color="auto" w:fill="FF0000"/>
            <w:noWrap/>
            <w:hideMark/>
          </w:tcPr>
          <w:p w14:paraId="69694E7A"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5,72 %</w:t>
            </w:r>
          </w:p>
        </w:tc>
      </w:tr>
      <w:tr w:rsidR="00BF2C1C" w:rsidRPr="00DD14E8" w14:paraId="6600F452" w14:textId="77777777" w:rsidTr="004E4749">
        <w:trPr>
          <w:trHeight w:val="300"/>
        </w:trPr>
        <w:tc>
          <w:tcPr>
            <w:tcW w:w="625" w:type="dxa"/>
            <w:shd w:val="clear" w:color="auto" w:fill="auto"/>
            <w:noWrap/>
            <w:hideMark/>
          </w:tcPr>
          <w:p w14:paraId="4B9DECF1"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22002</w:t>
            </w:r>
          </w:p>
        </w:tc>
        <w:tc>
          <w:tcPr>
            <w:tcW w:w="4556" w:type="dxa"/>
            <w:shd w:val="clear" w:color="auto" w:fill="auto"/>
            <w:noWrap/>
            <w:hideMark/>
          </w:tcPr>
          <w:p w14:paraId="0497B5A4"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nových udělených patentů a dalších práv ochrany průmyslového vlastnictví</w:t>
            </w:r>
          </w:p>
        </w:tc>
        <w:tc>
          <w:tcPr>
            <w:tcW w:w="965" w:type="dxa"/>
            <w:shd w:val="clear" w:color="auto" w:fill="auto"/>
            <w:noWrap/>
            <w:hideMark/>
          </w:tcPr>
          <w:p w14:paraId="4B20111F"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Výsledek</w:t>
            </w:r>
          </w:p>
        </w:tc>
        <w:tc>
          <w:tcPr>
            <w:tcW w:w="984" w:type="dxa"/>
          </w:tcPr>
          <w:p w14:paraId="283DA31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Projektový</w:t>
            </w:r>
          </w:p>
        </w:tc>
        <w:tc>
          <w:tcPr>
            <w:tcW w:w="1182" w:type="dxa"/>
            <w:shd w:val="clear" w:color="auto" w:fill="auto"/>
            <w:noWrap/>
            <w:hideMark/>
          </w:tcPr>
          <w:p w14:paraId="5FA742A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Patenty a další práva</w:t>
            </w:r>
          </w:p>
        </w:tc>
        <w:tc>
          <w:tcPr>
            <w:tcW w:w="1170" w:type="dxa"/>
          </w:tcPr>
          <w:p w14:paraId="2EB43C6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537E4FC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2FC751A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700</w:t>
            </w:r>
          </w:p>
        </w:tc>
        <w:tc>
          <w:tcPr>
            <w:tcW w:w="706" w:type="dxa"/>
            <w:shd w:val="clear" w:color="auto" w:fill="auto"/>
            <w:noWrap/>
            <w:hideMark/>
          </w:tcPr>
          <w:p w14:paraId="0C94044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422</w:t>
            </w:r>
          </w:p>
        </w:tc>
        <w:tc>
          <w:tcPr>
            <w:tcW w:w="907" w:type="dxa"/>
            <w:shd w:val="clear" w:color="auto" w:fill="auto"/>
            <w:noWrap/>
            <w:hideMark/>
          </w:tcPr>
          <w:p w14:paraId="2575E44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111</w:t>
            </w:r>
          </w:p>
        </w:tc>
        <w:tc>
          <w:tcPr>
            <w:tcW w:w="794" w:type="dxa"/>
            <w:gridSpan w:val="2"/>
            <w:shd w:val="clear" w:color="auto" w:fill="FFFF00"/>
            <w:noWrap/>
            <w:hideMark/>
          </w:tcPr>
          <w:p w14:paraId="36C242C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60,29 %</w:t>
            </w:r>
          </w:p>
        </w:tc>
        <w:tc>
          <w:tcPr>
            <w:tcW w:w="1016" w:type="dxa"/>
            <w:shd w:val="clear" w:color="auto" w:fill="92D050"/>
            <w:noWrap/>
            <w:hideMark/>
          </w:tcPr>
          <w:p w14:paraId="5588390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15,86 %</w:t>
            </w:r>
          </w:p>
        </w:tc>
      </w:tr>
      <w:tr w:rsidR="00BF2C1C" w:rsidRPr="00DD14E8" w14:paraId="4C7F6982" w14:textId="77777777" w:rsidTr="004E4749">
        <w:trPr>
          <w:trHeight w:val="300"/>
        </w:trPr>
        <w:tc>
          <w:tcPr>
            <w:tcW w:w="625" w:type="dxa"/>
            <w:shd w:val="clear" w:color="auto" w:fill="auto"/>
            <w:noWrap/>
            <w:hideMark/>
          </w:tcPr>
          <w:p w14:paraId="4DA9D6C3"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22003</w:t>
            </w:r>
          </w:p>
        </w:tc>
        <w:tc>
          <w:tcPr>
            <w:tcW w:w="4556" w:type="dxa"/>
            <w:shd w:val="clear" w:color="auto" w:fill="auto"/>
            <w:noWrap/>
            <w:hideMark/>
          </w:tcPr>
          <w:p w14:paraId="07A0E30A"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nových udělených patentů a dalších práv ochrany průmyslového vlastnictví - z toho v zahraničí</w:t>
            </w:r>
          </w:p>
        </w:tc>
        <w:tc>
          <w:tcPr>
            <w:tcW w:w="965" w:type="dxa"/>
            <w:shd w:val="clear" w:color="auto" w:fill="auto"/>
            <w:noWrap/>
            <w:hideMark/>
          </w:tcPr>
          <w:p w14:paraId="4232B53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Výsledek</w:t>
            </w:r>
          </w:p>
        </w:tc>
        <w:tc>
          <w:tcPr>
            <w:tcW w:w="984" w:type="dxa"/>
          </w:tcPr>
          <w:p w14:paraId="2E5E32B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Projektový</w:t>
            </w:r>
          </w:p>
        </w:tc>
        <w:tc>
          <w:tcPr>
            <w:tcW w:w="1182" w:type="dxa"/>
            <w:shd w:val="clear" w:color="auto" w:fill="auto"/>
            <w:noWrap/>
            <w:hideMark/>
          </w:tcPr>
          <w:p w14:paraId="6ECC00A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Patenty a další práva</w:t>
            </w:r>
          </w:p>
        </w:tc>
        <w:tc>
          <w:tcPr>
            <w:tcW w:w="1170" w:type="dxa"/>
          </w:tcPr>
          <w:p w14:paraId="2342CC2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549EF62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7156AF14"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600</w:t>
            </w:r>
          </w:p>
        </w:tc>
        <w:tc>
          <w:tcPr>
            <w:tcW w:w="706" w:type="dxa"/>
            <w:shd w:val="clear" w:color="auto" w:fill="auto"/>
            <w:noWrap/>
            <w:hideMark/>
          </w:tcPr>
          <w:p w14:paraId="25877BD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326</w:t>
            </w:r>
          </w:p>
        </w:tc>
        <w:tc>
          <w:tcPr>
            <w:tcW w:w="907" w:type="dxa"/>
            <w:shd w:val="clear" w:color="auto" w:fill="auto"/>
            <w:noWrap/>
            <w:hideMark/>
          </w:tcPr>
          <w:p w14:paraId="59A6BE6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91</w:t>
            </w:r>
          </w:p>
        </w:tc>
        <w:tc>
          <w:tcPr>
            <w:tcW w:w="794" w:type="dxa"/>
            <w:gridSpan w:val="2"/>
            <w:shd w:val="clear" w:color="auto" w:fill="FFFF00"/>
            <w:noWrap/>
            <w:hideMark/>
          </w:tcPr>
          <w:p w14:paraId="6CE319FB"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54,33 %</w:t>
            </w:r>
          </w:p>
        </w:tc>
        <w:tc>
          <w:tcPr>
            <w:tcW w:w="1016" w:type="dxa"/>
            <w:shd w:val="clear" w:color="auto" w:fill="92D050"/>
            <w:noWrap/>
            <w:hideMark/>
          </w:tcPr>
          <w:p w14:paraId="5F68A49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15,17 %</w:t>
            </w:r>
          </w:p>
        </w:tc>
      </w:tr>
      <w:tr w:rsidR="00BF2C1C" w:rsidRPr="00DD14E8" w14:paraId="407C9CD6" w14:textId="77777777" w:rsidTr="004E4749">
        <w:trPr>
          <w:trHeight w:val="300"/>
        </w:trPr>
        <w:tc>
          <w:tcPr>
            <w:tcW w:w="625" w:type="dxa"/>
            <w:shd w:val="clear" w:color="auto" w:fill="auto"/>
            <w:noWrap/>
            <w:hideMark/>
          </w:tcPr>
          <w:p w14:paraId="4EFF7798"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22100</w:t>
            </w:r>
          </w:p>
        </w:tc>
        <w:tc>
          <w:tcPr>
            <w:tcW w:w="4556" w:type="dxa"/>
            <w:shd w:val="clear" w:color="auto" w:fill="auto"/>
            <w:noWrap/>
            <w:hideMark/>
          </w:tcPr>
          <w:p w14:paraId="399BD41E"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přihlá</w:t>
            </w:r>
            <w:r>
              <w:rPr>
                <w:rFonts w:asciiTheme="minorHAnsi" w:hAnsiTheme="minorHAnsi"/>
                <w:sz w:val="16"/>
                <w:szCs w:val="16"/>
              </w:rPr>
              <w:t xml:space="preserve">šek na ochranu práv </w:t>
            </w:r>
            <w:proofErr w:type="spellStart"/>
            <w:r>
              <w:rPr>
                <w:rFonts w:asciiTheme="minorHAnsi" w:hAnsiTheme="minorHAnsi"/>
                <w:sz w:val="16"/>
                <w:szCs w:val="16"/>
              </w:rPr>
              <w:t>prům</w:t>
            </w:r>
            <w:proofErr w:type="spellEnd"/>
            <w:r>
              <w:rPr>
                <w:rFonts w:asciiTheme="minorHAnsi" w:hAnsiTheme="minorHAnsi"/>
                <w:sz w:val="16"/>
                <w:szCs w:val="16"/>
              </w:rPr>
              <w:t>.</w:t>
            </w:r>
            <w:r w:rsidRPr="00DD14E8">
              <w:rPr>
                <w:rFonts w:asciiTheme="minorHAnsi" w:hAnsiTheme="minorHAnsi"/>
                <w:sz w:val="16"/>
                <w:szCs w:val="16"/>
              </w:rPr>
              <w:t xml:space="preserve"> vlastnictví</w:t>
            </w:r>
          </w:p>
        </w:tc>
        <w:tc>
          <w:tcPr>
            <w:tcW w:w="965" w:type="dxa"/>
            <w:shd w:val="clear" w:color="auto" w:fill="auto"/>
            <w:noWrap/>
            <w:hideMark/>
          </w:tcPr>
          <w:p w14:paraId="2A254AD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73B48F3D" w14:textId="77777777" w:rsidR="00BF2C1C" w:rsidRPr="00DD14E8" w:rsidRDefault="00BF2C1C" w:rsidP="004E4749">
            <w:pPr>
              <w:spacing w:after="0"/>
              <w:jc w:val="center"/>
              <w:rPr>
                <w:rFonts w:asciiTheme="minorHAnsi" w:hAnsiTheme="minorHAnsi"/>
                <w:sz w:val="16"/>
                <w:szCs w:val="16"/>
              </w:rPr>
            </w:pPr>
            <w:r>
              <w:rPr>
                <w:rFonts w:asciiTheme="minorHAnsi" w:hAnsiTheme="minorHAnsi"/>
                <w:sz w:val="16"/>
                <w:szCs w:val="16"/>
              </w:rPr>
              <w:t>Projekt., hl.</w:t>
            </w:r>
          </w:p>
        </w:tc>
        <w:tc>
          <w:tcPr>
            <w:tcW w:w="1182" w:type="dxa"/>
            <w:shd w:val="clear" w:color="auto" w:fill="auto"/>
            <w:noWrap/>
            <w:hideMark/>
          </w:tcPr>
          <w:p w14:paraId="70E80A66"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Přihlášky</w:t>
            </w:r>
          </w:p>
        </w:tc>
        <w:tc>
          <w:tcPr>
            <w:tcW w:w="1170" w:type="dxa"/>
          </w:tcPr>
          <w:p w14:paraId="10E3D2F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0F21BEA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1C9AD8FE"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600</w:t>
            </w:r>
          </w:p>
        </w:tc>
        <w:tc>
          <w:tcPr>
            <w:tcW w:w="706" w:type="dxa"/>
            <w:shd w:val="clear" w:color="auto" w:fill="auto"/>
            <w:noWrap/>
            <w:hideMark/>
          </w:tcPr>
          <w:p w14:paraId="7B834C15"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126</w:t>
            </w:r>
          </w:p>
        </w:tc>
        <w:tc>
          <w:tcPr>
            <w:tcW w:w="907" w:type="dxa"/>
            <w:shd w:val="clear" w:color="auto" w:fill="auto"/>
            <w:noWrap/>
            <w:hideMark/>
          </w:tcPr>
          <w:p w14:paraId="770AAA3A"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40</w:t>
            </w:r>
          </w:p>
        </w:tc>
        <w:tc>
          <w:tcPr>
            <w:tcW w:w="794" w:type="dxa"/>
            <w:gridSpan w:val="2"/>
            <w:shd w:val="clear" w:color="auto" w:fill="FF0000"/>
            <w:noWrap/>
            <w:hideMark/>
          </w:tcPr>
          <w:p w14:paraId="6F3162C9"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21,00 %</w:t>
            </w:r>
          </w:p>
        </w:tc>
        <w:tc>
          <w:tcPr>
            <w:tcW w:w="1016" w:type="dxa"/>
            <w:shd w:val="clear" w:color="auto" w:fill="FF0000"/>
            <w:noWrap/>
            <w:hideMark/>
          </w:tcPr>
          <w:p w14:paraId="54A7B2A1"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6,67 %</w:t>
            </w:r>
          </w:p>
        </w:tc>
      </w:tr>
      <w:tr w:rsidR="00BF2C1C" w:rsidRPr="00DD14E8" w14:paraId="0639037A" w14:textId="77777777" w:rsidTr="004E4749">
        <w:trPr>
          <w:trHeight w:val="300"/>
        </w:trPr>
        <w:tc>
          <w:tcPr>
            <w:tcW w:w="625" w:type="dxa"/>
            <w:shd w:val="clear" w:color="auto" w:fill="auto"/>
            <w:noWrap/>
            <w:hideMark/>
          </w:tcPr>
          <w:p w14:paraId="07998920"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22101</w:t>
            </w:r>
          </w:p>
        </w:tc>
        <w:tc>
          <w:tcPr>
            <w:tcW w:w="4556" w:type="dxa"/>
            <w:shd w:val="clear" w:color="auto" w:fill="auto"/>
            <w:noWrap/>
            <w:hideMark/>
          </w:tcPr>
          <w:p w14:paraId="282E39C3" w14:textId="77777777" w:rsidR="00BF2C1C" w:rsidRPr="00DD14E8" w:rsidRDefault="00BF2C1C" w:rsidP="004E4749">
            <w:pPr>
              <w:spacing w:after="0"/>
              <w:rPr>
                <w:rFonts w:asciiTheme="minorHAnsi" w:hAnsiTheme="minorHAnsi"/>
                <w:sz w:val="16"/>
                <w:szCs w:val="16"/>
              </w:rPr>
            </w:pPr>
            <w:r w:rsidRPr="00DD14E8">
              <w:rPr>
                <w:rFonts w:asciiTheme="minorHAnsi" w:hAnsiTheme="minorHAnsi"/>
                <w:sz w:val="16"/>
                <w:szCs w:val="16"/>
              </w:rPr>
              <w:t>Počet přihlášek na ochranu práv průmyslového vlastnictví - z toho v</w:t>
            </w:r>
            <w:r w:rsidR="007E62EB">
              <w:rPr>
                <w:rFonts w:asciiTheme="minorHAnsi" w:hAnsiTheme="minorHAnsi"/>
                <w:sz w:val="16"/>
                <w:szCs w:val="16"/>
              </w:rPr>
              <w:t> </w:t>
            </w:r>
            <w:r w:rsidRPr="00DD14E8">
              <w:rPr>
                <w:rFonts w:asciiTheme="minorHAnsi" w:hAnsiTheme="minorHAnsi"/>
                <w:sz w:val="16"/>
                <w:szCs w:val="16"/>
              </w:rPr>
              <w:t>zahraničí</w:t>
            </w:r>
          </w:p>
        </w:tc>
        <w:tc>
          <w:tcPr>
            <w:tcW w:w="965" w:type="dxa"/>
            <w:shd w:val="clear" w:color="auto" w:fill="auto"/>
            <w:noWrap/>
            <w:hideMark/>
          </w:tcPr>
          <w:p w14:paraId="106ABCF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Výstup</w:t>
            </w:r>
          </w:p>
        </w:tc>
        <w:tc>
          <w:tcPr>
            <w:tcW w:w="984" w:type="dxa"/>
          </w:tcPr>
          <w:p w14:paraId="69E0226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Projektový</w:t>
            </w:r>
          </w:p>
        </w:tc>
        <w:tc>
          <w:tcPr>
            <w:tcW w:w="1182" w:type="dxa"/>
            <w:shd w:val="clear" w:color="auto" w:fill="auto"/>
            <w:noWrap/>
            <w:hideMark/>
          </w:tcPr>
          <w:p w14:paraId="5693A42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Přihlášky</w:t>
            </w:r>
          </w:p>
        </w:tc>
        <w:tc>
          <w:tcPr>
            <w:tcW w:w="1170" w:type="dxa"/>
          </w:tcPr>
          <w:p w14:paraId="790C4500"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INO</w:t>
            </w:r>
          </w:p>
        </w:tc>
        <w:tc>
          <w:tcPr>
            <w:tcW w:w="706" w:type="dxa"/>
            <w:shd w:val="clear" w:color="auto" w:fill="auto"/>
            <w:noWrap/>
            <w:hideMark/>
          </w:tcPr>
          <w:p w14:paraId="66C007FC"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0</w:t>
            </w:r>
          </w:p>
        </w:tc>
        <w:tc>
          <w:tcPr>
            <w:tcW w:w="706" w:type="dxa"/>
            <w:shd w:val="clear" w:color="auto" w:fill="auto"/>
            <w:noWrap/>
            <w:hideMark/>
          </w:tcPr>
          <w:p w14:paraId="6FFF3978"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500</w:t>
            </w:r>
          </w:p>
        </w:tc>
        <w:tc>
          <w:tcPr>
            <w:tcW w:w="706" w:type="dxa"/>
            <w:shd w:val="clear" w:color="auto" w:fill="auto"/>
            <w:noWrap/>
            <w:hideMark/>
          </w:tcPr>
          <w:p w14:paraId="2D4C922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92</w:t>
            </w:r>
          </w:p>
        </w:tc>
        <w:tc>
          <w:tcPr>
            <w:tcW w:w="907" w:type="dxa"/>
            <w:shd w:val="clear" w:color="auto" w:fill="auto"/>
            <w:noWrap/>
            <w:hideMark/>
          </w:tcPr>
          <w:p w14:paraId="6D8FA8D3"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31</w:t>
            </w:r>
          </w:p>
        </w:tc>
        <w:tc>
          <w:tcPr>
            <w:tcW w:w="794" w:type="dxa"/>
            <w:gridSpan w:val="2"/>
            <w:shd w:val="clear" w:color="auto" w:fill="FF0000"/>
            <w:noWrap/>
            <w:hideMark/>
          </w:tcPr>
          <w:p w14:paraId="3B4C8B82"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18,40 %</w:t>
            </w:r>
          </w:p>
        </w:tc>
        <w:tc>
          <w:tcPr>
            <w:tcW w:w="1016" w:type="dxa"/>
            <w:shd w:val="clear" w:color="auto" w:fill="FF0000"/>
            <w:noWrap/>
            <w:hideMark/>
          </w:tcPr>
          <w:p w14:paraId="0290C097" w14:textId="77777777" w:rsidR="00BF2C1C" w:rsidRPr="00DD14E8" w:rsidRDefault="00BF2C1C" w:rsidP="004E4749">
            <w:pPr>
              <w:spacing w:after="0"/>
              <w:jc w:val="center"/>
              <w:rPr>
                <w:rFonts w:asciiTheme="minorHAnsi" w:hAnsiTheme="minorHAnsi"/>
                <w:sz w:val="16"/>
                <w:szCs w:val="16"/>
              </w:rPr>
            </w:pPr>
            <w:r w:rsidRPr="00DD14E8">
              <w:rPr>
                <w:rFonts w:asciiTheme="minorHAnsi" w:hAnsiTheme="minorHAnsi"/>
                <w:sz w:val="16"/>
                <w:szCs w:val="16"/>
              </w:rPr>
              <w:t>6,20 %</w:t>
            </w:r>
          </w:p>
        </w:tc>
      </w:tr>
      <w:tr w:rsidR="00BF2C1C" w:rsidRPr="00DD14E8" w14:paraId="67341441" w14:textId="77777777" w:rsidTr="004E4749">
        <w:trPr>
          <w:trHeight w:val="128"/>
        </w:trPr>
        <w:tc>
          <w:tcPr>
            <w:tcW w:w="625" w:type="dxa"/>
            <w:shd w:val="clear" w:color="auto" w:fill="auto"/>
            <w:noWrap/>
            <w:hideMark/>
          </w:tcPr>
          <w:p w14:paraId="54470FA7"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22501</w:t>
            </w:r>
          </w:p>
        </w:tc>
        <w:tc>
          <w:tcPr>
            <w:tcW w:w="4556" w:type="dxa"/>
            <w:shd w:val="clear" w:color="auto" w:fill="auto"/>
            <w:noWrap/>
            <w:hideMark/>
          </w:tcPr>
          <w:p w14:paraId="45304A35"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Počet zavedených inovací</w:t>
            </w:r>
          </w:p>
        </w:tc>
        <w:tc>
          <w:tcPr>
            <w:tcW w:w="965" w:type="dxa"/>
            <w:shd w:val="clear" w:color="auto" w:fill="auto"/>
            <w:noWrap/>
            <w:hideMark/>
          </w:tcPr>
          <w:p w14:paraId="689BA7EC"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Výstup</w:t>
            </w:r>
          </w:p>
        </w:tc>
        <w:tc>
          <w:tcPr>
            <w:tcW w:w="984" w:type="dxa"/>
          </w:tcPr>
          <w:p w14:paraId="3685EC51"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Projektový</w:t>
            </w:r>
          </w:p>
        </w:tc>
        <w:tc>
          <w:tcPr>
            <w:tcW w:w="1182" w:type="dxa"/>
            <w:shd w:val="clear" w:color="auto" w:fill="auto"/>
            <w:noWrap/>
            <w:hideMark/>
          </w:tcPr>
          <w:p w14:paraId="4AC7A243"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Inovace</w:t>
            </w:r>
          </w:p>
        </w:tc>
        <w:tc>
          <w:tcPr>
            <w:tcW w:w="1170" w:type="dxa"/>
          </w:tcPr>
          <w:p w14:paraId="67A8BF13"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sz w:val="16"/>
                <w:szCs w:val="16"/>
              </w:rPr>
              <w:t>INO</w:t>
            </w:r>
          </w:p>
        </w:tc>
        <w:tc>
          <w:tcPr>
            <w:tcW w:w="706" w:type="dxa"/>
            <w:shd w:val="clear" w:color="auto" w:fill="auto"/>
            <w:noWrap/>
            <w:hideMark/>
          </w:tcPr>
          <w:p w14:paraId="4FB73AD5"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0</w:t>
            </w:r>
          </w:p>
        </w:tc>
        <w:tc>
          <w:tcPr>
            <w:tcW w:w="706" w:type="dxa"/>
            <w:shd w:val="clear" w:color="auto" w:fill="auto"/>
            <w:noWrap/>
            <w:hideMark/>
          </w:tcPr>
          <w:p w14:paraId="4358CBAE"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1800</w:t>
            </w:r>
          </w:p>
        </w:tc>
        <w:tc>
          <w:tcPr>
            <w:tcW w:w="706" w:type="dxa"/>
            <w:shd w:val="clear" w:color="auto" w:fill="auto"/>
            <w:noWrap/>
            <w:hideMark/>
          </w:tcPr>
          <w:p w14:paraId="408AA4EF"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1611</w:t>
            </w:r>
          </w:p>
        </w:tc>
        <w:tc>
          <w:tcPr>
            <w:tcW w:w="907" w:type="dxa"/>
            <w:shd w:val="clear" w:color="auto" w:fill="auto"/>
            <w:noWrap/>
            <w:hideMark/>
          </w:tcPr>
          <w:p w14:paraId="21E62CAF"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580</w:t>
            </w:r>
          </w:p>
        </w:tc>
        <w:tc>
          <w:tcPr>
            <w:tcW w:w="794" w:type="dxa"/>
            <w:gridSpan w:val="2"/>
            <w:shd w:val="clear" w:color="auto" w:fill="92D050"/>
            <w:noWrap/>
            <w:hideMark/>
          </w:tcPr>
          <w:p w14:paraId="164CF079"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89,50 %</w:t>
            </w:r>
          </w:p>
        </w:tc>
        <w:tc>
          <w:tcPr>
            <w:tcW w:w="1016" w:type="dxa"/>
            <w:shd w:val="clear" w:color="auto" w:fill="92D050"/>
            <w:noWrap/>
            <w:hideMark/>
          </w:tcPr>
          <w:p w14:paraId="20B1FC98"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32,22 %</w:t>
            </w:r>
          </w:p>
        </w:tc>
      </w:tr>
      <w:tr w:rsidR="00BF2C1C" w:rsidRPr="00DD14E8" w14:paraId="4AA8618F" w14:textId="77777777" w:rsidTr="004E4749">
        <w:trPr>
          <w:trHeight w:val="315"/>
        </w:trPr>
        <w:tc>
          <w:tcPr>
            <w:tcW w:w="625" w:type="dxa"/>
            <w:shd w:val="clear" w:color="auto" w:fill="auto"/>
            <w:noWrap/>
            <w:hideMark/>
          </w:tcPr>
          <w:p w14:paraId="53F9F4ED"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24102</w:t>
            </w:r>
          </w:p>
        </w:tc>
        <w:tc>
          <w:tcPr>
            <w:tcW w:w="4556" w:type="dxa"/>
            <w:shd w:val="clear" w:color="auto" w:fill="auto"/>
            <w:noWrap/>
            <w:hideMark/>
          </w:tcPr>
          <w:p w14:paraId="373616D8" w14:textId="77777777" w:rsidR="00BF2C1C" w:rsidRPr="00DD14E8" w:rsidRDefault="00BF2C1C" w:rsidP="004E4749">
            <w:pPr>
              <w:spacing w:after="0"/>
              <w:rPr>
                <w:rFonts w:asciiTheme="minorHAnsi" w:hAnsiTheme="minorHAnsi"/>
                <w:b/>
                <w:sz w:val="16"/>
                <w:szCs w:val="16"/>
              </w:rPr>
            </w:pPr>
            <w:r w:rsidRPr="00DD14E8">
              <w:rPr>
                <w:rFonts w:asciiTheme="minorHAnsi" w:hAnsiTheme="minorHAnsi"/>
                <w:b/>
                <w:sz w:val="16"/>
                <w:szCs w:val="16"/>
              </w:rPr>
              <w:t>Počet nových, rozšířených či modernizovaných výzkumných pracovišť podniků</w:t>
            </w:r>
          </w:p>
        </w:tc>
        <w:tc>
          <w:tcPr>
            <w:tcW w:w="965" w:type="dxa"/>
            <w:shd w:val="clear" w:color="auto" w:fill="auto"/>
            <w:noWrap/>
            <w:hideMark/>
          </w:tcPr>
          <w:p w14:paraId="311721C7"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Výstup</w:t>
            </w:r>
          </w:p>
        </w:tc>
        <w:tc>
          <w:tcPr>
            <w:tcW w:w="984" w:type="dxa"/>
          </w:tcPr>
          <w:p w14:paraId="5F77A9CE"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Projektový</w:t>
            </w:r>
          </w:p>
        </w:tc>
        <w:tc>
          <w:tcPr>
            <w:tcW w:w="1182" w:type="dxa"/>
            <w:shd w:val="clear" w:color="auto" w:fill="auto"/>
            <w:noWrap/>
            <w:hideMark/>
          </w:tcPr>
          <w:p w14:paraId="0CBA2DDD"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Pracoviště</w:t>
            </w:r>
          </w:p>
        </w:tc>
        <w:tc>
          <w:tcPr>
            <w:tcW w:w="1170" w:type="dxa"/>
          </w:tcPr>
          <w:p w14:paraId="5D7E2B95"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POT</w:t>
            </w:r>
          </w:p>
        </w:tc>
        <w:tc>
          <w:tcPr>
            <w:tcW w:w="706" w:type="dxa"/>
            <w:shd w:val="clear" w:color="auto" w:fill="auto"/>
            <w:noWrap/>
            <w:hideMark/>
          </w:tcPr>
          <w:p w14:paraId="4C5AEB17"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0</w:t>
            </w:r>
          </w:p>
        </w:tc>
        <w:tc>
          <w:tcPr>
            <w:tcW w:w="706" w:type="dxa"/>
            <w:shd w:val="clear" w:color="auto" w:fill="auto"/>
            <w:noWrap/>
            <w:hideMark/>
          </w:tcPr>
          <w:p w14:paraId="56F9A3C7"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380</w:t>
            </w:r>
          </w:p>
        </w:tc>
        <w:tc>
          <w:tcPr>
            <w:tcW w:w="706" w:type="dxa"/>
            <w:shd w:val="clear" w:color="auto" w:fill="auto"/>
            <w:noWrap/>
            <w:hideMark/>
          </w:tcPr>
          <w:p w14:paraId="420CDBA4"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299</w:t>
            </w:r>
          </w:p>
        </w:tc>
        <w:tc>
          <w:tcPr>
            <w:tcW w:w="907" w:type="dxa"/>
            <w:shd w:val="clear" w:color="auto" w:fill="auto"/>
            <w:noWrap/>
            <w:hideMark/>
          </w:tcPr>
          <w:p w14:paraId="0252EDF6"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107</w:t>
            </w:r>
          </w:p>
        </w:tc>
        <w:tc>
          <w:tcPr>
            <w:tcW w:w="794" w:type="dxa"/>
            <w:gridSpan w:val="2"/>
            <w:shd w:val="clear" w:color="auto" w:fill="92D050"/>
            <w:noWrap/>
            <w:hideMark/>
          </w:tcPr>
          <w:p w14:paraId="427F9F81"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78,68 %</w:t>
            </w:r>
          </w:p>
        </w:tc>
        <w:tc>
          <w:tcPr>
            <w:tcW w:w="1016" w:type="dxa"/>
            <w:shd w:val="clear" w:color="auto" w:fill="92D050"/>
            <w:noWrap/>
            <w:hideMark/>
          </w:tcPr>
          <w:p w14:paraId="3516E6FE" w14:textId="77777777" w:rsidR="00BF2C1C" w:rsidRPr="00DD14E8" w:rsidRDefault="00BF2C1C" w:rsidP="004E4749">
            <w:pPr>
              <w:spacing w:after="0"/>
              <w:jc w:val="center"/>
              <w:rPr>
                <w:rFonts w:asciiTheme="minorHAnsi" w:hAnsiTheme="minorHAnsi"/>
                <w:b/>
                <w:sz w:val="16"/>
                <w:szCs w:val="16"/>
              </w:rPr>
            </w:pPr>
            <w:r w:rsidRPr="00DD14E8">
              <w:rPr>
                <w:rFonts w:asciiTheme="minorHAnsi" w:hAnsiTheme="minorHAnsi"/>
                <w:b/>
                <w:sz w:val="16"/>
                <w:szCs w:val="16"/>
              </w:rPr>
              <w:t>28,16 %</w:t>
            </w:r>
          </w:p>
        </w:tc>
      </w:tr>
      <w:bookmarkEnd w:id="23"/>
    </w:tbl>
    <w:p w14:paraId="38B38923" w14:textId="77777777" w:rsidR="00BF2C1C" w:rsidRDefault="00BF2C1C" w:rsidP="00BF2C1C">
      <w:pPr>
        <w:pStyle w:val="Caption"/>
      </w:pPr>
    </w:p>
    <w:p w14:paraId="5AA0C38D" w14:textId="77777777" w:rsidR="00BF2C1C" w:rsidRDefault="00BF2C1C" w:rsidP="00BF2C1C">
      <w:pPr>
        <w:sectPr w:rsidR="00BF2C1C" w:rsidSect="002554E8">
          <w:footerReference w:type="default" r:id="rId17"/>
          <w:pgSz w:w="16838" w:h="11906" w:orient="landscape"/>
          <w:pgMar w:top="1134" w:right="1134" w:bottom="1134" w:left="1985" w:header="680" w:footer="567" w:gutter="0"/>
          <w:cols w:space="708"/>
          <w:formProt w:val="0"/>
          <w:docGrid w:linePitch="360" w:charSpace="6143"/>
        </w:sectPr>
      </w:pPr>
    </w:p>
    <w:p w14:paraId="647AEF22" w14:textId="77777777" w:rsidR="007D16C1" w:rsidRPr="00D73025" w:rsidRDefault="00B2069E" w:rsidP="00D73025">
      <w:pPr>
        <w:pStyle w:val="Heading1"/>
        <w:numPr>
          <w:ilvl w:val="0"/>
          <w:numId w:val="2"/>
        </w:numPr>
        <w:spacing w:after="120"/>
        <w:rPr>
          <w:rFonts w:ascii="Verdana" w:eastAsia="MingLiU" w:hAnsi="Verdana" w:cs="Times New Roman"/>
          <w:b w:val="0"/>
          <w:color w:val="auto"/>
          <w:sz w:val="60"/>
          <w:szCs w:val="60"/>
        </w:rPr>
      </w:pPr>
      <w:bookmarkStart w:id="24" w:name="_Toc11679611"/>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2</w:t>
      </w:r>
      <w:bookmarkEnd w:id="24"/>
    </w:p>
    <w:p w14:paraId="5B34CF4E" w14:textId="77777777" w:rsidR="008F3D0F" w:rsidRPr="000D5DE1" w:rsidRDefault="008F3D0F" w:rsidP="000D5DE1">
      <w:pPr>
        <w:spacing w:after="0"/>
        <w:jc w:val="both"/>
        <w:rPr>
          <w:b/>
        </w:rPr>
      </w:pPr>
    </w:p>
    <w:p w14:paraId="1401C904" w14:textId="77777777" w:rsidR="007D16C1" w:rsidRPr="008F3D0F" w:rsidRDefault="008F3D0F" w:rsidP="000D5DE1">
      <w:pPr>
        <w:jc w:val="both"/>
        <w:rPr>
          <w:b/>
        </w:rPr>
      </w:pPr>
      <w:r w:rsidRPr="008F3D0F">
        <w:rPr>
          <w:b/>
        </w:rPr>
        <w:t>Jaký je podíl podpořených podniků, které inovované produkty úspěšně uvedly na trh</w:t>
      </w:r>
      <w:r w:rsidR="00AA02CD">
        <w:rPr>
          <w:b/>
        </w:rPr>
        <w:t>,</w:t>
      </w:r>
      <w:r w:rsidRPr="008F3D0F">
        <w:rPr>
          <w:b/>
        </w:rPr>
        <w:t xml:space="preserve"> oproti těm, které nakonec svůj produkt na trhu neuvedly, nebo uvedly, ale neúspěšně? Jaké jsou hlavní důvody selhání podpořených podniků při uvedení produktu na trh? Přispěly podpořené projekty ke zvýšení úspěšnosti českých podniků na zahraničních trzích?</w:t>
      </w:r>
    </w:p>
    <w:p w14:paraId="23896497" w14:textId="77777777" w:rsidR="00422DD9" w:rsidRDefault="00422DD9" w:rsidP="00152DAD">
      <w:pPr>
        <w:pStyle w:val="Heading1"/>
        <w:numPr>
          <w:ilvl w:val="1"/>
          <w:numId w:val="2"/>
        </w:numPr>
        <w:spacing w:before="240" w:after="120"/>
        <w:ind w:left="714" w:hanging="357"/>
      </w:pPr>
      <w:bookmarkStart w:id="25" w:name="_Toc8825066"/>
      <w:bookmarkStart w:id="26" w:name="_Toc8825196"/>
      <w:bookmarkStart w:id="27" w:name="_Toc11679612"/>
      <w:r>
        <w:t>Úkol</w:t>
      </w:r>
      <w:bookmarkEnd w:id="25"/>
      <w:bookmarkEnd w:id="26"/>
      <w:bookmarkEnd w:id="27"/>
    </w:p>
    <w:p w14:paraId="68E4A8EE" w14:textId="77777777" w:rsidR="00422DD9" w:rsidRDefault="001C6B85" w:rsidP="001C6B85">
      <w:pPr>
        <w:jc w:val="both"/>
      </w:pPr>
      <w:r>
        <w:t>Před</w:t>
      </w:r>
      <w:r w:rsidR="00EA67F2">
        <w:t>mětem otázky byla</w:t>
      </w:r>
      <w:r>
        <w:t xml:space="preserve"> analýza úspěšnosti podniků při zavádění inovovaných produktů na tuzemský nebo zahraniční trh. Vzhledem k nízkému počtu ukončených projektů s dostatečným časovým odstupem pro vyhodnocení efektů podpory na uvádění produktů na trh</w:t>
      </w:r>
      <w:r w:rsidR="00647F1D">
        <w:t>,</w:t>
      </w:r>
      <w:r>
        <w:t xml:space="preserve"> odpovídá vypovídací hodnota </w:t>
      </w:r>
      <w:r w:rsidR="000866DE">
        <w:t xml:space="preserve">velikosti </w:t>
      </w:r>
      <w:r>
        <w:t>to</w:t>
      </w:r>
      <w:r w:rsidR="000866DE">
        <w:t>ho</w:t>
      </w:r>
      <w:r>
        <w:t xml:space="preserve">to vzorku. </w:t>
      </w:r>
      <w:r w:rsidR="000866DE">
        <w:t>Dodavatel při zodpovězení otázky agregoval data z dotazníkového šetření, případových studií a analýzy sekundárních dat. Dodavatel identifikoval hlavní předpoklady a bariéry úspěšného uvedení produktů na trh</w:t>
      </w:r>
      <w:r w:rsidR="00647F1D">
        <w:t xml:space="preserve"> a jim přiřadil odpovídající doporučení pro toto a příští programové období</w:t>
      </w:r>
      <w:r w:rsidR="000866DE">
        <w:t xml:space="preserve">. </w:t>
      </w:r>
    </w:p>
    <w:p w14:paraId="27319585" w14:textId="77777777" w:rsidR="00EA67F2" w:rsidRDefault="00EA67F2" w:rsidP="001C6B85">
      <w:pPr>
        <w:jc w:val="both"/>
      </w:pPr>
      <w:r>
        <w:t xml:space="preserve">Řídící orgán ani zprostředkovatelský subjekt ke dni realizace evaluace nedisponoval seznamem nebo </w:t>
      </w:r>
      <w:r w:rsidR="00B40D56">
        <w:t>doporučením</w:t>
      </w:r>
      <w:r>
        <w:t xml:space="preserve"> projekt</w:t>
      </w:r>
      <w:r w:rsidR="00B40D56">
        <w:t>ů</w:t>
      </w:r>
      <w:r>
        <w:t xml:space="preserve">, </w:t>
      </w:r>
      <w:r w:rsidR="00B40D56">
        <w:t>u kterých by bylo evidováno neúspěšné uvedení inovovaných produktů na trh. Dodavatel se pokusil identifikovat takové případy projektů několika metodami:</w:t>
      </w:r>
    </w:p>
    <w:p w14:paraId="3441C7BD" w14:textId="77777777" w:rsidR="00B40D56" w:rsidRDefault="00B40D56" w:rsidP="004C45B3">
      <w:pPr>
        <w:pStyle w:val="ListParagraph"/>
        <w:numPr>
          <w:ilvl w:val="0"/>
          <w:numId w:val="11"/>
        </w:numPr>
        <w:spacing w:before="60" w:after="0"/>
        <w:ind w:left="714" w:hanging="357"/>
        <w:contextualSpacing w:val="0"/>
        <w:jc w:val="both"/>
      </w:pPr>
      <w:r>
        <w:t>Dotazníkovým šetřením</w:t>
      </w:r>
    </w:p>
    <w:p w14:paraId="5A986EE2" w14:textId="77777777" w:rsidR="00B40D56" w:rsidRDefault="00647F1D" w:rsidP="004C45B3">
      <w:pPr>
        <w:pStyle w:val="ListParagraph"/>
        <w:numPr>
          <w:ilvl w:val="0"/>
          <w:numId w:val="11"/>
        </w:numPr>
        <w:spacing w:before="60" w:after="0"/>
        <w:ind w:left="714" w:hanging="357"/>
        <w:contextualSpacing w:val="0"/>
        <w:jc w:val="both"/>
      </w:pPr>
      <w:r>
        <w:t>Porovnáním zasmluvněných a skutečně proplacených částek dotační podpory</w:t>
      </w:r>
      <w:r w:rsidR="00095CE2">
        <w:t xml:space="preserve"> (dle údajů z MS2014</w:t>
      </w:r>
      <w:r w:rsidR="00095CE2" w:rsidRPr="00EB2999">
        <w:t>+</w:t>
      </w:r>
      <w:r w:rsidR="00095CE2">
        <w:t>)</w:t>
      </w:r>
    </w:p>
    <w:p w14:paraId="24E2AA0C" w14:textId="77777777" w:rsidR="00B40D56" w:rsidRDefault="00647F1D" w:rsidP="004C45B3">
      <w:pPr>
        <w:pStyle w:val="ListParagraph"/>
        <w:numPr>
          <w:ilvl w:val="0"/>
          <w:numId w:val="11"/>
        </w:numPr>
        <w:spacing w:before="60"/>
        <w:ind w:left="714" w:hanging="357"/>
        <w:contextualSpacing w:val="0"/>
        <w:jc w:val="both"/>
      </w:pPr>
      <w:r>
        <w:t>Porovnáním očekávaných cílových a skutečných hodnot indikátorů</w:t>
      </w:r>
      <w:r w:rsidR="00B40D56">
        <w:t xml:space="preserve"> o tržbách</w:t>
      </w:r>
      <w:r w:rsidR="00095CE2">
        <w:t xml:space="preserve"> (dle údajů z MS2014</w:t>
      </w:r>
      <w:r w:rsidR="00095CE2" w:rsidRPr="00EB2999">
        <w:t>+</w:t>
      </w:r>
      <w:r w:rsidR="00095CE2">
        <w:t>)</w:t>
      </w:r>
    </w:p>
    <w:p w14:paraId="26A24EF3" w14:textId="77777777" w:rsidR="00B40D56" w:rsidRDefault="00B40D56" w:rsidP="00B40D56">
      <w:pPr>
        <w:jc w:val="both"/>
      </w:pPr>
      <w:r>
        <w:t xml:space="preserve">Pouze v jednom případě </w:t>
      </w:r>
      <w:r w:rsidR="00373138">
        <w:t xml:space="preserve">ze vzorku projektů </w:t>
      </w:r>
      <w:r>
        <w:t>se podařilo identifikovat projekt, který dosud neuvedl produk</w:t>
      </w:r>
      <w:r w:rsidR="00AE6C3E">
        <w:t>t na trh a jeho uvedení je</w:t>
      </w:r>
      <w:r>
        <w:t xml:space="preserve"> ohroženo, </w:t>
      </w:r>
      <w:r w:rsidR="00AE6C3E">
        <w:t>stejně jako realizace</w:t>
      </w:r>
      <w:r>
        <w:t xml:space="preserve"> samotn</w:t>
      </w:r>
      <w:r w:rsidR="00AE6C3E">
        <w:t>ého</w:t>
      </w:r>
      <w:r>
        <w:t xml:space="preserve"> projekt</w:t>
      </w:r>
      <w:r w:rsidR="00AE6C3E">
        <w:t>u</w:t>
      </w:r>
      <w:r>
        <w:t xml:space="preserve">. </w:t>
      </w:r>
      <w:r w:rsidR="00647F1D">
        <w:t xml:space="preserve">V ostatních případech Dodavatel identifikoval dílčí problémy při realizaci projektů, které však neměly zásadní vliv na úspěšnost uvedení produktů na trh. Hodnoty indikátoru o tržbách </w:t>
      </w:r>
      <w:r w:rsidR="00095CE2">
        <w:t xml:space="preserve">v řadě případů </w:t>
      </w:r>
      <w:r w:rsidR="00F83E93">
        <w:t>nemají odpovídající vypovídací hodnotu, příjemci údaje vyplňují chybně nebo zavádějícím způsobem, který neodpovídá skutečnosti.</w:t>
      </w:r>
      <w:r w:rsidR="00AE6C3E">
        <w:t xml:space="preserve"> </w:t>
      </w:r>
      <w:r w:rsidR="005B6003">
        <w:t>V některých případech příjemce podpory od realizace projektu odstoupil ještě před jeho zahájením. Nejčastějším důvodem byla administrativní zátěž spojená s realizací projektu</w:t>
      </w:r>
      <w:r w:rsidR="00EB2999">
        <w:t xml:space="preserve"> nebo s</w:t>
      </w:r>
      <w:r w:rsidR="005B6003">
        <w:t> realizací výběru dodavatele, zpoždění v poskytnutí podpory a s tím související změny na trhu, ve vývoji inovací apod.</w:t>
      </w:r>
    </w:p>
    <w:p w14:paraId="3BBB89C8" w14:textId="77777777" w:rsidR="00422DD9" w:rsidRDefault="00422DD9" w:rsidP="00152DAD">
      <w:pPr>
        <w:pStyle w:val="Heading1"/>
        <w:numPr>
          <w:ilvl w:val="1"/>
          <w:numId w:val="2"/>
        </w:numPr>
        <w:spacing w:before="240" w:after="120"/>
        <w:ind w:left="714" w:hanging="357"/>
      </w:pPr>
      <w:bookmarkStart w:id="28" w:name="_Toc8825067"/>
      <w:bookmarkStart w:id="29" w:name="_Toc8825197"/>
      <w:bookmarkStart w:id="30" w:name="_Toc11679613"/>
      <w:r>
        <w:t>Zjištění a doporučení</w:t>
      </w:r>
      <w:bookmarkEnd w:id="28"/>
      <w:bookmarkEnd w:id="29"/>
      <w:bookmarkEnd w:id="30"/>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422DD9" w:rsidRPr="003E4246" w14:paraId="30FC61FC" w14:textId="77777777" w:rsidTr="004D1B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24A19EC4" w14:textId="77777777" w:rsidR="00422DD9" w:rsidRPr="003E4246" w:rsidRDefault="00422DD9" w:rsidP="004D1B73">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67548843" w14:textId="77777777" w:rsidR="00422DD9" w:rsidRPr="00D73025" w:rsidRDefault="00422DD9" w:rsidP="004D1B73">
            <w:pPr>
              <w:spacing w:before="120" w:after="120"/>
              <w:jc w:val="both"/>
              <w:cnfStyle w:val="100000000000" w:firstRow="1" w:lastRow="0" w:firstColumn="0" w:lastColumn="0" w:oddVBand="0" w:evenVBand="0" w:oddHBand="0" w:evenHBand="0" w:firstRowFirstColumn="0" w:firstRowLastColumn="0" w:lastRowFirstColumn="0" w:lastRowLastColumn="0"/>
            </w:pPr>
            <w:r w:rsidRPr="00132FEE">
              <w:t>Jaký je podíl podpořených podniků, které inovované produkty úspěšně uvedly na trh</w:t>
            </w:r>
            <w:r w:rsidR="00AA02CD">
              <w:t>,</w:t>
            </w:r>
            <w:r w:rsidRPr="00132FEE">
              <w:t xml:space="preserve"> oproti těm, které nakonec svůj produkt na trhu neuvedly, nebo uvedly, ale neúspěšně? Jaké jsou hlavní důvody selhání podpořených podniků při uvedení produktu na trh? Přispěly podpořené projekty ke zvýšení úspěšnosti českých podniků na zahraničních trzích?</w:t>
            </w:r>
          </w:p>
        </w:tc>
      </w:tr>
      <w:tr w:rsidR="00422DD9" w14:paraId="1847D382"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D47CCBF" w14:textId="77777777" w:rsidR="00422DD9" w:rsidRDefault="00422DD9" w:rsidP="004D1B73">
            <w:pPr>
              <w:spacing w:before="120" w:after="120"/>
              <w:rPr>
                <w:color w:val="FFFFFF" w:themeColor="background1"/>
              </w:rPr>
            </w:pPr>
            <w:r>
              <w:rPr>
                <w:color w:val="FFFFFF" w:themeColor="background1"/>
              </w:rPr>
              <w:t>Program podpory</w:t>
            </w:r>
          </w:p>
        </w:tc>
        <w:tc>
          <w:tcPr>
            <w:tcW w:w="3777" w:type="pct"/>
          </w:tcPr>
          <w:p w14:paraId="2686B12D" w14:textId="77777777" w:rsidR="00422DD9" w:rsidRPr="007A0414" w:rsidRDefault="00422DD9" w:rsidP="004D1B73">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422DD9" w14:paraId="5C94B485" w14:textId="77777777" w:rsidTr="004D1B73">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689D2A2" w14:textId="77777777" w:rsidR="00422DD9" w:rsidRDefault="00422DD9" w:rsidP="004D1B73">
            <w:pPr>
              <w:spacing w:after="0"/>
              <w:rPr>
                <w:color w:val="FFFFFF" w:themeColor="background1"/>
              </w:rPr>
            </w:pPr>
            <w:r>
              <w:rPr>
                <w:color w:val="FFFFFF" w:themeColor="background1"/>
              </w:rPr>
              <w:t>Evaluační metody</w:t>
            </w:r>
          </w:p>
        </w:tc>
        <w:tc>
          <w:tcPr>
            <w:tcW w:w="3777" w:type="pct"/>
          </w:tcPr>
          <w:p w14:paraId="4062515D" w14:textId="77777777" w:rsidR="00422DD9" w:rsidRDefault="00422DD9" w:rsidP="00DC40DC">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Analýza sekundárních zdrojů dat</w:t>
            </w:r>
          </w:p>
          <w:p w14:paraId="16D845B0" w14:textId="77777777" w:rsidR="00422DD9" w:rsidRDefault="00422DD9" w:rsidP="00DC40DC">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Dotazníkové šetření</w:t>
            </w:r>
          </w:p>
          <w:p w14:paraId="01F62FCE" w14:textId="77777777" w:rsidR="00B454A0" w:rsidRPr="007A0414" w:rsidRDefault="000866DE" w:rsidP="00F83E93">
            <w:pPr>
              <w:pStyle w:val="ListParagraph"/>
              <w:numPr>
                <w:ilvl w:val="0"/>
                <w:numId w:val="11"/>
              </w:numPr>
              <w:spacing w:after="60"/>
              <w:ind w:left="274" w:hanging="270"/>
              <w:cnfStyle w:val="000000000000" w:firstRow="0" w:lastRow="0" w:firstColumn="0" w:lastColumn="0" w:oddVBand="0" w:evenVBand="0" w:oddHBand="0" w:evenHBand="0" w:firstRowFirstColumn="0" w:firstRowLastColumn="0" w:lastRowFirstColumn="0" w:lastRowLastColumn="0"/>
            </w:pPr>
            <w:r>
              <w:t>Případové studie</w:t>
            </w:r>
          </w:p>
        </w:tc>
      </w:tr>
      <w:tr w:rsidR="00422DD9" w14:paraId="3ABF6FCC"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FDE457C" w14:textId="77777777" w:rsidR="00422DD9" w:rsidRPr="00622A6D" w:rsidRDefault="00422DD9" w:rsidP="004D1B73">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1D1C777F" w14:textId="77777777" w:rsidR="006B7F6E" w:rsidRDefault="006B7F6E" w:rsidP="006B7F6E">
            <w:pPr>
              <w:spacing w:after="60"/>
              <w:cnfStyle w:val="000000100000" w:firstRow="0" w:lastRow="0" w:firstColumn="0" w:lastColumn="0" w:oddVBand="0" w:evenVBand="0" w:oddHBand="1" w:evenHBand="0" w:firstRowFirstColumn="0" w:firstRowLastColumn="0" w:lastRowFirstColumn="0" w:lastRowLastColumn="0"/>
            </w:pPr>
            <w:r>
              <w:t xml:space="preserve">Dotační podpora má </w:t>
            </w:r>
            <w:r w:rsidRPr="004C45B3">
              <w:rPr>
                <w:b/>
              </w:rPr>
              <w:t>jednoznačně pozitivní vliv na úspěšné uvedení inovovaných produktů na trh</w:t>
            </w:r>
            <w:r>
              <w:t xml:space="preserve">, míra a důležitost vlivu však není jasně kvantifikovatelná ve světle dalších externích vlivů. </w:t>
            </w:r>
          </w:p>
          <w:p w14:paraId="6821079E" w14:textId="77777777" w:rsidR="00DC40DC" w:rsidRPr="00AA5D92" w:rsidRDefault="00DC40DC" w:rsidP="002449AE">
            <w:pPr>
              <w:pStyle w:val="ListParagraph"/>
              <w:numPr>
                <w:ilvl w:val="0"/>
                <w:numId w:val="30"/>
              </w:numPr>
              <w:spacing w:after="60"/>
              <w:ind w:left="329" w:hanging="272"/>
              <w:cnfStyle w:val="000000100000" w:firstRow="0" w:lastRow="0" w:firstColumn="0" w:lastColumn="0" w:oddVBand="0" w:evenVBand="0" w:oddHBand="1" w:evenHBand="0" w:firstRowFirstColumn="0" w:firstRowLastColumn="0" w:lastRowFirstColumn="0" w:lastRowLastColumn="0"/>
            </w:pPr>
            <w:r w:rsidRPr="00AA5D92">
              <w:t>Dot</w:t>
            </w:r>
            <w:r>
              <w:t>azníkové šetření ukázalo, že se</w:t>
            </w:r>
            <w:r w:rsidRPr="001A6C14">
              <w:rPr>
                <w:b/>
              </w:rPr>
              <w:t xml:space="preserve"> většině respondentů podařilo uvést úspěšně svůj inovovaný produkt na trh bez problémů</w:t>
            </w:r>
            <w:r w:rsidR="009E37A3">
              <w:t>,</w:t>
            </w:r>
            <w:r w:rsidRPr="00AA5D92">
              <w:t xml:space="preserve"> a to </w:t>
            </w:r>
            <w:r w:rsidRPr="001A6C14">
              <w:rPr>
                <w:b/>
              </w:rPr>
              <w:t>jak v případě českého trhu (64 % respondentů)</w:t>
            </w:r>
            <w:r w:rsidRPr="00AA5D92">
              <w:t xml:space="preserve">, tak </w:t>
            </w:r>
            <w:r w:rsidRPr="001A6C14">
              <w:rPr>
                <w:b/>
              </w:rPr>
              <w:t>v případě zahraničního trhu (75 % respondentů)</w:t>
            </w:r>
            <w:r w:rsidRPr="00AA5D92">
              <w:t xml:space="preserve">. </w:t>
            </w:r>
            <w:r w:rsidR="00A90B42" w:rsidRPr="00AA5D92">
              <w:t xml:space="preserve">Díky podpoře se daří produkty uvádět na trh </w:t>
            </w:r>
            <w:r w:rsidR="00A90B42" w:rsidRPr="006B7F6E">
              <w:rPr>
                <w:b/>
              </w:rPr>
              <w:t xml:space="preserve">rychleji a ve větším </w:t>
            </w:r>
            <w:r w:rsidR="00F83E93">
              <w:rPr>
                <w:b/>
              </w:rPr>
              <w:t>množství</w:t>
            </w:r>
            <w:r w:rsidR="00A90B42" w:rsidRPr="00AA5D92">
              <w:t>.</w:t>
            </w:r>
            <w:r w:rsidR="006B7F6E">
              <w:t xml:space="preserve"> </w:t>
            </w:r>
          </w:p>
          <w:p w14:paraId="562E3959" w14:textId="77777777" w:rsidR="00DC40DC" w:rsidRDefault="00DC40DC" w:rsidP="002449AE">
            <w:pPr>
              <w:pStyle w:val="ListParagraph"/>
              <w:numPr>
                <w:ilvl w:val="0"/>
                <w:numId w:val="30"/>
              </w:numPr>
              <w:spacing w:after="60"/>
              <w:ind w:left="329" w:hanging="272"/>
              <w:cnfStyle w:val="000000100000" w:firstRow="0" w:lastRow="0" w:firstColumn="0" w:lastColumn="0" w:oddVBand="0" w:evenVBand="0" w:oddHBand="1" w:evenHBand="0" w:firstRowFirstColumn="0" w:firstRowLastColumn="0" w:lastRowFirstColumn="0" w:lastRowLastColumn="0"/>
            </w:pPr>
            <w:r w:rsidRPr="001A6C14">
              <w:rPr>
                <w:b/>
              </w:rPr>
              <w:t>Problémy s uvedením produktu na trh</w:t>
            </w:r>
            <w:r w:rsidRPr="00AA5D92">
              <w:t xml:space="preserve"> měla jen </w:t>
            </w:r>
            <w:r w:rsidRPr="001A6C14">
              <w:rPr>
                <w:b/>
              </w:rPr>
              <w:t xml:space="preserve">malá část podniků </w:t>
            </w:r>
            <w:r w:rsidRPr="00AA5D92">
              <w:t xml:space="preserve">(8 % respondentů v případě českého trhu, 14 % v případě zahraničního trhu). </w:t>
            </w:r>
          </w:p>
          <w:p w14:paraId="465AFC53" w14:textId="77777777" w:rsidR="001A6C14" w:rsidRPr="00903008" w:rsidRDefault="001A6C14" w:rsidP="002449AE">
            <w:pPr>
              <w:pStyle w:val="ListParagraph"/>
              <w:numPr>
                <w:ilvl w:val="0"/>
                <w:numId w:val="3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1A6C14">
              <w:rPr>
                <w:b/>
              </w:rPr>
              <w:t>P</w:t>
            </w:r>
            <w:r w:rsidRPr="00AA5D92">
              <w:rPr>
                <w:b/>
              </w:rPr>
              <w:t xml:space="preserve">odpořené projekty do určité míry přispěly k větší </w:t>
            </w:r>
            <w:r w:rsidR="00A90B42">
              <w:rPr>
                <w:b/>
              </w:rPr>
              <w:t xml:space="preserve">celkové </w:t>
            </w:r>
            <w:r w:rsidRPr="00AA5D92">
              <w:rPr>
                <w:b/>
              </w:rPr>
              <w:t>úspěšnosti českých podniků na zahraničních trzích</w:t>
            </w:r>
            <w:r w:rsidRPr="00AA5D92">
              <w:t>. Podle nadpoloviční většiny respondentů dotazníkového šetření totiž podpora OP PIK alespoň částečně přispěla k překonání bariér spojených s vysokou konkurencí na zahraničních trzích a k tomu, že byli schopni na zahraničním trhu cenově konkurovat.</w:t>
            </w:r>
            <w:r w:rsidR="000A06C1">
              <w:t xml:space="preserve"> </w:t>
            </w:r>
            <w:r w:rsidR="000A06C1" w:rsidRPr="000A06C1">
              <w:rPr>
                <w:b/>
              </w:rPr>
              <w:t xml:space="preserve">Díky podpoře dochází k urychlení </w:t>
            </w:r>
            <w:r w:rsidR="000A06C1">
              <w:rPr>
                <w:b/>
              </w:rPr>
              <w:t xml:space="preserve">růstu podniků </w:t>
            </w:r>
            <w:r w:rsidR="000A06C1">
              <w:t xml:space="preserve">a postupnému „dohánění“ zahraniční konkurence. </w:t>
            </w:r>
          </w:p>
          <w:p w14:paraId="2B8ED2B2" w14:textId="77777777" w:rsidR="00DC40DC" w:rsidRPr="00AA5D92" w:rsidRDefault="00DC40DC" w:rsidP="002449AE">
            <w:pPr>
              <w:pStyle w:val="ListParagraph"/>
              <w:numPr>
                <w:ilvl w:val="0"/>
                <w:numId w:val="33"/>
              </w:numPr>
              <w:spacing w:after="60"/>
              <w:ind w:left="329" w:hanging="272"/>
              <w:cnfStyle w:val="000000100000" w:firstRow="0" w:lastRow="0" w:firstColumn="0" w:lastColumn="0" w:oddVBand="0" w:evenVBand="0" w:oddHBand="1" w:evenHBand="0" w:firstRowFirstColumn="0" w:firstRowLastColumn="0" w:lastRowFirstColumn="0" w:lastRowLastColumn="0"/>
            </w:pPr>
            <w:r w:rsidRPr="00AA5D92">
              <w:t>Mezi hlavní důvody problémů či přímo selhání podniků při zavádění nového produktu na trh lze zahrnout tyto:</w:t>
            </w:r>
          </w:p>
          <w:p w14:paraId="2135C8A3" w14:textId="77777777" w:rsidR="00DC40DC" w:rsidRPr="00AA5D92"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Změny na trhu a nedostatečná flexi</w:t>
            </w:r>
            <w:r w:rsidR="006544DC">
              <w:t>bilita dotace reagovat na změny</w:t>
            </w:r>
          </w:p>
          <w:p w14:paraId="275EE41E" w14:textId="77777777" w:rsidR="00DC40DC" w:rsidRPr="00AA5D92" w:rsidRDefault="006544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Opoždění realizace projektu</w:t>
            </w:r>
          </w:p>
          <w:p w14:paraId="7E6210A3" w14:textId="77777777" w:rsidR="00DC40DC" w:rsidRPr="00AA5D92" w:rsidRDefault="006544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Dlouhá doba přípravy zakázek</w:t>
            </w:r>
          </w:p>
          <w:p w14:paraId="132530D5" w14:textId="77777777" w:rsidR="00DC40DC" w:rsidRPr="00AA5D92"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Vysoká míra konkurence</w:t>
            </w:r>
            <w:r w:rsidR="006544DC">
              <w:t xml:space="preserve"> na trzích inovovaných produktů</w:t>
            </w:r>
          </w:p>
          <w:p w14:paraId="14CF1959" w14:textId="77777777" w:rsidR="00DC40DC" w:rsidRPr="00AA5D92"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Velká administra</w:t>
            </w:r>
            <w:r w:rsidR="006544DC">
              <w:t>tivní zátěž</w:t>
            </w:r>
          </w:p>
          <w:p w14:paraId="680C271F" w14:textId="77777777" w:rsidR="00DC40DC" w:rsidRPr="00AA5D92" w:rsidRDefault="006544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Vysoké vstupní náklady</w:t>
            </w:r>
          </w:p>
          <w:p w14:paraId="3545CE84" w14:textId="77777777" w:rsidR="00DC40DC" w:rsidRPr="00AA5D92"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Konzervativnost českého trhu, kdy zákazník v mnoha ohledech dává</w:t>
            </w:r>
            <w:r w:rsidR="006544DC">
              <w:t xml:space="preserve"> přednost zahraničním produktům</w:t>
            </w:r>
          </w:p>
          <w:p w14:paraId="52107A44" w14:textId="77777777" w:rsidR="00DC40DC" w:rsidRPr="00AA5D92"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Změny v průběh</w:t>
            </w:r>
            <w:r w:rsidR="006544DC">
              <w:t>u realizace na straně zákazníka</w:t>
            </w:r>
          </w:p>
          <w:p w14:paraId="5D2F5426" w14:textId="77777777" w:rsidR="00DC40DC" w:rsidRDefault="00DC40DC"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AA5D92">
              <w:t>Neochota zákazníků vyz</w:t>
            </w:r>
            <w:r w:rsidR="006544DC">
              <w:t>koušet levnější a lepší produkt</w:t>
            </w:r>
          </w:p>
          <w:p w14:paraId="7BBC20A6" w14:textId="77777777" w:rsidR="00D742F6" w:rsidRDefault="00D742F6"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Změny ve strategickém řízení mateřských společností</w:t>
            </w:r>
          </w:p>
          <w:p w14:paraId="7B3D8141" w14:textId="77777777" w:rsidR="00422DD9" w:rsidRDefault="00D742F6" w:rsidP="004C45B3">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Změna ve finanční situaci příjemce podpory</w:t>
            </w:r>
          </w:p>
          <w:p w14:paraId="01948BAF" w14:textId="77777777" w:rsidR="00AA02CD" w:rsidRDefault="00AA02CD" w:rsidP="002449AE">
            <w:pPr>
              <w:pStyle w:val="ListParagraph"/>
              <w:numPr>
                <w:ilvl w:val="0"/>
                <w:numId w:val="33"/>
              </w:numPr>
              <w:spacing w:after="60"/>
              <w:ind w:left="329" w:hanging="272"/>
              <w:cnfStyle w:val="000000100000" w:firstRow="0" w:lastRow="0" w:firstColumn="0" w:lastColumn="0" w:oddVBand="0" w:evenVBand="0" w:oddHBand="1" w:evenHBand="0" w:firstRowFirstColumn="0" w:firstRowLastColumn="0" w:lastRowFirstColumn="0" w:lastRowLastColumn="0"/>
            </w:pPr>
            <w:r w:rsidRPr="002449AE">
              <w:rPr>
                <w:b/>
              </w:rPr>
              <w:t>Indikátor</w:t>
            </w:r>
            <w:r w:rsidR="002449AE">
              <w:rPr>
                <w:b/>
              </w:rPr>
              <w:t xml:space="preserve"> „počet zavedených inovací“</w:t>
            </w:r>
            <w:r>
              <w:t xml:space="preserve"> měří počet uvedených </w:t>
            </w:r>
            <w:r w:rsidR="007E62EB">
              <w:t xml:space="preserve">inovovaných </w:t>
            </w:r>
            <w:r>
              <w:t>výrobků na trh</w:t>
            </w:r>
            <w:r w:rsidR="007E62EB">
              <w:t xml:space="preserve">, nicméně </w:t>
            </w:r>
            <w:r w:rsidR="007E62EB" w:rsidRPr="002449AE">
              <w:rPr>
                <w:b/>
              </w:rPr>
              <w:t>neměří, kolik takových produktů se na trhu skutečně prodává</w:t>
            </w:r>
            <w:r w:rsidR="007E62EB">
              <w:t>. Uvedení produktu na trh tak může být pouze formální.</w:t>
            </w:r>
            <w:r>
              <w:t xml:space="preserve"> </w:t>
            </w:r>
          </w:p>
        </w:tc>
      </w:tr>
      <w:tr w:rsidR="00422DD9" w14:paraId="4142166F" w14:textId="77777777" w:rsidTr="004D1B73">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D30B9EE" w14:textId="77777777" w:rsidR="00422DD9" w:rsidRPr="00622A6D" w:rsidRDefault="00422DD9" w:rsidP="004D1B73">
            <w:pPr>
              <w:spacing w:after="0"/>
              <w:rPr>
                <w:color w:val="FFFFFF" w:themeColor="background1"/>
              </w:rPr>
            </w:pPr>
            <w:r w:rsidRPr="00622A6D">
              <w:rPr>
                <w:color w:val="FFFFFF" w:themeColor="background1"/>
              </w:rPr>
              <w:t>Doporučení</w:t>
            </w:r>
            <w:r>
              <w:rPr>
                <w:color w:val="FFFFFF" w:themeColor="background1"/>
              </w:rPr>
              <w:t xml:space="preserve"> pro současné program. </w:t>
            </w:r>
            <w:r w:rsidR="007E62EB">
              <w:rPr>
                <w:color w:val="FFFFFF" w:themeColor="background1"/>
              </w:rPr>
              <w:t>O</w:t>
            </w:r>
            <w:r>
              <w:rPr>
                <w:color w:val="FFFFFF" w:themeColor="background1"/>
              </w:rPr>
              <w:t>bdobí</w:t>
            </w:r>
          </w:p>
        </w:tc>
        <w:tc>
          <w:tcPr>
            <w:tcW w:w="3777" w:type="pct"/>
          </w:tcPr>
          <w:p w14:paraId="3159B614" w14:textId="77777777" w:rsidR="00EC5E32" w:rsidRDefault="00EC5E32"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Snížení administrativní zátěže spojené s předkládáním projektových žádostí, a realizace podpořených projektů</w:t>
            </w:r>
            <w:r>
              <w:t xml:space="preserve"> (např. omezení duplicitního zadávání údajů a nahrávání dokumentů do ISKP).</w:t>
            </w:r>
          </w:p>
          <w:p w14:paraId="59AAF634" w14:textId="77777777" w:rsidR="003039CE" w:rsidRDefault="00B454A0"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B454A0">
              <w:rPr>
                <w:b/>
              </w:rPr>
              <w:t>Udržení současné podoby a znění pravidel a metodik</w:t>
            </w:r>
            <w:r w:rsidR="003039CE" w:rsidRPr="00B454A0">
              <w:rPr>
                <w:b/>
              </w:rPr>
              <w:t xml:space="preserve"> podpory</w:t>
            </w:r>
            <w:r w:rsidR="003039CE">
              <w:t xml:space="preserve">, sjednocení výkladu napříč ŘO, API a kontrolními orgány. </w:t>
            </w:r>
          </w:p>
          <w:p w14:paraId="0EB41A09" w14:textId="77777777" w:rsidR="00390F27" w:rsidRDefault="00390F27"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Urychlení schvalovacích procesů</w:t>
            </w:r>
            <w:r w:rsidR="00724351">
              <w:t xml:space="preserve"> projektových žádostí a žádostí o platbu.</w:t>
            </w:r>
          </w:p>
          <w:p w14:paraId="2E578963" w14:textId="77777777" w:rsidR="00390F27" w:rsidRDefault="00390F27"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Umožňování flexibilních změn</w:t>
            </w:r>
            <w:r>
              <w:t xml:space="preserve"> během realizace projektu, prodlužování projektu apod.</w:t>
            </w:r>
          </w:p>
          <w:p w14:paraId="6F3E64B1" w14:textId="77777777" w:rsidR="00390F27" w:rsidRDefault="00390F27"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Zajištění personální kontinuity a stability</w:t>
            </w:r>
            <w:r>
              <w:t xml:space="preserve"> u zprostředkujícího subjektu API a ŘO. </w:t>
            </w:r>
          </w:p>
          <w:p w14:paraId="47A9D050" w14:textId="77777777" w:rsidR="00390F27" w:rsidRDefault="00724351"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4C45B3">
              <w:rPr>
                <w:b/>
              </w:rPr>
              <w:t>Podpořit</w:t>
            </w:r>
            <w:r w:rsidR="003039CE" w:rsidRPr="004C45B3">
              <w:rPr>
                <w:b/>
              </w:rPr>
              <w:t> konzultace příjemcům podpory</w:t>
            </w:r>
            <w:r w:rsidR="003039CE">
              <w:t xml:space="preserve"> při výběru dodavatele ze strany API. (</w:t>
            </w:r>
            <w:r w:rsidR="007E62EB">
              <w:t>o</w:t>
            </w:r>
            <w:r w:rsidR="003039CE">
              <w:t>svědčená dobrá praxe)</w:t>
            </w:r>
          </w:p>
          <w:p w14:paraId="58A96A32" w14:textId="77777777" w:rsidR="00095CE2" w:rsidRDefault="00095CE2"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Pr>
                <w:b/>
              </w:rPr>
              <w:t xml:space="preserve">Posílení pro-klientského přístupu a podpory žadatelů a příjemců </w:t>
            </w:r>
            <w:r>
              <w:t>(např. infolinka, posílení metodické podpory příjemců ze strany projektového manažera, zjednodušení a sjednocení metodických pokynů atd.)</w:t>
            </w:r>
            <w:r w:rsidR="007E62EB">
              <w:t>.</w:t>
            </w:r>
          </w:p>
          <w:p w14:paraId="765BF7E5" w14:textId="77777777" w:rsidR="00B454A0" w:rsidRDefault="00B454A0"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Zvýš</w:t>
            </w:r>
            <w:r w:rsidR="007E62EB">
              <w:rPr>
                <w:b/>
              </w:rPr>
              <w:t>ení</w:t>
            </w:r>
            <w:r w:rsidRPr="00724351">
              <w:rPr>
                <w:b/>
              </w:rPr>
              <w:t xml:space="preserve"> finanční</w:t>
            </w:r>
            <w:r w:rsidR="007E62EB">
              <w:rPr>
                <w:b/>
              </w:rPr>
              <w:t>ho</w:t>
            </w:r>
            <w:r w:rsidRPr="00724351">
              <w:rPr>
                <w:b/>
              </w:rPr>
              <w:t xml:space="preserve"> limit</w:t>
            </w:r>
            <w:r w:rsidR="007E62EB">
              <w:rPr>
                <w:b/>
              </w:rPr>
              <w:t>u</w:t>
            </w:r>
            <w:r w:rsidRPr="00724351">
              <w:rPr>
                <w:b/>
              </w:rPr>
              <w:t xml:space="preserve"> pro výběr dodavatele</w:t>
            </w:r>
            <w:r w:rsidR="007E62EB">
              <w:t>.</w:t>
            </w:r>
          </w:p>
        </w:tc>
      </w:tr>
      <w:tr w:rsidR="00422DD9" w14:paraId="0A32A290"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F637F1C" w14:textId="77777777" w:rsidR="00422DD9" w:rsidRPr="00622A6D" w:rsidRDefault="00422DD9" w:rsidP="004D1B73">
            <w:pPr>
              <w:spacing w:after="0"/>
              <w:rPr>
                <w:color w:val="FFFFFF" w:themeColor="background1"/>
              </w:rPr>
            </w:pPr>
            <w:r>
              <w:rPr>
                <w:color w:val="FFFFFF" w:themeColor="background1"/>
              </w:rPr>
              <w:t>Doporučení pro program. období 2021+</w:t>
            </w:r>
          </w:p>
        </w:tc>
        <w:tc>
          <w:tcPr>
            <w:tcW w:w="3777" w:type="pct"/>
          </w:tcPr>
          <w:p w14:paraId="47102665" w14:textId="77777777" w:rsidR="00422DD9" w:rsidRDefault="003039CE"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7F61B5">
              <w:rPr>
                <w:b/>
              </w:rPr>
              <w:t>Snížit administrativní zátěž, urychlit procesy hodnocení, schvalování a řízení projektů</w:t>
            </w:r>
            <w:r>
              <w:t xml:space="preserve"> ze strany ŘO, API. Nahradit </w:t>
            </w:r>
            <w:r w:rsidR="00753D54">
              <w:t xml:space="preserve">nebo zdokonalit </w:t>
            </w:r>
            <w:r>
              <w:t>systém ISKP, aby umožňoval více funkcionalit, omezil duplicitní zadávání dat a nahrávání dokumentů</w:t>
            </w:r>
            <w:r w:rsidR="00BB40A6">
              <w:t xml:space="preserve"> ze strany žadatelů a příjemců</w:t>
            </w:r>
            <w:r>
              <w:t xml:space="preserve">. </w:t>
            </w:r>
          </w:p>
          <w:p w14:paraId="519DC6A2" w14:textId="77777777" w:rsidR="00B454A0" w:rsidRDefault="007F61B5"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Sjednotit a kontinuálně zachovat nezměněná pravidla a metodiku podpory</w:t>
            </w:r>
            <w:r>
              <w:t xml:space="preserve"> napříč ŘO, API</w:t>
            </w:r>
            <w:r w:rsidR="007E62EB">
              <w:t>,</w:t>
            </w:r>
            <w:r>
              <w:t xml:space="preserve"> kontrolními</w:t>
            </w:r>
            <w:r w:rsidR="007E62EB">
              <w:t xml:space="preserve"> a</w:t>
            </w:r>
            <w:r>
              <w:t xml:space="preserve"> auditními orgány. Sjednotit pravidla, metodiku a terminologii napříč PO, programy podpory i výzvami. </w:t>
            </w:r>
          </w:p>
          <w:p w14:paraId="2CDA1BCE" w14:textId="77777777" w:rsidR="004D1B73" w:rsidRDefault="004D1B73"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 xml:space="preserve">Srozumitelnost pravidel a metodik předem konzultovat </w:t>
            </w:r>
            <w:r>
              <w:t xml:space="preserve">se vzorkem potenciálních příjemců podpory. </w:t>
            </w:r>
          </w:p>
          <w:p w14:paraId="46697757" w14:textId="77777777" w:rsidR="00B454A0" w:rsidRDefault="00B454A0"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Umožnit co největší </w:t>
            </w:r>
            <w:r w:rsidRPr="00B454A0">
              <w:rPr>
                <w:b/>
              </w:rPr>
              <w:t>flexibilitu dotací</w:t>
            </w:r>
            <w:r>
              <w:t xml:space="preserve"> </w:t>
            </w:r>
            <w:r w:rsidR="00BB40A6">
              <w:t xml:space="preserve">a schopnost pružně </w:t>
            </w:r>
            <w:r>
              <w:t>reagovat na (prudké) výkyvy na trhu</w:t>
            </w:r>
            <w:r w:rsidR="00E3532D">
              <w:t xml:space="preserve"> (reakce na uvádění konkurenčních produktů na trh, na změny ve výrobních procesech, trendech apod.)</w:t>
            </w:r>
            <w:r>
              <w:t>, vývoj v</w:t>
            </w:r>
            <w:r w:rsidR="007E62EB">
              <w:t>e</w:t>
            </w:r>
            <w:r>
              <w:t> </w:t>
            </w:r>
            <w:proofErr w:type="spellStart"/>
            <w:r>
              <w:t>VaVaI</w:t>
            </w:r>
            <w:proofErr w:type="spellEnd"/>
            <w:r>
              <w:t xml:space="preserve"> sektoru</w:t>
            </w:r>
            <w:r w:rsidR="00E3532D">
              <w:t xml:space="preserve"> (změny v dostupných technologiích, strojích apod.)</w:t>
            </w:r>
            <w:r>
              <w:t xml:space="preserve">. </w:t>
            </w:r>
          </w:p>
          <w:p w14:paraId="571425B6" w14:textId="77777777" w:rsidR="00551EB9" w:rsidRDefault="00551EB9"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 xml:space="preserve">Ponechat jednotné metodické prostředí pouze na centrální úrovni a zautomatizovat sdílení a výměnu dat a dokumentů. </w:t>
            </w:r>
            <w:r>
              <w:t xml:space="preserve">Zavést specifické prostředí pro jednotlivé operační programy umožňující přizpůsobení se systému a prostředí specifickým potřebám typických příjemců podpory. </w:t>
            </w:r>
          </w:p>
          <w:p w14:paraId="3AF7A08B" w14:textId="77777777" w:rsidR="00753D54" w:rsidRDefault="00753D54"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4C45B3">
              <w:rPr>
                <w:b/>
              </w:rPr>
              <w:t>Rozšířit portfolio technické pomoci</w:t>
            </w:r>
            <w:r>
              <w:t xml:space="preserve"> na </w:t>
            </w:r>
            <w:r w:rsidR="00551EB9" w:rsidRPr="00724351">
              <w:rPr>
                <w:b/>
              </w:rPr>
              <w:t xml:space="preserve">vyhodnocení připravenosti žadatelů na realizaci </w:t>
            </w:r>
            <w:proofErr w:type="spellStart"/>
            <w:r w:rsidR="00551EB9" w:rsidRPr="00724351">
              <w:rPr>
                <w:b/>
              </w:rPr>
              <w:t>VaVaI</w:t>
            </w:r>
            <w:proofErr w:type="spellEnd"/>
            <w:r w:rsidR="00551EB9" w:rsidRPr="00724351">
              <w:rPr>
                <w:b/>
              </w:rPr>
              <w:t xml:space="preserve"> projektů</w:t>
            </w:r>
            <w:r w:rsidRPr="00724351">
              <w:rPr>
                <w:b/>
              </w:rPr>
              <w:t xml:space="preserve"> a </w:t>
            </w:r>
            <w:r w:rsidR="00724351">
              <w:rPr>
                <w:b/>
              </w:rPr>
              <w:t xml:space="preserve">vytvořit program na poskytování </w:t>
            </w:r>
            <w:r w:rsidRPr="00724351">
              <w:rPr>
                <w:b/>
              </w:rPr>
              <w:t>navazující</w:t>
            </w:r>
            <w:r w:rsidR="00724351">
              <w:rPr>
                <w:b/>
              </w:rPr>
              <w:t>ho</w:t>
            </w:r>
            <w:r w:rsidRPr="00724351">
              <w:rPr>
                <w:b/>
              </w:rPr>
              <w:t xml:space="preserve"> poradenství</w:t>
            </w:r>
            <w:r>
              <w:t xml:space="preserve"> pro malé podniky </w:t>
            </w:r>
            <w:r w:rsidR="00551EB9">
              <w:t>ze</w:t>
            </w:r>
            <w:r>
              <w:t xml:space="preserve"> strany API nebo externích dodavatelů. </w:t>
            </w:r>
          </w:p>
          <w:p w14:paraId="48D6BDC7" w14:textId="77777777" w:rsidR="00B454A0" w:rsidRDefault="00B454A0"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rsidRPr="004C45B3">
              <w:rPr>
                <w:b/>
              </w:rPr>
              <w:t>Přizpůsobit podmínky výběru dodavatele potřebám a zkušenostem podniků</w:t>
            </w:r>
            <w:r>
              <w:t xml:space="preserve">. Zvýšit finanční limit pro výběr dodavatele formou veřejného výběru. </w:t>
            </w:r>
            <w:r w:rsidR="00BB40A6">
              <w:t>(Vzhledem k výši spolufinancování mají sami příjemci zájem o výběr nejvíce výhodné nabídky, postupy pro výběr dodavatele jim nevyhovují a vnímají jako kontraproduktivní.)</w:t>
            </w:r>
          </w:p>
          <w:p w14:paraId="713B477E" w14:textId="77777777" w:rsidR="00753D54" w:rsidRDefault="00BB40A6" w:rsidP="002449A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Inovační vouchery jsou prokazatelně vhodným nástrojem pro navázání dlouhodobé spolupráce s podniky, prověření funkčnosti a životaschopnosti podniku a </w:t>
            </w:r>
            <w:proofErr w:type="spellStart"/>
            <w:r>
              <w:t>VaV</w:t>
            </w:r>
            <w:proofErr w:type="spellEnd"/>
            <w:r>
              <w:t xml:space="preserve"> projektu. </w:t>
            </w:r>
            <w:r w:rsidR="00EA5763" w:rsidRPr="004C45B3">
              <w:rPr>
                <w:b/>
              </w:rPr>
              <w:t xml:space="preserve">Navýšit finanční alokaci na </w:t>
            </w:r>
            <w:r w:rsidRPr="004C45B3">
              <w:t xml:space="preserve">pozitivně vnímaný </w:t>
            </w:r>
            <w:r w:rsidR="00EA5763" w:rsidRPr="004C45B3">
              <w:rPr>
                <w:b/>
              </w:rPr>
              <w:t>„nákup“ služeb od veřejných výzkumných pracovišť přes inovační vouchery</w:t>
            </w:r>
            <w:r w:rsidR="00EA5763">
              <w:t>. Zvážit navrácení nebo sdílení inovačních voucherů s</w:t>
            </w:r>
            <w:r w:rsidR="000053E2">
              <w:t xml:space="preserve"> Inovačními centry </w:t>
            </w:r>
            <w:r w:rsidR="00EA5763">
              <w:t>kraj</w:t>
            </w:r>
            <w:r w:rsidR="000053E2">
              <w:t xml:space="preserve">ů. Krajská inovační centra mohou v tomto směru zajistit větší kontinuitu a intenzitu spolupráce a navazující podpory. </w:t>
            </w:r>
          </w:p>
        </w:tc>
      </w:tr>
    </w:tbl>
    <w:p w14:paraId="53933678" w14:textId="77777777" w:rsidR="00422DD9" w:rsidRDefault="00422DD9">
      <w:pPr>
        <w:spacing w:after="0" w:line="240" w:lineRule="auto"/>
      </w:pPr>
    </w:p>
    <w:p w14:paraId="519D705C" w14:textId="77777777" w:rsidR="00422DD9" w:rsidRDefault="00422DD9" w:rsidP="00152DAD">
      <w:pPr>
        <w:pStyle w:val="Heading1"/>
        <w:numPr>
          <w:ilvl w:val="1"/>
          <w:numId w:val="2"/>
        </w:numPr>
        <w:spacing w:before="240" w:after="120"/>
        <w:ind w:left="714" w:hanging="357"/>
      </w:pPr>
      <w:bookmarkStart w:id="31" w:name="_Toc8825068"/>
      <w:bookmarkStart w:id="32" w:name="_Toc8825198"/>
      <w:bookmarkStart w:id="33" w:name="_Toc11679614"/>
      <w:r>
        <w:t>Doplňující informace</w:t>
      </w:r>
      <w:bookmarkEnd w:id="31"/>
      <w:bookmarkEnd w:id="32"/>
      <w:bookmarkEnd w:id="33"/>
    </w:p>
    <w:p w14:paraId="1FEC604D" w14:textId="77777777" w:rsidR="00923CA0" w:rsidRDefault="00923CA0" w:rsidP="00242CF4">
      <w:r>
        <w:t>Při zodpovězení otázky Dodavatel shromáždil související informace uvedené níže:</w:t>
      </w:r>
    </w:p>
    <w:p w14:paraId="4A372C82" w14:textId="77777777" w:rsidR="00D742F6" w:rsidRPr="00AA5D92" w:rsidRDefault="00D742F6" w:rsidP="002449AE">
      <w:pPr>
        <w:pStyle w:val="ListParagraph"/>
        <w:numPr>
          <w:ilvl w:val="0"/>
          <w:numId w:val="32"/>
        </w:numPr>
        <w:spacing w:after="120"/>
        <w:contextualSpacing w:val="0"/>
        <w:jc w:val="both"/>
      </w:pPr>
      <w:r>
        <w:t>Většina</w:t>
      </w:r>
      <w:r w:rsidRPr="00AA5D92">
        <w:t xml:space="preserve"> dotazovan</w:t>
      </w:r>
      <w:r>
        <w:t>ých</w:t>
      </w:r>
      <w:r w:rsidRPr="00AA5D92">
        <w:t xml:space="preserve"> podnik</w:t>
      </w:r>
      <w:r>
        <w:t>ů</w:t>
      </w:r>
      <w:r w:rsidRPr="00AA5D92">
        <w:t xml:space="preserve"> vyvíjí nové produkty, nebo zavádí procesní inovace na základě </w:t>
      </w:r>
      <w:r>
        <w:t xml:space="preserve">existující objednávky zákazníků. Menší část dotazovaných podniků inovuje produkty na základě detailní analýzy trhu a tržní poptávky. Pro všechny dotazované podniky </w:t>
      </w:r>
      <w:r w:rsidRPr="004C45B3">
        <w:rPr>
          <w:b/>
        </w:rPr>
        <w:t>jsou inovace nevyhnutelným předpokladem konkurenceschopnosti podniků</w:t>
      </w:r>
      <w:r>
        <w:t xml:space="preserve">. </w:t>
      </w:r>
      <w:r w:rsidR="0061064D">
        <w:t xml:space="preserve">Proto je ve většině případů úspěšnost inovovaných produktů uvedených na trh velmi pravděpodobná. </w:t>
      </w:r>
    </w:p>
    <w:p w14:paraId="41B35C74" w14:textId="77777777" w:rsidR="00242CF4" w:rsidRDefault="00242CF4" w:rsidP="002449AE">
      <w:pPr>
        <w:pStyle w:val="ListParagraph"/>
        <w:numPr>
          <w:ilvl w:val="0"/>
          <w:numId w:val="32"/>
        </w:numPr>
        <w:spacing w:after="120"/>
        <w:contextualSpacing w:val="0"/>
        <w:jc w:val="both"/>
      </w:pPr>
      <w:r>
        <w:t xml:space="preserve">Stále více produktů je uváděno na zahraniční trhy. </w:t>
      </w:r>
      <w:r w:rsidRPr="004C45B3">
        <w:rPr>
          <w:b/>
        </w:rPr>
        <w:t>Tuzemský trh bývá hodnocen jako malý a</w:t>
      </w:r>
      <w:r w:rsidR="00BB40A6" w:rsidRPr="004C45B3">
        <w:rPr>
          <w:b/>
        </w:rPr>
        <w:t> </w:t>
      </w:r>
      <w:r w:rsidRPr="004C45B3">
        <w:rPr>
          <w:b/>
        </w:rPr>
        <w:t>konzervativní.</w:t>
      </w:r>
    </w:p>
    <w:p w14:paraId="18EEB731" w14:textId="77777777" w:rsidR="006544DC" w:rsidRDefault="006544DC" w:rsidP="002449AE">
      <w:pPr>
        <w:pStyle w:val="ListParagraph"/>
        <w:numPr>
          <w:ilvl w:val="0"/>
          <w:numId w:val="32"/>
        </w:numPr>
        <w:spacing w:after="120"/>
        <w:contextualSpacing w:val="0"/>
        <w:jc w:val="both"/>
      </w:pPr>
      <w:r>
        <w:t xml:space="preserve">Typickým příkladem </w:t>
      </w:r>
      <w:r w:rsidR="0061064D">
        <w:t>komplikací při uvá</w:t>
      </w:r>
      <w:r>
        <w:t>d</w:t>
      </w:r>
      <w:r w:rsidR="0061064D">
        <w:t>ě</w:t>
      </w:r>
      <w:r>
        <w:t>ní produkt</w:t>
      </w:r>
      <w:r w:rsidR="0061064D">
        <w:t>ů</w:t>
      </w:r>
      <w:r>
        <w:t xml:space="preserve"> na trh je např. </w:t>
      </w:r>
      <w:r w:rsidRPr="004C45B3">
        <w:rPr>
          <w:b/>
        </w:rPr>
        <w:t>prudký pokles odběru produktů</w:t>
      </w:r>
      <w:r>
        <w:t xml:space="preserve"> v automobilovém průmyslu s vazbou na spalovací nebo zážehov</w:t>
      </w:r>
      <w:r w:rsidR="00C92A6A">
        <w:t>é</w:t>
      </w:r>
      <w:r>
        <w:t xml:space="preserve"> motor</w:t>
      </w:r>
      <w:r w:rsidR="00C92A6A">
        <w:t>y</w:t>
      </w:r>
      <w:r>
        <w:t xml:space="preserve"> z důvodu přechodu na </w:t>
      </w:r>
      <w:proofErr w:type="spellStart"/>
      <w:r>
        <w:t>elektromobilitu</w:t>
      </w:r>
      <w:proofErr w:type="spellEnd"/>
      <w:r>
        <w:t xml:space="preserve">, aféry </w:t>
      </w:r>
      <w:proofErr w:type="spellStart"/>
      <w:r>
        <w:t>dieselgate</w:t>
      </w:r>
      <w:proofErr w:type="spellEnd"/>
      <w:r>
        <w:t xml:space="preserve"> a tlaku Evropské </w:t>
      </w:r>
      <w:r w:rsidR="00EE3A21">
        <w:t>k</w:t>
      </w:r>
      <w:r>
        <w:t>omise na snižování emisí.</w:t>
      </w:r>
    </w:p>
    <w:p w14:paraId="18F69F9B" w14:textId="77777777" w:rsidR="000A06C1" w:rsidRDefault="000A06C1" w:rsidP="002449AE">
      <w:pPr>
        <w:pStyle w:val="ListParagraph"/>
        <w:numPr>
          <w:ilvl w:val="0"/>
          <w:numId w:val="32"/>
        </w:numPr>
        <w:spacing w:after="120"/>
        <w:contextualSpacing w:val="0"/>
        <w:jc w:val="both"/>
      </w:pPr>
      <w:r w:rsidRPr="004C45B3">
        <w:rPr>
          <w:b/>
        </w:rPr>
        <w:t xml:space="preserve">Spolupráce soukromých podniků s veřejnými výzkumnými pracovišti </w:t>
      </w:r>
      <w:r w:rsidR="00EA5763" w:rsidRPr="002449AE">
        <w:t>(</w:t>
      </w:r>
      <w:r w:rsidR="00EE3A21" w:rsidRPr="002449AE">
        <w:t>dále jen „</w:t>
      </w:r>
      <w:r w:rsidR="00EA5763" w:rsidRPr="002449AE">
        <w:t>VVP</w:t>
      </w:r>
      <w:r w:rsidR="00EE3A21" w:rsidRPr="002449AE">
        <w:t>“</w:t>
      </w:r>
      <w:r w:rsidR="00EA5763" w:rsidRPr="002449AE">
        <w:t>)</w:t>
      </w:r>
      <w:r w:rsidR="00EA5763" w:rsidRPr="004C45B3">
        <w:rPr>
          <w:b/>
        </w:rPr>
        <w:t xml:space="preserve"> </w:t>
      </w:r>
      <w:r w:rsidRPr="004C45B3">
        <w:rPr>
          <w:b/>
        </w:rPr>
        <w:t>se ukazuje jako zdlouhavá a náročná</w:t>
      </w:r>
      <w:r>
        <w:t xml:space="preserve">, především ve své iniciační fázi. </w:t>
      </w:r>
      <w:r w:rsidRPr="004C45B3">
        <w:rPr>
          <w:b/>
        </w:rPr>
        <w:t>V</w:t>
      </w:r>
      <w:r w:rsidR="00EE3A21">
        <w:rPr>
          <w:b/>
        </w:rPr>
        <w:t>VP</w:t>
      </w:r>
      <w:r w:rsidRPr="004C45B3">
        <w:rPr>
          <w:b/>
        </w:rPr>
        <w:t xml:space="preserve"> s intenzivní státní podporou jsou podstatně méně orientována na aplikační fázi výzkumu a vývoje, což se negativně promítá i do </w:t>
      </w:r>
      <w:r w:rsidR="0061064D" w:rsidRPr="004C45B3">
        <w:rPr>
          <w:b/>
        </w:rPr>
        <w:t xml:space="preserve">jejich </w:t>
      </w:r>
      <w:r w:rsidRPr="004C45B3">
        <w:rPr>
          <w:b/>
        </w:rPr>
        <w:t>spolup</w:t>
      </w:r>
      <w:r w:rsidR="0061064D" w:rsidRPr="004C45B3">
        <w:rPr>
          <w:b/>
        </w:rPr>
        <w:t>ráce s podniky</w:t>
      </w:r>
      <w:r w:rsidR="0061064D">
        <w:t xml:space="preserve"> orientovanými na uvádění produktů na trh</w:t>
      </w:r>
      <w:r>
        <w:t xml:space="preserve">. </w:t>
      </w:r>
    </w:p>
    <w:p w14:paraId="4855B7C1" w14:textId="77777777" w:rsidR="000A06C1" w:rsidRPr="00242CF4" w:rsidRDefault="000A06C1" w:rsidP="002449AE">
      <w:pPr>
        <w:pStyle w:val="ListParagraph"/>
        <w:numPr>
          <w:ilvl w:val="0"/>
          <w:numId w:val="32"/>
        </w:numPr>
        <w:spacing w:after="120"/>
        <w:contextualSpacing w:val="0"/>
        <w:jc w:val="both"/>
      </w:pPr>
      <w:r>
        <w:t xml:space="preserve">Výše finančních prostředků z SC 1.1 na podporu </w:t>
      </w:r>
      <w:r w:rsidR="00EA5763">
        <w:t>spolupráce</w:t>
      </w:r>
      <w:r>
        <w:t xml:space="preserve"> podniků s </w:t>
      </w:r>
      <w:r w:rsidR="00EE3A21">
        <w:t>VVP</w:t>
      </w:r>
      <w:r>
        <w:t xml:space="preserve"> je pro </w:t>
      </w:r>
      <w:r w:rsidR="00EA5763">
        <w:t>V</w:t>
      </w:r>
      <w:r w:rsidR="00BB40A6">
        <w:t>V</w:t>
      </w:r>
      <w:r w:rsidR="00EA5763">
        <w:t xml:space="preserve">P nedostatečně motivační. </w:t>
      </w:r>
      <w:r w:rsidR="00DE35D3">
        <w:t xml:space="preserve">Podniky si proto často musí zakládat vlastní </w:t>
      </w:r>
      <w:proofErr w:type="spellStart"/>
      <w:r w:rsidR="00DE35D3">
        <w:t>VaV</w:t>
      </w:r>
      <w:proofErr w:type="spellEnd"/>
      <w:r w:rsidR="00DE35D3">
        <w:t xml:space="preserve"> centra. </w:t>
      </w:r>
    </w:p>
    <w:p w14:paraId="1B7734AB" w14:textId="77777777" w:rsidR="00D73025" w:rsidRDefault="00D73025" w:rsidP="004C45B3">
      <w:pPr>
        <w:spacing w:after="120" w:line="240" w:lineRule="auto"/>
      </w:pPr>
      <w:r>
        <w:br w:type="page"/>
      </w:r>
    </w:p>
    <w:p w14:paraId="472C3786" w14:textId="77777777" w:rsidR="007D16C1" w:rsidRPr="00D73025" w:rsidRDefault="00B2069E" w:rsidP="00422DD9">
      <w:pPr>
        <w:pStyle w:val="Heading1"/>
        <w:numPr>
          <w:ilvl w:val="0"/>
          <w:numId w:val="2"/>
        </w:numPr>
        <w:spacing w:after="120"/>
        <w:rPr>
          <w:rFonts w:ascii="Verdana" w:eastAsia="MingLiU" w:hAnsi="Verdana" w:cs="Times New Roman"/>
          <w:b w:val="0"/>
          <w:color w:val="auto"/>
          <w:sz w:val="60"/>
          <w:szCs w:val="60"/>
        </w:rPr>
      </w:pPr>
      <w:bookmarkStart w:id="34" w:name="_Toc3453229"/>
      <w:bookmarkStart w:id="35" w:name="_Toc11679615"/>
      <w:bookmarkEnd w:id="34"/>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3</w:t>
      </w:r>
      <w:bookmarkEnd w:id="35"/>
    </w:p>
    <w:p w14:paraId="065ADA63" w14:textId="77777777" w:rsidR="00C818D5" w:rsidRPr="000D5DE1" w:rsidRDefault="00C818D5" w:rsidP="00C818D5">
      <w:pPr>
        <w:spacing w:after="0"/>
        <w:jc w:val="both"/>
        <w:rPr>
          <w:b/>
        </w:rPr>
      </w:pPr>
    </w:p>
    <w:p w14:paraId="6678BF1C" w14:textId="77777777" w:rsidR="00C818D5" w:rsidRDefault="00C818D5" w:rsidP="00C818D5">
      <w:pPr>
        <w:jc w:val="both"/>
        <w:rPr>
          <w:b/>
        </w:rPr>
      </w:pPr>
      <w:r w:rsidRPr="000D5DE1">
        <w:rPr>
          <w:b/>
        </w:rPr>
        <w:t>Jaký je mezi podpořenými projekty podíl jednotlivých typů inovací (produktové, procesní, organizační, marketingové)?</w:t>
      </w:r>
    </w:p>
    <w:p w14:paraId="41488963" w14:textId="77777777" w:rsidR="00C818D5" w:rsidRDefault="00C818D5" w:rsidP="00152DAD">
      <w:pPr>
        <w:pStyle w:val="Heading1"/>
        <w:numPr>
          <w:ilvl w:val="1"/>
          <w:numId w:val="2"/>
        </w:numPr>
        <w:spacing w:before="240" w:after="120"/>
        <w:ind w:left="714" w:hanging="357"/>
      </w:pPr>
      <w:bookmarkStart w:id="36" w:name="_Toc8825070"/>
      <w:bookmarkStart w:id="37" w:name="_Toc8825200"/>
      <w:bookmarkStart w:id="38" w:name="_Toc11679616"/>
      <w:r>
        <w:t>Úkol</w:t>
      </w:r>
      <w:bookmarkEnd w:id="36"/>
      <w:bookmarkEnd w:id="37"/>
      <w:bookmarkEnd w:id="38"/>
    </w:p>
    <w:p w14:paraId="16CB6A3E" w14:textId="77777777" w:rsidR="00C818D5" w:rsidRDefault="00C818D5" w:rsidP="00C818D5">
      <w:pPr>
        <w:jc w:val="both"/>
      </w:pPr>
      <w:r w:rsidRPr="007448C5">
        <w:rPr>
          <w:rFonts w:cstheme="minorHAnsi"/>
        </w:rPr>
        <w:t>SC 1.1 je zaměřen</w:t>
      </w:r>
      <w:r>
        <w:rPr>
          <w:rFonts w:cstheme="minorHAnsi"/>
        </w:rPr>
        <w:t xml:space="preserve"> především</w:t>
      </w:r>
      <w:r w:rsidRPr="007448C5">
        <w:rPr>
          <w:rFonts w:cstheme="minorHAnsi"/>
        </w:rPr>
        <w:t xml:space="preserve"> na </w:t>
      </w:r>
      <w:r w:rsidRPr="00260C93">
        <w:rPr>
          <w:rFonts w:cstheme="minorHAnsi"/>
          <w:b/>
        </w:rPr>
        <w:t>zlepšení technických fází inovačního procesu firem</w:t>
      </w:r>
      <w:r>
        <w:rPr>
          <w:rFonts w:cstheme="minorHAnsi"/>
        </w:rPr>
        <w:t xml:space="preserve"> a </w:t>
      </w:r>
      <w:r w:rsidRPr="00260C93">
        <w:rPr>
          <w:rFonts w:cstheme="minorHAnsi"/>
          <w:b/>
        </w:rPr>
        <w:t>zavádění všech typů inovací ve firmách</w:t>
      </w:r>
      <w:r w:rsidRPr="007448C5">
        <w:rPr>
          <w:rFonts w:cstheme="minorHAnsi"/>
        </w:rPr>
        <w:t xml:space="preserve"> (produktové, procesní, marketingové</w:t>
      </w:r>
      <w:r>
        <w:rPr>
          <w:rFonts w:cstheme="minorHAnsi"/>
        </w:rPr>
        <w:t>, organizační</w:t>
      </w:r>
      <w:r w:rsidRPr="007448C5">
        <w:rPr>
          <w:rFonts w:cstheme="minorHAnsi"/>
        </w:rPr>
        <w:t>).</w:t>
      </w:r>
      <w:r>
        <w:rPr>
          <w:rFonts w:cstheme="minorHAnsi"/>
        </w:rPr>
        <w:t xml:space="preserve"> </w:t>
      </w:r>
      <w:r w:rsidRPr="00403A99">
        <w:t xml:space="preserve">Inovací se </w:t>
      </w:r>
      <w:r>
        <w:t xml:space="preserve">přitom </w:t>
      </w:r>
      <w:r w:rsidRPr="00403A99">
        <w:t xml:space="preserve">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w:t>
      </w:r>
      <w:r>
        <w:t xml:space="preserve">také </w:t>
      </w:r>
      <w:r w:rsidRPr="00403A99">
        <w:t xml:space="preserve">převzata z jiné organizace (dle Oslo </w:t>
      </w:r>
      <w:proofErr w:type="spellStart"/>
      <w:r w:rsidRPr="00403A99">
        <w:t>Manual</w:t>
      </w:r>
      <w:proofErr w:type="spellEnd"/>
      <w:r w:rsidRPr="00403A99">
        <w:t xml:space="preserve"> OECD, dostupn</w:t>
      </w:r>
      <w:r>
        <w:t>ého</w:t>
      </w:r>
      <w:r w:rsidRPr="00403A99">
        <w:t xml:space="preserve"> na </w:t>
      </w:r>
      <w:hyperlink r:id="rId18" w:history="1">
        <w:r w:rsidRPr="00795E4F">
          <w:rPr>
            <w:rStyle w:val="Hyperlink"/>
          </w:rPr>
          <w:t>http://www.oecd.org/science/inno/2367580.pdf</w:t>
        </w:r>
      </w:hyperlink>
      <w:r w:rsidRPr="00403A99">
        <w:t>).</w:t>
      </w:r>
    </w:p>
    <w:p w14:paraId="14B786BF" w14:textId="77777777" w:rsidR="00C818D5" w:rsidRDefault="00C818D5" w:rsidP="00C818D5">
      <w:pPr>
        <w:jc w:val="both"/>
      </w:pPr>
      <w:r>
        <w:t xml:space="preserve">Úkolem v rámci této evaluační otázky bylo </w:t>
      </w:r>
      <w:r w:rsidRPr="004C45B3">
        <w:rPr>
          <w:b/>
        </w:rPr>
        <w:t>zjistit podíl jednotlivých typů inovací</w:t>
      </w:r>
      <w:r>
        <w:t xml:space="preserve"> podpořených v programu Inovace a to především na základě informací a popisu podpořených projektů z monitorovacího systému a z dotazníkového šetření realizovaného mezi příjemci podpory. </w:t>
      </w:r>
    </w:p>
    <w:p w14:paraId="5FB90608" w14:textId="77777777" w:rsidR="00C818D5" w:rsidRPr="00D73025" w:rsidRDefault="00C818D5" w:rsidP="00152DAD">
      <w:pPr>
        <w:pStyle w:val="Heading1"/>
        <w:numPr>
          <w:ilvl w:val="1"/>
          <w:numId w:val="2"/>
        </w:numPr>
        <w:spacing w:before="240" w:after="120"/>
        <w:ind w:left="714" w:hanging="357"/>
      </w:pPr>
      <w:bookmarkStart w:id="39" w:name="_Toc8825071"/>
      <w:bookmarkStart w:id="40" w:name="_Toc8825201"/>
      <w:bookmarkStart w:id="41" w:name="_Toc11679617"/>
      <w:r>
        <w:t>Zjištění a doporučení</w:t>
      </w:r>
      <w:bookmarkEnd w:id="39"/>
      <w:bookmarkEnd w:id="40"/>
      <w:bookmarkEnd w:id="41"/>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C818D5" w:rsidRPr="003E4246" w14:paraId="332F85E9" w14:textId="77777777" w:rsidTr="008C1F5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58294708" w14:textId="77777777" w:rsidR="00C818D5" w:rsidRPr="003E4246" w:rsidRDefault="00C818D5" w:rsidP="008C1F5C">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4296EDD9" w14:textId="77777777" w:rsidR="00C818D5" w:rsidRPr="00F57A05" w:rsidRDefault="00C818D5" w:rsidP="008C1F5C">
            <w:pPr>
              <w:spacing w:before="120" w:after="120"/>
              <w:jc w:val="both"/>
              <w:cnfStyle w:val="100000000000" w:firstRow="1" w:lastRow="0" w:firstColumn="0" w:lastColumn="0" w:oddVBand="0" w:evenVBand="0" w:oddHBand="0" w:evenHBand="0" w:firstRowFirstColumn="0" w:firstRowLastColumn="0" w:lastRowFirstColumn="0" w:lastRowLastColumn="0"/>
              <w:rPr>
                <w:b w:val="0"/>
              </w:rPr>
            </w:pPr>
            <w:r w:rsidRPr="000D5DE1">
              <w:t>Jaký je mezi podpořenými projekty podíl jednotlivých typů inovací (produktové, procesní, organizační, marketingové)?</w:t>
            </w:r>
          </w:p>
        </w:tc>
      </w:tr>
      <w:tr w:rsidR="00C818D5" w14:paraId="1100787D"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130FA96" w14:textId="77777777" w:rsidR="00C818D5" w:rsidRDefault="00C818D5" w:rsidP="008C1F5C">
            <w:pPr>
              <w:spacing w:before="120" w:after="120"/>
              <w:rPr>
                <w:color w:val="FFFFFF" w:themeColor="background1"/>
              </w:rPr>
            </w:pPr>
            <w:r>
              <w:rPr>
                <w:color w:val="FFFFFF" w:themeColor="background1"/>
              </w:rPr>
              <w:t>Program podpory</w:t>
            </w:r>
          </w:p>
        </w:tc>
        <w:tc>
          <w:tcPr>
            <w:tcW w:w="3777" w:type="pct"/>
          </w:tcPr>
          <w:p w14:paraId="0F0A1626" w14:textId="77777777" w:rsidR="00C818D5" w:rsidRPr="007A0414" w:rsidRDefault="00C818D5" w:rsidP="008C1F5C">
            <w:pPr>
              <w:spacing w:before="120" w:after="120"/>
              <w:cnfStyle w:val="000000100000" w:firstRow="0" w:lastRow="0" w:firstColumn="0" w:lastColumn="0" w:oddVBand="0" w:evenVBand="0" w:oddHBand="1" w:evenHBand="0" w:firstRowFirstColumn="0" w:firstRowLastColumn="0" w:lastRowFirstColumn="0" w:lastRowLastColumn="0"/>
            </w:pPr>
            <w:r>
              <w:t>INO</w:t>
            </w:r>
          </w:p>
        </w:tc>
      </w:tr>
      <w:tr w:rsidR="00C818D5" w14:paraId="2F9CB52F"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A1B0E3A" w14:textId="77777777" w:rsidR="00C818D5" w:rsidRDefault="00C818D5" w:rsidP="008C1F5C">
            <w:pPr>
              <w:spacing w:after="0"/>
              <w:rPr>
                <w:color w:val="FFFFFF" w:themeColor="background1"/>
              </w:rPr>
            </w:pPr>
            <w:r>
              <w:rPr>
                <w:color w:val="FFFFFF" w:themeColor="background1"/>
              </w:rPr>
              <w:t>Evaluační metody</w:t>
            </w:r>
          </w:p>
        </w:tc>
        <w:tc>
          <w:tcPr>
            <w:tcW w:w="3777" w:type="pct"/>
          </w:tcPr>
          <w:p w14:paraId="5AFDB776" w14:textId="77777777" w:rsidR="00C818D5" w:rsidRDefault="00C818D5" w:rsidP="008C1F5C">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t>Analýza projektových dat MS2014+</w:t>
            </w:r>
          </w:p>
          <w:p w14:paraId="52741563" w14:textId="77777777" w:rsidR="00582FFB" w:rsidRDefault="00C818D5" w:rsidP="008C1F5C">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t>Dotazníkové šetření</w:t>
            </w:r>
          </w:p>
          <w:p w14:paraId="4A6569E8" w14:textId="77777777" w:rsidR="00C818D5" w:rsidRPr="007A0414" w:rsidRDefault="00C818D5" w:rsidP="00582FFB">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t>Polostrukturované rozhovory</w:t>
            </w:r>
          </w:p>
        </w:tc>
      </w:tr>
      <w:tr w:rsidR="00C818D5" w14:paraId="4A9FA631"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9DFA5FD" w14:textId="77777777" w:rsidR="00C818D5" w:rsidRPr="00622A6D" w:rsidRDefault="00C818D5" w:rsidP="008C1F5C">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03EFB38E" w14:textId="77777777" w:rsidR="00C818D5" w:rsidRDefault="00C818D5" w:rsidP="00EB2999">
            <w:pPr>
              <w:spacing w:after="60"/>
              <w:ind w:left="319"/>
              <w:cnfStyle w:val="000000100000" w:firstRow="0" w:lastRow="0" w:firstColumn="0" w:lastColumn="0" w:oddVBand="0" w:evenVBand="0" w:oddHBand="1" w:evenHBand="0" w:firstRowFirstColumn="0" w:firstRowLastColumn="0" w:lastRowFirstColumn="0" w:lastRowLastColumn="0"/>
            </w:pPr>
            <w:r>
              <w:t xml:space="preserve">Informace o druhu inovace je obsažena v podnikatelském záměru, kde žadatel musí uvést, který z typů inovací je hlavní. </w:t>
            </w:r>
            <w:r w:rsidRPr="00582FFB">
              <w:rPr>
                <w:b/>
              </w:rPr>
              <w:t>U všech 592 aktivních projektů</w:t>
            </w:r>
            <w:r>
              <w:t xml:space="preserve"> ve výzvách programu Inovace – inovační projekt byly v MS2014+ </w:t>
            </w:r>
            <w:r w:rsidRPr="00582FFB">
              <w:rPr>
                <w:b/>
              </w:rPr>
              <w:t>zaškrtnuty všechny typy inovací</w:t>
            </w:r>
            <w:r>
              <w:t xml:space="preserve">, tj. marketingová, organizační, procesní a produktová. </w:t>
            </w:r>
          </w:p>
          <w:p w14:paraId="1DC7FD7E" w14:textId="77777777" w:rsidR="00C818D5" w:rsidRPr="003E4246" w:rsidRDefault="00C818D5" w:rsidP="002449AE">
            <w:pPr>
              <w:pStyle w:val="ListParagraph"/>
              <w:numPr>
                <w:ilvl w:val="0"/>
                <w:numId w:val="10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rPr>
                <w:b/>
              </w:rPr>
            </w:pPr>
            <w:r>
              <w:t xml:space="preserve">Podle expertního posouzení pracovníků Agentury pro podnikání a inovace je však </w:t>
            </w:r>
            <w:r w:rsidRPr="003E4246">
              <w:rPr>
                <w:b/>
              </w:rPr>
              <w:t>90 % inovací produktových</w:t>
            </w:r>
            <w:r>
              <w:rPr>
                <w:b/>
              </w:rPr>
              <w:t xml:space="preserve">, </w:t>
            </w:r>
            <w:r>
              <w:t>další jsou zpravidla doprovodné inovace.</w:t>
            </w:r>
          </w:p>
          <w:p w14:paraId="1C549960" w14:textId="77777777" w:rsidR="00C818D5" w:rsidRDefault="00C818D5" w:rsidP="002449AE">
            <w:pPr>
              <w:pStyle w:val="ListParagraph"/>
              <w:numPr>
                <w:ilvl w:val="0"/>
                <w:numId w:val="10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Vzhledem k nízké vypovídací hodnotě informací ze systému MS2014+ bylo pro zodpovězení této EO klíčové dotazníkové šetření. Respondenti DŠ uvedli následující zastoupení typů inovací:</w:t>
            </w:r>
          </w:p>
          <w:p w14:paraId="748CC01A" w14:textId="77777777" w:rsidR="00C818D5" w:rsidRPr="003E4246"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rPr>
                <w:b/>
              </w:rPr>
            </w:pPr>
            <w:r w:rsidRPr="003E4246">
              <w:rPr>
                <w:b/>
              </w:rPr>
              <w:t>Produktová – 66 %</w:t>
            </w:r>
          </w:p>
          <w:p w14:paraId="56B2A98B" w14:textId="7932164A" w:rsidR="00C818D5" w:rsidRPr="003E4246"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rPr>
                <w:b/>
              </w:rPr>
            </w:pPr>
            <w:r w:rsidRPr="003E4246">
              <w:rPr>
                <w:b/>
              </w:rPr>
              <w:t xml:space="preserve">Procesní </w:t>
            </w:r>
            <w:r w:rsidR="00707160">
              <w:rPr>
                <w:b/>
              </w:rPr>
              <w:t>–</w:t>
            </w:r>
            <w:r w:rsidRPr="003E4246">
              <w:rPr>
                <w:b/>
              </w:rPr>
              <w:t xml:space="preserve"> 38 %</w:t>
            </w:r>
          </w:p>
          <w:p w14:paraId="1F1F1C54" w14:textId="77777777" w:rsidR="00C818D5" w:rsidRPr="003E4246"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rPr>
                <w:b/>
              </w:rPr>
            </w:pPr>
            <w:r w:rsidRPr="003E4246">
              <w:rPr>
                <w:b/>
              </w:rPr>
              <w:t>Organizační – 4 %</w:t>
            </w:r>
          </w:p>
          <w:p w14:paraId="078E8C66" w14:textId="77777777" w:rsidR="00C818D5" w:rsidRPr="00DF2AC1"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3E4246">
              <w:rPr>
                <w:b/>
              </w:rPr>
              <w:t>Marketingová – 3 %</w:t>
            </w:r>
          </w:p>
          <w:p w14:paraId="02ACDC48" w14:textId="77777777" w:rsidR="00C818D5" w:rsidRDefault="00C818D5" w:rsidP="008C1F5C">
            <w:pPr>
              <w:pStyle w:val="ListParagraph"/>
              <w:spacing w:after="60"/>
              <w:ind w:left="319"/>
              <w:contextualSpacing w:val="0"/>
              <w:jc w:val="both"/>
              <w:cnfStyle w:val="000000100000" w:firstRow="0" w:lastRow="0" w:firstColumn="0" w:lastColumn="0" w:oddVBand="0" w:evenVBand="0" w:oddHBand="1" w:evenHBand="0" w:firstRowFirstColumn="0" w:firstRowLastColumn="0" w:lastRowFirstColumn="0" w:lastRowLastColumn="0"/>
            </w:pPr>
            <w:r>
              <w:t xml:space="preserve">Největší zastoupení produktových a procesních inovací je však do značné míry dáno nastavením povinnosti </w:t>
            </w:r>
            <w:r w:rsidRPr="00DF2AC1">
              <w:rPr>
                <w:b/>
              </w:rPr>
              <w:t>dosažení stěžejní inovace</w:t>
            </w:r>
            <w:r>
              <w:t>, což je ve vztahu k výzkumu a vývoji spíše inovace produktová než procesní, která je doprovodnou inovací k </w:t>
            </w:r>
            <w:r w:rsidRPr="00DF2AC1">
              <w:t>inovaci produktové. Organizační a marketingové inovace js</w:t>
            </w:r>
            <w:r>
              <w:t>ou pouze doprovodné inovace k výše zmíněným.</w:t>
            </w:r>
          </w:p>
          <w:p w14:paraId="3C8B649D" w14:textId="77777777" w:rsidR="00C818D5" w:rsidRDefault="00C818D5" w:rsidP="008C1F5C">
            <w:pPr>
              <w:pStyle w:val="ListParagraph"/>
              <w:spacing w:after="60"/>
              <w:ind w:left="319"/>
              <w:contextualSpacing w:val="0"/>
              <w:jc w:val="cente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08932D3" wp14:editId="4A6F9587">
                  <wp:extent cx="4067175" cy="2133600"/>
                  <wp:effectExtent l="0" t="0" r="9525" b="0"/>
                  <wp:docPr id="2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818D5" w14:paraId="5D3E58AA"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69B77765" w14:textId="77777777" w:rsidR="00C818D5" w:rsidRPr="00622A6D" w:rsidRDefault="00C818D5" w:rsidP="008C1F5C">
            <w:pPr>
              <w:spacing w:after="0"/>
              <w:rPr>
                <w:color w:val="FFFFFF" w:themeColor="background1"/>
              </w:rPr>
            </w:pPr>
            <w:r w:rsidRPr="00622A6D">
              <w:rPr>
                <w:color w:val="FFFFFF" w:themeColor="background1"/>
              </w:rPr>
              <w:t>Doporučení</w:t>
            </w:r>
            <w:r>
              <w:rPr>
                <w:color w:val="FFFFFF" w:themeColor="background1"/>
              </w:rPr>
              <w:t xml:space="preserve"> pro současné program. období</w:t>
            </w:r>
          </w:p>
        </w:tc>
        <w:tc>
          <w:tcPr>
            <w:tcW w:w="3777" w:type="pct"/>
          </w:tcPr>
          <w:p w14:paraId="3E6C567A" w14:textId="77777777" w:rsidR="00C818D5" w:rsidRDefault="00C818D5" w:rsidP="008C1F5C">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t>N/A</w:t>
            </w:r>
          </w:p>
        </w:tc>
      </w:tr>
      <w:tr w:rsidR="00C818D5" w14:paraId="33BD2E46"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BDC6380" w14:textId="77777777" w:rsidR="00C818D5" w:rsidRPr="00622A6D" w:rsidRDefault="00C818D5" w:rsidP="008C1F5C">
            <w:pPr>
              <w:spacing w:after="0"/>
              <w:rPr>
                <w:color w:val="FFFFFF" w:themeColor="background1"/>
              </w:rPr>
            </w:pPr>
            <w:r>
              <w:rPr>
                <w:color w:val="FFFFFF" w:themeColor="background1"/>
              </w:rPr>
              <w:t>Doporučení pro program. období 2021+</w:t>
            </w:r>
          </w:p>
        </w:tc>
        <w:tc>
          <w:tcPr>
            <w:tcW w:w="3777" w:type="pct"/>
          </w:tcPr>
          <w:p w14:paraId="10E1F501" w14:textId="77777777" w:rsidR="000A7EEC" w:rsidRDefault="000A7EEC" w:rsidP="008C1F5C">
            <w:pPr>
              <w:pStyle w:val="ListParagraph"/>
              <w:numPr>
                <w:ilvl w:val="0"/>
                <w:numId w:val="11"/>
              </w:numPr>
              <w:spacing w:after="60"/>
              <w:ind w:left="319" w:hanging="219"/>
              <w:contextualSpacing w:val="0"/>
              <w:cnfStyle w:val="000000100000" w:firstRow="0" w:lastRow="0" w:firstColumn="0" w:lastColumn="0" w:oddVBand="0" w:evenVBand="0" w:oddHBand="1" w:evenHBand="0" w:firstRowFirstColumn="0" w:firstRowLastColumn="0" w:lastRowFirstColumn="0" w:lastRowLastColumn="0"/>
            </w:pPr>
            <w:r>
              <w:t xml:space="preserve">Pro zvýšení vypovídací hodnoty dat o typu inovací v systému MS2014+ by bylo vhodné doplnit přímo do systému MS2014+ </w:t>
            </w:r>
            <w:r w:rsidR="00EB2999">
              <w:t>označení</w:t>
            </w:r>
            <w:r>
              <w:t xml:space="preserve"> hlavní inovace a doprovodné/</w:t>
            </w:r>
            <w:proofErr w:type="spellStart"/>
            <w:r>
              <w:t>ých</w:t>
            </w:r>
            <w:proofErr w:type="spellEnd"/>
            <w:r>
              <w:t xml:space="preserve"> inovace/í, aby se </w:t>
            </w:r>
            <w:r w:rsidR="00EB2999">
              <w:t>zamezilo situacím, kdy</w:t>
            </w:r>
            <w:r>
              <w:t xml:space="preserve"> žadatel označí všechny typy inovace, přestože některé typy jsou v rámci projektu obsaženy jen okrajově.</w:t>
            </w:r>
          </w:p>
          <w:p w14:paraId="4780D020" w14:textId="77777777" w:rsidR="00C818D5" w:rsidRDefault="000A7EEC" w:rsidP="00EB2999">
            <w:pPr>
              <w:pStyle w:val="ListParagraph"/>
              <w:numPr>
                <w:ilvl w:val="0"/>
                <w:numId w:val="11"/>
              </w:numPr>
              <w:spacing w:after="60"/>
              <w:ind w:left="319" w:hanging="219"/>
              <w:contextualSpacing w:val="0"/>
              <w:cnfStyle w:val="000000100000" w:firstRow="0" w:lastRow="0" w:firstColumn="0" w:lastColumn="0" w:oddVBand="0" w:evenVBand="0" w:oddHBand="1" w:evenHBand="0" w:firstRowFirstColumn="0" w:firstRowLastColumn="0" w:lastRowFirstColumn="0" w:lastRowLastColumn="0"/>
            </w:pPr>
            <w:r>
              <w:t xml:space="preserve">Chce-li ŘO v dalším programovém období dosáhnout zvýšení zastoupení marketingových a organizačních inovací, </w:t>
            </w:r>
            <w:r w:rsidR="00EB2999">
              <w:t xml:space="preserve">doporučujeme zvážit možnosti zohlednění </w:t>
            </w:r>
            <w:r>
              <w:t>v rámci nastavení pravidel podpory, např. prostřednictvím bonifikace těchto typů inovací apod.</w:t>
            </w:r>
          </w:p>
        </w:tc>
      </w:tr>
    </w:tbl>
    <w:p w14:paraId="7BA4F450" w14:textId="77777777" w:rsidR="00C818D5" w:rsidRDefault="00C818D5" w:rsidP="00C818D5">
      <w:pPr>
        <w:spacing w:after="0" w:line="240" w:lineRule="auto"/>
      </w:pPr>
    </w:p>
    <w:p w14:paraId="023DACCF" w14:textId="77777777" w:rsidR="00C818D5" w:rsidRDefault="00C818D5" w:rsidP="00C818D5">
      <w:pPr>
        <w:pStyle w:val="Bntext"/>
      </w:pPr>
    </w:p>
    <w:p w14:paraId="131B2B89" w14:textId="77777777" w:rsidR="00D73025" w:rsidRDefault="00D73025">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1461F24D" w14:textId="77777777" w:rsidR="007A4CB2" w:rsidRPr="00D73025" w:rsidRDefault="00B2069E" w:rsidP="00C818D5">
      <w:pPr>
        <w:pStyle w:val="Heading1"/>
        <w:numPr>
          <w:ilvl w:val="0"/>
          <w:numId w:val="2"/>
        </w:numPr>
        <w:spacing w:after="120"/>
        <w:rPr>
          <w:rFonts w:ascii="Verdana" w:eastAsia="MingLiU" w:hAnsi="Verdana" w:cs="Times New Roman"/>
          <w:b w:val="0"/>
          <w:color w:val="auto"/>
          <w:sz w:val="60"/>
          <w:szCs w:val="60"/>
        </w:rPr>
      </w:pPr>
      <w:bookmarkStart w:id="42" w:name="_Toc11679618"/>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4</w:t>
      </w:r>
      <w:bookmarkEnd w:id="42"/>
    </w:p>
    <w:p w14:paraId="0C99420D" w14:textId="77777777" w:rsidR="000D5DE1" w:rsidRDefault="000D5DE1" w:rsidP="000D5DE1">
      <w:pPr>
        <w:spacing w:after="0"/>
        <w:jc w:val="both"/>
        <w:rPr>
          <w:b/>
        </w:rPr>
      </w:pPr>
    </w:p>
    <w:p w14:paraId="6E87AA89" w14:textId="77777777" w:rsidR="00C818D5" w:rsidRPr="000D5DE1" w:rsidRDefault="00C818D5" w:rsidP="00C818D5">
      <w:pPr>
        <w:jc w:val="both"/>
        <w:rPr>
          <w:b/>
        </w:rPr>
      </w:pPr>
      <w:r w:rsidRPr="000D5DE1">
        <w:rPr>
          <w:b/>
        </w:rPr>
        <w:t xml:space="preserve">Jaký je podíl </w:t>
      </w:r>
      <w:proofErr w:type="spellStart"/>
      <w:r w:rsidRPr="000D5DE1">
        <w:rPr>
          <w:b/>
        </w:rPr>
        <w:t>ekoinovací</w:t>
      </w:r>
      <w:proofErr w:type="spellEnd"/>
      <w:r w:rsidRPr="000D5DE1">
        <w:rPr>
          <w:b/>
        </w:rPr>
        <w:t xml:space="preserve"> a výzkumu a vývoje týkajícího se zlepšení životního prostředí mezi podpořenými projekty?</w:t>
      </w:r>
    </w:p>
    <w:p w14:paraId="65A6445A" w14:textId="77777777" w:rsidR="00C818D5" w:rsidRDefault="00C818D5" w:rsidP="00152DAD">
      <w:pPr>
        <w:pStyle w:val="Heading1"/>
        <w:numPr>
          <w:ilvl w:val="1"/>
          <w:numId w:val="2"/>
        </w:numPr>
        <w:spacing w:before="240" w:after="120"/>
        <w:ind w:left="714" w:hanging="357"/>
      </w:pPr>
      <w:bookmarkStart w:id="43" w:name="_Toc8825073"/>
      <w:bookmarkStart w:id="44" w:name="_Toc8825203"/>
      <w:bookmarkStart w:id="45" w:name="_Toc11679619"/>
      <w:r>
        <w:t>Úkol</w:t>
      </w:r>
      <w:bookmarkEnd w:id="43"/>
      <w:bookmarkEnd w:id="44"/>
      <w:bookmarkEnd w:id="45"/>
    </w:p>
    <w:p w14:paraId="369910D4" w14:textId="77777777" w:rsidR="00C818D5" w:rsidRDefault="000E21CF" w:rsidP="00C818D5">
      <w:pPr>
        <w:jc w:val="both"/>
      </w:pPr>
      <w:r>
        <w:t>Cílem otázky bylo z</w:t>
      </w:r>
      <w:r w:rsidR="00C818D5">
        <w:t>jistit, do jaké míry jsou inovace v rámci projektů podpořených z programu Inovace zaměřeny na zlepšení životního prostředí (</w:t>
      </w:r>
      <w:proofErr w:type="spellStart"/>
      <w:r w:rsidR="00C818D5">
        <w:t>ekoinovace</w:t>
      </w:r>
      <w:proofErr w:type="spellEnd"/>
      <w:r w:rsidR="00C818D5">
        <w:t>) a to především na základě informací a popisu podpořených projektů z monitorovacího systému a z dotazníkového šetření realizovaného mezi příjemci podpory. Za </w:t>
      </w:r>
      <w:proofErr w:type="spellStart"/>
      <w:r w:rsidR="00C818D5">
        <w:t>ekoinovaci</w:t>
      </w:r>
      <w:proofErr w:type="spellEnd"/>
      <w:r w:rsidR="00C818D5">
        <w:t xml:space="preserve"> je dle Evropské komise považována </w:t>
      </w:r>
      <w:r w:rsidR="00C818D5" w:rsidRPr="004C45B3">
        <w:rPr>
          <w:b/>
        </w:rPr>
        <w:t>každá forma inovace, která vede k</w:t>
      </w:r>
      <w:r w:rsidR="00582FFB">
        <w:rPr>
          <w:b/>
        </w:rPr>
        <w:t> </w:t>
      </w:r>
      <w:r w:rsidR="00C818D5" w:rsidRPr="004C45B3">
        <w:rPr>
          <w:b/>
        </w:rPr>
        <w:t>významnému a prokazatelnému pokroku směrem k cíli udržitelného rozvoje snížením dopadů výrobních procesů na životní prostředí, zvýšením odolnosti přírodního prostředí vůči environmentálním hrozbám nebo dosažením účinnějšího a zodpovědnějšího využívání přírodních zdrojů</w:t>
      </w:r>
      <w:r w:rsidR="00C818D5">
        <w:t>.</w:t>
      </w:r>
      <w:r w:rsidR="00C818D5">
        <w:rPr>
          <w:rStyle w:val="FootnoteReference"/>
        </w:rPr>
        <w:footnoteReference w:id="8"/>
      </w:r>
      <w:r w:rsidR="00254A4B">
        <w:t xml:space="preserve"> Lze předpokládat, že tento cíl bude pořád důležitější i v dalším programovém období.</w:t>
      </w:r>
    </w:p>
    <w:p w14:paraId="29277094" w14:textId="77777777" w:rsidR="00C818D5" w:rsidRPr="00D73025" w:rsidRDefault="00C818D5" w:rsidP="00152DAD">
      <w:pPr>
        <w:pStyle w:val="Heading1"/>
        <w:numPr>
          <w:ilvl w:val="1"/>
          <w:numId w:val="2"/>
        </w:numPr>
        <w:spacing w:before="240" w:after="120"/>
        <w:ind w:left="714" w:hanging="357"/>
      </w:pPr>
      <w:bookmarkStart w:id="46" w:name="_Toc8825074"/>
      <w:bookmarkStart w:id="47" w:name="_Toc8825204"/>
      <w:bookmarkStart w:id="48" w:name="_Toc11679620"/>
      <w:r>
        <w:t>Zjištění a doporučení</w:t>
      </w:r>
      <w:bookmarkEnd w:id="46"/>
      <w:bookmarkEnd w:id="47"/>
      <w:bookmarkEnd w:id="48"/>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C818D5" w:rsidRPr="003E4246" w14:paraId="60E9B28A" w14:textId="77777777" w:rsidTr="008C1F5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6916B641" w14:textId="77777777" w:rsidR="00C818D5" w:rsidRPr="003E4246" w:rsidRDefault="00C818D5" w:rsidP="008C1F5C">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275AC94F" w14:textId="77777777" w:rsidR="00C818D5" w:rsidRPr="00F57A05" w:rsidRDefault="00C818D5" w:rsidP="008C1F5C">
            <w:pPr>
              <w:spacing w:before="120" w:after="120"/>
              <w:jc w:val="both"/>
              <w:cnfStyle w:val="100000000000" w:firstRow="1" w:lastRow="0" w:firstColumn="0" w:lastColumn="0" w:oddVBand="0" w:evenVBand="0" w:oddHBand="0" w:evenHBand="0" w:firstRowFirstColumn="0" w:firstRowLastColumn="0" w:lastRowFirstColumn="0" w:lastRowLastColumn="0"/>
              <w:rPr>
                <w:b w:val="0"/>
              </w:rPr>
            </w:pPr>
            <w:r w:rsidRPr="000D5DE1">
              <w:t xml:space="preserve">Jaký je podíl </w:t>
            </w:r>
            <w:proofErr w:type="spellStart"/>
            <w:r w:rsidRPr="000D5DE1">
              <w:t>ekoinovací</w:t>
            </w:r>
            <w:proofErr w:type="spellEnd"/>
            <w:r w:rsidRPr="000D5DE1">
              <w:t xml:space="preserve"> a výzkumu a vývoje týkajícího se zlepšení životního prostředí mezi podpořenými projekty?</w:t>
            </w:r>
          </w:p>
        </w:tc>
      </w:tr>
      <w:tr w:rsidR="00C818D5" w14:paraId="65630F2F"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007345FB" w14:textId="77777777" w:rsidR="00C818D5" w:rsidRDefault="00C818D5" w:rsidP="008C1F5C">
            <w:pPr>
              <w:spacing w:before="120" w:after="120"/>
              <w:rPr>
                <w:color w:val="FFFFFF" w:themeColor="background1"/>
              </w:rPr>
            </w:pPr>
            <w:r>
              <w:rPr>
                <w:color w:val="FFFFFF" w:themeColor="background1"/>
              </w:rPr>
              <w:t>Program podpory</w:t>
            </w:r>
          </w:p>
        </w:tc>
        <w:tc>
          <w:tcPr>
            <w:tcW w:w="3777" w:type="pct"/>
          </w:tcPr>
          <w:p w14:paraId="61506C99" w14:textId="77777777" w:rsidR="00C818D5" w:rsidRPr="007A0414" w:rsidRDefault="00C818D5" w:rsidP="008C1F5C">
            <w:pPr>
              <w:spacing w:before="120" w:after="120"/>
              <w:cnfStyle w:val="000000100000" w:firstRow="0" w:lastRow="0" w:firstColumn="0" w:lastColumn="0" w:oddVBand="0" w:evenVBand="0" w:oddHBand="1" w:evenHBand="0" w:firstRowFirstColumn="0" w:firstRowLastColumn="0" w:lastRowFirstColumn="0" w:lastRowLastColumn="0"/>
            </w:pPr>
            <w:r>
              <w:t>INO</w:t>
            </w:r>
          </w:p>
        </w:tc>
      </w:tr>
      <w:tr w:rsidR="00C818D5" w14:paraId="0CC92FD6"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44A6F11" w14:textId="77777777" w:rsidR="00C818D5" w:rsidRDefault="00C818D5" w:rsidP="008C1F5C">
            <w:pPr>
              <w:spacing w:after="0"/>
              <w:rPr>
                <w:color w:val="FFFFFF" w:themeColor="background1"/>
              </w:rPr>
            </w:pPr>
            <w:r>
              <w:rPr>
                <w:color w:val="FFFFFF" w:themeColor="background1"/>
              </w:rPr>
              <w:t>Evaluační metody</w:t>
            </w:r>
          </w:p>
        </w:tc>
        <w:tc>
          <w:tcPr>
            <w:tcW w:w="3777" w:type="pct"/>
          </w:tcPr>
          <w:p w14:paraId="5693B5B8" w14:textId="77777777" w:rsidR="00C818D5" w:rsidRDefault="00C818D5"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Analýza projektových dat MS2014+</w:t>
            </w:r>
          </w:p>
          <w:p w14:paraId="7BAF25D0" w14:textId="77777777" w:rsidR="00C818D5" w:rsidRDefault="00C818D5"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Dotazníkové šetření</w:t>
            </w:r>
          </w:p>
          <w:p w14:paraId="094A91D4" w14:textId="77777777" w:rsidR="00C818D5" w:rsidRPr="007A0414" w:rsidRDefault="00C818D5"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Polostrukturované rozhovory</w:t>
            </w:r>
          </w:p>
        </w:tc>
      </w:tr>
      <w:tr w:rsidR="00C818D5" w14:paraId="664516B2"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D3CD29A" w14:textId="77777777" w:rsidR="00C818D5" w:rsidRPr="00622A6D" w:rsidRDefault="00C818D5" w:rsidP="008C1F5C">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416817B7" w14:textId="77777777" w:rsidR="00C818D5" w:rsidRDefault="00C818D5" w:rsidP="002449AE">
            <w:pPr>
              <w:pStyle w:val="ListParagraph"/>
              <w:numPr>
                <w:ilvl w:val="0"/>
                <w:numId w:val="102"/>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Zahrnutí </w:t>
            </w:r>
            <w:proofErr w:type="spellStart"/>
            <w:r>
              <w:t>ekoinovace</w:t>
            </w:r>
            <w:proofErr w:type="spellEnd"/>
            <w:r>
              <w:t xml:space="preserve"> je součástí projektové žádosti, </w:t>
            </w:r>
            <w:r w:rsidRPr="00327E9A">
              <w:rPr>
                <w:b/>
              </w:rPr>
              <w:t>není v</w:t>
            </w:r>
            <w:r>
              <w:rPr>
                <w:b/>
              </w:rPr>
              <w:t>šak evidováno</w:t>
            </w:r>
            <w:r w:rsidRPr="00327E9A">
              <w:rPr>
                <w:b/>
              </w:rPr>
              <w:t xml:space="preserve"> na úrovni dat v MS2014</w:t>
            </w:r>
            <w:r w:rsidRPr="001A66FF">
              <w:rPr>
                <w:b/>
              </w:rPr>
              <w:t>+.</w:t>
            </w:r>
            <w:r w:rsidRPr="001A66FF">
              <w:t xml:space="preserve"> Z tohoto d</w:t>
            </w:r>
            <w:r>
              <w:t xml:space="preserve">ůvodu není možné jednoznačně určit podíl </w:t>
            </w:r>
            <w:proofErr w:type="spellStart"/>
            <w:r>
              <w:t>ekoinovací</w:t>
            </w:r>
            <w:proofErr w:type="spellEnd"/>
            <w:r>
              <w:t xml:space="preserve"> na všech projektech v rámci SC 1.1.</w:t>
            </w:r>
          </w:p>
          <w:p w14:paraId="5162A30B" w14:textId="77777777" w:rsidR="00C818D5" w:rsidRDefault="00C818D5" w:rsidP="002449AE">
            <w:pPr>
              <w:pStyle w:val="ListParagraph"/>
              <w:numPr>
                <w:ilvl w:val="0"/>
                <w:numId w:val="102"/>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Vzhledem k nízké vypovídací hodnotě informací ze systému MS2014+ bylo pro zodpovězení této EO klíčové dotazníkové šetření. To ukázalo, že životní prostředí </w:t>
            </w:r>
            <w:r w:rsidRPr="00DE08BB">
              <w:rPr>
                <w:b/>
              </w:rPr>
              <w:t>je spíše sekundárním, doprovodným efektem inovací</w:t>
            </w:r>
            <w:r>
              <w:t>:</w:t>
            </w:r>
          </w:p>
          <w:p w14:paraId="5015B57C" w14:textId="77777777" w:rsidR="00C818D5" w:rsidRPr="00403A99"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Pr>
                <w:b/>
              </w:rPr>
              <w:t>P</w:t>
            </w:r>
            <w:r w:rsidRPr="009440AA">
              <w:rPr>
                <w:b/>
              </w:rPr>
              <w:t xml:space="preserve">ouze pro 6 % </w:t>
            </w:r>
            <w:r w:rsidRPr="003E4246">
              <w:t>respondentů je zlepšení životního prostředí</w:t>
            </w:r>
            <w:r w:rsidRPr="009440AA">
              <w:rPr>
                <w:b/>
              </w:rPr>
              <w:t xml:space="preserve"> podstatou inovace</w:t>
            </w:r>
            <w:r w:rsidR="00582FFB">
              <w:rPr>
                <w:b/>
              </w:rPr>
              <w:t>.</w:t>
            </w:r>
          </w:p>
          <w:p w14:paraId="6BE043BD" w14:textId="77777777" w:rsidR="00C818D5" w:rsidRPr="00403A99"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403A99">
              <w:rPr>
                <w:b/>
              </w:rPr>
              <w:t xml:space="preserve">Pro 25 % respondentů </w:t>
            </w:r>
            <w:r w:rsidRPr="003E4246">
              <w:t>je životní prostředí</w:t>
            </w:r>
            <w:r w:rsidRPr="00403A99">
              <w:rPr>
                <w:b/>
              </w:rPr>
              <w:t xml:space="preserve"> důležitou součástí inovace</w:t>
            </w:r>
            <w:r w:rsidR="00582FFB">
              <w:rPr>
                <w:b/>
              </w:rPr>
              <w:t>.</w:t>
            </w:r>
          </w:p>
          <w:p w14:paraId="1593A6DE" w14:textId="77777777" w:rsidR="00C818D5"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403A99">
              <w:rPr>
                <w:b/>
              </w:rPr>
              <w:t>29 % respondentů</w:t>
            </w:r>
            <w:r>
              <w:t xml:space="preserve"> se životního prostředí v projektu </w:t>
            </w:r>
            <w:r w:rsidRPr="00403A99">
              <w:rPr>
                <w:b/>
              </w:rPr>
              <w:t>dotýká pouze okrajově</w:t>
            </w:r>
            <w:r w:rsidR="00582FFB">
              <w:t>.</w:t>
            </w:r>
          </w:p>
          <w:p w14:paraId="5C755A34" w14:textId="77777777" w:rsidR="00C818D5" w:rsidRPr="007E6630" w:rsidRDefault="00C818D5" w:rsidP="008C1F5C">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403A99">
              <w:rPr>
                <w:b/>
              </w:rPr>
              <w:t>40 % respondentů</w:t>
            </w:r>
            <w:r>
              <w:t xml:space="preserve"> uvedlo, že podpořený projekt </w:t>
            </w:r>
            <w:r w:rsidRPr="00403A99">
              <w:rPr>
                <w:b/>
              </w:rPr>
              <w:t xml:space="preserve">neměl na životní prostředí žádný vliv. </w:t>
            </w:r>
          </w:p>
          <w:p w14:paraId="1D1268A4" w14:textId="77777777" w:rsidR="00C818D5" w:rsidRDefault="00C818D5" w:rsidP="002449AE">
            <w:pPr>
              <w:pStyle w:val="ListParagraph"/>
              <w:numPr>
                <w:ilvl w:val="0"/>
                <w:numId w:val="103"/>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Ochrana životního prostředí se tedy jeví (</w:t>
            </w:r>
            <w:r w:rsidR="00254A4B">
              <w:t xml:space="preserve">což </w:t>
            </w:r>
            <w:r>
              <w:t xml:space="preserve">bylo potvrzeno i v rámci polostrukturovaných rozhovorů s experty na danou oblast) </w:t>
            </w:r>
            <w:r w:rsidRPr="003E4246">
              <w:rPr>
                <w:b/>
              </w:rPr>
              <w:t>spíše jako deklaratorní součást projektu bez reálného dopadu.</w:t>
            </w:r>
            <w:r>
              <w:t xml:space="preserve"> Vliv projektu na zlepšení životního prostředí v projektových žádostech byl uveden za účelem splnění požadavků a dosažení zvýšené bonifikace při jejich hodnocení.</w:t>
            </w:r>
          </w:p>
        </w:tc>
      </w:tr>
      <w:tr w:rsidR="00C818D5" w14:paraId="2A3B6B8F"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03849092" w14:textId="77777777" w:rsidR="00C818D5" w:rsidRPr="00622A6D" w:rsidRDefault="00C818D5" w:rsidP="008C1F5C">
            <w:pPr>
              <w:spacing w:after="0"/>
              <w:rPr>
                <w:color w:val="FFFFFF" w:themeColor="background1"/>
              </w:rPr>
            </w:pPr>
            <w:r w:rsidRPr="00622A6D">
              <w:rPr>
                <w:color w:val="FFFFFF" w:themeColor="background1"/>
              </w:rPr>
              <w:t>Doporučení</w:t>
            </w:r>
            <w:r>
              <w:rPr>
                <w:color w:val="FFFFFF" w:themeColor="background1"/>
              </w:rPr>
              <w:t xml:space="preserve"> pro současné program. období</w:t>
            </w:r>
          </w:p>
        </w:tc>
        <w:tc>
          <w:tcPr>
            <w:tcW w:w="3777" w:type="pct"/>
          </w:tcPr>
          <w:p w14:paraId="0FAAE5B8" w14:textId="77777777" w:rsidR="00C818D5" w:rsidRDefault="00C818D5" w:rsidP="008C1F5C">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t>N/A</w:t>
            </w:r>
          </w:p>
        </w:tc>
      </w:tr>
      <w:tr w:rsidR="00C818D5" w14:paraId="3A7EA1B6"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49A0AC4" w14:textId="77777777" w:rsidR="00C818D5" w:rsidRPr="00622A6D" w:rsidRDefault="00C818D5" w:rsidP="008C1F5C">
            <w:pPr>
              <w:spacing w:after="0"/>
              <w:rPr>
                <w:color w:val="FFFFFF" w:themeColor="background1"/>
              </w:rPr>
            </w:pPr>
            <w:r>
              <w:rPr>
                <w:color w:val="FFFFFF" w:themeColor="background1"/>
              </w:rPr>
              <w:t>Doporučení pro program. období 2021+</w:t>
            </w:r>
          </w:p>
        </w:tc>
        <w:tc>
          <w:tcPr>
            <w:tcW w:w="3777" w:type="pct"/>
          </w:tcPr>
          <w:p w14:paraId="649BD56C" w14:textId="77777777" w:rsidR="000A7EEC" w:rsidRDefault="00EB2999" w:rsidP="00CE6904">
            <w:pPr>
              <w:pStyle w:val="ListParagraph"/>
              <w:numPr>
                <w:ilvl w:val="0"/>
                <w:numId w:val="11"/>
              </w:numPr>
              <w:spacing w:after="60"/>
              <w:ind w:left="319" w:hanging="219"/>
              <w:contextualSpacing w:val="0"/>
              <w:cnfStyle w:val="000000100000" w:firstRow="0" w:lastRow="0" w:firstColumn="0" w:lastColumn="0" w:oddVBand="0" w:evenVBand="0" w:oddHBand="1" w:evenHBand="0" w:firstRowFirstColumn="0" w:firstRowLastColumn="0" w:lastRowFirstColumn="0" w:lastRowLastColumn="0"/>
            </w:pPr>
            <w:r>
              <w:t>Doporučujeme zvážit možnost</w:t>
            </w:r>
            <w:r w:rsidR="000A7EEC">
              <w:t xml:space="preserve"> </w:t>
            </w:r>
            <w:r w:rsidR="00566F70">
              <w:t xml:space="preserve">evidovat </w:t>
            </w:r>
            <w:proofErr w:type="spellStart"/>
            <w:r w:rsidR="00566F70">
              <w:t>ekoinovace</w:t>
            </w:r>
            <w:proofErr w:type="spellEnd"/>
            <w:r w:rsidR="00566F70">
              <w:t xml:space="preserve"> přímo na úrovni dat v MS2014+, nejen popisem v projektové žádosti. Tím by bylo umožněno jednoznačně určit podíl </w:t>
            </w:r>
            <w:proofErr w:type="spellStart"/>
            <w:r w:rsidR="00566F70">
              <w:t>ekoinovací</w:t>
            </w:r>
            <w:proofErr w:type="spellEnd"/>
            <w:r w:rsidR="00566F70">
              <w:t xml:space="preserve"> na úrovni programu</w:t>
            </w:r>
            <w:r w:rsidR="00707160">
              <w:t>,</w:t>
            </w:r>
            <w:r w:rsidR="00566F70">
              <w:t xml:space="preserve"> a tedy zhodnotit dopady programu na životní prostředí.</w:t>
            </w:r>
          </w:p>
          <w:p w14:paraId="4957705E" w14:textId="77777777" w:rsidR="00C818D5" w:rsidRDefault="00C818D5" w:rsidP="008C1F5C">
            <w:pPr>
              <w:pStyle w:val="ListParagraph"/>
              <w:numPr>
                <w:ilvl w:val="0"/>
                <w:numId w:val="11"/>
              </w:numPr>
              <w:spacing w:after="60"/>
              <w:ind w:left="319" w:hanging="219"/>
              <w:contextualSpacing w:val="0"/>
              <w:cnfStyle w:val="000000100000" w:firstRow="0" w:lastRow="0" w:firstColumn="0" w:lastColumn="0" w:oddVBand="0" w:evenVBand="0" w:oddHBand="1" w:evenHBand="0" w:firstRowFirstColumn="0" w:firstRowLastColumn="0" w:lastRowFirstColumn="0" w:lastRowLastColumn="0"/>
            </w:pPr>
            <w:r>
              <w:t>Vzhledem k tomu, že</w:t>
            </w:r>
            <w:r w:rsidRPr="004C45B3">
              <w:rPr>
                <w:b/>
              </w:rPr>
              <w:t xml:space="preserve"> bonifikace projektových žádostí za zohlednění průřezových priorit </w:t>
            </w:r>
            <w:r>
              <w:t xml:space="preserve">(včetně dopadu na životní prostředí) </w:t>
            </w:r>
            <w:r w:rsidRPr="004C45B3">
              <w:rPr>
                <w:b/>
              </w:rPr>
              <w:t>nevede k jejich reálnému naplnění</w:t>
            </w:r>
            <w:r>
              <w:t xml:space="preserve"> (žadatelé se často pouze snaží zvýšit šance na úspěch žádosti) a reálný přínos projektů v horizontálních principech je minimální, bylo by vhodné </w:t>
            </w:r>
            <w:r w:rsidRPr="00E30B14">
              <w:rPr>
                <w:b/>
              </w:rPr>
              <w:t>pozdvihnout průřezové priority dopadu na životní prostředí</w:t>
            </w:r>
            <w:r>
              <w:t xml:space="preserve">, nízkouhlíkové technologie, úspory energií apod. </w:t>
            </w:r>
            <w:r w:rsidRPr="00E30B14">
              <w:rPr>
                <w:b/>
              </w:rPr>
              <w:t>z bonifikačních kritérií na samostatná témata výzev či formální podmínky</w:t>
            </w:r>
            <w:r>
              <w:t xml:space="preserve">. </w:t>
            </w:r>
          </w:p>
        </w:tc>
      </w:tr>
    </w:tbl>
    <w:p w14:paraId="270E9B9C" w14:textId="77777777" w:rsidR="00C818D5" w:rsidRDefault="00C818D5" w:rsidP="00C818D5">
      <w:pPr>
        <w:spacing w:after="0" w:line="240" w:lineRule="auto"/>
      </w:pPr>
    </w:p>
    <w:p w14:paraId="76747700" w14:textId="77777777" w:rsidR="00C818D5" w:rsidRDefault="00C818D5" w:rsidP="00C818D5">
      <w:pPr>
        <w:jc w:val="both"/>
      </w:pPr>
    </w:p>
    <w:p w14:paraId="6D063834" w14:textId="77777777" w:rsidR="00D73025" w:rsidRDefault="00D73025">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22A710D0" w14:textId="77777777" w:rsidR="00B2069E" w:rsidRPr="00D73025" w:rsidRDefault="00B2069E" w:rsidP="00C818D5">
      <w:pPr>
        <w:pStyle w:val="Heading1"/>
        <w:numPr>
          <w:ilvl w:val="0"/>
          <w:numId w:val="2"/>
        </w:numPr>
        <w:spacing w:after="120"/>
        <w:rPr>
          <w:rFonts w:ascii="Verdana" w:eastAsia="MingLiU" w:hAnsi="Verdana" w:cs="Times New Roman"/>
          <w:b w:val="0"/>
          <w:color w:val="auto"/>
          <w:sz w:val="60"/>
          <w:szCs w:val="60"/>
        </w:rPr>
      </w:pPr>
      <w:bookmarkStart w:id="49" w:name="_Toc11679621"/>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5</w:t>
      </w:r>
      <w:bookmarkEnd w:id="49"/>
    </w:p>
    <w:p w14:paraId="7E3CC104" w14:textId="77777777" w:rsidR="00B2069E" w:rsidRPr="000D5DE1" w:rsidRDefault="00B2069E" w:rsidP="000D5DE1">
      <w:pPr>
        <w:spacing w:after="0"/>
        <w:jc w:val="both"/>
        <w:rPr>
          <w:b/>
        </w:rPr>
      </w:pPr>
    </w:p>
    <w:p w14:paraId="7BC5C543" w14:textId="77777777" w:rsidR="00C818D5" w:rsidRPr="000D5DE1" w:rsidRDefault="00C818D5" w:rsidP="00C818D5">
      <w:pPr>
        <w:jc w:val="both"/>
        <w:rPr>
          <w:b/>
        </w:rPr>
      </w:pPr>
      <w:r w:rsidRPr="000D5DE1">
        <w:rPr>
          <w:b/>
        </w:rPr>
        <w:t>Jaký podíl podpořených projektů spadá do oblasti průmyslových výzev a klíčových technologií (</w:t>
      </w:r>
      <w:proofErr w:type="spellStart"/>
      <w:r w:rsidRPr="000D5DE1">
        <w:rPr>
          <w:b/>
        </w:rPr>
        <w:t>KETs</w:t>
      </w:r>
      <w:proofErr w:type="spellEnd"/>
      <w:r w:rsidRPr="000D5DE1">
        <w:rPr>
          <w:b/>
        </w:rPr>
        <w:t>)?</w:t>
      </w:r>
    </w:p>
    <w:p w14:paraId="6D2DA3A2" w14:textId="77777777" w:rsidR="00C818D5" w:rsidRDefault="00C818D5" w:rsidP="00152DAD">
      <w:pPr>
        <w:pStyle w:val="Heading1"/>
        <w:numPr>
          <w:ilvl w:val="1"/>
          <w:numId w:val="2"/>
        </w:numPr>
        <w:spacing w:before="240" w:after="120"/>
        <w:ind w:left="714" w:hanging="357"/>
      </w:pPr>
      <w:bookmarkStart w:id="50" w:name="_Toc8825076"/>
      <w:bookmarkStart w:id="51" w:name="_Toc8825206"/>
      <w:bookmarkStart w:id="52" w:name="_Toc11679622"/>
      <w:r>
        <w:t>Úkol</w:t>
      </w:r>
      <w:bookmarkEnd w:id="50"/>
      <w:bookmarkEnd w:id="51"/>
      <w:bookmarkEnd w:id="52"/>
    </w:p>
    <w:p w14:paraId="0AEB6747" w14:textId="77777777" w:rsidR="00C818D5" w:rsidRDefault="00C818D5" w:rsidP="00C818D5">
      <w:pPr>
        <w:jc w:val="both"/>
      </w:pPr>
      <w:r>
        <w:t xml:space="preserve">Zjistit, jaké je mezi projekty podpořenými v programech Aplikace a Potenciál zastoupení projektů spadajících do oblasti průmyslových výzev a klíčových technologií (KET, tj. mikro- a </w:t>
      </w:r>
      <w:proofErr w:type="spellStart"/>
      <w:r>
        <w:t>nanoelektronika</w:t>
      </w:r>
      <w:proofErr w:type="spellEnd"/>
      <w:r>
        <w:t xml:space="preserve">, </w:t>
      </w:r>
      <w:proofErr w:type="spellStart"/>
      <w:r>
        <w:t>fotonika</w:t>
      </w:r>
      <w:proofErr w:type="spellEnd"/>
      <w:r>
        <w:t>, nanotechnologie, průmyslové biotechnologie, pokročilé materiály, pokročilé výrobní technologie) a to především na základě informací a popisu podpořených projektů z monitorovacího systému a</w:t>
      </w:r>
      <w:r w:rsidR="00145574">
        <w:t> </w:t>
      </w:r>
      <w:r>
        <w:t xml:space="preserve">z dotazníkového šetření realizovaného mezi příjemci podpory. </w:t>
      </w:r>
    </w:p>
    <w:p w14:paraId="03E5D827" w14:textId="77777777" w:rsidR="00C818D5" w:rsidRPr="00D73025" w:rsidRDefault="00C818D5" w:rsidP="00152DAD">
      <w:pPr>
        <w:pStyle w:val="Heading1"/>
        <w:numPr>
          <w:ilvl w:val="1"/>
          <w:numId w:val="2"/>
        </w:numPr>
        <w:spacing w:before="240" w:after="120"/>
        <w:ind w:left="714" w:hanging="357"/>
      </w:pPr>
      <w:bookmarkStart w:id="53" w:name="_Toc8825077"/>
      <w:bookmarkStart w:id="54" w:name="_Toc8825207"/>
      <w:bookmarkStart w:id="55" w:name="_Toc11679623"/>
      <w:r>
        <w:t>Zjištění a doporučení</w:t>
      </w:r>
      <w:bookmarkEnd w:id="53"/>
      <w:bookmarkEnd w:id="54"/>
      <w:bookmarkEnd w:id="55"/>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C818D5" w:rsidRPr="003E4246" w14:paraId="075A6A29" w14:textId="77777777" w:rsidTr="008C1F5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23A1FCFA" w14:textId="77777777" w:rsidR="00C818D5" w:rsidRPr="003E4246" w:rsidRDefault="00C818D5" w:rsidP="008C1F5C">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1872CE20" w14:textId="77777777" w:rsidR="00C818D5" w:rsidRPr="00540E62" w:rsidRDefault="00C818D5" w:rsidP="008C1F5C">
            <w:pPr>
              <w:spacing w:before="120" w:after="120"/>
              <w:jc w:val="both"/>
              <w:cnfStyle w:val="100000000000" w:firstRow="1" w:lastRow="0" w:firstColumn="0" w:lastColumn="0" w:oddVBand="0" w:evenVBand="0" w:oddHBand="0" w:evenHBand="0" w:firstRowFirstColumn="0" w:firstRowLastColumn="0" w:lastRowFirstColumn="0" w:lastRowLastColumn="0"/>
            </w:pPr>
            <w:r w:rsidRPr="00540E62">
              <w:t>Jaký podíl podpořených projektů spadá do oblasti průmyslových výzev a klíčových technologií (</w:t>
            </w:r>
            <w:proofErr w:type="spellStart"/>
            <w:r w:rsidRPr="00540E62">
              <w:t>KETs</w:t>
            </w:r>
            <w:proofErr w:type="spellEnd"/>
            <w:r w:rsidRPr="00540E62">
              <w:t>)?</w:t>
            </w:r>
          </w:p>
        </w:tc>
      </w:tr>
      <w:tr w:rsidR="00C818D5" w14:paraId="089F3E17"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2A753C7" w14:textId="77777777" w:rsidR="00C818D5" w:rsidRDefault="00C818D5" w:rsidP="008C1F5C">
            <w:pPr>
              <w:spacing w:before="120" w:after="120"/>
              <w:rPr>
                <w:color w:val="FFFFFF" w:themeColor="background1"/>
              </w:rPr>
            </w:pPr>
            <w:r>
              <w:rPr>
                <w:color w:val="FFFFFF" w:themeColor="background1"/>
              </w:rPr>
              <w:t>Program podpory</w:t>
            </w:r>
          </w:p>
        </w:tc>
        <w:tc>
          <w:tcPr>
            <w:tcW w:w="3777" w:type="pct"/>
          </w:tcPr>
          <w:p w14:paraId="5845CB90" w14:textId="77777777" w:rsidR="00C818D5" w:rsidRPr="007A0414" w:rsidRDefault="00C818D5" w:rsidP="008C1F5C">
            <w:pPr>
              <w:spacing w:before="120" w:after="120"/>
              <w:cnfStyle w:val="000000100000" w:firstRow="0" w:lastRow="0" w:firstColumn="0" w:lastColumn="0" w:oddVBand="0" w:evenVBand="0" w:oddHBand="1" w:evenHBand="0" w:firstRowFirstColumn="0" w:firstRowLastColumn="0" w:lastRowFirstColumn="0" w:lastRowLastColumn="0"/>
            </w:pPr>
            <w:r>
              <w:t>APL, POT</w:t>
            </w:r>
          </w:p>
        </w:tc>
      </w:tr>
      <w:tr w:rsidR="00C818D5" w14:paraId="6FD0FE14"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601DA59C" w14:textId="77777777" w:rsidR="00C818D5" w:rsidRDefault="00C818D5" w:rsidP="008C1F5C">
            <w:pPr>
              <w:spacing w:after="0"/>
              <w:rPr>
                <w:color w:val="FFFFFF" w:themeColor="background1"/>
              </w:rPr>
            </w:pPr>
            <w:r>
              <w:rPr>
                <w:color w:val="FFFFFF" w:themeColor="background1"/>
              </w:rPr>
              <w:t>Evaluační metody</w:t>
            </w:r>
          </w:p>
        </w:tc>
        <w:tc>
          <w:tcPr>
            <w:tcW w:w="3777" w:type="pct"/>
          </w:tcPr>
          <w:p w14:paraId="6C6746C8" w14:textId="77777777" w:rsidR="00C818D5" w:rsidRDefault="00C818D5"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Analýza projektových dat MS2014+</w:t>
            </w:r>
          </w:p>
          <w:p w14:paraId="51136330" w14:textId="77777777" w:rsidR="00C818D5" w:rsidRPr="007A0414" w:rsidRDefault="00C818D5"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Dotazníkové šetření</w:t>
            </w:r>
          </w:p>
        </w:tc>
      </w:tr>
      <w:tr w:rsidR="00C818D5" w14:paraId="7F9F72C7"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FB036B5" w14:textId="77777777" w:rsidR="00C818D5" w:rsidRPr="00622A6D" w:rsidRDefault="00C818D5" w:rsidP="008C1F5C">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662F97E4" w14:textId="77777777" w:rsidR="00C818D5" w:rsidRDefault="00C818D5" w:rsidP="002449AE">
            <w:pPr>
              <w:pStyle w:val="ListParagraph"/>
              <w:numPr>
                <w:ilvl w:val="0"/>
                <w:numId w:val="104"/>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Vymezení, zda projekt spadá do oblasti průmyslových výzev nebo KET technologií je uvedené v projektové žádosti, </w:t>
            </w:r>
            <w:r w:rsidRPr="00165174">
              <w:rPr>
                <w:b/>
              </w:rPr>
              <w:t>není však evidováno na úrovni dat v MS2014+</w:t>
            </w:r>
            <w:r w:rsidRPr="00165174">
              <w:t>. Z tohoto d</w:t>
            </w:r>
            <w:r>
              <w:t>ůvodu není možné jednoznačně určit podíl projektů spadajících do průmyslových výzev a KET technologií na úrovni všech projektů v rámci SC 1.1.</w:t>
            </w:r>
          </w:p>
          <w:p w14:paraId="4AE2F35F" w14:textId="77777777" w:rsidR="00C818D5" w:rsidRDefault="00C818D5"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Vzhledem k nízké vypovídací hodnotě informací ze systému MS2014+ bylo pro zodpovězení této EO klíčové dotazníkové šetření. Dle jeho výsledků spadal podpořený projekt do oblasti průmyslových výzev a klíčových technologií pouze u 28 respondentů, tj. </w:t>
            </w:r>
            <w:r w:rsidRPr="00165174">
              <w:rPr>
                <w:b/>
              </w:rPr>
              <w:t>42 % respondentů</w:t>
            </w:r>
            <w:r>
              <w:t>, kteří na tuto otázku odpověděli</w:t>
            </w:r>
            <w:r w:rsidRPr="0037216F">
              <w:t>.</w:t>
            </w:r>
          </w:p>
        </w:tc>
      </w:tr>
      <w:tr w:rsidR="00C818D5" w14:paraId="2DA7F85A" w14:textId="77777777" w:rsidTr="008C1F5C">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3033262" w14:textId="77777777" w:rsidR="00C818D5" w:rsidRPr="00622A6D" w:rsidRDefault="00C818D5" w:rsidP="008C1F5C">
            <w:pPr>
              <w:spacing w:after="0"/>
              <w:rPr>
                <w:color w:val="FFFFFF" w:themeColor="background1"/>
              </w:rPr>
            </w:pPr>
            <w:r w:rsidRPr="00622A6D">
              <w:rPr>
                <w:color w:val="FFFFFF" w:themeColor="background1"/>
              </w:rPr>
              <w:t>Doporučení</w:t>
            </w:r>
            <w:r>
              <w:rPr>
                <w:color w:val="FFFFFF" w:themeColor="background1"/>
              </w:rPr>
              <w:t xml:space="preserve"> pro současné program. období</w:t>
            </w:r>
          </w:p>
        </w:tc>
        <w:tc>
          <w:tcPr>
            <w:tcW w:w="3777" w:type="pct"/>
          </w:tcPr>
          <w:p w14:paraId="4CB09744" w14:textId="77777777" w:rsidR="00C818D5" w:rsidRDefault="00C818D5" w:rsidP="00EB2999">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t>N/A</w:t>
            </w:r>
          </w:p>
        </w:tc>
      </w:tr>
      <w:tr w:rsidR="00C818D5" w14:paraId="7254CBCB" w14:textId="77777777" w:rsidTr="008C1F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FEF56B6" w14:textId="77777777" w:rsidR="00C818D5" w:rsidRPr="00622A6D" w:rsidRDefault="00C818D5" w:rsidP="008C1F5C">
            <w:pPr>
              <w:spacing w:after="0"/>
              <w:rPr>
                <w:color w:val="FFFFFF" w:themeColor="background1"/>
              </w:rPr>
            </w:pPr>
            <w:r>
              <w:rPr>
                <w:color w:val="FFFFFF" w:themeColor="background1"/>
              </w:rPr>
              <w:t>Doporučení pro program. období 2021+</w:t>
            </w:r>
          </w:p>
        </w:tc>
        <w:tc>
          <w:tcPr>
            <w:tcW w:w="3777" w:type="pct"/>
          </w:tcPr>
          <w:p w14:paraId="3BDE3891" w14:textId="77777777" w:rsidR="00C563FB" w:rsidRDefault="00EB2999" w:rsidP="00EB2999">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Doporučujeme zvážit možnost</w:t>
            </w:r>
            <w:r w:rsidR="00C563FB">
              <w:t xml:space="preserve"> evidovat, zda projekt spadá do oblasti KET přímo na úrovni dat v MS2014+, nejen popisem v projektové žádosti. Tím by bylo umožněno jednoznačně určit podíl projektů z </w:t>
            </w:r>
            <w:r w:rsidR="00C563FB" w:rsidRPr="00540E62">
              <w:t>oblasti průmyslových výzev a klíčových technologií</w:t>
            </w:r>
            <w:r w:rsidR="00C563FB">
              <w:t>.</w:t>
            </w:r>
          </w:p>
          <w:p w14:paraId="572CF235" w14:textId="77777777" w:rsidR="00C818D5" w:rsidRDefault="00C563FB" w:rsidP="00EB2999">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Chce-li ŘO v dalším programovém období dosáhnout zvýšení zastoupení projektů z oblasti průmyslových výzev a klíčových technologií, doporučujeme zvážit </w:t>
            </w:r>
            <w:r w:rsidR="00EB2999">
              <w:t xml:space="preserve">možnost </w:t>
            </w:r>
            <w:r>
              <w:t>bonifik</w:t>
            </w:r>
            <w:r w:rsidR="00235528">
              <w:t>ac</w:t>
            </w:r>
            <w:r w:rsidR="00EB2999">
              <w:t>e</w:t>
            </w:r>
            <w:r w:rsidR="00235528">
              <w:t xml:space="preserve"> projektů se zaměřením na KET</w:t>
            </w:r>
            <w:r>
              <w:t>, popř. vyhlášení samostatné výzvy zaměřené pouze na podporu projektů z oblasti KET.</w:t>
            </w:r>
          </w:p>
        </w:tc>
      </w:tr>
    </w:tbl>
    <w:p w14:paraId="3A1B2435" w14:textId="77777777" w:rsidR="00C818D5" w:rsidRDefault="00C818D5" w:rsidP="00C818D5">
      <w:pPr>
        <w:spacing w:after="0" w:line="240" w:lineRule="auto"/>
      </w:pPr>
    </w:p>
    <w:p w14:paraId="3E48C9AA" w14:textId="77777777" w:rsidR="00B2069E" w:rsidRDefault="00B2069E" w:rsidP="00B2069E">
      <w:pPr>
        <w:jc w:val="both"/>
      </w:pPr>
    </w:p>
    <w:p w14:paraId="096D5262" w14:textId="77777777" w:rsidR="00D73025" w:rsidRDefault="00D73025">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41FE21FD" w14:textId="77777777" w:rsidR="00B2069E" w:rsidRPr="00D73025" w:rsidRDefault="00B2069E" w:rsidP="00C818D5">
      <w:pPr>
        <w:pStyle w:val="Heading1"/>
        <w:numPr>
          <w:ilvl w:val="0"/>
          <w:numId w:val="2"/>
        </w:numPr>
        <w:spacing w:after="120"/>
        <w:rPr>
          <w:rFonts w:ascii="Verdana" w:eastAsia="MingLiU" w:hAnsi="Verdana" w:cs="Times New Roman"/>
          <w:b w:val="0"/>
          <w:color w:val="auto"/>
          <w:sz w:val="60"/>
          <w:szCs w:val="60"/>
        </w:rPr>
      </w:pPr>
      <w:bookmarkStart w:id="56" w:name="_Toc11679624"/>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6</w:t>
      </w:r>
      <w:bookmarkEnd w:id="56"/>
    </w:p>
    <w:p w14:paraId="4D6ABD14" w14:textId="77777777" w:rsidR="00B2069E" w:rsidRPr="000D5DE1" w:rsidRDefault="00B2069E" w:rsidP="000D5DE1">
      <w:pPr>
        <w:spacing w:after="0"/>
        <w:jc w:val="both"/>
        <w:rPr>
          <w:b/>
        </w:rPr>
      </w:pPr>
    </w:p>
    <w:p w14:paraId="12E47DC3" w14:textId="77777777" w:rsidR="000D5DE1" w:rsidRPr="000D5DE1" w:rsidRDefault="000D5DE1" w:rsidP="000D5DE1">
      <w:pPr>
        <w:jc w:val="both"/>
        <w:rPr>
          <w:b/>
        </w:rPr>
      </w:pPr>
      <w:r w:rsidRPr="000D5DE1">
        <w:rPr>
          <w:b/>
        </w:rPr>
        <w:t>Zvýšila se vlivem SC 1.1 účast českých firem v evropských programech typu Horizont 2020?</w:t>
      </w:r>
    </w:p>
    <w:p w14:paraId="62B95EFB" w14:textId="77777777" w:rsidR="004D1B73" w:rsidRDefault="004D1B73" w:rsidP="00152DAD">
      <w:pPr>
        <w:pStyle w:val="Heading1"/>
        <w:numPr>
          <w:ilvl w:val="1"/>
          <w:numId w:val="2"/>
        </w:numPr>
        <w:spacing w:before="240" w:after="120"/>
        <w:ind w:left="714" w:hanging="357"/>
      </w:pPr>
      <w:bookmarkStart w:id="57" w:name="_Toc8825079"/>
      <w:bookmarkStart w:id="58" w:name="_Toc8825209"/>
      <w:bookmarkStart w:id="59" w:name="_Toc11679625"/>
      <w:r>
        <w:t>Úkol</w:t>
      </w:r>
      <w:bookmarkEnd w:id="57"/>
      <w:bookmarkEnd w:id="58"/>
      <w:bookmarkEnd w:id="59"/>
    </w:p>
    <w:p w14:paraId="7C7DA569" w14:textId="77777777" w:rsidR="004D1B73" w:rsidRDefault="00DE35D3" w:rsidP="00AB4F03">
      <w:pPr>
        <w:jc w:val="both"/>
      </w:pPr>
      <w:r>
        <w:t>Cílem</w:t>
      </w:r>
      <w:r w:rsidR="00593155">
        <w:t xml:space="preserve"> odpovědi bylo </w:t>
      </w:r>
      <w:r>
        <w:t xml:space="preserve">identifikovat, </w:t>
      </w:r>
      <w:r w:rsidR="00593155">
        <w:t>definovat a popsat vliv podpory SC 1.1 na úspěšnost českých firem při žádostech o podporu v programu EU na podporu výzkumu a inovací Horizont 2020. ČR je jednou ze zemí s nejmenším počtem podaných žádostí o podporu v rámci Horizont 2020, v letech 2014</w:t>
      </w:r>
      <w:r w:rsidR="00593155">
        <w:noBreakHyphen/>
        <w:t xml:space="preserve">16 české firmy </w:t>
      </w:r>
      <w:r w:rsidR="00373FA7">
        <w:t>a</w:t>
      </w:r>
      <w:r w:rsidR="00145574">
        <w:t> </w:t>
      </w:r>
      <w:r w:rsidR="00373FA7">
        <w:t xml:space="preserve">univerzity </w:t>
      </w:r>
      <w:r w:rsidR="00593155">
        <w:t>představovaly pouhé 1</w:t>
      </w:r>
      <w:r w:rsidR="00145574">
        <w:t>,</w:t>
      </w:r>
      <w:r w:rsidR="00593155">
        <w:t xml:space="preserve">1 % z celkového počtu žádostí. Ačkoli úspěšnost těchto žádostí meziročně nedosahuje celoevropského průměru, je patrný </w:t>
      </w:r>
      <w:r w:rsidR="00145574">
        <w:t xml:space="preserve">výrazný </w:t>
      </w:r>
      <w:r w:rsidR="00593155">
        <w:t>nárůst úspěšnosti (o 10 %) mezi lety 2015 a 2016.</w:t>
      </w:r>
    </w:p>
    <w:p w14:paraId="7B3FB25D" w14:textId="77777777" w:rsidR="004D1B73" w:rsidRDefault="004D1B73" w:rsidP="00152DAD">
      <w:pPr>
        <w:pStyle w:val="Heading1"/>
        <w:numPr>
          <w:ilvl w:val="1"/>
          <w:numId w:val="2"/>
        </w:numPr>
        <w:spacing w:before="240" w:after="120"/>
        <w:ind w:left="714" w:hanging="357"/>
      </w:pPr>
      <w:bookmarkStart w:id="60" w:name="_Toc8825080"/>
      <w:bookmarkStart w:id="61" w:name="_Toc8825210"/>
      <w:bookmarkStart w:id="62" w:name="_Toc11679626"/>
      <w:r>
        <w:t>Zjištění a doporučení</w:t>
      </w:r>
      <w:bookmarkEnd w:id="60"/>
      <w:bookmarkEnd w:id="61"/>
      <w:bookmarkEnd w:id="62"/>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4D1B73" w:rsidRPr="003E4246" w14:paraId="43BCD793" w14:textId="77777777" w:rsidTr="004D1B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55AA987D" w14:textId="77777777" w:rsidR="004D1B73" w:rsidRPr="003E4246" w:rsidRDefault="004D1B73" w:rsidP="004D1B73">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0CA8D33F" w14:textId="77777777" w:rsidR="004D1B73" w:rsidRPr="000159BF" w:rsidRDefault="000159BF" w:rsidP="000159BF">
            <w:pPr>
              <w:jc w:val="both"/>
              <w:cnfStyle w:val="100000000000" w:firstRow="1" w:lastRow="0" w:firstColumn="0" w:lastColumn="0" w:oddVBand="0" w:evenVBand="0" w:oddHBand="0" w:evenHBand="0" w:firstRowFirstColumn="0" w:firstRowLastColumn="0" w:lastRowFirstColumn="0" w:lastRowLastColumn="0"/>
            </w:pPr>
            <w:r w:rsidRPr="000159BF">
              <w:t>Zvýšila se vlivem SC 1.1 účast českých firem v evropských programech typu Horizont 2020?</w:t>
            </w:r>
          </w:p>
        </w:tc>
      </w:tr>
      <w:tr w:rsidR="004D1B73" w14:paraId="3AFBED78"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EA70B61" w14:textId="77777777" w:rsidR="004D1B73" w:rsidRDefault="004D1B73" w:rsidP="004D1B73">
            <w:pPr>
              <w:spacing w:before="120" w:after="120"/>
              <w:rPr>
                <w:color w:val="FFFFFF" w:themeColor="background1"/>
              </w:rPr>
            </w:pPr>
            <w:r>
              <w:rPr>
                <w:color w:val="FFFFFF" w:themeColor="background1"/>
              </w:rPr>
              <w:t>Program podpory</w:t>
            </w:r>
          </w:p>
        </w:tc>
        <w:tc>
          <w:tcPr>
            <w:tcW w:w="3777" w:type="pct"/>
          </w:tcPr>
          <w:p w14:paraId="296C4E13" w14:textId="77777777" w:rsidR="004D1B73" w:rsidRPr="007A0414" w:rsidRDefault="004D1B73" w:rsidP="004D1B73">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4D1B73" w14:paraId="10A67E5B" w14:textId="77777777" w:rsidTr="004D1B73">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6DD1E1C4" w14:textId="77777777" w:rsidR="004D1B73" w:rsidRDefault="004D1B73" w:rsidP="004D1B73">
            <w:pPr>
              <w:spacing w:after="0"/>
              <w:rPr>
                <w:color w:val="FFFFFF" w:themeColor="background1"/>
              </w:rPr>
            </w:pPr>
            <w:r>
              <w:rPr>
                <w:color w:val="FFFFFF" w:themeColor="background1"/>
              </w:rPr>
              <w:t>Evaluační metody</w:t>
            </w:r>
          </w:p>
        </w:tc>
        <w:tc>
          <w:tcPr>
            <w:tcW w:w="3777" w:type="pct"/>
          </w:tcPr>
          <w:p w14:paraId="27CF1FDB" w14:textId="77777777" w:rsidR="004D1B73" w:rsidRDefault="004D1B73"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Analýza sekundárních zdrojů dat</w:t>
            </w:r>
          </w:p>
          <w:p w14:paraId="5005CD94" w14:textId="77777777" w:rsidR="004D1B73" w:rsidRDefault="004D1B73"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Dotazníkové šetření</w:t>
            </w:r>
          </w:p>
          <w:p w14:paraId="09AC8960" w14:textId="77777777" w:rsidR="004D1B73" w:rsidRDefault="004D1B73"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Případové studie</w:t>
            </w:r>
          </w:p>
          <w:p w14:paraId="3B1EDCDA" w14:textId="77777777" w:rsidR="004D1B73" w:rsidRDefault="00582FFB"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Polostrukturované</w:t>
            </w:r>
            <w:r w:rsidR="004D1B73">
              <w:t xml:space="preserve"> rozhovory</w:t>
            </w:r>
          </w:p>
          <w:p w14:paraId="2A0B5AC8" w14:textId="77777777" w:rsidR="00F16540" w:rsidRPr="007A0414" w:rsidRDefault="00F16540"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Expertní panel</w:t>
            </w:r>
          </w:p>
        </w:tc>
      </w:tr>
      <w:tr w:rsidR="004D1B73" w14:paraId="51E342D6"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E4A1869" w14:textId="77777777" w:rsidR="004D1B73" w:rsidRPr="00622A6D" w:rsidRDefault="004D1B73" w:rsidP="004D1B73">
            <w:pPr>
              <w:spacing w:after="0"/>
              <w:rPr>
                <w:color w:val="FFFFFF" w:themeColor="background1"/>
              </w:rPr>
            </w:pPr>
            <w:r>
              <w:rPr>
                <w:color w:val="FFFFFF" w:themeColor="background1"/>
              </w:rPr>
              <w:t>Hlavní závěry a</w:t>
            </w:r>
            <w:r w:rsidR="00145574">
              <w:rPr>
                <w:color w:val="FFFFFF" w:themeColor="background1"/>
              </w:rPr>
              <w:t> </w:t>
            </w:r>
            <w:r>
              <w:rPr>
                <w:color w:val="FFFFFF" w:themeColor="background1"/>
              </w:rPr>
              <w:t>z</w:t>
            </w:r>
            <w:r w:rsidRPr="00622A6D">
              <w:rPr>
                <w:color w:val="FFFFFF" w:themeColor="background1"/>
              </w:rPr>
              <w:t>jištění</w:t>
            </w:r>
          </w:p>
        </w:tc>
        <w:tc>
          <w:tcPr>
            <w:tcW w:w="3777" w:type="pct"/>
          </w:tcPr>
          <w:p w14:paraId="5B976C8E" w14:textId="77777777" w:rsidR="00922770" w:rsidRDefault="00922770" w:rsidP="00B75692">
            <w:pPr>
              <w:pStyle w:val="ListParagraph"/>
              <w:numPr>
                <w:ilvl w:val="0"/>
                <w:numId w:val="44"/>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AA5D92">
              <w:t>Dotazníkové šetření ukázalo, že</w:t>
            </w:r>
            <w:r w:rsidRPr="00AA5D92">
              <w:rPr>
                <w:b/>
              </w:rPr>
              <w:t xml:space="preserve"> 70 % respondentů není zapojeno a ani prozatím neplánuje zapojení v evropských programech podpory </w:t>
            </w:r>
            <w:proofErr w:type="spellStart"/>
            <w:r w:rsidRPr="00AA5D92">
              <w:rPr>
                <w:b/>
              </w:rPr>
              <w:t>VaVaI</w:t>
            </w:r>
            <w:proofErr w:type="spellEnd"/>
            <w:r w:rsidRPr="00AA5D92">
              <w:t xml:space="preserve">. </w:t>
            </w:r>
          </w:p>
          <w:p w14:paraId="5B2C5974" w14:textId="77777777" w:rsidR="00922770" w:rsidRDefault="00922770" w:rsidP="00B75692">
            <w:pPr>
              <w:pStyle w:val="ListParagraph"/>
              <w:numPr>
                <w:ilvl w:val="0"/>
                <w:numId w:val="44"/>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AA5D92">
              <w:t xml:space="preserve">Podpora OP PIK má </w:t>
            </w:r>
            <w:r w:rsidRPr="00AA5D92">
              <w:rPr>
                <w:b/>
              </w:rPr>
              <w:t xml:space="preserve">pouze velmi dílčí vliv na zapojování individuálních příjemců v evropských programech podpory </w:t>
            </w:r>
            <w:proofErr w:type="spellStart"/>
            <w:r w:rsidRPr="00AA5D92">
              <w:rPr>
                <w:b/>
              </w:rPr>
              <w:t>VaVaI</w:t>
            </w:r>
            <w:proofErr w:type="spellEnd"/>
            <w:r w:rsidRPr="00AA5D92">
              <w:rPr>
                <w:b/>
              </w:rPr>
              <w:t xml:space="preserve"> a díky podpoře v rámci SC 1.1 nedošlo k ovlivnění tohoto trendu.</w:t>
            </w:r>
            <w:r w:rsidRPr="00AA5D92">
              <w:t xml:space="preserve"> </w:t>
            </w:r>
          </w:p>
          <w:p w14:paraId="4F709720" w14:textId="77777777" w:rsidR="00DE35D3" w:rsidRPr="00AA5D92" w:rsidRDefault="00DE35D3" w:rsidP="00B75692">
            <w:pPr>
              <w:pStyle w:val="ListParagraph"/>
              <w:numPr>
                <w:ilvl w:val="0"/>
                <w:numId w:val="44"/>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Naopak právě </w:t>
            </w:r>
            <w:r w:rsidRPr="00DE35D3">
              <w:rPr>
                <w:b/>
              </w:rPr>
              <w:t xml:space="preserve">kvůli dostupné podpoře </w:t>
            </w:r>
            <w:proofErr w:type="spellStart"/>
            <w:r w:rsidRPr="00DE35D3">
              <w:rPr>
                <w:b/>
              </w:rPr>
              <w:t>VaVaI</w:t>
            </w:r>
            <w:proofErr w:type="spellEnd"/>
            <w:r w:rsidRPr="00DE35D3">
              <w:rPr>
                <w:b/>
              </w:rPr>
              <w:t xml:space="preserve"> z OP PIK</w:t>
            </w:r>
            <w:r>
              <w:t xml:space="preserve"> (a dále v kombinaci s dalšími národními zdroji) </w:t>
            </w:r>
            <w:r w:rsidRPr="00DE35D3">
              <w:rPr>
                <w:b/>
              </w:rPr>
              <w:t xml:space="preserve">podniky nemají potřebu se </w:t>
            </w:r>
            <w:r w:rsidR="00AC6B81">
              <w:rPr>
                <w:b/>
              </w:rPr>
              <w:t>o </w:t>
            </w:r>
            <w:r w:rsidRPr="00DE35D3">
              <w:rPr>
                <w:b/>
              </w:rPr>
              <w:t>zahraniční podporu ucházet</w:t>
            </w:r>
            <w:r>
              <w:t xml:space="preserve">. </w:t>
            </w:r>
          </w:p>
          <w:p w14:paraId="2D627441" w14:textId="77777777" w:rsidR="00F16540" w:rsidRDefault="00F16540" w:rsidP="00B75692">
            <w:pPr>
              <w:pStyle w:val="ListParagraph"/>
              <w:numPr>
                <w:ilvl w:val="0"/>
                <w:numId w:val="44"/>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F16540">
              <w:t>V rámci realizovaných hloubkových</w:t>
            </w:r>
            <w:r w:rsidR="00AC6B81">
              <w:t xml:space="preserve"> rozhovorů, expertního panelu i </w:t>
            </w:r>
            <w:r w:rsidRPr="00F16540">
              <w:t xml:space="preserve">případových studií Dodavatel opakovaně potvrdil, že zahraniční zdroje podpory </w:t>
            </w:r>
            <w:proofErr w:type="spellStart"/>
            <w:r w:rsidRPr="00F16540">
              <w:t>Va</w:t>
            </w:r>
            <w:r>
              <w:t>VaI</w:t>
            </w:r>
            <w:proofErr w:type="spellEnd"/>
            <w:r>
              <w:t xml:space="preserve"> nejsou českými podniky</w:t>
            </w:r>
            <w:r w:rsidRPr="00F16540">
              <w:t xml:space="preserve"> využívány</w:t>
            </w:r>
            <w:r>
              <w:t xml:space="preserve"> z důvodů: </w:t>
            </w:r>
          </w:p>
          <w:p w14:paraId="35129BFC" w14:textId="77777777" w:rsidR="00922770" w:rsidRPr="00B75692" w:rsidRDefault="00B87E85" w:rsidP="00B75692">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CE6904">
              <w:t>Vysoké</w:t>
            </w:r>
            <w:r w:rsidR="00AC6B81" w:rsidRPr="00C74905">
              <w:t xml:space="preserve"> dostupnosti</w:t>
            </w:r>
            <w:r w:rsidR="00F16540" w:rsidRPr="00517A76">
              <w:t xml:space="preserve"> národních zdrojů</w:t>
            </w:r>
            <w:r w:rsidR="00922770" w:rsidRPr="00B75692">
              <w:t xml:space="preserve"> nevratné dotační podpory</w:t>
            </w:r>
          </w:p>
          <w:p w14:paraId="25F6D922" w14:textId="77777777" w:rsidR="00922770" w:rsidRPr="00B75692" w:rsidRDefault="00922770" w:rsidP="00B75692">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B75692">
              <w:t xml:space="preserve">Neznalostí </w:t>
            </w:r>
            <w:r w:rsidR="00AC6B81" w:rsidRPr="00B75692">
              <w:t xml:space="preserve">nadnárodních </w:t>
            </w:r>
            <w:r w:rsidRPr="00B75692">
              <w:t>programů</w:t>
            </w:r>
            <w:r w:rsidR="00AC6B81" w:rsidRPr="00B75692">
              <w:t xml:space="preserve"> podpory</w:t>
            </w:r>
          </w:p>
          <w:p w14:paraId="09F4A4E1" w14:textId="77777777" w:rsidR="00922770" w:rsidRPr="00CE6904" w:rsidRDefault="00922770" w:rsidP="00B75692">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B75692">
              <w:t xml:space="preserve">Složitostí </w:t>
            </w:r>
            <w:r w:rsidR="00B87E85" w:rsidRPr="00B75692">
              <w:t xml:space="preserve">a </w:t>
            </w:r>
            <w:r w:rsidR="00AC6B81" w:rsidRPr="00B75692">
              <w:t xml:space="preserve">zdlouhavostí </w:t>
            </w:r>
            <w:r w:rsidR="00B87E85" w:rsidRPr="00B75692">
              <w:t xml:space="preserve">procesů </w:t>
            </w:r>
            <w:r w:rsidRPr="00B75692">
              <w:t>těchto programů</w:t>
            </w:r>
          </w:p>
          <w:p w14:paraId="0965EFB5" w14:textId="77777777" w:rsidR="00922770" w:rsidRPr="00B75692" w:rsidRDefault="00922770" w:rsidP="00B75692">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C74905">
              <w:t>Jazyko</w:t>
            </w:r>
            <w:r w:rsidRPr="00517A76">
              <w:t>v</w:t>
            </w:r>
            <w:r w:rsidR="00582FFB" w:rsidRPr="00B75692">
              <w:t>é</w:t>
            </w:r>
            <w:r w:rsidRPr="00B75692">
              <w:t xml:space="preserve"> bariér</w:t>
            </w:r>
            <w:r w:rsidR="00582FFB" w:rsidRPr="00B75692">
              <w:t>y</w:t>
            </w:r>
            <w:r w:rsidRPr="00B75692">
              <w:t xml:space="preserve"> na straně příjemců</w:t>
            </w:r>
          </w:p>
          <w:p w14:paraId="26A9AD6D" w14:textId="77777777" w:rsidR="00922770" w:rsidRPr="00B75692" w:rsidRDefault="00922770" w:rsidP="00B75692">
            <w:pPr>
              <w:pStyle w:val="ListParagraph"/>
              <w:numPr>
                <w:ilvl w:val="0"/>
                <w:numId w:val="12"/>
              </w:numPr>
              <w:spacing w:after="60"/>
              <w:ind w:left="886" w:hanging="280"/>
              <w:contextualSpacing w:val="0"/>
              <w:cnfStyle w:val="000000100000" w:firstRow="0" w:lastRow="0" w:firstColumn="0" w:lastColumn="0" w:oddVBand="0" w:evenVBand="0" w:oddHBand="1" w:evenHBand="0" w:firstRowFirstColumn="0" w:firstRowLastColumn="0" w:lastRowFirstColumn="0" w:lastRowLastColumn="0"/>
            </w:pPr>
            <w:r w:rsidRPr="00B75692">
              <w:t>Nízk</w:t>
            </w:r>
            <w:r w:rsidR="00582FFB" w:rsidRPr="00B75692">
              <w:t>é</w:t>
            </w:r>
            <w:r w:rsidRPr="00B75692">
              <w:t xml:space="preserve"> očekávan</w:t>
            </w:r>
            <w:r w:rsidR="00582FFB" w:rsidRPr="00B75692">
              <w:t>é</w:t>
            </w:r>
            <w:r w:rsidRPr="00B75692">
              <w:t xml:space="preserve"> </w:t>
            </w:r>
            <w:r w:rsidR="00B87E85" w:rsidRPr="00B75692">
              <w:t>i reáln</w:t>
            </w:r>
            <w:r w:rsidR="00582FFB" w:rsidRPr="00B75692">
              <w:t>é</w:t>
            </w:r>
            <w:r w:rsidR="00B87E85" w:rsidRPr="00B75692">
              <w:t xml:space="preserve"> </w:t>
            </w:r>
            <w:r w:rsidRPr="00B75692">
              <w:t>úspěšnost</w:t>
            </w:r>
            <w:r w:rsidR="00582FFB" w:rsidRPr="00B75692">
              <w:t>i</w:t>
            </w:r>
            <w:r w:rsidRPr="00B75692">
              <w:t xml:space="preserve"> (do 10</w:t>
            </w:r>
            <w:r w:rsidR="00582FFB" w:rsidRPr="00B75692">
              <w:t xml:space="preserve"> </w:t>
            </w:r>
            <w:r w:rsidRPr="00B75692">
              <w:t>%)</w:t>
            </w:r>
          </w:p>
          <w:p w14:paraId="566EEAB0" w14:textId="77777777" w:rsidR="00922770" w:rsidRDefault="00922770" w:rsidP="00B75692">
            <w:pPr>
              <w:pStyle w:val="ListParagraph"/>
              <w:numPr>
                <w:ilvl w:val="0"/>
                <w:numId w:val="44"/>
              </w:numPr>
              <w:spacing w:after="60"/>
              <w:ind w:left="329" w:hanging="272"/>
              <w:cnfStyle w:val="000000100000" w:firstRow="0" w:lastRow="0" w:firstColumn="0" w:lastColumn="0" w:oddVBand="0" w:evenVBand="0" w:oddHBand="1" w:evenHBand="0" w:firstRowFirstColumn="0" w:firstRowLastColumn="0" w:lastRowFirstColumn="0" w:lastRowLastColumn="0"/>
            </w:pPr>
            <w:r>
              <w:t xml:space="preserve">Dalším faktorem nízké účasti je </w:t>
            </w:r>
            <w:r w:rsidR="00AC6B81">
              <w:t>skutečnost, že</w:t>
            </w:r>
            <w:r w:rsidRPr="00AA5D92">
              <w:t xml:space="preserve"> </w:t>
            </w:r>
            <w:r w:rsidRPr="006E0CDD">
              <w:rPr>
                <w:b/>
              </w:rPr>
              <w:t>podniky nemají navázaná partnerství v zahraničí</w:t>
            </w:r>
            <w:r w:rsidRPr="00AA5D92">
              <w:t xml:space="preserve"> a </w:t>
            </w:r>
            <w:r w:rsidRPr="006E0CDD">
              <w:rPr>
                <w:b/>
              </w:rPr>
              <w:t>obávají se neúspěchu a zmařených investic</w:t>
            </w:r>
            <w:r w:rsidRPr="00AA5D92">
              <w:t xml:space="preserve"> spojených s přípravou žádostí.</w:t>
            </w:r>
          </w:p>
          <w:p w14:paraId="782E55B3" w14:textId="77777777" w:rsidR="004D1B73" w:rsidRDefault="00582FFB" w:rsidP="00B75692">
            <w:pPr>
              <w:pStyle w:val="ListParagraph"/>
              <w:numPr>
                <w:ilvl w:val="0"/>
                <w:numId w:val="44"/>
              </w:numPr>
              <w:spacing w:after="60"/>
              <w:ind w:left="329" w:hanging="272"/>
              <w:cnfStyle w:val="000000100000" w:firstRow="0" w:lastRow="0" w:firstColumn="0" w:lastColumn="0" w:oddVBand="0" w:evenVBand="0" w:oddHBand="1" w:evenHBand="0" w:firstRowFirstColumn="0" w:firstRowLastColumn="0" w:lastRowFirstColumn="0" w:lastRowLastColumn="0"/>
            </w:pPr>
            <w:r>
              <w:t>V neposlední řadě hraje významnou roli</w:t>
            </w:r>
            <w:r w:rsidR="00B87E85">
              <w:t xml:space="preserve"> i obava ze ztráty vlastního know</w:t>
            </w:r>
            <w:r w:rsidR="00AC6B81">
              <w:t>-</w:t>
            </w:r>
            <w:r w:rsidR="00B87E85">
              <w:t xml:space="preserve">how, vytěžení inovativního nebo kreativního řešení ze strany silnějších zahraničních partnerů. </w:t>
            </w:r>
          </w:p>
          <w:p w14:paraId="249AA638" w14:textId="77777777" w:rsidR="002F78A9" w:rsidRDefault="002F78A9" w:rsidP="00B75692">
            <w:pPr>
              <w:pStyle w:val="ListParagraph"/>
              <w:numPr>
                <w:ilvl w:val="0"/>
                <w:numId w:val="30"/>
              </w:numPr>
              <w:spacing w:after="60"/>
              <w:ind w:left="329" w:hanging="272"/>
              <w:cnfStyle w:val="000000100000" w:firstRow="0" w:lastRow="0" w:firstColumn="0" w:lastColumn="0" w:oddVBand="0" w:evenVBand="0" w:oddHBand="1" w:evenHBand="0" w:firstRowFirstColumn="0" w:firstRowLastColumn="0" w:lastRowFirstColumn="0" w:lastRowLastColumn="0"/>
            </w:pPr>
            <w:r>
              <w:t>Dle výsledků DŠ je d</w:t>
            </w:r>
            <w:r w:rsidRPr="002F78A9">
              <w:t>o zahraniční spolupráce již zapojeno 34 respondentů dotazníkového šetření</w:t>
            </w:r>
            <w:r w:rsidR="006E05E1">
              <w:t>,</w:t>
            </w:r>
            <w:r w:rsidRPr="002F78A9">
              <w:t xml:space="preserve"> </w:t>
            </w:r>
            <w:r>
              <w:t xml:space="preserve">a to </w:t>
            </w:r>
            <w:r w:rsidRPr="002F78A9">
              <w:t>ve více jak 80 projektech. Z</w:t>
            </w:r>
            <w:r w:rsidR="0063122F">
              <w:t> </w:t>
            </w:r>
            <w:r w:rsidRPr="002F78A9">
              <w:t>toho 17 podniků projekty již realizuje, 7 připravuje nebo již podalo žádosti, 6 podniků projekt plánuje a projekty 4 podniků nebyly podpořeny.</w:t>
            </w:r>
          </w:p>
          <w:p w14:paraId="5BE7854A" w14:textId="77777777" w:rsidR="00022CC1" w:rsidRDefault="002F78A9" w:rsidP="00B75692">
            <w:pPr>
              <w:pStyle w:val="ListParagraph"/>
              <w:numPr>
                <w:ilvl w:val="0"/>
                <w:numId w:val="30"/>
              </w:numPr>
              <w:spacing w:after="60"/>
              <w:ind w:left="329" w:hanging="272"/>
              <w:cnfStyle w:val="000000100000" w:firstRow="0" w:lastRow="0" w:firstColumn="0" w:lastColumn="0" w:oddVBand="0" w:evenVBand="0" w:oddHBand="1" w:evenHBand="0" w:firstRowFirstColumn="0" w:firstRowLastColumn="0" w:lastRowFirstColumn="0" w:lastRowLastColumn="0"/>
            </w:pPr>
            <w:r>
              <w:t xml:space="preserve">Nejčastějším programem, do kterého se české podniky zapojují, je </w:t>
            </w:r>
            <w:r w:rsidRPr="00B75692">
              <w:t>Horizont 2020</w:t>
            </w:r>
            <w:r>
              <w:t xml:space="preserve"> (8 podniků, tedy 23 % respondentů zapojených do zahraniční spolupráce), dále následují programy LIFE, EURATOM, EUREKA, </w:t>
            </w:r>
            <w:proofErr w:type="spellStart"/>
            <w:r>
              <w:t>klustry</w:t>
            </w:r>
            <w:proofErr w:type="spellEnd"/>
            <w:r>
              <w:t xml:space="preserve"> </w:t>
            </w:r>
            <w:proofErr w:type="spellStart"/>
            <w:r>
              <w:t>European</w:t>
            </w:r>
            <w:proofErr w:type="spellEnd"/>
            <w:r>
              <w:t xml:space="preserve"> Cluster </w:t>
            </w:r>
            <w:proofErr w:type="spellStart"/>
            <w:r>
              <w:t>Collaboration</w:t>
            </w:r>
            <w:proofErr w:type="spellEnd"/>
            <w:r>
              <w:t xml:space="preserve"> </w:t>
            </w:r>
            <w:proofErr w:type="spellStart"/>
            <w:r>
              <w:t>Platf</w:t>
            </w:r>
            <w:r w:rsidRPr="009C67FD">
              <w:t>orm</w:t>
            </w:r>
            <w:proofErr w:type="spellEnd"/>
            <w:r w:rsidRPr="009C67FD">
              <w:t xml:space="preserve">, </w:t>
            </w:r>
            <w:proofErr w:type="spellStart"/>
            <w:r w:rsidRPr="009C67FD">
              <w:t>European</w:t>
            </w:r>
            <w:proofErr w:type="spellEnd"/>
            <w:r w:rsidRPr="009C67FD">
              <w:t xml:space="preserve"> </w:t>
            </w:r>
            <w:proofErr w:type="spellStart"/>
            <w:r w:rsidRPr="009C67FD">
              <w:t>Clusters</w:t>
            </w:r>
            <w:proofErr w:type="spellEnd"/>
            <w:r w:rsidRPr="009C67FD">
              <w:t xml:space="preserve"> </w:t>
            </w:r>
            <w:proofErr w:type="spellStart"/>
            <w:r w:rsidRPr="009C67FD">
              <w:t>Excellence.</w:t>
            </w:r>
            <w:r w:rsidRPr="002F78A9">
              <w:t>Výhodou</w:t>
            </w:r>
            <w:proofErr w:type="spellEnd"/>
            <w:r w:rsidRPr="002F78A9">
              <w:t xml:space="preserve"> zapojení do zahraničních programů podpory </w:t>
            </w:r>
            <w:proofErr w:type="spellStart"/>
            <w:r w:rsidRPr="002F78A9">
              <w:t>VaVaI</w:t>
            </w:r>
            <w:proofErr w:type="spellEnd"/>
            <w:r w:rsidRPr="002F78A9">
              <w:t xml:space="preserve"> je navázání mezinárodních kontaktů a rozvoj dalšího partnerství, obchodních styků a expanze na zahraniční trhy.</w:t>
            </w:r>
          </w:p>
          <w:p w14:paraId="5BF144A5" w14:textId="77777777" w:rsidR="002F78A9" w:rsidRDefault="00022CC1" w:rsidP="00B75692">
            <w:pPr>
              <w:pStyle w:val="ListParagraph"/>
              <w:numPr>
                <w:ilvl w:val="0"/>
                <w:numId w:val="30"/>
              </w:numPr>
              <w:spacing w:after="60"/>
              <w:ind w:left="329" w:hanging="272"/>
              <w:cnfStyle w:val="000000100000" w:firstRow="0" w:lastRow="0" w:firstColumn="0" w:lastColumn="0" w:oddVBand="0" w:evenVBand="0" w:oddHBand="1" w:evenHBand="0" w:firstRowFirstColumn="0" w:firstRowLastColumn="0" w:lastRowFirstColumn="0" w:lastRowLastColumn="0"/>
            </w:pPr>
            <w:r w:rsidRPr="00022CC1">
              <w:t>Administrativní zátěž spojená s realizací projektů podpořených v rámci Horizont 2020 bývá hodnocena jako výrazně menší v porovnání s</w:t>
            </w:r>
            <w:r w:rsidR="0063122F">
              <w:t> </w:t>
            </w:r>
            <w:r w:rsidRPr="00022CC1">
              <w:t>podporou OP PIK. Účastníci projektů hodnotí pozitivně nízký počet dokladovaných dokumentů.</w:t>
            </w:r>
          </w:p>
        </w:tc>
      </w:tr>
      <w:tr w:rsidR="004D1B73" w14:paraId="7D14C913" w14:textId="77777777" w:rsidTr="004D1B73">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687DDDE" w14:textId="77777777" w:rsidR="004D1B73" w:rsidRPr="00622A6D" w:rsidRDefault="004D1B73" w:rsidP="004D1B73">
            <w:pPr>
              <w:spacing w:after="0"/>
              <w:rPr>
                <w:color w:val="FFFFFF" w:themeColor="background1"/>
              </w:rPr>
            </w:pPr>
            <w:r w:rsidRPr="00622A6D">
              <w:rPr>
                <w:color w:val="FFFFFF" w:themeColor="background1"/>
              </w:rPr>
              <w:t>Doporučení</w:t>
            </w:r>
            <w:r>
              <w:rPr>
                <w:color w:val="FFFFFF" w:themeColor="background1"/>
              </w:rPr>
              <w:t xml:space="preserve"> pro současné program. </w:t>
            </w:r>
            <w:r w:rsidR="00787761">
              <w:rPr>
                <w:color w:val="FFFFFF" w:themeColor="background1"/>
              </w:rPr>
              <w:t>O</w:t>
            </w:r>
            <w:r>
              <w:rPr>
                <w:color w:val="FFFFFF" w:themeColor="background1"/>
              </w:rPr>
              <w:t>bdobí</w:t>
            </w:r>
          </w:p>
        </w:tc>
        <w:tc>
          <w:tcPr>
            <w:tcW w:w="3777" w:type="pct"/>
          </w:tcPr>
          <w:p w14:paraId="7557441E" w14:textId="77777777" w:rsidR="004D1B73" w:rsidRPr="000E20B6" w:rsidRDefault="00A57786"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rPr>
                <w:b/>
              </w:rPr>
            </w:pPr>
            <w:r w:rsidRPr="000E20B6">
              <w:rPr>
                <w:b/>
              </w:rPr>
              <w:t xml:space="preserve">Zvýšit propagaci zahraničních programů podpory </w:t>
            </w:r>
            <w:proofErr w:type="spellStart"/>
            <w:r w:rsidRPr="000E20B6">
              <w:rPr>
                <w:b/>
              </w:rPr>
              <w:t>VaVaI</w:t>
            </w:r>
            <w:proofErr w:type="spellEnd"/>
            <w:r w:rsidRPr="000E20B6">
              <w:rPr>
                <w:b/>
              </w:rPr>
              <w:t>.</w:t>
            </w:r>
          </w:p>
          <w:p w14:paraId="2FDD3520" w14:textId="77777777" w:rsidR="00A57786" w:rsidRDefault="006F11D6"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t xml:space="preserve">Automatické nebo </w:t>
            </w:r>
            <w:r w:rsidRPr="000E20B6">
              <w:rPr>
                <w:b/>
              </w:rPr>
              <w:t>přednostní schválení (případně bonifikace)</w:t>
            </w:r>
            <w:r>
              <w:t xml:space="preserve"> podpory </w:t>
            </w:r>
            <w:r w:rsidR="00A57786">
              <w:t xml:space="preserve">projektovým </w:t>
            </w:r>
            <w:r w:rsidR="00A57786" w:rsidRPr="000E20B6">
              <w:rPr>
                <w:b/>
              </w:rPr>
              <w:t xml:space="preserve">žádostem, které byly kladně hodnoceny </w:t>
            </w:r>
            <w:r w:rsidR="002604CD" w:rsidRPr="000E20B6">
              <w:rPr>
                <w:b/>
              </w:rPr>
              <w:t xml:space="preserve">(schváleny) </w:t>
            </w:r>
            <w:r w:rsidR="00A57786" w:rsidRPr="000E20B6">
              <w:rPr>
                <w:b/>
              </w:rPr>
              <w:t>v rámci zahraničních programů podpory</w:t>
            </w:r>
            <w:r w:rsidR="00A57786">
              <w:t xml:space="preserve"> (např. Horizont</w:t>
            </w:r>
            <w:r w:rsidR="00582FFB">
              <w:t xml:space="preserve"> </w:t>
            </w:r>
            <w:r w:rsidR="00A57786">
              <w:t xml:space="preserve">2020), ale nebyly podpořeny z důvodů nedostatku finančních prostředků. </w:t>
            </w:r>
          </w:p>
          <w:p w14:paraId="544BDAC6" w14:textId="77777777" w:rsidR="00A57786" w:rsidRDefault="00A25ABE"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rsidRPr="000E20B6">
              <w:rPr>
                <w:b/>
              </w:rPr>
              <w:t>Poskytnout technickou podporu</w:t>
            </w:r>
            <w:r>
              <w:t xml:space="preserve"> při navazování zahraničních partnerství a při podávání žádostí do evropských programů podpory. </w:t>
            </w:r>
          </w:p>
        </w:tc>
      </w:tr>
      <w:tr w:rsidR="004D1B73" w14:paraId="2464F929" w14:textId="77777777" w:rsidTr="004D1B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172D45E" w14:textId="77777777" w:rsidR="004D1B73" w:rsidRPr="00622A6D" w:rsidRDefault="004D1B73" w:rsidP="004D1B73">
            <w:pPr>
              <w:spacing w:after="0"/>
              <w:rPr>
                <w:color w:val="FFFFFF" w:themeColor="background1"/>
              </w:rPr>
            </w:pPr>
            <w:r>
              <w:rPr>
                <w:color w:val="FFFFFF" w:themeColor="background1"/>
              </w:rPr>
              <w:t>Doporučení pro program. období 2021+</w:t>
            </w:r>
          </w:p>
        </w:tc>
        <w:tc>
          <w:tcPr>
            <w:tcW w:w="3777" w:type="pct"/>
          </w:tcPr>
          <w:p w14:paraId="4D49D45E" w14:textId="77777777" w:rsidR="00787761" w:rsidRDefault="00787761" w:rsidP="0063122F">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Vzhledem k tomu, že je v zájmu ŘO, aby díky podpoře OP PIK docházelo k expanzi českých podniků na zahraniční trhy, bylo by vhodné se zaměřit na řešení provázanosti národních a nadnárodních programů podpory</w:t>
            </w:r>
            <w:r w:rsidR="0063122F">
              <w:t xml:space="preserve">, např. lze zvážit možnost podpory navázání partnerství </w:t>
            </w:r>
            <w:r>
              <w:t>se zahraničními podniky, příprava záměru do nadnárodních programů podpory</w:t>
            </w:r>
            <w:r w:rsidR="0063122F">
              <w:t xml:space="preserve"> z národních zdrojů. Alternativně lze zvážit au</w:t>
            </w:r>
            <w:r w:rsidR="00CE6904">
              <w:t xml:space="preserve">tomatické nebo </w:t>
            </w:r>
            <w:r w:rsidR="00CE6904" w:rsidRPr="000E20B6">
              <w:rPr>
                <w:b/>
              </w:rPr>
              <w:t>přednostní schválení (případně bonifikace)</w:t>
            </w:r>
            <w:r w:rsidR="00CE6904">
              <w:t xml:space="preserve"> podpory projektovým </w:t>
            </w:r>
            <w:r w:rsidR="00CE6904" w:rsidRPr="000E20B6">
              <w:rPr>
                <w:b/>
              </w:rPr>
              <w:t>žádostem, které byly kladně hodnoceny v rámci zahraničních programů podpory</w:t>
            </w:r>
            <w:r w:rsidR="00CE6904">
              <w:t xml:space="preserve"> (např. Horizont 2020), ale nebyly podpořeny z důvodů nedostatku finančních prostředků.</w:t>
            </w:r>
          </w:p>
        </w:tc>
      </w:tr>
    </w:tbl>
    <w:p w14:paraId="50B759A8" w14:textId="77777777" w:rsidR="00787761" w:rsidRDefault="00787761">
      <w:pPr>
        <w:spacing w:after="0" w:line="240" w:lineRule="auto"/>
      </w:pPr>
    </w:p>
    <w:p w14:paraId="24F771FA" w14:textId="77777777" w:rsidR="00787761" w:rsidRDefault="00787761">
      <w:pPr>
        <w:spacing w:after="0" w:line="240" w:lineRule="auto"/>
      </w:pPr>
      <w:r>
        <w:br w:type="page"/>
      </w:r>
    </w:p>
    <w:p w14:paraId="43DC4588" w14:textId="77777777" w:rsidR="00B2069E" w:rsidRPr="00582FFB" w:rsidRDefault="00B2069E" w:rsidP="001A7D90">
      <w:pPr>
        <w:pStyle w:val="Heading1"/>
        <w:numPr>
          <w:ilvl w:val="0"/>
          <w:numId w:val="2"/>
        </w:numPr>
        <w:spacing w:after="120"/>
        <w:rPr>
          <w:rFonts w:ascii="Verdana" w:eastAsia="MingLiU" w:hAnsi="Verdana" w:cs="Times New Roman"/>
          <w:b w:val="0"/>
          <w:color w:val="auto"/>
          <w:sz w:val="60"/>
          <w:szCs w:val="60"/>
        </w:rPr>
      </w:pPr>
      <w:bookmarkStart w:id="63" w:name="_Toc11679627"/>
      <w:r w:rsidRPr="00582FFB">
        <w:rPr>
          <w:rFonts w:ascii="Verdana" w:eastAsia="MingLiU" w:hAnsi="Verdana" w:cs="Times New Roman"/>
          <w:b w:val="0"/>
          <w:color w:val="auto"/>
          <w:sz w:val="60"/>
          <w:szCs w:val="60"/>
        </w:rPr>
        <w:t xml:space="preserve">Evaluační otázka </w:t>
      </w:r>
      <w:r w:rsidR="00D73025" w:rsidRPr="00582FFB">
        <w:rPr>
          <w:rFonts w:ascii="Verdana" w:eastAsia="MingLiU" w:hAnsi="Verdana" w:cs="Times New Roman"/>
          <w:b w:val="0"/>
          <w:color w:val="auto"/>
          <w:sz w:val="60"/>
          <w:szCs w:val="60"/>
        </w:rPr>
        <w:t xml:space="preserve">č. </w:t>
      </w:r>
      <w:r w:rsidRPr="00582FFB">
        <w:rPr>
          <w:rFonts w:ascii="Verdana" w:eastAsia="MingLiU" w:hAnsi="Verdana" w:cs="Times New Roman"/>
          <w:b w:val="0"/>
          <w:color w:val="auto"/>
          <w:sz w:val="60"/>
          <w:szCs w:val="60"/>
        </w:rPr>
        <w:t>7</w:t>
      </w:r>
      <w:bookmarkEnd w:id="63"/>
    </w:p>
    <w:p w14:paraId="746457B5" w14:textId="77777777" w:rsidR="000D5DE1" w:rsidRDefault="000D5DE1" w:rsidP="000D5DE1">
      <w:pPr>
        <w:spacing w:after="0"/>
        <w:jc w:val="both"/>
        <w:rPr>
          <w:b/>
        </w:rPr>
      </w:pPr>
    </w:p>
    <w:p w14:paraId="4885AAC6" w14:textId="77777777" w:rsidR="000D5DE1" w:rsidRPr="000D5DE1" w:rsidRDefault="000D5DE1" w:rsidP="000D5DE1">
      <w:pPr>
        <w:jc w:val="both"/>
        <w:rPr>
          <w:b/>
        </w:rPr>
      </w:pPr>
      <w:r w:rsidRPr="000D5DE1">
        <w:rPr>
          <w:b/>
        </w:rPr>
        <w:t>Jaký je dosavadní příspěvek SC 1.1 k naplňování strategických cílů Národní výzkumné a inovační strategie pro inteligentní specializaci ČR (dále jen „RIS3“)?</w:t>
      </w:r>
    </w:p>
    <w:p w14:paraId="4AF536AF" w14:textId="77777777" w:rsidR="000E21CF" w:rsidRDefault="000E21CF" w:rsidP="00152DAD">
      <w:pPr>
        <w:pStyle w:val="Heading1"/>
        <w:numPr>
          <w:ilvl w:val="1"/>
          <w:numId w:val="2"/>
        </w:numPr>
        <w:spacing w:before="240" w:after="120"/>
        <w:ind w:left="714" w:hanging="357"/>
      </w:pPr>
      <w:bookmarkStart w:id="64" w:name="_Toc8825213"/>
      <w:bookmarkStart w:id="65" w:name="_Toc11679628"/>
      <w:r>
        <w:t>Úkol</w:t>
      </w:r>
      <w:bookmarkEnd w:id="64"/>
      <w:bookmarkEnd w:id="65"/>
    </w:p>
    <w:p w14:paraId="3C3FBFBA" w14:textId="77777777" w:rsidR="00BF2C1C" w:rsidRDefault="000E21CF" w:rsidP="000E21CF">
      <w:pPr>
        <w:spacing w:before="113" w:after="113" w:line="240" w:lineRule="auto"/>
        <w:jc w:val="both"/>
      </w:pPr>
      <w:r>
        <w:t>V rámci této otázky Zpracovatel analyzoval soulad podpořených projektů v rámci SC 1.1 s prioritami RIS3 v relevantních oblastech. Úkolem dále bylo posoudit relevanci projektů podpořených v rámci SC 1.1 i</w:t>
      </w:r>
      <w:r w:rsidR="00377091">
        <w:t> </w:t>
      </w:r>
      <w:r>
        <w:t xml:space="preserve">k dalším </w:t>
      </w:r>
      <w:r w:rsidR="00CA3094">
        <w:t>k</w:t>
      </w:r>
      <w:r>
        <w:t xml:space="preserve">líčovým oblastem RIS3. Každá z oblastí má nastavené vlastní strategické cíle a specifické podcíle. </w:t>
      </w:r>
    </w:p>
    <w:p w14:paraId="74AB087A" w14:textId="77777777" w:rsidR="00DA3A9B" w:rsidRDefault="000E21CF" w:rsidP="000E21CF">
      <w:pPr>
        <w:spacing w:before="113" w:after="113" w:line="240" w:lineRule="auto"/>
        <w:jc w:val="both"/>
      </w:pPr>
      <w:r>
        <w:t>Zpracovatel na základě typologie jednotlivých projektů připrav</w:t>
      </w:r>
      <w:r w:rsidR="00301622">
        <w:t>il</w:t>
      </w:r>
      <w:r>
        <w:t xml:space="preserve"> přehled/matici podpořených projektů v rámci SC 1.1 přiřazených k jednotlivým klíčovým oblastem a jejich strategickým cílům RIS3</w:t>
      </w:r>
      <w:r w:rsidR="006007CE">
        <w:t xml:space="preserve"> (viz podkapitola 9.3 Doplňující informace)</w:t>
      </w:r>
      <w:r>
        <w:t xml:space="preserve">. Výstupem </w:t>
      </w:r>
      <w:r w:rsidR="00301622">
        <w:t>je</w:t>
      </w:r>
      <w:r>
        <w:t xml:space="preserve"> analýza počtů podpořených projektů, v různých fázích realizace a výši finanční podpory u jednotlivých strategických cílů RIS3.</w:t>
      </w:r>
    </w:p>
    <w:p w14:paraId="60711C37" w14:textId="77777777" w:rsidR="00E0553D" w:rsidRDefault="009427E5" w:rsidP="000E21CF">
      <w:pPr>
        <w:spacing w:before="113" w:after="113" w:line="240" w:lineRule="auto"/>
        <w:jc w:val="both"/>
        <w:rPr>
          <w:rFonts w:asciiTheme="majorHAnsi" w:hAnsiTheme="majorHAnsi"/>
          <w:szCs w:val="18"/>
        </w:rPr>
      </w:pPr>
      <w:r>
        <w:t>Předmětem a</w:t>
      </w:r>
      <w:r w:rsidR="000E21CF">
        <w:t>nalýz</w:t>
      </w:r>
      <w:r>
        <w:t>y</w:t>
      </w:r>
      <w:r w:rsidR="000E21CF">
        <w:t xml:space="preserve"> </w:t>
      </w:r>
      <w:r>
        <w:t>měla být i</w:t>
      </w:r>
      <w:r w:rsidR="000E21CF">
        <w:t xml:space="preserve"> i</w:t>
      </w:r>
      <w:r w:rsidR="000E21CF">
        <w:rPr>
          <w:rFonts w:asciiTheme="majorHAnsi" w:hAnsiTheme="majorHAnsi"/>
          <w:szCs w:val="18"/>
        </w:rPr>
        <w:t>dentifikac</w:t>
      </w:r>
      <w:r>
        <w:rPr>
          <w:rFonts w:asciiTheme="majorHAnsi" w:hAnsiTheme="majorHAnsi"/>
          <w:szCs w:val="18"/>
        </w:rPr>
        <w:t>e</w:t>
      </w:r>
      <w:r w:rsidR="000E21CF">
        <w:rPr>
          <w:rFonts w:asciiTheme="majorHAnsi" w:hAnsiTheme="majorHAnsi"/>
          <w:szCs w:val="18"/>
        </w:rPr>
        <w:t xml:space="preserve"> klíčových charakteristik podporovaných projektů, které definují, zda od nich lze očekávat příspěvek k plnění cílů RIS3.</w:t>
      </w:r>
      <w:r>
        <w:rPr>
          <w:rFonts w:asciiTheme="majorHAnsi" w:hAnsiTheme="majorHAnsi"/>
          <w:szCs w:val="18"/>
        </w:rPr>
        <w:t xml:space="preserve"> </w:t>
      </w:r>
    </w:p>
    <w:p w14:paraId="34F67BB7" w14:textId="3E14BA23" w:rsidR="000E21CF" w:rsidRPr="00D73025" w:rsidRDefault="000E21CF" w:rsidP="00152DAD">
      <w:pPr>
        <w:pStyle w:val="Heading1"/>
        <w:numPr>
          <w:ilvl w:val="1"/>
          <w:numId w:val="2"/>
        </w:numPr>
        <w:spacing w:before="240" w:after="120"/>
        <w:ind w:left="714" w:hanging="357"/>
      </w:pPr>
      <w:bookmarkStart w:id="66" w:name="_Toc8825214"/>
      <w:bookmarkStart w:id="67" w:name="_Toc11679630"/>
      <w:r>
        <w:t>Zjištění a doporučení</w:t>
      </w:r>
      <w:bookmarkEnd w:id="66"/>
      <w:bookmarkEnd w:id="67"/>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0E21CF" w:rsidRPr="003E4246" w14:paraId="7F284957" w14:textId="77777777" w:rsidTr="00CF7F8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6EF4F76A" w14:textId="77777777" w:rsidR="000E21CF" w:rsidRPr="003E4246" w:rsidRDefault="000E21CF" w:rsidP="00CF7F88">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46C498D7" w14:textId="77777777" w:rsidR="000E21CF" w:rsidRPr="00D73025" w:rsidRDefault="000E21CF" w:rsidP="00CF7F88">
            <w:pPr>
              <w:spacing w:before="120" w:after="120"/>
              <w:jc w:val="both"/>
              <w:cnfStyle w:val="100000000000" w:firstRow="1" w:lastRow="0" w:firstColumn="0" w:lastColumn="0" w:oddVBand="0" w:evenVBand="0" w:oddHBand="0" w:evenHBand="0" w:firstRowFirstColumn="0" w:firstRowLastColumn="0" w:lastRowFirstColumn="0" w:lastRowLastColumn="0"/>
            </w:pPr>
            <w:r w:rsidRPr="00DB04ED">
              <w:t>Jaký je dosavadní příspěvek SC 1.1 k naplňování strategických cílů Národní výzkumné a inovační strategie pro inteligentní specializaci ČR (dále jen „RIS3“)?</w:t>
            </w:r>
          </w:p>
        </w:tc>
      </w:tr>
      <w:tr w:rsidR="000E21CF" w14:paraId="7BD4FB71"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7929B9F" w14:textId="77777777" w:rsidR="000E21CF" w:rsidRDefault="000E21CF" w:rsidP="00CF7F88">
            <w:pPr>
              <w:spacing w:before="120" w:after="120"/>
              <w:rPr>
                <w:color w:val="FFFFFF" w:themeColor="background1"/>
              </w:rPr>
            </w:pPr>
            <w:r>
              <w:rPr>
                <w:color w:val="FFFFFF" w:themeColor="background1"/>
              </w:rPr>
              <w:t>Program podpory</w:t>
            </w:r>
          </w:p>
        </w:tc>
        <w:tc>
          <w:tcPr>
            <w:tcW w:w="3777" w:type="pct"/>
          </w:tcPr>
          <w:p w14:paraId="5E68F6E8" w14:textId="77777777" w:rsidR="000E21CF" w:rsidRPr="007A0414" w:rsidRDefault="000E21CF" w:rsidP="00CF7F88">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0E21CF" w14:paraId="678F9B8C"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4BF2419" w14:textId="77777777" w:rsidR="000E21CF" w:rsidRDefault="000E21CF" w:rsidP="00CF7F88">
            <w:pPr>
              <w:spacing w:after="0"/>
              <w:rPr>
                <w:color w:val="FFFFFF" w:themeColor="background1"/>
              </w:rPr>
            </w:pPr>
            <w:r>
              <w:rPr>
                <w:color w:val="FFFFFF" w:themeColor="background1"/>
              </w:rPr>
              <w:t>Evaluační metody</w:t>
            </w:r>
          </w:p>
        </w:tc>
        <w:tc>
          <w:tcPr>
            <w:tcW w:w="3777" w:type="pct"/>
          </w:tcPr>
          <w:p w14:paraId="23D8AB46"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Analýza projektových dat MS2014+</w:t>
            </w:r>
          </w:p>
          <w:p w14:paraId="4A2F6E40"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Analýza sekundárních zdrojů dat</w:t>
            </w:r>
          </w:p>
          <w:p w14:paraId="18A57494"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Dotazníkové šetření</w:t>
            </w:r>
          </w:p>
          <w:p w14:paraId="1E7617C0"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Expertní panel</w:t>
            </w:r>
          </w:p>
          <w:p w14:paraId="3379ED41" w14:textId="77777777" w:rsidR="006007CE" w:rsidRPr="007A0414" w:rsidRDefault="006007CE"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Individuální rozhovory</w:t>
            </w:r>
          </w:p>
        </w:tc>
      </w:tr>
      <w:tr w:rsidR="000E21CF" w14:paraId="29E27387"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0B4F27E6" w14:textId="77777777" w:rsidR="000E21CF" w:rsidRPr="00622A6D" w:rsidRDefault="000E21CF" w:rsidP="00CF7F88">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76BA5474" w14:textId="7FBD0972" w:rsidR="000E21CF" w:rsidRDefault="00373138"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 xml:space="preserve">Vzhledem k identickým strategickým cílům </w:t>
            </w:r>
            <w:r w:rsidR="00047F64">
              <w:rPr>
                <w:b/>
              </w:rPr>
              <w:t>RIS3 a OP PIK lze ztotožnit plnění cílů</w:t>
            </w:r>
            <w:r w:rsidR="000E21CF">
              <w:rPr>
                <w:b/>
              </w:rPr>
              <w:t xml:space="preserve"> SC 1.1 </w:t>
            </w:r>
            <w:r w:rsidR="00047F64">
              <w:rPr>
                <w:b/>
              </w:rPr>
              <w:t>se stavem plnění</w:t>
            </w:r>
            <w:r w:rsidR="000E21CF" w:rsidRPr="009440AA">
              <w:rPr>
                <w:b/>
              </w:rPr>
              <w:t xml:space="preserve"> RIS3 strategie</w:t>
            </w:r>
            <w:r w:rsidR="00047F64">
              <w:t>.</w:t>
            </w:r>
            <w:r w:rsidR="000E21CF">
              <w:t xml:space="preserve"> Z dostupných informací lze dovodit, že příspěvek SC 1.1 je na plnění RIS3 ve vymezených cílech velmi významný.</w:t>
            </w:r>
          </w:p>
          <w:p w14:paraId="6546E54B" w14:textId="77777777" w:rsidR="000E21CF" w:rsidRDefault="000E21CF" w:rsidP="002449AE">
            <w:pPr>
              <w:pStyle w:val="ListParagraph"/>
              <w:spacing w:after="60"/>
              <w:ind w:left="329"/>
              <w:contextualSpacing w:val="0"/>
              <w:cnfStyle w:val="000000100000" w:firstRow="0" w:lastRow="0" w:firstColumn="0" w:lastColumn="0" w:oddVBand="0" w:evenVBand="0" w:oddHBand="1" w:evenHBand="0" w:firstRowFirstColumn="0" w:firstRowLastColumn="0" w:lastRowFirstColumn="0" w:lastRowLastColumn="0"/>
            </w:pPr>
            <w:r>
              <w:t xml:space="preserve">Analýza dokumentu Národní RIS3 strategie ČR 2014 - 2020 a hloubkový rozhovor s garanty RIS3 totiž ukázaly, že </w:t>
            </w:r>
            <w:r w:rsidRPr="009440AA">
              <w:rPr>
                <w:b/>
              </w:rPr>
              <w:t>RIS3 nemá nastaveny vlastní indikátory ani cílové hodnoty</w:t>
            </w:r>
            <w:r>
              <w:rPr>
                <w:b/>
              </w:rPr>
              <w:t xml:space="preserve"> k </w:t>
            </w:r>
            <w:r w:rsidRPr="009440AA">
              <w:rPr>
                <w:b/>
              </w:rPr>
              <w:t>ověřování naplnění cílů strategie</w:t>
            </w:r>
            <w:r>
              <w:t>, všechny indikátory jsou kumulativně převzaty z vázaných komplementárních operačních programů.</w:t>
            </w:r>
          </w:p>
          <w:p w14:paraId="6BD75186"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 xml:space="preserve">Specifický cíl RIS3 </w:t>
            </w:r>
            <w:r w:rsidRPr="0074465C">
              <w:t xml:space="preserve">A.1.1: </w:t>
            </w:r>
            <w:r w:rsidRPr="002449AE">
              <w:t>Posílit výzkumné a vývojové kapacity podniků</w:t>
            </w:r>
            <w:r>
              <w:t xml:space="preserve"> – cíl je naplňován SC 1.1 ze 100 % (SC 1.1 OP PIK je jediným programem podpory).</w:t>
            </w:r>
          </w:p>
          <w:p w14:paraId="3E5F755F"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 xml:space="preserve">Specifický cíl RIS3 </w:t>
            </w:r>
            <w:r w:rsidRPr="0074465C">
              <w:t>A.1.</w:t>
            </w:r>
            <w:r>
              <w:t>2</w:t>
            </w:r>
            <w:r w:rsidRPr="0074465C">
              <w:t>:</w:t>
            </w:r>
            <w:r>
              <w:t xml:space="preserve"> </w:t>
            </w:r>
            <w:r w:rsidRPr="002449AE">
              <w:t>Zlepšit strategické řízení v MSP</w:t>
            </w:r>
            <w:r>
              <w:t xml:space="preserve"> – podíl příspěvku SC 1.1 k naplňování indikátorů cíle nelze posoudit, neboť nejsou známy hodnoty dalšího operačního programu (OP PPR).</w:t>
            </w:r>
          </w:p>
          <w:p w14:paraId="6F26825E"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Specifický cíl RIS3 C</w:t>
            </w:r>
            <w:r w:rsidRPr="0074465C">
              <w:t>.1.</w:t>
            </w:r>
            <w:r>
              <w:t>1</w:t>
            </w:r>
            <w:r w:rsidRPr="0074465C">
              <w:t>:</w:t>
            </w:r>
            <w:r>
              <w:t xml:space="preserve"> </w:t>
            </w:r>
            <w:r w:rsidRPr="002449AE">
              <w:t>Posílit spolupráci a interakci mezi VO a aplikační sférou</w:t>
            </w:r>
            <w:r>
              <w:t xml:space="preserve"> – podíl příspěvku SC 1.1 k naplňování indikátorů cíle nelze posoudit, neboť nejsou známy hodnoty dalších operačních programů (OP VVV a OP PPR).</w:t>
            </w:r>
          </w:p>
          <w:p w14:paraId="33644D94" w14:textId="77777777" w:rsidR="000E21CF" w:rsidRDefault="000E21CF"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DB04ED">
              <w:rPr>
                <w:b/>
              </w:rPr>
              <w:t>Z hlediska finančního plnění</w:t>
            </w:r>
            <w:r>
              <w:t xml:space="preserve"> lze na základě Zprávy o realizaci Národní RIS3 strategie za rok 2017 konstatovat následující </w:t>
            </w:r>
            <w:r w:rsidRPr="00DB04ED">
              <w:rPr>
                <w:b/>
              </w:rPr>
              <w:t>příspěvek intervencí v oblasti SC 1.1</w:t>
            </w:r>
            <w:r>
              <w:t xml:space="preserve"> (měřeno podílem celkových způsobilých výdajů projektů):</w:t>
            </w:r>
          </w:p>
          <w:p w14:paraId="2A01034E"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Specifický cíl RIS3 A.1.1: 100 %</w:t>
            </w:r>
          </w:p>
          <w:p w14:paraId="03E88754"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Specifický cíl RIS3 A.1.2: 18,63 %</w:t>
            </w:r>
          </w:p>
          <w:p w14:paraId="0A9C59A4" w14:textId="77777777" w:rsidR="000E21CF" w:rsidRDefault="000E21CF"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t>Specifický cíl RIS3 C.1.1: 82,23 %</w:t>
            </w:r>
          </w:p>
          <w:p w14:paraId="2B279DEE" w14:textId="77777777" w:rsidR="000E21CF" w:rsidRDefault="000E21CF" w:rsidP="002449AE">
            <w:pPr>
              <w:pStyle w:val="ListParagraph"/>
              <w:numPr>
                <w:ilvl w:val="0"/>
                <w:numId w:val="107"/>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K nastavení indikátorů, systému hodnocení a jeho zahájení došlo v roce 2016, k prvnímu sběru dat pak v roce 2017. V současné době je </w:t>
            </w:r>
            <w:r w:rsidRPr="003E4246">
              <w:rPr>
                <w:b/>
              </w:rPr>
              <w:t>na hodnocení naplňování strategických cílů RIS3 příliš brzy,</w:t>
            </w:r>
            <w:r>
              <w:t xml:space="preserve"> většina projektů je stále ve fázi realizace. Kontextové hodnocení probíhá na základě dat ČSÚ, které však nelze očistit od širších socioekonomických faktorů.</w:t>
            </w:r>
            <w:r w:rsidR="00CA3094">
              <w:t xml:space="preserve"> </w:t>
            </w:r>
            <w:r>
              <w:t>V roce 2020 bude předložena první verze nové strategie RIS3 pro další programové období, pro kterou se zvažuje tvorba vlastních indikátorů.</w:t>
            </w:r>
          </w:p>
        </w:tc>
      </w:tr>
      <w:tr w:rsidR="000E21CF" w14:paraId="49E9606D"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6F76C121" w14:textId="77777777" w:rsidR="000E21CF" w:rsidRPr="00622A6D" w:rsidRDefault="000E21CF" w:rsidP="00CF7F88">
            <w:pPr>
              <w:spacing w:after="0"/>
              <w:rPr>
                <w:color w:val="FFFFFF" w:themeColor="background1"/>
              </w:rPr>
            </w:pPr>
            <w:r w:rsidRPr="00622A6D">
              <w:rPr>
                <w:color w:val="FFFFFF" w:themeColor="background1"/>
              </w:rPr>
              <w:t>Doporučení</w:t>
            </w:r>
            <w:r>
              <w:rPr>
                <w:color w:val="FFFFFF" w:themeColor="background1"/>
              </w:rPr>
              <w:t xml:space="preserve"> pro současné program. období</w:t>
            </w:r>
          </w:p>
        </w:tc>
        <w:tc>
          <w:tcPr>
            <w:tcW w:w="3777" w:type="pct"/>
          </w:tcPr>
          <w:p w14:paraId="39DC0CF2" w14:textId="77777777" w:rsidR="000E21CF" w:rsidRDefault="00ED59C0" w:rsidP="002449AE">
            <w:pPr>
              <w:pStyle w:val="ListParagraph"/>
              <w:numPr>
                <w:ilvl w:val="0"/>
                <w:numId w:val="11"/>
              </w:numPr>
              <w:spacing w:after="120"/>
              <w:ind w:left="329" w:hanging="272"/>
              <w:contextualSpacing w:val="0"/>
              <w:cnfStyle w:val="000000000000" w:firstRow="0" w:lastRow="0" w:firstColumn="0" w:lastColumn="0" w:oddVBand="0" w:evenVBand="0" w:oddHBand="0" w:evenHBand="0" w:firstRowFirstColumn="0" w:firstRowLastColumn="0" w:lastRowFirstColumn="0" w:lastRowLastColumn="0"/>
            </w:pPr>
            <w:r>
              <w:t>N/A</w:t>
            </w:r>
          </w:p>
        </w:tc>
      </w:tr>
      <w:tr w:rsidR="000E21CF" w14:paraId="5831018B"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9251E80" w14:textId="77777777" w:rsidR="000E21CF" w:rsidRPr="00622A6D" w:rsidRDefault="000E21CF" w:rsidP="00CF7F88">
            <w:pPr>
              <w:spacing w:after="0"/>
              <w:rPr>
                <w:color w:val="FFFFFF" w:themeColor="background1"/>
              </w:rPr>
            </w:pPr>
            <w:r>
              <w:rPr>
                <w:color w:val="FFFFFF" w:themeColor="background1"/>
              </w:rPr>
              <w:t>Doporučení pro program. období 2021+</w:t>
            </w:r>
          </w:p>
        </w:tc>
        <w:tc>
          <w:tcPr>
            <w:tcW w:w="3777" w:type="pct"/>
          </w:tcPr>
          <w:p w14:paraId="400FD35D" w14:textId="77777777" w:rsidR="006007CE" w:rsidRDefault="006D1933" w:rsidP="006007C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Doporučení směrem k RIS3 strategii: </w:t>
            </w:r>
            <w:r w:rsidR="006007CE">
              <w:t>N</w:t>
            </w:r>
            <w:r w:rsidR="000807F3">
              <w:t>astavit a kvantifikovat cíle</w:t>
            </w:r>
            <w:r w:rsidR="006007CE">
              <w:t xml:space="preserve"> na úrovni RIS3 strategie </w:t>
            </w:r>
          </w:p>
          <w:p w14:paraId="3A2C7FD6" w14:textId="77777777" w:rsidR="000E21CF" w:rsidRDefault="00ED59C0" w:rsidP="006007CE">
            <w:pPr>
              <w:pStyle w:val="ListParagraph"/>
              <w:numPr>
                <w:ilvl w:val="0"/>
                <w:numId w:val="11"/>
              </w:numPr>
              <w:spacing w:after="120"/>
              <w:ind w:left="329" w:hanging="272"/>
              <w:contextualSpacing w:val="0"/>
              <w:cnfStyle w:val="000000100000" w:firstRow="0" w:lastRow="0" w:firstColumn="0" w:lastColumn="0" w:oddVBand="0" w:evenVBand="0" w:oddHBand="1" w:evenHBand="0" w:firstRowFirstColumn="0" w:firstRowLastColumn="0" w:lastRowFirstColumn="0" w:lastRowLastColumn="0"/>
            </w:pPr>
            <w:r>
              <w:t>Lépe definovat vazbu mezi intervencemi operačního programu a RIS3 strategie</w:t>
            </w:r>
            <w:r w:rsidR="00D53197">
              <w:t>. RIS3 by měla definovat vlastní intervenční logiku s odpovídající soustavou indikátorů, na kterou mohou jednotlivé operační programy navazovat a jednoznačně popsat příspěvek intervencí OP k naplňování cílů (a indikátorů) RIS3.</w:t>
            </w:r>
          </w:p>
        </w:tc>
      </w:tr>
    </w:tbl>
    <w:p w14:paraId="6B15124D" w14:textId="77777777" w:rsidR="00ED59C0" w:rsidRDefault="00ED59C0" w:rsidP="004C45B3">
      <w:pPr>
        <w:pStyle w:val="Bntext"/>
      </w:pPr>
    </w:p>
    <w:p w14:paraId="226C07E4" w14:textId="77777777" w:rsidR="000E21CF" w:rsidRPr="00D73025" w:rsidRDefault="000E21CF" w:rsidP="00152DAD">
      <w:pPr>
        <w:pStyle w:val="Heading1"/>
        <w:numPr>
          <w:ilvl w:val="1"/>
          <w:numId w:val="2"/>
        </w:numPr>
        <w:spacing w:before="240" w:after="120"/>
        <w:ind w:left="714" w:hanging="357"/>
      </w:pPr>
      <w:bookmarkStart w:id="68" w:name="_Toc8825215"/>
      <w:bookmarkStart w:id="69" w:name="_Toc11679631"/>
      <w:r>
        <w:t>Doplňující informace</w:t>
      </w:r>
      <w:bookmarkEnd w:id="68"/>
      <w:bookmarkEnd w:id="69"/>
    </w:p>
    <w:p w14:paraId="2577694E" w14:textId="12204C62" w:rsidR="00394735" w:rsidRDefault="00394735" w:rsidP="00394735">
      <w:pPr>
        <w:spacing w:before="113" w:after="113" w:line="240" w:lineRule="auto"/>
        <w:jc w:val="both"/>
      </w:pPr>
      <w:r>
        <w:rPr>
          <w:rFonts w:asciiTheme="majorHAnsi" w:hAnsiTheme="majorHAnsi"/>
          <w:szCs w:val="18"/>
        </w:rPr>
        <w:t>Indikátorová soustava RIS3 cílů je agregací indikátorů z jednotlivých operačních programů. Příspěvek SC 1.1 tak odpovídá poměru relevantních indikátorů vůči agregované hodnotě indikátorů cílů RIS3. Po zpracování aktualizace RIS3 strategie, která je zahájena v polovině roku 2019, bude vhodné posoudit příspěvek SC 1.1 k naplňování aktualizovaných strategických cílů RIS3.</w:t>
      </w:r>
    </w:p>
    <w:p w14:paraId="710FA701" w14:textId="77777777" w:rsidR="00074C09" w:rsidRDefault="00074C09" w:rsidP="00712256">
      <w:pPr>
        <w:jc w:val="both"/>
      </w:pPr>
      <w:r>
        <w:t>Na specifické cíle RIS3 se váží následující programy podpory SC 1.1:</w:t>
      </w:r>
    </w:p>
    <w:p w14:paraId="0086D11F" w14:textId="50EE479D" w:rsidR="00074C09" w:rsidRDefault="00074C09" w:rsidP="00712256">
      <w:pPr>
        <w:pStyle w:val="Caption"/>
      </w:pPr>
      <w:r>
        <w:t xml:space="preserve">Tabulka </w:t>
      </w:r>
      <w:r>
        <w:fldChar w:fldCharType="begin"/>
      </w:r>
      <w:r>
        <w:instrText xml:space="preserve"> SEQ Tabulka \* ARABIC </w:instrText>
      </w:r>
      <w:r>
        <w:fldChar w:fldCharType="separate"/>
      </w:r>
      <w:r w:rsidR="00F77CAE">
        <w:rPr>
          <w:noProof/>
        </w:rPr>
        <w:t>4</w:t>
      </w:r>
      <w:r>
        <w:fldChar w:fldCharType="end"/>
      </w:r>
      <w:r>
        <w:t xml:space="preserve"> - Složení cílů RIS3</w:t>
      </w:r>
    </w:p>
    <w:tbl>
      <w:tblPr>
        <w:tblStyle w:val="ListTable3-Accent11"/>
        <w:tblW w:w="0" w:type="auto"/>
        <w:tblLook w:val="04A0" w:firstRow="1" w:lastRow="0" w:firstColumn="1" w:lastColumn="0" w:noHBand="0" w:noVBand="1"/>
      </w:tblPr>
      <w:tblGrid>
        <w:gridCol w:w="1239"/>
        <w:gridCol w:w="1088"/>
        <w:gridCol w:w="1637"/>
        <w:gridCol w:w="1276"/>
        <w:gridCol w:w="4388"/>
      </w:tblGrid>
      <w:tr w:rsidR="00211E22" w:rsidRPr="00211E22" w14:paraId="0E1E0069" w14:textId="77777777" w:rsidTr="00712256">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1239" w:type="dxa"/>
          </w:tcPr>
          <w:p w14:paraId="4F113A33" w14:textId="77777777" w:rsidR="00211E22" w:rsidRPr="00712256" w:rsidRDefault="00211E22" w:rsidP="00211E22">
            <w:pPr>
              <w:spacing w:after="0" w:line="240" w:lineRule="auto"/>
              <w:rPr>
                <w:rFonts w:asciiTheme="minorHAnsi" w:eastAsia="Times New Roman" w:hAnsiTheme="minorHAnsi" w:cs="Arial"/>
                <w:bCs w:val="0"/>
                <w:color w:val="FFFFFF" w:themeColor="background1"/>
                <w:szCs w:val="18"/>
                <w:lang w:eastAsia="cs-CZ"/>
              </w:rPr>
            </w:pPr>
            <w:r w:rsidRPr="00712256">
              <w:rPr>
                <w:rFonts w:asciiTheme="minorHAnsi" w:eastAsia="Times New Roman" w:hAnsiTheme="minorHAnsi" w:cs="Arial"/>
                <w:color w:val="FFFFFF" w:themeColor="background1"/>
                <w:szCs w:val="18"/>
                <w:lang w:eastAsia="cs-CZ"/>
              </w:rPr>
              <w:t>Specifický cíl RIS3</w:t>
            </w:r>
          </w:p>
        </w:tc>
        <w:tc>
          <w:tcPr>
            <w:tcW w:w="1088" w:type="dxa"/>
          </w:tcPr>
          <w:p w14:paraId="62F2893F" w14:textId="77777777" w:rsidR="00211E22" w:rsidRPr="00712256" w:rsidRDefault="00211E22" w:rsidP="007122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18"/>
                <w:lang w:eastAsia="cs-CZ"/>
              </w:rPr>
            </w:pPr>
            <w:r w:rsidRPr="00712256">
              <w:rPr>
                <w:rFonts w:asciiTheme="minorHAnsi" w:eastAsia="Times New Roman" w:hAnsiTheme="minorHAnsi" w:cs="Arial"/>
                <w:color w:val="FFFFFF" w:themeColor="background1"/>
                <w:szCs w:val="18"/>
                <w:lang w:eastAsia="cs-CZ"/>
              </w:rPr>
              <w:t>Program</w:t>
            </w:r>
          </w:p>
        </w:tc>
        <w:tc>
          <w:tcPr>
            <w:tcW w:w="1637" w:type="dxa"/>
          </w:tcPr>
          <w:p w14:paraId="0D882F93" w14:textId="77777777" w:rsidR="00211E22" w:rsidRPr="00712256" w:rsidRDefault="00211E22" w:rsidP="007122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18"/>
                <w:lang w:eastAsia="cs-CZ"/>
              </w:rPr>
            </w:pPr>
            <w:r w:rsidRPr="00712256">
              <w:rPr>
                <w:rFonts w:asciiTheme="minorHAnsi" w:eastAsia="Times New Roman" w:hAnsiTheme="minorHAnsi" w:cs="Arial"/>
                <w:color w:val="FFFFFF" w:themeColor="background1"/>
                <w:szCs w:val="18"/>
                <w:lang w:eastAsia="cs-CZ"/>
              </w:rPr>
              <w:t xml:space="preserve">Prioritní osa / </w:t>
            </w:r>
            <w:proofErr w:type="spellStart"/>
            <w:r w:rsidRPr="00712256">
              <w:rPr>
                <w:rFonts w:asciiTheme="minorHAnsi" w:eastAsia="Times New Roman" w:hAnsiTheme="minorHAnsi" w:cs="Arial"/>
                <w:color w:val="FFFFFF" w:themeColor="background1"/>
                <w:szCs w:val="18"/>
                <w:lang w:eastAsia="cs-CZ"/>
              </w:rPr>
              <w:t>inv</w:t>
            </w:r>
            <w:proofErr w:type="spellEnd"/>
            <w:r w:rsidRPr="00712256">
              <w:rPr>
                <w:rFonts w:asciiTheme="minorHAnsi" w:eastAsia="Times New Roman" w:hAnsiTheme="minorHAnsi" w:cs="Arial"/>
                <w:color w:val="FFFFFF" w:themeColor="background1"/>
                <w:szCs w:val="18"/>
                <w:lang w:eastAsia="cs-CZ"/>
              </w:rPr>
              <w:t>. priorita</w:t>
            </w:r>
          </w:p>
        </w:tc>
        <w:tc>
          <w:tcPr>
            <w:tcW w:w="1276" w:type="dxa"/>
          </w:tcPr>
          <w:p w14:paraId="3C95CD47" w14:textId="77777777" w:rsidR="00211E22" w:rsidRPr="00712256" w:rsidRDefault="00211E22" w:rsidP="007122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themeColor="background1"/>
                <w:szCs w:val="18"/>
                <w:lang w:eastAsia="cs-CZ"/>
              </w:rPr>
            </w:pPr>
            <w:r w:rsidRPr="00712256">
              <w:rPr>
                <w:rFonts w:asciiTheme="minorHAnsi" w:eastAsia="Times New Roman" w:hAnsiTheme="minorHAnsi" w:cs="Arial"/>
                <w:color w:val="FFFFFF" w:themeColor="background1"/>
                <w:szCs w:val="18"/>
                <w:lang w:eastAsia="cs-CZ"/>
              </w:rPr>
              <w:t>Specifický cíl</w:t>
            </w:r>
          </w:p>
        </w:tc>
        <w:tc>
          <w:tcPr>
            <w:tcW w:w="4388" w:type="dxa"/>
          </w:tcPr>
          <w:p w14:paraId="59F10372" w14:textId="77777777" w:rsidR="00211E22" w:rsidRPr="00712256" w:rsidRDefault="00211E22" w:rsidP="00712256">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18"/>
                <w:lang w:eastAsia="cs-CZ"/>
              </w:rPr>
            </w:pPr>
            <w:r>
              <w:rPr>
                <w:rFonts w:asciiTheme="minorHAnsi" w:eastAsia="Times New Roman" w:hAnsiTheme="minorHAnsi" w:cs="Arial"/>
                <w:bCs w:val="0"/>
                <w:color w:val="FFFFFF" w:themeColor="background1"/>
                <w:szCs w:val="18"/>
                <w:lang w:eastAsia="cs-CZ"/>
              </w:rPr>
              <w:t>P</w:t>
            </w:r>
            <w:r w:rsidRPr="00712256">
              <w:rPr>
                <w:rFonts w:asciiTheme="minorHAnsi" w:eastAsia="Times New Roman" w:hAnsiTheme="minorHAnsi" w:cs="Arial"/>
                <w:color w:val="FFFFFF" w:themeColor="background1"/>
                <w:szCs w:val="18"/>
                <w:lang w:eastAsia="cs-CZ"/>
              </w:rPr>
              <w:t>rogramy podpory / výzvy</w:t>
            </w:r>
          </w:p>
        </w:tc>
      </w:tr>
      <w:tr w:rsidR="00F36A45" w:rsidRPr="00211E22" w14:paraId="59D5BC53" w14:textId="77777777" w:rsidTr="0071225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39" w:type="dxa"/>
          </w:tcPr>
          <w:p w14:paraId="30028760" w14:textId="77777777" w:rsidR="00F36A45" w:rsidRPr="00712256" w:rsidRDefault="00F36A45" w:rsidP="00211E22">
            <w:pPr>
              <w:spacing w:after="0" w:line="240" w:lineRule="auto"/>
              <w:rPr>
                <w:rFonts w:asciiTheme="minorHAnsi" w:eastAsia="Times New Roman" w:hAnsiTheme="minorHAnsi" w:cs="Arial"/>
                <w:bCs w:val="0"/>
                <w:color w:val="auto"/>
                <w:szCs w:val="18"/>
                <w:lang w:eastAsia="cs-CZ"/>
              </w:rPr>
            </w:pPr>
            <w:r w:rsidRPr="00F36A45">
              <w:rPr>
                <w:rFonts w:asciiTheme="minorHAnsi" w:eastAsia="Times New Roman" w:hAnsiTheme="minorHAnsi" w:cs="Arial"/>
                <w:color w:val="auto"/>
                <w:szCs w:val="18"/>
                <w:lang w:eastAsia="cs-CZ"/>
              </w:rPr>
              <w:t>A.1.1</w:t>
            </w:r>
          </w:p>
        </w:tc>
        <w:tc>
          <w:tcPr>
            <w:tcW w:w="1088" w:type="dxa"/>
            <w:shd w:val="clear" w:color="auto" w:fill="D0EC9F" w:themeFill="accent1" w:themeFillTint="66"/>
          </w:tcPr>
          <w:p w14:paraId="6C102F6F" w14:textId="77777777" w:rsidR="00F36A45" w:rsidRPr="00211E22" w:rsidRDefault="00F36A45" w:rsidP="00712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Pr>
                <w:rFonts w:asciiTheme="minorHAnsi" w:eastAsia="Times New Roman" w:hAnsiTheme="minorHAnsi" w:cs="Arial"/>
                <w:color w:val="auto"/>
                <w:szCs w:val="18"/>
                <w:lang w:eastAsia="cs-CZ"/>
              </w:rPr>
              <w:t>OP PIK</w:t>
            </w:r>
          </w:p>
        </w:tc>
        <w:tc>
          <w:tcPr>
            <w:tcW w:w="1637" w:type="dxa"/>
            <w:shd w:val="clear" w:color="auto" w:fill="D0EC9F" w:themeFill="accent1" w:themeFillTint="66"/>
          </w:tcPr>
          <w:p w14:paraId="43F8B30E" w14:textId="77777777" w:rsidR="00F36A45" w:rsidRPr="00211E22" w:rsidRDefault="00F36A45" w:rsidP="00712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Pr>
                <w:rFonts w:asciiTheme="minorHAnsi" w:eastAsia="Times New Roman" w:hAnsiTheme="minorHAnsi" w:cs="Arial"/>
                <w:color w:val="auto"/>
                <w:szCs w:val="18"/>
                <w:lang w:eastAsia="cs-CZ"/>
              </w:rPr>
              <w:t>PO 1</w:t>
            </w:r>
          </w:p>
        </w:tc>
        <w:tc>
          <w:tcPr>
            <w:tcW w:w="1276" w:type="dxa"/>
            <w:shd w:val="clear" w:color="auto" w:fill="D0EC9F" w:themeFill="accent1" w:themeFillTint="66"/>
          </w:tcPr>
          <w:p w14:paraId="36F9F222" w14:textId="77777777" w:rsidR="00F36A45" w:rsidRPr="00211E22" w:rsidRDefault="00F36A45" w:rsidP="00712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Pr>
                <w:rFonts w:asciiTheme="minorHAnsi" w:eastAsia="Times New Roman" w:hAnsiTheme="minorHAnsi" w:cs="Arial"/>
                <w:color w:val="auto"/>
                <w:szCs w:val="18"/>
                <w:lang w:eastAsia="cs-CZ"/>
              </w:rPr>
              <w:t>SC1.1</w:t>
            </w:r>
          </w:p>
        </w:tc>
        <w:tc>
          <w:tcPr>
            <w:tcW w:w="4388" w:type="dxa"/>
            <w:shd w:val="clear" w:color="auto" w:fill="D0EC9F" w:themeFill="accent1" w:themeFillTint="66"/>
          </w:tcPr>
          <w:p w14:paraId="2DCAD839" w14:textId="77777777" w:rsidR="00F36A45" w:rsidRPr="00211E22" w:rsidRDefault="00F36A45" w:rsidP="0071225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Pr>
                <w:rFonts w:asciiTheme="minorHAnsi" w:eastAsia="Times New Roman" w:hAnsiTheme="minorHAnsi" w:cs="Arial"/>
                <w:color w:val="auto"/>
                <w:szCs w:val="18"/>
                <w:lang w:eastAsia="cs-CZ"/>
              </w:rPr>
              <w:t>Aplikace, Inovace, Potenciál</w:t>
            </w:r>
          </w:p>
        </w:tc>
      </w:tr>
      <w:tr w:rsidR="00F36A45" w:rsidRPr="00211E22" w14:paraId="201A9F73" w14:textId="77777777" w:rsidTr="00F36A45">
        <w:trPr>
          <w:trHeight w:val="243"/>
        </w:trPr>
        <w:tc>
          <w:tcPr>
            <w:cnfStyle w:val="001000000000" w:firstRow="0" w:lastRow="0" w:firstColumn="1" w:lastColumn="0" w:oddVBand="0" w:evenVBand="0" w:oddHBand="0" w:evenHBand="0" w:firstRowFirstColumn="0" w:firstRowLastColumn="0" w:lastRowFirstColumn="0" w:lastRowLastColumn="0"/>
            <w:tcW w:w="1239" w:type="dxa"/>
            <w:vMerge w:val="restart"/>
            <w:hideMark/>
          </w:tcPr>
          <w:p w14:paraId="77A6B023" w14:textId="77777777" w:rsidR="00211E22" w:rsidRPr="00712256" w:rsidRDefault="00211E22" w:rsidP="00712256">
            <w:pPr>
              <w:spacing w:after="0" w:line="240" w:lineRule="auto"/>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A.1.2</w:t>
            </w:r>
          </w:p>
        </w:tc>
        <w:tc>
          <w:tcPr>
            <w:tcW w:w="1088" w:type="dxa"/>
            <w:vMerge w:val="restart"/>
            <w:shd w:val="clear" w:color="auto" w:fill="D0EC9F" w:themeFill="accent1" w:themeFillTint="66"/>
            <w:hideMark/>
          </w:tcPr>
          <w:p w14:paraId="50C035CF"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OP PIK</w:t>
            </w:r>
          </w:p>
        </w:tc>
        <w:tc>
          <w:tcPr>
            <w:tcW w:w="1637" w:type="dxa"/>
            <w:vMerge w:val="restart"/>
            <w:shd w:val="clear" w:color="auto" w:fill="D0EC9F" w:themeFill="accent1" w:themeFillTint="66"/>
            <w:hideMark/>
          </w:tcPr>
          <w:p w14:paraId="78DD3337"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 1</w:t>
            </w:r>
          </w:p>
        </w:tc>
        <w:tc>
          <w:tcPr>
            <w:tcW w:w="1276" w:type="dxa"/>
            <w:vMerge w:val="restart"/>
            <w:shd w:val="clear" w:color="auto" w:fill="D0EC9F" w:themeFill="accent1" w:themeFillTint="66"/>
            <w:hideMark/>
          </w:tcPr>
          <w:p w14:paraId="5902D032"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SC1.1</w:t>
            </w:r>
          </w:p>
        </w:tc>
        <w:tc>
          <w:tcPr>
            <w:tcW w:w="4388" w:type="dxa"/>
            <w:shd w:val="clear" w:color="auto" w:fill="D0EC9F" w:themeFill="accent1" w:themeFillTint="66"/>
            <w:hideMark/>
          </w:tcPr>
          <w:p w14:paraId="5BF9FAE2" w14:textId="77777777" w:rsidR="00211E22" w:rsidRPr="00712256" w:rsidRDefault="00211E22" w:rsidP="0071225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Inovace</w:t>
            </w:r>
          </w:p>
        </w:tc>
      </w:tr>
      <w:tr w:rsidR="00F36A45" w:rsidRPr="00211E22" w14:paraId="10F6BD1D" w14:textId="77777777" w:rsidTr="00246D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3863AF1B" w14:textId="77777777" w:rsidR="00211E22" w:rsidRPr="00712256" w:rsidRDefault="00211E22">
            <w:pPr>
              <w:spacing w:after="0" w:line="240" w:lineRule="auto"/>
              <w:rPr>
                <w:rFonts w:asciiTheme="minorHAnsi" w:eastAsia="Times New Roman" w:hAnsiTheme="minorHAnsi" w:cs="Arial"/>
                <w:color w:val="auto"/>
                <w:szCs w:val="18"/>
                <w:lang w:eastAsia="cs-CZ"/>
              </w:rPr>
            </w:pPr>
          </w:p>
        </w:tc>
        <w:tc>
          <w:tcPr>
            <w:tcW w:w="1088" w:type="dxa"/>
            <w:vMerge/>
            <w:shd w:val="clear" w:color="auto" w:fill="D0EC9F" w:themeFill="accent1" w:themeFillTint="66"/>
            <w:hideMark/>
          </w:tcPr>
          <w:p w14:paraId="63417EB7"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shd w:val="clear" w:color="auto" w:fill="D0EC9F" w:themeFill="accent1" w:themeFillTint="66"/>
            <w:hideMark/>
          </w:tcPr>
          <w:p w14:paraId="62A71F80"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shd w:val="clear" w:color="auto" w:fill="D0EC9F" w:themeFill="accent1" w:themeFillTint="66"/>
            <w:hideMark/>
          </w:tcPr>
          <w:p w14:paraId="4070565B"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shd w:val="clear" w:color="auto" w:fill="D0EC9F" w:themeFill="accent1" w:themeFillTint="66"/>
            <w:hideMark/>
          </w:tcPr>
          <w:p w14:paraId="30ADA745" w14:textId="77777777" w:rsidR="00211E22" w:rsidRPr="00712256" w:rsidRDefault="00211E22" w:rsidP="00246DC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INOVACE - Projekt na ochranu práv průmyslového vlastnictví</w:t>
            </w:r>
          </w:p>
        </w:tc>
      </w:tr>
      <w:tr w:rsidR="00F36A45" w:rsidRPr="00211E22" w14:paraId="5A18EC4F" w14:textId="77777777" w:rsidTr="00F36A45">
        <w:trPr>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64C1BA1B" w14:textId="77777777" w:rsidR="00211E22" w:rsidRPr="00712256" w:rsidRDefault="00211E22">
            <w:pPr>
              <w:spacing w:after="0" w:line="240" w:lineRule="auto"/>
              <w:rPr>
                <w:rFonts w:asciiTheme="minorHAnsi" w:eastAsia="Times New Roman" w:hAnsiTheme="minorHAnsi" w:cs="Arial"/>
                <w:color w:val="auto"/>
                <w:szCs w:val="18"/>
                <w:lang w:eastAsia="cs-CZ"/>
              </w:rPr>
            </w:pPr>
          </w:p>
        </w:tc>
        <w:tc>
          <w:tcPr>
            <w:tcW w:w="1088" w:type="dxa"/>
            <w:hideMark/>
          </w:tcPr>
          <w:p w14:paraId="770D7CF7" w14:textId="77777777" w:rsidR="00211E22" w:rsidRPr="00712256" w:rsidRDefault="00211E22" w:rsidP="007122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OP PPR</w:t>
            </w:r>
          </w:p>
        </w:tc>
        <w:tc>
          <w:tcPr>
            <w:tcW w:w="1637" w:type="dxa"/>
            <w:hideMark/>
          </w:tcPr>
          <w:p w14:paraId="5B8003CB" w14:textId="77777777" w:rsidR="00211E22" w:rsidRPr="00712256" w:rsidRDefault="00211E22" w:rsidP="007122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PO1 - IP1</w:t>
            </w:r>
          </w:p>
        </w:tc>
        <w:tc>
          <w:tcPr>
            <w:tcW w:w="1276" w:type="dxa"/>
            <w:hideMark/>
          </w:tcPr>
          <w:p w14:paraId="591E6A85" w14:textId="77777777" w:rsidR="00211E22" w:rsidRPr="00712256" w:rsidRDefault="00211E22" w:rsidP="007122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 1.2</w:t>
            </w:r>
          </w:p>
        </w:tc>
        <w:tc>
          <w:tcPr>
            <w:tcW w:w="4388" w:type="dxa"/>
            <w:hideMark/>
          </w:tcPr>
          <w:p w14:paraId="7EE9601B" w14:textId="77777777" w:rsidR="00211E22" w:rsidRPr="00712256" w:rsidRDefault="00211E22" w:rsidP="0071225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11. Vznik a rozvoj kapacit poskytujících progresivní služby pro podnikatele (MSP)</w:t>
            </w:r>
          </w:p>
        </w:tc>
      </w:tr>
      <w:tr w:rsidR="00F36A45" w:rsidRPr="00211E22" w14:paraId="6E4CC80F" w14:textId="77777777" w:rsidTr="00F36A4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239" w:type="dxa"/>
            <w:vMerge w:val="restart"/>
            <w:hideMark/>
          </w:tcPr>
          <w:p w14:paraId="092E8053" w14:textId="77777777" w:rsidR="00211E22" w:rsidRPr="00712256" w:rsidRDefault="00211E22" w:rsidP="00712256">
            <w:pPr>
              <w:spacing w:after="0" w:line="240" w:lineRule="auto"/>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C.1.1</w:t>
            </w:r>
          </w:p>
        </w:tc>
        <w:tc>
          <w:tcPr>
            <w:tcW w:w="1088" w:type="dxa"/>
            <w:vMerge w:val="restart"/>
            <w:shd w:val="clear" w:color="auto" w:fill="D0EC9F" w:themeFill="accent1" w:themeFillTint="66"/>
            <w:hideMark/>
          </w:tcPr>
          <w:p w14:paraId="57FD99A9"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OP PIK</w:t>
            </w:r>
          </w:p>
        </w:tc>
        <w:tc>
          <w:tcPr>
            <w:tcW w:w="1637" w:type="dxa"/>
            <w:shd w:val="clear" w:color="auto" w:fill="D0EC9F" w:themeFill="accent1" w:themeFillTint="66"/>
            <w:hideMark/>
          </w:tcPr>
          <w:p w14:paraId="36FCDA5D"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PO1</w:t>
            </w:r>
          </w:p>
        </w:tc>
        <w:tc>
          <w:tcPr>
            <w:tcW w:w="1276" w:type="dxa"/>
            <w:shd w:val="clear" w:color="auto" w:fill="D0EC9F" w:themeFill="accent1" w:themeFillTint="66"/>
            <w:hideMark/>
          </w:tcPr>
          <w:p w14:paraId="1D51DFD4"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SC1.1</w:t>
            </w:r>
          </w:p>
        </w:tc>
        <w:tc>
          <w:tcPr>
            <w:tcW w:w="4388" w:type="dxa"/>
            <w:shd w:val="clear" w:color="auto" w:fill="D0EC9F" w:themeFill="accent1" w:themeFillTint="66"/>
            <w:hideMark/>
          </w:tcPr>
          <w:p w14:paraId="69048AC6" w14:textId="77777777" w:rsidR="00211E22" w:rsidRPr="00712256" w:rsidRDefault="00211E22" w:rsidP="0071225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Aplikace</w:t>
            </w:r>
          </w:p>
        </w:tc>
      </w:tr>
      <w:tr w:rsidR="00F36A45" w:rsidRPr="00211E22" w14:paraId="1D8BB45F" w14:textId="77777777" w:rsidTr="00F36A45">
        <w:trPr>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12A3EA80"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3567FE80"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hideMark/>
          </w:tcPr>
          <w:p w14:paraId="719B51B5"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PO1</w:t>
            </w:r>
          </w:p>
        </w:tc>
        <w:tc>
          <w:tcPr>
            <w:tcW w:w="1276" w:type="dxa"/>
            <w:hideMark/>
          </w:tcPr>
          <w:p w14:paraId="6E9A8B75"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SC1.2</w:t>
            </w:r>
          </w:p>
        </w:tc>
        <w:tc>
          <w:tcPr>
            <w:tcW w:w="4388" w:type="dxa"/>
            <w:hideMark/>
          </w:tcPr>
          <w:p w14:paraId="39E4E757" w14:textId="77777777" w:rsidR="00211E22" w:rsidRPr="00712256" w:rsidRDefault="00211E22" w:rsidP="00246D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PZT, Inovační vouchery</w:t>
            </w:r>
          </w:p>
        </w:tc>
      </w:tr>
      <w:tr w:rsidR="00F36A45" w:rsidRPr="00211E22" w14:paraId="6F3B9BA0" w14:textId="77777777" w:rsidTr="00F36A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13936A18"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val="restart"/>
            <w:hideMark/>
          </w:tcPr>
          <w:p w14:paraId="1959DC6F"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OP VVV</w:t>
            </w:r>
          </w:p>
        </w:tc>
        <w:tc>
          <w:tcPr>
            <w:tcW w:w="1637" w:type="dxa"/>
            <w:vMerge w:val="restart"/>
            <w:hideMark/>
          </w:tcPr>
          <w:p w14:paraId="276A4D44"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PO1</w:t>
            </w:r>
          </w:p>
        </w:tc>
        <w:tc>
          <w:tcPr>
            <w:tcW w:w="1276" w:type="dxa"/>
            <w:vMerge w:val="restart"/>
            <w:hideMark/>
          </w:tcPr>
          <w:p w14:paraId="3422F35C" w14:textId="77777777" w:rsidR="00211E22" w:rsidRPr="00712256" w:rsidRDefault="00211E22" w:rsidP="00246D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SC2</w:t>
            </w:r>
          </w:p>
        </w:tc>
        <w:tc>
          <w:tcPr>
            <w:tcW w:w="4388" w:type="dxa"/>
            <w:hideMark/>
          </w:tcPr>
          <w:p w14:paraId="3BDED91A" w14:textId="77777777" w:rsidR="00211E22" w:rsidRPr="00712256" w:rsidRDefault="00211E22" w:rsidP="0071225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Dlouhodobá spolupráce 2017,</w:t>
            </w:r>
          </w:p>
        </w:tc>
      </w:tr>
      <w:tr w:rsidR="00F36A45" w:rsidRPr="00211E22" w14:paraId="218E163E" w14:textId="77777777" w:rsidTr="00F36A45">
        <w:trPr>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5CCE3984"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6E816879"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7591DCE5"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77D42F9B"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hideMark/>
          </w:tcPr>
          <w:p w14:paraId="2233353C" w14:textId="77777777" w:rsidR="00211E22" w:rsidRPr="00712256" w:rsidRDefault="00211E22" w:rsidP="00D95D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roofErr w:type="spellStart"/>
            <w:r w:rsidRPr="00712256">
              <w:rPr>
                <w:rFonts w:asciiTheme="minorHAnsi" w:eastAsia="Times New Roman" w:hAnsiTheme="minorHAnsi" w:cs="Arial"/>
                <w:color w:val="auto"/>
                <w:szCs w:val="18"/>
                <w:lang w:eastAsia="cs-CZ"/>
              </w:rPr>
              <w:t>Předaplikační</w:t>
            </w:r>
            <w:proofErr w:type="spellEnd"/>
            <w:r w:rsidRPr="00712256">
              <w:rPr>
                <w:rFonts w:asciiTheme="minorHAnsi" w:eastAsia="Times New Roman" w:hAnsiTheme="minorHAnsi" w:cs="Arial"/>
                <w:color w:val="auto"/>
                <w:szCs w:val="18"/>
                <w:lang w:eastAsia="cs-CZ"/>
              </w:rPr>
              <w:t xml:space="preserve"> výzkum 2017, Dlouhodobá spolupráce 2017, </w:t>
            </w:r>
            <w:proofErr w:type="spellStart"/>
            <w:r w:rsidRPr="00712256">
              <w:rPr>
                <w:rFonts w:asciiTheme="minorHAnsi" w:eastAsia="Times New Roman" w:hAnsiTheme="minorHAnsi" w:cs="Arial"/>
                <w:color w:val="auto"/>
                <w:szCs w:val="18"/>
                <w:lang w:eastAsia="cs-CZ"/>
              </w:rPr>
              <w:t>Předaplikační</w:t>
            </w:r>
            <w:proofErr w:type="spellEnd"/>
            <w:r w:rsidRPr="00712256">
              <w:rPr>
                <w:rFonts w:asciiTheme="minorHAnsi" w:eastAsia="Times New Roman" w:hAnsiTheme="minorHAnsi" w:cs="Arial"/>
                <w:color w:val="auto"/>
                <w:szCs w:val="18"/>
                <w:lang w:eastAsia="cs-CZ"/>
              </w:rPr>
              <w:t xml:space="preserve"> výzkum 2018</w:t>
            </w:r>
          </w:p>
        </w:tc>
      </w:tr>
      <w:tr w:rsidR="00F36A45" w:rsidRPr="00211E22" w14:paraId="34CEDB39" w14:textId="77777777" w:rsidTr="00F36A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62F7FB06"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5E65FF5A"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0A02084C"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0B0514F8"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hideMark/>
          </w:tcPr>
          <w:p w14:paraId="5D021AE6"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Dlouhodobá mezisektorová spolupráce</w:t>
            </w:r>
          </w:p>
        </w:tc>
      </w:tr>
      <w:tr w:rsidR="00F36A45" w:rsidRPr="00211E22" w14:paraId="39522E6E" w14:textId="77777777" w:rsidTr="00F36A45">
        <w:trPr>
          <w:trHeight w:val="219"/>
        </w:trPr>
        <w:tc>
          <w:tcPr>
            <w:cnfStyle w:val="001000000000" w:firstRow="0" w:lastRow="0" w:firstColumn="1" w:lastColumn="0" w:oddVBand="0" w:evenVBand="0" w:oddHBand="0" w:evenHBand="0" w:firstRowFirstColumn="0" w:firstRowLastColumn="0" w:lastRowFirstColumn="0" w:lastRowLastColumn="0"/>
            <w:tcW w:w="1239" w:type="dxa"/>
            <w:vMerge/>
            <w:hideMark/>
          </w:tcPr>
          <w:p w14:paraId="7EBCE23C"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2F401168"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val="restart"/>
            <w:hideMark/>
          </w:tcPr>
          <w:p w14:paraId="47E89521"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PO2 - IP1</w:t>
            </w:r>
          </w:p>
        </w:tc>
        <w:tc>
          <w:tcPr>
            <w:tcW w:w="1276" w:type="dxa"/>
            <w:vMerge w:val="restart"/>
            <w:hideMark/>
          </w:tcPr>
          <w:p w14:paraId="40ADDE5E"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SC5</w:t>
            </w:r>
          </w:p>
        </w:tc>
        <w:tc>
          <w:tcPr>
            <w:tcW w:w="4388" w:type="dxa"/>
            <w:vMerge w:val="restart"/>
            <w:hideMark/>
          </w:tcPr>
          <w:p w14:paraId="69388BA5" w14:textId="77777777" w:rsidR="00211E22" w:rsidRPr="00712256" w:rsidRDefault="00211E22" w:rsidP="00246D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Budování expertních kapacit - transfer technologií</w:t>
            </w:r>
          </w:p>
        </w:tc>
      </w:tr>
      <w:tr w:rsidR="00F36A45" w:rsidRPr="00211E22" w14:paraId="7EEA56D8" w14:textId="77777777" w:rsidTr="00F36A4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39" w:type="dxa"/>
            <w:vMerge/>
            <w:hideMark/>
          </w:tcPr>
          <w:p w14:paraId="20CC049C"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4DD9958F"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2F4B7454"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7CBA8B23"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vMerge/>
            <w:hideMark/>
          </w:tcPr>
          <w:p w14:paraId="1B78A8A4"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r>
      <w:tr w:rsidR="00F36A45" w:rsidRPr="00211E22" w14:paraId="3C322F9E" w14:textId="77777777" w:rsidTr="00F36A45">
        <w:trPr>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7F12904E"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0636F9A6"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06140BC8"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4A14AD28" w14:textId="77777777" w:rsidR="00211E22" w:rsidRPr="00712256" w:rsidRDefault="00211E22" w:rsidP="00D95D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hideMark/>
          </w:tcPr>
          <w:p w14:paraId="1643A589" w14:textId="77777777" w:rsidR="00211E22" w:rsidRPr="00712256" w:rsidRDefault="00211E22" w:rsidP="00246DC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Budování expertních kapacit - transfer technologií</w:t>
            </w:r>
          </w:p>
        </w:tc>
      </w:tr>
      <w:tr w:rsidR="00F36A45" w:rsidRPr="00211E22" w14:paraId="2AA5F1C1" w14:textId="77777777" w:rsidTr="00F36A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dxa"/>
            <w:vMerge/>
            <w:hideMark/>
          </w:tcPr>
          <w:p w14:paraId="6C5998BD"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44456A6B"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36106A1B"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2EC3627B" w14:textId="77777777" w:rsidR="00211E22" w:rsidRPr="00712256" w:rsidRDefault="00211E22" w:rsidP="00D95D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hideMark/>
          </w:tcPr>
          <w:p w14:paraId="18A5C5E7"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Smart Akcelerátor</w:t>
            </w:r>
          </w:p>
        </w:tc>
      </w:tr>
      <w:tr w:rsidR="00F36A45" w:rsidRPr="00211E22" w14:paraId="36557DAA" w14:textId="77777777" w:rsidTr="00F36A45">
        <w:trPr>
          <w:trHeight w:val="219"/>
        </w:trPr>
        <w:tc>
          <w:tcPr>
            <w:cnfStyle w:val="001000000000" w:firstRow="0" w:lastRow="0" w:firstColumn="1" w:lastColumn="0" w:oddVBand="0" w:evenVBand="0" w:oddHBand="0" w:evenHBand="0" w:firstRowFirstColumn="0" w:firstRowLastColumn="0" w:lastRowFirstColumn="0" w:lastRowLastColumn="0"/>
            <w:tcW w:w="1239" w:type="dxa"/>
            <w:vMerge/>
            <w:hideMark/>
          </w:tcPr>
          <w:p w14:paraId="3B3853DA"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val="restart"/>
            <w:hideMark/>
          </w:tcPr>
          <w:p w14:paraId="7AF5AAC2"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OP PPR</w:t>
            </w:r>
          </w:p>
        </w:tc>
        <w:tc>
          <w:tcPr>
            <w:tcW w:w="1637" w:type="dxa"/>
            <w:vMerge w:val="restart"/>
            <w:hideMark/>
          </w:tcPr>
          <w:p w14:paraId="3DA4C924" w14:textId="77777777" w:rsidR="00211E22" w:rsidRPr="00712256" w:rsidRDefault="00211E22" w:rsidP="0071225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PO1 - IP1</w:t>
            </w:r>
          </w:p>
        </w:tc>
        <w:tc>
          <w:tcPr>
            <w:tcW w:w="1276" w:type="dxa"/>
            <w:vMerge w:val="restart"/>
            <w:hideMark/>
          </w:tcPr>
          <w:p w14:paraId="75C53CDF" w14:textId="77777777" w:rsidR="00211E22" w:rsidRPr="00712256" w:rsidRDefault="00211E22" w:rsidP="00246D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712256">
              <w:rPr>
                <w:rFonts w:asciiTheme="minorHAnsi" w:eastAsia="Times New Roman" w:hAnsiTheme="minorHAnsi" w:cs="Arial"/>
                <w:color w:val="auto"/>
                <w:szCs w:val="18"/>
                <w:lang w:eastAsia="cs-CZ"/>
              </w:rPr>
              <w:t>SC1.1</w:t>
            </w:r>
          </w:p>
        </w:tc>
        <w:tc>
          <w:tcPr>
            <w:tcW w:w="4388" w:type="dxa"/>
            <w:vMerge w:val="restart"/>
            <w:hideMark/>
          </w:tcPr>
          <w:p w14:paraId="2ABD2C34" w14:textId="77777777" w:rsidR="00211E22" w:rsidRPr="00712256" w:rsidRDefault="00211E22" w:rsidP="0071225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sidRPr="00712256">
              <w:rPr>
                <w:rFonts w:asciiTheme="minorHAnsi" w:eastAsia="Times New Roman" w:hAnsiTheme="minorHAnsi" w:cs="Arial"/>
                <w:color w:val="auto"/>
                <w:szCs w:val="18"/>
                <w:lang w:eastAsia="cs-CZ"/>
              </w:rPr>
              <w:t xml:space="preserve">8. Zadávaní veřejných zakázek v </w:t>
            </w:r>
            <w:proofErr w:type="spellStart"/>
            <w:r w:rsidRPr="00712256">
              <w:rPr>
                <w:rFonts w:asciiTheme="minorHAnsi" w:eastAsia="Times New Roman" w:hAnsiTheme="minorHAnsi" w:cs="Arial"/>
                <w:color w:val="auto"/>
                <w:szCs w:val="18"/>
                <w:lang w:eastAsia="cs-CZ"/>
              </w:rPr>
              <w:t>předobchodní</w:t>
            </w:r>
            <w:proofErr w:type="spellEnd"/>
            <w:r w:rsidRPr="00712256">
              <w:rPr>
                <w:rFonts w:asciiTheme="minorHAnsi" w:eastAsia="Times New Roman" w:hAnsiTheme="minorHAnsi" w:cs="Arial"/>
                <w:color w:val="auto"/>
                <w:szCs w:val="18"/>
                <w:lang w:eastAsia="cs-CZ"/>
              </w:rPr>
              <w:t xml:space="preserve"> fázi</w:t>
            </w:r>
            <w:r w:rsidRPr="00712256">
              <w:rPr>
                <w:rFonts w:asciiTheme="minorHAnsi" w:eastAsia="Times New Roman" w:hAnsiTheme="minorHAnsi" w:cs="Arial"/>
                <w:color w:val="auto"/>
                <w:szCs w:val="18"/>
                <w:lang w:eastAsia="cs-CZ"/>
              </w:rPr>
              <w:br/>
              <w:t>9. Projekty spolupráce výzkumného sektoru s aplikační sférou- Inovační Vouchery</w:t>
            </w:r>
          </w:p>
        </w:tc>
      </w:tr>
      <w:tr w:rsidR="00F36A45" w:rsidRPr="00211E22" w14:paraId="0FFF793A" w14:textId="77777777" w:rsidTr="00F36A45">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39" w:type="dxa"/>
            <w:vMerge/>
            <w:hideMark/>
          </w:tcPr>
          <w:p w14:paraId="08C2B422"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308539DE" w14:textId="77777777" w:rsidR="00211E22" w:rsidRPr="00712256" w:rsidRDefault="00211E22" w:rsidP="00CE2F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0209D85D"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4EBE0BAD"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vMerge/>
            <w:hideMark/>
          </w:tcPr>
          <w:p w14:paraId="6BD2C5E9" w14:textId="77777777" w:rsidR="00211E22" w:rsidRPr="00712256" w:rsidRDefault="00211E22" w:rsidP="00D95D9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p>
        </w:tc>
      </w:tr>
      <w:tr w:rsidR="00F36A45" w:rsidRPr="00211E22" w14:paraId="404D2B08" w14:textId="77777777" w:rsidTr="00F36A45">
        <w:trPr>
          <w:trHeight w:val="219"/>
        </w:trPr>
        <w:tc>
          <w:tcPr>
            <w:cnfStyle w:val="001000000000" w:firstRow="0" w:lastRow="0" w:firstColumn="1" w:lastColumn="0" w:oddVBand="0" w:evenVBand="0" w:oddHBand="0" w:evenHBand="0" w:firstRowFirstColumn="0" w:firstRowLastColumn="0" w:lastRowFirstColumn="0" w:lastRowLastColumn="0"/>
            <w:tcW w:w="1239" w:type="dxa"/>
            <w:vMerge/>
            <w:hideMark/>
          </w:tcPr>
          <w:p w14:paraId="56DA6A07" w14:textId="77777777" w:rsidR="00211E22" w:rsidRPr="00712256" w:rsidRDefault="00211E22" w:rsidP="00211E22">
            <w:pPr>
              <w:spacing w:after="0" w:line="240" w:lineRule="auto"/>
              <w:rPr>
                <w:rFonts w:asciiTheme="minorHAnsi" w:eastAsia="Times New Roman" w:hAnsiTheme="minorHAnsi" w:cs="Arial"/>
                <w:color w:val="auto"/>
                <w:szCs w:val="18"/>
                <w:lang w:eastAsia="cs-CZ"/>
              </w:rPr>
            </w:pPr>
          </w:p>
        </w:tc>
        <w:tc>
          <w:tcPr>
            <w:tcW w:w="1088" w:type="dxa"/>
            <w:vMerge/>
            <w:hideMark/>
          </w:tcPr>
          <w:p w14:paraId="14228515" w14:textId="77777777" w:rsidR="00211E22" w:rsidRPr="00712256" w:rsidRDefault="00211E22" w:rsidP="00CE2F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637" w:type="dxa"/>
            <w:vMerge/>
            <w:hideMark/>
          </w:tcPr>
          <w:p w14:paraId="0B5837BF" w14:textId="77777777" w:rsidR="00211E22" w:rsidRPr="00712256" w:rsidRDefault="00211E22" w:rsidP="00D95D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1276" w:type="dxa"/>
            <w:vMerge/>
            <w:hideMark/>
          </w:tcPr>
          <w:p w14:paraId="525F47F1" w14:textId="77777777" w:rsidR="00211E22" w:rsidRPr="00712256" w:rsidRDefault="00211E22" w:rsidP="00D95D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p>
        </w:tc>
        <w:tc>
          <w:tcPr>
            <w:tcW w:w="4388" w:type="dxa"/>
            <w:vMerge/>
            <w:hideMark/>
          </w:tcPr>
          <w:p w14:paraId="2C57D32D" w14:textId="77777777" w:rsidR="00211E22" w:rsidRPr="00712256" w:rsidRDefault="00211E22" w:rsidP="00D95D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p>
        </w:tc>
      </w:tr>
    </w:tbl>
    <w:p w14:paraId="0EF454FA" w14:textId="77777777" w:rsidR="00211E22" w:rsidRDefault="00211E22" w:rsidP="000E21CF">
      <w:pPr>
        <w:jc w:val="both"/>
      </w:pPr>
    </w:p>
    <w:p w14:paraId="4E6CB0FE" w14:textId="77777777" w:rsidR="000E21CF" w:rsidRPr="00ED59C0" w:rsidRDefault="009427E5" w:rsidP="000E21CF">
      <w:pPr>
        <w:jc w:val="both"/>
      </w:pPr>
      <w:r>
        <w:t>T</w:t>
      </w:r>
      <w:r w:rsidR="00ED59C0">
        <w:t>abulka uvádí přehled míry plnění relevantních cílů RIS3 podle celkových způsobilých výdajů. Zdrojem</w:t>
      </w:r>
      <w:r w:rsidR="006007CE">
        <w:t xml:space="preserve"> dat</w:t>
      </w:r>
      <w:r w:rsidR="00ED59C0">
        <w:t xml:space="preserve"> je výroční zpráva RIS3 za rok 2017.</w:t>
      </w:r>
      <w:r w:rsidR="000E21CF">
        <w:fldChar w:fldCharType="begin"/>
      </w:r>
      <w:r w:rsidR="000E21CF">
        <w:instrText xml:space="preserve"> LINK </w:instrText>
      </w:r>
      <w:r w:rsidR="00A37C33">
        <w:instrText xml:space="preserve">Excel.Sheet.12 "\\\\ExpanDrive\\4cxqxuzu-2\\Práce\\Deloitte\\MPO - Výsledková evaluace SC1_1\\RIS3\\Podíl na RIS3 strategii.xlsx" List1!R1C1:R4C7 </w:instrText>
      </w:r>
      <w:r w:rsidR="000E21CF">
        <w:instrText xml:space="preserve">\a \f 5 \h  \* MERGEFORMAT </w:instrText>
      </w:r>
      <w:r w:rsidR="000E21CF">
        <w:fldChar w:fldCharType="separate"/>
      </w:r>
    </w:p>
    <w:p w14:paraId="3ACEE6A0" w14:textId="0468DFE7" w:rsidR="00ED59C0" w:rsidRDefault="00ED59C0" w:rsidP="00ED59C0">
      <w:pPr>
        <w:pStyle w:val="Caption"/>
      </w:pPr>
      <w:r>
        <w:t xml:space="preserve">Tabulka </w:t>
      </w:r>
      <w:r>
        <w:fldChar w:fldCharType="begin"/>
      </w:r>
      <w:r>
        <w:instrText xml:space="preserve"> SEQ Tabulka \* ARABIC </w:instrText>
      </w:r>
      <w:r>
        <w:fldChar w:fldCharType="separate"/>
      </w:r>
      <w:r w:rsidR="00F77CAE">
        <w:rPr>
          <w:noProof/>
        </w:rPr>
        <w:t>5</w:t>
      </w:r>
      <w:r>
        <w:fldChar w:fldCharType="end"/>
      </w:r>
      <w:r>
        <w:t xml:space="preserve"> - Míra plnění RIS3 – podle celkových způsobilých výdajů, stav 2017</w:t>
      </w:r>
    </w:p>
    <w:tbl>
      <w:tblPr>
        <w:tblStyle w:val="ListTable3-Accent11"/>
        <w:tblW w:w="5000" w:type="pct"/>
        <w:jc w:val="center"/>
        <w:tblLayout w:type="fixed"/>
        <w:tblLook w:val="04A0" w:firstRow="1" w:lastRow="0" w:firstColumn="1" w:lastColumn="0" w:noHBand="0" w:noVBand="1"/>
      </w:tblPr>
      <w:tblGrid>
        <w:gridCol w:w="942"/>
        <w:gridCol w:w="1797"/>
        <w:gridCol w:w="1250"/>
        <w:gridCol w:w="1521"/>
        <w:gridCol w:w="1525"/>
        <w:gridCol w:w="1386"/>
        <w:gridCol w:w="1207"/>
      </w:tblGrid>
      <w:tr w:rsidR="00CB7B1D" w:rsidRPr="00BB0A57" w14:paraId="6006D4B1" w14:textId="77777777" w:rsidTr="00CB7B1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89" w:type="pct"/>
            <w:noWrap/>
            <w:hideMark/>
          </w:tcPr>
          <w:p w14:paraId="2E72669C" w14:textId="77777777" w:rsidR="000E21CF" w:rsidRPr="00CE2FF0" w:rsidRDefault="000E21CF" w:rsidP="002449AE">
            <w:pPr>
              <w:spacing w:after="0"/>
              <w:jc w:val="both"/>
              <w:rPr>
                <w:color w:val="FFFFFF" w:themeColor="background1"/>
              </w:rPr>
            </w:pPr>
            <w:r w:rsidRPr="00CE2FF0">
              <w:rPr>
                <w:color w:val="FFFFFF" w:themeColor="background1"/>
              </w:rPr>
              <w:t> </w:t>
            </w:r>
            <w:r w:rsidR="006007CE" w:rsidRPr="00CE2FF0">
              <w:rPr>
                <w:color w:val="FFFFFF" w:themeColor="background1"/>
              </w:rPr>
              <w:t>Cíl RIS3</w:t>
            </w:r>
          </w:p>
        </w:tc>
        <w:tc>
          <w:tcPr>
            <w:tcW w:w="933" w:type="pct"/>
            <w:noWrap/>
            <w:hideMark/>
          </w:tcPr>
          <w:p w14:paraId="75D74A62" w14:textId="77777777" w:rsidR="000E21CF"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 xml:space="preserve">Způsobilé výdaje </w:t>
            </w:r>
            <w:r w:rsidR="000E21CF" w:rsidRPr="00BB0A57">
              <w:rPr>
                <w:color w:val="FFFFFF" w:themeColor="background1"/>
              </w:rPr>
              <w:t>OP PIK SC 1.1</w:t>
            </w:r>
          </w:p>
          <w:p w14:paraId="5F4D7807" w14:textId="77777777" w:rsidR="00CB7B1D"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(mil. Kč)</w:t>
            </w:r>
          </w:p>
        </w:tc>
        <w:tc>
          <w:tcPr>
            <w:tcW w:w="649" w:type="pct"/>
            <w:noWrap/>
            <w:hideMark/>
          </w:tcPr>
          <w:p w14:paraId="3A028A12" w14:textId="77777777" w:rsidR="000E21CF"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P</w:t>
            </w:r>
            <w:r w:rsidR="000E21CF" w:rsidRPr="00BB0A57">
              <w:rPr>
                <w:color w:val="FFFFFF" w:themeColor="background1"/>
              </w:rPr>
              <w:t>odíl</w:t>
            </w:r>
            <w:r w:rsidR="00AC3D74" w:rsidRPr="00BB0A57">
              <w:rPr>
                <w:color w:val="FFFFFF" w:themeColor="background1"/>
              </w:rPr>
              <w:t xml:space="preserve"> OP PIK na cíli RIS3</w:t>
            </w:r>
          </w:p>
        </w:tc>
        <w:tc>
          <w:tcPr>
            <w:tcW w:w="790" w:type="pct"/>
            <w:noWrap/>
            <w:hideMark/>
          </w:tcPr>
          <w:p w14:paraId="0E77B31A" w14:textId="77777777" w:rsidR="000E21CF"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 xml:space="preserve">Způsobilé výdaje </w:t>
            </w:r>
            <w:r w:rsidR="000E21CF" w:rsidRPr="00BB0A57">
              <w:rPr>
                <w:color w:val="FFFFFF" w:themeColor="background1"/>
              </w:rPr>
              <w:t>OP PIK jiné</w:t>
            </w:r>
            <w:r w:rsidR="00AC3D74" w:rsidRPr="00BB0A57">
              <w:rPr>
                <w:color w:val="FFFFFF" w:themeColor="background1"/>
              </w:rPr>
              <w:t xml:space="preserve"> </w:t>
            </w:r>
            <w:r w:rsidR="006D1933" w:rsidRPr="00BB0A57">
              <w:rPr>
                <w:color w:val="FFFFFF" w:themeColor="background1"/>
              </w:rPr>
              <w:br/>
            </w:r>
            <w:r w:rsidR="00AC3D74" w:rsidRPr="00BB0A57">
              <w:rPr>
                <w:color w:val="FFFFFF" w:themeColor="background1"/>
              </w:rPr>
              <w:t>(SC 1.2)</w:t>
            </w:r>
          </w:p>
          <w:p w14:paraId="211EA8C4" w14:textId="77777777" w:rsidR="00CB7B1D"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(mil. Kč)</w:t>
            </w:r>
          </w:p>
        </w:tc>
        <w:tc>
          <w:tcPr>
            <w:tcW w:w="792" w:type="pct"/>
            <w:noWrap/>
            <w:hideMark/>
          </w:tcPr>
          <w:p w14:paraId="303D2326" w14:textId="77777777" w:rsidR="000E21CF"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 xml:space="preserve">Způsobilé výdaje </w:t>
            </w:r>
            <w:r w:rsidR="009427E5" w:rsidRPr="00BB0A57">
              <w:rPr>
                <w:color w:val="FFFFFF" w:themeColor="background1"/>
              </w:rPr>
              <w:t xml:space="preserve">OP </w:t>
            </w:r>
            <w:r w:rsidR="000E21CF" w:rsidRPr="00BB0A57">
              <w:rPr>
                <w:color w:val="FFFFFF" w:themeColor="background1"/>
              </w:rPr>
              <w:t>VVV</w:t>
            </w:r>
          </w:p>
          <w:p w14:paraId="347A2845" w14:textId="77777777" w:rsidR="00CB7B1D"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(mil. Kč)</w:t>
            </w:r>
          </w:p>
        </w:tc>
        <w:tc>
          <w:tcPr>
            <w:tcW w:w="720" w:type="pct"/>
            <w:noWrap/>
            <w:hideMark/>
          </w:tcPr>
          <w:p w14:paraId="4D67B323" w14:textId="77777777" w:rsidR="000E21CF"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Způsobilé výdaje</w:t>
            </w:r>
            <w:r w:rsidR="009427E5" w:rsidRPr="00BB0A57">
              <w:rPr>
                <w:color w:val="FFFFFF" w:themeColor="background1"/>
              </w:rPr>
              <w:t xml:space="preserve"> OP</w:t>
            </w:r>
            <w:r w:rsidRPr="00BB0A57">
              <w:rPr>
                <w:color w:val="FFFFFF" w:themeColor="background1"/>
              </w:rPr>
              <w:t xml:space="preserve"> </w:t>
            </w:r>
            <w:r w:rsidR="000E21CF" w:rsidRPr="00BB0A57">
              <w:rPr>
                <w:color w:val="FFFFFF" w:themeColor="background1"/>
              </w:rPr>
              <w:t>PPR</w:t>
            </w:r>
          </w:p>
          <w:p w14:paraId="1E5017EA" w14:textId="77777777" w:rsidR="00CB7B1D"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(mil. Kč)</w:t>
            </w:r>
          </w:p>
        </w:tc>
        <w:tc>
          <w:tcPr>
            <w:tcW w:w="627" w:type="pct"/>
            <w:noWrap/>
            <w:hideMark/>
          </w:tcPr>
          <w:p w14:paraId="01B22974" w14:textId="67FB106C" w:rsidR="000E21CF" w:rsidRPr="00BB0A57" w:rsidRDefault="000E21CF"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Celk</w:t>
            </w:r>
            <w:r w:rsidR="00AC3D74" w:rsidRPr="00BB0A57">
              <w:rPr>
                <w:color w:val="FFFFFF" w:themeColor="background1"/>
              </w:rPr>
              <w:t>ové způsobilé výdaje RIS3</w:t>
            </w:r>
          </w:p>
          <w:p w14:paraId="2AECF885" w14:textId="77777777" w:rsidR="00CB7B1D" w:rsidRPr="00BB0A57" w:rsidRDefault="00CB7B1D"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0A57">
              <w:rPr>
                <w:color w:val="FFFFFF" w:themeColor="background1"/>
              </w:rPr>
              <w:t>(mil. Kč)</w:t>
            </w:r>
          </w:p>
        </w:tc>
      </w:tr>
      <w:tr w:rsidR="00CB7B1D" w:rsidRPr="00905FAC" w14:paraId="59BC7BEF" w14:textId="77777777" w:rsidTr="002449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9" w:type="pct"/>
            <w:noWrap/>
            <w:hideMark/>
          </w:tcPr>
          <w:p w14:paraId="011A7AFF" w14:textId="77777777" w:rsidR="000E21CF" w:rsidRPr="00905FAC" w:rsidRDefault="000E21CF" w:rsidP="002449AE">
            <w:pPr>
              <w:spacing w:after="0"/>
              <w:jc w:val="both"/>
            </w:pPr>
            <w:proofErr w:type="gramStart"/>
            <w:r w:rsidRPr="00905FAC">
              <w:t>A.1.1</w:t>
            </w:r>
            <w:proofErr w:type="gramEnd"/>
          </w:p>
        </w:tc>
        <w:tc>
          <w:tcPr>
            <w:tcW w:w="933" w:type="pct"/>
            <w:noWrap/>
            <w:hideMark/>
          </w:tcPr>
          <w:p w14:paraId="6FED434E"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26,051</w:t>
            </w:r>
          </w:p>
        </w:tc>
        <w:tc>
          <w:tcPr>
            <w:tcW w:w="649" w:type="pct"/>
            <w:noWrap/>
            <w:hideMark/>
          </w:tcPr>
          <w:p w14:paraId="7C3BE9CA"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100,00</w:t>
            </w:r>
            <w:r w:rsidR="00CA3094">
              <w:t xml:space="preserve"> </w:t>
            </w:r>
            <w:r w:rsidRPr="00905FAC">
              <w:t>%</w:t>
            </w:r>
          </w:p>
        </w:tc>
        <w:tc>
          <w:tcPr>
            <w:tcW w:w="790" w:type="pct"/>
            <w:noWrap/>
            <w:hideMark/>
          </w:tcPr>
          <w:p w14:paraId="2184E9B0"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p>
        </w:tc>
        <w:tc>
          <w:tcPr>
            <w:tcW w:w="792" w:type="pct"/>
            <w:noWrap/>
            <w:hideMark/>
          </w:tcPr>
          <w:p w14:paraId="0305CFCB"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p>
        </w:tc>
        <w:tc>
          <w:tcPr>
            <w:tcW w:w="720" w:type="pct"/>
            <w:noWrap/>
            <w:hideMark/>
          </w:tcPr>
          <w:p w14:paraId="110163D5"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p>
        </w:tc>
        <w:tc>
          <w:tcPr>
            <w:tcW w:w="627" w:type="pct"/>
            <w:noWrap/>
            <w:hideMark/>
          </w:tcPr>
          <w:p w14:paraId="7D5FA7FC"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26,051</w:t>
            </w:r>
          </w:p>
        </w:tc>
      </w:tr>
      <w:tr w:rsidR="00CB7B1D" w:rsidRPr="00905FAC" w14:paraId="14F27E8F" w14:textId="77777777" w:rsidTr="002449AE">
        <w:trPr>
          <w:trHeight w:val="300"/>
          <w:jc w:val="center"/>
        </w:trPr>
        <w:tc>
          <w:tcPr>
            <w:cnfStyle w:val="001000000000" w:firstRow="0" w:lastRow="0" w:firstColumn="1" w:lastColumn="0" w:oddVBand="0" w:evenVBand="0" w:oddHBand="0" w:evenHBand="0" w:firstRowFirstColumn="0" w:firstRowLastColumn="0" w:lastRowFirstColumn="0" w:lastRowLastColumn="0"/>
            <w:tcW w:w="489" w:type="pct"/>
            <w:noWrap/>
            <w:hideMark/>
          </w:tcPr>
          <w:p w14:paraId="2EEB76BD" w14:textId="77777777" w:rsidR="000E21CF" w:rsidRPr="00905FAC" w:rsidRDefault="000E21CF" w:rsidP="002449AE">
            <w:pPr>
              <w:spacing w:after="0"/>
              <w:jc w:val="both"/>
            </w:pPr>
            <w:proofErr w:type="gramStart"/>
            <w:r w:rsidRPr="00905FAC">
              <w:t>A.1.2</w:t>
            </w:r>
            <w:proofErr w:type="gramEnd"/>
          </w:p>
        </w:tc>
        <w:tc>
          <w:tcPr>
            <w:tcW w:w="933" w:type="pct"/>
            <w:noWrap/>
            <w:hideMark/>
          </w:tcPr>
          <w:p w14:paraId="1A36EE41"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r w:rsidRPr="00905FAC">
              <w:t>0,079</w:t>
            </w:r>
          </w:p>
        </w:tc>
        <w:tc>
          <w:tcPr>
            <w:tcW w:w="649" w:type="pct"/>
            <w:noWrap/>
            <w:hideMark/>
          </w:tcPr>
          <w:p w14:paraId="485EF2ED"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r w:rsidRPr="00905FAC">
              <w:t>18,63</w:t>
            </w:r>
            <w:r w:rsidR="00CA3094">
              <w:t xml:space="preserve"> </w:t>
            </w:r>
            <w:r w:rsidRPr="00905FAC">
              <w:t>%</w:t>
            </w:r>
          </w:p>
        </w:tc>
        <w:tc>
          <w:tcPr>
            <w:tcW w:w="790" w:type="pct"/>
            <w:noWrap/>
            <w:hideMark/>
          </w:tcPr>
          <w:p w14:paraId="7D9A5A97"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r w:rsidRPr="00905FAC">
              <w:t>0,195</w:t>
            </w:r>
          </w:p>
        </w:tc>
        <w:tc>
          <w:tcPr>
            <w:tcW w:w="792" w:type="pct"/>
            <w:noWrap/>
            <w:hideMark/>
          </w:tcPr>
          <w:p w14:paraId="259253A9"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p>
        </w:tc>
        <w:tc>
          <w:tcPr>
            <w:tcW w:w="720" w:type="pct"/>
            <w:noWrap/>
            <w:hideMark/>
          </w:tcPr>
          <w:p w14:paraId="79A03728"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r w:rsidRPr="00905FAC">
              <w:t>0,15</w:t>
            </w:r>
          </w:p>
        </w:tc>
        <w:tc>
          <w:tcPr>
            <w:tcW w:w="627" w:type="pct"/>
            <w:noWrap/>
            <w:hideMark/>
          </w:tcPr>
          <w:p w14:paraId="127105A6" w14:textId="77777777" w:rsidR="000E21CF" w:rsidRPr="00905FAC" w:rsidRDefault="000E21CF" w:rsidP="002449AE">
            <w:pPr>
              <w:spacing w:after="0"/>
              <w:jc w:val="center"/>
              <w:cnfStyle w:val="000000000000" w:firstRow="0" w:lastRow="0" w:firstColumn="0" w:lastColumn="0" w:oddVBand="0" w:evenVBand="0" w:oddHBand="0" w:evenHBand="0" w:firstRowFirstColumn="0" w:firstRowLastColumn="0" w:lastRowFirstColumn="0" w:lastRowLastColumn="0"/>
            </w:pPr>
            <w:r w:rsidRPr="00905FAC">
              <w:t>0,424</w:t>
            </w:r>
          </w:p>
        </w:tc>
      </w:tr>
      <w:tr w:rsidR="00CB7B1D" w:rsidRPr="00905FAC" w14:paraId="212E00DD" w14:textId="77777777" w:rsidTr="002449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9" w:type="pct"/>
            <w:noWrap/>
            <w:hideMark/>
          </w:tcPr>
          <w:p w14:paraId="35EDF1D7" w14:textId="77777777" w:rsidR="000E21CF" w:rsidRPr="00905FAC" w:rsidRDefault="000E21CF" w:rsidP="002449AE">
            <w:pPr>
              <w:spacing w:after="0"/>
              <w:jc w:val="both"/>
            </w:pPr>
            <w:proofErr w:type="gramStart"/>
            <w:r w:rsidRPr="00905FAC">
              <w:t>C.1.1</w:t>
            </w:r>
            <w:proofErr w:type="gramEnd"/>
          </w:p>
        </w:tc>
        <w:tc>
          <w:tcPr>
            <w:tcW w:w="933" w:type="pct"/>
            <w:noWrap/>
            <w:hideMark/>
          </w:tcPr>
          <w:p w14:paraId="0463A04C"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3,891</w:t>
            </w:r>
          </w:p>
        </w:tc>
        <w:tc>
          <w:tcPr>
            <w:tcW w:w="649" w:type="pct"/>
            <w:noWrap/>
            <w:hideMark/>
          </w:tcPr>
          <w:p w14:paraId="7D093941"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82,23</w:t>
            </w:r>
            <w:r w:rsidR="00CA3094">
              <w:t xml:space="preserve"> </w:t>
            </w:r>
            <w:r w:rsidRPr="00905FAC">
              <w:t>%</w:t>
            </w:r>
          </w:p>
        </w:tc>
        <w:tc>
          <w:tcPr>
            <w:tcW w:w="790" w:type="pct"/>
            <w:noWrap/>
            <w:hideMark/>
          </w:tcPr>
          <w:p w14:paraId="65E674E9"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0,181</w:t>
            </w:r>
          </w:p>
        </w:tc>
        <w:tc>
          <w:tcPr>
            <w:tcW w:w="792" w:type="pct"/>
            <w:noWrap/>
            <w:hideMark/>
          </w:tcPr>
          <w:p w14:paraId="55200A0D"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0,36</w:t>
            </w:r>
          </w:p>
        </w:tc>
        <w:tc>
          <w:tcPr>
            <w:tcW w:w="720" w:type="pct"/>
            <w:noWrap/>
            <w:hideMark/>
          </w:tcPr>
          <w:p w14:paraId="492E74C8"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0,3</w:t>
            </w:r>
          </w:p>
        </w:tc>
        <w:tc>
          <w:tcPr>
            <w:tcW w:w="627" w:type="pct"/>
            <w:noWrap/>
            <w:hideMark/>
          </w:tcPr>
          <w:p w14:paraId="1642F141" w14:textId="77777777" w:rsidR="000E21CF" w:rsidRPr="00905FAC" w:rsidRDefault="000E21CF" w:rsidP="002449AE">
            <w:pPr>
              <w:spacing w:after="0"/>
              <w:jc w:val="center"/>
              <w:cnfStyle w:val="000000100000" w:firstRow="0" w:lastRow="0" w:firstColumn="0" w:lastColumn="0" w:oddVBand="0" w:evenVBand="0" w:oddHBand="1" w:evenHBand="0" w:firstRowFirstColumn="0" w:firstRowLastColumn="0" w:lastRowFirstColumn="0" w:lastRowLastColumn="0"/>
            </w:pPr>
            <w:r w:rsidRPr="00905FAC">
              <w:t>4,732</w:t>
            </w:r>
          </w:p>
        </w:tc>
      </w:tr>
    </w:tbl>
    <w:p w14:paraId="7CE3E53D" w14:textId="77777777" w:rsidR="00D53197" w:rsidRDefault="000E21CF" w:rsidP="00B2069E">
      <w:pPr>
        <w:jc w:val="both"/>
      </w:pPr>
      <w:r>
        <w:fldChar w:fldCharType="end"/>
      </w:r>
    </w:p>
    <w:p w14:paraId="4DDE55E3" w14:textId="77777777" w:rsidR="00D53197" w:rsidRDefault="00BF5D12" w:rsidP="00B2069E">
      <w:pPr>
        <w:jc w:val="both"/>
      </w:pPr>
      <w:r>
        <w:t>Přehled relevantních indikátorů SC1.1, které jsou přejímány do RIS3</w:t>
      </w:r>
      <w:r w:rsidR="00D53197">
        <w:t>:</w:t>
      </w:r>
    </w:p>
    <w:p w14:paraId="6591C1B3" w14:textId="25459F66" w:rsidR="00B37913" w:rsidRDefault="00B37913" w:rsidP="00CE2FF0">
      <w:pPr>
        <w:pStyle w:val="Caption"/>
      </w:pPr>
      <w:r>
        <w:t xml:space="preserve">Tabulka </w:t>
      </w:r>
      <w:r>
        <w:fldChar w:fldCharType="begin"/>
      </w:r>
      <w:r>
        <w:instrText xml:space="preserve"> SEQ Tabulka \* ARABIC </w:instrText>
      </w:r>
      <w:r>
        <w:fldChar w:fldCharType="separate"/>
      </w:r>
      <w:r w:rsidR="00F77CAE">
        <w:rPr>
          <w:noProof/>
        </w:rPr>
        <w:t>6</w:t>
      </w:r>
      <w:r>
        <w:fldChar w:fldCharType="end"/>
      </w:r>
      <w:r>
        <w:t xml:space="preserve"> - Indikátory SC1.1 přebírané do RIS3</w:t>
      </w:r>
    </w:p>
    <w:tbl>
      <w:tblPr>
        <w:tblStyle w:val="ListTable3-Accent11"/>
        <w:tblW w:w="5301" w:type="pct"/>
        <w:jc w:val="center"/>
        <w:tblCellMar>
          <w:left w:w="57" w:type="dxa"/>
          <w:right w:w="57" w:type="dxa"/>
        </w:tblCellMar>
        <w:tblLook w:val="04A0" w:firstRow="1" w:lastRow="0" w:firstColumn="1" w:lastColumn="0" w:noHBand="0" w:noVBand="1"/>
      </w:tblPr>
      <w:tblGrid>
        <w:gridCol w:w="986"/>
        <w:gridCol w:w="687"/>
        <w:gridCol w:w="3433"/>
        <w:gridCol w:w="1274"/>
        <w:gridCol w:w="1623"/>
        <w:gridCol w:w="1160"/>
        <w:gridCol w:w="1081"/>
      </w:tblGrid>
      <w:tr w:rsidR="007A7B9F" w:rsidRPr="00905FAC" w14:paraId="15189E23" w14:textId="77777777" w:rsidTr="00CE2FF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83" w:type="pct"/>
            <w:noWrap/>
            <w:hideMark/>
          </w:tcPr>
          <w:p w14:paraId="23C0E0DF" w14:textId="77777777" w:rsidR="002B1A4B" w:rsidRPr="00905FAC" w:rsidRDefault="002B1A4B" w:rsidP="002B1A4B">
            <w:pPr>
              <w:spacing w:after="0"/>
              <w:jc w:val="both"/>
            </w:pPr>
            <w:r w:rsidRPr="00CE2FF0">
              <w:rPr>
                <w:color w:val="FFFFFF" w:themeColor="background1"/>
              </w:rPr>
              <w:t> Cíl RIS3</w:t>
            </w:r>
          </w:p>
        </w:tc>
        <w:tc>
          <w:tcPr>
            <w:tcW w:w="337" w:type="pct"/>
            <w:noWrap/>
            <w:hideMark/>
          </w:tcPr>
          <w:p w14:paraId="397F939E" w14:textId="77777777" w:rsidR="002B1A4B" w:rsidRPr="00ED59C0"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Kód</w:t>
            </w:r>
          </w:p>
        </w:tc>
        <w:tc>
          <w:tcPr>
            <w:tcW w:w="1682" w:type="pct"/>
            <w:noWrap/>
            <w:hideMark/>
          </w:tcPr>
          <w:p w14:paraId="6E4EEE9C" w14:textId="77777777" w:rsidR="002B1A4B" w:rsidRPr="00ED59C0"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Název</w:t>
            </w:r>
          </w:p>
        </w:tc>
        <w:tc>
          <w:tcPr>
            <w:tcW w:w="624" w:type="pct"/>
            <w:noWrap/>
            <w:hideMark/>
          </w:tcPr>
          <w:p w14:paraId="6524CB2F" w14:textId="77777777" w:rsidR="002B1A4B" w:rsidRPr="00ED59C0"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Měrná </w:t>
            </w:r>
            <w:r w:rsidR="00F8210E">
              <w:rPr>
                <w:color w:val="FFFFFF" w:themeColor="background1"/>
              </w:rPr>
              <w:br/>
            </w:r>
            <w:r>
              <w:rPr>
                <w:color w:val="FFFFFF" w:themeColor="background1"/>
              </w:rPr>
              <w:t>jednotka</w:t>
            </w:r>
          </w:p>
        </w:tc>
        <w:tc>
          <w:tcPr>
            <w:tcW w:w="777" w:type="pct"/>
            <w:noWrap/>
            <w:hideMark/>
          </w:tcPr>
          <w:p w14:paraId="4F93B54C" w14:textId="77777777" w:rsidR="002B1A4B" w:rsidRPr="00ED59C0"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Hodnota </w:t>
            </w:r>
            <w:r w:rsidR="00F8210E">
              <w:rPr>
                <w:color w:val="FFFFFF" w:themeColor="background1"/>
              </w:rPr>
              <w:br/>
            </w:r>
            <w:r>
              <w:rPr>
                <w:color w:val="FFFFFF" w:themeColor="background1"/>
              </w:rPr>
              <w:t xml:space="preserve">dosažená RIS3 </w:t>
            </w:r>
            <w:r w:rsidR="00F8210E">
              <w:rPr>
                <w:color w:val="FFFFFF" w:themeColor="background1"/>
              </w:rPr>
              <w:br/>
              <w:t>(</w:t>
            </w:r>
            <w:r>
              <w:rPr>
                <w:color w:val="FFFFFF" w:themeColor="background1"/>
              </w:rPr>
              <w:t>10/2017</w:t>
            </w:r>
            <w:r w:rsidR="00F8210E">
              <w:rPr>
                <w:color w:val="FFFFFF" w:themeColor="background1"/>
              </w:rPr>
              <w:t>)</w:t>
            </w:r>
          </w:p>
        </w:tc>
        <w:tc>
          <w:tcPr>
            <w:tcW w:w="568" w:type="pct"/>
            <w:noWrap/>
            <w:hideMark/>
          </w:tcPr>
          <w:p w14:paraId="709EFBAC" w14:textId="77777777" w:rsidR="002B1A4B"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 xml:space="preserve">Hodnota </w:t>
            </w:r>
            <w:r w:rsidR="00F8210E">
              <w:rPr>
                <w:color w:val="FFFFFF" w:themeColor="background1"/>
              </w:rPr>
              <w:br/>
            </w:r>
            <w:r>
              <w:rPr>
                <w:color w:val="FFFFFF" w:themeColor="background1"/>
              </w:rPr>
              <w:t>plánovaná</w:t>
            </w:r>
          </w:p>
          <w:p w14:paraId="1E29F83D" w14:textId="77777777" w:rsidR="00BF5D12" w:rsidRDefault="00BF5D12" w:rsidP="002B1A4B">
            <w:pPr>
              <w:spacing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MS2014+</w:t>
            </w:r>
          </w:p>
          <w:p w14:paraId="4B24EE49" w14:textId="77777777" w:rsidR="002B1A4B" w:rsidRPr="00ED59C0"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(1/2019)</w:t>
            </w:r>
          </w:p>
        </w:tc>
        <w:tc>
          <w:tcPr>
            <w:tcW w:w="529" w:type="pct"/>
            <w:noWrap/>
            <w:hideMark/>
          </w:tcPr>
          <w:p w14:paraId="62D65436" w14:textId="77777777" w:rsidR="00BF5D12" w:rsidRDefault="002B1A4B" w:rsidP="002B1A4B">
            <w:pPr>
              <w:spacing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 xml:space="preserve">Hodnota </w:t>
            </w:r>
            <w:r w:rsidR="00F8210E">
              <w:rPr>
                <w:color w:val="FFFFFF" w:themeColor="background1"/>
              </w:rPr>
              <w:br/>
            </w:r>
            <w:r>
              <w:rPr>
                <w:color w:val="FFFFFF" w:themeColor="background1"/>
              </w:rPr>
              <w:t xml:space="preserve">dosažená </w:t>
            </w:r>
          </w:p>
          <w:p w14:paraId="536998D2" w14:textId="77777777" w:rsidR="002B1A4B" w:rsidRPr="00ED59C0" w:rsidRDefault="00BF5D12" w:rsidP="002B1A4B">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MS2014+</w:t>
            </w:r>
            <w:r w:rsidR="00F8210E">
              <w:rPr>
                <w:color w:val="FFFFFF" w:themeColor="background1"/>
              </w:rPr>
              <w:br/>
            </w:r>
            <w:r w:rsidR="002B1A4B">
              <w:rPr>
                <w:color w:val="FFFFFF" w:themeColor="background1"/>
              </w:rPr>
              <w:t>(1/2019)</w:t>
            </w:r>
          </w:p>
        </w:tc>
      </w:tr>
      <w:tr w:rsidR="007A7B9F" w:rsidRPr="00905FAC" w14:paraId="54622733" w14:textId="77777777" w:rsidTr="00CE2F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val="restart"/>
            <w:noWrap/>
            <w:hideMark/>
          </w:tcPr>
          <w:p w14:paraId="6C776321" w14:textId="77777777" w:rsidR="00BF5D12" w:rsidRPr="00905FAC" w:rsidRDefault="00BF5D12" w:rsidP="002B1A4B">
            <w:pPr>
              <w:spacing w:after="0"/>
              <w:jc w:val="both"/>
            </w:pPr>
            <w:r w:rsidRPr="00905FAC">
              <w:t>A.1.1</w:t>
            </w:r>
          </w:p>
        </w:tc>
        <w:tc>
          <w:tcPr>
            <w:tcW w:w="337" w:type="pct"/>
            <w:noWrap/>
          </w:tcPr>
          <w:p w14:paraId="3B22CE97" w14:textId="77777777" w:rsidR="00BF5D12" w:rsidRPr="00905FAC"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10000</w:t>
            </w:r>
          </w:p>
        </w:tc>
        <w:tc>
          <w:tcPr>
            <w:tcW w:w="1682" w:type="pct"/>
            <w:noWrap/>
            <w:vAlign w:val="center"/>
          </w:tcPr>
          <w:p w14:paraId="415C5C62" w14:textId="77777777" w:rsidR="00BF5D12" w:rsidRPr="00905FAC" w:rsidRDefault="00BF5D12" w:rsidP="00CE2FF0">
            <w:pPr>
              <w:spacing w:after="0"/>
              <w:cnfStyle w:val="000000100000" w:firstRow="0" w:lastRow="0" w:firstColumn="0" w:lastColumn="0" w:oddVBand="0" w:evenVBand="0" w:oddHBand="1" w:evenHBand="0" w:firstRowFirstColumn="0" w:firstRowLastColumn="0" w:lastRowFirstColumn="0" w:lastRowLastColumn="0"/>
            </w:pPr>
            <w:r>
              <w:t>Počet podniků pobírajících podporu</w:t>
            </w:r>
          </w:p>
        </w:tc>
        <w:tc>
          <w:tcPr>
            <w:tcW w:w="624" w:type="pct"/>
            <w:noWrap/>
          </w:tcPr>
          <w:p w14:paraId="0F50FA2A" w14:textId="77777777" w:rsidR="00BF5D12" w:rsidRPr="00905FAC"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podniky</w:t>
            </w:r>
          </w:p>
        </w:tc>
        <w:tc>
          <w:tcPr>
            <w:tcW w:w="777" w:type="pct"/>
            <w:noWrap/>
          </w:tcPr>
          <w:p w14:paraId="3099D994" w14:textId="77777777" w:rsidR="00BF5D12" w:rsidRPr="00905FAC"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988</w:t>
            </w:r>
          </w:p>
        </w:tc>
        <w:tc>
          <w:tcPr>
            <w:tcW w:w="568" w:type="pct"/>
            <w:noWrap/>
          </w:tcPr>
          <w:p w14:paraId="193CBEB6" w14:textId="77777777" w:rsidR="00BF5D12" w:rsidRPr="00905FAC" w:rsidRDefault="00B37913" w:rsidP="002B1A4B">
            <w:pPr>
              <w:spacing w:after="0"/>
              <w:jc w:val="center"/>
              <w:cnfStyle w:val="000000100000" w:firstRow="0" w:lastRow="0" w:firstColumn="0" w:lastColumn="0" w:oddVBand="0" w:evenVBand="0" w:oddHBand="1" w:evenHBand="0" w:firstRowFirstColumn="0" w:firstRowLastColumn="0" w:lastRowFirstColumn="0" w:lastRowLastColumn="0"/>
            </w:pPr>
            <w:r>
              <w:t>1142</w:t>
            </w:r>
          </w:p>
        </w:tc>
        <w:tc>
          <w:tcPr>
            <w:tcW w:w="529" w:type="pct"/>
            <w:noWrap/>
          </w:tcPr>
          <w:p w14:paraId="4A6D0B95" w14:textId="77777777" w:rsidR="00BF5D12" w:rsidRPr="00905FAC" w:rsidRDefault="00B37913" w:rsidP="002B1A4B">
            <w:pPr>
              <w:spacing w:after="0"/>
              <w:jc w:val="center"/>
              <w:cnfStyle w:val="000000100000" w:firstRow="0" w:lastRow="0" w:firstColumn="0" w:lastColumn="0" w:oddVBand="0" w:evenVBand="0" w:oddHBand="1" w:evenHBand="0" w:firstRowFirstColumn="0" w:firstRowLastColumn="0" w:lastRowFirstColumn="0" w:lastRowLastColumn="0"/>
            </w:pPr>
            <w:r>
              <w:t>317</w:t>
            </w:r>
          </w:p>
        </w:tc>
      </w:tr>
      <w:tr w:rsidR="007A7B9F" w:rsidRPr="00905FAC" w14:paraId="2C012DF6" w14:textId="77777777" w:rsidTr="00CE2FF0">
        <w:trPr>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5486A1B9" w14:textId="77777777" w:rsidR="00BF5D12" w:rsidRPr="00905FAC" w:rsidRDefault="00BF5D12" w:rsidP="002B1A4B">
            <w:pPr>
              <w:spacing w:after="0"/>
              <w:jc w:val="both"/>
            </w:pPr>
          </w:p>
        </w:tc>
        <w:tc>
          <w:tcPr>
            <w:tcW w:w="337" w:type="pct"/>
            <w:noWrap/>
          </w:tcPr>
          <w:p w14:paraId="4BF71A03"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21610</w:t>
            </w:r>
          </w:p>
        </w:tc>
        <w:tc>
          <w:tcPr>
            <w:tcW w:w="1682" w:type="pct"/>
            <w:noWrap/>
            <w:vAlign w:val="center"/>
          </w:tcPr>
          <w:p w14:paraId="61ADBCD4" w14:textId="77777777" w:rsidR="00BF5D12" w:rsidRDefault="00BF5D12" w:rsidP="002B1A4B">
            <w:pPr>
              <w:spacing w:after="0"/>
              <w:cnfStyle w:val="000000000000" w:firstRow="0" w:lastRow="0" w:firstColumn="0" w:lastColumn="0" w:oddVBand="0" w:evenVBand="0" w:oddHBand="0" w:evenHBand="0" w:firstRowFirstColumn="0" w:firstRowLastColumn="0" w:lastRowFirstColumn="0" w:lastRowLastColumn="0"/>
            </w:pPr>
            <w:r>
              <w:t xml:space="preserve">Počet nových přihlášených výsledků </w:t>
            </w:r>
            <w:r w:rsidR="00F8210E">
              <w:br/>
            </w:r>
            <w:r>
              <w:t>aplikovaného výzkumu</w:t>
            </w:r>
          </w:p>
        </w:tc>
        <w:tc>
          <w:tcPr>
            <w:tcW w:w="624" w:type="pct"/>
            <w:noWrap/>
          </w:tcPr>
          <w:p w14:paraId="613205C1"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výsledky</w:t>
            </w:r>
          </w:p>
        </w:tc>
        <w:tc>
          <w:tcPr>
            <w:tcW w:w="777" w:type="pct"/>
            <w:noWrap/>
          </w:tcPr>
          <w:p w14:paraId="571396CD"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488</w:t>
            </w:r>
          </w:p>
        </w:tc>
        <w:tc>
          <w:tcPr>
            <w:tcW w:w="568" w:type="pct"/>
            <w:noWrap/>
          </w:tcPr>
          <w:p w14:paraId="258D2093" w14:textId="77777777" w:rsidR="00BF5D12" w:rsidRPr="00905FAC" w:rsidRDefault="00B37913" w:rsidP="002B1A4B">
            <w:pPr>
              <w:spacing w:after="0"/>
              <w:jc w:val="center"/>
              <w:cnfStyle w:val="000000000000" w:firstRow="0" w:lastRow="0" w:firstColumn="0" w:lastColumn="0" w:oddVBand="0" w:evenVBand="0" w:oddHBand="0" w:evenHBand="0" w:firstRowFirstColumn="0" w:firstRowLastColumn="0" w:lastRowFirstColumn="0" w:lastRowLastColumn="0"/>
            </w:pPr>
            <w:r>
              <w:t>1561</w:t>
            </w:r>
          </w:p>
        </w:tc>
        <w:tc>
          <w:tcPr>
            <w:tcW w:w="529" w:type="pct"/>
            <w:noWrap/>
          </w:tcPr>
          <w:p w14:paraId="322762AC" w14:textId="77777777" w:rsidR="00BF5D12" w:rsidRPr="00905FAC" w:rsidRDefault="00B37913" w:rsidP="002B1A4B">
            <w:pPr>
              <w:spacing w:after="0"/>
              <w:jc w:val="center"/>
              <w:cnfStyle w:val="000000000000" w:firstRow="0" w:lastRow="0" w:firstColumn="0" w:lastColumn="0" w:oddVBand="0" w:evenVBand="0" w:oddHBand="0" w:evenHBand="0" w:firstRowFirstColumn="0" w:firstRowLastColumn="0" w:lastRowFirstColumn="0" w:lastRowLastColumn="0"/>
            </w:pPr>
            <w:r>
              <w:t>143</w:t>
            </w:r>
          </w:p>
        </w:tc>
      </w:tr>
      <w:tr w:rsidR="007A7B9F" w:rsidRPr="00905FAC" w14:paraId="4E0C76AF" w14:textId="77777777" w:rsidTr="00CE2F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444D092A" w14:textId="77777777" w:rsidR="00BF5D12" w:rsidRPr="00905FAC" w:rsidRDefault="00BF5D12" w:rsidP="002B1A4B">
            <w:pPr>
              <w:spacing w:after="0"/>
              <w:jc w:val="both"/>
            </w:pPr>
          </w:p>
        </w:tc>
        <w:tc>
          <w:tcPr>
            <w:tcW w:w="337" w:type="pct"/>
            <w:noWrap/>
          </w:tcPr>
          <w:p w14:paraId="5A655F15" w14:textId="77777777" w:rsidR="00BF5D12"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22501</w:t>
            </w:r>
          </w:p>
        </w:tc>
        <w:tc>
          <w:tcPr>
            <w:tcW w:w="1682" w:type="pct"/>
            <w:noWrap/>
            <w:vAlign w:val="center"/>
          </w:tcPr>
          <w:p w14:paraId="7DFD85C3" w14:textId="77777777" w:rsidR="00BF5D12" w:rsidRDefault="00BF5D12" w:rsidP="002B1A4B">
            <w:pPr>
              <w:spacing w:after="0"/>
              <w:cnfStyle w:val="000000100000" w:firstRow="0" w:lastRow="0" w:firstColumn="0" w:lastColumn="0" w:oddVBand="0" w:evenVBand="0" w:oddHBand="1" w:evenHBand="0" w:firstRowFirstColumn="0" w:firstRowLastColumn="0" w:lastRowFirstColumn="0" w:lastRowLastColumn="0"/>
            </w:pPr>
            <w:r>
              <w:t>Počet zavedených inovací</w:t>
            </w:r>
          </w:p>
        </w:tc>
        <w:tc>
          <w:tcPr>
            <w:tcW w:w="624" w:type="pct"/>
            <w:noWrap/>
          </w:tcPr>
          <w:p w14:paraId="02018194" w14:textId="77777777" w:rsidR="00BF5D12"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inovace</w:t>
            </w:r>
          </w:p>
        </w:tc>
        <w:tc>
          <w:tcPr>
            <w:tcW w:w="777" w:type="pct"/>
            <w:noWrap/>
          </w:tcPr>
          <w:p w14:paraId="0ED4C86F" w14:textId="77777777" w:rsidR="00BF5D12" w:rsidRDefault="00BF5D12" w:rsidP="002B1A4B">
            <w:pPr>
              <w:spacing w:after="0"/>
              <w:jc w:val="center"/>
              <w:cnfStyle w:val="000000100000" w:firstRow="0" w:lastRow="0" w:firstColumn="0" w:lastColumn="0" w:oddVBand="0" w:evenVBand="0" w:oddHBand="1" w:evenHBand="0" w:firstRowFirstColumn="0" w:firstRowLastColumn="0" w:lastRowFirstColumn="0" w:lastRowLastColumn="0"/>
            </w:pPr>
            <w:r>
              <w:t>474</w:t>
            </w:r>
          </w:p>
        </w:tc>
        <w:tc>
          <w:tcPr>
            <w:tcW w:w="568" w:type="pct"/>
            <w:noWrap/>
          </w:tcPr>
          <w:p w14:paraId="141A109D" w14:textId="77777777" w:rsidR="00BF5D12" w:rsidRPr="00905FAC" w:rsidRDefault="00B37913" w:rsidP="002B1A4B">
            <w:pPr>
              <w:spacing w:after="0"/>
              <w:jc w:val="center"/>
              <w:cnfStyle w:val="000000100000" w:firstRow="0" w:lastRow="0" w:firstColumn="0" w:lastColumn="0" w:oddVBand="0" w:evenVBand="0" w:oddHBand="1" w:evenHBand="0" w:firstRowFirstColumn="0" w:firstRowLastColumn="0" w:lastRowFirstColumn="0" w:lastRowLastColumn="0"/>
            </w:pPr>
            <w:r>
              <w:t>1611</w:t>
            </w:r>
          </w:p>
        </w:tc>
        <w:tc>
          <w:tcPr>
            <w:tcW w:w="529" w:type="pct"/>
            <w:noWrap/>
          </w:tcPr>
          <w:p w14:paraId="46FC09B0" w14:textId="77777777" w:rsidR="00BF5D12" w:rsidRPr="00905FAC" w:rsidRDefault="00B37913" w:rsidP="002B1A4B">
            <w:pPr>
              <w:spacing w:after="0"/>
              <w:jc w:val="center"/>
              <w:cnfStyle w:val="000000100000" w:firstRow="0" w:lastRow="0" w:firstColumn="0" w:lastColumn="0" w:oddVBand="0" w:evenVBand="0" w:oddHBand="1" w:evenHBand="0" w:firstRowFirstColumn="0" w:firstRowLastColumn="0" w:lastRowFirstColumn="0" w:lastRowLastColumn="0"/>
            </w:pPr>
            <w:r>
              <w:t>580</w:t>
            </w:r>
          </w:p>
        </w:tc>
      </w:tr>
      <w:tr w:rsidR="007A7B9F" w:rsidRPr="00905FAC" w14:paraId="506C2923" w14:textId="77777777" w:rsidTr="00CE2FF0">
        <w:trPr>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4F31F7EE" w14:textId="77777777" w:rsidR="00BF5D12" w:rsidRPr="00905FAC" w:rsidRDefault="00BF5D12" w:rsidP="002B1A4B">
            <w:pPr>
              <w:spacing w:after="0"/>
              <w:jc w:val="both"/>
            </w:pPr>
          </w:p>
        </w:tc>
        <w:tc>
          <w:tcPr>
            <w:tcW w:w="337" w:type="pct"/>
            <w:noWrap/>
          </w:tcPr>
          <w:p w14:paraId="4B0155EE"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24102</w:t>
            </w:r>
          </w:p>
        </w:tc>
        <w:tc>
          <w:tcPr>
            <w:tcW w:w="1682" w:type="pct"/>
            <w:noWrap/>
            <w:vAlign w:val="center"/>
          </w:tcPr>
          <w:p w14:paraId="0D4A5797" w14:textId="77777777" w:rsidR="00BF5D12" w:rsidRDefault="00BF5D12" w:rsidP="007A7B9F">
            <w:pPr>
              <w:spacing w:after="0"/>
              <w:cnfStyle w:val="000000000000" w:firstRow="0" w:lastRow="0" w:firstColumn="0" w:lastColumn="0" w:oddVBand="0" w:evenVBand="0" w:oddHBand="0" w:evenHBand="0" w:firstRowFirstColumn="0" w:firstRowLastColumn="0" w:lastRowFirstColumn="0" w:lastRowLastColumn="0"/>
            </w:pPr>
            <w:r>
              <w:t xml:space="preserve">Počet nových, rozšířených či </w:t>
            </w:r>
            <w:r w:rsidR="00F8210E">
              <w:br/>
            </w:r>
            <w:r>
              <w:t xml:space="preserve">modernizovaných výzkumných </w:t>
            </w:r>
            <w:r w:rsidR="00F8210E">
              <w:br/>
            </w:r>
            <w:r>
              <w:t>pracovišť podniků</w:t>
            </w:r>
          </w:p>
        </w:tc>
        <w:tc>
          <w:tcPr>
            <w:tcW w:w="624" w:type="pct"/>
            <w:noWrap/>
          </w:tcPr>
          <w:p w14:paraId="780F044F"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pracoviště</w:t>
            </w:r>
          </w:p>
        </w:tc>
        <w:tc>
          <w:tcPr>
            <w:tcW w:w="777" w:type="pct"/>
            <w:noWrap/>
          </w:tcPr>
          <w:p w14:paraId="73253D56" w14:textId="77777777" w:rsidR="00BF5D12" w:rsidRDefault="00BF5D12" w:rsidP="002B1A4B">
            <w:pPr>
              <w:spacing w:after="0"/>
              <w:jc w:val="center"/>
              <w:cnfStyle w:val="000000000000" w:firstRow="0" w:lastRow="0" w:firstColumn="0" w:lastColumn="0" w:oddVBand="0" w:evenVBand="0" w:oddHBand="0" w:evenHBand="0" w:firstRowFirstColumn="0" w:firstRowLastColumn="0" w:lastRowFirstColumn="0" w:lastRowLastColumn="0"/>
            </w:pPr>
            <w:r>
              <w:t>202</w:t>
            </w:r>
          </w:p>
        </w:tc>
        <w:tc>
          <w:tcPr>
            <w:tcW w:w="568" w:type="pct"/>
            <w:noWrap/>
          </w:tcPr>
          <w:p w14:paraId="76AF0925" w14:textId="77777777" w:rsidR="00BF5D12" w:rsidRPr="00905FAC" w:rsidRDefault="00B37913" w:rsidP="002B1A4B">
            <w:pPr>
              <w:spacing w:after="0"/>
              <w:jc w:val="center"/>
              <w:cnfStyle w:val="000000000000" w:firstRow="0" w:lastRow="0" w:firstColumn="0" w:lastColumn="0" w:oddVBand="0" w:evenVBand="0" w:oddHBand="0" w:evenHBand="0" w:firstRowFirstColumn="0" w:firstRowLastColumn="0" w:lastRowFirstColumn="0" w:lastRowLastColumn="0"/>
            </w:pPr>
            <w:r>
              <w:t>299</w:t>
            </w:r>
          </w:p>
        </w:tc>
        <w:tc>
          <w:tcPr>
            <w:tcW w:w="529" w:type="pct"/>
            <w:noWrap/>
          </w:tcPr>
          <w:p w14:paraId="33FEC8DA" w14:textId="77777777" w:rsidR="00BF5D12" w:rsidRPr="00905FAC" w:rsidRDefault="00B37913" w:rsidP="002B1A4B">
            <w:pPr>
              <w:spacing w:after="0"/>
              <w:jc w:val="center"/>
              <w:cnfStyle w:val="000000000000" w:firstRow="0" w:lastRow="0" w:firstColumn="0" w:lastColumn="0" w:oddVBand="0" w:evenVBand="0" w:oddHBand="0" w:evenHBand="0" w:firstRowFirstColumn="0" w:firstRowLastColumn="0" w:lastRowFirstColumn="0" w:lastRowLastColumn="0"/>
            </w:pPr>
            <w:r>
              <w:t>107</w:t>
            </w:r>
          </w:p>
        </w:tc>
      </w:tr>
      <w:tr w:rsidR="007A7B9F" w:rsidRPr="00905FAC" w14:paraId="70E4B552" w14:textId="77777777" w:rsidTr="00CE2F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val="restart"/>
            <w:noWrap/>
            <w:hideMark/>
          </w:tcPr>
          <w:p w14:paraId="60730AAA" w14:textId="77777777" w:rsidR="00BF5D12" w:rsidRPr="00905FAC" w:rsidRDefault="00BF5D12" w:rsidP="00BF5D12">
            <w:pPr>
              <w:spacing w:after="0"/>
              <w:jc w:val="both"/>
            </w:pPr>
            <w:r w:rsidRPr="00905FAC">
              <w:t>A.1.2</w:t>
            </w:r>
          </w:p>
        </w:tc>
        <w:tc>
          <w:tcPr>
            <w:tcW w:w="337" w:type="pct"/>
            <w:noWrap/>
          </w:tcPr>
          <w:p w14:paraId="386D0BA0" w14:textId="77777777" w:rsidR="00BF5D12" w:rsidRPr="00905FAC"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10000</w:t>
            </w:r>
          </w:p>
        </w:tc>
        <w:tc>
          <w:tcPr>
            <w:tcW w:w="1682" w:type="pct"/>
            <w:noWrap/>
            <w:vAlign w:val="center"/>
          </w:tcPr>
          <w:p w14:paraId="4A63DA3B" w14:textId="77777777" w:rsidR="00BF5D12" w:rsidRPr="00905FAC" w:rsidRDefault="00BF5D12" w:rsidP="00CE2FF0">
            <w:pPr>
              <w:spacing w:after="0"/>
              <w:cnfStyle w:val="000000100000" w:firstRow="0" w:lastRow="0" w:firstColumn="0" w:lastColumn="0" w:oddVBand="0" w:evenVBand="0" w:oddHBand="1" w:evenHBand="0" w:firstRowFirstColumn="0" w:firstRowLastColumn="0" w:lastRowFirstColumn="0" w:lastRowLastColumn="0"/>
            </w:pPr>
            <w:r>
              <w:t>Počet podniků pobírajících podporu</w:t>
            </w:r>
          </w:p>
        </w:tc>
        <w:tc>
          <w:tcPr>
            <w:tcW w:w="624" w:type="pct"/>
            <w:noWrap/>
          </w:tcPr>
          <w:p w14:paraId="73B7F2DB" w14:textId="77777777" w:rsidR="00BF5D12" w:rsidRPr="00905FAC"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podniky</w:t>
            </w:r>
          </w:p>
        </w:tc>
        <w:tc>
          <w:tcPr>
            <w:tcW w:w="777" w:type="pct"/>
            <w:noWrap/>
          </w:tcPr>
          <w:p w14:paraId="72ECAB33" w14:textId="77777777" w:rsidR="00BF5D12" w:rsidRPr="00905FAC"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988</w:t>
            </w:r>
          </w:p>
        </w:tc>
        <w:tc>
          <w:tcPr>
            <w:tcW w:w="568" w:type="pct"/>
            <w:noWrap/>
          </w:tcPr>
          <w:p w14:paraId="7C70B63D"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1142</w:t>
            </w:r>
          </w:p>
        </w:tc>
        <w:tc>
          <w:tcPr>
            <w:tcW w:w="529" w:type="pct"/>
            <w:noWrap/>
          </w:tcPr>
          <w:p w14:paraId="0B0C45F6"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317</w:t>
            </w:r>
          </w:p>
        </w:tc>
      </w:tr>
      <w:tr w:rsidR="007A7B9F" w:rsidRPr="00905FAC" w14:paraId="76FDB102" w14:textId="77777777" w:rsidTr="00CE2FF0">
        <w:trPr>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110D0B85" w14:textId="77777777" w:rsidR="00BF5D12" w:rsidRPr="00905FAC" w:rsidRDefault="00BF5D12" w:rsidP="00BF5D12">
            <w:pPr>
              <w:spacing w:after="0"/>
              <w:jc w:val="both"/>
            </w:pPr>
          </w:p>
        </w:tc>
        <w:tc>
          <w:tcPr>
            <w:tcW w:w="337" w:type="pct"/>
            <w:noWrap/>
          </w:tcPr>
          <w:p w14:paraId="3C7FA331" w14:textId="77777777" w:rsidR="00BF5D12"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21411</w:t>
            </w:r>
          </w:p>
        </w:tc>
        <w:tc>
          <w:tcPr>
            <w:tcW w:w="1682" w:type="pct"/>
            <w:noWrap/>
            <w:vAlign w:val="center"/>
          </w:tcPr>
          <w:p w14:paraId="07A45949" w14:textId="77777777" w:rsidR="00BF5D12" w:rsidRDefault="00BF5D12" w:rsidP="00BF5D12">
            <w:pPr>
              <w:spacing w:after="0"/>
              <w:cnfStyle w:val="000000000000" w:firstRow="0" w:lastRow="0" w:firstColumn="0" w:lastColumn="0" w:oddVBand="0" w:evenVBand="0" w:oddHBand="0" w:evenHBand="0" w:firstRowFirstColumn="0" w:firstRowLastColumn="0" w:lastRowFirstColumn="0" w:lastRowLastColumn="0"/>
            </w:pPr>
            <w:r>
              <w:t xml:space="preserve">Tržby z inovované produkce jako </w:t>
            </w:r>
            <w:r w:rsidR="00F8210E">
              <w:br/>
            </w:r>
            <w:r>
              <w:t xml:space="preserve">% celkových tržeb podniků </w:t>
            </w:r>
            <w:r w:rsidR="00F8210E">
              <w:br/>
            </w:r>
            <w:r>
              <w:t>s produktovou inovací – mimo Prahy</w:t>
            </w:r>
          </w:p>
        </w:tc>
        <w:tc>
          <w:tcPr>
            <w:tcW w:w="624" w:type="pct"/>
            <w:noWrap/>
          </w:tcPr>
          <w:p w14:paraId="4701E7C3" w14:textId="77777777" w:rsidR="00BF5D12"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w:t>
            </w:r>
          </w:p>
        </w:tc>
        <w:tc>
          <w:tcPr>
            <w:tcW w:w="777" w:type="pct"/>
            <w:noWrap/>
          </w:tcPr>
          <w:p w14:paraId="2F24FE0E" w14:textId="77777777" w:rsidR="00BF5D12"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w:t>
            </w:r>
          </w:p>
        </w:tc>
        <w:tc>
          <w:tcPr>
            <w:tcW w:w="568" w:type="pct"/>
            <w:noWrap/>
          </w:tcPr>
          <w:p w14:paraId="39332D3D" w14:textId="77777777" w:rsidR="00BF5D12" w:rsidRPr="00905FAC" w:rsidRDefault="00B37913" w:rsidP="00BF5D12">
            <w:pPr>
              <w:spacing w:after="0"/>
              <w:jc w:val="center"/>
              <w:cnfStyle w:val="000000000000" w:firstRow="0" w:lastRow="0" w:firstColumn="0" w:lastColumn="0" w:oddVBand="0" w:evenVBand="0" w:oddHBand="0" w:evenHBand="0" w:firstRowFirstColumn="0" w:firstRowLastColumn="0" w:lastRowFirstColumn="0" w:lastRowLastColumn="0"/>
            </w:pPr>
            <w:r>
              <w:t>-</w:t>
            </w:r>
          </w:p>
        </w:tc>
        <w:tc>
          <w:tcPr>
            <w:tcW w:w="529" w:type="pct"/>
            <w:noWrap/>
          </w:tcPr>
          <w:p w14:paraId="7B5B41F1" w14:textId="77777777" w:rsidR="00BF5D12" w:rsidRPr="00905FAC" w:rsidRDefault="00B37913" w:rsidP="00BF5D12">
            <w:pPr>
              <w:spacing w:after="0"/>
              <w:jc w:val="center"/>
              <w:cnfStyle w:val="000000000000" w:firstRow="0" w:lastRow="0" w:firstColumn="0" w:lastColumn="0" w:oddVBand="0" w:evenVBand="0" w:oddHBand="0" w:evenHBand="0" w:firstRowFirstColumn="0" w:firstRowLastColumn="0" w:lastRowFirstColumn="0" w:lastRowLastColumn="0"/>
            </w:pPr>
            <w:r>
              <w:t>27,4</w:t>
            </w:r>
          </w:p>
        </w:tc>
      </w:tr>
      <w:tr w:rsidR="007A7B9F" w:rsidRPr="00905FAC" w14:paraId="54ACCDCF" w14:textId="77777777" w:rsidTr="00CE2F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7D7CA0AB" w14:textId="77777777" w:rsidR="00BF5D12" w:rsidRPr="00905FAC" w:rsidRDefault="00BF5D12" w:rsidP="00BF5D12">
            <w:pPr>
              <w:spacing w:after="0"/>
              <w:jc w:val="both"/>
            </w:pPr>
          </w:p>
        </w:tc>
        <w:tc>
          <w:tcPr>
            <w:tcW w:w="337" w:type="pct"/>
            <w:noWrap/>
          </w:tcPr>
          <w:p w14:paraId="312CC592"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22002</w:t>
            </w:r>
          </w:p>
        </w:tc>
        <w:tc>
          <w:tcPr>
            <w:tcW w:w="1682" w:type="pct"/>
            <w:noWrap/>
            <w:vAlign w:val="center"/>
          </w:tcPr>
          <w:p w14:paraId="1DA438D9" w14:textId="77777777" w:rsidR="00BF5D12" w:rsidRDefault="00BF5D12" w:rsidP="00BF5D12">
            <w:pPr>
              <w:spacing w:after="0"/>
              <w:cnfStyle w:val="000000100000" w:firstRow="0" w:lastRow="0" w:firstColumn="0" w:lastColumn="0" w:oddVBand="0" w:evenVBand="0" w:oddHBand="1" w:evenHBand="0" w:firstRowFirstColumn="0" w:firstRowLastColumn="0" w:lastRowFirstColumn="0" w:lastRowLastColumn="0"/>
            </w:pPr>
            <w:r>
              <w:t xml:space="preserve">Počet nových udělených patentů </w:t>
            </w:r>
            <w:r w:rsidR="00F8210E">
              <w:br/>
            </w:r>
            <w:r>
              <w:t xml:space="preserve">a dalších práv ochrany </w:t>
            </w:r>
            <w:r w:rsidR="00F8210E">
              <w:br/>
            </w:r>
            <w:r>
              <w:t>průmyslového vlastnictví</w:t>
            </w:r>
          </w:p>
        </w:tc>
        <w:tc>
          <w:tcPr>
            <w:tcW w:w="624" w:type="pct"/>
            <w:noWrap/>
          </w:tcPr>
          <w:p w14:paraId="4025A942"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 xml:space="preserve">patenty </w:t>
            </w:r>
            <w:r w:rsidR="00F8210E">
              <w:br/>
            </w:r>
            <w:r>
              <w:t>a další práva</w:t>
            </w:r>
          </w:p>
        </w:tc>
        <w:tc>
          <w:tcPr>
            <w:tcW w:w="777" w:type="pct"/>
            <w:noWrap/>
          </w:tcPr>
          <w:p w14:paraId="7FDB2D4D"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232</w:t>
            </w:r>
          </w:p>
        </w:tc>
        <w:tc>
          <w:tcPr>
            <w:tcW w:w="568" w:type="pct"/>
            <w:noWrap/>
          </w:tcPr>
          <w:p w14:paraId="1665EB7F"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422</w:t>
            </w:r>
          </w:p>
        </w:tc>
        <w:tc>
          <w:tcPr>
            <w:tcW w:w="529" w:type="pct"/>
            <w:noWrap/>
          </w:tcPr>
          <w:p w14:paraId="5F0818D0"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111</w:t>
            </w:r>
          </w:p>
        </w:tc>
      </w:tr>
      <w:tr w:rsidR="007A7B9F" w:rsidRPr="00905FAC" w14:paraId="0C4B6E0D" w14:textId="77777777" w:rsidTr="00CE2FF0">
        <w:trPr>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val="restart"/>
            <w:noWrap/>
            <w:hideMark/>
          </w:tcPr>
          <w:p w14:paraId="04606DC5" w14:textId="77777777" w:rsidR="00BF5D12" w:rsidRPr="00905FAC" w:rsidRDefault="00BF5D12" w:rsidP="00BF5D12">
            <w:pPr>
              <w:spacing w:after="0"/>
              <w:jc w:val="both"/>
            </w:pPr>
            <w:r w:rsidRPr="00905FAC">
              <w:t>C.1.1</w:t>
            </w:r>
          </w:p>
        </w:tc>
        <w:tc>
          <w:tcPr>
            <w:tcW w:w="337" w:type="pct"/>
            <w:noWrap/>
          </w:tcPr>
          <w:p w14:paraId="025FE3CE" w14:textId="77777777" w:rsidR="00BF5D12" w:rsidRPr="00905FAC"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10000</w:t>
            </w:r>
          </w:p>
        </w:tc>
        <w:tc>
          <w:tcPr>
            <w:tcW w:w="1682" w:type="pct"/>
            <w:noWrap/>
            <w:vAlign w:val="center"/>
          </w:tcPr>
          <w:p w14:paraId="33B30305" w14:textId="77777777" w:rsidR="00BF5D12" w:rsidRPr="00905FAC" w:rsidRDefault="00BF5D12" w:rsidP="00CE2FF0">
            <w:pPr>
              <w:spacing w:after="0"/>
              <w:cnfStyle w:val="000000000000" w:firstRow="0" w:lastRow="0" w:firstColumn="0" w:lastColumn="0" w:oddVBand="0" w:evenVBand="0" w:oddHBand="0" w:evenHBand="0" w:firstRowFirstColumn="0" w:firstRowLastColumn="0" w:lastRowFirstColumn="0" w:lastRowLastColumn="0"/>
            </w:pPr>
            <w:r>
              <w:t>Počet podniků pobírajících podporu</w:t>
            </w:r>
          </w:p>
        </w:tc>
        <w:tc>
          <w:tcPr>
            <w:tcW w:w="624" w:type="pct"/>
            <w:noWrap/>
          </w:tcPr>
          <w:p w14:paraId="75879E99" w14:textId="77777777" w:rsidR="00BF5D12" w:rsidRPr="00905FAC"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podniky</w:t>
            </w:r>
          </w:p>
        </w:tc>
        <w:tc>
          <w:tcPr>
            <w:tcW w:w="777" w:type="pct"/>
            <w:noWrap/>
          </w:tcPr>
          <w:p w14:paraId="6EDC44DF" w14:textId="77777777" w:rsidR="00BF5D12" w:rsidRPr="00905FAC" w:rsidRDefault="00BF5D12" w:rsidP="00BF5D12">
            <w:pPr>
              <w:spacing w:after="0"/>
              <w:jc w:val="center"/>
              <w:cnfStyle w:val="000000000000" w:firstRow="0" w:lastRow="0" w:firstColumn="0" w:lastColumn="0" w:oddVBand="0" w:evenVBand="0" w:oddHBand="0" w:evenHBand="0" w:firstRowFirstColumn="0" w:firstRowLastColumn="0" w:lastRowFirstColumn="0" w:lastRowLastColumn="0"/>
            </w:pPr>
            <w:r>
              <w:t>988</w:t>
            </w:r>
          </w:p>
        </w:tc>
        <w:tc>
          <w:tcPr>
            <w:tcW w:w="568" w:type="pct"/>
            <w:noWrap/>
          </w:tcPr>
          <w:p w14:paraId="134B116E" w14:textId="77777777" w:rsidR="00BF5D12" w:rsidRPr="00905FAC" w:rsidRDefault="00B37913" w:rsidP="00BF5D12">
            <w:pPr>
              <w:spacing w:after="0"/>
              <w:jc w:val="center"/>
              <w:cnfStyle w:val="000000000000" w:firstRow="0" w:lastRow="0" w:firstColumn="0" w:lastColumn="0" w:oddVBand="0" w:evenVBand="0" w:oddHBand="0" w:evenHBand="0" w:firstRowFirstColumn="0" w:firstRowLastColumn="0" w:lastRowFirstColumn="0" w:lastRowLastColumn="0"/>
            </w:pPr>
            <w:r>
              <w:t>1142</w:t>
            </w:r>
          </w:p>
        </w:tc>
        <w:tc>
          <w:tcPr>
            <w:tcW w:w="529" w:type="pct"/>
            <w:noWrap/>
          </w:tcPr>
          <w:p w14:paraId="41E86A86" w14:textId="77777777" w:rsidR="00BF5D12" w:rsidRPr="00905FAC" w:rsidRDefault="00B37913" w:rsidP="00BF5D12">
            <w:pPr>
              <w:spacing w:after="0"/>
              <w:jc w:val="center"/>
              <w:cnfStyle w:val="000000000000" w:firstRow="0" w:lastRow="0" w:firstColumn="0" w:lastColumn="0" w:oddVBand="0" w:evenVBand="0" w:oddHBand="0" w:evenHBand="0" w:firstRowFirstColumn="0" w:firstRowLastColumn="0" w:lastRowFirstColumn="0" w:lastRowLastColumn="0"/>
            </w:pPr>
            <w:r>
              <w:t>317</w:t>
            </w:r>
          </w:p>
        </w:tc>
      </w:tr>
      <w:tr w:rsidR="007A7B9F" w:rsidRPr="00905FAC" w14:paraId="53F68AA1" w14:textId="77777777" w:rsidTr="00CE2FF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3" w:type="pct"/>
            <w:vMerge/>
            <w:noWrap/>
          </w:tcPr>
          <w:p w14:paraId="44C99442" w14:textId="77777777" w:rsidR="00BF5D12" w:rsidRPr="00905FAC" w:rsidRDefault="00BF5D12" w:rsidP="00BF5D12">
            <w:pPr>
              <w:spacing w:after="0"/>
              <w:jc w:val="both"/>
            </w:pPr>
          </w:p>
        </w:tc>
        <w:tc>
          <w:tcPr>
            <w:tcW w:w="337" w:type="pct"/>
            <w:noWrap/>
          </w:tcPr>
          <w:p w14:paraId="04496FE9"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21610</w:t>
            </w:r>
          </w:p>
        </w:tc>
        <w:tc>
          <w:tcPr>
            <w:tcW w:w="1682" w:type="pct"/>
            <w:noWrap/>
            <w:vAlign w:val="center"/>
          </w:tcPr>
          <w:p w14:paraId="1056FF82" w14:textId="77777777" w:rsidR="00BF5D12" w:rsidRDefault="00BF5D12" w:rsidP="00BF5D12">
            <w:pPr>
              <w:spacing w:after="0"/>
              <w:cnfStyle w:val="000000100000" w:firstRow="0" w:lastRow="0" w:firstColumn="0" w:lastColumn="0" w:oddVBand="0" w:evenVBand="0" w:oddHBand="1" w:evenHBand="0" w:firstRowFirstColumn="0" w:firstRowLastColumn="0" w:lastRowFirstColumn="0" w:lastRowLastColumn="0"/>
            </w:pPr>
            <w:r>
              <w:t xml:space="preserve">Počet nových přihlášených výsledků </w:t>
            </w:r>
            <w:r w:rsidR="00F8210E">
              <w:br/>
            </w:r>
            <w:r>
              <w:t>aplikovaného výzkumu</w:t>
            </w:r>
          </w:p>
        </w:tc>
        <w:tc>
          <w:tcPr>
            <w:tcW w:w="624" w:type="pct"/>
            <w:noWrap/>
          </w:tcPr>
          <w:p w14:paraId="7494EB1A"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výsledky</w:t>
            </w:r>
          </w:p>
        </w:tc>
        <w:tc>
          <w:tcPr>
            <w:tcW w:w="777" w:type="pct"/>
            <w:noWrap/>
          </w:tcPr>
          <w:p w14:paraId="100C2C39" w14:textId="77777777" w:rsidR="00BF5D12" w:rsidRDefault="00BF5D12" w:rsidP="00BF5D12">
            <w:pPr>
              <w:spacing w:after="0"/>
              <w:jc w:val="center"/>
              <w:cnfStyle w:val="000000100000" w:firstRow="0" w:lastRow="0" w:firstColumn="0" w:lastColumn="0" w:oddVBand="0" w:evenVBand="0" w:oddHBand="1" w:evenHBand="0" w:firstRowFirstColumn="0" w:firstRowLastColumn="0" w:lastRowFirstColumn="0" w:lastRowLastColumn="0"/>
            </w:pPr>
            <w:r>
              <w:t>525</w:t>
            </w:r>
          </w:p>
        </w:tc>
        <w:tc>
          <w:tcPr>
            <w:tcW w:w="568" w:type="pct"/>
            <w:noWrap/>
          </w:tcPr>
          <w:p w14:paraId="3E095036"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1561</w:t>
            </w:r>
          </w:p>
        </w:tc>
        <w:tc>
          <w:tcPr>
            <w:tcW w:w="529" w:type="pct"/>
            <w:noWrap/>
          </w:tcPr>
          <w:p w14:paraId="065708BA" w14:textId="77777777" w:rsidR="00BF5D12" w:rsidRPr="00905FAC" w:rsidRDefault="00B37913" w:rsidP="00BF5D12">
            <w:pPr>
              <w:spacing w:after="0"/>
              <w:jc w:val="center"/>
              <w:cnfStyle w:val="000000100000" w:firstRow="0" w:lastRow="0" w:firstColumn="0" w:lastColumn="0" w:oddVBand="0" w:evenVBand="0" w:oddHBand="1" w:evenHBand="0" w:firstRowFirstColumn="0" w:firstRowLastColumn="0" w:lastRowFirstColumn="0" w:lastRowLastColumn="0"/>
            </w:pPr>
            <w:r>
              <w:t>143</w:t>
            </w:r>
          </w:p>
        </w:tc>
      </w:tr>
    </w:tbl>
    <w:p w14:paraId="34313222" w14:textId="77777777" w:rsidR="002B1A4B" w:rsidRDefault="002B1A4B" w:rsidP="00B2069E">
      <w:pPr>
        <w:jc w:val="both"/>
      </w:pPr>
      <w:r>
        <w:tab/>
      </w:r>
    </w:p>
    <w:p w14:paraId="33042D03" w14:textId="77777777" w:rsidR="00D73025" w:rsidRDefault="00D73025">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423F943F" w14:textId="77777777" w:rsidR="00B2069E" w:rsidRPr="00D73025" w:rsidRDefault="00B2069E" w:rsidP="00C818D5">
      <w:pPr>
        <w:pStyle w:val="Heading1"/>
        <w:numPr>
          <w:ilvl w:val="0"/>
          <w:numId w:val="2"/>
        </w:numPr>
        <w:tabs>
          <w:tab w:val="left" w:pos="993"/>
        </w:tabs>
        <w:spacing w:after="120"/>
        <w:rPr>
          <w:rFonts w:ascii="Verdana" w:eastAsia="MingLiU" w:hAnsi="Verdana" w:cs="Times New Roman"/>
          <w:b w:val="0"/>
          <w:color w:val="auto"/>
          <w:sz w:val="60"/>
          <w:szCs w:val="60"/>
        </w:rPr>
      </w:pPr>
      <w:bookmarkStart w:id="70" w:name="_Toc11679632"/>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8</w:t>
      </w:r>
      <w:bookmarkEnd w:id="70"/>
    </w:p>
    <w:p w14:paraId="1C270BA8" w14:textId="77777777" w:rsidR="00B2069E" w:rsidRPr="000D5DE1" w:rsidRDefault="00B2069E" w:rsidP="000D5DE1">
      <w:pPr>
        <w:spacing w:after="0"/>
        <w:jc w:val="both"/>
        <w:rPr>
          <w:b/>
        </w:rPr>
      </w:pPr>
    </w:p>
    <w:p w14:paraId="20F6EC8C" w14:textId="77777777" w:rsidR="000D5DE1" w:rsidRPr="000D5DE1" w:rsidRDefault="000D5DE1" w:rsidP="000D5DE1">
      <w:pPr>
        <w:jc w:val="both"/>
        <w:rPr>
          <w:b/>
        </w:rPr>
      </w:pPr>
      <w:r w:rsidRPr="000D5DE1">
        <w:rPr>
          <w:b/>
        </w:rPr>
        <w:t>Jaké jsou nezamýšlené (pozitivní i negativní) efekty v rámci dosahování SC 1.1? Dodavatel zjistí nezamýšlené dop</w:t>
      </w:r>
      <w:r>
        <w:rPr>
          <w:b/>
        </w:rPr>
        <w:t xml:space="preserve">ady </w:t>
      </w:r>
      <w:r w:rsidRPr="00ED59C0">
        <w:rPr>
          <w:b/>
        </w:rPr>
        <w:t>a vyhodnotí jejich význam.</w:t>
      </w:r>
    </w:p>
    <w:p w14:paraId="3BDD7965" w14:textId="77777777" w:rsidR="00E9013E" w:rsidRDefault="00E9013E" w:rsidP="00152DAD">
      <w:pPr>
        <w:pStyle w:val="Heading1"/>
        <w:numPr>
          <w:ilvl w:val="1"/>
          <w:numId w:val="2"/>
        </w:numPr>
        <w:tabs>
          <w:tab w:val="left" w:pos="851"/>
        </w:tabs>
        <w:spacing w:before="240" w:after="120"/>
        <w:ind w:left="714" w:hanging="357"/>
      </w:pPr>
      <w:bookmarkStart w:id="71" w:name="_Toc8825217"/>
      <w:bookmarkStart w:id="72" w:name="_Toc11679633"/>
      <w:r>
        <w:t>Úkol</w:t>
      </w:r>
      <w:bookmarkEnd w:id="71"/>
      <w:bookmarkEnd w:id="72"/>
    </w:p>
    <w:p w14:paraId="3A86FCEC" w14:textId="77777777" w:rsidR="006233C6" w:rsidRDefault="006233C6" w:rsidP="006233C6">
      <w:pPr>
        <w:spacing w:before="113" w:after="113"/>
        <w:jc w:val="both"/>
      </w:pPr>
      <w:r>
        <w:t>Cílem otázky</w:t>
      </w:r>
      <w:r w:rsidR="008E1594">
        <w:t xml:space="preserve"> bylo identifikovat, popsat a vyhodnotit význam nezamýšlených pozitivních a nega</w:t>
      </w:r>
      <w:r>
        <w:t xml:space="preserve">tivních efektů podpory SC 1.1. Vyhodnocení významu efektů a dopadů Uchazeč provedl na škále 1-4, kdy každý posoudil z hlediska: </w:t>
      </w:r>
    </w:p>
    <w:p w14:paraId="67A1AC6B" w14:textId="77777777" w:rsidR="006233C6" w:rsidRDefault="006E0CDD" w:rsidP="006233C6">
      <w:pPr>
        <w:pStyle w:val="ListParagraph"/>
        <w:numPr>
          <w:ilvl w:val="0"/>
          <w:numId w:val="41"/>
        </w:numPr>
        <w:spacing w:before="113" w:after="113"/>
        <w:jc w:val="both"/>
      </w:pPr>
      <w:r>
        <w:t>A</w:t>
      </w:r>
      <w:r w:rsidR="006233C6">
        <w:t>ktuálnosti (zdali se daný efekt či dopad může opakovat)</w:t>
      </w:r>
    </w:p>
    <w:p w14:paraId="40607809" w14:textId="77777777" w:rsidR="006233C6" w:rsidRDefault="006E0CDD" w:rsidP="006233C6">
      <w:pPr>
        <w:pStyle w:val="ListParagraph"/>
        <w:numPr>
          <w:ilvl w:val="0"/>
          <w:numId w:val="41"/>
        </w:numPr>
        <w:spacing w:before="113" w:after="113"/>
        <w:jc w:val="both"/>
      </w:pPr>
      <w:r>
        <w:t>P</w:t>
      </w:r>
      <w:r w:rsidR="006233C6">
        <w:t>řenositelnosti (zdali je rel</w:t>
      </w:r>
      <w:r w:rsidR="007E3C99">
        <w:t>evantní i pro ostatní příjemce)</w:t>
      </w:r>
    </w:p>
    <w:p w14:paraId="4FE9D214" w14:textId="77777777" w:rsidR="006233C6" w:rsidRDefault="006E0CDD" w:rsidP="006233C6">
      <w:pPr>
        <w:pStyle w:val="ListParagraph"/>
        <w:numPr>
          <w:ilvl w:val="0"/>
          <w:numId w:val="41"/>
        </w:numPr>
        <w:spacing w:before="113" w:after="113"/>
        <w:jc w:val="both"/>
      </w:pPr>
      <w:r>
        <w:t>P</w:t>
      </w:r>
      <w:r w:rsidR="007E3C99">
        <w:t>ozitivnosti dopadu (pozitivní nebo negativní dopad na příjemce)</w:t>
      </w:r>
    </w:p>
    <w:p w14:paraId="582D16D1" w14:textId="77777777" w:rsidR="006233C6" w:rsidRDefault="006E0CDD" w:rsidP="006233C6">
      <w:pPr>
        <w:pStyle w:val="ListParagraph"/>
        <w:numPr>
          <w:ilvl w:val="0"/>
          <w:numId w:val="41"/>
        </w:numPr>
        <w:spacing w:before="113" w:after="113"/>
        <w:jc w:val="both"/>
      </w:pPr>
      <w:r>
        <w:t>F</w:t>
      </w:r>
      <w:r w:rsidR="006233C6">
        <w:t>inančních implikací (zdali s sebou nese</w:t>
      </w:r>
      <w:r w:rsidR="007E3C99">
        <w:t xml:space="preserve"> finanční náklady nebo úspory)</w:t>
      </w:r>
    </w:p>
    <w:p w14:paraId="54D129B0" w14:textId="77777777" w:rsidR="00E9013E" w:rsidRDefault="006233C6" w:rsidP="006233C6">
      <w:pPr>
        <w:jc w:val="both"/>
      </w:pPr>
      <w:r>
        <w:t xml:space="preserve">Výsledná hodnota daného efektu nebo dopadu </w:t>
      </w:r>
      <w:r w:rsidR="007E3C99">
        <w:t>je</w:t>
      </w:r>
      <w:r>
        <w:t xml:space="preserve"> průměrem těchto hodnot.</w:t>
      </w:r>
    </w:p>
    <w:p w14:paraId="77393600" w14:textId="77777777" w:rsidR="00E9013E" w:rsidRDefault="00E9013E" w:rsidP="00152DAD">
      <w:pPr>
        <w:pStyle w:val="Heading1"/>
        <w:numPr>
          <w:ilvl w:val="1"/>
          <w:numId w:val="2"/>
        </w:numPr>
        <w:tabs>
          <w:tab w:val="left" w:pos="851"/>
        </w:tabs>
        <w:spacing w:before="240" w:after="120"/>
        <w:ind w:left="714" w:hanging="357"/>
      </w:pPr>
      <w:bookmarkStart w:id="73" w:name="_Toc8825218"/>
      <w:bookmarkStart w:id="74" w:name="_Toc11679634"/>
      <w:r>
        <w:t>Zjištění a doporučení</w:t>
      </w:r>
      <w:bookmarkEnd w:id="73"/>
      <w:bookmarkEnd w:id="74"/>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E9013E" w:rsidRPr="003E4246" w14:paraId="7AC46C57" w14:textId="77777777" w:rsidTr="00EA67F2">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68D9A1DF" w14:textId="77777777" w:rsidR="00E9013E" w:rsidRPr="003E4246" w:rsidRDefault="00E9013E" w:rsidP="00EA67F2">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0023DC3B" w14:textId="77777777" w:rsidR="00E9013E" w:rsidRPr="000159BF" w:rsidRDefault="00EC5E32" w:rsidP="00EA67F2">
            <w:pPr>
              <w:jc w:val="both"/>
              <w:cnfStyle w:val="100000000000" w:firstRow="1" w:lastRow="0" w:firstColumn="0" w:lastColumn="0" w:oddVBand="0" w:evenVBand="0" w:oddHBand="0" w:evenHBand="0" w:firstRowFirstColumn="0" w:firstRowLastColumn="0" w:lastRowFirstColumn="0" w:lastRowLastColumn="0"/>
            </w:pPr>
            <w:r>
              <w:t>Jaké jsou nezamýšlené (pozitivní i negativní) efekty v rámci dosahování SC 1.1?</w:t>
            </w:r>
          </w:p>
        </w:tc>
      </w:tr>
      <w:tr w:rsidR="00E9013E" w14:paraId="5817309A" w14:textId="77777777" w:rsidTr="00EA6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C7D4C8D" w14:textId="77777777" w:rsidR="00E9013E" w:rsidRDefault="00E9013E" w:rsidP="00EA67F2">
            <w:pPr>
              <w:spacing w:before="120" w:after="120"/>
              <w:rPr>
                <w:color w:val="FFFFFF" w:themeColor="background1"/>
              </w:rPr>
            </w:pPr>
            <w:r>
              <w:rPr>
                <w:color w:val="FFFFFF" w:themeColor="background1"/>
              </w:rPr>
              <w:t>Program podpory</w:t>
            </w:r>
          </w:p>
        </w:tc>
        <w:tc>
          <w:tcPr>
            <w:tcW w:w="3777" w:type="pct"/>
          </w:tcPr>
          <w:p w14:paraId="4DEEAAB1" w14:textId="77777777" w:rsidR="00E9013E" w:rsidRPr="007A0414" w:rsidRDefault="00E9013E" w:rsidP="00EA67F2">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E9013E" w14:paraId="492B7B92" w14:textId="77777777" w:rsidTr="00EA67F2">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0CB057CB" w14:textId="77777777" w:rsidR="00E9013E" w:rsidRDefault="00E9013E" w:rsidP="00EA67F2">
            <w:pPr>
              <w:spacing w:after="0"/>
              <w:rPr>
                <w:color w:val="FFFFFF" w:themeColor="background1"/>
              </w:rPr>
            </w:pPr>
            <w:r>
              <w:rPr>
                <w:color w:val="FFFFFF" w:themeColor="background1"/>
              </w:rPr>
              <w:t>Evaluační metody</w:t>
            </w:r>
          </w:p>
        </w:tc>
        <w:tc>
          <w:tcPr>
            <w:tcW w:w="3777" w:type="pct"/>
          </w:tcPr>
          <w:p w14:paraId="6424C409" w14:textId="77777777" w:rsidR="00E9013E" w:rsidRDefault="00E9013E"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Dotazníkové šetření</w:t>
            </w:r>
          </w:p>
          <w:p w14:paraId="71817D6F" w14:textId="77777777" w:rsidR="00E9013E" w:rsidRDefault="00E9013E"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Případové studie</w:t>
            </w:r>
          </w:p>
          <w:p w14:paraId="0FB6084F" w14:textId="77777777" w:rsidR="006007CE" w:rsidRDefault="006007CE"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Expertní panel</w:t>
            </w:r>
          </w:p>
          <w:p w14:paraId="55697146" w14:textId="77777777" w:rsidR="006007CE" w:rsidRPr="007A0414" w:rsidRDefault="006007CE" w:rsidP="002449AE">
            <w:pPr>
              <w:pStyle w:val="ListParagraph"/>
              <w:numPr>
                <w:ilvl w:val="0"/>
                <w:numId w:val="11"/>
              </w:numPr>
              <w:spacing w:after="60"/>
              <w:ind w:left="329" w:hanging="272"/>
              <w:cnfStyle w:val="000000000000" w:firstRow="0" w:lastRow="0" w:firstColumn="0" w:lastColumn="0" w:oddVBand="0" w:evenVBand="0" w:oddHBand="0" w:evenHBand="0" w:firstRowFirstColumn="0" w:firstRowLastColumn="0" w:lastRowFirstColumn="0" w:lastRowLastColumn="0"/>
            </w:pPr>
            <w:r>
              <w:t>Individuální rozhovory</w:t>
            </w:r>
          </w:p>
        </w:tc>
      </w:tr>
      <w:tr w:rsidR="00E9013E" w14:paraId="1ADCBCEA" w14:textId="77777777" w:rsidTr="00EA6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4307485" w14:textId="77777777" w:rsidR="00E9013E" w:rsidRPr="00622A6D" w:rsidRDefault="00E9013E" w:rsidP="00EA67F2">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71F2DC0B" w14:textId="77777777" w:rsidR="00E9013E" w:rsidRPr="006C2B94" w:rsidRDefault="006C2B94" w:rsidP="002449AE">
            <w:pPr>
              <w:pStyle w:val="ListParagraph"/>
              <w:numPr>
                <w:ilvl w:val="0"/>
                <w:numId w:val="43"/>
              </w:numPr>
              <w:spacing w:after="60"/>
              <w:ind w:left="329" w:hanging="272"/>
              <w:cnfStyle w:val="000000100000" w:firstRow="0" w:lastRow="0" w:firstColumn="0" w:lastColumn="0" w:oddVBand="0" w:evenVBand="0" w:oddHBand="1" w:evenHBand="0" w:firstRowFirstColumn="0" w:firstRowLastColumn="0" w:lastRowFirstColumn="0" w:lastRowLastColumn="0"/>
              <w:rPr>
                <w:b/>
              </w:rPr>
            </w:pPr>
            <w:r w:rsidRPr="006C2B94">
              <w:rPr>
                <w:b/>
              </w:rPr>
              <w:t>Hlavní zjištěné pozitivní a negativní efekty podpory jsou uvedeny v přehledové</w:t>
            </w:r>
            <w:r w:rsidR="004C74A0" w:rsidRPr="006C2B94">
              <w:rPr>
                <w:b/>
              </w:rPr>
              <w:t xml:space="preserve"> tabul</w:t>
            </w:r>
            <w:r w:rsidRPr="006C2B94">
              <w:rPr>
                <w:b/>
              </w:rPr>
              <w:t>ce</w:t>
            </w:r>
            <w:r w:rsidR="004C74A0" w:rsidRPr="006C2B94">
              <w:rPr>
                <w:b/>
              </w:rPr>
              <w:t xml:space="preserve"> níže</w:t>
            </w:r>
            <w:r w:rsidR="000807F3">
              <w:rPr>
                <w:b/>
              </w:rPr>
              <w:t>.</w:t>
            </w:r>
          </w:p>
          <w:p w14:paraId="0CF08803" w14:textId="77777777" w:rsidR="008F63FB" w:rsidRPr="00A36DB8" w:rsidRDefault="008F63FB" w:rsidP="002449AE">
            <w:pPr>
              <w:pStyle w:val="ListParagraph"/>
              <w:numPr>
                <w:ilvl w:val="0"/>
                <w:numId w:val="13"/>
              </w:numPr>
              <w:spacing w:after="60"/>
              <w:ind w:left="329" w:hanging="272"/>
              <w:cnfStyle w:val="000000100000" w:firstRow="0" w:lastRow="0" w:firstColumn="0" w:lastColumn="0" w:oddVBand="0" w:evenVBand="0" w:oddHBand="1" w:evenHBand="0" w:firstRowFirstColumn="0" w:firstRowLastColumn="0" w:lastRowFirstColumn="0" w:lastRowLastColumn="0"/>
              <w:rPr>
                <w:b/>
              </w:rPr>
            </w:pPr>
            <w:r>
              <w:t xml:space="preserve">Jako nejdůležitější nezamýšlený pozitivní efekt je možné označit </w:t>
            </w:r>
            <w:r w:rsidRPr="00A36DB8">
              <w:rPr>
                <w:b/>
              </w:rPr>
              <w:t xml:space="preserve">přilákání zahraničních investorů, mateřských společností a </w:t>
            </w:r>
            <w:r w:rsidR="006007CE">
              <w:rPr>
                <w:b/>
              </w:rPr>
              <w:t xml:space="preserve">motivace k výstavbě </w:t>
            </w:r>
            <w:proofErr w:type="spellStart"/>
            <w:r w:rsidRPr="00A36DB8">
              <w:rPr>
                <w:b/>
              </w:rPr>
              <w:t>VaV</w:t>
            </w:r>
            <w:proofErr w:type="spellEnd"/>
            <w:r w:rsidRPr="00A36DB8">
              <w:rPr>
                <w:b/>
              </w:rPr>
              <w:t xml:space="preserve"> center </w:t>
            </w:r>
            <w:r w:rsidR="006007CE">
              <w:rPr>
                <w:b/>
              </w:rPr>
              <w:t xml:space="preserve">v ČR </w:t>
            </w:r>
            <w:r w:rsidRPr="00A36DB8">
              <w:rPr>
                <w:b/>
              </w:rPr>
              <w:t>díky nabídce podpory OP PIK</w:t>
            </w:r>
            <w:r w:rsidR="000807F3">
              <w:rPr>
                <w:b/>
              </w:rPr>
              <w:t>.</w:t>
            </w:r>
          </w:p>
          <w:p w14:paraId="029E91DE" w14:textId="77777777" w:rsidR="00A36DB8" w:rsidRDefault="008F63FB" w:rsidP="002449AE">
            <w:pPr>
              <w:pStyle w:val="ListParagraph"/>
              <w:numPr>
                <w:ilvl w:val="0"/>
                <w:numId w:val="42"/>
              </w:numPr>
              <w:spacing w:after="60"/>
              <w:ind w:left="329" w:hanging="272"/>
              <w:cnfStyle w:val="000000100000" w:firstRow="0" w:lastRow="0" w:firstColumn="0" w:lastColumn="0" w:oddVBand="0" w:evenVBand="0" w:oddHBand="1" w:evenHBand="0" w:firstRowFirstColumn="0" w:firstRowLastColumn="0" w:lastRowFirstColumn="0" w:lastRowLastColumn="0"/>
            </w:pPr>
            <w:r>
              <w:t>Za nejdůležitější negativní efekt, se kterým se Dodavatel setkal u všech příjemců dotace</w:t>
            </w:r>
            <w:r w:rsidR="00CB7B1D">
              <w:t>,</w:t>
            </w:r>
            <w:r>
              <w:t xml:space="preserve"> je </w:t>
            </w:r>
            <w:r w:rsidRPr="00A36DB8">
              <w:rPr>
                <w:b/>
              </w:rPr>
              <w:t>enormní administrativní zátěž</w:t>
            </w:r>
            <w:r>
              <w:t xml:space="preserve"> příjemce spojená s procesem podávání žádostí o podporu a následnou realizací podpořeného projektu.</w:t>
            </w:r>
          </w:p>
          <w:p w14:paraId="184E9CA9" w14:textId="77777777" w:rsidR="00C74905" w:rsidRDefault="00A36DB8" w:rsidP="0063122F">
            <w:pPr>
              <w:pStyle w:val="ListParagraph"/>
              <w:numPr>
                <w:ilvl w:val="0"/>
                <w:numId w:val="42"/>
              </w:numPr>
              <w:spacing w:after="60"/>
              <w:ind w:left="329" w:hanging="272"/>
              <w:cnfStyle w:val="000000100000" w:firstRow="0" w:lastRow="0" w:firstColumn="0" w:lastColumn="0" w:oddVBand="0" w:evenVBand="0" w:oddHBand="1" w:evenHBand="0" w:firstRowFirstColumn="0" w:firstRowLastColumn="0" w:lastRowFirstColumn="0" w:lastRowLastColumn="0"/>
            </w:pPr>
            <w:r>
              <w:t xml:space="preserve">Dalšími velmi často uváděnými negativními efekty byly </w:t>
            </w:r>
            <w:r w:rsidRPr="00C74905">
              <w:rPr>
                <w:b/>
              </w:rPr>
              <w:t xml:space="preserve">dlouhé časové prodlevy při hodnocení a schvalování </w:t>
            </w:r>
            <w:r w:rsidR="0063122F">
              <w:rPr>
                <w:b/>
              </w:rPr>
              <w:t>dotace a při dalších krocích v rámci projektu a administrace</w:t>
            </w:r>
            <w:r w:rsidRPr="00C74905">
              <w:rPr>
                <w:b/>
              </w:rPr>
              <w:t> </w:t>
            </w:r>
            <w:proofErr w:type="spellStart"/>
            <w:r w:rsidR="00C74905">
              <w:rPr>
                <w:b/>
              </w:rPr>
              <w:t>ŽoP</w:t>
            </w:r>
            <w:proofErr w:type="spellEnd"/>
            <w:r>
              <w:t>. Tyto prodlevy pak měly za následek zpoždě</w:t>
            </w:r>
            <w:r w:rsidRPr="00A36DB8">
              <w:t>ní při zavedení inovace a při její flexibilní úpravě</w:t>
            </w:r>
            <w:r>
              <w:t xml:space="preserve"> (což může </w:t>
            </w:r>
            <w:r w:rsidRPr="00A36DB8">
              <w:t>být konkurenční nevýhodou</w:t>
            </w:r>
            <w:r>
              <w:t>) a z</w:t>
            </w:r>
            <w:r w:rsidRPr="00A36DB8">
              <w:t xml:space="preserve">výšené finanční náklady </w:t>
            </w:r>
            <w:r>
              <w:t>spojené s n</w:t>
            </w:r>
            <w:r w:rsidRPr="00A36DB8">
              <w:t>utnost</w:t>
            </w:r>
            <w:r>
              <w:t>í</w:t>
            </w:r>
            <w:r w:rsidRPr="00A36DB8">
              <w:t xml:space="preserve"> projekt předělávat</w:t>
            </w:r>
            <w:r w:rsidR="00C74905">
              <w:t>, popř.</w:t>
            </w:r>
            <w:r w:rsidRPr="00A36DB8">
              <w:t xml:space="preserve"> financovat </w:t>
            </w:r>
            <w:r>
              <w:t xml:space="preserve">prostřednictvím překlenovacího financování často spojeného s úroky </w:t>
            </w:r>
            <w:r w:rsidR="00C74905">
              <w:t xml:space="preserve">(což </w:t>
            </w:r>
            <w:r w:rsidR="00F61012">
              <w:t xml:space="preserve">především </w:t>
            </w:r>
            <w:r w:rsidR="0063122F">
              <w:t>p</w:t>
            </w:r>
            <w:r w:rsidR="00F61012">
              <w:t xml:space="preserve">ro </w:t>
            </w:r>
            <w:r w:rsidR="00C74905" w:rsidRPr="00C74905">
              <w:t xml:space="preserve">mikro-, malé a střední podniky </w:t>
            </w:r>
            <w:r w:rsidR="00F61012">
              <w:t xml:space="preserve">může </w:t>
            </w:r>
            <w:r w:rsidR="00C74905" w:rsidRPr="00C74905">
              <w:t>v případě i</w:t>
            </w:r>
            <w:r w:rsidR="00C74905">
              <w:t xml:space="preserve">nvestičně objemnějších projektů </w:t>
            </w:r>
            <w:r w:rsidR="00F61012">
              <w:t>způsobovat problémy</w:t>
            </w:r>
            <w:r w:rsidR="00C74905" w:rsidRPr="00C74905">
              <w:t xml:space="preserve"> s cash </w:t>
            </w:r>
            <w:proofErr w:type="spellStart"/>
            <w:r w:rsidR="00C74905" w:rsidRPr="00C74905">
              <w:t>flow</w:t>
            </w:r>
            <w:proofErr w:type="spellEnd"/>
            <w:r w:rsidR="00C74905" w:rsidRPr="00C74905">
              <w:t xml:space="preserve"> </w:t>
            </w:r>
            <w:r w:rsidR="0063122F">
              <w:t xml:space="preserve">a v extrémních případech až k neschopnosti </w:t>
            </w:r>
            <w:r w:rsidR="00C74905" w:rsidRPr="00C74905">
              <w:t>spláce</w:t>
            </w:r>
            <w:r w:rsidR="00F61012">
              <w:t>t komerční úvěry</w:t>
            </w:r>
            <w:r w:rsidR="0063122F">
              <w:t>)</w:t>
            </w:r>
            <w:r w:rsidR="00C74905" w:rsidRPr="00C74905">
              <w:t>.</w:t>
            </w:r>
          </w:p>
        </w:tc>
      </w:tr>
      <w:tr w:rsidR="00EC5E32" w14:paraId="6CFD7D03" w14:textId="77777777" w:rsidTr="00EA67F2">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1482C5C" w14:textId="77777777" w:rsidR="00EC5E32" w:rsidRPr="00622A6D" w:rsidRDefault="00EC5E32" w:rsidP="00EC5E32">
            <w:pPr>
              <w:spacing w:after="0"/>
              <w:rPr>
                <w:color w:val="FFFFFF" w:themeColor="background1"/>
              </w:rPr>
            </w:pPr>
            <w:r w:rsidRPr="00622A6D">
              <w:rPr>
                <w:color w:val="FFFFFF" w:themeColor="background1"/>
              </w:rPr>
              <w:t>Doporučení</w:t>
            </w:r>
            <w:r>
              <w:rPr>
                <w:color w:val="FFFFFF" w:themeColor="background1"/>
              </w:rPr>
              <w:t xml:space="preserve"> pro současné program. období</w:t>
            </w:r>
          </w:p>
        </w:tc>
        <w:tc>
          <w:tcPr>
            <w:tcW w:w="3777" w:type="pct"/>
          </w:tcPr>
          <w:p w14:paraId="68DA869B" w14:textId="77777777" w:rsidR="00EC5E32" w:rsidRDefault="00EC5E32"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Sníž</w:t>
            </w:r>
            <w:r w:rsidR="000807F3">
              <w:rPr>
                <w:b/>
              </w:rPr>
              <w:t>it</w:t>
            </w:r>
            <w:r w:rsidR="0063122F">
              <w:rPr>
                <w:b/>
              </w:rPr>
              <w:t xml:space="preserve"> administrativní zátěž</w:t>
            </w:r>
            <w:r w:rsidRPr="00724351">
              <w:rPr>
                <w:b/>
              </w:rPr>
              <w:t xml:space="preserve"> spojen</w:t>
            </w:r>
            <w:r w:rsidR="000807F3">
              <w:rPr>
                <w:b/>
              </w:rPr>
              <w:t>ou</w:t>
            </w:r>
            <w:r w:rsidRPr="00724351">
              <w:rPr>
                <w:b/>
              </w:rPr>
              <w:t xml:space="preserve"> s předkládáním projektových žádostí a realizac</w:t>
            </w:r>
            <w:r w:rsidR="000807F3">
              <w:rPr>
                <w:b/>
              </w:rPr>
              <w:t>í</w:t>
            </w:r>
            <w:r w:rsidRPr="00724351">
              <w:rPr>
                <w:b/>
              </w:rPr>
              <w:t xml:space="preserve"> podpořených projektů</w:t>
            </w:r>
            <w:r>
              <w:t xml:space="preserve"> (např. omezení duplicitního zadávání údajů a nahrávání dokumentů do ISKP)</w:t>
            </w:r>
            <w:r w:rsidR="0063122F">
              <w:t>,</w:t>
            </w:r>
            <w:r w:rsidR="000807F3">
              <w:t xml:space="preserve"> </w:t>
            </w:r>
            <w:r w:rsidR="0063122F">
              <w:t>zvýšit</w:t>
            </w:r>
            <w:r w:rsidR="000807F3">
              <w:t xml:space="preserve"> limit pro výběr dodavatele</w:t>
            </w:r>
            <w:r>
              <w:t>.</w:t>
            </w:r>
          </w:p>
          <w:p w14:paraId="226AE990" w14:textId="77777777" w:rsidR="00EC5E32" w:rsidRDefault="000807F3"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Pr>
                <w:b/>
              </w:rPr>
              <w:t>Eliminovat časté změny</w:t>
            </w:r>
            <w:r w:rsidR="00EC5E32" w:rsidRPr="00B454A0">
              <w:rPr>
                <w:b/>
              </w:rPr>
              <w:t xml:space="preserve"> pravidel a metodik podpory</w:t>
            </w:r>
            <w:r w:rsidR="00EC5E32">
              <w:t>, sjednocení výkladu</w:t>
            </w:r>
            <w:r>
              <w:t xml:space="preserve"> pravidel</w:t>
            </w:r>
            <w:r w:rsidR="00EC5E32">
              <w:t xml:space="preserve"> napříč ŘO, API a kontrolními orgány. </w:t>
            </w:r>
          </w:p>
          <w:p w14:paraId="7A8EF973" w14:textId="77777777" w:rsidR="00EC5E32" w:rsidRDefault="00EC5E32"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Urychl</w:t>
            </w:r>
            <w:r w:rsidR="000807F3">
              <w:rPr>
                <w:b/>
              </w:rPr>
              <w:t>it</w:t>
            </w:r>
            <w:r w:rsidRPr="00724351">
              <w:rPr>
                <w:b/>
              </w:rPr>
              <w:t xml:space="preserve"> proces</w:t>
            </w:r>
            <w:r w:rsidR="000807F3">
              <w:rPr>
                <w:b/>
              </w:rPr>
              <w:t>y hodnocení a schvalování</w:t>
            </w:r>
            <w:r>
              <w:t xml:space="preserve"> projektových žádostí a žádostí o platbu</w:t>
            </w:r>
            <w:r w:rsidR="00A36DB8">
              <w:t xml:space="preserve"> (např. </w:t>
            </w:r>
            <w:r w:rsidR="0050445A">
              <w:t>prostřednictvím automatizace)</w:t>
            </w:r>
            <w:r>
              <w:t>.</w:t>
            </w:r>
          </w:p>
          <w:p w14:paraId="5A049D33" w14:textId="77777777" w:rsidR="00EC5E32" w:rsidRDefault="00EC5E32"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Umož</w:t>
            </w:r>
            <w:r w:rsidR="000807F3">
              <w:rPr>
                <w:b/>
              </w:rPr>
              <w:t>nit</w:t>
            </w:r>
            <w:r w:rsidRPr="00724351">
              <w:rPr>
                <w:b/>
              </w:rPr>
              <w:t xml:space="preserve"> </w:t>
            </w:r>
            <w:r w:rsidR="000807F3">
              <w:rPr>
                <w:b/>
              </w:rPr>
              <w:t xml:space="preserve">jednoduché </w:t>
            </w:r>
            <w:r w:rsidRPr="00724351">
              <w:rPr>
                <w:b/>
              </w:rPr>
              <w:t>flexibilní změn</w:t>
            </w:r>
            <w:r w:rsidR="000807F3">
              <w:rPr>
                <w:b/>
              </w:rPr>
              <w:t>y</w:t>
            </w:r>
            <w:r>
              <w:t xml:space="preserve"> během realizace projektu, prodlužování projektu apod.</w:t>
            </w:r>
          </w:p>
          <w:p w14:paraId="7E0F8112" w14:textId="77777777" w:rsidR="00EC5E32" w:rsidRDefault="00EC5E32"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724351">
              <w:rPr>
                <w:b/>
              </w:rPr>
              <w:t>Zaji</w:t>
            </w:r>
            <w:r w:rsidR="000807F3">
              <w:rPr>
                <w:b/>
              </w:rPr>
              <w:t>stit</w:t>
            </w:r>
            <w:r w:rsidRPr="00724351">
              <w:rPr>
                <w:b/>
              </w:rPr>
              <w:t xml:space="preserve"> personální kontinuit</w:t>
            </w:r>
            <w:r w:rsidR="000807F3">
              <w:rPr>
                <w:b/>
              </w:rPr>
              <w:t>u</w:t>
            </w:r>
            <w:r w:rsidRPr="00724351">
              <w:rPr>
                <w:b/>
              </w:rPr>
              <w:t xml:space="preserve"> a stabilit</w:t>
            </w:r>
            <w:r w:rsidR="000807F3">
              <w:rPr>
                <w:b/>
              </w:rPr>
              <w:t>u</w:t>
            </w:r>
            <w:r>
              <w:t xml:space="preserve"> u zprostředkujícího subjektu API a ŘO. </w:t>
            </w:r>
          </w:p>
          <w:p w14:paraId="33D77DAF" w14:textId="77777777" w:rsidR="00EC5E32" w:rsidRDefault="00EC5E32" w:rsidP="00264DE2">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Podpoř</w:t>
            </w:r>
            <w:r w:rsidR="000807F3">
              <w:t>it možnosti</w:t>
            </w:r>
            <w:r>
              <w:t> </w:t>
            </w:r>
            <w:r w:rsidRPr="00A36DB8">
              <w:rPr>
                <w:b/>
              </w:rPr>
              <w:t>konzultace příjemcům podpory při výběru dodavatele ze strany API</w:t>
            </w:r>
            <w:r>
              <w:t xml:space="preserve"> (</w:t>
            </w:r>
            <w:r w:rsidR="00264DE2">
              <w:t>o</w:t>
            </w:r>
            <w:r>
              <w:t>svědčená dobrá praxe)</w:t>
            </w:r>
            <w:r w:rsidR="00264DE2">
              <w:t>.</w:t>
            </w:r>
          </w:p>
        </w:tc>
      </w:tr>
      <w:tr w:rsidR="00EC5E32" w14:paraId="24EB3029" w14:textId="77777777" w:rsidTr="00EA67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53B1BF25" w14:textId="77777777" w:rsidR="00EC5E32" w:rsidRPr="00622A6D" w:rsidRDefault="00EC5E32" w:rsidP="00EC5E32">
            <w:pPr>
              <w:spacing w:after="0"/>
              <w:rPr>
                <w:color w:val="FFFFFF" w:themeColor="background1"/>
              </w:rPr>
            </w:pPr>
            <w:r>
              <w:rPr>
                <w:color w:val="FFFFFF" w:themeColor="background1"/>
              </w:rPr>
              <w:t>Doporučení pro program. období 2021+</w:t>
            </w:r>
          </w:p>
        </w:tc>
        <w:tc>
          <w:tcPr>
            <w:tcW w:w="3777" w:type="pct"/>
          </w:tcPr>
          <w:p w14:paraId="64FECD60" w14:textId="77777777" w:rsidR="0050445A" w:rsidRDefault="00FC2B95" w:rsidP="0050445A">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50445A">
              <w:rPr>
                <w:b/>
              </w:rPr>
              <w:t>S</w:t>
            </w:r>
            <w:r w:rsidR="000807F3" w:rsidRPr="0050445A">
              <w:rPr>
                <w:b/>
              </w:rPr>
              <w:t>ystematicky s</w:t>
            </w:r>
            <w:r w:rsidRPr="0050445A">
              <w:rPr>
                <w:b/>
              </w:rPr>
              <w:t>n</w:t>
            </w:r>
            <w:r w:rsidR="000807F3" w:rsidRPr="0050445A">
              <w:rPr>
                <w:b/>
              </w:rPr>
              <w:t>ižovat</w:t>
            </w:r>
            <w:r w:rsidRPr="0050445A">
              <w:rPr>
                <w:b/>
              </w:rPr>
              <w:t xml:space="preserve"> administrativní zátěž</w:t>
            </w:r>
            <w:r w:rsidR="0050445A" w:rsidRPr="0050445A">
              <w:rPr>
                <w:b/>
              </w:rPr>
              <w:t xml:space="preserve"> spojenou s předkládáním projektových žádostí a realizací podpořených projektů</w:t>
            </w:r>
            <w:r w:rsidRPr="0050445A">
              <w:rPr>
                <w:b/>
              </w:rPr>
              <w:t xml:space="preserve">, </w:t>
            </w:r>
            <w:r w:rsidR="0050445A">
              <w:t xml:space="preserve">tj. </w:t>
            </w:r>
            <w:r w:rsidRPr="0050445A">
              <w:rPr>
                <w:b/>
              </w:rPr>
              <w:t>urychl</w:t>
            </w:r>
            <w:r w:rsidR="000807F3" w:rsidRPr="0050445A">
              <w:rPr>
                <w:b/>
              </w:rPr>
              <w:t>it</w:t>
            </w:r>
            <w:r w:rsidRPr="0050445A">
              <w:rPr>
                <w:b/>
              </w:rPr>
              <w:t xml:space="preserve"> proces</w:t>
            </w:r>
            <w:r w:rsidR="000807F3" w:rsidRPr="0050445A">
              <w:rPr>
                <w:b/>
              </w:rPr>
              <w:t>y</w:t>
            </w:r>
            <w:r w:rsidRPr="0050445A">
              <w:rPr>
                <w:b/>
              </w:rPr>
              <w:t xml:space="preserve"> hodnocení, schvalování a řízení projektů</w:t>
            </w:r>
            <w:r>
              <w:t xml:space="preserve"> ze strany ŘO</w:t>
            </w:r>
            <w:r w:rsidR="000807F3">
              <w:t xml:space="preserve"> a</w:t>
            </w:r>
            <w:r w:rsidR="0050445A">
              <w:t xml:space="preserve"> </w:t>
            </w:r>
            <w:r>
              <w:t>API</w:t>
            </w:r>
            <w:r w:rsidR="0050445A">
              <w:t>.</w:t>
            </w:r>
          </w:p>
          <w:p w14:paraId="1E19BB09" w14:textId="3503A701" w:rsidR="00FC2B95" w:rsidRDefault="000807F3"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A36DB8">
              <w:rPr>
                <w:b/>
              </w:rPr>
              <w:t>Zav</w:t>
            </w:r>
            <w:r>
              <w:rPr>
                <w:b/>
              </w:rPr>
              <w:t>ést</w:t>
            </w:r>
            <w:r w:rsidR="00FC2B95" w:rsidRPr="00A36DB8">
              <w:rPr>
                <w:b/>
              </w:rPr>
              <w:t xml:space="preserve"> </w:t>
            </w:r>
            <w:r w:rsidRPr="00A36DB8">
              <w:rPr>
                <w:b/>
              </w:rPr>
              <w:t>dodatečn</w:t>
            </w:r>
            <w:r>
              <w:rPr>
                <w:b/>
              </w:rPr>
              <w:t>é</w:t>
            </w:r>
            <w:r w:rsidRPr="00A36DB8">
              <w:rPr>
                <w:b/>
              </w:rPr>
              <w:t xml:space="preserve"> funkcionalit</w:t>
            </w:r>
            <w:r>
              <w:rPr>
                <w:b/>
              </w:rPr>
              <w:t>y</w:t>
            </w:r>
            <w:r w:rsidRPr="00A36DB8">
              <w:rPr>
                <w:b/>
              </w:rPr>
              <w:t xml:space="preserve"> </w:t>
            </w:r>
            <w:r w:rsidR="00FC2B95" w:rsidRPr="00A36DB8">
              <w:rPr>
                <w:b/>
              </w:rPr>
              <w:t>ISKP</w:t>
            </w:r>
            <w:r>
              <w:t xml:space="preserve"> </w:t>
            </w:r>
            <w:r w:rsidR="00FC2B95">
              <w:t>umožň</w:t>
            </w:r>
            <w:r>
              <w:t>ující automatizovanou kontrolu, nahrávání dokumentů, omezení potřeby</w:t>
            </w:r>
            <w:r w:rsidR="00FC2B95">
              <w:t xml:space="preserve"> duplicitní</w:t>
            </w:r>
            <w:r>
              <w:t>ho</w:t>
            </w:r>
            <w:r w:rsidR="00FC2B95">
              <w:t xml:space="preserve"> zadávání dat a nahrávání dokumentů</w:t>
            </w:r>
            <w:r>
              <w:t xml:space="preserve"> atd</w:t>
            </w:r>
            <w:r w:rsidR="00FC2B95">
              <w:t xml:space="preserve">. </w:t>
            </w:r>
          </w:p>
          <w:p w14:paraId="5C2915F8"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Sjednotit a kontinuálně zachovat nezměněná pravidla a metodiku podpory</w:t>
            </w:r>
            <w:r>
              <w:t xml:space="preserve"> napříč ŘO, API a kontrolními, auditními orgány. Sjednotit pravidla, metodiku a terminologii napříč PO, programy podpory i výzvami. </w:t>
            </w:r>
          </w:p>
          <w:p w14:paraId="2F3CB2CC"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 xml:space="preserve">Srozumitelnost pravidel a metodik předem konzultovat </w:t>
            </w:r>
            <w:r>
              <w:t xml:space="preserve">se vzorkem potenciálních příjemců podpory. </w:t>
            </w:r>
          </w:p>
          <w:p w14:paraId="46A3FE92"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Umožnit co největší </w:t>
            </w:r>
            <w:r w:rsidRPr="00B454A0">
              <w:rPr>
                <w:b/>
              </w:rPr>
              <w:t>flexibilitu dotací</w:t>
            </w:r>
            <w:r>
              <w:t xml:space="preserve"> reagovat na (prudké) výkyvy na trhu (reakce na uvádění konkurenčních produktů na trh, na změny ve výrobních procesech, trendech apod.), vývoji v</w:t>
            </w:r>
            <w:r w:rsidR="00CB7B1D">
              <w:t>e</w:t>
            </w:r>
            <w:r>
              <w:t> </w:t>
            </w:r>
            <w:proofErr w:type="spellStart"/>
            <w:r>
              <w:t>VaVaI</w:t>
            </w:r>
            <w:proofErr w:type="spellEnd"/>
            <w:r>
              <w:t xml:space="preserve"> sektoru (změny v dostupných technologiích, strojích apod.). </w:t>
            </w:r>
          </w:p>
          <w:p w14:paraId="1C6A054D"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Pr>
                <w:b/>
              </w:rPr>
              <w:t xml:space="preserve">Ponechat jednotné metodické prostředí pouze na centrální úrovni a zautomatizovat sdílení a výměnu dat a dokumentů. </w:t>
            </w:r>
            <w:r w:rsidR="00242641">
              <w:t>Umožnit zavedení</w:t>
            </w:r>
            <w:r>
              <w:t xml:space="preserve"> specifické</w:t>
            </w:r>
            <w:r w:rsidR="00242641">
              <w:t>ho</w:t>
            </w:r>
            <w:r>
              <w:t xml:space="preserve"> prostředí pro jednotlivé operační programy umožňující přizpůsobení se systému a prostředí specifickým potřebám typických příjemců podpory. </w:t>
            </w:r>
          </w:p>
          <w:p w14:paraId="2A5A21C8"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Rozšířit portfolio technické pomoci na </w:t>
            </w:r>
            <w:r w:rsidRPr="00724351">
              <w:rPr>
                <w:b/>
              </w:rPr>
              <w:t xml:space="preserve">vyhodnocení připravenosti žadatelů na realizaci </w:t>
            </w:r>
            <w:proofErr w:type="spellStart"/>
            <w:r w:rsidRPr="00724351">
              <w:rPr>
                <w:b/>
              </w:rPr>
              <w:t>VaVaI</w:t>
            </w:r>
            <w:proofErr w:type="spellEnd"/>
            <w:r w:rsidRPr="00724351">
              <w:rPr>
                <w:b/>
              </w:rPr>
              <w:t xml:space="preserve"> projektů a </w:t>
            </w:r>
            <w:r>
              <w:rPr>
                <w:b/>
              </w:rPr>
              <w:t xml:space="preserve">vytvořit program na poskytování </w:t>
            </w:r>
            <w:r w:rsidRPr="00724351">
              <w:rPr>
                <w:b/>
              </w:rPr>
              <w:t>navazující</w:t>
            </w:r>
            <w:r>
              <w:rPr>
                <w:b/>
              </w:rPr>
              <w:t>ho</w:t>
            </w:r>
            <w:r w:rsidRPr="00724351">
              <w:rPr>
                <w:b/>
              </w:rPr>
              <w:t xml:space="preserve"> poradenství</w:t>
            </w:r>
            <w:r>
              <w:t xml:space="preserve"> pro malé podniky ze strany API nebo externích dodavatelů. </w:t>
            </w:r>
          </w:p>
          <w:p w14:paraId="5ECEC215" w14:textId="77777777" w:rsidR="00FC2B95" w:rsidRDefault="00FC2B95" w:rsidP="002449AE">
            <w:pPr>
              <w:pStyle w:val="ListParagraph"/>
              <w:numPr>
                <w:ilvl w:val="0"/>
                <w:numId w:val="11"/>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Přizpůsobit podmínky výběru dodavatele potřebám a zkušenostem podniků. Zvýšit finanční limit pro výběr dodavatele formou veřejného výběru.</w:t>
            </w:r>
          </w:p>
          <w:p w14:paraId="3CF883F5" w14:textId="77777777" w:rsidR="00EC5E32" w:rsidRDefault="00FC2B95" w:rsidP="002449AE">
            <w:pPr>
              <w:pStyle w:val="ListParagraph"/>
              <w:numPr>
                <w:ilvl w:val="0"/>
                <w:numId w:val="11"/>
              </w:numPr>
              <w:spacing w:after="60"/>
              <w:ind w:left="329" w:hanging="272"/>
              <w:cnfStyle w:val="000000100000" w:firstRow="0" w:lastRow="0" w:firstColumn="0" w:lastColumn="0" w:oddVBand="0" w:evenVBand="0" w:oddHBand="1" w:evenHBand="0" w:firstRowFirstColumn="0" w:firstRowLastColumn="0" w:lastRowFirstColumn="0" w:lastRowLastColumn="0"/>
            </w:pPr>
            <w:r>
              <w:t xml:space="preserve">Navýšit finanční alokaci na „nákup“ služeb od veřejných výzkumných pracovišť přes inovační vouchery. Zvážit navrácení nebo sdílení inovačních voucherů s Inovačními centry krajů. Inovační vouchery jsou prokazatelně vhodným nástrojem pro navázání dlouhodobé spolupráce s podniky, prověření funkčnosti a životaschopnosti podniku a </w:t>
            </w:r>
            <w:proofErr w:type="spellStart"/>
            <w:r>
              <w:t>VaV</w:t>
            </w:r>
            <w:proofErr w:type="spellEnd"/>
            <w:r>
              <w:t xml:space="preserve"> projektu. Krajská inovační centra mohou v tomto směru zajistit větší kontinuitu a intenzitu spolupráce a navazující podpory. </w:t>
            </w:r>
          </w:p>
        </w:tc>
      </w:tr>
    </w:tbl>
    <w:p w14:paraId="6DA36CC8" w14:textId="77777777" w:rsidR="00E9013E" w:rsidRDefault="00E9013E" w:rsidP="00E9013E">
      <w:pPr>
        <w:spacing w:after="0" w:line="240" w:lineRule="auto"/>
      </w:pPr>
    </w:p>
    <w:p w14:paraId="31913755" w14:textId="77777777" w:rsidR="00ED59C0" w:rsidRDefault="00ED59C0" w:rsidP="00E9013E">
      <w:pPr>
        <w:spacing w:after="0" w:line="240" w:lineRule="auto"/>
      </w:pPr>
    </w:p>
    <w:p w14:paraId="2B048954" w14:textId="541D0451" w:rsidR="007E3C99" w:rsidRDefault="007E3C99" w:rsidP="007E3C99">
      <w:r>
        <w:t>Následující tabulka obsahuje přehled pozitivních a negativních nez</w:t>
      </w:r>
      <w:r w:rsidR="00221136">
        <w:t>amýšlených dopadů podpory OP PIK</w:t>
      </w:r>
      <w:r>
        <w:t xml:space="preserve"> na příjemce podpory. Efekty jsou seřazeny dle četnosti a jejich význam je hodnocen na škále 1</w:t>
      </w:r>
      <w:r w:rsidR="00D759B7">
        <w:t>–</w:t>
      </w:r>
      <w:r>
        <w:t xml:space="preserve">4, kdy 1 označuje nejnižší míru významu dané charakteristiky, zatímco 4 nejvyšší míru. </w:t>
      </w:r>
      <w:r w:rsidR="00221136">
        <w:t xml:space="preserve">Výsledná hodnota pak je průměrem významu a uvádí významnost efektu jako celku. V tomto případě reprezentuje tudíž hodnota 4 nejvýznamnější efekt. </w:t>
      </w:r>
    </w:p>
    <w:p w14:paraId="68151FFF" w14:textId="5AD58480" w:rsidR="00ED59C0" w:rsidRDefault="00ED59C0" w:rsidP="00ED59C0">
      <w:pPr>
        <w:pStyle w:val="Caption"/>
      </w:pPr>
      <w:r>
        <w:t xml:space="preserve">Tabulka </w:t>
      </w:r>
      <w:r>
        <w:fldChar w:fldCharType="begin"/>
      </w:r>
      <w:r>
        <w:instrText xml:space="preserve"> SEQ Tabulka \* ARABIC </w:instrText>
      </w:r>
      <w:r>
        <w:fldChar w:fldCharType="separate"/>
      </w:r>
      <w:r w:rsidR="00F77CAE">
        <w:rPr>
          <w:noProof/>
        </w:rPr>
        <w:t>7</w:t>
      </w:r>
      <w:r>
        <w:fldChar w:fldCharType="end"/>
      </w:r>
      <w:r>
        <w:t xml:space="preserve"> - </w:t>
      </w:r>
      <w:r w:rsidRPr="00C40E85">
        <w:t>přehled pozitivních a negativních nezamýšlených dopadů podpory OP PIK na příjemce podpory</w:t>
      </w:r>
    </w:p>
    <w:tbl>
      <w:tblPr>
        <w:tblStyle w:val="Deloittetable11"/>
        <w:tblW w:w="5000" w:type="pct"/>
        <w:tblCellMar>
          <w:top w:w="0" w:type="dxa"/>
          <w:left w:w="0" w:type="dxa"/>
          <w:bottom w:w="0" w:type="dxa"/>
          <w:right w:w="0" w:type="dxa"/>
        </w:tblCellMar>
        <w:tblLook w:val="04A0" w:firstRow="1" w:lastRow="0" w:firstColumn="1" w:lastColumn="0" w:noHBand="0" w:noVBand="1"/>
      </w:tblPr>
      <w:tblGrid>
        <w:gridCol w:w="3896"/>
        <w:gridCol w:w="1110"/>
        <w:gridCol w:w="1302"/>
        <w:gridCol w:w="1110"/>
        <w:gridCol w:w="1110"/>
        <w:gridCol w:w="1110"/>
      </w:tblGrid>
      <w:tr w:rsidR="003A4E15" w:rsidRPr="003A4E15" w14:paraId="22A39816" w14:textId="77777777" w:rsidTr="002449A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021" w:type="pct"/>
            <w:shd w:val="clear" w:color="auto" w:fill="86BC25" w:themeFill="accent1"/>
            <w:vAlign w:val="center"/>
            <w:hideMark/>
          </w:tcPr>
          <w:p w14:paraId="0D797A97" w14:textId="77777777" w:rsidR="003A4E15" w:rsidRPr="003A4E15" w:rsidRDefault="003A4E15" w:rsidP="003A4E15">
            <w:pPr>
              <w:spacing w:after="0" w:line="240" w:lineRule="auto"/>
              <w:jc w:val="center"/>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Pozitivní nezamýšlené efekty podpory</w:t>
            </w:r>
          </w:p>
        </w:tc>
        <w:tc>
          <w:tcPr>
            <w:tcW w:w="576" w:type="pct"/>
            <w:shd w:val="clear" w:color="auto" w:fill="86BC25" w:themeFill="accent1"/>
            <w:vAlign w:val="center"/>
            <w:hideMark/>
          </w:tcPr>
          <w:p w14:paraId="0860BD7D" w14:textId="77777777" w:rsidR="003A4E15" w:rsidRPr="003A4E15" w:rsidRDefault="003A4E15" w:rsidP="003A4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Aktuálnost</w:t>
            </w:r>
          </w:p>
        </w:tc>
        <w:tc>
          <w:tcPr>
            <w:tcW w:w="675" w:type="pct"/>
            <w:shd w:val="clear" w:color="auto" w:fill="86BC25" w:themeFill="accent1"/>
            <w:vAlign w:val="center"/>
            <w:hideMark/>
          </w:tcPr>
          <w:p w14:paraId="02521498" w14:textId="77777777" w:rsidR="003A4E15" w:rsidRPr="003A4E15" w:rsidRDefault="003A4E15" w:rsidP="003A4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Přenositelnost</w:t>
            </w:r>
          </w:p>
        </w:tc>
        <w:tc>
          <w:tcPr>
            <w:tcW w:w="576" w:type="pct"/>
            <w:shd w:val="clear" w:color="auto" w:fill="86BC25" w:themeFill="accent1"/>
            <w:vAlign w:val="center"/>
            <w:hideMark/>
          </w:tcPr>
          <w:p w14:paraId="21ECB6D4" w14:textId="77777777" w:rsidR="003A4E15" w:rsidRPr="003A4E15" w:rsidRDefault="003A4E15" w:rsidP="003A4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Pozitivnost dopadu</w:t>
            </w:r>
          </w:p>
        </w:tc>
        <w:tc>
          <w:tcPr>
            <w:tcW w:w="576" w:type="pct"/>
            <w:shd w:val="clear" w:color="auto" w:fill="86BC25" w:themeFill="accent1"/>
            <w:vAlign w:val="center"/>
            <w:hideMark/>
          </w:tcPr>
          <w:p w14:paraId="112EB1EC" w14:textId="77777777" w:rsidR="003A4E15" w:rsidRPr="003A4E15" w:rsidRDefault="003A4E15" w:rsidP="003A4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Finanční implikace</w:t>
            </w:r>
          </w:p>
        </w:tc>
        <w:tc>
          <w:tcPr>
            <w:tcW w:w="576" w:type="pct"/>
            <w:shd w:val="clear" w:color="auto" w:fill="86BC25" w:themeFill="accent1"/>
            <w:vAlign w:val="center"/>
            <w:hideMark/>
          </w:tcPr>
          <w:p w14:paraId="476C591D" w14:textId="77777777" w:rsidR="003A4E15" w:rsidRPr="003A4E15" w:rsidRDefault="003A4E15" w:rsidP="003A4E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color w:val="FFFFFF" w:themeColor="background1"/>
                <w:sz w:val="16"/>
                <w:szCs w:val="16"/>
                <w:lang w:eastAsia="cs-CZ"/>
              </w:rPr>
            </w:pPr>
            <w:r w:rsidRPr="003A4E15">
              <w:rPr>
                <w:rFonts w:asciiTheme="minorHAnsi" w:eastAsia="Times New Roman" w:hAnsiTheme="minorHAnsi" w:cs="Times New Roman"/>
                <w:bCs/>
                <w:color w:val="FFFFFF" w:themeColor="background1"/>
                <w:sz w:val="16"/>
                <w:szCs w:val="16"/>
                <w:lang w:eastAsia="cs-CZ"/>
              </w:rPr>
              <w:t>Celkový význam</w:t>
            </w:r>
          </w:p>
        </w:tc>
      </w:tr>
      <w:tr w:rsidR="00C74905" w:rsidRPr="003A4E15" w14:paraId="1AC88A23"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790E42B4"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Přilákání zahraničních investorů do ČR, rozšíření či zbudování výzkumných a inovačních center v ČR. Know-how sice zůstává u zahraničních investorů a majitelů a s případným přesunem výroby je pravděpodobná i ztráta tohoto know-how, nicméně určitou kontinuitu lze předpokládat u tuzemských zaměstnanců a tuzemských subdodavatelů.</w:t>
            </w:r>
          </w:p>
        </w:tc>
        <w:tc>
          <w:tcPr>
            <w:tcW w:w="576" w:type="pct"/>
            <w:vAlign w:val="center"/>
            <w:hideMark/>
          </w:tcPr>
          <w:p w14:paraId="3321F4DE"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38BBBDB1"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4</w:t>
            </w:r>
          </w:p>
        </w:tc>
        <w:tc>
          <w:tcPr>
            <w:tcW w:w="576" w:type="pct"/>
            <w:vAlign w:val="center"/>
            <w:hideMark/>
          </w:tcPr>
          <w:p w14:paraId="15690F5D"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7A7F1103"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4</w:t>
            </w:r>
          </w:p>
        </w:tc>
        <w:tc>
          <w:tcPr>
            <w:tcW w:w="576" w:type="pct"/>
            <w:shd w:val="clear" w:color="auto" w:fill="638C1B" w:themeFill="accent1" w:themeFillShade="BF"/>
            <w:vAlign w:val="center"/>
            <w:hideMark/>
          </w:tcPr>
          <w:p w14:paraId="77BCA310"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3.25</w:t>
            </w:r>
          </w:p>
        </w:tc>
      </w:tr>
      <w:tr w:rsidR="00C74905" w:rsidRPr="003A4E15" w14:paraId="327FD26B"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1A6814CB"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Podpora má pozitivní vliv na redukci regionálních disparit, zvyšuje produkci s větší přidanou hodnotou v krajích, které jsou jinak závislé na produkci s nižší přidanou hodnotou. Tím se nepřímo podílí na zvyšování vzdělanostní struktury v kraji, atraktivity regionu a díky vyšším platům i životní úrovni místních zaměstnanců. </w:t>
            </w:r>
          </w:p>
        </w:tc>
        <w:tc>
          <w:tcPr>
            <w:tcW w:w="576" w:type="pct"/>
            <w:vAlign w:val="center"/>
            <w:hideMark/>
          </w:tcPr>
          <w:p w14:paraId="25F26C71"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6036E378"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34C16A2E"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4</w:t>
            </w:r>
          </w:p>
        </w:tc>
        <w:tc>
          <w:tcPr>
            <w:tcW w:w="576" w:type="pct"/>
            <w:vAlign w:val="center"/>
            <w:hideMark/>
          </w:tcPr>
          <w:p w14:paraId="7B133CA7"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B9E370" w:themeFill="accent1" w:themeFillTint="99"/>
            <w:vAlign w:val="center"/>
            <w:hideMark/>
          </w:tcPr>
          <w:p w14:paraId="2C0AB99F"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2.75</w:t>
            </w:r>
          </w:p>
        </w:tc>
      </w:tr>
      <w:tr w:rsidR="00C74905" w:rsidRPr="003A4E15" w14:paraId="0F54F41D"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6CB81B8D"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Zvýšení dovedností podniků v oblasti projektového řízení, zvýšení důrazu na inovace v podnikové strategii a kultuře.</w:t>
            </w:r>
          </w:p>
        </w:tc>
        <w:tc>
          <w:tcPr>
            <w:tcW w:w="576" w:type="pct"/>
            <w:vAlign w:val="center"/>
            <w:hideMark/>
          </w:tcPr>
          <w:p w14:paraId="6E05D167"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703F4CE2"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47756CAB"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7ED6AB9E"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shd w:val="clear" w:color="auto" w:fill="B9E370" w:themeFill="accent1" w:themeFillTint="99"/>
            <w:vAlign w:val="center"/>
            <w:hideMark/>
          </w:tcPr>
          <w:p w14:paraId="0C82C1E4"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2.5</w:t>
            </w:r>
          </w:p>
        </w:tc>
      </w:tr>
      <w:tr w:rsidR="003A4E15" w:rsidRPr="003A4E15" w14:paraId="54950443"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4925BD6C"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Podpora SC 1.1 vede k rozvoji mezinárodní spolupráce na přeshraničních výzkumných projektech. Někteří příjemci podpory na základě navázané spolupráce rozvinuli další partnerství a úspěšně se ucházeli o podporu v mezinárodních programech podpory, např. Horizon</w:t>
            </w:r>
            <w:r w:rsidR="00301622">
              <w:rPr>
                <w:rFonts w:asciiTheme="minorHAnsi" w:eastAsia="Courier New" w:hAnsiTheme="minorHAnsi" w:cs="Times New Roman"/>
                <w:color w:val="000000"/>
                <w:sz w:val="16"/>
                <w:szCs w:val="16"/>
                <w:lang w:eastAsia="cs-CZ"/>
              </w:rPr>
              <w:t xml:space="preserve">t </w:t>
            </w:r>
            <w:r w:rsidRPr="003A4E15">
              <w:rPr>
                <w:rFonts w:asciiTheme="minorHAnsi" w:eastAsia="Courier New" w:hAnsiTheme="minorHAnsi" w:cs="Times New Roman"/>
                <w:color w:val="000000"/>
                <w:sz w:val="16"/>
                <w:szCs w:val="16"/>
                <w:lang w:eastAsia="cs-CZ"/>
              </w:rPr>
              <w:t>2020, jedná se však spíše o ojedinělé případy.</w:t>
            </w:r>
          </w:p>
        </w:tc>
        <w:tc>
          <w:tcPr>
            <w:tcW w:w="576" w:type="pct"/>
            <w:vAlign w:val="center"/>
            <w:hideMark/>
          </w:tcPr>
          <w:p w14:paraId="47E0BD9D"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13D700A9"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3A4117F4"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6E40CD32"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D0EC9F" w:themeFill="accent1" w:themeFillTint="66"/>
            <w:vAlign w:val="center"/>
            <w:hideMark/>
          </w:tcPr>
          <w:p w14:paraId="470CE409"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2.25</w:t>
            </w:r>
          </w:p>
        </w:tc>
      </w:tr>
      <w:tr w:rsidR="003A4E15" w:rsidRPr="003A4E15" w14:paraId="33A892FF"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73D153C1"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Vyšší motivace zaměstnanců pracovat ve vyvíjejícím se, nikoli stagnujícím, podniku.</w:t>
            </w:r>
          </w:p>
        </w:tc>
        <w:tc>
          <w:tcPr>
            <w:tcW w:w="576" w:type="pct"/>
            <w:vAlign w:val="center"/>
            <w:hideMark/>
          </w:tcPr>
          <w:p w14:paraId="40871603"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19645785"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397E4868"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3CAC955F"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D0EC9F" w:themeFill="accent1" w:themeFillTint="66"/>
            <w:vAlign w:val="center"/>
            <w:hideMark/>
          </w:tcPr>
          <w:p w14:paraId="43EB4450"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2.25</w:t>
            </w:r>
          </w:p>
        </w:tc>
      </w:tr>
      <w:tr w:rsidR="003A4E15" w:rsidRPr="003A4E15" w14:paraId="36BDCF0D"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651C039F"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Ve výjimečných případech vedla podpora k reorganizaci, optimalizaci společnosti pro účely </w:t>
            </w:r>
            <w:proofErr w:type="spellStart"/>
            <w:r w:rsidRPr="003A4E15">
              <w:rPr>
                <w:rFonts w:asciiTheme="minorHAnsi" w:eastAsia="Times New Roman" w:hAnsiTheme="minorHAnsi" w:cs="Times New Roman"/>
                <w:color w:val="000000"/>
                <w:sz w:val="16"/>
                <w:szCs w:val="16"/>
                <w:lang w:eastAsia="cs-CZ"/>
              </w:rPr>
              <w:t>VaVaI</w:t>
            </w:r>
            <w:proofErr w:type="spellEnd"/>
            <w:r w:rsidRPr="003A4E15">
              <w:rPr>
                <w:rFonts w:asciiTheme="minorHAnsi" w:eastAsia="Times New Roman" w:hAnsiTheme="minorHAnsi" w:cs="Times New Roman"/>
                <w:color w:val="000000"/>
                <w:sz w:val="16"/>
                <w:szCs w:val="16"/>
                <w:lang w:eastAsia="cs-CZ"/>
              </w:rPr>
              <w:t xml:space="preserve"> projektů.  Především MSP často nedisponují dostatečnými personálními kapacitami, nastavenými procesy ani řízením pro větší </w:t>
            </w:r>
            <w:proofErr w:type="spellStart"/>
            <w:r w:rsidRPr="003A4E15">
              <w:rPr>
                <w:rFonts w:asciiTheme="minorHAnsi" w:eastAsia="Times New Roman" w:hAnsiTheme="minorHAnsi" w:cs="Times New Roman"/>
                <w:color w:val="000000"/>
                <w:sz w:val="16"/>
                <w:szCs w:val="16"/>
                <w:lang w:eastAsia="cs-CZ"/>
              </w:rPr>
              <w:t>VaVaI</w:t>
            </w:r>
            <w:proofErr w:type="spellEnd"/>
            <w:r w:rsidRPr="003A4E15">
              <w:rPr>
                <w:rFonts w:asciiTheme="minorHAnsi" w:eastAsia="Times New Roman" w:hAnsiTheme="minorHAnsi" w:cs="Times New Roman"/>
                <w:color w:val="000000"/>
                <w:sz w:val="16"/>
                <w:szCs w:val="16"/>
                <w:lang w:eastAsia="cs-CZ"/>
              </w:rPr>
              <w:t xml:space="preserve"> projekty. </w:t>
            </w:r>
          </w:p>
        </w:tc>
        <w:tc>
          <w:tcPr>
            <w:tcW w:w="576" w:type="pct"/>
            <w:vAlign w:val="center"/>
            <w:hideMark/>
          </w:tcPr>
          <w:p w14:paraId="7EC3D36F"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1</w:t>
            </w:r>
          </w:p>
        </w:tc>
        <w:tc>
          <w:tcPr>
            <w:tcW w:w="675" w:type="pct"/>
            <w:vAlign w:val="center"/>
            <w:hideMark/>
          </w:tcPr>
          <w:p w14:paraId="39934003"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610B8223"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118C6AC2"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D0EC9F" w:themeFill="accent1" w:themeFillTint="66"/>
            <w:vAlign w:val="center"/>
            <w:hideMark/>
          </w:tcPr>
          <w:p w14:paraId="52E8597C"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w:t>
            </w:r>
          </w:p>
        </w:tc>
      </w:tr>
      <w:tr w:rsidR="003A4E15" w:rsidRPr="003A4E15" w14:paraId="6393F191"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shd w:val="clear" w:color="auto" w:fill="86BC25" w:themeFill="accent1"/>
            <w:vAlign w:val="center"/>
            <w:hideMark/>
          </w:tcPr>
          <w:p w14:paraId="2ABCF9DE" w14:textId="77777777" w:rsidR="003A4E15" w:rsidRPr="003A4E15" w:rsidRDefault="003A4E15" w:rsidP="003A4E15">
            <w:pPr>
              <w:spacing w:after="0" w:line="240" w:lineRule="auto"/>
              <w:jc w:val="center"/>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Negativní nezamýšlené efekty podpory</w:t>
            </w:r>
          </w:p>
        </w:tc>
        <w:tc>
          <w:tcPr>
            <w:tcW w:w="576" w:type="pct"/>
            <w:shd w:val="clear" w:color="auto" w:fill="86BC25" w:themeFill="accent1"/>
            <w:vAlign w:val="center"/>
            <w:hideMark/>
          </w:tcPr>
          <w:p w14:paraId="2ECA92D1" w14:textId="77777777" w:rsidR="003A4E15" w:rsidRPr="003A4E15" w:rsidRDefault="003A4E15" w:rsidP="003A4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Aktuálnost</w:t>
            </w:r>
          </w:p>
        </w:tc>
        <w:tc>
          <w:tcPr>
            <w:tcW w:w="675" w:type="pct"/>
            <w:shd w:val="clear" w:color="auto" w:fill="86BC25" w:themeFill="accent1"/>
            <w:vAlign w:val="center"/>
            <w:hideMark/>
          </w:tcPr>
          <w:p w14:paraId="2C6F153F" w14:textId="77777777" w:rsidR="003A4E15" w:rsidRPr="003A4E15" w:rsidRDefault="003A4E15" w:rsidP="003A4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Přenositelnost</w:t>
            </w:r>
          </w:p>
        </w:tc>
        <w:tc>
          <w:tcPr>
            <w:tcW w:w="576" w:type="pct"/>
            <w:shd w:val="clear" w:color="auto" w:fill="86BC25" w:themeFill="accent1"/>
            <w:vAlign w:val="center"/>
            <w:hideMark/>
          </w:tcPr>
          <w:p w14:paraId="3C8EEA01" w14:textId="77777777" w:rsidR="003A4E15" w:rsidRPr="003A4E15" w:rsidRDefault="003A4E15" w:rsidP="003A4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Pozitivnost dopadu</w:t>
            </w:r>
          </w:p>
        </w:tc>
        <w:tc>
          <w:tcPr>
            <w:tcW w:w="576" w:type="pct"/>
            <w:shd w:val="clear" w:color="auto" w:fill="86BC25" w:themeFill="accent1"/>
            <w:vAlign w:val="center"/>
            <w:hideMark/>
          </w:tcPr>
          <w:p w14:paraId="51B3F337" w14:textId="77777777" w:rsidR="003A4E15" w:rsidRPr="003A4E15" w:rsidRDefault="003A4E15" w:rsidP="003A4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Finanční implikace</w:t>
            </w:r>
          </w:p>
        </w:tc>
        <w:tc>
          <w:tcPr>
            <w:tcW w:w="576" w:type="pct"/>
            <w:shd w:val="clear" w:color="auto" w:fill="86BC25" w:themeFill="accent1"/>
            <w:vAlign w:val="center"/>
            <w:hideMark/>
          </w:tcPr>
          <w:p w14:paraId="7F86706D" w14:textId="77777777" w:rsidR="003A4E15" w:rsidRPr="003A4E15" w:rsidRDefault="003A4E15" w:rsidP="003A4E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FFFF" w:themeColor="background1"/>
                <w:sz w:val="16"/>
                <w:szCs w:val="16"/>
                <w:lang w:eastAsia="cs-CZ"/>
              </w:rPr>
            </w:pPr>
            <w:r w:rsidRPr="003A4E15">
              <w:rPr>
                <w:rFonts w:asciiTheme="minorHAnsi" w:eastAsia="Times New Roman" w:hAnsiTheme="minorHAnsi" w:cs="Times New Roman"/>
                <w:b/>
                <w:bCs/>
                <w:color w:val="FFFFFF" w:themeColor="background1"/>
                <w:sz w:val="16"/>
                <w:szCs w:val="16"/>
                <w:lang w:eastAsia="cs-CZ"/>
              </w:rPr>
              <w:t>Celkové hodnocení</w:t>
            </w:r>
          </w:p>
        </w:tc>
      </w:tr>
      <w:tr w:rsidR="003A4E15" w:rsidRPr="003A4E15" w14:paraId="3EEB4924"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3DA73E23"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 xml:space="preserve">Vysoká administrativní zátěž spojená s přípravou a realizací projektu. V ojedinělých případech náklady na administrativu projektu převyšovaly poskytnutou dotaci. V průměru mohou dosahovat odhadované náklady na administrativu projektu až 10 % z celkové částky. (V případě nákupu externích služeb i interní alokace lidských zdrojů.) Vysoká administrativní zátěž představuje riziko především pro malé a střední podniky, není výjimkou, kdy řada podniků od podpory z těchto důvodů odstoupila. Administrativní náročnost celého procesu žádosti i realizace projektu vede často ke spolupráci s poradenskými společnostmi. </w:t>
            </w:r>
          </w:p>
        </w:tc>
        <w:tc>
          <w:tcPr>
            <w:tcW w:w="576" w:type="pct"/>
            <w:vAlign w:val="center"/>
            <w:hideMark/>
          </w:tcPr>
          <w:p w14:paraId="5407A539"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675" w:type="pct"/>
            <w:vAlign w:val="center"/>
            <w:hideMark/>
          </w:tcPr>
          <w:p w14:paraId="445A53BF"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584BB0A2"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6AC4266B"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shd w:val="clear" w:color="auto" w:fill="FF9933"/>
            <w:vAlign w:val="center"/>
            <w:hideMark/>
          </w:tcPr>
          <w:p w14:paraId="0202C279"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4</w:t>
            </w:r>
          </w:p>
        </w:tc>
      </w:tr>
      <w:tr w:rsidR="00C2129E" w:rsidRPr="003A4E15" w14:paraId="5430E98B"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6361B1DC" w14:textId="77777777" w:rsidR="00C2129E" w:rsidRPr="003A4E15" w:rsidRDefault="00C2129E" w:rsidP="00C2129E">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Dlouhé časové prodlevy při schvalování různých kroků a plateb během realizace projektu. Zátěž a zvýšené finanční náklady kvůli zpožděním ve schvalovacím procesu a nutnosti projekt předělávat a více financovat z vlastních zdrojů.</w:t>
            </w:r>
          </w:p>
        </w:tc>
        <w:tc>
          <w:tcPr>
            <w:tcW w:w="576" w:type="pct"/>
            <w:vAlign w:val="center"/>
            <w:hideMark/>
          </w:tcPr>
          <w:p w14:paraId="35F13637" w14:textId="77777777" w:rsidR="00C2129E" w:rsidRPr="003A4E15" w:rsidRDefault="00C2129E" w:rsidP="00C21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675" w:type="pct"/>
            <w:vAlign w:val="center"/>
            <w:hideMark/>
          </w:tcPr>
          <w:p w14:paraId="01B9A809" w14:textId="77777777" w:rsidR="00C2129E" w:rsidRPr="003A4E15" w:rsidRDefault="00C2129E" w:rsidP="00C21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4A7022C2" w14:textId="77777777" w:rsidR="00C2129E" w:rsidRPr="003A4E15" w:rsidRDefault="00C2129E" w:rsidP="00C21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4AF23CE0" w14:textId="77777777" w:rsidR="00C2129E" w:rsidRPr="003A4E15" w:rsidRDefault="00C2129E" w:rsidP="00C21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shd w:val="clear" w:color="auto" w:fill="FF9933"/>
            <w:vAlign w:val="center"/>
            <w:hideMark/>
          </w:tcPr>
          <w:p w14:paraId="4A164A65" w14:textId="77777777" w:rsidR="00C2129E" w:rsidRPr="003A4E15" w:rsidRDefault="00C2129E" w:rsidP="00C212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4</w:t>
            </w:r>
          </w:p>
        </w:tc>
      </w:tr>
      <w:tr w:rsidR="00C74905" w:rsidRPr="003A4E15" w14:paraId="7C9EB241"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737C6610"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Pravidla výběru dodavatele a výběrových řízení často vedou k neefektivnímu a nehospodárnému výběru dodavatelů s nejistou kvalitou.</w:t>
            </w:r>
          </w:p>
        </w:tc>
        <w:tc>
          <w:tcPr>
            <w:tcW w:w="576" w:type="pct"/>
            <w:vAlign w:val="center"/>
            <w:hideMark/>
          </w:tcPr>
          <w:p w14:paraId="06647B96"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675" w:type="pct"/>
            <w:vAlign w:val="center"/>
            <w:hideMark/>
          </w:tcPr>
          <w:p w14:paraId="57E5E210"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291E5EF9"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0D2E4429"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shd w:val="clear" w:color="auto" w:fill="FF9933"/>
            <w:vAlign w:val="center"/>
            <w:hideMark/>
          </w:tcPr>
          <w:p w14:paraId="42F99A3B"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3</w:t>
            </w:r>
            <w:r w:rsidRPr="003A4E15">
              <w:rPr>
                <w:rFonts w:asciiTheme="minorHAnsi" w:eastAsia="Times New Roman" w:hAnsiTheme="minorHAnsi" w:cs="Times New Roman"/>
                <w:b/>
                <w:bCs/>
                <w:color w:val="000000"/>
                <w:sz w:val="16"/>
                <w:szCs w:val="16"/>
                <w:lang w:eastAsia="cs-CZ"/>
              </w:rPr>
              <w:t>.5</w:t>
            </w:r>
          </w:p>
        </w:tc>
      </w:tr>
      <w:tr w:rsidR="00C74905" w:rsidRPr="003A4E15" w14:paraId="1C02A1F4"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6F296C3C"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Ve výjimečných případech způsobilo zpoždění při poskytnutí podpory a proplácení </w:t>
            </w:r>
            <w:proofErr w:type="spellStart"/>
            <w:r w:rsidRPr="003A4E15">
              <w:rPr>
                <w:rFonts w:asciiTheme="minorHAnsi" w:eastAsia="Times New Roman" w:hAnsiTheme="minorHAnsi" w:cs="Times New Roman"/>
                <w:color w:val="000000"/>
                <w:sz w:val="16"/>
                <w:szCs w:val="16"/>
                <w:lang w:eastAsia="cs-CZ"/>
              </w:rPr>
              <w:t>ŽoP</w:t>
            </w:r>
            <w:proofErr w:type="spellEnd"/>
            <w:r w:rsidRPr="003A4E15">
              <w:rPr>
                <w:rFonts w:asciiTheme="minorHAnsi" w:eastAsia="Times New Roman" w:hAnsiTheme="minorHAnsi" w:cs="Times New Roman"/>
                <w:color w:val="000000"/>
                <w:sz w:val="16"/>
                <w:szCs w:val="16"/>
                <w:lang w:eastAsia="cs-CZ"/>
              </w:rPr>
              <w:t xml:space="preserve"> finanční problémy příjemcům. Pro mikro-, malé a střední podniky (v případě investičně objemnějších projektů) představuje nutnost předfinancování projektu zátěž v podobě splácení úrokových sazeb komerčních úvěrů. Při zpoždění v proplácení etapových </w:t>
            </w:r>
            <w:proofErr w:type="spellStart"/>
            <w:r w:rsidRPr="003A4E15">
              <w:rPr>
                <w:rFonts w:asciiTheme="minorHAnsi" w:eastAsia="Times New Roman" w:hAnsiTheme="minorHAnsi" w:cs="Times New Roman"/>
                <w:color w:val="000000"/>
                <w:sz w:val="16"/>
                <w:szCs w:val="16"/>
                <w:lang w:eastAsia="cs-CZ"/>
              </w:rPr>
              <w:t>ŽoP</w:t>
            </w:r>
            <w:proofErr w:type="spellEnd"/>
            <w:r w:rsidRPr="003A4E15">
              <w:rPr>
                <w:rFonts w:asciiTheme="minorHAnsi" w:eastAsia="Times New Roman" w:hAnsiTheme="minorHAnsi" w:cs="Times New Roman"/>
                <w:color w:val="000000"/>
                <w:sz w:val="16"/>
                <w:szCs w:val="16"/>
                <w:lang w:eastAsia="cs-CZ"/>
              </w:rPr>
              <w:t xml:space="preserve"> se mohou společnosti dostávat do problémů s cash </w:t>
            </w:r>
            <w:proofErr w:type="spellStart"/>
            <w:r w:rsidRPr="003A4E15">
              <w:rPr>
                <w:rFonts w:asciiTheme="minorHAnsi" w:eastAsia="Times New Roman" w:hAnsiTheme="minorHAnsi" w:cs="Times New Roman"/>
                <w:color w:val="000000"/>
                <w:sz w:val="16"/>
                <w:szCs w:val="16"/>
                <w:lang w:eastAsia="cs-CZ"/>
              </w:rPr>
              <w:t>flow</w:t>
            </w:r>
            <w:proofErr w:type="spellEnd"/>
            <w:r w:rsidRPr="003A4E15">
              <w:rPr>
                <w:rFonts w:asciiTheme="minorHAnsi" w:eastAsia="Times New Roman" w:hAnsiTheme="minorHAnsi" w:cs="Times New Roman"/>
                <w:color w:val="000000"/>
                <w:sz w:val="16"/>
                <w:szCs w:val="16"/>
                <w:lang w:eastAsia="cs-CZ"/>
              </w:rPr>
              <w:t xml:space="preserve"> a výjimečně do neschopnosti se splácením těchto závazků. Toto riziko je jedním z faktorů realizace menších, konzervativnějších a méně rizikových investičních </w:t>
            </w:r>
            <w:proofErr w:type="spellStart"/>
            <w:r w:rsidRPr="003A4E15">
              <w:rPr>
                <w:rFonts w:asciiTheme="minorHAnsi" w:eastAsia="Times New Roman" w:hAnsiTheme="minorHAnsi" w:cs="Times New Roman"/>
                <w:color w:val="000000"/>
                <w:sz w:val="16"/>
                <w:szCs w:val="16"/>
                <w:lang w:eastAsia="cs-CZ"/>
              </w:rPr>
              <w:t>VaVaI</w:t>
            </w:r>
            <w:proofErr w:type="spellEnd"/>
            <w:r w:rsidRPr="003A4E15">
              <w:rPr>
                <w:rFonts w:asciiTheme="minorHAnsi" w:eastAsia="Times New Roman" w:hAnsiTheme="minorHAnsi" w:cs="Times New Roman"/>
                <w:color w:val="000000"/>
                <w:sz w:val="16"/>
                <w:szCs w:val="16"/>
                <w:lang w:eastAsia="cs-CZ"/>
              </w:rPr>
              <w:t xml:space="preserve"> záměrů.</w:t>
            </w:r>
          </w:p>
        </w:tc>
        <w:tc>
          <w:tcPr>
            <w:tcW w:w="576" w:type="pct"/>
            <w:vAlign w:val="center"/>
            <w:hideMark/>
          </w:tcPr>
          <w:p w14:paraId="232A271F"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675" w:type="pct"/>
            <w:vAlign w:val="center"/>
            <w:hideMark/>
          </w:tcPr>
          <w:p w14:paraId="232B8457"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5780BA4C"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0077D466"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shd w:val="clear" w:color="auto" w:fill="FF9933"/>
            <w:vAlign w:val="center"/>
            <w:hideMark/>
          </w:tcPr>
          <w:p w14:paraId="101BF7EB"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3</w:t>
            </w:r>
            <w:r w:rsidRPr="003A4E15">
              <w:rPr>
                <w:rFonts w:asciiTheme="minorHAnsi" w:eastAsia="Times New Roman" w:hAnsiTheme="minorHAnsi" w:cs="Times New Roman"/>
                <w:b/>
                <w:bCs/>
                <w:color w:val="000000"/>
                <w:sz w:val="16"/>
                <w:szCs w:val="16"/>
                <w:lang w:eastAsia="cs-CZ"/>
              </w:rPr>
              <w:t>.5</w:t>
            </w:r>
          </w:p>
        </w:tc>
      </w:tr>
      <w:tr w:rsidR="00C74905" w:rsidRPr="003A4E15" w14:paraId="70F48EAE" w14:textId="77777777" w:rsidTr="00F61012">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2C0BD9BB" w14:textId="77777777" w:rsidR="00C74905" w:rsidRPr="003A4E15" w:rsidRDefault="00C74905" w:rsidP="00F61012">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Při proplácení </w:t>
            </w:r>
            <w:proofErr w:type="spellStart"/>
            <w:r w:rsidRPr="003A4E15">
              <w:rPr>
                <w:rFonts w:asciiTheme="minorHAnsi" w:eastAsia="Times New Roman" w:hAnsiTheme="minorHAnsi" w:cs="Times New Roman"/>
                <w:color w:val="000000"/>
                <w:sz w:val="16"/>
                <w:szCs w:val="16"/>
                <w:lang w:eastAsia="cs-CZ"/>
              </w:rPr>
              <w:t>ŽoP</w:t>
            </w:r>
            <w:proofErr w:type="spellEnd"/>
            <w:r w:rsidRPr="003A4E15">
              <w:rPr>
                <w:rFonts w:asciiTheme="minorHAnsi" w:eastAsia="Times New Roman" w:hAnsiTheme="minorHAnsi" w:cs="Times New Roman"/>
                <w:color w:val="000000"/>
                <w:sz w:val="16"/>
                <w:szCs w:val="16"/>
                <w:lang w:eastAsia="cs-CZ"/>
              </w:rPr>
              <w:t xml:space="preserve"> dochází často k výraznému zpoždění, i v horizontu 6 měsíců. To představuje v případě mikro- a malých podniků, které projekt </w:t>
            </w:r>
            <w:proofErr w:type="spellStart"/>
            <w:r w:rsidRPr="003A4E15">
              <w:rPr>
                <w:rFonts w:asciiTheme="minorHAnsi" w:eastAsia="Times New Roman" w:hAnsiTheme="minorHAnsi" w:cs="Times New Roman"/>
                <w:color w:val="000000"/>
                <w:sz w:val="16"/>
                <w:szCs w:val="16"/>
                <w:lang w:eastAsia="cs-CZ"/>
              </w:rPr>
              <w:t>předfinancovávají</w:t>
            </w:r>
            <w:proofErr w:type="spellEnd"/>
            <w:r w:rsidRPr="003A4E15">
              <w:rPr>
                <w:rFonts w:asciiTheme="minorHAnsi" w:eastAsia="Times New Roman" w:hAnsiTheme="minorHAnsi" w:cs="Times New Roman"/>
                <w:color w:val="000000"/>
                <w:sz w:val="16"/>
                <w:szCs w:val="16"/>
                <w:lang w:eastAsia="cs-CZ"/>
              </w:rPr>
              <w:t xml:space="preserve"> z komerčních úvěrů, velikou zátěž a riziko. </w:t>
            </w:r>
          </w:p>
        </w:tc>
        <w:tc>
          <w:tcPr>
            <w:tcW w:w="576" w:type="pct"/>
            <w:vAlign w:val="center"/>
            <w:hideMark/>
          </w:tcPr>
          <w:p w14:paraId="5DACB316"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675" w:type="pct"/>
            <w:vAlign w:val="center"/>
            <w:hideMark/>
          </w:tcPr>
          <w:p w14:paraId="455F3483"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706E5BC1"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54C2F6F8"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shd w:val="clear" w:color="auto" w:fill="FF9933"/>
            <w:vAlign w:val="center"/>
            <w:hideMark/>
          </w:tcPr>
          <w:p w14:paraId="56896BAC" w14:textId="77777777" w:rsidR="00C74905" w:rsidRPr="003A4E15" w:rsidRDefault="00C74905" w:rsidP="00F610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3</w:t>
            </w:r>
            <w:r w:rsidRPr="003A4E15">
              <w:rPr>
                <w:rFonts w:asciiTheme="minorHAnsi" w:eastAsia="Times New Roman" w:hAnsiTheme="minorHAnsi" w:cs="Times New Roman"/>
                <w:b/>
                <w:bCs/>
                <w:color w:val="000000"/>
                <w:sz w:val="16"/>
                <w:szCs w:val="16"/>
                <w:lang w:eastAsia="cs-CZ"/>
              </w:rPr>
              <w:t>.5</w:t>
            </w:r>
          </w:p>
        </w:tc>
      </w:tr>
      <w:tr w:rsidR="00B75692" w:rsidRPr="003A4E15" w14:paraId="73AA1FED" w14:textId="77777777" w:rsidTr="00C95A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7112AA4F" w14:textId="77777777" w:rsidR="00B75692" w:rsidRPr="003A4E15" w:rsidRDefault="00B75692" w:rsidP="00C95AB4">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 xml:space="preserve">Současné nastavení dotační podpory vede k podpoře </w:t>
            </w:r>
            <w:r>
              <w:rPr>
                <w:rFonts w:asciiTheme="minorHAnsi" w:eastAsia="Courier New" w:hAnsiTheme="minorHAnsi" w:cs="Times New Roman"/>
                <w:color w:val="000000"/>
                <w:sz w:val="16"/>
                <w:szCs w:val="16"/>
                <w:lang w:eastAsia="cs-CZ"/>
              </w:rPr>
              <w:t>inovací spíše průměrného nebo nižšího</w:t>
            </w:r>
            <w:r w:rsidRPr="003A4E15">
              <w:rPr>
                <w:rFonts w:asciiTheme="minorHAnsi" w:eastAsia="Courier New" w:hAnsiTheme="minorHAnsi" w:cs="Times New Roman"/>
                <w:color w:val="000000"/>
                <w:sz w:val="16"/>
                <w:szCs w:val="16"/>
                <w:lang w:eastAsia="cs-CZ"/>
              </w:rPr>
              <w:t xml:space="preserve"> </w:t>
            </w:r>
            <w:r>
              <w:rPr>
                <w:rFonts w:asciiTheme="minorHAnsi" w:eastAsia="Courier New" w:hAnsiTheme="minorHAnsi" w:cs="Times New Roman"/>
                <w:color w:val="000000"/>
                <w:sz w:val="16"/>
                <w:szCs w:val="16"/>
                <w:lang w:eastAsia="cs-CZ"/>
              </w:rPr>
              <w:t>řádu</w:t>
            </w:r>
            <w:r w:rsidRPr="003A4E15">
              <w:rPr>
                <w:rFonts w:asciiTheme="minorHAnsi" w:eastAsia="Courier New" w:hAnsiTheme="minorHAnsi" w:cs="Times New Roman"/>
                <w:color w:val="000000"/>
                <w:sz w:val="16"/>
                <w:szCs w:val="16"/>
                <w:lang w:eastAsia="cs-CZ"/>
              </w:rPr>
              <w:t>.</w:t>
            </w:r>
            <w:r>
              <w:rPr>
                <w:rFonts w:asciiTheme="minorHAnsi" w:eastAsia="Courier New" w:hAnsiTheme="minorHAnsi" w:cs="Times New Roman"/>
                <w:color w:val="000000"/>
                <w:sz w:val="16"/>
                <w:szCs w:val="16"/>
                <w:lang w:eastAsia="cs-CZ"/>
              </w:rPr>
              <w:t xml:space="preserve"> </w:t>
            </w:r>
          </w:p>
        </w:tc>
        <w:tc>
          <w:tcPr>
            <w:tcW w:w="576" w:type="pct"/>
            <w:vAlign w:val="center"/>
            <w:hideMark/>
          </w:tcPr>
          <w:p w14:paraId="741C97B3"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675" w:type="pct"/>
            <w:vAlign w:val="center"/>
            <w:hideMark/>
          </w:tcPr>
          <w:p w14:paraId="07F4A9BD"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502066F0"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vAlign w:val="center"/>
            <w:hideMark/>
          </w:tcPr>
          <w:p w14:paraId="0619F6A2"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3</w:t>
            </w:r>
          </w:p>
        </w:tc>
        <w:tc>
          <w:tcPr>
            <w:tcW w:w="576" w:type="pct"/>
            <w:shd w:val="clear" w:color="auto" w:fill="FF9933"/>
            <w:vAlign w:val="center"/>
            <w:hideMark/>
          </w:tcPr>
          <w:p w14:paraId="2D17587B"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3</w:t>
            </w:r>
          </w:p>
        </w:tc>
      </w:tr>
      <w:tr w:rsidR="00B75692" w:rsidRPr="003A4E15" w14:paraId="44DAA9A5" w14:textId="77777777" w:rsidTr="00C95A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6097BE9B" w14:textId="77777777" w:rsidR="00B75692" w:rsidRPr="003A4E15" w:rsidRDefault="00B75692" w:rsidP="00C95AB4">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Některé pokyny jsou nekoncepční a není možné je zpětně realizovat. (Např. požadavek na zpětné změny v účetnictví pokynem označování faktur číslem projektu – vedlo to k odstoupení od projektu.) </w:t>
            </w:r>
          </w:p>
        </w:tc>
        <w:tc>
          <w:tcPr>
            <w:tcW w:w="576" w:type="pct"/>
            <w:vAlign w:val="center"/>
            <w:hideMark/>
          </w:tcPr>
          <w:p w14:paraId="387835B9"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76B1C5E2"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1D015A7A"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4</w:t>
            </w:r>
          </w:p>
        </w:tc>
        <w:tc>
          <w:tcPr>
            <w:tcW w:w="576" w:type="pct"/>
            <w:vAlign w:val="center"/>
            <w:hideMark/>
          </w:tcPr>
          <w:p w14:paraId="57F8B909"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2</w:t>
            </w:r>
          </w:p>
        </w:tc>
        <w:tc>
          <w:tcPr>
            <w:tcW w:w="576" w:type="pct"/>
            <w:shd w:val="clear" w:color="auto" w:fill="FFC000"/>
            <w:vAlign w:val="center"/>
            <w:hideMark/>
          </w:tcPr>
          <w:p w14:paraId="7BDF6961" w14:textId="77777777" w:rsidR="00B75692" w:rsidRPr="003A4E15" w:rsidRDefault="00B75692" w:rsidP="00C95A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2</w:t>
            </w:r>
            <w:r w:rsidRPr="003A4E15">
              <w:rPr>
                <w:rFonts w:asciiTheme="minorHAnsi" w:eastAsia="Times New Roman" w:hAnsiTheme="minorHAnsi" w:cs="Times New Roman"/>
                <w:b/>
                <w:bCs/>
                <w:color w:val="000000"/>
                <w:sz w:val="16"/>
                <w:szCs w:val="16"/>
                <w:lang w:eastAsia="cs-CZ"/>
              </w:rPr>
              <w:t>.5</w:t>
            </w:r>
          </w:p>
        </w:tc>
      </w:tr>
      <w:tr w:rsidR="003A4E15" w:rsidRPr="003A4E15" w14:paraId="045EE0C1"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13AAFF14"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Využívání služeb externích poradenských firem kvůli velké administrativní náročnosti procesu podávání žádostí o podporu, složitosti systému MS2014+, složitosti systému na výběr dodavatele a režimu zadávání veřejných zakázek. Zvláště významnou roli toto hraje u MSP, které často nedisponují vlastními kapacitami pro úspěšnou soutěž v dotačních výzvách.</w:t>
            </w:r>
          </w:p>
        </w:tc>
        <w:tc>
          <w:tcPr>
            <w:tcW w:w="576" w:type="pct"/>
            <w:vAlign w:val="center"/>
            <w:hideMark/>
          </w:tcPr>
          <w:p w14:paraId="22085778"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2</w:t>
            </w:r>
          </w:p>
        </w:tc>
        <w:tc>
          <w:tcPr>
            <w:tcW w:w="675" w:type="pct"/>
            <w:vAlign w:val="center"/>
            <w:hideMark/>
          </w:tcPr>
          <w:p w14:paraId="351048B9"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4CC2A88A"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2</w:t>
            </w:r>
          </w:p>
        </w:tc>
        <w:tc>
          <w:tcPr>
            <w:tcW w:w="576" w:type="pct"/>
            <w:vAlign w:val="center"/>
            <w:hideMark/>
          </w:tcPr>
          <w:p w14:paraId="62C88CF9"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2</w:t>
            </w:r>
          </w:p>
        </w:tc>
        <w:tc>
          <w:tcPr>
            <w:tcW w:w="576" w:type="pct"/>
            <w:shd w:val="clear" w:color="auto" w:fill="FFC000"/>
            <w:vAlign w:val="center"/>
            <w:hideMark/>
          </w:tcPr>
          <w:p w14:paraId="42D51A4D"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Pr>
                <w:rFonts w:asciiTheme="minorHAnsi" w:eastAsia="Times New Roman" w:hAnsiTheme="minorHAnsi" w:cs="Times New Roman"/>
                <w:b/>
                <w:bCs/>
                <w:color w:val="000000"/>
                <w:sz w:val="16"/>
                <w:szCs w:val="16"/>
                <w:lang w:eastAsia="cs-CZ"/>
              </w:rPr>
              <w:t>2</w:t>
            </w:r>
          </w:p>
        </w:tc>
      </w:tr>
      <w:tr w:rsidR="003A4E15" w:rsidRPr="003A4E15" w14:paraId="00A38652"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46E10B5A" w14:textId="77777777" w:rsidR="003A4E15" w:rsidRPr="003A4E15" w:rsidRDefault="00B67963" w:rsidP="00B67963">
            <w:pPr>
              <w:spacing w:after="0" w:line="240" w:lineRule="auto"/>
              <w:rPr>
                <w:rFonts w:asciiTheme="minorHAnsi" w:eastAsia="Times New Roman" w:hAnsiTheme="minorHAnsi" w:cs="Times New Roman"/>
                <w:color w:val="000000"/>
                <w:sz w:val="16"/>
                <w:szCs w:val="16"/>
                <w:lang w:eastAsia="cs-CZ"/>
              </w:rPr>
            </w:pPr>
            <w:r>
              <w:rPr>
                <w:rFonts w:asciiTheme="minorHAnsi" w:eastAsia="Courier New" w:hAnsiTheme="minorHAnsi" w:cs="Times New Roman"/>
                <w:color w:val="000000"/>
                <w:sz w:val="16"/>
                <w:szCs w:val="16"/>
                <w:lang w:eastAsia="cs-CZ"/>
              </w:rPr>
              <w:t>Předkládané projekty se přizpůsobují</w:t>
            </w:r>
            <w:r w:rsidR="003A4E15" w:rsidRPr="003A4E15">
              <w:rPr>
                <w:rFonts w:asciiTheme="minorHAnsi" w:eastAsia="Courier New" w:hAnsiTheme="minorHAnsi" w:cs="Times New Roman"/>
                <w:color w:val="000000"/>
                <w:sz w:val="16"/>
                <w:szCs w:val="16"/>
                <w:lang w:eastAsia="cs-CZ"/>
              </w:rPr>
              <w:t xml:space="preserve"> vypsaným výzvám a jejich podmínkám</w:t>
            </w:r>
            <w:r>
              <w:rPr>
                <w:rFonts w:asciiTheme="minorHAnsi" w:eastAsia="Courier New" w:hAnsiTheme="minorHAnsi" w:cs="Times New Roman"/>
                <w:color w:val="000000"/>
                <w:sz w:val="16"/>
                <w:szCs w:val="16"/>
                <w:lang w:eastAsia="cs-CZ"/>
              </w:rPr>
              <w:t xml:space="preserve">, </w:t>
            </w:r>
            <w:r w:rsidR="00C2129E">
              <w:rPr>
                <w:rFonts w:asciiTheme="minorHAnsi" w:eastAsia="Courier New" w:hAnsiTheme="minorHAnsi" w:cs="Times New Roman"/>
                <w:color w:val="000000"/>
                <w:sz w:val="16"/>
                <w:szCs w:val="16"/>
                <w:lang w:eastAsia="cs-CZ"/>
              </w:rPr>
              <w:t>neodpovídají</w:t>
            </w:r>
            <w:r w:rsidR="003A4E15" w:rsidRPr="003A4E15">
              <w:rPr>
                <w:rFonts w:asciiTheme="minorHAnsi" w:eastAsia="Courier New" w:hAnsiTheme="minorHAnsi" w:cs="Times New Roman"/>
                <w:color w:val="000000"/>
                <w:sz w:val="16"/>
                <w:szCs w:val="16"/>
                <w:lang w:eastAsia="cs-CZ"/>
              </w:rPr>
              <w:t xml:space="preserve"> </w:t>
            </w:r>
            <w:r>
              <w:rPr>
                <w:rFonts w:asciiTheme="minorHAnsi" w:eastAsia="Courier New" w:hAnsiTheme="minorHAnsi" w:cs="Times New Roman"/>
                <w:color w:val="000000"/>
                <w:sz w:val="16"/>
                <w:szCs w:val="16"/>
                <w:lang w:eastAsia="cs-CZ"/>
              </w:rPr>
              <w:t xml:space="preserve">zcela </w:t>
            </w:r>
            <w:r w:rsidR="003A4E15" w:rsidRPr="003A4E15">
              <w:rPr>
                <w:rFonts w:asciiTheme="minorHAnsi" w:eastAsia="Courier New" w:hAnsiTheme="minorHAnsi" w:cs="Times New Roman"/>
                <w:color w:val="000000"/>
                <w:sz w:val="16"/>
                <w:szCs w:val="16"/>
                <w:lang w:eastAsia="cs-CZ"/>
              </w:rPr>
              <w:t>reálným potřebám příjemců a inovačním trendům trhu.</w:t>
            </w:r>
          </w:p>
        </w:tc>
        <w:tc>
          <w:tcPr>
            <w:tcW w:w="576" w:type="pct"/>
            <w:vAlign w:val="center"/>
            <w:hideMark/>
          </w:tcPr>
          <w:p w14:paraId="427D6139" w14:textId="77777777" w:rsidR="003A4E15" w:rsidRPr="003A4E15" w:rsidRDefault="00C2129E"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Pr>
                <w:rFonts w:asciiTheme="minorHAnsi" w:eastAsia="Times New Roman" w:hAnsiTheme="minorHAnsi" w:cs="Times New Roman"/>
                <w:color w:val="000000"/>
                <w:sz w:val="16"/>
                <w:szCs w:val="16"/>
                <w:lang w:eastAsia="cs-CZ"/>
              </w:rPr>
              <w:t>2</w:t>
            </w:r>
          </w:p>
        </w:tc>
        <w:tc>
          <w:tcPr>
            <w:tcW w:w="675" w:type="pct"/>
            <w:vAlign w:val="center"/>
            <w:hideMark/>
          </w:tcPr>
          <w:p w14:paraId="5F07A644"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43826162"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7BDECEE7"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FFC000"/>
            <w:vAlign w:val="center"/>
            <w:hideMark/>
          </w:tcPr>
          <w:p w14:paraId="2DB4801C"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w:t>
            </w:r>
          </w:p>
        </w:tc>
      </w:tr>
      <w:tr w:rsidR="003A4E15" w:rsidRPr="003A4E15" w14:paraId="4B333B89"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1C64AA98"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Courier New" w:hAnsiTheme="minorHAnsi" w:cs="Times New Roman"/>
                <w:color w:val="000000"/>
                <w:sz w:val="16"/>
                <w:szCs w:val="16"/>
                <w:lang w:eastAsia="cs-CZ"/>
              </w:rPr>
              <w:t>Bonifikace projektových žádostí za zohlednění průřezových priorit nevede k jejich reálnému naplnění. Reálný přínos projektů v horizontálních principech je nejvýznam</w:t>
            </w:r>
            <w:r w:rsidR="00301622">
              <w:rPr>
                <w:rFonts w:asciiTheme="minorHAnsi" w:eastAsia="Courier New" w:hAnsiTheme="minorHAnsi" w:cs="Times New Roman"/>
                <w:color w:val="000000"/>
                <w:sz w:val="16"/>
                <w:szCs w:val="16"/>
                <w:lang w:eastAsia="cs-CZ"/>
              </w:rPr>
              <w:t>n</w:t>
            </w:r>
            <w:r w:rsidRPr="003A4E15">
              <w:rPr>
                <w:rFonts w:asciiTheme="minorHAnsi" w:eastAsia="Courier New" w:hAnsiTheme="minorHAnsi" w:cs="Times New Roman"/>
                <w:color w:val="000000"/>
                <w:sz w:val="16"/>
                <w:szCs w:val="16"/>
                <w:lang w:eastAsia="cs-CZ"/>
              </w:rPr>
              <w:t>ější v oblasti ochrany životního prostředí, kde se spíše než vliv podpory SC1.1 projevuje poptávka trhu.</w:t>
            </w:r>
          </w:p>
        </w:tc>
        <w:tc>
          <w:tcPr>
            <w:tcW w:w="576" w:type="pct"/>
            <w:vAlign w:val="center"/>
            <w:hideMark/>
          </w:tcPr>
          <w:p w14:paraId="5CF1428A"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2E928BC0"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3</w:t>
            </w:r>
          </w:p>
        </w:tc>
        <w:tc>
          <w:tcPr>
            <w:tcW w:w="576" w:type="pct"/>
            <w:vAlign w:val="center"/>
            <w:hideMark/>
          </w:tcPr>
          <w:p w14:paraId="47081E37"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1</w:t>
            </w:r>
          </w:p>
        </w:tc>
        <w:tc>
          <w:tcPr>
            <w:tcW w:w="576" w:type="pct"/>
            <w:vAlign w:val="center"/>
            <w:hideMark/>
          </w:tcPr>
          <w:p w14:paraId="1D7BF92D"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FFC000"/>
            <w:vAlign w:val="center"/>
            <w:hideMark/>
          </w:tcPr>
          <w:p w14:paraId="3812FAFB"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w:t>
            </w:r>
          </w:p>
        </w:tc>
      </w:tr>
      <w:tr w:rsidR="003A4E15" w:rsidRPr="003A4E15" w14:paraId="0AA86EBE" w14:textId="77777777" w:rsidTr="002973B4">
        <w:trPr>
          <w:trHeight w:val="20"/>
        </w:trPr>
        <w:tc>
          <w:tcPr>
            <w:cnfStyle w:val="001000000000" w:firstRow="0" w:lastRow="0" w:firstColumn="1" w:lastColumn="0" w:oddVBand="0" w:evenVBand="0" w:oddHBand="0" w:evenHBand="0" w:firstRowFirstColumn="0" w:firstRowLastColumn="0" w:lastRowFirstColumn="0" w:lastRowLastColumn="0"/>
            <w:tcW w:w="2021" w:type="pct"/>
            <w:hideMark/>
          </w:tcPr>
          <w:p w14:paraId="077FD422" w14:textId="77777777" w:rsidR="003A4E15" w:rsidRPr="003A4E15" w:rsidRDefault="003A4E15" w:rsidP="003A4E15">
            <w:pPr>
              <w:spacing w:after="0" w:line="240" w:lineRule="auto"/>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 xml:space="preserve">Současné nastavení dotační podpory nutí firmy v žádosti uvádět nižší předpokládané tržby než skutečně očekávané, jinak hrozí </w:t>
            </w:r>
            <w:proofErr w:type="spellStart"/>
            <w:r w:rsidRPr="003A4E15">
              <w:rPr>
                <w:rFonts w:asciiTheme="minorHAnsi" w:eastAsia="Times New Roman" w:hAnsiTheme="minorHAnsi" w:cs="Times New Roman"/>
                <w:color w:val="000000"/>
                <w:sz w:val="16"/>
                <w:szCs w:val="16"/>
                <w:lang w:eastAsia="cs-CZ"/>
              </w:rPr>
              <w:t>neuznatelnost</w:t>
            </w:r>
            <w:proofErr w:type="spellEnd"/>
            <w:r w:rsidRPr="003A4E15">
              <w:rPr>
                <w:rFonts w:asciiTheme="minorHAnsi" w:eastAsia="Times New Roman" w:hAnsiTheme="minorHAnsi" w:cs="Times New Roman"/>
                <w:color w:val="000000"/>
                <w:sz w:val="16"/>
                <w:szCs w:val="16"/>
                <w:lang w:eastAsia="cs-CZ"/>
              </w:rPr>
              <w:t xml:space="preserve"> nároku na dotaci. Dotační podpora pak směřuje k podpoře malých a neperspektivních podniků s nízkou mírou návratnosti investic.</w:t>
            </w:r>
          </w:p>
        </w:tc>
        <w:tc>
          <w:tcPr>
            <w:tcW w:w="576" w:type="pct"/>
            <w:vAlign w:val="center"/>
            <w:hideMark/>
          </w:tcPr>
          <w:p w14:paraId="4DF9DC44"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675" w:type="pct"/>
            <w:vAlign w:val="center"/>
            <w:hideMark/>
          </w:tcPr>
          <w:p w14:paraId="0583F439"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323CE82E"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vAlign w:val="center"/>
            <w:hideMark/>
          </w:tcPr>
          <w:p w14:paraId="65A3EC66"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6"/>
                <w:szCs w:val="16"/>
                <w:lang w:eastAsia="cs-CZ"/>
              </w:rPr>
            </w:pPr>
            <w:r w:rsidRPr="003A4E15">
              <w:rPr>
                <w:rFonts w:asciiTheme="minorHAnsi" w:eastAsia="Times New Roman" w:hAnsiTheme="minorHAnsi" w:cs="Times New Roman"/>
                <w:color w:val="000000"/>
                <w:sz w:val="16"/>
                <w:szCs w:val="16"/>
                <w:lang w:eastAsia="cs-CZ"/>
              </w:rPr>
              <w:t>2</w:t>
            </w:r>
          </w:p>
        </w:tc>
        <w:tc>
          <w:tcPr>
            <w:tcW w:w="576" w:type="pct"/>
            <w:shd w:val="clear" w:color="auto" w:fill="FFC000"/>
            <w:vAlign w:val="center"/>
            <w:hideMark/>
          </w:tcPr>
          <w:p w14:paraId="5CB0EE07" w14:textId="77777777" w:rsidR="003A4E15" w:rsidRPr="003A4E15" w:rsidRDefault="003A4E15" w:rsidP="004C74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sz w:val="16"/>
                <w:szCs w:val="16"/>
                <w:lang w:eastAsia="cs-CZ"/>
              </w:rPr>
            </w:pPr>
            <w:r w:rsidRPr="003A4E15">
              <w:rPr>
                <w:rFonts w:asciiTheme="minorHAnsi" w:eastAsia="Times New Roman" w:hAnsiTheme="minorHAnsi" w:cs="Times New Roman"/>
                <w:b/>
                <w:bCs/>
                <w:color w:val="000000"/>
                <w:sz w:val="16"/>
                <w:szCs w:val="16"/>
                <w:lang w:eastAsia="cs-CZ"/>
              </w:rPr>
              <w:t>2</w:t>
            </w:r>
          </w:p>
        </w:tc>
      </w:tr>
    </w:tbl>
    <w:p w14:paraId="7AAD2D96" w14:textId="77777777" w:rsidR="003A4E15" w:rsidRDefault="003A4E15" w:rsidP="00E9013E">
      <w:pPr>
        <w:jc w:val="both"/>
      </w:pPr>
    </w:p>
    <w:p w14:paraId="60BAC708" w14:textId="77777777" w:rsidR="006C2B94" w:rsidRDefault="006C2B94">
      <w:pPr>
        <w:spacing w:after="0" w:line="240" w:lineRule="auto"/>
        <w:rPr>
          <w:rFonts w:eastAsia="MingLiU" w:cs="Times New Roman"/>
          <w:b/>
          <w:color w:val="auto"/>
          <w:sz w:val="60"/>
          <w:szCs w:val="60"/>
        </w:rPr>
      </w:pPr>
    </w:p>
    <w:p w14:paraId="78725B57" w14:textId="77777777" w:rsidR="00D73025" w:rsidRDefault="00D73025">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562705DA" w14:textId="77777777" w:rsidR="00B2069E" w:rsidRPr="00D73025" w:rsidRDefault="00B2069E" w:rsidP="00C818D5">
      <w:pPr>
        <w:pStyle w:val="Heading1"/>
        <w:numPr>
          <w:ilvl w:val="0"/>
          <w:numId w:val="2"/>
        </w:numPr>
        <w:tabs>
          <w:tab w:val="left" w:pos="993"/>
        </w:tabs>
        <w:spacing w:after="120"/>
        <w:rPr>
          <w:rFonts w:ascii="Verdana" w:eastAsia="MingLiU" w:hAnsi="Verdana" w:cs="Times New Roman"/>
          <w:b w:val="0"/>
          <w:color w:val="auto"/>
          <w:sz w:val="60"/>
          <w:szCs w:val="60"/>
        </w:rPr>
      </w:pPr>
      <w:bookmarkStart w:id="75" w:name="_Toc11679635"/>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9</w:t>
      </w:r>
      <w:bookmarkEnd w:id="75"/>
    </w:p>
    <w:p w14:paraId="32184FBE" w14:textId="77777777" w:rsidR="00B2069E" w:rsidRPr="000D5DE1" w:rsidRDefault="00B2069E" w:rsidP="000D5DE1">
      <w:pPr>
        <w:spacing w:after="0"/>
        <w:jc w:val="both"/>
        <w:rPr>
          <w:b/>
        </w:rPr>
      </w:pPr>
    </w:p>
    <w:p w14:paraId="69B7F3CD" w14:textId="77777777" w:rsidR="000D5DE1" w:rsidRPr="000D5DE1" w:rsidRDefault="000D5DE1" w:rsidP="000D5DE1">
      <w:pPr>
        <w:jc w:val="both"/>
        <w:rPr>
          <w:b/>
        </w:rPr>
      </w:pPr>
      <w:r w:rsidRPr="000D5DE1">
        <w:rPr>
          <w:b/>
        </w:rPr>
        <w:t>Lze předpokládat, že intervence realizované v rámci SC 1.1 povedou k trvalému zlepšení identifikovaných problémů? Je v tomto smyslu potřeba dané aktivity podporovat i nadále, nebo se další podpora z hlediska principu 3E nejeví jako smysluplná?</w:t>
      </w:r>
    </w:p>
    <w:p w14:paraId="51110020" w14:textId="77777777" w:rsidR="000E21CF" w:rsidRDefault="000E21CF" w:rsidP="00152DAD">
      <w:pPr>
        <w:pStyle w:val="Heading1"/>
        <w:numPr>
          <w:ilvl w:val="1"/>
          <w:numId w:val="2"/>
        </w:numPr>
        <w:tabs>
          <w:tab w:val="left" w:pos="851"/>
        </w:tabs>
        <w:spacing w:before="240" w:after="120"/>
        <w:ind w:left="714" w:hanging="357"/>
      </w:pPr>
      <w:bookmarkStart w:id="76" w:name="_Toc8825221"/>
      <w:bookmarkStart w:id="77" w:name="_Toc11679636"/>
      <w:r>
        <w:t>Úkol</w:t>
      </w:r>
      <w:bookmarkEnd w:id="76"/>
      <w:bookmarkEnd w:id="77"/>
    </w:p>
    <w:p w14:paraId="143EA0BF" w14:textId="77777777" w:rsidR="005F6E2E" w:rsidRDefault="000E21CF" w:rsidP="000E21CF">
      <w:pPr>
        <w:spacing w:before="113" w:after="113" w:line="240" w:lineRule="auto"/>
        <w:jc w:val="both"/>
      </w:pPr>
      <w:r>
        <w:t>Zhotovitel v rámci srovnávací analýzy zjistil, že zaměření OP</w:t>
      </w:r>
      <w:r w:rsidR="00301622">
        <w:t xml:space="preserve"> </w:t>
      </w:r>
      <w:r>
        <w:t>PIK do značné míry kopíruje podporu oblastí OP Průmysl a podnikání v období 2004-2006, stejně tak se podobá i OPPI 2007-2013. Z uvedeného je zřejmé, že přes zlepšení, ke kterému došlo díky čerpání z uvedených programů, je třeba směřovat veřejnou podporu do sledovaných sektorů dlouhodobě.</w:t>
      </w:r>
    </w:p>
    <w:p w14:paraId="41A9800D" w14:textId="77777777" w:rsidR="00A84703" w:rsidRDefault="005F6E2E" w:rsidP="000E21CF">
      <w:pPr>
        <w:spacing w:before="113" w:after="113" w:line="240" w:lineRule="auto"/>
        <w:jc w:val="both"/>
      </w:pPr>
      <w:r>
        <w:t>Dle Teorie změny je hlavním problémem českého trhu nízká inovační výkonnost podniků, kdy p</w:t>
      </w:r>
      <w:r w:rsidRPr="005F6E2E">
        <w:t>ouze minimum firem dosahuje technologické hranice v</w:t>
      </w:r>
      <w:r>
        <w:t>e svém</w:t>
      </w:r>
      <w:r w:rsidRPr="005F6E2E">
        <w:t xml:space="preserve"> oboru a má interní potenciál </w:t>
      </w:r>
      <w:r>
        <w:t xml:space="preserve">(lidský i finanční) </w:t>
      </w:r>
      <w:r w:rsidRPr="005F6E2E">
        <w:t xml:space="preserve">pro radikální technické inovace. </w:t>
      </w:r>
      <w:r>
        <w:t>F</w:t>
      </w:r>
      <w:r w:rsidRPr="005F6E2E">
        <w:t xml:space="preserve">inanční zdroje </w:t>
      </w:r>
      <w:r>
        <w:t xml:space="preserve">většiny českých </w:t>
      </w:r>
      <w:r w:rsidRPr="005F6E2E">
        <w:t xml:space="preserve">podniků </w:t>
      </w:r>
      <w:r w:rsidR="0078363E">
        <w:t xml:space="preserve">(především MSP, které jsou hlavními představiteli silně inovativních „domácích“ firem) nejsou dostačující pro </w:t>
      </w:r>
      <w:r w:rsidRPr="005F6E2E">
        <w:t xml:space="preserve">investice do </w:t>
      </w:r>
      <w:r w:rsidR="0078363E">
        <w:t xml:space="preserve">větších, </w:t>
      </w:r>
      <w:r w:rsidRPr="005F6E2E">
        <w:t>náročných</w:t>
      </w:r>
      <w:r w:rsidR="0078363E">
        <w:t xml:space="preserve"> a tím i ambicióznějších inovačních projektů. S</w:t>
      </w:r>
      <w:r w:rsidRPr="005F6E2E">
        <w:t>chopnost</w:t>
      </w:r>
      <w:r w:rsidR="0078363E">
        <w:t xml:space="preserve"> českých podniků (především MSP)</w:t>
      </w:r>
      <w:r w:rsidRPr="005F6E2E">
        <w:t xml:space="preserve">, ale i </w:t>
      </w:r>
      <w:r w:rsidR="0078363E">
        <w:t xml:space="preserve">jejich </w:t>
      </w:r>
      <w:r w:rsidRPr="005F6E2E">
        <w:t>ochota podstupovat nevyhnutelně vyšší riziko spojené s inovacemi vyšších řádů</w:t>
      </w:r>
      <w:r w:rsidR="0078363E">
        <w:t>, je tedy značně omezena</w:t>
      </w:r>
      <w:r w:rsidRPr="005F6E2E">
        <w:t>.</w:t>
      </w:r>
    </w:p>
    <w:p w14:paraId="1EA24333" w14:textId="77777777" w:rsidR="000E21CF" w:rsidRDefault="000E21CF" w:rsidP="000E21CF">
      <w:pPr>
        <w:spacing w:before="113" w:after="113" w:line="240" w:lineRule="auto"/>
        <w:jc w:val="both"/>
      </w:pPr>
      <w:r>
        <w:t xml:space="preserve">V rámci kvalitativní analýzy </w:t>
      </w:r>
      <w:r w:rsidR="00A84703">
        <w:t xml:space="preserve">tedy </w:t>
      </w:r>
      <w:r>
        <w:t>b</w:t>
      </w:r>
      <w:r w:rsidR="00494DC6">
        <w:t>ylo</w:t>
      </w:r>
      <w:r>
        <w:t xml:space="preserve"> </w:t>
      </w:r>
      <w:r w:rsidR="00494DC6">
        <w:t>h</w:t>
      </w:r>
      <w:r>
        <w:t>odnoceno:</w:t>
      </w:r>
    </w:p>
    <w:p w14:paraId="51F8B226" w14:textId="77777777" w:rsidR="000E21CF" w:rsidRDefault="000E21CF" w:rsidP="00022F75">
      <w:pPr>
        <w:pStyle w:val="ListParagraph"/>
        <w:numPr>
          <w:ilvl w:val="0"/>
          <w:numId w:val="46"/>
        </w:numPr>
        <w:spacing w:before="113" w:after="113" w:line="240" w:lineRule="auto"/>
        <w:contextualSpacing w:val="0"/>
        <w:jc w:val="both"/>
      </w:pPr>
      <w:r>
        <w:t xml:space="preserve">Zda intervence pomohly nebo mohou pomoct přispět k trvalému zlepšení </w:t>
      </w:r>
      <w:r w:rsidR="00A84703">
        <w:t>nízké inovační výkonnosti českých podniků</w:t>
      </w:r>
      <w:r w:rsidR="00022F75">
        <w:t xml:space="preserve"> a k</w:t>
      </w:r>
      <w:r w:rsidR="00C25BC0">
        <w:t xml:space="preserve"> alespoň částečnému </w:t>
      </w:r>
      <w:r w:rsidR="00022F75">
        <w:t>posunu od</w:t>
      </w:r>
      <w:r w:rsidR="00022F75" w:rsidRPr="00022F75">
        <w:t xml:space="preserve"> </w:t>
      </w:r>
      <w:proofErr w:type="spellStart"/>
      <w:r w:rsidR="00022F75" w:rsidRPr="00022F75">
        <w:t>technicko-výrobní</w:t>
      </w:r>
      <w:proofErr w:type="spellEnd"/>
      <w:r w:rsidR="00022F75" w:rsidRPr="00022F75">
        <w:t xml:space="preserve"> </w:t>
      </w:r>
      <w:r w:rsidR="00C25BC0">
        <w:t>e</w:t>
      </w:r>
      <w:r w:rsidR="00022F75">
        <w:t>k</w:t>
      </w:r>
      <w:r w:rsidR="00C25BC0">
        <w:t>onomiky k ekonomice</w:t>
      </w:r>
      <w:r w:rsidR="00022F75" w:rsidRPr="00022F75">
        <w:t xml:space="preserve"> marketingově-obchodní</w:t>
      </w:r>
      <w:r w:rsidR="00301622">
        <w:t>.</w:t>
      </w:r>
    </w:p>
    <w:p w14:paraId="4CD7459A" w14:textId="77777777" w:rsidR="00C25BC0" w:rsidRDefault="000E21CF" w:rsidP="00C25BC0">
      <w:pPr>
        <w:pStyle w:val="ListParagraph"/>
        <w:numPr>
          <w:ilvl w:val="0"/>
          <w:numId w:val="46"/>
        </w:numPr>
        <w:spacing w:before="113" w:after="113" w:line="240" w:lineRule="auto"/>
        <w:contextualSpacing w:val="0"/>
        <w:jc w:val="both"/>
      </w:pPr>
      <w:r>
        <w:t>Zda</w:t>
      </w:r>
      <w:r w:rsidR="00062FFC">
        <w:t xml:space="preserve"> i</w:t>
      </w:r>
      <w:r w:rsidR="00C25BC0">
        <w:t xml:space="preserve">ntervence přispěly </w:t>
      </w:r>
      <w:r w:rsidR="00062FFC">
        <w:t xml:space="preserve">ke zvýšení </w:t>
      </w:r>
      <w:r w:rsidR="00C25BC0">
        <w:t xml:space="preserve">nebo mají potenciál v budoucnu zvýšit </w:t>
      </w:r>
      <w:r w:rsidR="001366F5">
        <w:t>p</w:t>
      </w:r>
      <w:r w:rsidR="00C25BC0" w:rsidRPr="00C25BC0">
        <w:t>o</w:t>
      </w:r>
      <w:r w:rsidR="001366F5">
        <w:t>díl</w:t>
      </w:r>
      <w:r w:rsidR="00C25BC0" w:rsidRPr="00C25BC0">
        <w:t xml:space="preserve"> inovací vyšších řádů a </w:t>
      </w:r>
      <w:r w:rsidR="00C25BC0">
        <w:t xml:space="preserve">zmírnit </w:t>
      </w:r>
      <w:r w:rsidR="00C25BC0" w:rsidRPr="00C25BC0">
        <w:t>důraz na inkrementální procesní inovace, zvláště ve výrobě</w:t>
      </w:r>
      <w:r w:rsidR="00C25BC0">
        <w:t>.</w:t>
      </w:r>
    </w:p>
    <w:p w14:paraId="79961110" w14:textId="77777777" w:rsidR="00C25BC0" w:rsidRDefault="00062FFC" w:rsidP="00062FFC">
      <w:pPr>
        <w:pStyle w:val="ListParagraph"/>
        <w:numPr>
          <w:ilvl w:val="0"/>
          <w:numId w:val="46"/>
        </w:numPr>
        <w:spacing w:before="113" w:after="113" w:line="240" w:lineRule="auto"/>
        <w:contextualSpacing w:val="0"/>
        <w:jc w:val="both"/>
      </w:pPr>
      <w:r>
        <w:t>Zda podpora v rámci SC 1.1 přispěla ke zvýšení dostupnosti</w:t>
      </w:r>
      <w:r w:rsidR="00C25BC0">
        <w:t xml:space="preserve"> zkušeností s řízením finančně a časově náročných inovačních projektů</w:t>
      </w:r>
      <w:r>
        <w:t xml:space="preserve"> a</w:t>
      </w:r>
      <w:r w:rsidR="00C25BC0">
        <w:t xml:space="preserve"> </w:t>
      </w:r>
      <w:r>
        <w:t xml:space="preserve">zvýšení </w:t>
      </w:r>
      <w:r w:rsidR="00C25BC0">
        <w:t>dostupnost</w:t>
      </w:r>
      <w:r>
        <w:t>i</w:t>
      </w:r>
      <w:r w:rsidR="00C25BC0">
        <w:t xml:space="preserve"> talentovaných kreativních lidí s patřičnou kvalifikací a zkušenostmi.</w:t>
      </w:r>
    </w:p>
    <w:p w14:paraId="0D199724" w14:textId="77777777" w:rsidR="000E21CF" w:rsidRDefault="000E21CF" w:rsidP="000E21CF">
      <w:pPr>
        <w:pStyle w:val="ListParagraph"/>
        <w:numPr>
          <w:ilvl w:val="0"/>
          <w:numId w:val="46"/>
        </w:numPr>
        <w:spacing w:before="113" w:after="113" w:line="240" w:lineRule="auto"/>
        <w:ind w:left="714" w:hanging="357"/>
        <w:contextualSpacing w:val="0"/>
        <w:jc w:val="both"/>
      </w:pPr>
      <w:r>
        <w:t>Zda a v jakých případech je možné intervence označit za méně „</w:t>
      </w:r>
      <w:proofErr w:type="spellStart"/>
      <w:r>
        <w:rPr>
          <w:i/>
        </w:rPr>
        <w:t>cost-effective</w:t>
      </w:r>
      <w:proofErr w:type="spellEnd"/>
      <w:r>
        <w:t>“</w:t>
      </w:r>
      <w:r w:rsidR="00301622">
        <w:t>.</w:t>
      </w:r>
    </w:p>
    <w:p w14:paraId="29C7EB2A" w14:textId="77777777" w:rsidR="000E21CF" w:rsidRDefault="000E21CF" w:rsidP="000E21CF">
      <w:pPr>
        <w:pStyle w:val="ListParagraph"/>
        <w:numPr>
          <w:ilvl w:val="0"/>
          <w:numId w:val="46"/>
        </w:numPr>
        <w:spacing w:before="113" w:after="113" w:line="240" w:lineRule="auto"/>
        <w:ind w:left="714" w:hanging="357"/>
        <w:contextualSpacing w:val="0"/>
      </w:pPr>
      <w:r>
        <w:t>Jaké jsou doporučení pro zvýšení efektivity čerpání tak, aby bylo možné dosáhnout trvalého zlepšení v daných oblastech.</w:t>
      </w:r>
    </w:p>
    <w:p w14:paraId="75956EBD" w14:textId="77777777" w:rsidR="000E21CF" w:rsidRDefault="000E21CF" w:rsidP="000E21CF">
      <w:pPr>
        <w:jc w:val="both"/>
        <w:rPr>
          <w:rFonts w:asciiTheme="majorHAnsi" w:hAnsiTheme="majorHAnsi"/>
          <w:iCs/>
        </w:rPr>
      </w:pPr>
      <w:r>
        <w:rPr>
          <w:rFonts w:asciiTheme="majorHAnsi" w:hAnsiTheme="majorHAnsi"/>
          <w:iCs/>
        </w:rPr>
        <w:t xml:space="preserve">Zjištění na makro úrovni </w:t>
      </w:r>
      <w:r w:rsidR="00494DC6">
        <w:rPr>
          <w:rFonts w:asciiTheme="majorHAnsi" w:hAnsiTheme="majorHAnsi"/>
          <w:iCs/>
        </w:rPr>
        <w:t>byla</w:t>
      </w:r>
      <w:r>
        <w:rPr>
          <w:rFonts w:asciiTheme="majorHAnsi" w:hAnsiTheme="majorHAnsi"/>
          <w:iCs/>
        </w:rPr>
        <w:t xml:space="preserve"> na úrovni jednotlivých příjemců validována v rámci realizovaných případových studiích, individuálních rozhovorů a dotazníkových šetření. Závěrem b</w:t>
      </w:r>
      <w:r w:rsidR="00494DC6">
        <w:rPr>
          <w:rFonts w:asciiTheme="majorHAnsi" w:hAnsiTheme="majorHAnsi"/>
          <w:iCs/>
        </w:rPr>
        <w:t>ylo</w:t>
      </w:r>
      <w:r>
        <w:rPr>
          <w:rFonts w:asciiTheme="majorHAnsi" w:hAnsiTheme="majorHAnsi"/>
          <w:iCs/>
        </w:rPr>
        <w:t xml:space="preserve"> vyhodnoceno, ve kterých programech podpory OP</w:t>
      </w:r>
      <w:r w:rsidR="00301622">
        <w:rPr>
          <w:rFonts w:asciiTheme="majorHAnsi" w:hAnsiTheme="majorHAnsi"/>
          <w:iCs/>
        </w:rPr>
        <w:t xml:space="preserve"> </w:t>
      </w:r>
      <w:r>
        <w:rPr>
          <w:rFonts w:asciiTheme="majorHAnsi" w:hAnsiTheme="majorHAnsi"/>
          <w:iCs/>
        </w:rPr>
        <w:t>PIK existuje prostor pro zvýšení efektivity a zlepšení udržitelnosti dopadu v rámci vybraných principů 5U.</w:t>
      </w:r>
    </w:p>
    <w:p w14:paraId="00C6499E" w14:textId="77777777" w:rsidR="000E21CF" w:rsidRPr="00D73025" w:rsidRDefault="000E21CF" w:rsidP="00152DAD">
      <w:pPr>
        <w:pStyle w:val="Heading1"/>
        <w:numPr>
          <w:ilvl w:val="1"/>
          <w:numId w:val="2"/>
        </w:numPr>
        <w:tabs>
          <w:tab w:val="left" w:pos="851"/>
        </w:tabs>
        <w:spacing w:before="240" w:after="120"/>
        <w:ind w:left="714" w:hanging="357"/>
      </w:pPr>
      <w:bookmarkStart w:id="78" w:name="_Toc8825222"/>
      <w:bookmarkStart w:id="79" w:name="_Toc11679637"/>
      <w:r>
        <w:t>Zjištění a doporučení</w:t>
      </w:r>
      <w:bookmarkEnd w:id="78"/>
      <w:bookmarkEnd w:id="79"/>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0E21CF" w:rsidRPr="003E4246" w14:paraId="3C61E74D" w14:textId="77777777" w:rsidTr="00CF7F8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5202D6BD" w14:textId="77777777" w:rsidR="000E21CF" w:rsidRPr="003E4246" w:rsidRDefault="000E21CF" w:rsidP="00CF7F88">
            <w:pPr>
              <w:spacing w:before="120" w:after="120"/>
              <w:rPr>
                <w:color w:val="FFFFFF" w:themeColor="background1"/>
              </w:rPr>
            </w:pPr>
            <w:r>
              <w:rPr>
                <w:color w:val="FFFFFF" w:themeColor="background1"/>
              </w:rPr>
              <w:t>EO</w:t>
            </w:r>
          </w:p>
        </w:tc>
        <w:tc>
          <w:tcPr>
            <w:tcW w:w="3777" w:type="pct"/>
            <w:shd w:val="clear" w:color="auto" w:fill="E7F5CF" w:themeFill="accent1" w:themeFillTint="33"/>
          </w:tcPr>
          <w:p w14:paraId="51F4EE2C" w14:textId="77777777" w:rsidR="000E21CF" w:rsidRPr="00D73025" w:rsidRDefault="000E21CF" w:rsidP="00301622">
            <w:pPr>
              <w:spacing w:before="120" w:after="120"/>
              <w:jc w:val="both"/>
              <w:cnfStyle w:val="100000000000" w:firstRow="1" w:lastRow="0" w:firstColumn="0" w:lastColumn="0" w:oddVBand="0" w:evenVBand="0" w:oddHBand="0" w:evenHBand="0" w:firstRowFirstColumn="0" w:firstRowLastColumn="0" w:lastRowFirstColumn="0" w:lastRowLastColumn="0"/>
            </w:pPr>
            <w:r w:rsidRPr="000D5DE1">
              <w:t>Lze předpokládat, že intervence realizované v rámci SC 1.1 povedou k</w:t>
            </w:r>
            <w:r w:rsidR="00301622">
              <w:t> </w:t>
            </w:r>
            <w:r w:rsidRPr="000D5DE1">
              <w:t>trvalému zlepšení identifikovaných problémů? Je v tomto smyslu potřeba dané aktivity podporovat i nadále, nebo se další podpora z</w:t>
            </w:r>
            <w:r w:rsidR="00301622">
              <w:t> </w:t>
            </w:r>
            <w:r w:rsidRPr="000D5DE1">
              <w:t>hlediska principu 3E nejeví jako smysluplná?</w:t>
            </w:r>
          </w:p>
        </w:tc>
      </w:tr>
      <w:tr w:rsidR="000E21CF" w14:paraId="6106694D"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2F33C3C" w14:textId="77777777" w:rsidR="000E21CF" w:rsidRDefault="000E21CF" w:rsidP="00CF7F88">
            <w:pPr>
              <w:spacing w:before="120" w:after="120"/>
              <w:rPr>
                <w:color w:val="FFFFFF" w:themeColor="background1"/>
              </w:rPr>
            </w:pPr>
            <w:r>
              <w:rPr>
                <w:color w:val="FFFFFF" w:themeColor="background1"/>
              </w:rPr>
              <w:t>Program podpory</w:t>
            </w:r>
          </w:p>
        </w:tc>
        <w:tc>
          <w:tcPr>
            <w:tcW w:w="3777" w:type="pct"/>
          </w:tcPr>
          <w:p w14:paraId="185A734F" w14:textId="77777777" w:rsidR="000E21CF" w:rsidRPr="007A0414" w:rsidRDefault="000E21CF" w:rsidP="00CF7F88">
            <w:pPr>
              <w:spacing w:before="120" w:after="120"/>
              <w:cnfStyle w:val="000000100000" w:firstRow="0" w:lastRow="0" w:firstColumn="0" w:lastColumn="0" w:oddVBand="0" w:evenVBand="0" w:oddHBand="1" w:evenHBand="0" w:firstRowFirstColumn="0" w:firstRowLastColumn="0" w:lastRowFirstColumn="0" w:lastRowLastColumn="0"/>
            </w:pPr>
            <w:r>
              <w:t>INO, APL, POT</w:t>
            </w:r>
          </w:p>
        </w:tc>
      </w:tr>
      <w:tr w:rsidR="000E21CF" w14:paraId="7E084F89"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4E029360" w14:textId="77777777" w:rsidR="000E21CF" w:rsidRDefault="000E21CF" w:rsidP="00CF7F88">
            <w:pPr>
              <w:spacing w:after="0"/>
              <w:rPr>
                <w:color w:val="FFFFFF" w:themeColor="background1"/>
              </w:rPr>
            </w:pPr>
            <w:r>
              <w:rPr>
                <w:color w:val="FFFFFF" w:themeColor="background1"/>
              </w:rPr>
              <w:t>Evaluační metody</w:t>
            </w:r>
          </w:p>
        </w:tc>
        <w:tc>
          <w:tcPr>
            <w:tcW w:w="3777" w:type="pct"/>
          </w:tcPr>
          <w:p w14:paraId="53DCB300"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Kvalitativní analýza</w:t>
            </w:r>
          </w:p>
          <w:p w14:paraId="54CBDAC5" w14:textId="77777777" w:rsidR="000E21CF"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Analýza sekundárních zdrojů dat</w:t>
            </w:r>
          </w:p>
          <w:p w14:paraId="2B949441" w14:textId="77777777" w:rsidR="000E21CF" w:rsidRPr="007A0414" w:rsidRDefault="000E21CF"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Modelování dopadu</w:t>
            </w:r>
          </w:p>
        </w:tc>
      </w:tr>
      <w:tr w:rsidR="000E21CF" w14:paraId="431AF676"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1FE03761" w14:textId="77777777" w:rsidR="000E21CF" w:rsidRPr="00622A6D" w:rsidRDefault="000E21CF" w:rsidP="00CF7F88">
            <w:pPr>
              <w:spacing w:after="0"/>
              <w:rPr>
                <w:color w:val="FFFFFF" w:themeColor="background1"/>
              </w:rPr>
            </w:pPr>
            <w:r>
              <w:rPr>
                <w:color w:val="FFFFFF" w:themeColor="background1"/>
              </w:rPr>
              <w:t>Hlavní závěry a z</w:t>
            </w:r>
            <w:r w:rsidRPr="00622A6D">
              <w:rPr>
                <w:color w:val="FFFFFF" w:themeColor="background1"/>
              </w:rPr>
              <w:t>jištění</w:t>
            </w:r>
          </w:p>
        </w:tc>
        <w:tc>
          <w:tcPr>
            <w:tcW w:w="3777" w:type="pct"/>
          </w:tcPr>
          <w:p w14:paraId="77B93A69" w14:textId="77777777" w:rsidR="00264DE2" w:rsidRDefault="000E21CF"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Na základě dostupných dat nelze s přesností zodpovědět, dojde-li díky intervenci OP PIK k trvalému </w:t>
            </w:r>
            <w:r w:rsidR="00565518">
              <w:t>zvýšení</w:t>
            </w:r>
            <w:r w:rsidR="00A84703">
              <w:t xml:space="preserve"> úrovně inovační výkonnosti českých podniků</w:t>
            </w:r>
            <w:r>
              <w:t xml:space="preserve">. Indikátorová soustava </w:t>
            </w:r>
            <w:r w:rsidRPr="003E4246">
              <w:rPr>
                <w:b/>
              </w:rPr>
              <w:t>neobsahuje relevantní dopadové indikátory</w:t>
            </w:r>
            <w:r>
              <w:rPr>
                <w:b/>
              </w:rPr>
              <w:t xml:space="preserve"> a </w:t>
            </w:r>
            <w:r w:rsidRPr="003E4246">
              <w:rPr>
                <w:b/>
              </w:rPr>
              <w:t>není tudíž možné vyhodnotit změnu chování příjemců podpory.</w:t>
            </w:r>
          </w:p>
          <w:p w14:paraId="1802B480" w14:textId="77777777" w:rsidR="00C53DBA" w:rsidRDefault="000E21CF" w:rsidP="00246DCF">
            <w:pPr>
              <w:pStyle w:val="ListParagraph"/>
              <w:numPr>
                <w:ilvl w:val="0"/>
                <w:numId w:val="112"/>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 xml:space="preserve">Přesto lze tvrdit, že </w:t>
            </w:r>
            <w:r w:rsidRPr="002449AE">
              <w:rPr>
                <w:b/>
              </w:rPr>
              <w:t>podpora OP PIK měla dosud významný vliv na posílení inovační výkonnosti příjemců, zvláště pak MSP</w:t>
            </w:r>
            <w:r w:rsidR="00565518">
              <w:rPr>
                <w:b/>
              </w:rPr>
              <w:t xml:space="preserve"> </w:t>
            </w:r>
            <w:r w:rsidR="00565518">
              <w:t>s omezenými finančními zdroji</w:t>
            </w:r>
            <w:r w:rsidRPr="002449AE">
              <w:rPr>
                <w:b/>
              </w:rPr>
              <w:t xml:space="preserve">, a do budoucna se tak i nadále jeví </w:t>
            </w:r>
            <w:r>
              <w:t xml:space="preserve">podpora ve všech třech programech Aplikace, Inovace a Potenciál </w:t>
            </w:r>
            <w:r w:rsidRPr="002449AE">
              <w:rPr>
                <w:b/>
              </w:rPr>
              <w:t>jako smysluplná</w:t>
            </w:r>
            <w:r>
              <w:t>.</w:t>
            </w:r>
          </w:p>
          <w:p w14:paraId="3AD34AC6" w14:textId="77777777" w:rsidR="00E96C31" w:rsidRDefault="000E21CF" w:rsidP="00246DCF">
            <w:pPr>
              <w:pStyle w:val="ListParagraph"/>
              <w:numPr>
                <w:ilvl w:val="0"/>
                <w:numId w:val="10"/>
              </w:numPr>
              <w:spacing w:after="60"/>
              <w:ind w:left="265" w:hanging="265"/>
              <w:cnfStyle w:val="000000100000" w:firstRow="0" w:lastRow="0" w:firstColumn="0" w:lastColumn="0" w:oddVBand="0" w:evenVBand="0" w:oddHBand="1" w:evenHBand="0" w:firstRowFirstColumn="0" w:firstRowLastColumn="0" w:lastRowFirstColumn="0" w:lastRowLastColumn="0"/>
            </w:pPr>
            <w:r>
              <w:t xml:space="preserve">Z provedených šetření </w:t>
            </w:r>
            <w:r w:rsidR="00C60554">
              <w:t xml:space="preserve">totiž </w:t>
            </w:r>
            <w:r>
              <w:t>vyplývá, že pro většinu příjemců, zejména z řad MSP</w:t>
            </w:r>
            <w:r w:rsidR="00301622">
              <w:t>,</w:t>
            </w:r>
            <w:r>
              <w:t xml:space="preserve"> intervence přinesly </w:t>
            </w:r>
            <w:r w:rsidR="00E96C31">
              <w:t xml:space="preserve">ke </w:t>
            </w:r>
            <w:r>
              <w:t xml:space="preserve">zkvalitnění výzkumu a urychlení aplikace výsledků výzkumu do praxe. </w:t>
            </w:r>
            <w:r w:rsidRPr="00C53DBA">
              <w:rPr>
                <w:b/>
              </w:rPr>
              <w:t>Podniky tak mohou lépe a rychleji reagovat na vývoj trhu.</w:t>
            </w:r>
            <w:r w:rsidR="00D759B7">
              <w:rPr>
                <w:b/>
              </w:rPr>
              <w:t xml:space="preserve"> </w:t>
            </w:r>
            <w:r w:rsidR="008F792F">
              <w:t xml:space="preserve">Nicméně </w:t>
            </w:r>
            <w:r w:rsidR="008F792F" w:rsidRPr="00246DCF">
              <w:rPr>
                <w:b/>
              </w:rPr>
              <w:t>stále převládá důraz na produktové a procesní inovace a podíl inovací vyšších řádů je nízký</w:t>
            </w:r>
            <w:r w:rsidR="008F792F">
              <w:t>.</w:t>
            </w:r>
          </w:p>
          <w:p w14:paraId="56E85137" w14:textId="1751C72D" w:rsidR="00E96C31" w:rsidRPr="00E96C31" w:rsidRDefault="000023A6" w:rsidP="00246DCF">
            <w:pPr>
              <w:pStyle w:val="ListParagraph"/>
              <w:numPr>
                <w:ilvl w:val="0"/>
                <w:numId w:val="112"/>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t>Dotazované podniky projevují o</w:t>
            </w:r>
            <w:r w:rsidR="007A7B9F">
              <w:t> </w:t>
            </w:r>
            <w:r>
              <w:t>inovace zájem</w:t>
            </w:r>
            <w:r w:rsidR="000E21CF">
              <w:t xml:space="preserve"> a </w:t>
            </w:r>
            <w:r w:rsidR="00517A76">
              <w:t xml:space="preserve">lze očekávat, že </w:t>
            </w:r>
            <w:r w:rsidR="000E21CF">
              <w:t xml:space="preserve">poptávka trhu po inovacích bude </w:t>
            </w:r>
            <w:r>
              <w:t xml:space="preserve">nadále </w:t>
            </w:r>
            <w:r w:rsidR="000E21CF">
              <w:t>růst</w:t>
            </w:r>
            <w:r w:rsidR="00517A76">
              <w:t xml:space="preserve"> (nedojde-li k výrazným změnám např. ve výši spolufinancování)</w:t>
            </w:r>
            <w:r w:rsidR="000E21CF">
              <w:t xml:space="preserve">. Dotační podpora </w:t>
            </w:r>
            <w:proofErr w:type="spellStart"/>
            <w:r w:rsidR="000E21CF">
              <w:t>VaVaI</w:t>
            </w:r>
            <w:proofErr w:type="spellEnd"/>
            <w:r w:rsidR="000E21CF">
              <w:t xml:space="preserve"> se navíc do budoucna jeví jako </w:t>
            </w:r>
            <w:r w:rsidR="000E21CF" w:rsidRPr="00E96C31">
              <w:rPr>
                <w:b/>
              </w:rPr>
              <w:t>důležitý moment pro motivaci MSP podporovat vlastní výzkum a inovace a má potenciál podpořit rizikovější inovace vyššího řádu</w:t>
            </w:r>
            <w:r w:rsidR="000E21CF" w:rsidRPr="008F792F">
              <w:rPr>
                <w:b/>
              </w:rPr>
              <w:t>.</w:t>
            </w:r>
            <w:r w:rsidR="00D759B7">
              <w:rPr>
                <w:b/>
              </w:rPr>
              <w:t xml:space="preserve"> </w:t>
            </w:r>
            <w:r w:rsidR="00E96C31">
              <w:t xml:space="preserve">Díky OP PIK sice došlo k </w:t>
            </w:r>
            <w:r w:rsidR="00E96C31" w:rsidRPr="00246DCF">
              <w:rPr>
                <w:b/>
              </w:rPr>
              <w:t>částečnému zvýšení a rozšíření zkušeností s řízením finančně a časově náročných inovačních projektů</w:t>
            </w:r>
            <w:r w:rsidR="00E96C31">
              <w:t>, nicméně lze předpokládat, že pro další rozšíření inovací vyššího řádu a</w:t>
            </w:r>
            <w:r w:rsidR="00246DCF">
              <w:t> </w:t>
            </w:r>
            <w:r w:rsidR="00E96C31">
              <w:t>rozvoj směrem k </w:t>
            </w:r>
            <w:proofErr w:type="spellStart"/>
            <w:r w:rsidR="00E96C31">
              <w:t>marketinogově</w:t>
            </w:r>
            <w:proofErr w:type="spellEnd"/>
            <w:r w:rsidR="00E96C31">
              <w:t>-obchodní ekonomice bude třeba v tomto trendu pokračovat i nadále.</w:t>
            </w:r>
          </w:p>
          <w:p w14:paraId="2980892B" w14:textId="77777777" w:rsidR="000E21CF" w:rsidRPr="00ED59C0" w:rsidRDefault="000E21CF" w:rsidP="002449AE">
            <w:pPr>
              <w:pStyle w:val="ListParagraph"/>
              <w:numPr>
                <w:ilvl w:val="0"/>
                <w:numId w:val="108"/>
              </w:numPr>
              <w:spacing w:after="60"/>
              <w:ind w:left="319" w:hanging="284"/>
              <w:contextualSpacing w:val="0"/>
              <w:cnfStyle w:val="000000100000" w:firstRow="0" w:lastRow="0" w:firstColumn="0" w:lastColumn="0" w:oddVBand="0" w:evenVBand="0" w:oddHBand="1" w:evenHBand="0" w:firstRowFirstColumn="0" w:firstRowLastColumn="0" w:lastRowFirstColumn="0" w:lastRowLastColumn="0"/>
              <w:rPr>
                <w:b/>
              </w:rPr>
            </w:pPr>
            <w:r>
              <w:rPr>
                <w:b/>
              </w:rPr>
              <w:t xml:space="preserve">Za </w:t>
            </w:r>
            <w:r w:rsidR="00283E22">
              <w:rPr>
                <w:b/>
              </w:rPr>
              <w:t xml:space="preserve">nákladově </w:t>
            </w:r>
            <w:r>
              <w:rPr>
                <w:b/>
              </w:rPr>
              <w:t>neefektiv</w:t>
            </w:r>
            <w:r w:rsidRPr="00846F5B">
              <w:rPr>
                <w:b/>
              </w:rPr>
              <w:t>ní lze považovat stávající pravidla pro výběr dodavatele a zadávání veřejných zakázek, zejména stanovenou rozhodnou hodnotu pro zadávání ve výši 400 tis. Kč bez DPH.</w:t>
            </w:r>
            <w:r>
              <w:rPr>
                <w:b/>
              </w:rPr>
              <w:t xml:space="preserve"> </w:t>
            </w:r>
            <w:r>
              <w:t>Většina investic do movitého a nemovitého majetku tuto hodnotu přesahuje a velká část projektů musí podle těchto pravidel zadávat. V praxi to znamená výraznou administrativní zátěž, a to nejen na straně příjemce ale i na straně poskytovatele</w:t>
            </w:r>
            <w:r w:rsidR="0062030D">
              <w:t>, což může v kombinaci se zvýšením podílu spolufinancování vést ke snížení zájmu ze strany příjemců</w:t>
            </w:r>
            <w:r>
              <w:t xml:space="preserve">. </w:t>
            </w:r>
            <w:r w:rsidRPr="00CE2FF0">
              <w:rPr>
                <w:b/>
              </w:rPr>
              <w:t>Přitom pro zadavatele podle zákona o veřejných zakázkách jsou stanoveny hodnoty výrazně vyšší (2 mil. Kč).</w:t>
            </w:r>
          </w:p>
        </w:tc>
      </w:tr>
      <w:tr w:rsidR="000E21CF" w14:paraId="3DA4FDA5"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7C6DDD69" w14:textId="77777777" w:rsidR="000E21CF" w:rsidRPr="00622A6D" w:rsidRDefault="000E21CF" w:rsidP="00CF7F88">
            <w:pPr>
              <w:spacing w:after="0"/>
              <w:rPr>
                <w:color w:val="FFFFFF" w:themeColor="background1"/>
              </w:rPr>
            </w:pPr>
            <w:r w:rsidRPr="00622A6D">
              <w:rPr>
                <w:color w:val="FFFFFF" w:themeColor="background1"/>
              </w:rPr>
              <w:t>Doporučení</w:t>
            </w:r>
            <w:r>
              <w:rPr>
                <w:color w:val="FFFFFF" w:themeColor="background1"/>
              </w:rPr>
              <w:t xml:space="preserve"> pro současné program. </w:t>
            </w:r>
            <w:r w:rsidR="0062030D">
              <w:rPr>
                <w:color w:val="FFFFFF" w:themeColor="background1"/>
              </w:rPr>
              <w:t>o</w:t>
            </w:r>
            <w:r>
              <w:rPr>
                <w:color w:val="FFFFFF" w:themeColor="background1"/>
              </w:rPr>
              <w:t>bdobí</w:t>
            </w:r>
          </w:p>
        </w:tc>
        <w:tc>
          <w:tcPr>
            <w:tcW w:w="3777" w:type="pct"/>
          </w:tcPr>
          <w:p w14:paraId="1DD40F77" w14:textId="77777777" w:rsidR="008F792F" w:rsidRDefault="006A7419" w:rsidP="005D0344">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Více se z</w:t>
            </w:r>
            <w:r w:rsidR="008F792F">
              <w:t>aměřit na podporu inovací vyšších řádů.</w:t>
            </w:r>
          </w:p>
          <w:p w14:paraId="6B6207B1" w14:textId="77777777" w:rsidR="00B75692" w:rsidRDefault="001305A6" w:rsidP="001305A6">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Více p</w:t>
            </w:r>
            <w:r w:rsidR="00427333">
              <w:t xml:space="preserve">odporovat podniky při </w:t>
            </w:r>
            <w:r w:rsidR="0036540D">
              <w:t>získávání a rozvoji</w:t>
            </w:r>
            <w:r w:rsidR="005D0344">
              <w:t xml:space="preserve"> talentovaných kreativních lidí s patřičnou kvalifikací a zkušenostmi.</w:t>
            </w:r>
          </w:p>
          <w:p w14:paraId="2ACE0BBC" w14:textId="77777777" w:rsidR="00246DCF" w:rsidRPr="00B75692" w:rsidRDefault="00246DCF" w:rsidP="001305A6">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t>Více podporovat marketingové a organizační inovace</w:t>
            </w:r>
          </w:p>
        </w:tc>
      </w:tr>
      <w:tr w:rsidR="000E21CF" w14:paraId="5D14AAA6"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7DA36E51" w14:textId="77777777" w:rsidR="000E21CF" w:rsidRPr="00622A6D" w:rsidRDefault="000E21CF" w:rsidP="00CF7F88">
            <w:pPr>
              <w:spacing w:after="0"/>
              <w:rPr>
                <w:color w:val="FFFFFF" w:themeColor="background1"/>
              </w:rPr>
            </w:pPr>
            <w:r>
              <w:rPr>
                <w:color w:val="FFFFFF" w:themeColor="background1"/>
              </w:rPr>
              <w:t>Doporučení pro program. období 2021+</w:t>
            </w:r>
          </w:p>
        </w:tc>
        <w:tc>
          <w:tcPr>
            <w:tcW w:w="3777" w:type="pct"/>
          </w:tcPr>
          <w:p w14:paraId="01CC0F4B" w14:textId="7C031DBE" w:rsidR="000E21CF" w:rsidRDefault="000E21CF" w:rsidP="007A7B9F">
            <w:pPr>
              <w:pStyle w:val="ListParagraph"/>
              <w:numPr>
                <w:ilvl w:val="0"/>
                <w:numId w:val="11"/>
              </w:numPr>
              <w:spacing w:after="120"/>
              <w:ind w:left="404"/>
              <w:contextualSpacing w:val="0"/>
              <w:cnfStyle w:val="000000100000" w:firstRow="0" w:lastRow="0" w:firstColumn="0" w:lastColumn="0" w:oddVBand="0" w:evenVBand="0" w:oddHBand="1" w:evenHBand="0" w:firstRowFirstColumn="0" w:firstRowLastColumn="0" w:lastRowFirstColumn="0" w:lastRowLastColumn="0"/>
            </w:pPr>
            <w:r w:rsidRPr="00ED59C0">
              <w:rPr>
                <w:b/>
              </w:rPr>
              <w:t>Udržet míru financování z dotace ve výši 30–50 %.</w:t>
            </w:r>
            <w:r>
              <w:t xml:space="preserve"> Zejména pro MSP se míra financování jeví jako kritická. Zároveň při výrazném podílu spolufinancování ze strany příjemce se zvyšuje přirozený tlak na smysluplnost a efektivitu realizovaných projektů.</w:t>
            </w:r>
          </w:p>
          <w:p w14:paraId="0C735916" w14:textId="77777777" w:rsidR="000E21CF" w:rsidRDefault="000E21CF" w:rsidP="007A7B9F">
            <w:pPr>
              <w:pStyle w:val="ListParagraph"/>
              <w:numPr>
                <w:ilvl w:val="0"/>
                <w:numId w:val="11"/>
              </w:numPr>
              <w:spacing w:after="120"/>
              <w:ind w:left="404"/>
              <w:contextualSpacing w:val="0"/>
              <w:cnfStyle w:val="000000100000" w:firstRow="0" w:lastRow="0" w:firstColumn="0" w:lastColumn="0" w:oddVBand="0" w:evenVBand="0" w:oddHBand="1" w:evenHBand="0" w:firstRowFirstColumn="0" w:firstRowLastColumn="0" w:lastRowFirstColumn="0" w:lastRowLastColumn="0"/>
            </w:pPr>
            <w:r w:rsidRPr="00ED59C0">
              <w:rPr>
                <w:b/>
              </w:rPr>
              <w:t>Zjednodušit pravidla (postupy) pro výběr dodavatele a zadávání veřejných zakázek</w:t>
            </w:r>
            <w:r>
              <w:t xml:space="preserve"> v případě, kdy příjemce nepostupuje podle příslušného zákona. Výběr dodavatelů podle daných postupů nijak výrazně nezvyšuje efektivitu vynaložení finančních prostředků a zbytečně vytváří administrativní zátěž.</w:t>
            </w:r>
            <w:r w:rsidR="00316217">
              <w:t xml:space="preserve"> Dle vyjádření respondentů postup plošného oslovování dodavatelů a následný výběr nejlevnější nabídky totiž znemožňuje průběžné vyjednávání s potenciálními dodavateli, které v běžné praxi vede k dosažení lepší cenové nabídky.</w:t>
            </w:r>
          </w:p>
          <w:p w14:paraId="402D543F" w14:textId="77777777" w:rsidR="000976F6" w:rsidRDefault="000976F6" w:rsidP="007A7B9F">
            <w:pPr>
              <w:pStyle w:val="ListParagraph"/>
              <w:numPr>
                <w:ilvl w:val="0"/>
                <w:numId w:val="11"/>
              </w:numPr>
              <w:spacing w:after="120"/>
              <w:ind w:left="404"/>
              <w:contextualSpacing w:val="0"/>
              <w:cnfStyle w:val="000000100000" w:firstRow="0" w:lastRow="0" w:firstColumn="0" w:lastColumn="0" w:oddVBand="0" w:evenVBand="0" w:oddHBand="1" w:evenHBand="0" w:firstRowFirstColumn="0" w:firstRowLastColumn="0" w:lastRowFirstColumn="0" w:lastRowLastColumn="0"/>
            </w:pPr>
            <w:r>
              <w:rPr>
                <w:b/>
              </w:rPr>
              <w:t>Doplnit dopadové indikátory typu:</w:t>
            </w:r>
          </w:p>
          <w:p w14:paraId="2605C8A6" w14:textId="77777777" w:rsidR="000976F6" w:rsidRPr="00864B9E" w:rsidRDefault="000976F6" w:rsidP="007A7B9F">
            <w:pPr>
              <w:pStyle w:val="ListParagraph"/>
              <w:numPr>
                <w:ilvl w:val="0"/>
                <w:numId w:val="117"/>
              </w:numPr>
              <w:ind w:left="830"/>
              <w:cnfStyle w:val="000000100000" w:firstRow="0" w:lastRow="0" w:firstColumn="0" w:lastColumn="0" w:oddVBand="0" w:evenVBand="0" w:oddHBand="1" w:evenHBand="0" w:firstRowFirstColumn="0" w:firstRowLastColumn="0" w:lastRowFirstColumn="0" w:lastRowLastColumn="0"/>
            </w:pPr>
            <w:r w:rsidRPr="00864B9E">
              <w:t xml:space="preserve">Postavení podniků v rámci mezinárodních trhů a distribučních sítí </w:t>
            </w:r>
            <w:r w:rsidRPr="00864B9E">
              <w:rPr>
                <w:b/>
              </w:rPr>
              <w:t xml:space="preserve"> </w:t>
            </w:r>
            <w:r w:rsidRPr="005F4473">
              <w:t>(Samostatný podnik,</w:t>
            </w:r>
            <w:r w:rsidRPr="00864B9E">
              <w:rPr>
                <w:b/>
              </w:rPr>
              <w:t xml:space="preserve"> </w:t>
            </w:r>
            <w:r w:rsidRPr="00864B9E">
              <w:t xml:space="preserve">Vedoucí podnik v produkční síti, Dodavatel 1. až 3. řádu) </w:t>
            </w:r>
          </w:p>
          <w:p w14:paraId="46EF55B5" w14:textId="1E9908BF" w:rsidR="000976F6" w:rsidRDefault="000976F6" w:rsidP="007A7B9F">
            <w:pPr>
              <w:pStyle w:val="ListParagraph"/>
              <w:numPr>
                <w:ilvl w:val="0"/>
                <w:numId w:val="117"/>
              </w:numPr>
              <w:ind w:left="830"/>
              <w:cnfStyle w:val="000000100000" w:firstRow="0" w:lastRow="0" w:firstColumn="0" w:lastColumn="0" w:oddVBand="0" w:evenVBand="0" w:oddHBand="1" w:evenHBand="0" w:firstRowFirstColumn="0" w:firstRowLastColumn="0" w:lastRowFirstColumn="0" w:lastRowLastColumn="0"/>
            </w:pPr>
            <w:r w:rsidRPr="00864B9E">
              <w:t xml:space="preserve">Počet nově registrovaných ekonomických činností </w:t>
            </w:r>
            <w:r>
              <w:t>s klasifikací v</w:t>
            </w:r>
            <w:r w:rsidR="00093677">
              <w:t> </w:t>
            </w:r>
            <w:r w:rsidRPr="00864B9E">
              <w:t>odvětví s vysokou technologickou náročností (high-tech)</w:t>
            </w:r>
          </w:p>
          <w:p w14:paraId="66B7CC94" w14:textId="77777777" w:rsidR="00093677" w:rsidRPr="00864B9E" w:rsidRDefault="00093677" w:rsidP="007A7B9F">
            <w:pPr>
              <w:pStyle w:val="ListParagraph"/>
              <w:numPr>
                <w:ilvl w:val="0"/>
                <w:numId w:val="117"/>
              </w:numPr>
              <w:ind w:left="830"/>
              <w:cnfStyle w:val="000000100000" w:firstRow="0" w:lastRow="0" w:firstColumn="0" w:lastColumn="0" w:oddVBand="0" w:evenVBand="0" w:oddHBand="1" w:evenHBand="0" w:firstRowFirstColumn="0" w:firstRowLastColumn="0" w:lastRowFirstColumn="0" w:lastRowLastColumn="0"/>
            </w:pPr>
            <w:r>
              <w:t>Počet celosvětových patentů</w:t>
            </w:r>
          </w:p>
          <w:p w14:paraId="34304313" w14:textId="77777777" w:rsidR="000976F6" w:rsidRDefault="000976F6" w:rsidP="00CE2FF0">
            <w:pPr>
              <w:pStyle w:val="ListParagraph"/>
              <w:numPr>
                <w:ilvl w:val="0"/>
                <w:numId w:val="117"/>
              </w:numPr>
              <w:ind w:left="830"/>
              <w:cnfStyle w:val="000000100000" w:firstRow="0" w:lastRow="0" w:firstColumn="0" w:lastColumn="0" w:oddVBand="0" w:evenVBand="0" w:oddHBand="1" w:evenHBand="0" w:firstRowFirstColumn="0" w:firstRowLastColumn="0" w:lastRowFirstColumn="0" w:lastRowLastColumn="0"/>
            </w:pPr>
            <w:r w:rsidRPr="00864B9E">
              <w:t xml:space="preserve">Příjmy z licencí </w:t>
            </w:r>
            <w:r>
              <w:t>na patenty</w:t>
            </w:r>
          </w:p>
          <w:p w14:paraId="3A8A0CAA" w14:textId="77777777" w:rsidR="00093677" w:rsidRDefault="00093677" w:rsidP="00CE2FF0">
            <w:pPr>
              <w:pStyle w:val="ListParagraph"/>
              <w:numPr>
                <w:ilvl w:val="0"/>
                <w:numId w:val="117"/>
              </w:numPr>
              <w:spacing w:after="120"/>
              <w:ind w:left="830"/>
              <w:contextualSpacing w:val="0"/>
              <w:cnfStyle w:val="000000100000" w:firstRow="0" w:lastRow="0" w:firstColumn="0" w:lastColumn="0" w:oddVBand="0" w:evenVBand="0" w:oddHBand="1" w:evenHBand="0" w:firstRowFirstColumn="0" w:firstRowLastColumn="0" w:lastRowFirstColumn="0" w:lastRowLastColumn="0"/>
            </w:pPr>
            <w:r>
              <w:t>Indikátor měřící „změnu chování“ – zvýšení inovační výkonnosti (např. počet dalších inovací atd.)</w:t>
            </w:r>
          </w:p>
        </w:tc>
      </w:tr>
    </w:tbl>
    <w:p w14:paraId="7CE39AC9" w14:textId="77777777" w:rsidR="000E21CF" w:rsidRDefault="000E21CF" w:rsidP="000E21CF">
      <w:pPr>
        <w:spacing w:after="0" w:line="240" w:lineRule="auto"/>
      </w:pPr>
    </w:p>
    <w:p w14:paraId="42B61438" w14:textId="77777777" w:rsidR="00D73025" w:rsidRDefault="00D73025">
      <w:pPr>
        <w:spacing w:after="0" w:line="240" w:lineRule="auto"/>
        <w:rPr>
          <w:rFonts w:eastAsia="MingLiU" w:cs="Times New Roman"/>
          <w:bCs/>
          <w:color w:val="auto"/>
          <w:sz w:val="60"/>
          <w:szCs w:val="60"/>
        </w:rPr>
      </w:pPr>
    </w:p>
    <w:p w14:paraId="5E328447" w14:textId="77777777" w:rsidR="00B2069E" w:rsidRPr="00D73025" w:rsidRDefault="00B2069E" w:rsidP="00C818D5">
      <w:pPr>
        <w:pStyle w:val="Heading1"/>
        <w:numPr>
          <w:ilvl w:val="0"/>
          <w:numId w:val="2"/>
        </w:numPr>
        <w:tabs>
          <w:tab w:val="left" w:pos="993"/>
        </w:tabs>
        <w:spacing w:after="120"/>
        <w:rPr>
          <w:rFonts w:ascii="Verdana" w:eastAsia="MingLiU" w:hAnsi="Verdana" w:cs="Times New Roman"/>
          <w:b w:val="0"/>
          <w:color w:val="auto"/>
          <w:sz w:val="60"/>
          <w:szCs w:val="60"/>
        </w:rPr>
      </w:pPr>
      <w:bookmarkStart w:id="80" w:name="_Toc11679638"/>
      <w:r w:rsidRPr="00D73025">
        <w:rPr>
          <w:rFonts w:ascii="Verdana" w:eastAsia="MingLiU" w:hAnsi="Verdana" w:cs="Times New Roman"/>
          <w:b w:val="0"/>
          <w:color w:val="auto"/>
          <w:sz w:val="60"/>
          <w:szCs w:val="60"/>
        </w:rPr>
        <w:t xml:space="preserve">Evaluační otázka </w:t>
      </w:r>
      <w:r w:rsidR="00D73025">
        <w:rPr>
          <w:rFonts w:ascii="Verdana" w:eastAsia="MingLiU" w:hAnsi="Verdana" w:cs="Times New Roman"/>
          <w:b w:val="0"/>
          <w:color w:val="auto"/>
          <w:sz w:val="60"/>
          <w:szCs w:val="60"/>
        </w:rPr>
        <w:t xml:space="preserve">č. </w:t>
      </w:r>
      <w:r w:rsidRPr="00D73025">
        <w:rPr>
          <w:rFonts w:ascii="Verdana" w:eastAsia="MingLiU" w:hAnsi="Verdana" w:cs="Times New Roman"/>
          <w:b w:val="0"/>
          <w:color w:val="auto"/>
          <w:sz w:val="60"/>
          <w:szCs w:val="60"/>
        </w:rPr>
        <w:t>10</w:t>
      </w:r>
      <w:bookmarkEnd w:id="80"/>
    </w:p>
    <w:p w14:paraId="53099320" w14:textId="77777777" w:rsidR="00B2069E" w:rsidRPr="000D5DE1" w:rsidRDefault="00B2069E" w:rsidP="000D5DE1">
      <w:pPr>
        <w:spacing w:after="0"/>
        <w:jc w:val="both"/>
        <w:rPr>
          <w:b/>
        </w:rPr>
      </w:pPr>
    </w:p>
    <w:p w14:paraId="315E0BB7" w14:textId="77777777" w:rsidR="000D5DE1" w:rsidRPr="000D5DE1" w:rsidRDefault="000D5DE1" w:rsidP="000D5DE1">
      <w:pPr>
        <w:jc w:val="both"/>
        <w:rPr>
          <w:b/>
        </w:rPr>
      </w:pPr>
      <w:r w:rsidRPr="000D5DE1">
        <w:rPr>
          <w:b/>
        </w:rPr>
        <w:t>Lze považovat dosažené výsledky z hlediska stanovených cílů za dostatečné? Případně, čeho se nepodařilo dosáhnout a z jakých příčin? Dodavatel zároveň provede predikci toho, zda se podaří do konce programovacího období stanovených cílů dosáhnout a za jakých předpokladů. Vyzní-li predikce negativně, navrhne dodavatel způsoby řešení, které by přispěly k dosažení stanovených cílů.</w:t>
      </w:r>
    </w:p>
    <w:p w14:paraId="7FF44431" w14:textId="77777777" w:rsidR="00494DC6" w:rsidRPr="00494DC6" w:rsidRDefault="00494DC6" w:rsidP="00152DAD">
      <w:pPr>
        <w:pStyle w:val="Heading1"/>
        <w:numPr>
          <w:ilvl w:val="1"/>
          <w:numId w:val="2"/>
        </w:numPr>
        <w:tabs>
          <w:tab w:val="left" w:pos="851"/>
        </w:tabs>
        <w:spacing w:before="240" w:after="120"/>
        <w:ind w:left="714" w:hanging="357"/>
      </w:pPr>
      <w:bookmarkStart w:id="81" w:name="_Toc8825224"/>
      <w:bookmarkStart w:id="82" w:name="_Toc11679639"/>
      <w:r w:rsidRPr="00494DC6">
        <w:t>Úkol</w:t>
      </w:r>
      <w:bookmarkEnd w:id="81"/>
      <w:bookmarkEnd w:id="82"/>
    </w:p>
    <w:p w14:paraId="58E90E66" w14:textId="77777777" w:rsidR="00494DC6" w:rsidRDefault="00494DC6" w:rsidP="00494DC6">
      <w:pPr>
        <w:jc w:val="both"/>
      </w:pPr>
      <w:r w:rsidRPr="00494DC6">
        <w:t>Na základě zjištění ohledně naplňování cílů, vyhodnocení, čeho se nepodařilo dosáhnout, včetně identifikace příčin, b</w:t>
      </w:r>
      <w:r w:rsidR="00ED59C0">
        <w:t>yla</w:t>
      </w:r>
      <w:r w:rsidRPr="00494DC6">
        <w:t xml:space="preserve"> zpracována predikce, zda se stanovených cílů do konce programového období podaří dosáhnout, a za jakých předpokladů. </w:t>
      </w:r>
      <w:r w:rsidR="00ED59C0">
        <w:t xml:space="preserve">Zpracovatel doporučil </w:t>
      </w:r>
      <w:r w:rsidRPr="00494DC6">
        <w:t>způsoby řešení, které by prospěly k</w:t>
      </w:r>
      <w:r w:rsidR="0086722D">
        <w:t> </w:t>
      </w:r>
      <w:r w:rsidRPr="00494DC6">
        <w:t>dosažení stanovených cílů.</w:t>
      </w:r>
    </w:p>
    <w:p w14:paraId="7FDA4FF8" w14:textId="77777777" w:rsidR="00494DC6" w:rsidRPr="00494DC6" w:rsidRDefault="00494DC6" w:rsidP="00152DAD">
      <w:pPr>
        <w:pStyle w:val="Heading1"/>
        <w:numPr>
          <w:ilvl w:val="1"/>
          <w:numId w:val="2"/>
        </w:numPr>
        <w:tabs>
          <w:tab w:val="left" w:pos="851"/>
        </w:tabs>
        <w:spacing w:before="240" w:after="120"/>
        <w:ind w:left="714" w:hanging="357"/>
      </w:pPr>
      <w:bookmarkStart w:id="83" w:name="_Toc8825225"/>
      <w:bookmarkStart w:id="84" w:name="_Toc11679640"/>
      <w:r w:rsidRPr="00494DC6">
        <w:t>Zjištění a doporučení</w:t>
      </w:r>
      <w:bookmarkEnd w:id="83"/>
      <w:bookmarkEnd w:id="84"/>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323"/>
        <w:gridCol w:w="7174"/>
      </w:tblGrid>
      <w:tr w:rsidR="00494DC6" w:rsidRPr="00494DC6" w14:paraId="6A787E57" w14:textId="77777777" w:rsidTr="00CF7F8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23" w:type="pct"/>
          </w:tcPr>
          <w:p w14:paraId="753AD307" w14:textId="77777777" w:rsidR="00494DC6" w:rsidRPr="00494DC6" w:rsidRDefault="00494DC6" w:rsidP="00CF7F88">
            <w:pPr>
              <w:spacing w:before="120" w:after="120"/>
              <w:rPr>
                <w:color w:val="FFFFFF" w:themeColor="background1"/>
              </w:rPr>
            </w:pPr>
            <w:r w:rsidRPr="00494DC6">
              <w:rPr>
                <w:color w:val="FFFFFF" w:themeColor="background1"/>
              </w:rPr>
              <w:t>EO</w:t>
            </w:r>
          </w:p>
        </w:tc>
        <w:tc>
          <w:tcPr>
            <w:tcW w:w="3777" w:type="pct"/>
            <w:shd w:val="clear" w:color="auto" w:fill="E7F5CF" w:themeFill="accent1" w:themeFillTint="33"/>
          </w:tcPr>
          <w:p w14:paraId="6CBEB025" w14:textId="77777777" w:rsidR="00494DC6" w:rsidRPr="00494DC6" w:rsidRDefault="00494DC6" w:rsidP="00CF7F88">
            <w:pPr>
              <w:spacing w:before="120" w:after="120"/>
              <w:cnfStyle w:val="100000000000" w:firstRow="1" w:lastRow="0" w:firstColumn="0" w:lastColumn="0" w:oddVBand="0" w:evenVBand="0" w:oddHBand="0" w:evenHBand="0" w:firstRowFirstColumn="0" w:firstRowLastColumn="0" w:lastRowFirstColumn="0" w:lastRowLastColumn="0"/>
            </w:pPr>
            <w:r w:rsidRPr="00494DC6">
              <w:t>Lze považovat dosažené výsledky z hlediska stanovených cílů za dostatečné? Případně, čeho se nepodařilo dosáhnout a z jakých příčin? Dodavatel zároveň provede predikci toho, zda se podaří do konce programovacího období stanovených cílů dosáhnout a za jakých předpokladů. Vyzní-li predikce negativně, navrhne dodavatel způsoby řešení, které by přispěly k dosažení stanovených cílů.</w:t>
            </w:r>
          </w:p>
        </w:tc>
      </w:tr>
      <w:tr w:rsidR="00494DC6" w:rsidRPr="00494DC6" w14:paraId="15213F04"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B93B609" w14:textId="77777777" w:rsidR="00494DC6" w:rsidRPr="00494DC6" w:rsidRDefault="00494DC6" w:rsidP="00CF7F88">
            <w:pPr>
              <w:spacing w:before="120" w:after="120"/>
              <w:rPr>
                <w:color w:val="FFFFFF" w:themeColor="background1"/>
              </w:rPr>
            </w:pPr>
            <w:r w:rsidRPr="00494DC6">
              <w:rPr>
                <w:color w:val="FFFFFF" w:themeColor="background1"/>
              </w:rPr>
              <w:t>Program podpory</w:t>
            </w:r>
          </w:p>
        </w:tc>
        <w:tc>
          <w:tcPr>
            <w:tcW w:w="3777" w:type="pct"/>
          </w:tcPr>
          <w:p w14:paraId="5CBB365C" w14:textId="77777777" w:rsidR="00494DC6" w:rsidRPr="00494DC6" w:rsidRDefault="00494DC6" w:rsidP="00CF7F88">
            <w:pPr>
              <w:spacing w:before="120" w:after="120"/>
              <w:cnfStyle w:val="000000100000" w:firstRow="0" w:lastRow="0" w:firstColumn="0" w:lastColumn="0" w:oddVBand="0" w:evenVBand="0" w:oddHBand="1" w:evenHBand="0" w:firstRowFirstColumn="0" w:firstRowLastColumn="0" w:lastRowFirstColumn="0" w:lastRowLastColumn="0"/>
            </w:pPr>
            <w:r w:rsidRPr="00494DC6">
              <w:t>INO, APL, POT</w:t>
            </w:r>
          </w:p>
        </w:tc>
      </w:tr>
      <w:tr w:rsidR="00494DC6" w:rsidRPr="00494DC6" w14:paraId="3BA0BCD7"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377B3CE4" w14:textId="77777777" w:rsidR="00494DC6" w:rsidRPr="00494DC6" w:rsidRDefault="00494DC6" w:rsidP="00CF7F88">
            <w:pPr>
              <w:spacing w:before="120" w:after="120"/>
              <w:rPr>
                <w:color w:val="FFFFFF" w:themeColor="background1"/>
              </w:rPr>
            </w:pPr>
            <w:r w:rsidRPr="00494DC6">
              <w:rPr>
                <w:color w:val="FFFFFF" w:themeColor="background1"/>
              </w:rPr>
              <w:t>Evaluační metody</w:t>
            </w:r>
          </w:p>
        </w:tc>
        <w:tc>
          <w:tcPr>
            <w:tcW w:w="3777" w:type="pct"/>
          </w:tcPr>
          <w:p w14:paraId="0DDBD8C3" w14:textId="77777777" w:rsidR="00494DC6" w:rsidRPr="00494DC6" w:rsidRDefault="00494DC6"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494DC6">
              <w:t>Analýza projektových dat MS2014+</w:t>
            </w:r>
          </w:p>
          <w:p w14:paraId="461773D3" w14:textId="77777777" w:rsidR="00494DC6" w:rsidRPr="00494DC6" w:rsidRDefault="00494DC6"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494DC6">
              <w:t>Analýza sekundárních zdrojů dat</w:t>
            </w:r>
          </w:p>
          <w:p w14:paraId="0CC34E55" w14:textId="77777777" w:rsidR="00494DC6" w:rsidRPr="00494DC6" w:rsidRDefault="00494DC6"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494DC6">
              <w:t>Predikce</w:t>
            </w:r>
          </w:p>
        </w:tc>
      </w:tr>
      <w:tr w:rsidR="00494DC6" w:rsidRPr="00494DC6" w14:paraId="58BB9280"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0795328" w14:textId="77777777" w:rsidR="00494DC6" w:rsidRPr="00494DC6" w:rsidRDefault="00494DC6" w:rsidP="00CF7F88">
            <w:pPr>
              <w:spacing w:before="120" w:after="120"/>
              <w:rPr>
                <w:color w:val="FFFFFF" w:themeColor="background1"/>
              </w:rPr>
            </w:pPr>
            <w:r w:rsidRPr="00494DC6">
              <w:rPr>
                <w:color w:val="FFFFFF" w:themeColor="background1"/>
              </w:rPr>
              <w:t>Hlavní závěry a zjištění</w:t>
            </w:r>
          </w:p>
        </w:tc>
        <w:tc>
          <w:tcPr>
            <w:tcW w:w="3777" w:type="pct"/>
          </w:tcPr>
          <w:p w14:paraId="6977F135" w14:textId="77777777" w:rsidR="00494DC6" w:rsidRPr="00494DC6" w:rsidRDefault="00494DC6" w:rsidP="002449AE">
            <w:pPr>
              <w:pStyle w:val="ListParagraph"/>
              <w:numPr>
                <w:ilvl w:val="0"/>
                <w:numId w:val="109"/>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494DC6">
              <w:t xml:space="preserve">Dosažené výsledky lze vzhledem ke stanoveným cílům a očekávaným hodnotám považovat za </w:t>
            </w:r>
            <w:r w:rsidRPr="00CF7F88">
              <w:rPr>
                <w:b/>
              </w:rPr>
              <w:t>dostatečné pouze částečně. Vzhledem k</w:t>
            </w:r>
            <w:r w:rsidR="0086722D">
              <w:rPr>
                <w:b/>
              </w:rPr>
              <w:t> </w:t>
            </w:r>
            <w:r w:rsidRPr="00CF7F88">
              <w:rPr>
                <w:b/>
              </w:rPr>
              <w:t>výraznému zpoždění</w:t>
            </w:r>
            <w:r w:rsidRPr="00494DC6">
              <w:t xml:space="preserve"> při hodnocení projektových žádostí na začátku současného programového období je jen </w:t>
            </w:r>
            <w:r w:rsidRPr="00CF7F88">
              <w:rPr>
                <w:b/>
              </w:rPr>
              <w:t xml:space="preserve">velmi málo ukončených projektů. </w:t>
            </w:r>
          </w:p>
          <w:p w14:paraId="396D69A0" w14:textId="77777777" w:rsidR="00494DC6" w:rsidRPr="00494DC6" w:rsidRDefault="00494DC6"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CF7F88">
              <w:rPr>
                <w:b/>
              </w:rPr>
              <w:t>Všechny milníky</w:t>
            </w:r>
            <w:r w:rsidRPr="00494DC6">
              <w:t xml:space="preserve"> pro prioritní osu 1 pro rok 2018 </w:t>
            </w:r>
            <w:r w:rsidRPr="00CF7F88">
              <w:rPr>
                <w:b/>
              </w:rPr>
              <w:t>byly naplněné v minimální požadované výši 85 %.</w:t>
            </w:r>
            <w:r w:rsidRPr="00494DC6">
              <w:t xml:space="preserve"> Důležité je brát v potaz, že výkonnostní milníky jsou stanoveny na úrovni </w:t>
            </w:r>
            <w:r w:rsidR="0086722D">
              <w:t>PO</w:t>
            </w:r>
            <w:r w:rsidRPr="00494DC6">
              <w:t xml:space="preserve"> a v tomto případě jsou společné pro specifické cíle 1.1 a 1.2. </w:t>
            </w:r>
          </w:p>
          <w:p w14:paraId="357A0421" w14:textId="77777777" w:rsidR="00494DC6" w:rsidRPr="00494DC6" w:rsidRDefault="00494DC6" w:rsidP="002449AE">
            <w:pPr>
              <w:pStyle w:val="ListParagraph"/>
              <w:numPr>
                <w:ilvl w:val="0"/>
                <w:numId w:val="10"/>
              </w:numPr>
              <w:spacing w:after="60"/>
              <w:ind w:left="329" w:hanging="272"/>
              <w:contextualSpacing w:val="0"/>
              <w:cnfStyle w:val="000000100000" w:firstRow="0" w:lastRow="0" w:firstColumn="0" w:lastColumn="0" w:oddVBand="0" w:evenVBand="0" w:oddHBand="1" w:evenHBand="0" w:firstRowFirstColumn="0" w:firstRowLastColumn="0" w:lastRowFirstColumn="0" w:lastRowLastColumn="0"/>
            </w:pPr>
            <w:r w:rsidRPr="00CF7F88">
              <w:rPr>
                <w:b/>
              </w:rPr>
              <w:t>Predikce naplnění milníků</w:t>
            </w:r>
            <w:r w:rsidRPr="00494DC6">
              <w:t xml:space="preserve"> v roce 2023 předpokládá </w:t>
            </w:r>
            <w:r w:rsidRPr="00CF7F88">
              <w:rPr>
                <w:b/>
              </w:rPr>
              <w:t>bezproblémové naplnění výstupových milníků</w:t>
            </w:r>
            <w:r w:rsidRPr="00494DC6">
              <w:t>, jako středně rizikový byl shledán milník finanční.</w:t>
            </w:r>
          </w:p>
          <w:p w14:paraId="24FD3A22" w14:textId="77777777" w:rsidR="00E8256A" w:rsidRDefault="00494DC6" w:rsidP="002449AE">
            <w:pPr>
              <w:pStyle w:val="ListParagraph"/>
              <w:numPr>
                <w:ilvl w:val="0"/>
                <w:numId w:val="42"/>
              </w:numPr>
              <w:spacing w:after="60"/>
              <w:ind w:left="329" w:hanging="272"/>
              <w:cnfStyle w:val="000000100000" w:firstRow="0" w:lastRow="0" w:firstColumn="0" w:lastColumn="0" w:oddVBand="0" w:evenVBand="0" w:oddHBand="1" w:evenHBand="0" w:firstRowFirstColumn="0" w:firstRowLastColumn="0" w:lastRowFirstColumn="0" w:lastRowLastColumn="0"/>
            </w:pPr>
            <w:r w:rsidRPr="00E8256A">
              <w:rPr>
                <w:b/>
              </w:rPr>
              <w:t>Celkové způsobilé certifikované finanční prostředky</w:t>
            </w:r>
            <w:r w:rsidRPr="00494DC6">
              <w:t xml:space="preserve"> – naplnění tohoto milníku je hodnoceno jako </w:t>
            </w:r>
            <w:r w:rsidRPr="00E8256A">
              <w:rPr>
                <w:b/>
              </w:rPr>
              <w:t>středně rizikové</w:t>
            </w:r>
            <w:r w:rsidRPr="00494DC6">
              <w:t>. Milník byl v roce 2018 dosažen na úplné spodní hranici 85 %, která je považována v souladu s prováděcím nařízením EK za minimální. Reálně to ale znamená,</w:t>
            </w:r>
            <w:r w:rsidR="0086722D">
              <w:t xml:space="preserve"> že</w:t>
            </w:r>
            <w:r w:rsidRPr="00494DC6">
              <w:t xml:space="preserve"> </w:t>
            </w:r>
            <w:r w:rsidRPr="00E8256A">
              <w:rPr>
                <w:b/>
              </w:rPr>
              <w:t>hodnota milníku pro rok 2018 je nižší než plánovaná</w:t>
            </w:r>
            <w:r w:rsidRPr="00E8256A">
              <w:t>.</w:t>
            </w:r>
            <w:r w:rsidRPr="00494DC6">
              <w:t xml:space="preserve"> Zároveň je k 8. 1. 2019 </w:t>
            </w:r>
            <w:proofErr w:type="spellStart"/>
            <w:r w:rsidRPr="00494DC6">
              <w:t>zazávazkováno</w:t>
            </w:r>
            <w:proofErr w:type="spellEnd"/>
            <w:r w:rsidRPr="00494DC6">
              <w:t xml:space="preserve"> pouze 64,9 % celkové alokace SC 1.1 a pro rok</w:t>
            </w:r>
            <w:r w:rsidR="005D0F5F">
              <w:t>y</w:t>
            </w:r>
            <w:r w:rsidRPr="00494DC6">
              <w:t xml:space="preserve"> 2019</w:t>
            </w:r>
            <w:r w:rsidR="005D0F5F">
              <w:t xml:space="preserve"> a 2020</w:t>
            </w:r>
            <w:r w:rsidRPr="00494DC6">
              <w:t xml:space="preserve"> jsou plánovány </w:t>
            </w:r>
            <w:r w:rsidR="005D0F5F">
              <w:t xml:space="preserve">výzvy </w:t>
            </w:r>
            <w:r w:rsidRPr="00494DC6">
              <w:t>pouze v objemu</w:t>
            </w:r>
            <w:r w:rsidR="005D0F5F">
              <w:t xml:space="preserve"> 6,5 mld. Kč</w:t>
            </w:r>
            <w:r w:rsidRPr="002449AE">
              <w:rPr>
                <w:vertAlign w:val="superscript"/>
              </w:rPr>
              <w:footnoteReference w:id="9"/>
            </w:r>
            <w:r w:rsidRPr="00494DC6">
              <w:t xml:space="preserve">. K datu zpracování evaluační zprávy tak </w:t>
            </w:r>
            <w:r w:rsidRPr="00E8256A">
              <w:rPr>
                <w:b/>
              </w:rPr>
              <w:t>není zajištěno dostatečné krytí alokace SC 1.1 výzvami</w:t>
            </w:r>
            <w:r w:rsidRPr="00E8256A">
              <w:t xml:space="preserve"> všech programů</w:t>
            </w:r>
            <w:r w:rsidRPr="00494DC6">
              <w:t>, což má negativní vliv na predikci naplnění finančního milníku v roce 2023.</w:t>
            </w:r>
          </w:p>
          <w:p w14:paraId="21AC0385" w14:textId="77777777" w:rsidR="00494DC6" w:rsidRPr="00494DC6" w:rsidRDefault="00494DC6" w:rsidP="002449AE">
            <w:pPr>
              <w:pStyle w:val="ListParagraph"/>
              <w:numPr>
                <w:ilvl w:val="0"/>
                <w:numId w:val="42"/>
              </w:numPr>
              <w:spacing w:after="60"/>
              <w:ind w:left="329" w:hanging="272"/>
              <w:cnfStyle w:val="000000100000" w:firstRow="0" w:lastRow="0" w:firstColumn="0" w:lastColumn="0" w:oddVBand="0" w:evenVBand="0" w:oddHBand="1" w:evenHBand="0" w:firstRowFirstColumn="0" w:firstRowLastColumn="0" w:lastRowFirstColumn="0" w:lastRowLastColumn="0"/>
            </w:pPr>
            <w:r w:rsidRPr="00E8256A">
              <w:rPr>
                <w:b/>
              </w:rPr>
              <w:t xml:space="preserve">Podrobné hodnocení indikátorů je součástí </w:t>
            </w:r>
            <w:r w:rsidR="005524C3">
              <w:rPr>
                <w:b/>
              </w:rPr>
              <w:t>EO</w:t>
            </w:r>
            <w:r w:rsidRPr="00E8256A">
              <w:rPr>
                <w:b/>
              </w:rPr>
              <w:t>1.</w:t>
            </w:r>
            <w:r w:rsidR="005524C3">
              <w:rPr>
                <w:b/>
              </w:rPr>
              <w:t xml:space="preserve"> </w:t>
            </w:r>
            <w:r w:rsidRPr="002449AE">
              <w:rPr>
                <w:b/>
              </w:rPr>
              <w:t>Nebylo možné provést posouzení těchto indikátorů</w:t>
            </w:r>
            <w:r w:rsidRPr="00494DC6">
              <w:t>:</w:t>
            </w:r>
          </w:p>
          <w:p w14:paraId="5F0FBEA3" w14:textId="77777777" w:rsidR="00494DC6"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10300 Soukromé investice odpovídající veřejné podpoře podniků (granty) – pro indikátor nejsou dostupná relevantní data (neuznatelné výdaje projektů).</w:t>
            </w:r>
          </w:p>
          <w:p w14:paraId="7A114B54" w14:textId="77777777" w:rsidR="00494DC6"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20900 Soukromé investice v projektech s veřejnou podporou v</w:t>
            </w:r>
            <w:r w:rsidR="0062030D">
              <w:t> </w:t>
            </w:r>
            <w:r w:rsidRPr="00494DC6">
              <w:t>oblasti inovací nebo výzkumu a vývoje – pro indikátor nejsou dostupná relevantní data (neuznatelné výdaje projektů).</w:t>
            </w:r>
          </w:p>
          <w:p w14:paraId="0483C6BC" w14:textId="77777777" w:rsidR="00E8256A" w:rsidRPr="00E8256A"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21410 Tržby podpořených podniků v důsledku zavedené inovace - indikátor vykazuje chybovost při jeho vyplňování (hodnoty uváděné v nesprávné měrné jednotce).</w:t>
            </w:r>
          </w:p>
          <w:p w14:paraId="4E6BDF75" w14:textId="77777777" w:rsidR="005524C3" w:rsidRPr="00494DC6" w:rsidRDefault="00494DC6" w:rsidP="002449AE">
            <w:pPr>
              <w:pStyle w:val="ListParagraph"/>
              <w:numPr>
                <w:ilvl w:val="0"/>
                <w:numId w:val="97"/>
              </w:numPr>
              <w:spacing w:after="60"/>
              <w:ind w:left="329" w:hanging="272"/>
              <w:cnfStyle w:val="000000100000" w:firstRow="0" w:lastRow="0" w:firstColumn="0" w:lastColumn="0" w:oddVBand="0" w:evenVBand="0" w:oddHBand="1" w:evenHBand="0" w:firstRowFirstColumn="0" w:firstRowLastColumn="0" w:lastRowFirstColumn="0" w:lastRowLastColumn="0"/>
            </w:pPr>
            <w:r w:rsidRPr="00E8256A">
              <w:rPr>
                <w:b/>
              </w:rPr>
              <w:t>Plánovaná výše soukromých investic</w:t>
            </w:r>
            <w:r w:rsidRPr="00494DC6">
              <w:t xml:space="preserve"> (indikátory 10300 a 20900) je 3 440 mil. EUR, což odpovídá 3,2násobku alokace SC 1.1. Při průměrné plánované míře spolufinancování způsobilých výdajů ze strany příjemce ve výši 59 % to znamená, že každý projekt by měl obsahovat nezpůsobilé výdaje ve výši 72 % celkových způsobilých výdajů. To znamená, že nezpůsobilé výdaje odpovídají 1,2násobku způsobilých výdajů financovaných příjemcem. Takovou hodnotu zpracovatel považuje za velmi vysokou a </w:t>
            </w:r>
            <w:r w:rsidRPr="00E8256A">
              <w:rPr>
                <w:b/>
              </w:rPr>
              <w:t>dosažení těchto dvou indikátorů</w:t>
            </w:r>
            <w:r w:rsidRPr="00494DC6">
              <w:t xml:space="preserve"> hodnotí jako </w:t>
            </w:r>
            <w:r w:rsidRPr="00E8256A">
              <w:rPr>
                <w:b/>
              </w:rPr>
              <w:t>velmi rizikové a nepravděpodobné.</w:t>
            </w:r>
          </w:p>
          <w:p w14:paraId="1B685815" w14:textId="77777777" w:rsidR="005524C3" w:rsidRPr="00494DC6" w:rsidRDefault="00494DC6" w:rsidP="002449AE">
            <w:pPr>
              <w:pStyle w:val="ListParagraph"/>
              <w:numPr>
                <w:ilvl w:val="0"/>
                <w:numId w:val="97"/>
              </w:numPr>
              <w:spacing w:after="60"/>
              <w:ind w:left="329" w:hanging="272"/>
              <w:cnfStyle w:val="000000100000" w:firstRow="0" w:lastRow="0" w:firstColumn="0" w:lastColumn="0" w:oddVBand="0" w:evenVBand="0" w:oddHBand="1" w:evenHBand="0" w:firstRowFirstColumn="0" w:firstRowLastColumn="0" w:lastRowFirstColumn="0" w:lastRowLastColumn="0"/>
            </w:pPr>
            <w:r w:rsidRPr="002449AE">
              <w:rPr>
                <w:b/>
              </w:rPr>
              <w:t>Kritickým indikátorem je 20101 - Počet výzkumných organizací spolupracujících s firmami.</w:t>
            </w:r>
            <w:r w:rsidRPr="00494DC6">
              <w:t xml:space="preserve"> Plánovaná i dosažená hodnota jsou velmi nízké. Při vyčerpání 10 % alokace (ukončené projekty) je dosažená hodnota indikátoru pouze na úrovni 2,22 % cíle.</w:t>
            </w:r>
          </w:p>
          <w:p w14:paraId="0D07E989" w14:textId="77777777" w:rsidR="00494DC6" w:rsidRPr="00494DC6" w:rsidRDefault="00494DC6" w:rsidP="002449AE">
            <w:pPr>
              <w:pStyle w:val="ListParagraph"/>
              <w:numPr>
                <w:ilvl w:val="0"/>
                <w:numId w:val="97"/>
              </w:numPr>
              <w:spacing w:after="60"/>
              <w:ind w:left="329" w:hanging="272"/>
              <w:cnfStyle w:val="000000100000" w:firstRow="0" w:lastRow="0" w:firstColumn="0" w:lastColumn="0" w:oddVBand="0" w:evenVBand="0" w:oddHBand="1" w:evenHBand="0" w:firstRowFirstColumn="0" w:firstRowLastColumn="0" w:lastRowFirstColumn="0" w:lastRowLastColumn="0"/>
            </w:pPr>
            <w:r w:rsidRPr="00494DC6">
              <w:t xml:space="preserve">Jako </w:t>
            </w:r>
            <w:r w:rsidRPr="005524C3">
              <w:rPr>
                <w:b/>
              </w:rPr>
              <w:t>potenciálně kritické byly vyhodnoceny další 4 indikátory.</w:t>
            </w:r>
            <w:r w:rsidRPr="00494DC6">
              <w:t xml:space="preserve"> Většina z nich souvisí s počtem přihlášek ochrany výsledků výzkumu, kde se může projevovat zdržení v důsledku schvalovacího procesu. Nicméně, sledování těchto indikátorů by měla být </w:t>
            </w:r>
            <w:r w:rsidRPr="005524C3">
              <w:rPr>
                <w:b/>
              </w:rPr>
              <w:t>věnována zvýšená pozornost</w:t>
            </w:r>
            <w:r w:rsidRPr="00494DC6">
              <w:t>:</w:t>
            </w:r>
          </w:p>
          <w:p w14:paraId="0396E053" w14:textId="77777777" w:rsidR="00494DC6"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21301 - Počet podniků, které dostávají podporu pro účely zavádění výrobků nových pro podnik</w:t>
            </w:r>
          </w:p>
          <w:p w14:paraId="4E28826E" w14:textId="77777777" w:rsidR="00494DC6"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 xml:space="preserve">21610 - Počet nových přihlášených výsledků </w:t>
            </w:r>
            <w:proofErr w:type="spellStart"/>
            <w:r w:rsidRPr="00494DC6">
              <w:t>apl</w:t>
            </w:r>
            <w:proofErr w:type="spellEnd"/>
            <w:r w:rsidRPr="00494DC6">
              <w:t>. výzkumu</w:t>
            </w:r>
          </w:p>
          <w:p w14:paraId="03208B3C" w14:textId="77777777" w:rsidR="00494DC6"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 xml:space="preserve">22100 - Počet přihlášek na ochranu práv </w:t>
            </w:r>
            <w:proofErr w:type="spellStart"/>
            <w:r w:rsidRPr="00494DC6">
              <w:t>prům</w:t>
            </w:r>
            <w:proofErr w:type="spellEnd"/>
            <w:r w:rsidRPr="00494DC6">
              <w:t>. vlastnictví</w:t>
            </w:r>
          </w:p>
          <w:p w14:paraId="128A2509" w14:textId="77777777" w:rsidR="00CF7F88" w:rsidRPr="00494DC6" w:rsidRDefault="00494DC6" w:rsidP="002449AE">
            <w:pPr>
              <w:pStyle w:val="ListParagraph"/>
              <w:numPr>
                <w:ilvl w:val="0"/>
                <w:numId w:val="100"/>
              </w:numPr>
              <w:spacing w:after="60"/>
              <w:ind w:left="1114"/>
              <w:contextualSpacing w:val="0"/>
              <w:cnfStyle w:val="000000100000" w:firstRow="0" w:lastRow="0" w:firstColumn="0" w:lastColumn="0" w:oddVBand="0" w:evenVBand="0" w:oddHBand="1" w:evenHBand="0" w:firstRowFirstColumn="0" w:firstRowLastColumn="0" w:lastRowFirstColumn="0" w:lastRowLastColumn="0"/>
            </w:pPr>
            <w:r w:rsidRPr="00494DC6">
              <w:t>22101 - Počet přihlášek na ochranu práv průmyslového vlastnictví - z toho v</w:t>
            </w:r>
            <w:r w:rsidR="005524C3">
              <w:t> </w:t>
            </w:r>
            <w:r w:rsidRPr="00494DC6">
              <w:t>zahraničí</w:t>
            </w:r>
          </w:p>
        </w:tc>
      </w:tr>
      <w:tr w:rsidR="00494DC6" w:rsidRPr="00494DC6" w14:paraId="7932A1B5" w14:textId="77777777" w:rsidTr="00CF7F88">
        <w:trPr>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EF02D3D" w14:textId="77777777" w:rsidR="00494DC6" w:rsidRPr="00CF7F88" w:rsidRDefault="00494DC6" w:rsidP="00CF7F88">
            <w:pPr>
              <w:spacing w:before="120" w:after="120"/>
              <w:rPr>
                <w:color w:val="FFFFFF" w:themeColor="background1"/>
              </w:rPr>
            </w:pPr>
            <w:r w:rsidRPr="00CF7F88">
              <w:rPr>
                <w:color w:val="FFFFFF" w:themeColor="background1"/>
              </w:rPr>
              <w:t>Doporučení pro současné program. období</w:t>
            </w:r>
          </w:p>
        </w:tc>
        <w:tc>
          <w:tcPr>
            <w:tcW w:w="3777" w:type="pct"/>
          </w:tcPr>
          <w:p w14:paraId="4F0456D9" w14:textId="77777777" w:rsidR="00CF7F88" w:rsidRDefault="00494DC6" w:rsidP="00CF7F88">
            <w:pPr>
              <w:pStyle w:val="ListParagraph"/>
              <w:numPr>
                <w:ilvl w:val="0"/>
                <w:numId w:val="11"/>
              </w:numPr>
              <w:spacing w:after="60"/>
              <w:ind w:left="319" w:hanging="219"/>
              <w:contextualSpacing w:val="0"/>
              <w:cnfStyle w:val="000000000000" w:firstRow="0" w:lastRow="0" w:firstColumn="0" w:lastColumn="0" w:oddVBand="0" w:evenVBand="0" w:oddHBand="0" w:evenHBand="0" w:firstRowFirstColumn="0" w:firstRowLastColumn="0" w:lastRowFirstColumn="0" w:lastRowLastColumn="0"/>
            </w:pPr>
            <w:r w:rsidRPr="00494DC6">
              <w:t xml:space="preserve">Vytyčených cílů a cílových hodnot indikátorů </w:t>
            </w:r>
            <w:r w:rsidRPr="00CF7F88">
              <w:rPr>
                <w:b/>
              </w:rPr>
              <w:t>by mělo být možné do konce programového období dosáhnout</w:t>
            </w:r>
            <w:r w:rsidRPr="00494DC6">
              <w:t xml:space="preserve"> a to především, pokud by byly splněny alespoň některé z následujících předpokladů:</w:t>
            </w:r>
          </w:p>
          <w:p w14:paraId="7484ACED" w14:textId="77777777" w:rsidR="00CF7F88" w:rsidRDefault="00494DC6" w:rsidP="002449AE">
            <w:pPr>
              <w:pStyle w:val="ListParagraph"/>
              <w:numPr>
                <w:ilvl w:val="0"/>
                <w:numId w:val="52"/>
              </w:numPr>
              <w:spacing w:after="60"/>
              <w:ind w:left="1111" w:hanging="357"/>
              <w:contextualSpacing w:val="0"/>
              <w:cnfStyle w:val="000000000000" w:firstRow="0" w:lastRow="0" w:firstColumn="0" w:lastColumn="0" w:oddVBand="0" w:evenVBand="0" w:oddHBand="0" w:evenHBand="0" w:firstRowFirstColumn="0" w:firstRowLastColumn="0" w:lastRowFirstColumn="0" w:lastRowLastColumn="0"/>
            </w:pPr>
            <w:r w:rsidRPr="00746756">
              <w:rPr>
                <w:b/>
              </w:rPr>
              <w:t>Zrychlení hodnocení projektových žádostí a žádostí o platbu</w:t>
            </w:r>
            <w:r w:rsidRPr="00494DC6">
              <w:t xml:space="preserve"> (zejména v programu Aplikace) a to pomocí úprav systému MS2014+, automatizací procesů nebo navýšením personální kapacity zprostředkujícího subjektu API</w:t>
            </w:r>
            <w:r w:rsidR="005524C3">
              <w:t>.</w:t>
            </w:r>
          </w:p>
          <w:p w14:paraId="20EB0818" w14:textId="77777777" w:rsidR="00CF7F88" w:rsidRDefault="00494DC6" w:rsidP="002449AE">
            <w:pPr>
              <w:pStyle w:val="ListParagraph"/>
              <w:numPr>
                <w:ilvl w:val="0"/>
                <w:numId w:val="52"/>
              </w:numPr>
              <w:spacing w:after="60"/>
              <w:ind w:left="1111" w:hanging="357"/>
              <w:contextualSpacing w:val="0"/>
              <w:cnfStyle w:val="000000000000" w:firstRow="0" w:lastRow="0" w:firstColumn="0" w:lastColumn="0" w:oddVBand="0" w:evenVBand="0" w:oddHBand="0" w:evenHBand="0" w:firstRowFirstColumn="0" w:firstRowLastColumn="0" w:lastRowFirstColumn="0" w:lastRowLastColumn="0"/>
            </w:pPr>
            <w:r w:rsidRPr="00746756">
              <w:rPr>
                <w:b/>
              </w:rPr>
              <w:t>Snížení administrativní zátěže</w:t>
            </w:r>
            <w:r w:rsidRPr="00494DC6">
              <w:t xml:space="preserve"> na straně žadatelů/příjemců podpory i administrátorů spojené především s podáním, kontrolou a vyhodnocením projektových žádostí (tj. zjednodušeni hodnotícího procesu a kontrolních mechanismů), dokládáním mzdových nákladů, výběrem subdodavatelů.</w:t>
            </w:r>
          </w:p>
          <w:p w14:paraId="73A24E44" w14:textId="77777777" w:rsidR="00746756" w:rsidRDefault="00494DC6"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494DC6">
              <w:t xml:space="preserve">Zhotovitel doporučuje provést </w:t>
            </w:r>
            <w:r w:rsidRPr="00746756">
              <w:rPr>
                <w:b/>
              </w:rPr>
              <w:t>vyhodnocení vlivu SC 1.1 a SC 1.2 na plnění hodnoty finančního milníku</w:t>
            </w:r>
            <w:r w:rsidRPr="00494DC6">
              <w:t xml:space="preserve"> tak, aby bylo možné identifikovat příspěvek obou specifických cílů. Na základě toho by měl Zadavatel navrhnout a realizovat účinné kroky (vyhlášení výzev, úpravy alokace) k </w:t>
            </w:r>
            <w:r w:rsidRPr="00746756">
              <w:rPr>
                <w:b/>
              </w:rPr>
              <w:t>zajištění naplnění milníku v roce 2023</w:t>
            </w:r>
            <w:r w:rsidRPr="00494DC6">
              <w:t>.</w:t>
            </w:r>
          </w:p>
          <w:p w14:paraId="34A186D5" w14:textId="77777777" w:rsidR="00746756" w:rsidRDefault="00494DC6" w:rsidP="002449AE">
            <w:pPr>
              <w:pStyle w:val="ListParagraph"/>
              <w:numPr>
                <w:ilvl w:val="0"/>
                <w:numId w:val="11"/>
              </w:numPr>
              <w:spacing w:after="60"/>
              <w:ind w:left="329" w:hanging="272"/>
              <w:contextualSpacing w:val="0"/>
              <w:cnfStyle w:val="000000000000" w:firstRow="0" w:lastRow="0" w:firstColumn="0" w:lastColumn="0" w:oddVBand="0" w:evenVBand="0" w:oddHBand="0" w:evenHBand="0" w:firstRowFirstColumn="0" w:firstRowLastColumn="0" w:lastRowFirstColumn="0" w:lastRowLastColumn="0"/>
            </w:pPr>
            <w:r w:rsidRPr="00746756">
              <w:rPr>
                <w:b/>
              </w:rPr>
              <w:t>K dosažení vyčerpání alokace</w:t>
            </w:r>
            <w:r w:rsidRPr="00494DC6">
              <w:t xml:space="preserve"> Zadavatel doporučuje:</w:t>
            </w:r>
          </w:p>
          <w:p w14:paraId="33BE643C" w14:textId="77777777" w:rsidR="00746756" w:rsidRDefault="005524C3" w:rsidP="002449AE">
            <w:pPr>
              <w:pStyle w:val="ListParagraph"/>
              <w:numPr>
                <w:ilvl w:val="0"/>
                <w:numId w:val="51"/>
              </w:numPr>
              <w:spacing w:after="60"/>
              <w:ind w:left="1111" w:hanging="357"/>
              <w:contextualSpacing w:val="0"/>
              <w:cnfStyle w:val="000000000000" w:firstRow="0" w:lastRow="0" w:firstColumn="0" w:lastColumn="0" w:oddVBand="0" w:evenVBand="0" w:oddHBand="0" w:evenHBand="0" w:firstRowFirstColumn="0" w:firstRowLastColumn="0" w:lastRowFirstColumn="0" w:lastRowLastColumn="0"/>
            </w:pPr>
            <w:r>
              <w:rPr>
                <w:b/>
              </w:rPr>
              <w:t>R</w:t>
            </w:r>
            <w:r w:rsidR="00494DC6" w:rsidRPr="00746756">
              <w:rPr>
                <w:b/>
              </w:rPr>
              <w:t>evidovat stávající výzvy</w:t>
            </w:r>
            <w:r w:rsidR="00494DC6" w:rsidRPr="00494DC6">
              <w:t xml:space="preserve"> a vyhodnotit, u kterých výzev by bylo možné provést </w:t>
            </w:r>
            <w:r w:rsidR="00494DC6" w:rsidRPr="00746756">
              <w:rPr>
                <w:b/>
              </w:rPr>
              <w:t>navýšení alokace</w:t>
            </w:r>
            <w:r>
              <w:rPr>
                <w:b/>
              </w:rPr>
              <w:t>,</w:t>
            </w:r>
            <w:r w:rsidR="00494DC6" w:rsidRPr="00494DC6">
              <w:t xml:space="preserve"> a podpořit projekty, které splnily bodové hodnocení, avšak kvůli vyčerpané alokaci nebyly doporučeny k</w:t>
            </w:r>
            <w:r>
              <w:t> </w:t>
            </w:r>
            <w:r w:rsidR="00494DC6" w:rsidRPr="00494DC6">
              <w:t>financování</w:t>
            </w:r>
            <w:r>
              <w:t>.</w:t>
            </w:r>
          </w:p>
          <w:p w14:paraId="2A1816E2" w14:textId="77777777" w:rsidR="00494DC6" w:rsidRPr="00494DC6" w:rsidRDefault="005524C3" w:rsidP="002449AE">
            <w:pPr>
              <w:pStyle w:val="ListParagraph"/>
              <w:numPr>
                <w:ilvl w:val="0"/>
                <w:numId w:val="51"/>
              </w:numPr>
              <w:spacing w:after="60"/>
              <w:ind w:left="1111" w:hanging="357"/>
              <w:contextualSpacing w:val="0"/>
              <w:cnfStyle w:val="000000000000" w:firstRow="0" w:lastRow="0" w:firstColumn="0" w:lastColumn="0" w:oddVBand="0" w:evenVBand="0" w:oddHBand="0" w:evenHBand="0" w:firstRowFirstColumn="0" w:firstRowLastColumn="0" w:lastRowFirstColumn="0" w:lastRowLastColumn="0"/>
            </w:pPr>
            <w:r>
              <w:rPr>
                <w:b/>
              </w:rPr>
              <w:t>N</w:t>
            </w:r>
            <w:r w:rsidR="00494DC6" w:rsidRPr="00746756">
              <w:rPr>
                <w:b/>
              </w:rPr>
              <w:t>aplánovat všechny výzvy</w:t>
            </w:r>
            <w:r w:rsidR="00494DC6" w:rsidRPr="00494DC6">
              <w:t xml:space="preserve">, stanovit objem alokací a sestavit reálný harmonogram výzev </w:t>
            </w:r>
            <w:r w:rsidR="00494DC6" w:rsidRPr="00746756">
              <w:rPr>
                <w:b/>
              </w:rPr>
              <w:t>do konce programového období</w:t>
            </w:r>
            <w:r>
              <w:rPr>
                <w:b/>
              </w:rPr>
              <w:t>.</w:t>
            </w:r>
          </w:p>
        </w:tc>
      </w:tr>
      <w:tr w:rsidR="00494DC6" w:rsidRPr="00494DC6" w14:paraId="19757A90" w14:textId="77777777" w:rsidTr="00CF7F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3" w:type="pct"/>
            <w:shd w:val="clear" w:color="auto" w:fill="86BC25" w:themeFill="accent1"/>
          </w:tcPr>
          <w:p w14:paraId="26729324" w14:textId="77777777" w:rsidR="00494DC6" w:rsidRPr="00CF7F88" w:rsidRDefault="00494DC6" w:rsidP="00CF7F88">
            <w:pPr>
              <w:spacing w:before="120" w:after="120"/>
              <w:rPr>
                <w:color w:val="FFFFFF" w:themeColor="background1"/>
              </w:rPr>
            </w:pPr>
            <w:r w:rsidRPr="00CF7F88">
              <w:rPr>
                <w:color w:val="FFFFFF" w:themeColor="background1"/>
              </w:rPr>
              <w:t>Doporučení pro program. období 2021+</w:t>
            </w:r>
          </w:p>
        </w:tc>
        <w:tc>
          <w:tcPr>
            <w:tcW w:w="3777" w:type="pct"/>
          </w:tcPr>
          <w:p w14:paraId="1483A59F" w14:textId="77777777" w:rsidR="00494DC6" w:rsidRPr="00494DC6" w:rsidRDefault="00E8256A" w:rsidP="002449AE">
            <w:pPr>
              <w:pStyle w:val="ListParagraph"/>
              <w:numPr>
                <w:ilvl w:val="0"/>
                <w:numId w:val="98"/>
              </w:numPr>
              <w:spacing w:before="120" w:after="120"/>
              <w:ind w:left="329" w:hanging="272"/>
              <w:cnfStyle w:val="000000100000" w:firstRow="0" w:lastRow="0" w:firstColumn="0" w:lastColumn="0" w:oddVBand="0" w:evenVBand="0" w:oddHBand="1" w:evenHBand="0" w:firstRowFirstColumn="0" w:firstRowLastColumn="0" w:lastRowFirstColumn="0" w:lastRowLastColumn="0"/>
            </w:pPr>
            <w:r>
              <w:t>N/A</w:t>
            </w:r>
          </w:p>
        </w:tc>
      </w:tr>
    </w:tbl>
    <w:p w14:paraId="4AEBA9D3" w14:textId="77777777" w:rsidR="00494DC6" w:rsidRPr="00494DC6" w:rsidRDefault="00494DC6" w:rsidP="00494DC6"/>
    <w:p w14:paraId="4DDED061" w14:textId="77777777" w:rsidR="00494DC6" w:rsidRPr="00494DC6" w:rsidRDefault="00494DC6" w:rsidP="00152DAD">
      <w:pPr>
        <w:pStyle w:val="Heading1"/>
        <w:numPr>
          <w:ilvl w:val="1"/>
          <w:numId w:val="2"/>
        </w:numPr>
        <w:tabs>
          <w:tab w:val="left" w:pos="851"/>
        </w:tabs>
        <w:spacing w:before="240" w:after="120"/>
        <w:ind w:left="714" w:hanging="357"/>
      </w:pPr>
      <w:bookmarkStart w:id="85" w:name="_Toc8825226"/>
      <w:bookmarkStart w:id="86" w:name="_Toc11679641"/>
      <w:r w:rsidRPr="00494DC6">
        <w:t>Doplňující informace</w:t>
      </w:r>
      <w:bookmarkEnd w:id="85"/>
      <w:bookmarkEnd w:id="86"/>
    </w:p>
    <w:p w14:paraId="77ECF313" w14:textId="77777777" w:rsidR="00494DC6" w:rsidRPr="00494DC6" w:rsidRDefault="00494DC6" w:rsidP="00494DC6">
      <w:pPr>
        <w:rPr>
          <w:b/>
        </w:rPr>
      </w:pPr>
      <w:r w:rsidRPr="00494DC6">
        <w:rPr>
          <w:b/>
        </w:rPr>
        <w:t>Popis plnění milníků</w:t>
      </w:r>
    </w:p>
    <w:p w14:paraId="583617F0" w14:textId="77777777" w:rsidR="00494DC6" w:rsidRPr="00494DC6" w:rsidRDefault="00494DC6" w:rsidP="00746756">
      <w:pPr>
        <w:jc w:val="both"/>
      </w:pPr>
      <w:r w:rsidRPr="00494DC6">
        <w:t>Výkonnostní rámec je programovým dokumentem OP PIK stanoven na úrovni celé prioritní osy. V</w:t>
      </w:r>
      <w:r w:rsidR="001E6D06">
        <w:t> PO</w:t>
      </w:r>
      <w:r w:rsidRPr="00494DC6">
        <w:t xml:space="preserve"> 1 se tak výkonnostní rámec skládá z milníků společných pro SC 1.1 - Zvýšit inovační výkonnost podniků a SC 1.2 - Zvýšit intenzitu a účinnost spolupráce ve výzkumu, vývoji a inovacích.</w:t>
      </w:r>
    </w:p>
    <w:p w14:paraId="2E412BBA" w14:textId="624F8023" w:rsidR="00746756" w:rsidRDefault="00746756" w:rsidP="00746756">
      <w:pPr>
        <w:pStyle w:val="Caption"/>
      </w:pPr>
      <w:r>
        <w:t xml:space="preserve">Tabulka </w:t>
      </w:r>
      <w:r>
        <w:fldChar w:fldCharType="begin"/>
      </w:r>
      <w:r>
        <w:instrText xml:space="preserve"> SEQ Tabulka \* ARABIC </w:instrText>
      </w:r>
      <w:r>
        <w:fldChar w:fldCharType="separate"/>
      </w:r>
      <w:r w:rsidR="00F77CAE">
        <w:rPr>
          <w:noProof/>
        </w:rPr>
        <w:t>8</w:t>
      </w:r>
      <w:r>
        <w:fldChar w:fldCharType="end"/>
      </w:r>
      <w:r>
        <w:t xml:space="preserve"> - </w:t>
      </w:r>
      <w:r w:rsidRPr="00BA7146">
        <w:t>Výkonnostní rámec prioritní osy 1</w:t>
      </w:r>
    </w:p>
    <w:tbl>
      <w:tblPr>
        <w:tblStyle w:val="ListTable3-Accent13"/>
        <w:tblW w:w="5115" w:type="pct"/>
        <w:tblLayout w:type="fixed"/>
        <w:tblLook w:val="04A0" w:firstRow="1" w:lastRow="0" w:firstColumn="1" w:lastColumn="0" w:noHBand="0" w:noVBand="1"/>
      </w:tblPr>
      <w:tblGrid>
        <w:gridCol w:w="3256"/>
        <w:gridCol w:w="142"/>
        <w:gridCol w:w="1416"/>
        <w:gridCol w:w="1192"/>
        <w:gridCol w:w="1940"/>
        <w:gridCol w:w="1903"/>
      </w:tblGrid>
      <w:tr w:rsidR="00494DC6" w:rsidRPr="00494DC6" w14:paraId="2B460450" w14:textId="77777777" w:rsidTr="00CF58D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53" w:type="pct"/>
          </w:tcPr>
          <w:p w14:paraId="15375ABC" w14:textId="77777777" w:rsidR="00494DC6" w:rsidRPr="00746756" w:rsidRDefault="00494DC6" w:rsidP="00746756">
            <w:pPr>
              <w:spacing w:before="120" w:after="120"/>
              <w:rPr>
                <w:color w:val="FFFFFF" w:themeColor="background1"/>
              </w:rPr>
            </w:pPr>
            <w:r w:rsidRPr="00746756">
              <w:rPr>
                <w:color w:val="FFFFFF" w:themeColor="background1"/>
              </w:rPr>
              <w:t>Ukazatel</w:t>
            </w:r>
          </w:p>
        </w:tc>
        <w:tc>
          <w:tcPr>
            <w:tcW w:w="791" w:type="pct"/>
            <w:gridSpan w:val="2"/>
            <w:noWrap/>
          </w:tcPr>
          <w:p w14:paraId="07A0A1D0" w14:textId="77777777" w:rsidR="00494DC6" w:rsidRPr="00746756" w:rsidRDefault="00494DC6" w:rsidP="001E6D06">
            <w:pPr>
              <w:spacing w:before="120" w:after="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6756">
              <w:rPr>
                <w:color w:val="FFFFFF" w:themeColor="background1"/>
              </w:rPr>
              <w:t>Typ</w:t>
            </w:r>
          </w:p>
        </w:tc>
        <w:tc>
          <w:tcPr>
            <w:tcW w:w="605" w:type="pct"/>
          </w:tcPr>
          <w:p w14:paraId="386C4EED" w14:textId="77777777" w:rsidR="00494DC6" w:rsidRPr="00746756" w:rsidRDefault="00494DC6" w:rsidP="001E6D06">
            <w:pPr>
              <w:spacing w:before="120" w:after="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6756">
              <w:rPr>
                <w:color w:val="FFFFFF" w:themeColor="background1"/>
              </w:rPr>
              <w:t>Jednotka</w:t>
            </w:r>
          </w:p>
        </w:tc>
        <w:tc>
          <w:tcPr>
            <w:tcW w:w="985" w:type="pct"/>
            <w:noWrap/>
          </w:tcPr>
          <w:p w14:paraId="2E1CB3F0" w14:textId="77777777" w:rsidR="00494DC6" w:rsidRPr="00746756" w:rsidRDefault="00494DC6" w:rsidP="00CF58DE">
            <w:pPr>
              <w:spacing w:before="120" w:after="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6756">
              <w:rPr>
                <w:color w:val="FFFFFF" w:themeColor="background1"/>
              </w:rPr>
              <w:t>Milník pro rok 2018</w:t>
            </w:r>
          </w:p>
        </w:tc>
        <w:tc>
          <w:tcPr>
            <w:tcW w:w="966" w:type="pct"/>
          </w:tcPr>
          <w:p w14:paraId="1E2FCFDD" w14:textId="77777777" w:rsidR="00494DC6" w:rsidRPr="00746756" w:rsidRDefault="00494DC6" w:rsidP="00CF58DE">
            <w:pPr>
              <w:spacing w:before="120" w:after="12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46756">
              <w:rPr>
                <w:color w:val="FFFFFF" w:themeColor="background1"/>
              </w:rPr>
              <w:t>Konečný cíl (2023)</w:t>
            </w:r>
          </w:p>
        </w:tc>
      </w:tr>
      <w:tr w:rsidR="00494DC6" w:rsidRPr="00494DC6" w14:paraId="445A6E5D" w14:textId="77777777" w:rsidTr="00CF5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pct"/>
            <w:gridSpan w:val="2"/>
          </w:tcPr>
          <w:p w14:paraId="38203F4A" w14:textId="77777777" w:rsidR="00494DC6" w:rsidRPr="00CF58DE" w:rsidRDefault="00494DC6" w:rsidP="00746756">
            <w:pPr>
              <w:spacing w:before="120" w:after="120"/>
            </w:pPr>
            <w:r w:rsidRPr="00CF58DE">
              <w:t>Celkové způsobilé certifikované finanční prostředky</w:t>
            </w:r>
          </w:p>
        </w:tc>
        <w:tc>
          <w:tcPr>
            <w:tcW w:w="719" w:type="pct"/>
            <w:noWrap/>
          </w:tcPr>
          <w:p w14:paraId="4828C5A3" w14:textId="77777777" w:rsidR="00494DC6" w:rsidRPr="00494DC6" w:rsidRDefault="00494DC6" w:rsidP="002449AE">
            <w:pPr>
              <w:spacing w:before="120" w:after="120"/>
              <w:jc w:val="center"/>
              <w:cnfStyle w:val="000000100000" w:firstRow="0" w:lastRow="0" w:firstColumn="0" w:lastColumn="0" w:oddVBand="0" w:evenVBand="0" w:oddHBand="1" w:evenHBand="0" w:firstRowFirstColumn="0" w:firstRowLastColumn="0" w:lastRowFirstColumn="0" w:lastRowLastColumn="0"/>
            </w:pPr>
            <w:r w:rsidRPr="00494DC6">
              <w:t>finanční</w:t>
            </w:r>
          </w:p>
        </w:tc>
        <w:tc>
          <w:tcPr>
            <w:tcW w:w="605" w:type="pct"/>
          </w:tcPr>
          <w:p w14:paraId="5F32CA31" w14:textId="77777777" w:rsidR="00494DC6" w:rsidRPr="00494DC6" w:rsidRDefault="00494DC6" w:rsidP="002449AE">
            <w:pPr>
              <w:spacing w:before="120" w:after="120"/>
              <w:jc w:val="center"/>
              <w:cnfStyle w:val="000000100000" w:firstRow="0" w:lastRow="0" w:firstColumn="0" w:lastColumn="0" w:oddVBand="0" w:evenVBand="0" w:oddHBand="1" w:evenHBand="0" w:firstRowFirstColumn="0" w:firstRowLastColumn="0" w:lastRowFirstColumn="0" w:lastRowLastColumn="0"/>
            </w:pPr>
            <w:r w:rsidRPr="00494DC6">
              <w:t>EUR</w:t>
            </w:r>
          </w:p>
        </w:tc>
        <w:tc>
          <w:tcPr>
            <w:tcW w:w="985" w:type="pct"/>
            <w:noWrap/>
          </w:tcPr>
          <w:p w14:paraId="3A839AAF" w14:textId="77777777" w:rsidR="00494DC6" w:rsidRPr="00494DC6" w:rsidRDefault="00494DC6" w:rsidP="00CF58DE">
            <w:pPr>
              <w:spacing w:before="120" w:after="120"/>
              <w:jc w:val="right"/>
              <w:cnfStyle w:val="000000100000" w:firstRow="0" w:lastRow="0" w:firstColumn="0" w:lastColumn="0" w:oddVBand="0" w:evenVBand="0" w:oddHBand="1" w:evenHBand="0" w:firstRowFirstColumn="0" w:firstRowLastColumn="0" w:lastRowFirstColumn="0" w:lastRowLastColumn="0"/>
            </w:pPr>
            <w:r w:rsidRPr="00494DC6">
              <w:t>552 400 000</w:t>
            </w:r>
          </w:p>
        </w:tc>
        <w:tc>
          <w:tcPr>
            <w:tcW w:w="966" w:type="pct"/>
          </w:tcPr>
          <w:p w14:paraId="65D20017" w14:textId="77777777" w:rsidR="00494DC6" w:rsidRPr="00494DC6" w:rsidRDefault="00494DC6" w:rsidP="00CF58DE">
            <w:pPr>
              <w:spacing w:before="120" w:after="120"/>
              <w:jc w:val="right"/>
              <w:cnfStyle w:val="000000100000" w:firstRow="0" w:lastRow="0" w:firstColumn="0" w:lastColumn="0" w:oddVBand="0" w:evenVBand="0" w:oddHBand="1" w:evenHBand="0" w:firstRowFirstColumn="0" w:firstRowLastColumn="0" w:lastRowFirstColumn="0" w:lastRowLastColumn="0"/>
            </w:pPr>
            <w:r w:rsidRPr="00494DC6">
              <w:t>2 782 298 907</w:t>
            </w:r>
          </w:p>
        </w:tc>
      </w:tr>
      <w:tr w:rsidR="00494DC6" w:rsidRPr="00494DC6" w14:paraId="617D5F8F" w14:textId="77777777" w:rsidTr="00CF58DE">
        <w:trPr>
          <w:trHeight w:val="300"/>
        </w:trPr>
        <w:tc>
          <w:tcPr>
            <w:cnfStyle w:val="001000000000" w:firstRow="0" w:lastRow="0" w:firstColumn="1" w:lastColumn="0" w:oddVBand="0" w:evenVBand="0" w:oddHBand="0" w:evenHBand="0" w:firstRowFirstColumn="0" w:firstRowLastColumn="0" w:lastRowFirstColumn="0" w:lastRowLastColumn="0"/>
            <w:tcW w:w="1725" w:type="pct"/>
            <w:gridSpan w:val="2"/>
          </w:tcPr>
          <w:p w14:paraId="5C48B0DD" w14:textId="77777777" w:rsidR="00494DC6" w:rsidRPr="00CF58DE" w:rsidRDefault="00494DC6" w:rsidP="00746756">
            <w:pPr>
              <w:spacing w:before="120" w:after="120"/>
            </w:pPr>
            <w:r w:rsidRPr="00CF58DE">
              <w:t>Počet podniků pobírajících podporu</w:t>
            </w:r>
          </w:p>
        </w:tc>
        <w:tc>
          <w:tcPr>
            <w:tcW w:w="719" w:type="pct"/>
            <w:noWrap/>
          </w:tcPr>
          <w:p w14:paraId="6BB5E846" w14:textId="77777777" w:rsidR="00494DC6" w:rsidRPr="00494DC6" w:rsidRDefault="00494DC6" w:rsidP="002449AE">
            <w:pPr>
              <w:spacing w:before="120" w:after="120"/>
              <w:jc w:val="center"/>
              <w:cnfStyle w:val="000000000000" w:firstRow="0" w:lastRow="0" w:firstColumn="0" w:lastColumn="0" w:oddVBand="0" w:evenVBand="0" w:oddHBand="0" w:evenHBand="0" w:firstRowFirstColumn="0" w:firstRowLastColumn="0" w:lastRowFirstColumn="0" w:lastRowLastColumn="0"/>
            </w:pPr>
            <w:r w:rsidRPr="00494DC6">
              <w:t>výstupový</w:t>
            </w:r>
          </w:p>
        </w:tc>
        <w:tc>
          <w:tcPr>
            <w:tcW w:w="605" w:type="pct"/>
          </w:tcPr>
          <w:p w14:paraId="3C9CA50A" w14:textId="77777777" w:rsidR="00494DC6" w:rsidRPr="00494DC6" w:rsidRDefault="00494DC6" w:rsidP="002449AE">
            <w:pPr>
              <w:spacing w:before="120" w:after="120"/>
              <w:jc w:val="center"/>
              <w:cnfStyle w:val="000000000000" w:firstRow="0" w:lastRow="0" w:firstColumn="0" w:lastColumn="0" w:oddVBand="0" w:evenVBand="0" w:oddHBand="0" w:evenHBand="0" w:firstRowFirstColumn="0" w:firstRowLastColumn="0" w:lastRowFirstColumn="0" w:lastRowLastColumn="0"/>
            </w:pPr>
            <w:r w:rsidRPr="00494DC6">
              <w:t>podniky</w:t>
            </w:r>
          </w:p>
        </w:tc>
        <w:tc>
          <w:tcPr>
            <w:tcW w:w="985" w:type="pct"/>
            <w:noWrap/>
          </w:tcPr>
          <w:p w14:paraId="607441C7" w14:textId="77777777" w:rsidR="00494DC6" w:rsidRPr="00494DC6" w:rsidRDefault="00494DC6" w:rsidP="00CF58DE">
            <w:pPr>
              <w:spacing w:before="120" w:after="120"/>
              <w:jc w:val="right"/>
              <w:cnfStyle w:val="000000000000" w:firstRow="0" w:lastRow="0" w:firstColumn="0" w:lastColumn="0" w:oddVBand="0" w:evenVBand="0" w:oddHBand="0" w:evenHBand="0" w:firstRowFirstColumn="0" w:firstRowLastColumn="0" w:lastRowFirstColumn="0" w:lastRowLastColumn="0"/>
            </w:pPr>
            <w:r w:rsidRPr="00494DC6">
              <w:t>420</w:t>
            </w:r>
          </w:p>
        </w:tc>
        <w:tc>
          <w:tcPr>
            <w:tcW w:w="966" w:type="pct"/>
          </w:tcPr>
          <w:p w14:paraId="670C64A1" w14:textId="77777777" w:rsidR="00494DC6" w:rsidRPr="00494DC6" w:rsidRDefault="00494DC6" w:rsidP="00CF58DE">
            <w:pPr>
              <w:spacing w:before="120" w:after="120"/>
              <w:jc w:val="right"/>
              <w:cnfStyle w:val="000000000000" w:firstRow="0" w:lastRow="0" w:firstColumn="0" w:lastColumn="0" w:oddVBand="0" w:evenVBand="0" w:oddHBand="0" w:evenHBand="0" w:firstRowFirstColumn="0" w:firstRowLastColumn="0" w:lastRowFirstColumn="0" w:lastRowLastColumn="0"/>
            </w:pPr>
            <w:r w:rsidRPr="00494DC6">
              <w:t>1 970</w:t>
            </w:r>
          </w:p>
        </w:tc>
      </w:tr>
      <w:tr w:rsidR="00494DC6" w:rsidRPr="00494DC6" w14:paraId="36FC91FA" w14:textId="77777777" w:rsidTr="00CF58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pct"/>
            <w:gridSpan w:val="2"/>
          </w:tcPr>
          <w:p w14:paraId="21C7E072" w14:textId="77777777" w:rsidR="00494DC6" w:rsidRPr="00CF58DE" w:rsidRDefault="00494DC6" w:rsidP="00746756">
            <w:pPr>
              <w:spacing w:before="120" w:after="120"/>
            </w:pPr>
            <w:r w:rsidRPr="00CF58DE">
              <w:t>Počet podniků spolupracujících s výzkumnými institucemi</w:t>
            </w:r>
          </w:p>
        </w:tc>
        <w:tc>
          <w:tcPr>
            <w:tcW w:w="719" w:type="pct"/>
            <w:noWrap/>
          </w:tcPr>
          <w:p w14:paraId="0BFA33AF" w14:textId="77777777" w:rsidR="00494DC6" w:rsidRPr="00494DC6" w:rsidRDefault="00494DC6" w:rsidP="002449AE">
            <w:pPr>
              <w:spacing w:before="120" w:after="120"/>
              <w:jc w:val="center"/>
              <w:cnfStyle w:val="000000100000" w:firstRow="0" w:lastRow="0" w:firstColumn="0" w:lastColumn="0" w:oddVBand="0" w:evenVBand="0" w:oddHBand="1" w:evenHBand="0" w:firstRowFirstColumn="0" w:firstRowLastColumn="0" w:lastRowFirstColumn="0" w:lastRowLastColumn="0"/>
            </w:pPr>
            <w:r w:rsidRPr="00494DC6">
              <w:t>výstupový</w:t>
            </w:r>
          </w:p>
        </w:tc>
        <w:tc>
          <w:tcPr>
            <w:tcW w:w="605" w:type="pct"/>
          </w:tcPr>
          <w:p w14:paraId="189D71E1" w14:textId="77777777" w:rsidR="00494DC6" w:rsidRPr="00494DC6" w:rsidRDefault="00494DC6" w:rsidP="002449AE">
            <w:pPr>
              <w:spacing w:before="120" w:after="120"/>
              <w:jc w:val="center"/>
              <w:cnfStyle w:val="000000100000" w:firstRow="0" w:lastRow="0" w:firstColumn="0" w:lastColumn="0" w:oddVBand="0" w:evenVBand="0" w:oddHBand="1" w:evenHBand="0" w:firstRowFirstColumn="0" w:firstRowLastColumn="0" w:lastRowFirstColumn="0" w:lastRowLastColumn="0"/>
            </w:pPr>
            <w:r w:rsidRPr="00494DC6">
              <w:t>podniky</w:t>
            </w:r>
          </w:p>
        </w:tc>
        <w:tc>
          <w:tcPr>
            <w:tcW w:w="985" w:type="pct"/>
            <w:noWrap/>
          </w:tcPr>
          <w:p w14:paraId="6B268C25" w14:textId="77777777" w:rsidR="00494DC6" w:rsidRPr="00494DC6" w:rsidRDefault="00494DC6" w:rsidP="00CF58DE">
            <w:pPr>
              <w:spacing w:before="120" w:after="120"/>
              <w:jc w:val="right"/>
              <w:cnfStyle w:val="000000100000" w:firstRow="0" w:lastRow="0" w:firstColumn="0" w:lastColumn="0" w:oddVBand="0" w:evenVBand="0" w:oddHBand="1" w:evenHBand="0" w:firstRowFirstColumn="0" w:firstRowLastColumn="0" w:lastRowFirstColumn="0" w:lastRowLastColumn="0"/>
            </w:pPr>
            <w:r w:rsidRPr="00494DC6">
              <w:t>350</w:t>
            </w:r>
          </w:p>
        </w:tc>
        <w:tc>
          <w:tcPr>
            <w:tcW w:w="966" w:type="pct"/>
          </w:tcPr>
          <w:p w14:paraId="40DB4540" w14:textId="77777777" w:rsidR="00494DC6" w:rsidRPr="00494DC6" w:rsidRDefault="00494DC6" w:rsidP="00CF58DE">
            <w:pPr>
              <w:spacing w:before="120" w:after="120"/>
              <w:jc w:val="right"/>
              <w:cnfStyle w:val="000000100000" w:firstRow="0" w:lastRow="0" w:firstColumn="0" w:lastColumn="0" w:oddVBand="0" w:evenVBand="0" w:oddHBand="1" w:evenHBand="0" w:firstRowFirstColumn="0" w:firstRowLastColumn="0" w:lastRowFirstColumn="0" w:lastRowLastColumn="0"/>
            </w:pPr>
            <w:r w:rsidRPr="00494DC6">
              <w:t>2 200</w:t>
            </w:r>
          </w:p>
        </w:tc>
      </w:tr>
    </w:tbl>
    <w:p w14:paraId="1278E29D" w14:textId="77777777" w:rsidR="00494DC6" w:rsidRPr="00494DC6" w:rsidRDefault="00494DC6" w:rsidP="00494DC6"/>
    <w:p w14:paraId="429A5CC1" w14:textId="77777777" w:rsidR="00494DC6" w:rsidRDefault="00494DC6" w:rsidP="00726746">
      <w:pPr>
        <w:jc w:val="both"/>
      </w:pPr>
      <w:r w:rsidRPr="00494DC6">
        <w:t xml:space="preserve">Finanční ukazatel </w:t>
      </w:r>
      <w:r w:rsidRPr="00726746">
        <w:rPr>
          <w:b/>
        </w:rPr>
        <w:t>Celkové způsobilé certifikované finanční prostředky</w:t>
      </w:r>
      <w:r w:rsidRPr="00494DC6">
        <w:t xml:space="preserve"> je specifikován jako objem celkových způsobilých výdajů zaslaných do účetního systému certifikačního orgánu a certifikovaných certifikačním orgánem.</w:t>
      </w:r>
    </w:p>
    <w:p w14:paraId="36E52909" w14:textId="77777777" w:rsidR="007A7B9F" w:rsidRPr="00494DC6" w:rsidRDefault="007A7B9F" w:rsidP="00726746">
      <w:pPr>
        <w:jc w:val="both"/>
      </w:pPr>
    </w:p>
    <w:p w14:paraId="10641EB5" w14:textId="77777777" w:rsidR="00726746" w:rsidRDefault="00726746" w:rsidP="00726746">
      <w:pPr>
        <w:spacing w:after="200" w:line="276" w:lineRule="auto"/>
        <w:jc w:val="both"/>
        <w:rPr>
          <w:rFonts w:cs="Calibri"/>
        </w:rPr>
      </w:pPr>
      <w:r>
        <w:rPr>
          <w:rFonts w:cs="Calibri"/>
        </w:rPr>
        <w:t xml:space="preserve">Na úrovni PO 1 jsou stanovené milníky pro rok 2018 u dvou výstupových ukazatelů: </w:t>
      </w:r>
    </w:p>
    <w:p w14:paraId="6BFAB076" w14:textId="0231AC4F" w:rsidR="00726746" w:rsidRPr="0015776D" w:rsidRDefault="00726746" w:rsidP="00726746">
      <w:pPr>
        <w:pStyle w:val="ListParagraph"/>
        <w:numPr>
          <w:ilvl w:val="0"/>
          <w:numId w:val="55"/>
        </w:numPr>
        <w:spacing w:after="120" w:line="276" w:lineRule="auto"/>
        <w:ind w:left="714" w:hanging="357"/>
        <w:contextualSpacing w:val="0"/>
        <w:jc w:val="both"/>
      </w:pPr>
      <w:r w:rsidRPr="003E4246">
        <w:rPr>
          <w:b/>
        </w:rPr>
        <w:t>Počet podniků pobírajících podporu</w:t>
      </w:r>
      <w:r>
        <w:t xml:space="preserve"> </w:t>
      </w:r>
      <w:r w:rsidR="00B36A3D">
        <w:t xml:space="preserve">– </w:t>
      </w:r>
      <w:r w:rsidRPr="00DD47DF">
        <w:rPr>
          <w:rFonts w:cs="Calibri"/>
        </w:rPr>
        <w:t>Indikátor sleduje počet podpořených firem</w:t>
      </w:r>
      <w:r>
        <w:rPr>
          <w:rFonts w:cs="Calibri"/>
        </w:rPr>
        <w:t xml:space="preserve"> a </w:t>
      </w:r>
      <w:r w:rsidRPr="00DD47DF">
        <w:rPr>
          <w:rFonts w:cs="Calibri"/>
        </w:rPr>
        <w:t xml:space="preserve">pokrývá finančně nejobjemnější část intervence v rámci </w:t>
      </w:r>
      <w:r>
        <w:rPr>
          <w:rFonts w:cs="Calibri"/>
        </w:rPr>
        <w:t>PO</w:t>
      </w:r>
      <w:r w:rsidRPr="00DD47DF">
        <w:rPr>
          <w:rFonts w:cs="Calibri"/>
        </w:rPr>
        <w:t xml:space="preserve"> 1. </w:t>
      </w:r>
      <w:r w:rsidRPr="00FE762D">
        <w:rPr>
          <w:rFonts w:cs="Calibri"/>
        </w:rPr>
        <w:t>Vykazování skutečně dosažených hodnot se provádí v souladu s prováděcím nařízením (EU) č. 215/2014, v platném znění.</w:t>
      </w:r>
    </w:p>
    <w:p w14:paraId="0B508D3D" w14:textId="77777777" w:rsidR="00726746" w:rsidRDefault="00726746" w:rsidP="00726746">
      <w:pPr>
        <w:pStyle w:val="ListParagraph"/>
        <w:numPr>
          <w:ilvl w:val="0"/>
          <w:numId w:val="55"/>
        </w:numPr>
        <w:spacing w:after="120" w:line="276" w:lineRule="auto"/>
        <w:ind w:left="714" w:hanging="357"/>
        <w:contextualSpacing w:val="0"/>
        <w:jc w:val="both"/>
      </w:pPr>
      <w:r w:rsidRPr="003E4246">
        <w:rPr>
          <w:b/>
        </w:rPr>
        <w:t>Počet podniků spolupracujících s výzkumnými institucemi</w:t>
      </w:r>
      <w:r>
        <w:rPr>
          <w:b/>
        </w:rPr>
        <w:t xml:space="preserve"> </w:t>
      </w:r>
      <w:r>
        <w:t xml:space="preserve">– </w:t>
      </w:r>
      <w:r w:rsidRPr="000C7326">
        <w:t xml:space="preserve">Indikátor pokrývá rozhodující část projektů naplňující SC </w:t>
      </w:r>
      <w:r>
        <w:t>PO</w:t>
      </w:r>
      <w:r w:rsidRPr="000C7326">
        <w:t xml:space="preserve"> 1. Je společným indikátorem v souladu s nařízením ERDF.</w:t>
      </w:r>
    </w:p>
    <w:p w14:paraId="2C472611" w14:textId="77777777" w:rsidR="00726746" w:rsidRDefault="00726746" w:rsidP="00726746">
      <w:pPr>
        <w:spacing w:after="200" w:line="276" w:lineRule="auto"/>
        <w:jc w:val="both"/>
      </w:pPr>
      <w:r>
        <w:t>Při stanovení cílových hodnot milníků pro rok 2018 byly zohledněny následující klíčové předpoklady</w:t>
      </w:r>
      <w:r>
        <w:rPr>
          <w:rStyle w:val="FootnoteReference"/>
        </w:rPr>
        <w:footnoteReference w:id="10"/>
      </w:r>
      <w:r>
        <w:t>:</w:t>
      </w:r>
    </w:p>
    <w:p w14:paraId="408C29E6" w14:textId="77777777"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Pr>
          <w:rFonts w:cs="Calibri"/>
        </w:rPr>
        <w:t>A</w:t>
      </w:r>
      <w:r w:rsidRPr="00CB6593">
        <w:rPr>
          <w:rFonts w:cs="Calibri"/>
        </w:rPr>
        <w:t>ktuální finanční plán OP PIK</w:t>
      </w:r>
      <w:r w:rsidR="001E6D06">
        <w:rPr>
          <w:rFonts w:cs="Calibri"/>
        </w:rPr>
        <w:t>.</w:t>
      </w:r>
    </w:p>
    <w:p w14:paraId="5C304095" w14:textId="50A0DC15"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Pr>
          <w:rFonts w:cs="Calibri"/>
        </w:rPr>
        <w:t>Z</w:t>
      </w:r>
      <w:r w:rsidRPr="00CB6593">
        <w:rPr>
          <w:rFonts w:cs="Calibri"/>
        </w:rPr>
        <w:t>kušenost</w:t>
      </w:r>
      <w:r>
        <w:rPr>
          <w:rFonts w:cs="Calibri"/>
        </w:rPr>
        <w:t xml:space="preserve">i z předchozího programového období </w:t>
      </w:r>
      <w:r w:rsidR="00B36A3D">
        <w:rPr>
          <w:rFonts w:cs="Calibri"/>
        </w:rPr>
        <w:t>–</w:t>
      </w:r>
      <w:r w:rsidR="00B36A3D" w:rsidRPr="00CB6593">
        <w:rPr>
          <w:rFonts w:cs="Calibri"/>
        </w:rPr>
        <w:t xml:space="preserve"> </w:t>
      </w:r>
      <w:r w:rsidRPr="00CB6593">
        <w:rPr>
          <w:rFonts w:cs="Calibri"/>
        </w:rPr>
        <w:t>OPPI</w:t>
      </w:r>
      <w:r w:rsidR="001E6D06">
        <w:rPr>
          <w:rFonts w:cs="Calibri"/>
        </w:rPr>
        <w:t>.</w:t>
      </w:r>
    </w:p>
    <w:p w14:paraId="422A80C6" w14:textId="77777777"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Pr>
          <w:rFonts w:cs="Calibri"/>
        </w:rPr>
        <w:t xml:space="preserve">Načasování prvních výzev, které byly plánovány nejdříve až ve </w:t>
      </w:r>
      <w:r w:rsidRPr="00CB6593">
        <w:rPr>
          <w:rFonts w:cs="Calibri"/>
        </w:rPr>
        <w:t xml:space="preserve">2. čtvrtletí 2015, </w:t>
      </w:r>
      <w:r>
        <w:rPr>
          <w:rFonts w:cs="Calibri"/>
        </w:rPr>
        <w:t xml:space="preserve">přičemž nebylo </w:t>
      </w:r>
      <w:r w:rsidRPr="00CB6593">
        <w:rPr>
          <w:rFonts w:cs="Calibri"/>
        </w:rPr>
        <w:t>zřejmé (ve vazbě na připravovaný indikativní plán výzev), zda budou v tomto o</w:t>
      </w:r>
      <w:r w:rsidRPr="002C64EC">
        <w:rPr>
          <w:rFonts w:cs="Calibri"/>
        </w:rPr>
        <w:t>bdobí vyhlášeny výzvy již ve všech prioritních osách</w:t>
      </w:r>
      <w:r>
        <w:rPr>
          <w:rFonts w:cs="Calibri"/>
        </w:rPr>
        <w:t xml:space="preserve"> a </w:t>
      </w:r>
      <w:r w:rsidRPr="002C64EC">
        <w:rPr>
          <w:rFonts w:cs="Calibri"/>
        </w:rPr>
        <w:t xml:space="preserve">specifických cílech. Od </w:t>
      </w:r>
      <w:r>
        <w:rPr>
          <w:rFonts w:cs="Calibri"/>
        </w:rPr>
        <w:t>vyhlášení výzev se odvíjí</w:t>
      </w:r>
      <w:r w:rsidRPr="00CB6593">
        <w:rPr>
          <w:rFonts w:cs="Calibri"/>
        </w:rPr>
        <w:t xml:space="preserve"> příjem žádostí, hodnocení projektů</w:t>
      </w:r>
      <w:r>
        <w:rPr>
          <w:rFonts w:cs="Calibri"/>
        </w:rPr>
        <w:t xml:space="preserve"> a </w:t>
      </w:r>
      <w:r w:rsidRPr="00CB6593">
        <w:rPr>
          <w:rFonts w:cs="Calibri"/>
        </w:rPr>
        <w:t>následně zahájení realizace prvních podpořených projektů, tj. pravděpodobně až ve 3. čtvrtletí 2015</w:t>
      </w:r>
      <w:r>
        <w:rPr>
          <w:rFonts w:cs="Calibri"/>
        </w:rPr>
        <w:t>.</w:t>
      </w:r>
    </w:p>
    <w:p w14:paraId="739B144D" w14:textId="77777777"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Při možném předpokladu, že projekty budou dvouleté, to znamená, že první</w:t>
      </w:r>
      <w:r>
        <w:rPr>
          <w:rFonts w:cs="Calibri"/>
        </w:rPr>
        <w:t xml:space="preserve"> z </w:t>
      </w:r>
      <w:r w:rsidRPr="00C6728C">
        <w:rPr>
          <w:rFonts w:cs="Calibri"/>
        </w:rPr>
        <w:t>nich ukončí realizaci nejdříve koncem roku 2017</w:t>
      </w:r>
      <w:r>
        <w:rPr>
          <w:rFonts w:cs="Calibri"/>
        </w:rPr>
        <w:t xml:space="preserve"> a </w:t>
      </w:r>
      <w:r w:rsidRPr="00C6728C">
        <w:rPr>
          <w:rFonts w:cs="Calibri"/>
        </w:rPr>
        <w:t>finanční prostředky tak budou předkládány</w:t>
      </w:r>
      <w:r>
        <w:rPr>
          <w:rFonts w:cs="Calibri"/>
        </w:rPr>
        <w:t xml:space="preserve"> k </w:t>
      </w:r>
      <w:r w:rsidRPr="00C6728C">
        <w:rPr>
          <w:rFonts w:cs="Calibri"/>
        </w:rPr>
        <w:t>certifikaci až v průběhu roku 2018 (u delších projektů však až počátkem roku 2019</w:t>
      </w:r>
      <w:r w:rsidRPr="00CB6593">
        <w:rPr>
          <w:rFonts w:cs="Calibri"/>
        </w:rPr>
        <w:t>)</w:t>
      </w:r>
      <w:r>
        <w:rPr>
          <w:rFonts w:cs="Calibri"/>
        </w:rPr>
        <w:t>.</w:t>
      </w:r>
    </w:p>
    <w:p w14:paraId="1F66CF27" w14:textId="77777777" w:rsidR="00726746" w:rsidRPr="00C6728C"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Není započítána výkonnostní rezerva stanovená ŘO OP PIK na roky 2014</w:t>
      </w:r>
      <w:r>
        <w:rPr>
          <w:rFonts w:cs="Calibri"/>
        </w:rPr>
        <w:t xml:space="preserve"> a </w:t>
      </w:r>
      <w:r w:rsidRPr="00C6728C">
        <w:rPr>
          <w:rFonts w:cs="Calibri"/>
        </w:rPr>
        <w:t>2015</w:t>
      </w:r>
      <w:r>
        <w:rPr>
          <w:rFonts w:cs="Calibri"/>
        </w:rPr>
        <w:t>.</w:t>
      </w:r>
    </w:p>
    <w:p w14:paraId="4625C457" w14:textId="77777777"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Ukazatelé výstupů stanovené ve výkonnostním rámci odpovídají více než 50 % finanční</w:t>
      </w:r>
      <w:r>
        <w:rPr>
          <w:rFonts w:cs="Calibri"/>
        </w:rPr>
        <w:t xml:space="preserve"> alokace </w:t>
      </w:r>
      <w:r w:rsidRPr="00CB6593">
        <w:rPr>
          <w:rFonts w:cs="Calibri"/>
        </w:rPr>
        <w:t>na prioritu (v souladu se čl. 5 Prováděcího nařízení komise (EU) č. 215/2014)</w:t>
      </w:r>
      <w:r>
        <w:rPr>
          <w:rFonts w:cs="Calibri"/>
        </w:rPr>
        <w:t>.</w:t>
      </w:r>
    </w:p>
    <w:p w14:paraId="31EA07C9" w14:textId="77777777" w:rsidR="00726746" w:rsidRPr="00C6728C"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Pravidlo n+3, na základě kterého je nutné vzít v úvahu, že na konci roku 2018 by měla být vyčerpána alokace let 2014, 2015</w:t>
      </w:r>
      <w:r>
        <w:rPr>
          <w:rFonts w:cs="Calibri"/>
        </w:rPr>
        <w:t>.</w:t>
      </w:r>
    </w:p>
    <w:p w14:paraId="7A397D1D" w14:textId="77777777" w:rsidR="00726746" w:rsidRPr="00CB6593"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Nové typy aktivit v této prioritní ose OP PIK</w:t>
      </w:r>
      <w:r>
        <w:rPr>
          <w:rFonts w:cs="Calibri"/>
        </w:rPr>
        <w:t>,</w:t>
      </w:r>
    </w:p>
    <w:p w14:paraId="0A81AC3D" w14:textId="77777777" w:rsidR="00726746" w:rsidRPr="00C6728C"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Širší portfolio možných příjemců – s ohledem na možnou rozdílnou flexibilitu některých subjektů při přípravě</w:t>
      </w:r>
      <w:r>
        <w:rPr>
          <w:rFonts w:cs="Calibri"/>
        </w:rPr>
        <w:t xml:space="preserve"> a </w:t>
      </w:r>
      <w:r w:rsidRPr="00C6728C">
        <w:rPr>
          <w:rFonts w:cs="Calibri"/>
        </w:rPr>
        <w:t>realizaci projektu, lze tak předpokládat pomalejší rozjezd některých aktivit</w:t>
      </w:r>
      <w:r>
        <w:rPr>
          <w:rFonts w:cs="Calibri"/>
        </w:rPr>
        <w:t>.</w:t>
      </w:r>
    </w:p>
    <w:p w14:paraId="2BB94673" w14:textId="77777777" w:rsidR="00726746" w:rsidRPr="00C6728C"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Výše alokace na jednotlivé aktivity SC včetně předpokládané výše veřejné podpory</w:t>
      </w:r>
      <w:r>
        <w:rPr>
          <w:rFonts w:cs="Calibri"/>
        </w:rPr>
        <w:t>,</w:t>
      </w:r>
    </w:p>
    <w:p w14:paraId="7DD07CA5" w14:textId="045EADD2" w:rsidR="00726746" w:rsidRDefault="00726746" w:rsidP="00726746">
      <w:pPr>
        <w:pStyle w:val="ListParagraph"/>
        <w:numPr>
          <w:ilvl w:val="0"/>
          <w:numId w:val="55"/>
        </w:numPr>
        <w:spacing w:after="120" w:line="276" w:lineRule="auto"/>
        <w:ind w:left="714" w:hanging="357"/>
        <w:contextualSpacing w:val="0"/>
        <w:jc w:val="both"/>
        <w:rPr>
          <w:rFonts w:cs="Calibri"/>
        </w:rPr>
      </w:pPr>
      <w:r w:rsidRPr="00C6728C">
        <w:rPr>
          <w:rFonts w:cs="Calibri"/>
        </w:rPr>
        <w:t>Předpokládaná délka projektů v rámci jednotlivých aktivit – nejčastěji 2–3 roky</w:t>
      </w:r>
      <w:r w:rsidRPr="00CB6593">
        <w:rPr>
          <w:rFonts w:cs="Calibri"/>
        </w:rPr>
        <w:t>.</w:t>
      </w:r>
    </w:p>
    <w:p w14:paraId="424AC219" w14:textId="77777777" w:rsidR="00494DC6" w:rsidRDefault="00494DC6" w:rsidP="00726746">
      <w:pPr>
        <w:jc w:val="both"/>
      </w:pPr>
      <w:r w:rsidRPr="00494DC6">
        <w:t>Podle údajů poskytnutých řídícím orgánem OP PIK byly dosaženy hodnoty milníků v minimální požadované výši 85 %</w:t>
      </w:r>
      <w:r w:rsidRPr="002449AE">
        <w:rPr>
          <w:vertAlign w:val="superscript"/>
        </w:rPr>
        <w:footnoteReference w:id="11"/>
      </w:r>
      <w:r w:rsidRPr="00494DC6">
        <w:t xml:space="preserve"> u všech tří sledovaných výkonnostních ukazatelů. </w:t>
      </w:r>
    </w:p>
    <w:p w14:paraId="4905122C" w14:textId="7770C2C7" w:rsidR="00E8256A" w:rsidRDefault="00E8256A" w:rsidP="00E8256A">
      <w:pPr>
        <w:pStyle w:val="Caption"/>
      </w:pPr>
      <w:r>
        <w:t xml:space="preserve">Tabulka </w:t>
      </w:r>
      <w:r>
        <w:fldChar w:fldCharType="begin"/>
      </w:r>
      <w:r>
        <w:instrText xml:space="preserve"> SEQ Tabulka \* ARABIC </w:instrText>
      </w:r>
      <w:r>
        <w:fldChar w:fldCharType="separate"/>
      </w:r>
      <w:r w:rsidR="00F77CAE">
        <w:rPr>
          <w:noProof/>
        </w:rPr>
        <w:t>9</w:t>
      </w:r>
      <w:r>
        <w:fldChar w:fldCharType="end"/>
      </w:r>
      <w:r>
        <w:t xml:space="preserve"> - Plnění milníků</w:t>
      </w:r>
    </w:p>
    <w:tbl>
      <w:tblPr>
        <w:tblStyle w:val="ListTable3-Accent11"/>
        <w:tblW w:w="5077" w:type="pct"/>
        <w:tblLayout w:type="fixed"/>
        <w:tblLook w:val="04A0" w:firstRow="1" w:lastRow="0" w:firstColumn="1" w:lastColumn="0" w:noHBand="0" w:noVBand="1"/>
      </w:tblPr>
      <w:tblGrid>
        <w:gridCol w:w="2118"/>
        <w:gridCol w:w="1170"/>
        <w:gridCol w:w="1017"/>
        <w:gridCol w:w="1478"/>
        <w:gridCol w:w="1435"/>
        <w:gridCol w:w="1197"/>
        <w:gridCol w:w="1361"/>
      </w:tblGrid>
      <w:tr w:rsidR="00726746" w:rsidRPr="00726746" w14:paraId="7F62CC28" w14:textId="77777777" w:rsidTr="00E8256A">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100" w:firstRow="0" w:lastRow="0" w:firstColumn="1" w:lastColumn="0" w:oddVBand="0" w:evenVBand="0" w:oddHBand="0" w:evenHBand="0" w:firstRowFirstColumn="1" w:firstRowLastColumn="0" w:lastRowFirstColumn="0" w:lastRowLastColumn="0"/>
            <w:tcW w:w="1083" w:type="pct"/>
          </w:tcPr>
          <w:p w14:paraId="6296FAB3" w14:textId="77777777" w:rsidR="00494DC6" w:rsidRPr="00726746" w:rsidRDefault="00494DC6" w:rsidP="002449AE">
            <w:pPr>
              <w:spacing w:after="0"/>
              <w:rPr>
                <w:color w:val="FFFFFF" w:themeColor="background1"/>
              </w:rPr>
            </w:pPr>
            <w:r w:rsidRPr="00726746">
              <w:rPr>
                <w:color w:val="FFFFFF" w:themeColor="background1"/>
              </w:rPr>
              <w:t>Ukazatel</w:t>
            </w:r>
          </w:p>
        </w:tc>
        <w:tc>
          <w:tcPr>
            <w:tcW w:w="598" w:type="pct"/>
            <w:noWrap/>
          </w:tcPr>
          <w:p w14:paraId="551C8143" w14:textId="77777777" w:rsidR="001E6D0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26746">
              <w:rPr>
                <w:color w:val="FFFFFF" w:themeColor="background1"/>
              </w:rPr>
              <w:t>Typ</w:t>
            </w:r>
          </w:p>
          <w:p w14:paraId="4197D82F" w14:textId="77777777" w:rsidR="00494DC6" w:rsidRPr="002449AE"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pPr>
          </w:p>
        </w:tc>
        <w:tc>
          <w:tcPr>
            <w:tcW w:w="520" w:type="pct"/>
          </w:tcPr>
          <w:p w14:paraId="794D4BAD" w14:textId="77777777" w:rsidR="00494DC6" w:rsidRPr="0072674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726746">
              <w:rPr>
                <w:color w:val="FFFFFF" w:themeColor="background1"/>
              </w:rPr>
              <w:t>Jedn</w:t>
            </w:r>
            <w:proofErr w:type="spellEnd"/>
            <w:r w:rsidRPr="00726746">
              <w:rPr>
                <w:color w:val="FFFFFF" w:themeColor="background1"/>
              </w:rPr>
              <w:t>.</w:t>
            </w:r>
          </w:p>
        </w:tc>
        <w:tc>
          <w:tcPr>
            <w:tcW w:w="756" w:type="pct"/>
            <w:noWrap/>
          </w:tcPr>
          <w:p w14:paraId="255D2C6D" w14:textId="77777777" w:rsidR="00494DC6" w:rsidRPr="0072674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6746">
              <w:rPr>
                <w:color w:val="FFFFFF" w:themeColor="background1"/>
              </w:rPr>
              <w:t xml:space="preserve">Predikce </w:t>
            </w:r>
            <w:proofErr w:type="spellStart"/>
            <w:r w:rsidRPr="00726746">
              <w:rPr>
                <w:color w:val="FFFFFF" w:themeColor="background1"/>
              </w:rPr>
              <w:t>certifik</w:t>
            </w:r>
            <w:proofErr w:type="spellEnd"/>
            <w:r w:rsidRPr="00726746">
              <w:rPr>
                <w:color w:val="FFFFFF" w:themeColor="background1"/>
              </w:rPr>
              <w:t>. výdajů</w:t>
            </w:r>
          </w:p>
        </w:tc>
        <w:tc>
          <w:tcPr>
            <w:tcW w:w="734" w:type="pct"/>
          </w:tcPr>
          <w:p w14:paraId="027E1FC0" w14:textId="77777777" w:rsidR="00494DC6" w:rsidRPr="0072674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6746">
              <w:rPr>
                <w:color w:val="FFFFFF" w:themeColor="background1"/>
              </w:rPr>
              <w:t xml:space="preserve">Současný stav – </w:t>
            </w:r>
            <w:proofErr w:type="spellStart"/>
            <w:r w:rsidRPr="00726746">
              <w:rPr>
                <w:color w:val="FFFFFF" w:themeColor="background1"/>
              </w:rPr>
              <w:t>certifik</w:t>
            </w:r>
            <w:proofErr w:type="spellEnd"/>
            <w:r w:rsidRPr="00726746">
              <w:rPr>
                <w:color w:val="FFFFFF" w:themeColor="background1"/>
              </w:rPr>
              <w:t>. prostředky</w:t>
            </w:r>
          </w:p>
        </w:tc>
        <w:tc>
          <w:tcPr>
            <w:tcW w:w="612" w:type="pct"/>
          </w:tcPr>
          <w:p w14:paraId="3B94CD89" w14:textId="77777777" w:rsidR="00494DC6" w:rsidRPr="0072674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6746">
              <w:rPr>
                <w:color w:val="FFFFFF" w:themeColor="background1"/>
              </w:rPr>
              <w:t>Podíl predikce na milníku 2018</w:t>
            </w:r>
          </w:p>
        </w:tc>
        <w:tc>
          <w:tcPr>
            <w:tcW w:w="696" w:type="pct"/>
          </w:tcPr>
          <w:p w14:paraId="569DD0DF" w14:textId="77777777" w:rsidR="00494DC6" w:rsidRPr="00726746" w:rsidRDefault="00494DC6" w:rsidP="002449AE">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6746">
              <w:rPr>
                <w:color w:val="FFFFFF" w:themeColor="background1"/>
              </w:rPr>
              <w:t>Podíl dosažené hodnoty milníku</w:t>
            </w:r>
          </w:p>
        </w:tc>
      </w:tr>
      <w:tr w:rsidR="00494DC6" w:rsidRPr="00494DC6" w14:paraId="40A5F170" w14:textId="77777777" w:rsidTr="007267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pct"/>
          </w:tcPr>
          <w:p w14:paraId="0C3F0FDF" w14:textId="77777777" w:rsidR="00494DC6" w:rsidRPr="00494DC6" w:rsidRDefault="00494DC6" w:rsidP="002449AE">
            <w:pPr>
              <w:spacing w:after="0"/>
            </w:pPr>
            <w:r w:rsidRPr="00494DC6">
              <w:t>Celkové způsobilé certifikované finanční prostředky</w:t>
            </w:r>
          </w:p>
        </w:tc>
        <w:tc>
          <w:tcPr>
            <w:tcW w:w="598" w:type="pct"/>
            <w:noWrap/>
          </w:tcPr>
          <w:p w14:paraId="6A50A2DE" w14:textId="77777777" w:rsidR="00494DC6" w:rsidRPr="00494DC6" w:rsidRDefault="00494DC6" w:rsidP="002449AE">
            <w:pPr>
              <w:spacing w:after="0"/>
              <w:jc w:val="center"/>
              <w:cnfStyle w:val="000000100000" w:firstRow="0" w:lastRow="0" w:firstColumn="0" w:lastColumn="0" w:oddVBand="0" w:evenVBand="0" w:oddHBand="1" w:evenHBand="0" w:firstRowFirstColumn="0" w:firstRowLastColumn="0" w:lastRowFirstColumn="0" w:lastRowLastColumn="0"/>
            </w:pPr>
            <w:r w:rsidRPr="00494DC6">
              <w:t>finanční</w:t>
            </w:r>
          </w:p>
        </w:tc>
        <w:tc>
          <w:tcPr>
            <w:tcW w:w="520" w:type="pct"/>
          </w:tcPr>
          <w:p w14:paraId="32851C14" w14:textId="77777777" w:rsidR="00494DC6" w:rsidRPr="00494DC6" w:rsidRDefault="00494DC6" w:rsidP="002449AE">
            <w:pPr>
              <w:spacing w:after="0"/>
              <w:jc w:val="center"/>
              <w:cnfStyle w:val="000000100000" w:firstRow="0" w:lastRow="0" w:firstColumn="0" w:lastColumn="0" w:oddVBand="0" w:evenVBand="0" w:oddHBand="1" w:evenHBand="0" w:firstRowFirstColumn="0" w:firstRowLastColumn="0" w:lastRowFirstColumn="0" w:lastRowLastColumn="0"/>
            </w:pPr>
            <w:r w:rsidRPr="00494DC6">
              <w:t>EUR</w:t>
            </w:r>
          </w:p>
        </w:tc>
        <w:tc>
          <w:tcPr>
            <w:tcW w:w="756" w:type="pct"/>
            <w:noWrap/>
          </w:tcPr>
          <w:p w14:paraId="379307A7"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469 540 000</w:t>
            </w:r>
          </w:p>
        </w:tc>
        <w:tc>
          <w:tcPr>
            <w:tcW w:w="734" w:type="pct"/>
          </w:tcPr>
          <w:p w14:paraId="1E996A16"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473 941 762</w:t>
            </w:r>
          </w:p>
        </w:tc>
        <w:tc>
          <w:tcPr>
            <w:tcW w:w="612" w:type="pct"/>
          </w:tcPr>
          <w:p w14:paraId="7E878E5A"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85,00 %</w:t>
            </w:r>
          </w:p>
        </w:tc>
        <w:tc>
          <w:tcPr>
            <w:tcW w:w="696" w:type="pct"/>
          </w:tcPr>
          <w:p w14:paraId="316D1406"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85,80 %</w:t>
            </w:r>
          </w:p>
        </w:tc>
      </w:tr>
      <w:tr w:rsidR="00494DC6" w:rsidRPr="00494DC6" w14:paraId="1098C595" w14:textId="77777777" w:rsidTr="00726746">
        <w:trPr>
          <w:trHeight w:val="300"/>
        </w:trPr>
        <w:tc>
          <w:tcPr>
            <w:cnfStyle w:val="001000000000" w:firstRow="0" w:lastRow="0" w:firstColumn="1" w:lastColumn="0" w:oddVBand="0" w:evenVBand="0" w:oddHBand="0" w:evenHBand="0" w:firstRowFirstColumn="0" w:firstRowLastColumn="0" w:lastRowFirstColumn="0" w:lastRowLastColumn="0"/>
            <w:tcW w:w="1083" w:type="pct"/>
          </w:tcPr>
          <w:p w14:paraId="392C2590" w14:textId="77777777" w:rsidR="00494DC6" w:rsidRPr="00494DC6" w:rsidRDefault="00494DC6" w:rsidP="002449AE">
            <w:pPr>
              <w:spacing w:after="0"/>
            </w:pPr>
            <w:r w:rsidRPr="00494DC6">
              <w:t>Počet podniků pobírajících podporu</w:t>
            </w:r>
          </w:p>
        </w:tc>
        <w:tc>
          <w:tcPr>
            <w:tcW w:w="598" w:type="pct"/>
            <w:noWrap/>
          </w:tcPr>
          <w:p w14:paraId="6DA9D0EA" w14:textId="77777777" w:rsidR="00494DC6" w:rsidRPr="00494DC6" w:rsidRDefault="00494DC6" w:rsidP="002449AE">
            <w:pPr>
              <w:spacing w:after="0"/>
              <w:jc w:val="center"/>
              <w:cnfStyle w:val="000000000000" w:firstRow="0" w:lastRow="0" w:firstColumn="0" w:lastColumn="0" w:oddVBand="0" w:evenVBand="0" w:oddHBand="0" w:evenHBand="0" w:firstRowFirstColumn="0" w:firstRowLastColumn="0" w:lastRowFirstColumn="0" w:lastRowLastColumn="0"/>
            </w:pPr>
            <w:r w:rsidRPr="00494DC6">
              <w:t>výstupový</w:t>
            </w:r>
          </w:p>
        </w:tc>
        <w:tc>
          <w:tcPr>
            <w:tcW w:w="520" w:type="pct"/>
          </w:tcPr>
          <w:p w14:paraId="26C0856A" w14:textId="77777777" w:rsidR="00494DC6" w:rsidRPr="00494DC6" w:rsidRDefault="00494DC6" w:rsidP="002449AE">
            <w:pPr>
              <w:spacing w:after="0"/>
              <w:jc w:val="center"/>
              <w:cnfStyle w:val="000000000000" w:firstRow="0" w:lastRow="0" w:firstColumn="0" w:lastColumn="0" w:oddVBand="0" w:evenVBand="0" w:oddHBand="0" w:evenHBand="0" w:firstRowFirstColumn="0" w:firstRowLastColumn="0" w:lastRowFirstColumn="0" w:lastRowLastColumn="0"/>
            </w:pPr>
            <w:r w:rsidRPr="00494DC6">
              <w:t>podniky</w:t>
            </w:r>
          </w:p>
        </w:tc>
        <w:tc>
          <w:tcPr>
            <w:tcW w:w="756" w:type="pct"/>
            <w:noWrap/>
          </w:tcPr>
          <w:p w14:paraId="42CAF645" w14:textId="77777777" w:rsidR="00494DC6" w:rsidRPr="00494DC6" w:rsidRDefault="00494DC6" w:rsidP="002449AE">
            <w:pPr>
              <w:spacing w:after="0"/>
              <w:jc w:val="right"/>
              <w:cnfStyle w:val="000000000000" w:firstRow="0" w:lastRow="0" w:firstColumn="0" w:lastColumn="0" w:oddVBand="0" w:evenVBand="0" w:oddHBand="0" w:evenHBand="0" w:firstRowFirstColumn="0" w:firstRowLastColumn="0" w:lastRowFirstColumn="0" w:lastRowLastColumn="0"/>
            </w:pPr>
            <w:r w:rsidRPr="00494DC6">
              <w:t>800</w:t>
            </w:r>
          </w:p>
        </w:tc>
        <w:tc>
          <w:tcPr>
            <w:tcW w:w="734" w:type="pct"/>
          </w:tcPr>
          <w:p w14:paraId="7F5688D5" w14:textId="77777777" w:rsidR="00494DC6" w:rsidRPr="00494DC6" w:rsidRDefault="00494DC6" w:rsidP="002449AE">
            <w:pPr>
              <w:spacing w:after="0"/>
              <w:jc w:val="right"/>
              <w:cnfStyle w:val="000000000000" w:firstRow="0" w:lastRow="0" w:firstColumn="0" w:lastColumn="0" w:oddVBand="0" w:evenVBand="0" w:oddHBand="0" w:evenHBand="0" w:firstRowFirstColumn="0" w:firstRowLastColumn="0" w:lastRowFirstColumn="0" w:lastRowLastColumn="0"/>
            </w:pPr>
            <w:r w:rsidRPr="00494DC6">
              <w:t>673</w:t>
            </w:r>
          </w:p>
        </w:tc>
        <w:tc>
          <w:tcPr>
            <w:tcW w:w="612" w:type="pct"/>
          </w:tcPr>
          <w:p w14:paraId="35CC566E" w14:textId="77777777" w:rsidR="00494DC6" w:rsidRPr="00494DC6" w:rsidRDefault="00494DC6" w:rsidP="002449AE">
            <w:pPr>
              <w:spacing w:after="0"/>
              <w:jc w:val="right"/>
              <w:cnfStyle w:val="000000000000" w:firstRow="0" w:lastRow="0" w:firstColumn="0" w:lastColumn="0" w:oddVBand="0" w:evenVBand="0" w:oddHBand="0" w:evenHBand="0" w:firstRowFirstColumn="0" w:firstRowLastColumn="0" w:lastRowFirstColumn="0" w:lastRowLastColumn="0"/>
            </w:pPr>
            <w:r w:rsidRPr="00494DC6">
              <w:t>190,48 %</w:t>
            </w:r>
          </w:p>
        </w:tc>
        <w:tc>
          <w:tcPr>
            <w:tcW w:w="696" w:type="pct"/>
          </w:tcPr>
          <w:p w14:paraId="7B1C87F5" w14:textId="77777777" w:rsidR="00494DC6" w:rsidRPr="00494DC6" w:rsidRDefault="00494DC6" w:rsidP="002449AE">
            <w:pPr>
              <w:spacing w:after="0"/>
              <w:jc w:val="right"/>
              <w:cnfStyle w:val="000000000000" w:firstRow="0" w:lastRow="0" w:firstColumn="0" w:lastColumn="0" w:oddVBand="0" w:evenVBand="0" w:oddHBand="0" w:evenHBand="0" w:firstRowFirstColumn="0" w:firstRowLastColumn="0" w:lastRowFirstColumn="0" w:lastRowLastColumn="0"/>
            </w:pPr>
            <w:r w:rsidRPr="00494DC6">
              <w:t>160,24 %</w:t>
            </w:r>
          </w:p>
        </w:tc>
      </w:tr>
      <w:tr w:rsidR="00494DC6" w:rsidRPr="00494DC6" w14:paraId="005BDC08" w14:textId="77777777" w:rsidTr="007267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pct"/>
          </w:tcPr>
          <w:p w14:paraId="4FE0971B" w14:textId="77777777" w:rsidR="00494DC6" w:rsidRPr="00494DC6" w:rsidRDefault="00494DC6" w:rsidP="002449AE">
            <w:pPr>
              <w:spacing w:after="0"/>
            </w:pPr>
            <w:r w:rsidRPr="00494DC6">
              <w:t>Počet podniků spolupracujících s výzkumnými institucemi</w:t>
            </w:r>
          </w:p>
        </w:tc>
        <w:tc>
          <w:tcPr>
            <w:tcW w:w="598" w:type="pct"/>
            <w:noWrap/>
          </w:tcPr>
          <w:p w14:paraId="7611C690" w14:textId="77777777" w:rsidR="00494DC6" w:rsidRPr="00494DC6" w:rsidRDefault="001E6D06" w:rsidP="002449AE">
            <w:pPr>
              <w:spacing w:after="0"/>
              <w:jc w:val="center"/>
              <w:cnfStyle w:val="000000100000" w:firstRow="0" w:lastRow="0" w:firstColumn="0" w:lastColumn="0" w:oddVBand="0" w:evenVBand="0" w:oddHBand="1" w:evenHBand="0" w:firstRowFirstColumn="0" w:firstRowLastColumn="0" w:lastRowFirstColumn="0" w:lastRowLastColumn="0"/>
            </w:pPr>
            <w:r w:rsidRPr="00494DC6">
              <w:t>V</w:t>
            </w:r>
            <w:r w:rsidR="00494DC6" w:rsidRPr="00494DC6">
              <w:t>ýstupový</w:t>
            </w:r>
          </w:p>
        </w:tc>
        <w:tc>
          <w:tcPr>
            <w:tcW w:w="520" w:type="pct"/>
          </w:tcPr>
          <w:p w14:paraId="22FB87C3" w14:textId="77777777" w:rsidR="00494DC6" w:rsidRPr="00494DC6" w:rsidRDefault="00494DC6" w:rsidP="002449AE">
            <w:pPr>
              <w:spacing w:after="0"/>
              <w:jc w:val="center"/>
              <w:cnfStyle w:val="000000100000" w:firstRow="0" w:lastRow="0" w:firstColumn="0" w:lastColumn="0" w:oddVBand="0" w:evenVBand="0" w:oddHBand="1" w:evenHBand="0" w:firstRowFirstColumn="0" w:firstRowLastColumn="0" w:lastRowFirstColumn="0" w:lastRowLastColumn="0"/>
            </w:pPr>
            <w:r w:rsidRPr="00494DC6">
              <w:t>podniky</w:t>
            </w:r>
          </w:p>
        </w:tc>
        <w:tc>
          <w:tcPr>
            <w:tcW w:w="756" w:type="pct"/>
            <w:noWrap/>
          </w:tcPr>
          <w:p w14:paraId="26940AA6"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590</w:t>
            </w:r>
          </w:p>
        </w:tc>
        <w:tc>
          <w:tcPr>
            <w:tcW w:w="734" w:type="pct"/>
          </w:tcPr>
          <w:p w14:paraId="18694EBC"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589</w:t>
            </w:r>
          </w:p>
        </w:tc>
        <w:tc>
          <w:tcPr>
            <w:tcW w:w="612" w:type="pct"/>
          </w:tcPr>
          <w:p w14:paraId="1AFE4044"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168,57 %</w:t>
            </w:r>
          </w:p>
        </w:tc>
        <w:tc>
          <w:tcPr>
            <w:tcW w:w="696" w:type="pct"/>
          </w:tcPr>
          <w:p w14:paraId="26F42C7F" w14:textId="77777777" w:rsidR="00494DC6" w:rsidRPr="00494DC6" w:rsidRDefault="00494DC6" w:rsidP="002449AE">
            <w:pPr>
              <w:spacing w:after="0"/>
              <w:jc w:val="right"/>
              <w:cnfStyle w:val="000000100000" w:firstRow="0" w:lastRow="0" w:firstColumn="0" w:lastColumn="0" w:oddVBand="0" w:evenVBand="0" w:oddHBand="1" w:evenHBand="0" w:firstRowFirstColumn="0" w:firstRowLastColumn="0" w:lastRowFirstColumn="0" w:lastRowLastColumn="0"/>
            </w:pPr>
            <w:r w:rsidRPr="00494DC6">
              <w:t>168,29 %</w:t>
            </w:r>
          </w:p>
        </w:tc>
      </w:tr>
    </w:tbl>
    <w:p w14:paraId="5F14D4DA" w14:textId="77777777" w:rsidR="00494DC6" w:rsidRPr="00494DC6" w:rsidRDefault="00494DC6" w:rsidP="00494DC6"/>
    <w:p w14:paraId="3D36A702" w14:textId="77777777" w:rsidR="00494DC6" w:rsidRPr="00726746" w:rsidRDefault="00494DC6" w:rsidP="002449AE">
      <w:pPr>
        <w:keepNext/>
        <w:rPr>
          <w:b/>
        </w:rPr>
      </w:pPr>
      <w:r w:rsidRPr="00726746">
        <w:rPr>
          <w:b/>
        </w:rPr>
        <w:t>Predikce naplnění cílů</w:t>
      </w:r>
    </w:p>
    <w:p w14:paraId="74B1CA98" w14:textId="77777777" w:rsidR="00494DC6" w:rsidRPr="00494DC6" w:rsidRDefault="00494DC6" w:rsidP="00726746">
      <w:pPr>
        <w:jc w:val="both"/>
      </w:pPr>
      <w:r w:rsidRPr="00726746">
        <w:rPr>
          <w:b/>
        </w:rPr>
        <w:t>Výstupové milníky</w:t>
      </w:r>
      <w:r w:rsidRPr="00494DC6">
        <w:t>, resp. výstupové indikátory</w:t>
      </w:r>
      <w:r w:rsidR="001E6D06">
        <w:t>,</w:t>
      </w:r>
      <w:r w:rsidRPr="00494DC6">
        <w:t xml:space="preserve"> byly vyhodnoceny v</w:t>
      </w:r>
      <w:r w:rsidR="001E6D06">
        <w:t xml:space="preserve"> rámci EO </w:t>
      </w:r>
      <w:r w:rsidRPr="00494DC6">
        <w:t>1. Počet podniků pobírajících podporu (kód NČI 10000) dosáhl pro SC 1.1 v roce 2018 plánované hodnoty 81,57 % z celkové cílové hodnoty. Počet podniků spolupracujících s výzkumnými institucemi (kód NČI 20000) byl výrazně nižší, jen na úrovni 46,20 % plánované hodnoty. Dosažené hodnoty obou indikátorů jsou na úrovni přes 20 %.</w:t>
      </w:r>
    </w:p>
    <w:p w14:paraId="63B62560" w14:textId="27F544FF" w:rsidR="00726746" w:rsidRDefault="00726746" w:rsidP="00726746">
      <w:pPr>
        <w:pStyle w:val="Caption"/>
      </w:pPr>
      <w:r>
        <w:t xml:space="preserve">Tabulka </w:t>
      </w:r>
      <w:r>
        <w:fldChar w:fldCharType="begin"/>
      </w:r>
      <w:r>
        <w:instrText xml:space="preserve"> SEQ Tabulka \* ARABIC </w:instrText>
      </w:r>
      <w:r>
        <w:fldChar w:fldCharType="separate"/>
      </w:r>
      <w:r w:rsidR="00F77CAE">
        <w:rPr>
          <w:noProof/>
        </w:rPr>
        <w:t>10</w:t>
      </w:r>
      <w:r>
        <w:fldChar w:fldCharType="end"/>
      </w:r>
      <w:r>
        <w:t xml:space="preserve"> - Plnění výstupových milníků</w:t>
      </w:r>
    </w:p>
    <w:tbl>
      <w:tblPr>
        <w:tblStyle w:val="TableGrid"/>
        <w:tblW w:w="9923" w:type="dxa"/>
        <w:jc w:val="center"/>
        <w:tblBorders>
          <w:bottom w:val="single" w:sz="4" w:space="0" w:color="86BC25" w:themeColor="accent1"/>
          <w:insideH w:val="single" w:sz="4" w:space="0" w:color="86BC25" w:themeColor="accent1"/>
        </w:tblBorders>
        <w:tblLayout w:type="fixed"/>
        <w:tblLook w:val="04A0" w:firstRow="1" w:lastRow="0" w:firstColumn="1" w:lastColumn="0" w:noHBand="0" w:noVBand="1"/>
      </w:tblPr>
      <w:tblGrid>
        <w:gridCol w:w="709"/>
        <w:gridCol w:w="3686"/>
        <w:gridCol w:w="992"/>
        <w:gridCol w:w="709"/>
        <w:gridCol w:w="850"/>
        <w:gridCol w:w="992"/>
        <w:gridCol w:w="993"/>
        <w:gridCol w:w="992"/>
      </w:tblGrid>
      <w:tr w:rsidR="00494DC6" w:rsidRPr="00494DC6" w14:paraId="51668E6F" w14:textId="77777777" w:rsidTr="00726746">
        <w:trPr>
          <w:cnfStyle w:val="100000000000" w:firstRow="1" w:lastRow="0" w:firstColumn="0" w:lastColumn="0" w:oddVBand="0" w:evenVBand="0" w:oddHBand="0" w:evenHBand="0" w:firstRowFirstColumn="0" w:firstRowLastColumn="0" w:lastRowFirstColumn="0" w:lastRowLastColumn="0"/>
          <w:trHeight w:val="300"/>
          <w:jc w:val="center"/>
        </w:trPr>
        <w:tc>
          <w:tcPr>
            <w:tcW w:w="709" w:type="dxa"/>
            <w:vMerge w:val="restart"/>
            <w:shd w:val="clear" w:color="auto" w:fill="86BC25" w:themeFill="accent1"/>
            <w:noWrap/>
            <w:vAlign w:val="center"/>
          </w:tcPr>
          <w:p w14:paraId="5DC4ACF7" w14:textId="77777777" w:rsidR="00494DC6" w:rsidRPr="00726746" w:rsidRDefault="00494DC6" w:rsidP="00726746">
            <w:pPr>
              <w:spacing w:before="120" w:after="120"/>
              <w:rPr>
                <w:b/>
                <w:color w:val="FFFFFF" w:themeColor="background1"/>
              </w:rPr>
            </w:pPr>
            <w:r w:rsidRPr="00726746">
              <w:rPr>
                <w:b/>
                <w:color w:val="FFFFFF" w:themeColor="background1"/>
              </w:rPr>
              <w:t>Kód NČI 2014+</w:t>
            </w:r>
          </w:p>
        </w:tc>
        <w:tc>
          <w:tcPr>
            <w:tcW w:w="3686" w:type="dxa"/>
            <w:vMerge w:val="restart"/>
            <w:shd w:val="clear" w:color="auto" w:fill="86BC25" w:themeFill="accent1"/>
            <w:noWrap/>
            <w:vAlign w:val="center"/>
          </w:tcPr>
          <w:p w14:paraId="5D2C5872" w14:textId="77777777" w:rsidR="00494DC6" w:rsidRPr="00726746" w:rsidRDefault="00494DC6" w:rsidP="00726746">
            <w:pPr>
              <w:spacing w:before="120" w:after="120"/>
              <w:rPr>
                <w:b/>
                <w:color w:val="FFFFFF" w:themeColor="background1"/>
              </w:rPr>
            </w:pPr>
            <w:r w:rsidRPr="00726746">
              <w:rPr>
                <w:b/>
                <w:color w:val="FFFFFF" w:themeColor="background1"/>
              </w:rPr>
              <w:t>Název indikátoru</w:t>
            </w:r>
          </w:p>
        </w:tc>
        <w:tc>
          <w:tcPr>
            <w:tcW w:w="992" w:type="dxa"/>
            <w:vMerge w:val="restart"/>
            <w:shd w:val="clear" w:color="auto" w:fill="86BC25" w:themeFill="accent1"/>
            <w:noWrap/>
            <w:vAlign w:val="center"/>
          </w:tcPr>
          <w:p w14:paraId="0949E9A8" w14:textId="77777777" w:rsidR="00494DC6" w:rsidRPr="00726746" w:rsidRDefault="00494DC6" w:rsidP="00726746">
            <w:pPr>
              <w:spacing w:before="120" w:after="120"/>
              <w:jc w:val="center"/>
              <w:rPr>
                <w:b/>
                <w:color w:val="FFFFFF" w:themeColor="background1"/>
              </w:rPr>
            </w:pPr>
            <w:r w:rsidRPr="00726746">
              <w:rPr>
                <w:b/>
                <w:color w:val="FFFFFF" w:themeColor="background1"/>
              </w:rPr>
              <w:t>Měrná jednotka</w:t>
            </w:r>
          </w:p>
        </w:tc>
        <w:tc>
          <w:tcPr>
            <w:tcW w:w="2551" w:type="dxa"/>
            <w:gridSpan w:val="3"/>
            <w:shd w:val="clear" w:color="auto" w:fill="86BC25" w:themeFill="accent1"/>
            <w:noWrap/>
            <w:vAlign w:val="center"/>
          </w:tcPr>
          <w:p w14:paraId="73957625" w14:textId="77777777" w:rsidR="00494DC6" w:rsidRPr="00726746" w:rsidRDefault="00494DC6" w:rsidP="00726746">
            <w:pPr>
              <w:spacing w:before="120" w:after="120"/>
              <w:jc w:val="center"/>
              <w:rPr>
                <w:b/>
                <w:color w:val="FFFFFF" w:themeColor="background1"/>
              </w:rPr>
            </w:pPr>
            <w:r w:rsidRPr="00726746">
              <w:rPr>
                <w:b/>
                <w:color w:val="FFFFFF" w:themeColor="background1"/>
              </w:rPr>
              <w:t>Hodnota</w:t>
            </w:r>
          </w:p>
        </w:tc>
        <w:tc>
          <w:tcPr>
            <w:tcW w:w="1985" w:type="dxa"/>
            <w:gridSpan w:val="2"/>
            <w:shd w:val="clear" w:color="auto" w:fill="86BC25" w:themeFill="accent1"/>
            <w:noWrap/>
            <w:vAlign w:val="center"/>
          </w:tcPr>
          <w:p w14:paraId="47E25869" w14:textId="77777777" w:rsidR="00494DC6" w:rsidRPr="00726746" w:rsidRDefault="00494DC6" w:rsidP="00726746">
            <w:pPr>
              <w:spacing w:before="120" w:after="120"/>
              <w:jc w:val="center"/>
              <w:rPr>
                <w:b/>
                <w:color w:val="FFFFFF" w:themeColor="background1"/>
              </w:rPr>
            </w:pPr>
            <w:r w:rsidRPr="00726746">
              <w:rPr>
                <w:b/>
                <w:color w:val="FFFFFF" w:themeColor="background1"/>
              </w:rPr>
              <w:t>Plnění</w:t>
            </w:r>
          </w:p>
        </w:tc>
      </w:tr>
      <w:tr w:rsidR="00494DC6" w:rsidRPr="00494DC6" w14:paraId="621AEAF1" w14:textId="77777777" w:rsidTr="00726746">
        <w:trPr>
          <w:trHeight w:val="300"/>
          <w:jc w:val="center"/>
        </w:trPr>
        <w:tc>
          <w:tcPr>
            <w:tcW w:w="709" w:type="dxa"/>
            <w:vMerge/>
            <w:shd w:val="clear" w:color="auto" w:fill="86BC25" w:themeFill="accent1"/>
            <w:noWrap/>
            <w:vAlign w:val="center"/>
          </w:tcPr>
          <w:p w14:paraId="66730D71" w14:textId="77777777" w:rsidR="00494DC6" w:rsidRPr="00726746" w:rsidRDefault="00494DC6" w:rsidP="00726746">
            <w:pPr>
              <w:spacing w:before="120" w:after="120"/>
              <w:rPr>
                <w:b/>
                <w:color w:val="FFFFFF" w:themeColor="background1"/>
              </w:rPr>
            </w:pPr>
          </w:p>
        </w:tc>
        <w:tc>
          <w:tcPr>
            <w:tcW w:w="3686" w:type="dxa"/>
            <w:vMerge/>
            <w:shd w:val="clear" w:color="auto" w:fill="86BC25" w:themeFill="accent1"/>
            <w:noWrap/>
            <w:vAlign w:val="center"/>
          </w:tcPr>
          <w:p w14:paraId="66D78F13" w14:textId="77777777" w:rsidR="00494DC6" w:rsidRPr="00726746" w:rsidRDefault="00494DC6" w:rsidP="00726746">
            <w:pPr>
              <w:spacing w:before="120" w:after="120"/>
              <w:rPr>
                <w:b/>
                <w:color w:val="FFFFFF" w:themeColor="background1"/>
              </w:rPr>
            </w:pPr>
          </w:p>
        </w:tc>
        <w:tc>
          <w:tcPr>
            <w:tcW w:w="992" w:type="dxa"/>
            <w:vMerge/>
            <w:shd w:val="clear" w:color="auto" w:fill="86BC25" w:themeFill="accent1"/>
            <w:noWrap/>
            <w:vAlign w:val="center"/>
          </w:tcPr>
          <w:p w14:paraId="7698C2BC" w14:textId="77777777" w:rsidR="00494DC6" w:rsidRPr="00726746" w:rsidRDefault="00494DC6" w:rsidP="00726746">
            <w:pPr>
              <w:spacing w:before="120" w:after="120"/>
              <w:jc w:val="center"/>
              <w:rPr>
                <w:b/>
                <w:color w:val="FFFFFF" w:themeColor="background1"/>
              </w:rPr>
            </w:pPr>
          </w:p>
        </w:tc>
        <w:tc>
          <w:tcPr>
            <w:tcW w:w="709" w:type="dxa"/>
            <w:shd w:val="clear" w:color="auto" w:fill="86BC25" w:themeFill="accent1"/>
            <w:noWrap/>
            <w:vAlign w:val="center"/>
          </w:tcPr>
          <w:p w14:paraId="5D73A9A5" w14:textId="77777777" w:rsidR="00494DC6" w:rsidRPr="00726746" w:rsidRDefault="00494DC6" w:rsidP="00726746">
            <w:pPr>
              <w:spacing w:before="120" w:after="120"/>
              <w:jc w:val="center"/>
              <w:rPr>
                <w:b/>
                <w:color w:val="FFFFFF" w:themeColor="background1"/>
                <w:sz w:val="16"/>
              </w:rPr>
            </w:pPr>
            <w:r w:rsidRPr="00726746">
              <w:rPr>
                <w:b/>
                <w:color w:val="FFFFFF" w:themeColor="background1"/>
                <w:sz w:val="16"/>
              </w:rPr>
              <w:t>Cílová</w:t>
            </w:r>
          </w:p>
        </w:tc>
        <w:tc>
          <w:tcPr>
            <w:tcW w:w="850" w:type="dxa"/>
            <w:shd w:val="clear" w:color="auto" w:fill="86BC25" w:themeFill="accent1"/>
            <w:noWrap/>
            <w:vAlign w:val="center"/>
          </w:tcPr>
          <w:p w14:paraId="394008D1" w14:textId="77777777" w:rsidR="00494DC6" w:rsidRPr="00726746" w:rsidRDefault="00494DC6" w:rsidP="00726746">
            <w:pPr>
              <w:spacing w:before="120" w:after="120"/>
              <w:jc w:val="center"/>
              <w:rPr>
                <w:b/>
                <w:color w:val="FFFFFF" w:themeColor="background1"/>
                <w:sz w:val="16"/>
              </w:rPr>
            </w:pPr>
            <w:r w:rsidRPr="00726746">
              <w:rPr>
                <w:b/>
                <w:color w:val="FFFFFF" w:themeColor="background1"/>
                <w:sz w:val="16"/>
              </w:rPr>
              <w:t>Žadatel</w:t>
            </w:r>
            <w:r w:rsidR="00726746" w:rsidRPr="00726746">
              <w:rPr>
                <w:b/>
                <w:color w:val="FFFFFF" w:themeColor="background1"/>
                <w:sz w:val="16"/>
              </w:rPr>
              <w:t>*</w:t>
            </w:r>
          </w:p>
        </w:tc>
        <w:tc>
          <w:tcPr>
            <w:tcW w:w="992" w:type="dxa"/>
            <w:shd w:val="clear" w:color="auto" w:fill="86BC25" w:themeFill="accent1"/>
            <w:noWrap/>
            <w:vAlign w:val="center"/>
          </w:tcPr>
          <w:p w14:paraId="689F06A6" w14:textId="77777777" w:rsidR="00494DC6" w:rsidRPr="00726746" w:rsidRDefault="00494DC6" w:rsidP="00726746">
            <w:pPr>
              <w:spacing w:before="120" w:after="120"/>
              <w:jc w:val="center"/>
              <w:rPr>
                <w:b/>
                <w:color w:val="FFFFFF" w:themeColor="background1"/>
                <w:sz w:val="16"/>
              </w:rPr>
            </w:pPr>
            <w:r w:rsidRPr="00726746">
              <w:rPr>
                <w:b/>
                <w:color w:val="FFFFFF" w:themeColor="background1"/>
                <w:sz w:val="16"/>
              </w:rPr>
              <w:t>Dosažená</w:t>
            </w:r>
          </w:p>
        </w:tc>
        <w:tc>
          <w:tcPr>
            <w:tcW w:w="993" w:type="dxa"/>
            <w:shd w:val="clear" w:color="auto" w:fill="86BC25" w:themeFill="accent1"/>
            <w:noWrap/>
            <w:vAlign w:val="center"/>
          </w:tcPr>
          <w:p w14:paraId="37CF0E82" w14:textId="77777777" w:rsidR="00494DC6" w:rsidRPr="00726746" w:rsidRDefault="00494DC6" w:rsidP="00726746">
            <w:pPr>
              <w:spacing w:before="120" w:after="120"/>
              <w:jc w:val="center"/>
              <w:rPr>
                <w:b/>
                <w:color w:val="FFFFFF" w:themeColor="background1"/>
                <w:sz w:val="16"/>
              </w:rPr>
            </w:pPr>
            <w:r w:rsidRPr="00726746">
              <w:rPr>
                <w:b/>
                <w:color w:val="FFFFFF" w:themeColor="background1"/>
                <w:sz w:val="16"/>
              </w:rPr>
              <w:t>Žadatel*</w:t>
            </w:r>
          </w:p>
        </w:tc>
        <w:tc>
          <w:tcPr>
            <w:tcW w:w="992" w:type="dxa"/>
            <w:shd w:val="clear" w:color="auto" w:fill="86BC25" w:themeFill="accent1"/>
            <w:noWrap/>
            <w:vAlign w:val="center"/>
          </w:tcPr>
          <w:p w14:paraId="1D6C62E7" w14:textId="77777777" w:rsidR="00494DC6" w:rsidRPr="00726746" w:rsidRDefault="00494DC6" w:rsidP="00726746">
            <w:pPr>
              <w:spacing w:before="120" w:after="120"/>
              <w:jc w:val="center"/>
              <w:rPr>
                <w:b/>
                <w:color w:val="FFFFFF" w:themeColor="background1"/>
                <w:sz w:val="16"/>
              </w:rPr>
            </w:pPr>
            <w:r w:rsidRPr="00726746">
              <w:rPr>
                <w:b/>
                <w:color w:val="FFFFFF" w:themeColor="background1"/>
                <w:sz w:val="16"/>
              </w:rPr>
              <w:t>Dosaženo</w:t>
            </w:r>
          </w:p>
        </w:tc>
      </w:tr>
      <w:tr w:rsidR="00494DC6" w:rsidRPr="00494DC6" w14:paraId="69E499B6" w14:textId="77777777" w:rsidTr="00726746">
        <w:trPr>
          <w:trHeight w:val="216"/>
          <w:jc w:val="center"/>
        </w:trPr>
        <w:tc>
          <w:tcPr>
            <w:tcW w:w="709" w:type="dxa"/>
            <w:shd w:val="clear" w:color="auto" w:fill="auto"/>
            <w:noWrap/>
            <w:vAlign w:val="center"/>
            <w:hideMark/>
          </w:tcPr>
          <w:p w14:paraId="3DB41424" w14:textId="77777777" w:rsidR="00494DC6" w:rsidRPr="00726746" w:rsidRDefault="00494DC6" w:rsidP="00726746">
            <w:pPr>
              <w:spacing w:before="120" w:after="120"/>
              <w:rPr>
                <w:b/>
              </w:rPr>
            </w:pPr>
            <w:r w:rsidRPr="00726746">
              <w:rPr>
                <w:b/>
              </w:rPr>
              <w:t>10000</w:t>
            </w:r>
          </w:p>
        </w:tc>
        <w:tc>
          <w:tcPr>
            <w:tcW w:w="3686" w:type="dxa"/>
            <w:shd w:val="clear" w:color="auto" w:fill="auto"/>
            <w:noWrap/>
            <w:vAlign w:val="center"/>
            <w:hideMark/>
          </w:tcPr>
          <w:p w14:paraId="407574D5" w14:textId="77777777" w:rsidR="00494DC6" w:rsidRPr="00726746" w:rsidRDefault="00494DC6" w:rsidP="00726746">
            <w:pPr>
              <w:spacing w:before="120" w:after="120"/>
              <w:rPr>
                <w:b/>
              </w:rPr>
            </w:pPr>
            <w:r w:rsidRPr="00726746">
              <w:rPr>
                <w:b/>
              </w:rPr>
              <w:t>Počet podniků pobírajících podporu</w:t>
            </w:r>
          </w:p>
        </w:tc>
        <w:tc>
          <w:tcPr>
            <w:tcW w:w="992" w:type="dxa"/>
            <w:shd w:val="clear" w:color="auto" w:fill="auto"/>
            <w:noWrap/>
            <w:vAlign w:val="center"/>
            <w:hideMark/>
          </w:tcPr>
          <w:p w14:paraId="750FDB5A" w14:textId="77777777" w:rsidR="00494DC6" w:rsidRPr="00494DC6" w:rsidRDefault="00494DC6" w:rsidP="00726746">
            <w:pPr>
              <w:spacing w:before="120" w:after="120"/>
              <w:jc w:val="center"/>
            </w:pPr>
            <w:r w:rsidRPr="00494DC6">
              <w:t>Podniky</w:t>
            </w:r>
          </w:p>
        </w:tc>
        <w:tc>
          <w:tcPr>
            <w:tcW w:w="709" w:type="dxa"/>
            <w:shd w:val="clear" w:color="auto" w:fill="auto"/>
            <w:noWrap/>
            <w:hideMark/>
          </w:tcPr>
          <w:p w14:paraId="7C5F12F0" w14:textId="77777777" w:rsidR="00494DC6" w:rsidRPr="00494DC6" w:rsidRDefault="00494DC6" w:rsidP="00726746">
            <w:pPr>
              <w:spacing w:before="120" w:after="120"/>
              <w:jc w:val="center"/>
            </w:pPr>
            <w:r w:rsidRPr="00494DC6">
              <w:t>1</w:t>
            </w:r>
            <w:r w:rsidR="001E6D06">
              <w:t xml:space="preserve"> </w:t>
            </w:r>
            <w:r w:rsidRPr="00494DC6">
              <w:t>400</w:t>
            </w:r>
          </w:p>
        </w:tc>
        <w:tc>
          <w:tcPr>
            <w:tcW w:w="850" w:type="dxa"/>
            <w:shd w:val="clear" w:color="auto" w:fill="auto"/>
            <w:noWrap/>
            <w:hideMark/>
          </w:tcPr>
          <w:p w14:paraId="66667C25" w14:textId="77777777" w:rsidR="00494DC6" w:rsidRPr="00494DC6" w:rsidRDefault="00494DC6" w:rsidP="00726746">
            <w:pPr>
              <w:spacing w:before="120" w:after="120"/>
              <w:jc w:val="center"/>
            </w:pPr>
            <w:r w:rsidRPr="00494DC6">
              <w:t>1</w:t>
            </w:r>
            <w:r w:rsidR="001E6D06">
              <w:t xml:space="preserve"> </w:t>
            </w:r>
            <w:r w:rsidRPr="00494DC6">
              <w:t>142</w:t>
            </w:r>
          </w:p>
        </w:tc>
        <w:tc>
          <w:tcPr>
            <w:tcW w:w="992" w:type="dxa"/>
            <w:shd w:val="clear" w:color="auto" w:fill="auto"/>
            <w:noWrap/>
            <w:hideMark/>
          </w:tcPr>
          <w:p w14:paraId="04B57422" w14:textId="77777777" w:rsidR="00494DC6" w:rsidRPr="00494DC6" w:rsidRDefault="00494DC6" w:rsidP="00726746">
            <w:pPr>
              <w:spacing w:before="120" w:after="120"/>
              <w:jc w:val="center"/>
            </w:pPr>
            <w:r w:rsidRPr="00494DC6">
              <w:t>317</w:t>
            </w:r>
          </w:p>
        </w:tc>
        <w:tc>
          <w:tcPr>
            <w:tcW w:w="993" w:type="dxa"/>
            <w:shd w:val="clear" w:color="auto" w:fill="92D050"/>
            <w:noWrap/>
            <w:hideMark/>
          </w:tcPr>
          <w:p w14:paraId="4034E3EA" w14:textId="77777777" w:rsidR="00494DC6" w:rsidRPr="00494DC6" w:rsidRDefault="00494DC6" w:rsidP="00726746">
            <w:pPr>
              <w:spacing w:before="120" w:after="120"/>
              <w:jc w:val="center"/>
            </w:pPr>
            <w:r w:rsidRPr="00494DC6">
              <w:t>81,57 %</w:t>
            </w:r>
          </w:p>
        </w:tc>
        <w:tc>
          <w:tcPr>
            <w:tcW w:w="992" w:type="dxa"/>
            <w:shd w:val="clear" w:color="auto" w:fill="92D050"/>
            <w:noWrap/>
            <w:hideMark/>
          </w:tcPr>
          <w:p w14:paraId="48185E40" w14:textId="77777777" w:rsidR="00494DC6" w:rsidRPr="00494DC6" w:rsidRDefault="00494DC6" w:rsidP="00726746">
            <w:pPr>
              <w:spacing w:before="120" w:after="120"/>
              <w:jc w:val="center"/>
            </w:pPr>
            <w:r w:rsidRPr="00494DC6">
              <w:t>22,64 %</w:t>
            </w:r>
          </w:p>
        </w:tc>
      </w:tr>
      <w:tr w:rsidR="00494DC6" w:rsidRPr="00494DC6" w14:paraId="445DF3D3" w14:textId="77777777" w:rsidTr="00726746">
        <w:trPr>
          <w:trHeight w:val="300"/>
          <w:jc w:val="center"/>
        </w:trPr>
        <w:tc>
          <w:tcPr>
            <w:tcW w:w="709" w:type="dxa"/>
            <w:shd w:val="clear" w:color="auto" w:fill="auto"/>
            <w:noWrap/>
            <w:hideMark/>
          </w:tcPr>
          <w:p w14:paraId="01E9BA81" w14:textId="77777777" w:rsidR="00494DC6" w:rsidRPr="00726746" w:rsidRDefault="00494DC6" w:rsidP="00726746">
            <w:pPr>
              <w:spacing w:before="120" w:after="120"/>
              <w:rPr>
                <w:b/>
              </w:rPr>
            </w:pPr>
            <w:r w:rsidRPr="00726746">
              <w:rPr>
                <w:b/>
              </w:rPr>
              <w:t>20000</w:t>
            </w:r>
          </w:p>
        </w:tc>
        <w:tc>
          <w:tcPr>
            <w:tcW w:w="3686" w:type="dxa"/>
            <w:shd w:val="clear" w:color="auto" w:fill="auto"/>
            <w:noWrap/>
            <w:hideMark/>
          </w:tcPr>
          <w:p w14:paraId="7EA4A31A" w14:textId="77777777" w:rsidR="00494DC6" w:rsidRPr="00726746" w:rsidRDefault="00494DC6" w:rsidP="00726746">
            <w:pPr>
              <w:spacing w:before="120" w:after="120"/>
              <w:rPr>
                <w:b/>
              </w:rPr>
            </w:pPr>
            <w:r w:rsidRPr="00726746">
              <w:rPr>
                <w:b/>
              </w:rPr>
              <w:t>Počet podniků spolupracujících s </w:t>
            </w:r>
            <w:proofErr w:type="spellStart"/>
            <w:r w:rsidRPr="00726746">
              <w:rPr>
                <w:b/>
              </w:rPr>
              <w:t>výzk</w:t>
            </w:r>
            <w:proofErr w:type="spellEnd"/>
            <w:r w:rsidRPr="00726746">
              <w:rPr>
                <w:b/>
              </w:rPr>
              <w:t>. institucemi</w:t>
            </w:r>
          </w:p>
        </w:tc>
        <w:tc>
          <w:tcPr>
            <w:tcW w:w="992" w:type="dxa"/>
            <w:shd w:val="clear" w:color="auto" w:fill="auto"/>
            <w:noWrap/>
            <w:hideMark/>
          </w:tcPr>
          <w:p w14:paraId="0D121E27" w14:textId="77777777" w:rsidR="00494DC6" w:rsidRPr="00494DC6" w:rsidRDefault="00494DC6" w:rsidP="00726746">
            <w:pPr>
              <w:spacing w:before="120" w:after="120"/>
              <w:jc w:val="center"/>
            </w:pPr>
            <w:r w:rsidRPr="00494DC6">
              <w:t>Podniky</w:t>
            </w:r>
          </w:p>
        </w:tc>
        <w:tc>
          <w:tcPr>
            <w:tcW w:w="709" w:type="dxa"/>
            <w:shd w:val="clear" w:color="auto" w:fill="auto"/>
            <w:noWrap/>
            <w:hideMark/>
          </w:tcPr>
          <w:p w14:paraId="0B1B7266" w14:textId="77777777" w:rsidR="00494DC6" w:rsidRPr="00494DC6" w:rsidRDefault="00494DC6" w:rsidP="00726746">
            <w:pPr>
              <w:spacing w:before="120" w:after="120"/>
              <w:jc w:val="center"/>
            </w:pPr>
            <w:r w:rsidRPr="00494DC6">
              <w:t>500</w:t>
            </w:r>
          </w:p>
        </w:tc>
        <w:tc>
          <w:tcPr>
            <w:tcW w:w="850" w:type="dxa"/>
            <w:shd w:val="clear" w:color="auto" w:fill="auto"/>
            <w:noWrap/>
            <w:hideMark/>
          </w:tcPr>
          <w:p w14:paraId="37005752" w14:textId="77777777" w:rsidR="00494DC6" w:rsidRPr="00494DC6" w:rsidRDefault="00494DC6" w:rsidP="00726746">
            <w:pPr>
              <w:spacing w:before="120" w:after="120"/>
              <w:jc w:val="center"/>
            </w:pPr>
            <w:r w:rsidRPr="00494DC6">
              <w:t>231</w:t>
            </w:r>
          </w:p>
        </w:tc>
        <w:tc>
          <w:tcPr>
            <w:tcW w:w="992" w:type="dxa"/>
            <w:shd w:val="clear" w:color="auto" w:fill="auto"/>
            <w:noWrap/>
            <w:hideMark/>
          </w:tcPr>
          <w:p w14:paraId="2322BB55" w14:textId="77777777" w:rsidR="00494DC6" w:rsidRPr="00494DC6" w:rsidRDefault="00494DC6" w:rsidP="00726746">
            <w:pPr>
              <w:spacing w:before="120" w:after="120"/>
              <w:jc w:val="center"/>
            </w:pPr>
            <w:r w:rsidRPr="00494DC6">
              <w:t>105</w:t>
            </w:r>
          </w:p>
        </w:tc>
        <w:tc>
          <w:tcPr>
            <w:tcW w:w="993" w:type="dxa"/>
            <w:shd w:val="clear" w:color="auto" w:fill="FFFF00"/>
            <w:noWrap/>
            <w:hideMark/>
          </w:tcPr>
          <w:p w14:paraId="06797DDB" w14:textId="77777777" w:rsidR="00494DC6" w:rsidRPr="00494DC6" w:rsidRDefault="00494DC6" w:rsidP="00726746">
            <w:pPr>
              <w:spacing w:before="120" w:after="120"/>
              <w:jc w:val="center"/>
            </w:pPr>
            <w:r w:rsidRPr="00494DC6">
              <w:t>46,20 %</w:t>
            </w:r>
          </w:p>
        </w:tc>
        <w:tc>
          <w:tcPr>
            <w:tcW w:w="992" w:type="dxa"/>
            <w:shd w:val="clear" w:color="auto" w:fill="92D050"/>
            <w:noWrap/>
            <w:hideMark/>
          </w:tcPr>
          <w:p w14:paraId="7DDDE317" w14:textId="77777777" w:rsidR="00494DC6" w:rsidRPr="00494DC6" w:rsidRDefault="00494DC6" w:rsidP="00726746">
            <w:pPr>
              <w:spacing w:before="120" w:after="120"/>
              <w:jc w:val="center"/>
            </w:pPr>
            <w:r w:rsidRPr="00494DC6">
              <w:t>21,00 %</w:t>
            </w:r>
          </w:p>
        </w:tc>
      </w:tr>
    </w:tbl>
    <w:p w14:paraId="635FB2E7" w14:textId="77777777" w:rsidR="00494DC6" w:rsidRPr="00494DC6" w:rsidRDefault="00494DC6" w:rsidP="00494DC6">
      <w:r w:rsidRPr="00494DC6">
        <w:t>* Odpovídá hodnotě indikátoru naplánované žadateli v projektové žádosti.</w:t>
      </w:r>
    </w:p>
    <w:p w14:paraId="695F2C2B" w14:textId="77777777" w:rsidR="00494DC6" w:rsidRPr="00494DC6" w:rsidRDefault="00494DC6" w:rsidP="00726746">
      <w:pPr>
        <w:jc w:val="both"/>
      </w:pPr>
      <w:r w:rsidRPr="00494DC6">
        <w:t xml:space="preserve">Východiskem pro posouzení naplnění milníků, resp. výstupových indikátorů, je </w:t>
      </w:r>
      <w:r w:rsidRPr="00A95F06">
        <w:rPr>
          <w:b/>
        </w:rPr>
        <w:t>srovnání dosažené hodnoty</w:t>
      </w:r>
      <w:r w:rsidRPr="00494DC6">
        <w:t xml:space="preserve"> (poslední sloupec tabulky výše) </w:t>
      </w:r>
      <w:r w:rsidRPr="00A95F06">
        <w:rPr>
          <w:b/>
        </w:rPr>
        <w:t>k hodnotě vyčerpané alokace z ukončených projektů</w:t>
      </w:r>
      <w:r w:rsidRPr="00494DC6">
        <w:t xml:space="preserve">. Ta činila 10,49 %. Ačkoliv v době hodnocení byl ukončen velmi nízký počet projektů, lze předpokládat, že oba milníky se podaří naplnit v plném rozsahu. </w:t>
      </w:r>
      <w:r w:rsidRPr="00A95F06">
        <w:rPr>
          <w:b/>
        </w:rPr>
        <w:t>V případě milníku Počet podniků pobírajících podporu se bude dokonce jednat o výrazné přeplnění.</w:t>
      </w:r>
    </w:p>
    <w:p w14:paraId="032E6F2D" w14:textId="77777777" w:rsidR="00494DC6" w:rsidRPr="00494DC6" w:rsidRDefault="00494DC6" w:rsidP="00726746">
      <w:pPr>
        <w:jc w:val="both"/>
      </w:pPr>
      <w:r w:rsidRPr="00494DC6">
        <w:t>K </w:t>
      </w:r>
      <w:r w:rsidRPr="00A95F06">
        <w:rPr>
          <w:b/>
        </w:rPr>
        <w:t>predikci naplnění finančního cíle</w:t>
      </w:r>
      <w:r w:rsidRPr="00494DC6">
        <w:t xml:space="preserve">, resp. finančního milníku, </w:t>
      </w:r>
      <w:r w:rsidR="00A95F06">
        <w:t>Z</w:t>
      </w:r>
      <w:r w:rsidRPr="00494DC6">
        <w:t xml:space="preserve">pracovatel provedl </w:t>
      </w:r>
      <w:r w:rsidRPr="00A95F06">
        <w:rPr>
          <w:b/>
        </w:rPr>
        <w:t>analýzu předpokládané absorpční kapacity na základě dosud vyhlášených výzev</w:t>
      </w:r>
      <w:r w:rsidRPr="00494DC6">
        <w:t xml:space="preserve"> všech tří programů. Cílem bylo zjistit předpokládaný objem alokace, který bude vyčerpán projekty, které jsou nyní ve fázi realizace, odhadnout objem čerpání z projektů, které jsou ve fázi hodnocení</w:t>
      </w:r>
      <w:r w:rsidR="001E6D06">
        <w:t>,</w:t>
      </w:r>
      <w:r w:rsidRPr="00494DC6">
        <w:t xml:space="preserve"> a ze zjištěných údajů predikovat potřebný objem výzev, které by měly být ještě vyhlášeny.</w:t>
      </w:r>
    </w:p>
    <w:p w14:paraId="276BC700" w14:textId="77777777" w:rsidR="00494DC6" w:rsidRPr="00494DC6" w:rsidRDefault="00494DC6" w:rsidP="00726746">
      <w:pPr>
        <w:jc w:val="both"/>
      </w:pPr>
      <w:r w:rsidRPr="00494DC6">
        <w:t xml:space="preserve">Ve všech </w:t>
      </w:r>
      <w:r w:rsidR="00B36A3D">
        <w:t xml:space="preserve">třech </w:t>
      </w:r>
      <w:r w:rsidRPr="00494DC6">
        <w:t>programech</w:t>
      </w:r>
      <w:r w:rsidR="00B36A3D">
        <w:t xml:space="preserve"> podpory</w:t>
      </w:r>
      <w:r w:rsidRPr="00494DC6">
        <w:t xml:space="preserve"> bylo vyhlášeno k 8. 1. 2019 celkem 6 výzev. V případě programu Potenciál byla výzva č. II zrušena (a zároveň byla navýšena alokace I. výzvy). Dále bylo vyhlášeno 6 výzev v rámci územních intervencí ITI. Z dat MS2014+ je zřejmé, že hodnocení projektů bylo ukončeno v případě programu Aplikace u výzev I. až III., a v případě Inovací a Potenciálu u výzev I. až IV. U těchto výzev bylo provedeno hodnocení:</w:t>
      </w:r>
    </w:p>
    <w:p w14:paraId="6CBE0093" w14:textId="77777777" w:rsidR="00494DC6" w:rsidRPr="00EB450C" w:rsidRDefault="001E6D06" w:rsidP="00EB450C">
      <w:pPr>
        <w:pStyle w:val="ListParagraph"/>
        <w:numPr>
          <w:ilvl w:val="0"/>
          <w:numId w:val="55"/>
        </w:numPr>
        <w:spacing w:after="120" w:line="276" w:lineRule="auto"/>
        <w:ind w:left="714" w:hanging="357"/>
        <w:contextualSpacing w:val="0"/>
        <w:jc w:val="both"/>
        <w:rPr>
          <w:rFonts w:cs="Calibri"/>
        </w:rPr>
      </w:pPr>
      <w:r>
        <w:rPr>
          <w:rFonts w:cs="Calibri"/>
        </w:rPr>
        <w:t>P</w:t>
      </w:r>
      <w:r w:rsidR="00494DC6" w:rsidRPr="00EB450C">
        <w:rPr>
          <w:rFonts w:cs="Calibri"/>
        </w:rPr>
        <w:t>oměru objemu podaných žádostí vůči vyhlášené alokaci (</w:t>
      </w:r>
      <w:r w:rsidR="00494DC6" w:rsidRPr="007A77F1">
        <w:rPr>
          <w:rFonts w:cs="Calibri"/>
          <w:b/>
        </w:rPr>
        <w:t>koeficient zájmu</w:t>
      </w:r>
      <w:r w:rsidR="00494DC6" w:rsidRPr="00EB450C">
        <w:rPr>
          <w:rFonts w:cs="Calibri"/>
        </w:rPr>
        <w:t>) – tento údaj odráží mimo jiné „zájem“ žadatelů o danou výzvu, resp. program</w:t>
      </w:r>
      <w:r>
        <w:rPr>
          <w:rFonts w:cs="Calibri"/>
        </w:rPr>
        <w:t>.</w:t>
      </w:r>
    </w:p>
    <w:p w14:paraId="5028F360" w14:textId="77777777" w:rsidR="00494DC6" w:rsidRPr="00EB450C" w:rsidRDefault="001E6D06" w:rsidP="00EB450C">
      <w:pPr>
        <w:pStyle w:val="ListParagraph"/>
        <w:numPr>
          <w:ilvl w:val="0"/>
          <w:numId w:val="55"/>
        </w:numPr>
        <w:spacing w:after="120" w:line="276" w:lineRule="auto"/>
        <w:ind w:left="714" w:hanging="357"/>
        <w:contextualSpacing w:val="0"/>
        <w:jc w:val="both"/>
        <w:rPr>
          <w:rFonts w:cs="Calibri"/>
        </w:rPr>
      </w:pPr>
      <w:r>
        <w:rPr>
          <w:rFonts w:cs="Calibri"/>
        </w:rPr>
        <w:t>P</w:t>
      </w:r>
      <w:r w:rsidR="00494DC6" w:rsidRPr="00EB450C">
        <w:rPr>
          <w:rFonts w:cs="Calibri"/>
        </w:rPr>
        <w:t>oměru objemu kladně vyhodnocených žádostí s vydaným Rozhodnutím o poskytnutí dotace (</w:t>
      </w:r>
      <w:proofErr w:type="spellStart"/>
      <w:r w:rsidR="00494DC6" w:rsidRPr="00EB450C">
        <w:rPr>
          <w:rFonts w:cs="Calibri"/>
        </w:rPr>
        <w:t>RoPD</w:t>
      </w:r>
      <w:proofErr w:type="spellEnd"/>
      <w:r w:rsidR="00494DC6" w:rsidRPr="00EB450C">
        <w:rPr>
          <w:rFonts w:cs="Calibri"/>
        </w:rPr>
        <w:t>) vůči objemu všech podaných žádostí (</w:t>
      </w:r>
      <w:r w:rsidR="00494DC6" w:rsidRPr="007A77F1">
        <w:rPr>
          <w:rFonts w:cs="Calibri"/>
          <w:b/>
        </w:rPr>
        <w:t>koeficient úspěšnosti</w:t>
      </w:r>
      <w:r w:rsidR="00494DC6" w:rsidRPr="00EB450C">
        <w:rPr>
          <w:rFonts w:cs="Calibri"/>
        </w:rPr>
        <w:t>) – zde lze odvozovat „úspěšnost“ projektů v</w:t>
      </w:r>
      <w:r>
        <w:rPr>
          <w:rFonts w:cs="Calibri"/>
        </w:rPr>
        <w:t> </w:t>
      </w:r>
      <w:r w:rsidR="00494DC6" w:rsidRPr="00EB450C">
        <w:rPr>
          <w:rFonts w:cs="Calibri"/>
        </w:rPr>
        <w:t>hodnocení</w:t>
      </w:r>
      <w:r>
        <w:rPr>
          <w:rFonts w:cs="Calibri"/>
        </w:rPr>
        <w:t>.</w:t>
      </w:r>
    </w:p>
    <w:p w14:paraId="4E0D79F9" w14:textId="77777777" w:rsidR="00494DC6" w:rsidRPr="00EB450C" w:rsidRDefault="001E6D06" w:rsidP="00EB450C">
      <w:pPr>
        <w:pStyle w:val="ListParagraph"/>
        <w:numPr>
          <w:ilvl w:val="0"/>
          <w:numId w:val="55"/>
        </w:numPr>
        <w:spacing w:after="120" w:line="276" w:lineRule="auto"/>
        <w:ind w:left="714" w:hanging="357"/>
        <w:contextualSpacing w:val="0"/>
        <w:jc w:val="both"/>
        <w:rPr>
          <w:rFonts w:cs="Calibri"/>
        </w:rPr>
      </w:pPr>
      <w:r>
        <w:rPr>
          <w:rFonts w:cs="Calibri"/>
        </w:rPr>
        <w:t>D</w:t>
      </w:r>
      <w:r w:rsidR="00494DC6" w:rsidRPr="00EB450C">
        <w:rPr>
          <w:rFonts w:cs="Calibri"/>
        </w:rPr>
        <w:t xml:space="preserve">alších dílčích ukazatelů, jako objem žádostí ukončených před vydáním </w:t>
      </w:r>
      <w:proofErr w:type="spellStart"/>
      <w:r w:rsidR="00494DC6" w:rsidRPr="00EB450C">
        <w:rPr>
          <w:rFonts w:cs="Calibri"/>
        </w:rPr>
        <w:t>RoPD</w:t>
      </w:r>
      <w:proofErr w:type="spellEnd"/>
      <w:r w:rsidR="00494DC6" w:rsidRPr="00EB450C">
        <w:rPr>
          <w:rFonts w:cs="Calibri"/>
        </w:rPr>
        <w:t xml:space="preserve"> a objem odstoupení od projektu po vydání </w:t>
      </w:r>
      <w:proofErr w:type="spellStart"/>
      <w:r w:rsidR="00494DC6" w:rsidRPr="00EB450C">
        <w:rPr>
          <w:rFonts w:cs="Calibri"/>
        </w:rPr>
        <w:t>RoPD</w:t>
      </w:r>
      <w:proofErr w:type="spellEnd"/>
      <w:r w:rsidR="00494DC6" w:rsidRPr="00EB450C">
        <w:rPr>
          <w:rFonts w:cs="Calibri"/>
        </w:rPr>
        <w:t>.</w:t>
      </w:r>
    </w:p>
    <w:p w14:paraId="760D25F6" w14:textId="77777777" w:rsidR="00494DC6" w:rsidRPr="00494DC6" w:rsidRDefault="00494DC6" w:rsidP="00726746">
      <w:pPr>
        <w:jc w:val="both"/>
      </w:pPr>
      <w:r w:rsidRPr="00494DC6">
        <w:t xml:space="preserve">Pro výpočet výše uvedené ukazatelů zpracovatel zvolil jako zdrojová data údaj o výši dotace, resp. finančního příspěvku EU. </w:t>
      </w:r>
    </w:p>
    <w:p w14:paraId="71764CC5" w14:textId="61EA5AAA" w:rsidR="007A77F1" w:rsidRDefault="007A77F1" w:rsidP="002449AE">
      <w:pPr>
        <w:pStyle w:val="Caption"/>
        <w:keepLines/>
      </w:pPr>
      <w:r>
        <w:t xml:space="preserve">Tabulka </w:t>
      </w:r>
      <w:r>
        <w:fldChar w:fldCharType="begin"/>
      </w:r>
      <w:r>
        <w:instrText xml:space="preserve"> SEQ Tabulka \* ARABIC </w:instrText>
      </w:r>
      <w:r>
        <w:fldChar w:fldCharType="separate"/>
      </w:r>
      <w:r w:rsidR="00F77CAE">
        <w:rPr>
          <w:noProof/>
        </w:rPr>
        <w:t>11</w:t>
      </w:r>
      <w:r>
        <w:fldChar w:fldCharType="end"/>
      </w:r>
      <w:r>
        <w:t xml:space="preserve"> - V</w:t>
      </w:r>
      <w:r w:rsidRPr="00993F8E">
        <w:t>ýše dotace podle stavu projektu</w:t>
      </w:r>
    </w:p>
    <w:tbl>
      <w:tblPr>
        <w:tblW w:w="5000" w:type="pct"/>
        <w:tblCellMar>
          <w:left w:w="70" w:type="dxa"/>
          <w:right w:w="70" w:type="dxa"/>
        </w:tblCellMar>
        <w:tblLook w:val="04A0" w:firstRow="1" w:lastRow="0" w:firstColumn="1" w:lastColumn="0" w:noHBand="0" w:noVBand="1"/>
      </w:tblPr>
      <w:tblGrid>
        <w:gridCol w:w="2039"/>
        <w:gridCol w:w="1122"/>
        <w:gridCol w:w="914"/>
        <w:gridCol w:w="946"/>
        <w:gridCol w:w="914"/>
        <w:gridCol w:w="933"/>
        <w:gridCol w:w="914"/>
        <w:gridCol w:w="946"/>
        <w:gridCol w:w="910"/>
      </w:tblGrid>
      <w:tr w:rsidR="007A77F1" w:rsidRPr="00494DC6" w14:paraId="4F266B12" w14:textId="77777777" w:rsidTr="00CF58DE">
        <w:trPr>
          <w:trHeight w:val="340"/>
          <w:tblHeader/>
        </w:trPr>
        <w:tc>
          <w:tcPr>
            <w:tcW w:w="1058" w:type="pct"/>
            <w:vMerge w:val="restart"/>
            <w:tcBorders>
              <w:top w:val="single" w:sz="8" w:space="0" w:color="86BC25"/>
              <w:left w:val="nil"/>
              <w:right w:val="nil"/>
            </w:tcBorders>
            <w:shd w:val="clear" w:color="000000" w:fill="86BC25"/>
            <w:vAlign w:val="center"/>
            <w:hideMark/>
          </w:tcPr>
          <w:p w14:paraId="626C0BE3" w14:textId="77777777" w:rsidR="007A77F1" w:rsidRPr="007A77F1" w:rsidRDefault="007A77F1" w:rsidP="002449AE">
            <w:pPr>
              <w:keepNext/>
              <w:keepLines/>
              <w:spacing w:after="0"/>
              <w:rPr>
                <w:b/>
                <w:color w:val="FFFFFF" w:themeColor="background1"/>
              </w:rPr>
            </w:pPr>
            <w:r w:rsidRPr="007A77F1">
              <w:rPr>
                <w:b/>
                <w:color w:val="FFFFFF" w:themeColor="background1"/>
              </w:rPr>
              <w:t>Stav projektu</w:t>
            </w:r>
          </w:p>
        </w:tc>
        <w:tc>
          <w:tcPr>
            <w:tcW w:w="1056" w:type="pct"/>
            <w:gridSpan w:val="2"/>
            <w:tcBorders>
              <w:top w:val="single" w:sz="8" w:space="0" w:color="86BC25"/>
              <w:left w:val="nil"/>
              <w:bottom w:val="single" w:sz="8" w:space="0" w:color="86BC25"/>
              <w:right w:val="nil"/>
            </w:tcBorders>
            <w:shd w:val="clear" w:color="000000" w:fill="86BC25"/>
            <w:vAlign w:val="center"/>
            <w:hideMark/>
          </w:tcPr>
          <w:p w14:paraId="6610FA13" w14:textId="77777777" w:rsidR="007A77F1" w:rsidRPr="007A77F1" w:rsidRDefault="007A77F1" w:rsidP="002449AE">
            <w:pPr>
              <w:keepNext/>
              <w:keepLines/>
              <w:spacing w:after="0"/>
              <w:jc w:val="center"/>
              <w:rPr>
                <w:b/>
                <w:color w:val="FFFFFF" w:themeColor="background1"/>
              </w:rPr>
            </w:pPr>
            <w:r w:rsidRPr="007A77F1">
              <w:rPr>
                <w:b/>
                <w:color w:val="FFFFFF" w:themeColor="background1"/>
              </w:rPr>
              <w:t>výzva I</w:t>
            </w:r>
          </w:p>
        </w:tc>
        <w:tc>
          <w:tcPr>
            <w:tcW w:w="965" w:type="pct"/>
            <w:gridSpan w:val="2"/>
            <w:tcBorders>
              <w:top w:val="single" w:sz="8" w:space="0" w:color="86BC25"/>
              <w:left w:val="nil"/>
              <w:bottom w:val="single" w:sz="8" w:space="0" w:color="86BC25"/>
              <w:right w:val="nil"/>
            </w:tcBorders>
            <w:shd w:val="clear" w:color="000000" w:fill="86BC25"/>
            <w:vAlign w:val="center"/>
            <w:hideMark/>
          </w:tcPr>
          <w:p w14:paraId="34569959" w14:textId="77777777" w:rsidR="007A77F1" w:rsidRPr="007A77F1" w:rsidRDefault="007A77F1" w:rsidP="002449AE">
            <w:pPr>
              <w:keepNext/>
              <w:keepLines/>
              <w:spacing w:after="0"/>
              <w:jc w:val="center"/>
              <w:rPr>
                <w:b/>
                <w:color w:val="FFFFFF" w:themeColor="background1"/>
              </w:rPr>
            </w:pPr>
            <w:r w:rsidRPr="007A77F1">
              <w:rPr>
                <w:b/>
                <w:color w:val="FFFFFF" w:themeColor="background1"/>
              </w:rPr>
              <w:t>výzva II</w:t>
            </w:r>
          </w:p>
        </w:tc>
        <w:tc>
          <w:tcPr>
            <w:tcW w:w="958" w:type="pct"/>
            <w:gridSpan w:val="2"/>
            <w:tcBorders>
              <w:top w:val="single" w:sz="8" w:space="0" w:color="86BC25"/>
              <w:left w:val="nil"/>
              <w:bottom w:val="single" w:sz="8" w:space="0" w:color="86BC25"/>
              <w:right w:val="nil"/>
            </w:tcBorders>
            <w:shd w:val="clear" w:color="000000" w:fill="86BC25"/>
            <w:noWrap/>
            <w:vAlign w:val="center"/>
            <w:hideMark/>
          </w:tcPr>
          <w:p w14:paraId="7945BB21" w14:textId="77777777" w:rsidR="007A77F1" w:rsidRPr="007A77F1" w:rsidRDefault="007A77F1" w:rsidP="002449AE">
            <w:pPr>
              <w:keepNext/>
              <w:keepLines/>
              <w:spacing w:after="0"/>
              <w:jc w:val="center"/>
              <w:rPr>
                <w:b/>
                <w:color w:val="FFFFFF" w:themeColor="background1"/>
              </w:rPr>
            </w:pPr>
            <w:r w:rsidRPr="007A77F1">
              <w:rPr>
                <w:b/>
                <w:color w:val="FFFFFF" w:themeColor="background1"/>
              </w:rPr>
              <w:t>výzva III</w:t>
            </w:r>
          </w:p>
        </w:tc>
        <w:tc>
          <w:tcPr>
            <w:tcW w:w="963" w:type="pct"/>
            <w:gridSpan w:val="2"/>
            <w:tcBorders>
              <w:top w:val="single" w:sz="8" w:space="0" w:color="86BC25"/>
              <w:left w:val="nil"/>
              <w:bottom w:val="single" w:sz="8" w:space="0" w:color="86BC25"/>
              <w:right w:val="nil"/>
            </w:tcBorders>
            <w:shd w:val="clear" w:color="000000" w:fill="86BC25"/>
            <w:noWrap/>
            <w:vAlign w:val="center"/>
            <w:hideMark/>
          </w:tcPr>
          <w:p w14:paraId="0328CBFD" w14:textId="77777777" w:rsidR="007A77F1" w:rsidRPr="007A77F1" w:rsidRDefault="007A77F1" w:rsidP="002449AE">
            <w:pPr>
              <w:keepNext/>
              <w:keepLines/>
              <w:spacing w:after="0"/>
              <w:jc w:val="center"/>
              <w:rPr>
                <w:b/>
                <w:color w:val="FFFFFF" w:themeColor="background1"/>
              </w:rPr>
            </w:pPr>
            <w:r w:rsidRPr="007A77F1">
              <w:rPr>
                <w:b/>
                <w:color w:val="FFFFFF" w:themeColor="background1"/>
              </w:rPr>
              <w:t>výzva IV</w:t>
            </w:r>
          </w:p>
        </w:tc>
      </w:tr>
      <w:tr w:rsidR="007A77F1" w:rsidRPr="00494DC6" w14:paraId="1790E1A8" w14:textId="77777777" w:rsidTr="00CF58DE">
        <w:trPr>
          <w:trHeight w:val="340"/>
          <w:tblHeader/>
        </w:trPr>
        <w:tc>
          <w:tcPr>
            <w:tcW w:w="1058" w:type="pct"/>
            <w:vMerge/>
            <w:tcBorders>
              <w:left w:val="nil"/>
              <w:bottom w:val="nil"/>
              <w:right w:val="nil"/>
            </w:tcBorders>
            <w:shd w:val="clear" w:color="000000" w:fill="E7F5CF"/>
            <w:vAlign w:val="center"/>
            <w:hideMark/>
          </w:tcPr>
          <w:p w14:paraId="0FE67A4B" w14:textId="77777777" w:rsidR="007A77F1" w:rsidRPr="007A77F1" w:rsidRDefault="007A77F1" w:rsidP="002449AE">
            <w:pPr>
              <w:keepNext/>
              <w:keepLines/>
              <w:spacing w:after="0"/>
              <w:rPr>
                <w:b/>
                <w:color w:val="FFFFFF" w:themeColor="background1"/>
              </w:rPr>
            </w:pPr>
          </w:p>
        </w:tc>
        <w:tc>
          <w:tcPr>
            <w:tcW w:w="582" w:type="pct"/>
            <w:tcBorders>
              <w:top w:val="nil"/>
              <w:left w:val="nil"/>
              <w:bottom w:val="nil"/>
              <w:right w:val="nil"/>
            </w:tcBorders>
            <w:shd w:val="clear" w:color="auto" w:fill="86BC25" w:themeFill="accent1"/>
            <w:vAlign w:val="center"/>
            <w:hideMark/>
          </w:tcPr>
          <w:p w14:paraId="17EE572E"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mil. Kč</w:t>
            </w:r>
          </w:p>
        </w:tc>
        <w:tc>
          <w:tcPr>
            <w:tcW w:w="474" w:type="pct"/>
            <w:tcBorders>
              <w:top w:val="nil"/>
              <w:left w:val="nil"/>
              <w:bottom w:val="nil"/>
              <w:right w:val="nil"/>
            </w:tcBorders>
            <w:shd w:val="clear" w:color="auto" w:fill="86BC25" w:themeFill="accent1"/>
            <w:vAlign w:val="center"/>
            <w:hideMark/>
          </w:tcPr>
          <w:p w14:paraId="2D934193"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 </w:t>
            </w:r>
          </w:p>
        </w:tc>
        <w:tc>
          <w:tcPr>
            <w:tcW w:w="491" w:type="pct"/>
            <w:tcBorders>
              <w:top w:val="nil"/>
              <w:left w:val="nil"/>
              <w:bottom w:val="nil"/>
              <w:right w:val="nil"/>
            </w:tcBorders>
            <w:shd w:val="clear" w:color="auto" w:fill="86BC25" w:themeFill="accent1"/>
            <w:vAlign w:val="center"/>
            <w:hideMark/>
          </w:tcPr>
          <w:p w14:paraId="05477148"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mil. Kč</w:t>
            </w:r>
          </w:p>
        </w:tc>
        <w:tc>
          <w:tcPr>
            <w:tcW w:w="474" w:type="pct"/>
            <w:tcBorders>
              <w:top w:val="nil"/>
              <w:left w:val="nil"/>
              <w:bottom w:val="nil"/>
              <w:right w:val="nil"/>
            </w:tcBorders>
            <w:shd w:val="clear" w:color="auto" w:fill="86BC25" w:themeFill="accent1"/>
            <w:vAlign w:val="center"/>
            <w:hideMark/>
          </w:tcPr>
          <w:p w14:paraId="20D19892"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 </w:t>
            </w:r>
          </w:p>
        </w:tc>
        <w:tc>
          <w:tcPr>
            <w:tcW w:w="484" w:type="pct"/>
            <w:tcBorders>
              <w:top w:val="nil"/>
              <w:left w:val="nil"/>
              <w:bottom w:val="nil"/>
              <w:right w:val="nil"/>
            </w:tcBorders>
            <w:shd w:val="clear" w:color="auto" w:fill="86BC25" w:themeFill="accent1"/>
            <w:noWrap/>
            <w:vAlign w:val="center"/>
            <w:hideMark/>
          </w:tcPr>
          <w:p w14:paraId="23D6E279"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mil. Kč</w:t>
            </w:r>
          </w:p>
        </w:tc>
        <w:tc>
          <w:tcPr>
            <w:tcW w:w="474" w:type="pct"/>
            <w:tcBorders>
              <w:top w:val="nil"/>
              <w:left w:val="nil"/>
              <w:bottom w:val="nil"/>
              <w:right w:val="nil"/>
            </w:tcBorders>
            <w:shd w:val="clear" w:color="auto" w:fill="86BC25" w:themeFill="accent1"/>
            <w:noWrap/>
            <w:vAlign w:val="center"/>
            <w:hideMark/>
          </w:tcPr>
          <w:p w14:paraId="05BAEFBD"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 </w:t>
            </w:r>
          </w:p>
        </w:tc>
        <w:tc>
          <w:tcPr>
            <w:tcW w:w="491" w:type="pct"/>
            <w:tcBorders>
              <w:top w:val="nil"/>
              <w:left w:val="nil"/>
              <w:bottom w:val="nil"/>
              <w:right w:val="nil"/>
            </w:tcBorders>
            <w:shd w:val="clear" w:color="auto" w:fill="86BC25" w:themeFill="accent1"/>
            <w:noWrap/>
            <w:vAlign w:val="center"/>
            <w:hideMark/>
          </w:tcPr>
          <w:p w14:paraId="6F8BC67A"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mil. Kč</w:t>
            </w:r>
          </w:p>
        </w:tc>
        <w:tc>
          <w:tcPr>
            <w:tcW w:w="472" w:type="pct"/>
            <w:tcBorders>
              <w:top w:val="nil"/>
              <w:left w:val="nil"/>
              <w:bottom w:val="nil"/>
              <w:right w:val="nil"/>
            </w:tcBorders>
            <w:shd w:val="clear" w:color="auto" w:fill="86BC25" w:themeFill="accent1"/>
            <w:noWrap/>
            <w:vAlign w:val="center"/>
            <w:hideMark/>
          </w:tcPr>
          <w:p w14:paraId="604A2596" w14:textId="77777777" w:rsidR="007A77F1" w:rsidRPr="007A77F1" w:rsidRDefault="007A77F1" w:rsidP="002449AE">
            <w:pPr>
              <w:keepNext/>
              <w:keepLines/>
              <w:spacing w:after="0"/>
              <w:jc w:val="right"/>
              <w:rPr>
                <w:b/>
                <w:color w:val="FFFFFF" w:themeColor="background1"/>
              </w:rPr>
            </w:pPr>
            <w:r w:rsidRPr="007A77F1">
              <w:rPr>
                <w:b/>
                <w:color w:val="FFFFFF" w:themeColor="background1"/>
              </w:rPr>
              <w:t>% </w:t>
            </w:r>
          </w:p>
        </w:tc>
      </w:tr>
      <w:tr w:rsidR="007A77F1" w:rsidRPr="007A77F1" w14:paraId="37C6D655" w14:textId="77777777" w:rsidTr="007A77F1">
        <w:trPr>
          <w:trHeight w:val="340"/>
        </w:trPr>
        <w:tc>
          <w:tcPr>
            <w:tcW w:w="1058" w:type="pct"/>
            <w:tcBorders>
              <w:top w:val="nil"/>
              <w:left w:val="nil"/>
              <w:bottom w:val="nil"/>
              <w:right w:val="nil"/>
            </w:tcBorders>
            <w:shd w:val="clear" w:color="000000" w:fill="E7F5CF"/>
            <w:vAlign w:val="center"/>
          </w:tcPr>
          <w:p w14:paraId="2C2DAEAB" w14:textId="77777777" w:rsidR="007A77F1" w:rsidRPr="007A77F1" w:rsidRDefault="007A77F1" w:rsidP="007A77F1">
            <w:pPr>
              <w:spacing w:after="0"/>
              <w:rPr>
                <w:b/>
              </w:rPr>
            </w:pPr>
            <w:r w:rsidRPr="007A77F1">
              <w:rPr>
                <w:b/>
              </w:rPr>
              <w:t>Aplikace</w:t>
            </w:r>
          </w:p>
        </w:tc>
        <w:tc>
          <w:tcPr>
            <w:tcW w:w="582" w:type="pct"/>
            <w:tcBorders>
              <w:top w:val="nil"/>
              <w:left w:val="nil"/>
              <w:bottom w:val="nil"/>
              <w:right w:val="nil"/>
            </w:tcBorders>
            <w:shd w:val="clear" w:color="000000" w:fill="E7F5CF"/>
            <w:vAlign w:val="center"/>
          </w:tcPr>
          <w:p w14:paraId="6F929848" w14:textId="77777777" w:rsidR="007A77F1" w:rsidRPr="007A77F1" w:rsidRDefault="007A77F1" w:rsidP="007A77F1">
            <w:pPr>
              <w:spacing w:after="0"/>
              <w:jc w:val="right"/>
              <w:rPr>
                <w:b/>
              </w:rPr>
            </w:pPr>
          </w:p>
        </w:tc>
        <w:tc>
          <w:tcPr>
            <w:tcW w:w="474" w:type="pct"/>
            <w:tcBorders>
              <w:top w:val="nil"/>
              <w:left w:val="nil"/>
              <w:bottom w:val="nil"/>
              <w:right w:val="nil"/>
            </w:tcBorders>
            <w:shd w:val="clear" w:color="000000" w:fill="E7F5CF"/>
            <w:vAlign w:val="center"/>
          </w:tcPr>
          <w:p w14:paraId="65E8EAE7" w14:textId="77777777" w:rsidR="007A77F1" w:rsidRPr="007A77F1" w:rsidRDefault="007A77F1" w:rsidP="007A77F1">
            <w:pPr>
              <w:spacing w:after="0"/>
              <w:jc w:val="right"/>
              <w:rPr>
                <w:b/>
              </w:rPr>
            </w:pPr>
          </w:p>
        </w:tc>
        <w:tc>
          <w:tcPr>
            <w:tcW w:w="491" w:type="pct"/>
            <w:tcBorders>
              <w:top w:val="nil"/>
              <w:left w:val="nil"/>
              <w:bottom w:val="nil"/>
              <w:right w:val="nil"/>
            </w:tcBorders>
            <w:shd w:val="clear" w:color="000000" w:fill="E7F5CF"/>
            <w:vAlign w:val="center"/>
          </w:tcPr>
          <w:p w14:paraId="33889DB9" w14:textId="77777777" w:rsidR="007A77F1" w:rsidRPr="007A77F1" w:rsidRDefault="007A77F1" w:rsidP="007A77F1">
            <w:pPr>
              <w:spacing w:after="0"/>
              <w:jc w:val="right"/>
              <w:rPr>
                <w:b/>
              </w:rPr>
            </w:pPr>
          </w:p>
        </w:tc>
        <w:tc>
          <w:tcPr>
            <w:tcW w:w="474" w:type="pct"/>
            <w:tcBorders>
              <w:top w:val="nil"/>
              <w:left w:val="nil"/>
              <w:bottom w:val="nil"/>
              <w:right w:val="nil"/>
            </w:tcBorders>
            <w:shd w:val="clear" w:color="000000" w:fill="E7F5CF"/>
            <w:vAlign w:val="center"/>
          </w:tcPr>
          <w:p w14:paraId="1B179B13" w14:textId="77777777" w:rsidR="007A77F1" w:rsidRPr="007A77F1" w:rsidRDefault="007A77F1" w:rsidP="007A77F1">
            <w:pPr>
              <w:spacing w:after="0"/>
              <w:jc w:val="right"/>
              <w:rPr>
                <w:b/>
              </w:rPr>
            </w:pPr>
          </w:p>
        </w:tc>
        <w:tc>
          <w:tcPr>
            <w:tcW w:w="484" w:type="pct"/>
            <w:tcBorders>
              <w:top w:val="nil"/>
              <w:left w:val="nil"/>
              <w:bottom w:val="nil"/>
              <w:right w:val="nil"/>
            </w:tcBorders>
            <w:shd w:val="clear" w:color="000000" w:fill="E7F5CF"/>
            <w:noWrap/>
            <w:vAlign w:val="center"/>
          </w:tcPr>
          <w:p w14:paraId="73A4EBB6" w14:textId="77777777" w:rsidR="007A77F1" w:rsidRPr="007A77F1" w:rsidRDefault="007A77F1" w:rsidP="007A77F1">
            <w:pPr>
              <w:spacing w:after="0"/>
              <w:jc w:val="right"/>
              <w:rPr>
                <w:b/>
              </w:rPr>
            </w:pPr>
          </w:p>
        </w:tc>
        <w:tc>
          <w:tcPr>
            <w:tcW w:w="474" w:type="pct"/>
            <w:tcBorders>
              <w:top w:val="nil"/>
              <w:left w:val="nil"/>
              <w:bottom w:val="nil"/>
              <w:right w:val="nil"/>
            </w:tcBorders>
            <w:shd w:val="clear" w:color="000000" w:fill="E7F5CF"/>
            <w:noWrap/>
            <w:vAlign w:val="center"/>
          </w:tcPr>
          <w:p w14:paraId="18F38DB8" w14:textId="77777777" w:rsidR="007A77F1" w:rsidRPr="007A77F1" w:rsidRDefault="007A77F1" w:rsidP="007A77F1">
            <w:pPr>
              <w:spacing w:after="0"/>
              <w:jc w:val="right"/>
              <w:rPr>
                <w:b/>
              </w:rPr>
            </w:pPr>
          </w:p>
        </w:tc>
        <w:tc>
          <w:tcPr>
            <w:tcW w:w="491" w:type="pct"/>
            <w:tcBorders>
              <w:top w:val="nil"/>
              <w:left w:val="nil"/>
              <w:bottom w:val="nil"/>
              <w:right w:val="nil"/>
            </w:tcBorders>
            <w:shd w:val="clear" w:color="000000" w:fill="E7F5CF"/>
            <w:noWrap/>
            <w:vAlign w:val="center"/>
          </w:tcPr>
          <w:p w14:paraId="52909533" w14:textId="77777777" w:rsidR="007A77F1" w:rsidRPr="007A77F1" w:rsidRDefault="007A77F1" w:rsidP="007A77F1">
            <w:pPr>
              <w:spacing w:after="0"/>
              <w:jc w:val="right"/>
              <w:rPr>
                <w:b/>
              </w:rPr>
            </w:pPr>
          </w:p>
        </w:tc>
        <w:tc>
          <w:tcPr>
            <w:tcW w:w="472" w:type="pct"/>
            <w:tcBorders>
              <w:top w:val="nil"/>
              <w:left w:val="nil"/>
              <w:bottom w:val="nil"/>
              <w:right w:val="nil"/>
            </w:tcBorders>
            <w:shd w:val="clear" w:color="000000" w:fill="E7F5CF"/>
            <w:noWrap/>
            <w:vAlign w:val="center"/>
          </w:tcPr>
          <w:p w14:paraId="0FB898B3" w14:textId="77777777" w:rsidR="007A77F1" w:rsidRPr="007A77F1" w:rsidRDefault="007A77F1" w:rsidP="007A77F1">
            <w:pPr>
              <w:spacing w:after="0"/>
              <w:jc w:val="right"/>
              <w:rPr>
                <w:b/>
              </w:rPr>
            </w:pPr>
          </w:p>
        </w:tc>
      </w:tr>
      <w:tr w:rsidR="00494DC6" w:rsidRPr="00494DC6" w14:paraId="5F88D0E1"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62194368" w14:textId="77777777" w:rsidR="00494DC6" w:rsidRPr="00494DC6" w:rsidRDefault="00494DC6" w:rsidP="007A77F1">
            <w:pPr>
              <w:spacing w:after="0"/>
            </w:pPr>
            <w:r w:rsidRPr="00494DC6">
              <w:t>Alokace</w:t>
            </w:r>
          </w:p>
        </w:tc>
        <w:tc>
          <w:tcPr>
            <w:tcW w:w="582" w:type="pct"/>
            <w:tcBorders>
              <w:top w:val="single" w:sz="8" w:space="0" w:color="86BC25"/>
              <w:left w:val="nil"/>
              <w:bottom w:val="single" w:sz="8" w:space="0" w:color="86BC25"/>
              <w:right w:val="nil"/>
            </w:tcBorders>
            <w:shd w:val="clear" w:color="auto" w:fill="auto"/>
            <w:vAlign w:val="center"/>
            <w:hideMark/>
          </w:tcPr>
          <w:p w14:paraId="7E3BE663" w14:textId="77777777" w:rsidR="00494DC6" w:rsidRPr="00494DC6" w:rsidRDefault="00494DC6" w:rsidP="007A77F1">
            <w:pPr>
              <w:spacing w:after="0"/>
              <w:jc w:val="right"/>
            </w:pPr>
            <w:r w:rsidRPr="00494DC6">
              <w:t xml:space="preserve">      4 000    </w:t>
            </w:r>
          </w:p>
        </w:tc>
        <w:tc>
          <w:tcPr>
            <w:tcW w:w="474" w:type="pct"/>
            <w:tcBorders>
              <w:top w:val="single" w:sz="8" w:space="0" w:color="86BC25"/>
              <w:left w:val="nil"/>
              <w:bottom w:val="single" w:sz="8" w:space="0" w:color="86BC25"/>
              <w:right w:val="nil"/>
            </w:tcBorders>
            <w:shd w:val="clear" w:color="auto" w:fill="auto"/>
            <w:vAlign w:val="center"/>
            <w:hideMark/>
          </w:tcPr>
          <w:p w14:paraId="5B025C99" w14:textId="77777777" w:rsidR="00494DC6" w:rsidRPr="00494DC6" w:rsidRDefault="00494DC6" w:rsidP="007A77F1">
            <w:pPr>
              <w:spacing w:after="0"/>
              <w:jc w:val="right"/>
            </w:pPr>
            <w:r w:rsidRPr="00494DC6">
              <w:t> </w:t>
            </w:r>
          </w:p>
        </w:tc>
        <w:tc>
          <w:tcPr>
            <w:tcW w:w="491" w:type="pct"/>
            <w:tcBorders>
              <w:top w:val="single" w:sz="8" w:space="0" w:color="86BC25"/>
              <w:left w:val="nil"/>
              <w:bottom w:val="single" w:sz="8" w:space="0" w:color="86BC25"/>
              <w:right w:val="nil"/>
            </w:tcBorders>
            <w:shd w:val="clear" w:color="auto" w:fill="auto"/>
            <w:vAlign w:val="center"/>
            <w:hideMark/>
          </w:tcPr>
          <w:p w14:paraId="04A74482" w14:textId="77777777" w:rsidR="00494DC6" w:rsidRPr="00494DC6" w:rsidRDefault="00494DC6" w:rsidP="007A77F1">
            <w:pPr>
              <w:spacing w:after="0"/>
              <w:jc w:val="right"/>
            </w:pPr>
            <w:r w:rsidRPr="00494DC6">
              <w:t xml:space="preserve">        40    </w:t>
            </w:r>
          </w:p>
        </w:tc>
        <w:tc>
          <w:tcPr>
            <w:tcW w:w="474" w:type="pct"/>
            <w:tcBorders>
              <w:top w:val="single" w:sz="8" w:space="0" w:color="86BC25"/>
              <w:left w:val="nil"/>
              <w:bottom w:val="single" w:sz="8" w:space="0" w:color="86BC25"/>
              <w:right w:val="nil"/>
            </w:tcBorders>
            <w:shd w:val="clear" w:color="auto" w:fill="auto"/>
            <w:vAlign w:val="center"/>
            <w:hideMark/>
          </w:tcPr>
          <w:p w14:paraId="1FFBEA6C" w14:textId="77777777" w:rsidR="00494DC6" w:rsidRPr="00494DC6" w:rsidRDefault="00494DC6" w:rsidP="007A77F1">
            <w:pPr>
              <w:spacing w:after="0"/>
              <w:jc w:val="right"/>
            </w:pPr>
            <w:r w:rsidRPr="00494DC6">
              <w:t> </w:t>
            </w:r>
          </w:p>
        </w:tc>
        <w:tc>
          <w:tcPr>
            <w:tcW w:w="484" w:type="pct"/>
            <w:tcBorders>
              <w:top w:val="single" w:sz="8" w:space="0" w:color="86BC25"/>
              <w:left w:val="nil"/>
              <w:bottom w:val="single" w:sz="8" w:space="0" w:color="86BC25"/>
              <w:right w:val="nil"/>
            </w:tcBorders>
            <w:shd w:val="clear" w:color="auto" w:fill="auto"/>
            <w:vAlign w:val="center"/>
            <w:hideMark/>
          </w:tcPr>
          <w:p w14:paraId="1E5CF7BF" w14:textId="77777777" w:rsidR="00494DC6" w:rsidRPr="00494DC6" w:rsidRDefault="00494DC6" w:rsidP="007A77F1">
            <w:pPr>
              <w:spacing w:after="0"/>
              <w:jc w:val="right"/>
            </w:pPr>
            <w:r w:rsidRPr="00494DC6">
              <w:t xml:space="preserve">   4 500    </w:t>
            </w:r>
          </w:p>
        </w:tc>
        <w:tc>
          <w:tcPr>
            <w:tcW w:w="474" w:type="pct"/>
            <w:tcBorders>
              <w:top w:val="single" w:sz="8" w:space="0" w:color="86BC25"/>
              <w:left w:val="nil"/>
              <w:bottom w:val="single" w:sz="8" w:space="0" w:color="86BC25"/>
              <w:right w:val="nil"/>
            </w:tcBorders>
            <w:shd w:val="clear" w:color="auto" w:fill="auto"/>
            <w:noWrap/>
            <w:vAlign w:val="center"/>
            <w:hideMark/>
          </w:tcPr>
          <w:p w14:paraId="6F990AF0" w14:textId="77777777" w:rsidR="00494DC6" w:rsidRPr="00494DC6" w:rsidRDefault="00494DC6" w:rsidP="007A77F1">
            <w:pPr>
              <w:spacing w:after="0"/>
              <w:jc w:val="right"/>
            </w:pPr>
            <w:r w:rsidRPr="00494DC6">
              <w:t> </w:t>
            </w:r>
          </w:p>
        </w:tc>
        <w:tc>
          <w:tcPr>
            <w:tcW w:w="491" w:type="pct"/>
            <w:tcBorders>
              <w:top w:val="single" w:sz="8" w:space="0" w:color="86BC25"/>
              <w:left w:val="nil"/>
              <w:bottom w:val="single" w:sz="8" w:space="0" w:color="86BC25"/>
              <w:right w:val="nil"/>
            </w:tcBorders>
            <w:shd w:val="clear" w:color="auto" w:fill="auto"/>
            <w:vAlign w:val="center"/>
            <w:hideMark/>
          </w:tcPr>
          <w:p w14:paraId="5D458E00" w14:textId="77777777" w:rsidR="00494DC6" w:rsidRPr="00494DC6" w:rsidRDefault="00494DC6" w:rsidP="007A77F1">
            <w:pPr>
              <w:spacing w:after="0"/>
              <w:jc w:val="right"/>
            </w:pPr>
            <w:r w:rsidRPr="00494DC6">
              <w:t xml:space="preserve">   1 600    </w:t>
            </w:r>
          </w:p>
        </w:tc>
        <w:tc>
          <w:tcPr>
            <w:tcW w:w="472" w:type="pct"/>
            <w:tcBorders>
              <w:top w:val="single" w:sz="8" w:space="0" w:color="86BC25"/>
              <w:left w:val="nil"/>
              <w:bottom w:val="single" w:sz="8" w:space="0" w:color="86BC25"/>
              <w:right w:val="nil"/>
            </w:tcBorders>
            <w:shd w:val="clear" w:color="auto" w:fill="auto"/>
            <w:noWrap/>
            <w:vAlign w:val="center"/>
            <w:hideMark/>
          </w:tcPr>
          <w:p w14:paraId="506576BB" w14:textId="77777777" w:rsidR="00494DC6" w:rsidRPr="00494DC6" w:rsidRDefault="00494DC6" w:rsidP="007A77F1">
            <w:pPr>
              <w:spacing w:after="0"/>
              <w:jc w:val="right"/>
            </w:pPr>
            <w:r w:rsidRPr="00494DC6">
              <w:t> </w:t>
            </w:r>
          </w:p>
        </w:tc>
      </w:tr>
      <w:tr w:rsidR="00494DC6" w:rsidRPr="00494DC6" w14:paraId="0E7401E6"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1EC225A0" w14:textId="77777777" w:rsidR="00494DC6" w:rsidRPr="00494DC6" w:rsidRDefault="00494DC6" w:rsidP="007A77F1">
            <w:pPr>
              <w:spacing w:after="0"/>
            </w:pPr>
            <w:r w:rsidRPr="00494DC6">
              <w:t>Podáno</w:t>
            </w:r>
          </w:p>
        </w:tc>
        <w:tc>
          <w:tcPr>
            <w:tcW w:w="582" w:type="pct"/>
            <w:tcBorders>
              <w:top w:val="nil"/>
              <w:left w:val="nil"/>
              <w:bottom w:val="single" w:sz="8" w:space="0" w:color="86BC25"/>
              <w:right w:val="nil"/>
            </w:tcBorders>
            <w:shd w:val="clear" w:color="auto" w:fill="auto"/>
            <w:vAlign w:val="center"/>
            <w:hideMark/>
          </w:tcPr>
          <w:p w14:paraId="192A3575" w14:textId="77777777" w:rsidR="00494DC6" w:rsidRPr="00494DC6" w:rsidRDefault="00494DC6" w:rsidP="007A77F1">
            <w:pPr>
              <w:spacing w:after="0"/>
              <w:jc w:val="right"/>
            </w:pPr>
            <w:r w:rsidRPr="00494DC6">
              <w:t xml:space="preserve">      9 581    </w:t>
            </w:r>
          </w:p>
        </w:tc>
        <w:tc>
          <w:tcPr>
            <w:tcW w:w="474" w:type="pct"/>
            <w:tcBorders>
              <w:top w:val="nil"/>
              <w:left w:val="nil"/>
              <w:bottom w:val="single" w:sz="8" w:space="0" w:color="86BC25"/>
              <w:right w:val="nil"/>
            </w:tcBorders>
            <w:shd w:val="clear" w:color="auto" w:fill="auto"/>
            <w:vAlign w:val="center"/>
            <w:hideMark/>
          </w:tcPr>
          <w:p w14:paraId="0351842D"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69486E70" w14:textId="77777777" w:rsidR="00494DC6" w:rsidRPr="00494DC6" w:rsidRDefault="00494DC6" w:rsidP="007A77F1">
            <w:pPr>
              <w:spacing w:after="0"/>
              <w:jc w:val="right"/>
            </w:pPr>
            <w:r w:rsidRPr="00494DC6">
              <w:t xml:space="preserve">        21    </w:t>
            </w:r>
          </w:p>
        </w:tc>
        <w:tc>
          <w:tcPr>
            <w:tcW w:w="474" w:type="pct"/>
            <w:tcBorders>
              <w:top w:val="nil"/>
              <w:left w:val="nil"/>
              <w:bottom w:val="single" w:sz="8" w:space="0" w:color="86BC25"/>
              <w:right w:val="nil"/>
            </w:tcBorders>
            <w:shd w:val="clear" w:color="auto" w:fill="auto"/>
            <w:vAlign w:val="center"/>
            <w:hideMark/>
          </w:tcPr>
          <w:p w14:paraId="1AC1B275"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13E7EEF9" w14:textId="77777777" w:rsidR="00494DC6" w:rsidRPr="00494DC6" w:rsidRDefault="00494DC6" w:rsidP="007A77F1">
            <w:pPr>
              <w:spacing w:after="0"/>
              <w:jc w:val="right"/>
            </w:pPr>
            <w:r w:rsidRPr="00494DC6">
              <w:t xml:space="preserve">   3 700    </w:t>
            </w:r>
          </w:p>
        </w:tc>
        <w:tc>
          <w:tcPr>
            <w:tcW w:w="474" w:type="pct"/>
            <w:tcBorders>
              <w:top w:val="nil"/>
              <w:left w:val="nil"/>
              <w:bottom w:val="single" w:sz="8" w:space="0" w:color="86BC25"/>
              <w:right w:val="nil"/>
            </w:tcBorders>
            <w:shd w:val="clear" w:color="auto" w:fill="auto"/>
            <w:noWrap/>
            <w:vAlign w:val="center"/>
            <w:hideMark/>
          </w:tcPr>
          <w:p w14:paraId="43C79056"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59F910D4" w14:textId="77777777" w:rsidR="00494DC6" w:rsidRPr="00494DC6" w:rsidRDefault="00494DC6" w:rsidP="007A77F1">
            <w:pPr>
              <w:spacing w:after="0"/>
              <w:jc w:val="right"/>
            </w:pPr>
            <w:r w:rsidRPr="00494DC6">
              <w:t xml:space="preserve">   2 591    </w:t>
            </w:r>
          </w:p>
        </w:tc>
        <w:tc>
          <w:tcPr>
            <w:tcW w:w="472" w:type="pct"/>
            <w:tcBorders>
              <w:top w:val="nil"/>
              <w:left w:val="nil"/>
              <w:bottom w:val="single" w:sz="8" w:space="0" w:color="86BC25"/>
              <w:right w:val="nil"/>
            </w:tcBorders>
            <w:shd w:val="clear" w:color="auto" w:fill="auto"/>
            <w:noWrap/>
            <w:vAlign w:val="center"/>
            <w:hideMark/>
          </w:tcPr>
          <w:p w14:paraId="430769D6" w14:textId="77777777" w:rsidR="00494DC6" w:rsidRPr="00494DC6" w:rsidRDefault="00494DC6" w:rsidP="007A77F1">
            <w:pPr>
              <w:spacing w:after="0"/>
              <w:jc w:val="right"/>
            </w:pPr>
            <w:r w:rsidRPr="00494DC6">
              <w:t> </w:t>
            </w:r>
          </w:p>
        </w:tc>
      </w:tr>
      <w:tr w:rsidR="00494DC6" w:rsidRPr="00494DC6" w14:paraId="18B18BD3" w14:textId="77777777" w:rsidTr="007A77F1">
        <w:trPr>
          <w:trHeight w:val="340"/>
        </w:trPr>
        <w:tc>
          <w:tcPr>
            <w:tcW w:w="1058" w:type="pct"/>
            <w:tcBorders>
              <w:top w:val="nil"/>
              <w:left w:val="nil"/>
              <w:bottom w:val="nil"/>
              <w:right w:val="nil"/>
            </w:tcBorders>
            <w:shd w:val="clear" w:color="000000" w:fill="DBDBD2"/>
            <w:vAlign w:val="center"/>
            <w:hideMark/>
          </w:tcPr>
          <w:p w14:paraId="13798F27" w14:textId="77777777" w:rsidR="00494DC6" w:rsidRPr="00494DC6" w:rsidRDefault="00494DC6" w:rsidP="007A77F1">
            <w:pPr>
              <w:spacing w:after="0"/>
            </w:pPr>
            <w:r w:rsidRPr="00494DC6">
              <w:t>z toho:</w:t>
            </w:r>
          </w:p>
        </w:tc>
        <w:tc>
          <w:tcPr>
            <w:tcW w:w="582" w:type="pct"/>
            <w:tcBorders>
              <w:top w:val="nil"/>
              <w:left w:val="nil"/>
              <w:bottom w:val="single" w:sz="8" w:space="0" w:color="86BC25"/>
              <w:right w:val="nil"/>
            </w:tcBorders>
            <w:shd w:val="clear" w:color="auto" w:fill="auto"/>
            <w:vAlign w:val="center"/>
            <w:hideMark/>
          </w:tcPr>
          <w:p w14:paraId="3975804B"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vAlign w:val="center"/>
            <w:hideMark/>
          </w:tcPr>
          <w:p w14:paraId="6BC78EC4"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61BCE704"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vAlign w:val="center"/>
            <w:hideMark/>
          </w:tcPr>
          <w:p w14:paraId="26F7815C" w14:textId="77777777" w:rsidR="00494DC6" w:rsidRPr="00494DC6" w:rsidRDefault="00494DC6" w:rsidP="007A77F1">
            <w:pPr>
              <w:spacing w:after="0"/>
              <w:jc w:val="right"/>
            </w:pPr>
          </w:p>
        </w:tc>
        <w:tc>
          <w:tcPr>
            <w:tcW w:w="484" w:type="pct"/>
            <w:tcBorders>
              <w:top w:val="nil"/>
              <w:left w:val="nil"/>
              <w:bottom w:val="single" w:sz="8" w:space="0" w:color="86BC25"/>
              <w:right w:val="nil"/>
            </w:tcBorders>
            <w:shd w:val="clear" w:color="auto" w:fill="auto"/>
            <w:vAlign w:val="center"/>
            <w:hideMark/>
          </w:tcPr>
          <w:p w14:paraId="002A7866"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noWrap/>
            <w:vAlign w:val="center"/>
            <w:hideMark/>
          </w:tcPr>
          <w:p w14:paraId="78598996"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1E0049F7" w14:textId="77777777" w:rsidR="00494DC6" w:rsidRPr="00494DC6" w:rsidRDefault="00494DC6" w:rsidP="007A77F1">
            <w:pPr>
              <w:spacing w:after="0"/>
              <w:jc w:val="right"/>
            </w:pPr>
            <w:r w:rsidRPr="00494DC6">
              <w:t> </w:t>
            </w:r>
          </w:p>
        </w:tc>
        <w:tc>
          <w:tcPr>
            <w:tcW w:w="472" w:type="pct"/>
            <w:tcBorders>
              <w:top w:val="nil"/>
              <w:left w:val="nil"/>
              <w:bottom w:val="nil"/>
              <w:right w:val="nil"/>
            </w:tcBorders>
            <w:shd w:val="clear" w:color="auto" w:fill="auto"/>
            <w:noWrap/>
            <w:vAlign w:val="center"/>
            <w:hideMark/>
          </w:tcPr>
          <w:p w14:paraId="0C223E02" w14:textId="77777777" w:rsidR="00494DC6" w:rsidRPr="00494DC6" w:rsidRDefault="00494DC6" w:rsidP="007A77F1">
            <w:pPr>
              <w:spacing w:after="0"/>
              <w:jc w:val="right"/>
            </w:pPr>
          </w:p>
        </w:tc>
      </w:tr>
      <w:tr w:rsidR="00494DC6" w:rsidRPr="00494DC6" w14:paraId="56C1C5A0"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6E4DE0DC" w14:textId="77777777" w:rsidR="00494DC6" w:rsidRPr="00494DC6" w:rsidRDefault="00494DC6" w:rsidP="007A77F1">
            <w:pPr>
              <w:spacing w:after="0"/>
            </w:pPr>
            <w:r w:rsidRPr="00494DC6">
              <w:t>- v hodnocení</w:t>
            </w:r>
          </w:p>
        </w:tc>
        <w:tc>
          <w:tcPr>
            <w:tcW w:w="582" w:type="pct"/>
            <w:tcBorders>
              <w:top w:val="nil"/>
              <w:left w:val="nil"/>
              <w:bottom w:val="single" w:sz="8" w:space="0" w:color="86BC25"/>
              <w:right w:val="nil"/>
            </w:tcBorders>
            <w:shd w:val="clear" w:color="auto" w:fill="auto"/>
            <w:vAlign w:val="center"/>
            <w:hideMark/>
          </w:tcPr>
          <w:p w14:paraId="3CB85581" w14:textId="77777777" w:rsidR="00494DC6" w:rsidRPr="00494DC6" w:rsidRDefault="00494DC6" w:rsidP="007A77F1">
            <w:pPr>
              <w:spacing w:after="0"/>
              <w:jc w:val="right"/>
            </w:pPr>
            <w:r w:rsidRPr="00494DC6">
              <w:t xml:space="preserve">            5    </w:t>
            </w:r>
          </w:p>
        </w:tc>
        <w:tc>
          <w:tcPr>
            <w:tcW w:w="474" w:type="pct"/>
            <w:tcBorders>
              <w:top w:val="single" w:sz="8" w:space="0" w:color="86BC25"/>
              <w:left w:val="nil"/>
              <w:bottom w:val="single" w:sz="8" w:space="0" w:color="86BC25"/>
              <w:right w:val="nil"/>
            </w:tcBorders>
            <w:shd w:val="clear" w:color="auto" w:fill="auto"/>
            <w:vAlign w:val="center"/>
            <w:hideMark/>
          </w:tcPr>
          <w:p w14:paraId="06B4F9D4" w14:textId="77777777" w:rsidR="00494DC6" w:rsidRPr="00494DC6" w:rsidRDefault="00494DC6" w:rsidP="007A77F1">
            <w:pPr>
              <w:spacing w:after="0"/>
              <w:jc w:val="right"/>
            </w:pPr>
            <w:r w:rsidRPr="00494DC6">
              <w:t>0,05</w:t>
            </w:r>
          </w:p>
        </w:tc>
        <w:tc>
          <w:tcPr>
            <w:tcW w:w="491" w:type="pct"/>
            <w:tcBorders>
              <w:top w:val="nil"/>
              <w:left w:val="nil"/>
              <w:bottom w:val="single" w:sz="8" w:space="0" w:color="86BC25"/>
              <w:right w:val="nil"/>
            </w:tcBorders>
            <w:shd w:val="clear" w:color="auto" w:fill="auto"/>
            <w:vAlign w:val="center"/>
            <w:hideMark/>
          </w:tcPr>
          <w:p w14:paraId="67E0E3D3" w14:textId="77777777" w:rsidR="00494DC6" w:rsidRPr="00494DC6" w:rsidRDefault="00494DC6" w:rsidP="007A77F1">
            <w:pPr>
              <w:spacing w:after="0"/>
              <w:jc w:val="right"/>
            </w:pPr>
            <w:r w:rsidRPr="00494DC6">
              <w:t xml:space="preserve">        -      </w:t>
            </w:r>
          </w:p>
        </w:tc>
        <w:tc>
          <w:tcPr>
            <w:tcW w:w="474" w:type="pct"/>
            <w:tcBorders>
              <w:top w:val="single" w:sz="8" w:space="0" w:color="86BC25"/>
              <w:left w:val="nil"/>
              <w:bottom w:val="single" w:sz="8" w:space="0" w:color="86BC25"/>
              <w:right w:val="nil"/>
            </w:tcBorders>
            <w:shd w:val="clear" w:color="auto" w:fill="auto"/>
            <w:vAlign w:val="center"/>
            <w:hideMark/>
          </w:tcPr>
          <w:p w14:paraId="3990FD21" w14:textId="77777777" w:rsidR="00494DC6" w:rsidRPr="00494DC6" w:rsidRDefault="00494DC6" w:rsidP="007A77F1">
            <w:pPr>
              <w:spacing w:after="0"/>
              <w:jc w:val="right"/>
            </w:pPr>
            <w:r w:rsidRPr="00494DC6">
              <w:t>0,00</w:t>
            </w:r>
          </w:p>
        </w:tc>
        <w:tc>
          <w:tcPr>
            <w:tcW w:w="484" w:type="pct"/>
            <w:tcBorders>
              <w:top w:val="nil"/>
              <w:left w:val="nil"/>
              <w:bottom w:val="single" w:sz="8" w:space="0" w:color="86BC25"/>
              <w:right w:val="nil"/>
            </w:tcBorders>
            <w:shd w:val="clear" w:color="auto" w:fill="auto"/>
            <w:vAlign w:val="center"/>
            <w:hideMark/>
          </w:tcPr>
          <w:p w14:paraId="0A4BAEE9" w14:textId="77777777" w:rsidR="00494DC6" w:rsidRPr="00494DC6" w:rsidRDefault="00494DC6" w:rsidP="007A77F1">
            <w:pPr>
              <w:spacing w:after="0"/>
              <w:jc w:val="right"/>
            </w:pPr>
            <w:r w:rsidRPr="00494DC6">
              <w:t xml:space="preserve">        45    </w:t>
            </w:r>
          </w:p>
        </w:tc>
        <w:tc>
          <w:tcPr>
            <w:tcW w:w="474" w:type="pct"/>
            <w:tcBorders>
              <w:top w:val="single" w:sz="8" w:space="0" w:color="86BC25"/>
              <w:left w:val="nil"/>
              <w:bottom w:val="single" w:sz="8" w:space="0" w:color="86BC25"/>
              <w:right w:val="nil"/>
            </w:tcBorders>
            <w:shd w:val="clear" w:color="auto" w:fill="auto"/>
            <w:vAlign w:val="center"/>
            <w:hideMark/>
          </w:tcPr>
          <w:p w14:paraId="1481E4E8" w14:textId="77777777" w:rsidR="00494DC6" w:rsidRPr="00494DC6" w:rsidRDefault="00494DC6" w:rsidP="007A77F1">
            <w:pPr>
              <w:spacing w:after="0"/>
              <w:jc w:val="right"/>
            </w:pPr>
            <w:r w:rsidRPr="00494DC6">
              <w:t>1,22</w:t>
            </w:r>
          </w:p>
        </w:tc>
        <w:tc>
          <w:tcPr>
            <w:tcW w:w="491" w:type="pct"/>
            <w:tcBorders>
              <w:top w:val="nil"/>
              <w:left w:val="nil"/>
              <w:bottom w:val="single" w:sz="8" w:space="0" w:color="86BC25"/>
              <w:right w:val="nil"/>
            </w:tcBorders>
            <w:shd w:val="clear" w:color="auto" w:fill="auto"/>
            <w:vAlign w:val="center"/>
            <w:hideMark/>
          </w:tcPr>
          <w:p w14:paraId="56375DF7" w14:textId="77777777" w:rsidR="00494DC6" w:rsidRPr="00494DC6" w:rsidRDefault="00494DC6" w:rsidP="007A77F1">
            <w:pPr>
              <w:spacing w:after="0"/>
              <w:jc w:val="right"/>
            </w:pPr>
            <w:r w:rsidRPr="00494DC6">
              <w:t xml:space="preserve">      973    </w:t>
            </w:r>
          </w:p>
        </w:tc>
        <w:tc>
          <w:tcPr>
            <w:tcW w:w="472" w:type="pct"/>
            <w:tcBorders>
              <w:top w:val="single" w:sz="8" w:space="0" w:color="86BC25"/>
              <w:left w:val="nil"/>
              <w:bottom w:val="single" w:sz="8" w:space="0" w:color="86BC25"/>
              <w:right w:val="nil"/>
            </w:tcBorders>
            <w:shd w:val="clear" w:color="auto" w:fill="auto"/>
            <w:vAlign w:val="center"/>
            <w:hideMark/>
          </w:tcPr>
          <w:p w14:paraId="251CA3B9" w14:textId="77777777" w:rsidR="00494DC6" w:rsidRPr="00494DC6" w:rsidRDefault="00494DC6" w:rsidP="007A77F1">
            <w:pPr>
              <w:spacing w:after="0"/>
              <w:jc w:val="right"/>
            </w:pPr>
            <w:r w:rsidRPr="00494DC6">
              <w:t>37,57</w:t>
            </w:r>
          </w:p>
        </w:tc>
      </w:tr>
      <w:tr w:rsidR="00494DC6" w:rsidRPr="00494DC6" w14:paraId="67330A65" w14:textId="77777777" w:rsidTr="007A77F1">
        <w:trPr>
          <w:trHeight w:val="340"/>
        </w:trPr>
        <w:tc>
          <w:tcPr>
            <w:tcW w:w="1058" w:type="pct"/>
            <w:tcBorders>
              <w:top w:val="nil"/>
              <w:left w:val="nil"/>
              <w:bottom w:val="nil"/>
              <w:right w:val="nil"/>
            </w:tcBorders>
            <w:shd w:val="clear" w:color="000000" w:fill="DBDBD2"/>
            <w:vAlign w:val="center"/>
            <w:hideMark/>
          </w:tcPr>
          <w:p w14:paraId="62C767A9" w14:textId="77777777" w:rsidR="00494DC6" w:rsidRPr="00494DC6" w:rsidRDefault="00494DC6" w:rsidP="007A77F1">
            <w:pPr>
              <w:spacing w:after="0"/>
            </w:pPr>
            <w:r w:rsidRPr="00494DC6">
              <w:t>- v realizaci</w:t>
            </w:r>
          </w:p>
        </w:tc>
        <w:tc>
          <w:tcPr>
            <w:tcW w:w="582" w:type="pct"/>
            <w:tcBorders>
              <w:top w:val="nil"/>
              <w:left w:val="nil"/>
              <w:bottom w:val="single" w:sz="8" w:space="0" w:color="86BC25"/>
              <w:right w:val="nil"/>
            </w:tcBorders>
            <w:shd w:val="clear" w:color="auto" w:fill="auto"/>
            <w:vAlign w:val="center"/>
            <w:hideMark/>
          </w:tcPr>
          <w:p w14:paraId="16E0A4C0" w14:textId="77777777" w:rsidR="00494DC6" w:rsidRPr="00494DC6" w:rsidRDefault="00494DC6" w:rsidP="007A77F1">
            <w:pPr>
              <w:spacing w:after="0"/>
              <w:jc w:val="right"/>
            </w:pPr>
            <w:r w:rsidRPr="00494DC6">
              <w:t xml:space="preserve">      3 585    </w:t>
            </w:r>
          </w:p>
        </w:tc>
        <w:tc>
          <w:tcPr>
            <w:tcW w:w="474" w:type="pct"/>
            <w:tcBorders>
              <w:top w:val="nil"/>
              <w:left w:val="nil"/>
              <w:bottom w:val="single" w:sz="8" w:space="0" w:color="86BC25"/>
              <w:right w:val="nil"/>
            </w:tcBorders>
            <w:shd w:val="clear" w:color="auto" w:fill="auto"/>
            <w:vAlign w:val="center"/>
            <w:hideMark/>
          </w:tcPr>
          <w:p w14:paraId="431D11DF" w14:textId="77777777" w:rsidR="00494DC6" w:rsidRPr="00494DC6" w:rsidRDefault="00494DC6" w:rsidP="007A77F1">
            <w:pPr>
              <w:spacing w:after="0"/>
              <w:jc w:val="right"/>
            </w:pPr>
            <w:r w:rsidRPr="00494DC6">
              <w:t>37,42</w:t>
            </w:r>
          </w:p>
        </w:tc>
        <w:tc>
          <w:tcPr>
            <w:tcW w:w="491" w:type="pct"/>
            <w:tcBorders>
              <w:top w:val="nil"/>
              <w:left w:val="nil"/>
              <w:bottom w:val="single" w:sz="8" w:space="0" w:color="86BC25"/>
              <w:right w:val="nil"/>
            </w:tcBorders>
            <w:shd w:val="clear" w:color="auto" w:fill="auto"/>
            <w:vAlign w:val="center"/>
            <w:hideMark/>
          </w:tcPr>
          <w:p w14:paraId="4D4373B9" w14:textId="77777777" w:rsidR="00494DC6" w:rsidRPr="00494DC6" w:rsidRDefault="00494DC6" w:rsidP="007A77F1">
            <w:pPr>
              <w:spacing w:after="0"/>
              <w:jc w:val="right"/>
            </w:pPr>
            <w:r w:rsidRPr="00494DC6">
              <w:t xml:space="preserve">        10    </w:t>
            </w:r>
          </w:p>
        </w:tc>
        <w:tc>
          <w:tcPr>
            <w:tcW w:w="474" w:type="pct"/>
            <w:tcBorders>
              <w:top w:val="nil"/>
              <w:left w:val="nil"/>
              <w:bottom w:val="single" w:sz="8" w:space="0" w:color="86BC25"/>
              <w:right w:val="nil"/>
            </w:tcBorders>
            <w:shd w:val="clear" w:color="auto" w:fill="auto"/>
            <w:vAlign w:val="center"/>
            <w:hideMark/>
          </w:tcPr>
          <w:p w14:paraId="2FBB66A3" w14:textId="77777777" w:rsidR="00494DC6" w:rsidRPr="00494DC6" w:rsidRDefault="00494DC6" w:rsidP="007A77F1">
            <w:pPr>
              <w:spacing w:after="0"/>
              <w:jc w:val="right"/>
            </w:pPr>
            <w:r w:rsidRPr="00494DC6">
              <w:t>46,17</w:t>
            </w:r>
          </w:p>
        </w:tc>
        <w:tc>
          <w:tcPr>
            <w:tcW w:w="484" w:type="pct"/>
            <w:tcBorders>
              <w:top w:val="nil"/>
              <w:left w:val="nil"/>
              <w:bottom w:val="single" w:sz="8" w:space="0" w:color="86BC25"/>
              <w:right w:val="nil"/>
            </w:tcBorders>
            <w:shd w:val="clear" w:color="auto" w:fill="auto"/>
            <w:vAlign w:val="center"/>
            <w:hideMark/>
          </w:tcPr>
          <w:p w14:paraId="435D3A4E" w14:textId="77777777" w:rsidR="00494DC6" w:rsidRPr="00494DC6" w:rsidRDefault="00494DC6" w:rsidP="007A77F1">
            <w:pPr>
              <w:spacing w:after="0"/>
              <w:jc w:val="right"/>
            </w:pPr>
            <w:r w:rsidRPr="00494DC6">
              <w:t xml:space="preserve">   1 913    </w:t>
            </w:r>
          </w:p>
        </w:tc>
        <w:tc>
          <w:tcPr>
            <w:tcW w:w="474" w:type="pct"/>
            <w:tcBorders>
              <w:top w:val="nil"/>
              <w:left w:val="nil"/>
              <w:bottom w:val="single" w:sz="8" w:space="0" w:color="86BC25"/>
              <w:right w:val="nil"/>
            </w:tcBorders>
            <w:shd w:val="clear" w:color="auto" w:fill="auto"/>
            <w:vAlign w:val="center"/>
            <w:hideMark/>
          </w:tcPr>
          <w:p w14:paraId="6A9299ED" w14:textId="77777777" w:rsidR="00494DC6" w:rsidRPr="00494DC6" w:rsidRDefault="00494DC6" w:rsidP="007A77F1">
            <w:pPr>
              <w:spacing w:after="0"/>
              <w:jc w:val="right"/>
            </w:pPr>
            <w:r w:rsidRPr="00494DC6">
              <w:t>51,69</w:t>
            </w:r>
          </w:p>
        </w:tc>
        <w:tc>
          <w:tcPr>
            <w:tcW w:w="491" w:type="pct"/>
            <w:tcBorders>
              <w:top w:val="nil"/>
              <w:left w:val="nil"/>
              <w:bottom w:val="single" w:sz="8" w:space="0" w:color="86BC25"/>
              <w:right w:val="nil"/>
            </w:tcBorders>
            <w:shd w:val="clear" w:color="auto" w:fill="auto"/>
            <w:vAlign w:val="center"/>
            <w:hideMark/>
          </w:tcPr>
          <w:p w14:paraId="1527FFE7" w14:textId="77777777" w:rsidR="00494DC6" w:rsidRPr="00494DC6" w:rsidRDefault="00494DC6" w:rsidP="007A77F1">
            <w:pPr>
              <w:spacing w:after="0"/>
              <w:jc w:val="right"/>
            </w:pPr>
            <w:r w:rsidRPr="00494DC6">
              <w:t xml:space="preserve">      428    </w:t>
            </w:r>
          </w:p>
        </w:tc>
        <w:tc>
          <w:tcPr>
            <w:tcW w:w="472" w:type="pct"/>
            <w:tcBorders>
              <w:top w:val="nil"/>
              <w:left w:val="nil"/>
              <w:bottom w:val="single" w:sz="8" w:space="0" w:color="86BC25"/>
              <w:right w:val="nil"/>
            </w:tcBorders>
            <w:shd w:val="clear" w:color="auto" w:fill="auto"/>
            <w:vAlign w:val="center"/>
            <w:hideMark/>
          </w:tcPr>
          <w:p w14:paraId="3A90FC7D" w14:textId="77777777" w:rsidR="00494DC6" w:rsidRPr="00494DC6" w:rsidRDefault="00494DC6" w:rsidP="007A77F1">
            <w:pPr>
              <w:spacing w:after="0"/>
              <w:jc w:val="right"/>
            </w:pPr>
            <w:r w:rsidRPr="00494DC6">
              <w:t>16,53</w:t>
            </w:r>
          </w:p>
        </w:tc>
      </w:tr>
      <w:tr w:rsidR="00494DC6" w:rsidRPr="00494DC6" w14:paraId="71450D1A"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2C22AD5E" w14:textId="77777777" w:rsidR="00494DC6" w:rsidRPr="00494DC6" w:rsidRDefault="00494DC6" w:rsidP="007A77F1">
            <w:pPr>
              <w:spacing w:after="0"/>
            </w:pPr>
            <w:r w:rsidRPr="00494DC6">
              <w:t>- ukončeno</w:t>
            </w:r>
          </w:p>
        </w:tc>
        <w:tc>
          <w:tcPr>
            <w:tcW w:w="582" w:type="pct"/>
            <w:tcBorders>
              <w:top w:val="nil"/>
              <w:left w:val="nil"/>
              <w:bottom w:val="single" w:sz="8" w:space="0" w:color="86BC25"/>
              <w:right w:val="nil"/>
            </w:tcBorders>
            <w:shd w:val="clear" w:color="auto" w:fill="auto"/>
            <w:vAlign w:val="center"/>
            <w:hideMark/>
          </w:tcPr>
          <w:p w14:paraId="4961BF79" w14:textId="77777777" w:rsidR="00494DC6" w:rsidRPr="00494DC6" w:rsidRDefault="00494DC6" w:rsidP="007A77F1">
            <w:pPr>
              <w:spacing w:after="0"/>
              <w:jc w:val="right"/>
            </w:pPr>
            <w:r w:rsidRPr="00494DC6">
              <w:t xml:space="preserve">          41    </w:t>
            </w:r>
          </w:p>
        </w:tc>
        <w:tc>
          <w:tcPr>
            <w:tcW w:w="474" w:type="pct"/>
            <w:tcBorders>
              <w:top w:val="nil"/>
              <w:left w:val="nil"/>
              <w:bottom w:val="single" w:sz="8" w:space="0" w:color="86BC25"/>
              <w:right w:val="nil"/>
            </w:tcBorders>
            <w:shd w:val="clear" w:color="auto" w:fill="auto"/>
            <w:vAlign w:val="center"/>
            <w:hideMark/>
          </w:tcPr>
          <w:p w14:paraId="45FB5402" w14:textId="77777777" w:rsidR="00494DC6" w:rsidRPr="00494DC6" w:rsidRDefault="00494DC6" w:rsidP="007A77F1">
            <w:pPr>
              <w:spacing w:after="0"/>
              <w:jc w:val="right"/>
            </w:pPr>
            <w:r w:rsidRPr="00494DC6">
              <w:t>0,43</w:t>
            </w:r>
          </w:p>
        </w:tc>
        <w:tc>
          <w:tcPr>
            <w:tcW w:w="491" w:type="pct"/>
            <w:tcBorders>
              <w:top w:val="nil"/>
              <w:left w:val="nil"/>
              <w:bottom w:val="single" w:sz="8" w:space="0" w:color="86BC25"/>
              <w:right w:val="nil"/>
            </w:tcBorders>
            <w:shd w:val="clear" w:color="auto" w:fill="auto"/>
            <w:vAlign w:val="center"/>
            <w:hideMark/>
          </w:tcPr>
          <w:p w14:paraId="55D29C67"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0BC706CB" w14:textId="77777777" w:rsidR="00494DC6" w:rsidRPr="00494DC6" w:rsidRDefault="00494DC6" w:rsidP="007A77F1">
            <w:pPr>
              <w:spacing w:after="0"/>
              <w:jc w:val="right"/>
            </w:pPr>
            <w:r w:rsidRPr="00494DC6">
              <w:t>0,00</w:t>
            </w:r>
          </w:p>
        </w:tc>
        <w:tc>
          <w:tcPr>
            <w:tcW w:w="484" w:type="pct"/>
            <w:tcBorders>
              <w:top w:val="nil"/>
              <w:left w:val="nil"/>
              <w:bottom w:val="single" w:sz="8" w:space="0" w:color="86BC25"/>
              <w:right w:val="nil"/>
            </w:tcBorders>
            <w:shd w:val="clear" w:color="auto" w:fill="auto"/>
            <w:vAlign w:val="center"/>
            <w:hideMark/>
          </w:tcPr>
          <w:p w14:paraId="6D5C5862"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0AB7A21D" w14:textId="77777777" w:rsidR="00494DC6" w:rsidRPr="00494DC6" w:rsidRDefault="00494DC6" w:rsidP="007A77F1">
            <w:pPr>
              <w:spacing w:after="0"/>
              <w:jc w:val="right"/>
            </w:pPr>
            <w:r w:rsidRPr="00494DC6">
              <w:t>0,00</w:t>
            </w:r>
          </w:p>
        </w:tc>
        <w:tc>
          <w:tcPr>
            <w:tcW w:w="491" w:type="pct"/>
            <w:tcBorders>
              <w:top w:val="nil"/>
              <w:left w:val="nil"/>
              <w:bottom w:val="single" w:sz="8" w:space="0" w:color="86BC25"/>
              <w:right w:val="nil"/>
            </w:tcBorders>
            <w:shd w:val="clear" w:color="auto" w:fill="auto"/>
            <w:vAlign w:val="center"/>
            <w:hideMark/>
          </w:tcPr>
          <w:p w14:paraId="41D2E569" w14:textId="77777777" w:rsidR="00494DC6" w:rsidRPr="00494DC6" w:rsidRDefault="00494DC6" w:rsidP="007A77F1">
            <w:pPr>
              <w:spacing w:after="0"/>
              <w:jc w:val="right"/>
            </w:pPr>
            <w:r w:rsidRPr="00494DC6">
              <w:t xml:space="preserve">        -      </w:t>
            </w:r>
          </w:p>
        </w:tc>
        <w:tc>
          <w:tcPr>
            <w:tcW w:w="472" w:type="pct"/>
            <w:tcBorders>
              <w:top w:val="nil"/>
              <w:left w:val="nil"/>
              <w:bottom w:val="single" w:sz="8" w:space="0" w:color="86BC25"/>
              <w:right w:val="nil"/>
            </w:tcBorders>
            <w:shd w:val="clear" w:color="auto" w:fill="auto"/>
            <w:vAlign w:val="center"/>
            <w:hideMark/>
          </w:tcPr>
          <w:p w14:paraId="52B7D3CC" w14:textId="77777777" w:rsidR="00494DC6" w:rsidRPr="00494DC6" w:rsidRDefault="00494DC6" w:rsidP="007A77F1">
            <w:pPr>
              <w:spacing w:after="0"/>
              <w:jc w:val="right"/>
            </w:pPr>
            <w:r w:rsidRPr="00494DC6">
              <w:t>0,00</w:t>
            </w:r>
          </w:p>
        </w:tc>
      </w:tr>
      <w:tr w:rsidR="00494DC6" w:rsidRPr="00494DC6" w14:paraId="286BF884"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0114900A" w14:textId="77777777" w:rsidR="00494DC6" w:rsidRPr="00494DC6" w:rsidRDefault="00494DC6" w:rsidP="007A77F1">
            <w:pPr>
              <w:spacing w:after="0"/>
            </w:pPr>
            <w:r w:rsidRPr="00494DC6">
              <w:t>- zamítnuto</w:t>
            </w:r>
          </w:p>
        </w:tc>
        <w:tc>
          <w:tcPr>
            <w:tcW w:w="582" w:type="pct"/>
            <w:tcBorders>
              <w:top w:val="nil"/>
              <w:left w:val="nil"/>
              <w:bottom w:val="single" w:sz="8" w:space="0" w:color="86BC25"/>
              <w:right w:val="nil"/>
            </w:tcBorders>
            <w:shd w:val="clear" w:color="auto" w:fill="auto"/>
            <w:vAlign w:val="center"/>
            <w:hideMark/>
          </w:tcPr>
          <w:p w14:paraId="0CE69133" w14:textId="77777777" w:rsidR="00494DC6" w:rsidRPr="00494DC6" w:rsidRDefault="00494DC6" w:rsidP="007A77F1">
            <w:pPr>
              <w:spacing w:after="0"/>
              <w:jc w:val="right"/>
            </w:pPr>
            <w:r w:rsidRPr="00494DC6">
              <w:t xml:space="preserve">      2 338    </w:t>
            </w:r>
          </w:p>
        </w:tc>
        <w:tc>
          <w:tcPr>
            <w:tcW w:w="474" w:type="pct"/>
            <w:tcBorders>
              <w:top w:val="nil"/>
              <w:left w:val="nil"/>
              <w:bottom w:val="single" w:sz="8" w:space="0" w:color="86BC25"/>
              <w:right w:val="nil"/>
            </w:tcBorders>
            <w:shd w:val="clear" w:color="auto" w:fill="auto"/>
            <w:vAlign w:val="center"/>
            <w:hideMark/>
          </w:tcPr>
          <w:p w14:paraId="045D0289" w14:textId="77777777" w:rsidR="00494DC6" w:rsidRPr="00494DC6" w:rsidRDefault="00494DC6" w:rsidP="007A77F1">
            <w:pPr>
              <w:spacing w:after="0"/>
              <w:jc w:val="right"/>
            </w:pPr>
            <w:r w:rsidRPr="00494DC6">
              <w:t>24,40</w:t>
            </w:r>
          </w:p>
        </w:tc>
        <w:tc>
          <w:tcPr>
            <w:tcW w:w="491" w:type="pct"/>
            <w:tcBorders>
              <w:top w:val="nil"/>
              <w:left w:val="nil"/>
              <w:bottom w:val="single" w:sz="8" w:space="0" w:color="86BC25"/>
              <w:right w:val="nil"/>
            </w:tcBorders>
            <w:shd w:val="clear" w:color="auto" w:fill="auto"/>
            <w:vAlign w:val="center"/>
            <w:hideMark/>
          </w:tcPr>
          <w:p w14:paraId="7F36F8CD" w14:textId="77777777" w:rsidR="00494DC6" w:rsidRPr="00494DC6" w:rsidRDefault="00494DC6" w:rsidP="007A77F1">
            <w:pPr>
              <w:spacing w:after="0"/>
              <w:jc w:val="right"/>
            </w:pPr>
            <w:r w:rsidRPr="00494DC6">
              <w:t xml:space="preserve">          6    </w:t>
            </w:r>
          </w:p>
        </w:tc>
        <w:tc>
          <w:tcPr>
            <w:tcW w:w="474" w:type="pct"/>
            <w:tcBorders>
              <w:top w:val="nil"/>
              <w:left w:val="nil"/>
              <w:bottom w:val="single" w:sz="8" w:space="0" w:color="86BC25"/>
              <w:right w:val="nil"/>
            </w:tcBorders>
            <w:shd w:val="clear" w:color="auto" w:fill="auto"/>
            <w:vAlign w:val="center"/>
            <w:hideMark/>
          </w:tcPr>
          <w:p w14:paraId="7AF3CD6A" w14:textId="77777777" w:rsidR="00494DC6" w:rsidRPr="00494DC6" w:rsidRDefault="00494DC6" w:rsidP="007A77F1">
            <w:pPr>
              <w:spacing w:after="0"/>
              <w:jc w:val="right"/>
            </w:pPr>
            <w:r w:rsidRPr="00494DC6">
              <w:t>27,44</w:t>
            </w:r>
          </w:p>
        </w:tc>
        <w:tc>
          <w:tcPr>
            <w:tcW w:w="484" w:type="pct"/>
            <w:tcBorders>
              <w:top w:val="nil"/>
              <w:left w:val="nil"/>
              <w:bottom w:val="single" w:sz="8" w:space="0" w:color="86BC25"/>
              <w:right w:val="nil"/>
            </w:tcBorders>
            <w:shd w:val="clear" w:color="auto" w:fill="auto"/>
            <w:vAlign w:val="center"/>
            <w:hideMark/>
          </w:tcPr>
          <w:p w14:paraId="761C442E" w14:textId="77777777" w:rsidR="00494DC6" w:rsidRPr="00494DC6" w:rsidRDefault="00494DC6" w:rsidP="007A77F1">
            <w:pPr>
              <w:spacing w:after="0"/>
              <w:jc w:val="right"/>
            </w:pPr>
            <w:r w:rsidRPr="00494DC6">
              <w:t xml:space="preserve">   1 087    </w:t>
            </w:r>
          </w:p>
        </w:tc>
        <w:tc>
          <w:tcPr>
            <w:tcW w:w="474" w:type="pct"/>
            <w:tcBorders>
              <w:top w:val="nil"/>
              <w:left w:val="nil"/>
              <w:bottom w:val="single" w:sz="8" w:space="0" w:color="86BC25"/>
              <w:right w:val="nil"/>
            </w:tcBorders>
            <w:shd w:val="clear" w:color="auto" w:fill="auto"/>
            <w:vAlign w:val="center"/>
            <w:hideMark/>
          </w:tcPr>
          <w:p w14:paraId="35708F79" w14:textId="77777777" w:rsidR="00494DC6" w:rsidRPr="00494DC6" w:rsidRDefault="00494DC6" w:rsidP="007A77F1">
            <w:pPr>
              <w:spacing w:after="0"/>
              <w:jc w:val="right"/>
            </w:pPr>
            <w:r w:rsidRPr="00494DC6">
              <w:t>29,37</w:t>
            </w:r>
          </w:p>
        </w:tc>
        <w:tc>
          <w:tcPr>
            <w:tcW w:w="491" w:type="pct"/>
            <w:tcBorders>
              <w:top w:val="nil"/>
              <w:left w:val="nil"/>
              <w:bottom w:val="single" w:sz="8" w:space="0" w:color="86BC25"/>
              <w:right w:val="nil"/>
            </w:tcBorders>
            <w:shd w:val="clear" w:color="auto" w:fill="auto"/>
            <w:vAlign w:val="center"/>
            <w:hideMark/>
          </w:tcPr>
          <w:p w14:paraId="3A3CEB0D" w14:textId="77777777" w:rsidR="00494DC6" w:rsidRPr="00494DC6" w:rsidRDefault="00494DC6" w:rsidP="007A77F1">
            <w:pPr>
              <w:spacing w:after="0"/>
              <w:jc w:val="right"/>
            </w:pPr>
            <w:r w:rsidRPr="00494DC6">
              <w:t xml:space="preserve">      622    </w:t>
            </w:r>
          </w:p>
        </w:tc>
        <w:tc>
          <w:tcPr>
            <w:tcW w:w="472" w:type="pct"/>
            <w:tcBorders>
              <w:top w:val="nil"/>
              <w:left w:val="nil"/>
              <w:bottom w:val="single" w:sz="8" w:space="0" w:color="86BC25"/>
              <w:right w:val="nil"/>
            </w:tcBorders>
            <w:shd w:val="clear" w:color="auto" w:fill="auto"/>
            <w:vAlign w:val="center"/>
            <w:hideMark/>
          </w:tcPr>
          <w:p w14:paraId="4E12203F" w14:textId="77777777" w:rsidR="00494DC6" w:rsidRPr="00494DC6" w:rsidRDefault="00494DC6" w:rsidP="007A77F1">
            <w:pPr>
              <w:spacing w:after="0"/>
              <w:jc w:val="right"/>
            </w:pPr>
            <w:r w:rsidRPr="00494DC6">
              <w:t>24,01</w:t>
            </w:r>
          </w:p>
        </w:tc>
      </w:tr>
      <w:tr w:rsidR="00494DC6" w:rsidRPr="00494DC6" w14:paraId="0DA111DB"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51299B72" w14:textId="77777777" w:rsidR="00494DC6" w:rsidRPr="00494DC6" w:rsidRDefault="00494DC6" w:rsidP="007A77F1">
            <w:pPr>
              <w:spacing w:after="0"/>
            </w:pPr>
            <w:r w:rsidRPr="00494DC6">
              <w:t xml:space="preserve">- odstup před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443D46CC" w14:textId="77777777" w:rsidR="00494DC6" w:rsidRPr="00494DC6" w:rsidRDefault="00494DC6" w:rsidP="007A77F1">
            <w:pPr>
              <w:spacing w:after="0"/>
              <w:jc w:val="right"/>
            </w:pPr>
            <w:r w:rsidRPr="00494DC6">
              <w:t xml:space="preserve">      3 280    </w:t>
            </w:r>
          </w:p>
        </w:tc>
        <w:tc>
          <w:tcPr>
            <w:tcW w:w="474" w:type="pct"/>
            <w:tcBorders>
              <w:top w:val="nil"/>
              <w:left w:val="nil"/>
              <w:bottom w:val="single" w:sz="8" w:space="0" w:color="86BC25"/>
              <w:right w:val="nil"/>
            </w:tcBorders>
            <w:shd w:val="clear" w:color="auto" w:fill="auto"/>
            <w:vAlign w:val="center"/>
            <w:hideMark/>
          </w:tcPr>
          <w:p w14:paraId="7DD1C68A" w14:textId="77777777" w:rsidR="00494DC6" w:rsidRPr="00494DC6" w:rsidRDefault="00494DC6" w:rsidP="007A77F1">
            <w:pPr>
              <w:spacing w:after="0"/>
              <w:jc w:val="right"/>
            </w:pPr>
            <w:r w:rsidRPr="00494DC6">
              <w:t>34,24</w:t>
            </w:r>
          </w:p>
        </w:tc>
        <w:tc>
          <w:tcPr>
            <w:tcW w:w="491" w:type="pct"/>
            <w:tcBorders>
              <w:top w:val="nil"/>
              <w:left w:val="nil"/>
              <w:bottom w:val="single" w:sz="8" w:space="0" w:color="86BC25"/>
              <w:right w:val="nil"/>
            </w:tcBorders>
            <w:shd w:val="clear" w:color="auto" w:fill="auto"/>
            <w:vAlign w:val="center"/>
            <w:hideMark/>
          </w:tcPr>
          <w:p w14:paraId="73BA9271" w14:textId="77777777" w:rsidR="00494DC6" w:rsidRPr="00494DC6" w:rsidRDefault="00494DC6" w:rsidP="007A77F1">
            <w:pPr>
              <w:spacing w:after="0"/>
              <w:jc w:val="right"/>
            </w:pPr>
            <w:r w:rsidRPr="00494DC6">
              <w:t xml:space="preserve">          6    </w:t>
            </w:r>
          </w:p>
        </w:tc>
        <w:tc>
          <w:tcPr>
            <w:tcW w:w="474" w:type="pct"/>
            <w:tcBorders>
              <w:top w:val="nil"/>
              <w:left w:val="nil"/>
              <w:bottom w:val="single" w:sz="8" w:space="0" w:color="86BC25"/>
              <w:right w:val="nil"/>
            </w:tcBorders>
            <w:shd w:val="clear" w:color="auto" w:fill="auto"/>
            <w:vAlign w:val="center"/>
            <w:hideMark/>
          </w:tcPr>
          <w:p w14:paraId="5790F20F" w14:textId="77777777" w:rsidR="00494DC6" w:rsidRPr="00494DC6" w:rsidRDefault="00494DC6" w:rsidP="007A77F1">
            <w:pPr>
              <w:spacing w:after="0"/>
              <w:jc w:val="right"/>
            </w:pPr>
            <w:r w:rsidRPr="00494DC6">
              <w:t>26,38</w:t>
            </w:r>
          </w:p>
        </w:tc>
        <w:tc>
          <w:tcPr>
            <w:tcW w:w="484" w:type="pct"/>
            <w:tcBorders>
              <w:top w:val="nil"/>
              <w:left w:val="nil"/>
              <w:bottom w:val="single" w:sz="8" w:space="0" w:color="86BC25"/>
              <w:right w:val="nil"/>
            </w:tcBorders>
            <w:shd w:val="clear" w:color="auto" w:fill="auto"/>
            <w:vAlign w:val="center"/>
            <w:hideMark/>
          </w:tcPr>
          <w:p w14:paraId="6EA310C6" w14:textId="77777777" w:rsidR="00494DC6" w:rsidRPr="00494DC6" w:rsidRDefault="00494DC6" w:rsidP="007A77F1">
            <w:pPr>
              <w:spacing w:after="0"/>
              <w:jc w:val="right"/>
            </w:pPr>
            <w:r w:rsidRPr="00494DC6">
              <w:t xml:space="preserve">      554    </w:t>
            </w:r>
          </w:p>
        </w:tc>
        <w:tc>
          <w:tcPr>
            <w:tcW w:w="474" w:type="pct"/>
            <w:tcBorders>
              <w:top w:val="nil"/>
              <w:left w:val="nil"/>
              <w:bottom w:val="single" w:sz="8" w:space="0" w:color="86BC25"/>
              <w:right w:val="nil"/>
            </w:tcBorders>
            <w:shd w:val="clear" w:color="auto" w:fill="auto"/>
            <w:vAlign w:val="center"/>
            <w:hideMark/>
          </w:tcPr>
          <w:p w14:paraId="00C76848" w14:textId="77777777" w:rsidR="00494DC6" w:rsidRPr="00494DC6" w:rsidRDefault="00494DC6" w:rsidP="007A77F1">
            <w:pPr>
              <w:spacing w:after="0"/>
              <w:jc w:val="right"/>
            </w:pPr>
            <w:r w:rsidRPr="00494DC6">
              <w:t>14,97</w:t>
            </w:r>
          </w:p>
        </w:tc>
        <w:tc>
          <w:tcPr>
            <w:tcW w:w="491" w:type="pct"/>
            <w:tcBorders>
              <w:top w:val="nil"/>
              <w:left w:val="nil"/>
              <w:bottom w:val="single" w:sz="8" w:space="0" w:color="86BC25"/>
              <w:right w:val="nil"/>
            </w:tcBorders>
            <w:shd w:val="clear" w:color="auto" w:fill="auto"/>
            <w:vAlign w:val="center"/>
            <w:hideMark/>
          </w:tcPr>
          <w:p w14:paraId="7CF83871" w14:textId="77777777" w:rsidR="00494DC6" w:rsidRPr="00494DC6" w:rsidRDefault="00494DC6" w:rsidP="007A77F1">
            <w:pPr>
              <w:spacing w:after="0"/>
              <w:jc w:val="right"/>
            </w:pPr>
            <w:r w:rsidRPr="00494DC6">
              <w:t xml:space="preserve">      567    </w:t>
            </w:r>
          </w:p>
        </w:tc>
        <w:tc>
          <w:tcPr>
            <w:tcW w:w="472" w:type="pct"/>
            <w:tcBorders>
              <w:top w:val="nil"/>
              <w:left w:val="nil"/>
              <w:bottom w:val="single" w:sz="8" w:space="0" w:color="86BC25"/>
              <w:right w:val="nil"/>
            </w:tcBorders>
            <w:shd w:val="clear" w:color="auto" w:fill="auto"/>
            <w:vAlign w:val="center"/>
            <w:hideMark/>
          </w:tcPr>
          <w:p w14:paraId="599A4049" w14:textId="77777777" w:rsidR="00494DC6" w:rsidRPr="00494DC6" w:rsidRDefault="00494DC6" w:rsidP="007A77F1">
            <w:pPr>
              <w:spacing w:after="0"/>
              <w:jc w:val="right"/>
            </w:pPr>
            <w:r w:rsidRPr="00494DC6">
              <w:t>21,90</w:t>
            </w:r>
          </w:p>
        </w:tc>
      </w:tr>
      <w:tr w:rsidR="00494DC6" w:rsidRPr="00494DC6" w14:paraId="5644502F"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7736B028" w14:textId="77777777" w:rsidR="00494DC6" w:rsidRPr="00494DC6" w:rsidRDefault="00494DC6" w:rsidP="007A77F1">
            <w:pPr>
              <w:spacing w:after="0"/>
            </w:pPr>
            <w:r w:rsidRPr="00494DC6">
              <w:t xml:space="preserve">- odstup po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0810F82E" w14:textId="77777777" w:rsidR="00494DC6" w:rsidRPr="00494DC6" w:rsidRDefault="00494DC6" w:rsidP="007A77F1">
            <w:pPr>
              <w:spacing w:after="0"/>
              <w:jc w:val="right"/>
            </w:pPr>
            <w:r w:rsidRPr="00494DC6">
              <w:t xml:space="preserve">         331    </w:t>
            </w:r>
          </w:p>
        </w:tc>
        <w:tc>
          <w:tcPr>
            <w:tcW w:w="474" w:type="pct"/>
            <w:tcBorders>
              <w:top w:val="nil"/>
              <w:left w:val="nil"/>
              <w:bottom w:val="single" w:sz="8" w:space="0" w:color="86BC25"/>
              <w:right w:val="nil"/>
            </w:tcBorders>
            <w:shd w:val="clear" w:color="auto" w:fill="auto"/>
            <w:vAlign w:val="center"/>
            <w:hideMark/>
          </w:tcPr>
          <w:p w14:paraId="0E0DA3C1" w14:textId="77777777" w:rsidR="00494DC6" w:rsidRPr="00494DC6" w:rsidRDefault="00494DC6" w:rsidP="007A77F1">
            <w:pPr>
              <w:spacing w:after="0"/>
              <w:jc w:val="right"/>
            </w:pPr>
            <w:r w:rsidRPr="00494DC6">
              <w:t>3,46</w:t>
            </w:r>
          </w:p>
        </w:tc>
        <w:tc>
          <w:tcPr>
            <w:tcW w:w="491" w:type="pct"/>
            <w:tcBorders>
              <w:top w:val="nil"/>
              <w:left w:val="nil"/>
              <w:bottom w:val="single" w:sz="8" w:space="0" w:color="86BC25"/>
              <w:right w:val="nil"/>
            </w:tcBorders>
            <w:shd w:val="clear" w:color="auto" w:fill="auto"/>
            <w:vAlign w:val="center"/>
            <w:hideMark/>
          </w:tcPr>
          <w:p w14:paraId="3C4FC894"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5BCEA8B6" w14:textId="77777777" w:rsidR="00494DC6" w:rsidRPr="00494DC6" w:rsidRDefault="00494DC6" w:rsidP="007A77F1">
            <w:pPr>
              <w:spacing w:after="0"/>
              <w:jc w:val="right"/>
            </w:pPr>
            <w:r w:rsidRPr="00494DC6">
              <w:t>0,00</w:t>
            </w:r>
          </w:p>
        </w:tc>
        <w:tc>
          <w:tcPr>
            <w:tcW w:w="484" w:type="pct"/>
            <w:tcBorders>
              <w:top w:val="nil"/>
              <w:left w:val="nil"/>
              <w:bottom w:val="single" w:sz="8" w:space="0" w:color="86BC25"/>
              <w:right w:val="nil"/>
            </w:tcBorders>
            <w:shd w:val="clear" w:color="auto" w:fill="auto"/>
            <w:vAlign w:val="center"/>
            <w:hideMark/>
          </w:tcPr>
          <w:p w14:paraId="222B2AE1" w14:textId="77777777" w:rsidR="00494DC6" w:rsidRPr="00494DC6" w:rsidRDefault="00494DC6" w:rsidP="007A77F1">
            <w:pPr>
              <w:spacing w:after="0"/>
              <w:jc w:val="right"/>
            </w:pPr>
            <w:r w:rsidRPr="00494DC6">
              <w:t xml:space="preserve">      102    </w:t>
            </w:r>
          </w:p>
        </w:tc>
        <w:tc>
          <w:tcPr>
            <w:tcW w:w="474" w:type="pct"/>
            <w:tcBorders>
              <w:top w:val="nil"/>
              <w:left w:val="nil"/>
              <w:bottom w:val="single" w:sz="8" w:space="0" w:color="86BC25"/>
              <w:right w:val="nil"/>
            </w:tcBorders>
            <w:shd w:val="clear" w:color="auto" w:fill="auto"/>
            <w:vAlign w:val="center"/>
            <w:hideMark/>
          </w:tcPr>
          <w:p w14:paraId="6D18CEA1" w14:textId="77777777" w:rsidR="00494DC6" w:rsidRPr="00494DC6" w:rsidRDefault="00494DC6" w:rsidP="007A77F1">
            <w:pPr>
              <w:spacing w:after="0"/>
              <w:jc w:val="right"/>
            </w:pPr>
            <w:r w:rsidRPr="00494DC6">
              <w:t>2,76</w:t>
            </w:r>
          </w:p>
        </w:tc>
        <w:tc>
          <w:tcPr>
            <w:tcW w:w="491" w:type="pct"/>
            <w:tcBorders>
              <w:top w:val="nil"/>
              <w:left w:val="nil"/>
              <w:bottom w:val="single" w:sz="8" w:space="0" w:color="86BC25"/>
              <w:right w:val="nil"/>
            </w:tcBorders>
            <w:shd w:val="clear" w:color="auto" w:fill="auto"/>
            <w:vAlign w:val="center"/>
            <w:hideMark/>
          </w:tcPr>
          <w:p w14:paraId="6BBBEEF8" w14:textId="77777777" w:rsidR="00494DC6" w:rsidRPr="00494DC6" w:rsidRDefault="00494DC6" w:rsidP="007A77F1">
            <w:pPr>
              <w:spacing w:after="0"/>
              <w:jc w:val="right"/>
            </w:pPr>
            <w:r w:rsidRPr="00494DC6">
              <w:t xml:space="preserve">        -      </w:t>
            </w:r>
          </w:p>
        </w:tc>
        <w:tc>
          <w:tcPr>
            <w:tcW w:w="472" w:type="pct"/>
            <w:tcBorders>
              <w:top w:val="nil"/>
              <w:left w:val="nil"/>
              <w:bottom w:val="single" w:sz="8" w:space="0" w:color="86BC25"/>
              <w:right w:val="nil"/>
            </w:tcBorders>
            <w:shd w:val="clear" w:color="auto" w:fill="auto"/>
            <w:vAlign w:val="center"/>
            <w:hideMark/>
          </w:tcPr>
          <w:p w14:paraId="23CBA34C" w14:textId="77777777" w:rsidR="00494DC6" w:rsidRPr="00494DC6" w:rsidRDefault="00494DC6" w:rsidP="007A77F1">
            <w:pPr>
              <w:spacing w:after="0"/>
              <w:jc w:val="right"/>
            </w:pPr>
            <w:r w:rsidRPr="00494DC6">
              <w:t>0,00</w:t>
            </w:r>
          </w:p>
        </w:tc>
      </w:tr>
      <w:tr w:rsidR="00494DC6" w:rsidRPr="007A77F1" w14:paraId="78C0403B" w14:textId="77777777" w:rsidTr="007A77F1">
        <w:trPr>
          <w:trHeight w:val="340"/>
        </w:trPr>
        <w:tc>
          <w:tcPr>
            <w:tcW w:w="1058" w:type="pct"/>
            <w:tcBorders>
              <w:top w:val="nil"/>
              <w:left w:val="nil"/>
              <w:bottom w:val="single" w:sz="8" w:space="0" w:color="86BC25"/>
              <w:right w:val="nil"/>
            </w:tcBorders>
            <w:shd w:val="clear" w:color="000000" w:fill="E7F5CF"/>
            <w:vAlign w:val="center"/>
            <w:hideMark/>
          </w:tcPr>
          <w:p w14:paraId="15C4F00C" w14:textId="77777777" w:rsidR="00494DC6" w:rsidRPr="007A77F1" w:rsidRDefault="00494DC6" w:rsidP="007A77F1">
            <w:pPr>
              <w:spacing w:after="0"/>
              <w:rPr>
                <w:b/>
              </w:rPr>
            </w:pPr>
            <w:r w:rsidRPr="007A77F1">
              <w:rPr>
                <w:b/>
              </w:rPr>
              <w:t>Inovace</w:t>
            </w:r>
          </w:p>
        </w:tc>
        <w:tc>
          <w:tcPr>
            <w:tcW w:w="582" w:type="pct"/>
            <w:tcBorders>
              <w:top w:val="nil"/>
              <w:left w:val="nil"/>
              <w:bottom w:val="single" w:sz="8" w:space="0" w:color="86BC25"/>
              <w:right w:val="nil"/>
            </w:tcBorders>
            <w:shd w:val="clear" w:color="000000" w:fill="E7F5CF"/>
            <w:vAlign w:val="center"/>
            <w:hideMark/>
          </w:tcPr>
          <w:p w14:paraId="3F39AF16" w14:textId="77777777" w:rsidR="00494DC6" w:rsidRPr="007A77F1" w:rsidRDefault="00494DC6" w:rsidP="007A77F1">
            <w:pPr>
              <w:spacing w:after="0"/>
              <w:jc w:val="right"/>
              <w:rPr>
                <w:b/>
              </w:rPr>
            </w:pPr>
            <w:r w:rsidRPr="007A77F1">
              <w:rPr>
                <w:b/>
              </w:rPr>
              <w:t> </w:t>
            </w:r>
          </w:p>
        </w:tc>
        <w:tc>
          <w:tcPr>
            <w:tcW w:w="474" w:type="pct"/>
            <w:tcBorders>
              <w:top w:val="nil"/>
              <w:left w:val="nil"/>
              <w:bottom w:val="single" w:sz="8" w:space="0" w:color="86BC25"/>
              <w:right w:val="nil"/>
            </w:tcBorders>
            <w:shd w:val="clear" w:color="000000" w:fill="E7F5CF"/>
            <w:vAlign w:val="center"/>
            <w:hideMark/>
          </w:tcPr>
          <w:p w14:paraId="22FEB7B6" w14:textId="77777777" w:rsidR="00494DC6" w:rsidRPr="007A77F1" w:rsidRDefault="00494DC6" w:rsidP="007A77F1">
            <w:pPr>
              <w:spacing w:after="0"/>
              <w:jc w:val="right"/>
              <w:rPr>
                <w:b/>
              </w:rPr>
            </w:pPr>
            <w:r w:rsidRPr="007A77F1">
              <w:rPr>
                <w:b/>
              </w:rPr>
              <w:t> </w:t>
            </w:r>
          </w:p>
        </w:tc>
        <w:tc>
          <w:tcPr>
            <w:tcW w:w="491" w:type="pct"/>
            <w:tcBorders>
              <w:top w:val="nil"/>
              <w:left w:val="nil"/>
              <w:bottom w:val="single" w:sz="8" w:space="0" w:color="86BC25"/>
              <w:right w:val="nil"/>
            </w:tcBorders>
            <w:shd w:val="clear" w:color="000000" w:fill="E7F5CF"/>
            <w:vAlign w:val="center"/>
            <w:hideMark/>
          </w:tcPr>
          <w:p w14:paraId="20DA76FE" w14:textId="77777777" w:rsidR="00494DC6" w:rsidRPr="007A77F1" w:rsidRDefault="00494DC6" w:rsidP="007A77F1">
            <w:pPr>
              <w:spacing w:after="0"/>
              <w:jc w:val="right"/>
              <w:rPr>
                <w:b/>
              </w:rPr>
            </w:pPr>
            <w:r w:rsidRPr="007A77F1">
              <w:rPr>
                <w:b/>
              </w:rPr>
              <w:t> </w:t>
            </w:r>
          </w:p>
        </w:tc>
        <w:tc>
          <w:tcPr>
            <w:tcW w:w="474" w:type="pct"/>
            <w:tcBorders>
              <w:top w:val="nil"/>
              <w:left w:val="nil"/>
              <w:bottom w:val="single" w:sz="8" w:space="0" w:color="86BC25"/>
              <w:right w:val="nil"/>
            </w:tcBorders>
            <w:shd w:val="clear" w:color="000000" w:fill="E7F5CF"/>
            <w:vAlign w:val="center"/>
            <w:hideMark/>
          </w:tcPr>
          <w:p w14:paraId="7813B8C0" w14:textId="77777777" w:rsidR="00494DC6" w:rsidRPr="007A77F1" w:rsidRDefault="00494DC6" w:rsidP="007A77F1">
            <w:pPr>
              <w:spacing w:after="0"/>
              <w:jc w:val="right"/>
              <w:rPr>
                <w:b/>
              </w:rPr>
            </w:pPr>
            <w:r w:rsidRPr="007A77F1">
              <w:rPr>
                <w:b/>
              </w:rPr>
              <w:t> </w:t>
            </w:r>
          </w:p>
        </w:tc>
        <w:tc>
          <w:tcPr>
            <w:tcW w:w="484" w:type="pct"/>
            <w:tcBorders>
              <w:top w:val="nil"/>
              <w:left w:val="nil"/>
              <w:bottom w:val="single" w:sz="8" w:space="0" w:color="86BC25"/>
              <w:right w:val="nil"/>
            </w:tcBorders>
            <w:shd w:val="clear" w:color="000000" w:fill="E7F5CF"/>
            <w:noWrap/>
            <w:vAlign w:val="center"/>
            <w:hideMark/>
          </w:tcPr>
          <w:p w14:paraId="27A38CB8" w14:textId="77777777" w:rsidR="00494DC6" w:rsidRPr="007A77F1" w:rsidRDefault="00494DC6" w:rsidP="007A77F1">
            <w:pPr>
              <w:spacing w:after="0"/>
              <w:jc w:val="right"/>
              <w:rPr>
                <w:b/>
              </w:rPr>
            </w:pPr>
            <w:r w:rsidRPr="007A77F1">
              <w:rPr>
                <w:b/>
              </w:rPr>
              <w:t> </w:t>
            </w:r>
          </w:p>
        </w:tc>
        <w:tc>
          <w:tcPr>
            <w:tcW w:w="474" w:type="pct"/>
            <w:tcBorders>
              <w:top w:val="nil"/>
              <w:left w:val="nil"/>
              <w:bottom w:val="single" w:sz="8" w:space="0" w:color="86BC25"/>
              <w:right w:val="nil"/>
            </w:tcBorders>
            <w:shd w:val="clear" w:color="000000" w:fill="E7F5CF"/>
            <w:noWrap/>
            <w:vAlign w:val="center"/>
            <w:hideMark/>
          </w:tcPr>
          <w:p w14:paraId="485A4922" w14:textId="77777777" w:rsidR="00494DC6" w:rsidRPr="007A77F1" w:rsidRDefault="00494DC6" w:rsidP="007A77F1">
            <w:pPr>
              <w:spacing w:after="0"/>
              <w:jc w:val="right"/>
              <w:rPr>
                <w:b/>
              </w:rPr>
            </w:pPr>
            <w:r w:rsidRPr="007A77F1">
              <w:rPr>
                <w:b/>
              </w:rPr>
              <w:t> </w:t>
            </w:r>
          </w:p>
        </w:tc>
        <w:tc>
          <w:tcPr>
            <w:tcW w:w="491" w:type="pct"/>
            <w:tcBorders>
              <w:top w:val="nil"/>
              <w:left w:val="nil"/>
              <w:bottom w:val="single" w:sz="8" w:space="0" w:color="86BC25"/>
              <w:right w:val="nil"/>
            </w:tcBorders>
            <w:shd w:val="clear" w:color="000000" w:fill="E7F5CF"/>
            <w:noWrap/>
            <w:vAlign w:val="center"/>
            <w:hideMark/>
          </w:tcPr>
          <w:p w14:paraId="4AB47278" w14:textId="77777777" w:rsidR="00494DC6" w:rsidRPr="007A77F1" w:rsidRDefault="00494DC6" w:rsidP="007A77F1">
            <w:pPr>
              <w:spacing w:after="0"/>
              <w:jc w:val="right"/>
              <w:rPr>
                <w:b/>
              </w:rPr>
            </w:pPr>
            <w:r w:rsidRPr="007A77F1">
              <w:rPr>
                <w:b/>
              </w:rPr>
              <w:t> </w:t>
            </w:r>
          </w:p>
        </w:tc>
        <w:tc>
          <w:tcPr>
            <w:tcW w:w="472" w:type="pct"/>
            <w:tcBorders>
              <w:top w:val="nil"/>
              <w:left w:val="nil"/>
              <w:bottom w:val="single" w:sz="8" w:space="0" w:color="86BC25"/>
              <w:right w:val="nil"/>
            </w:tcBorders>
            <w:shd w:val="clear" w:color="000000" w:fill="E7F5CF"/>
            <w:noWrap/>
            <w:vAlign w:val="center"/>
            <w:hideMark/>
          </w:tcPr>
          <w:p w14:paraId="07984CA0" w14:textId="77777777" w:rsidR="00494DC6" w:rsidRPr="007A77F1" w:rsidRDefault="00494DC6" w:rsidP="007A77F1">
            <w:pPr>
              <w:spacing w:after="0"/>
              <w:jc w:val="right"/>
              <w:rPr>
                <w:b/>
              </w:rPr>
            </w:pPr>
            <w:r w:rsidRPr="007A77F1">
              <w:rPr>
                <w:b/>
              </w:rPr>
              <w:t> </w:t>
            </w:r>
          </w:p>
        </w:tc>
      </w:tr>
      <w:tr w:rsidR="00494DC6" w:rsidRPr="00494DC6" w14:paraId="40FB8873"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026D1AC9" w14:textId="77777777" w:rsidR="00494DC6" w:rsidRPr="00494DC6" w:rsidRDefault="00494DC6" w:rsidP="007A77F1">
            <w:pPr>
              <w:spacing w:after="0"/>
            </w:pPr>
            <w:r w:rsidRPr="00494DC6">
              <w:t>Alokace</w:t>
            </w:r>
          </w:p>
        </w:tc>
        <w:tc>
          <w:tcPr>
            <w:tcW w:w="582" w:type="pct"/>
            <w:tcBorders>
              <w:top w:val="nil"/>
              <w:left w:val="nil"/>
              <w:bottom w:val="single" w:sz="8" w:space="0" w:color="86BC25"/>
              <w:right w:val="nil"/>
            </w:tcBorders>
            <w:shd w:val="clear" w:color="auto" w:fill="auto"/>
            <w:vAlign w:val="center"/>
            <w:hideMark/>
          </w:tcPr>
          <w:p w14:paraId="2EA95488" w14:textId="77777777" w:rsidR="00494DC6" w:rsidRPr="00494DC6" w:rsidRDefault="00494DC6" w:rsidP="007A77F1">
            <w:pPr>
              <w:spacing w:after="0"/>
              <w:jc w:val="right"/>
            </w:pPr>
            <w:r w:rsidRPr="00494DC6">
              <w:t xml:space="preserve">      4 000    </w:t>
            </w:r>
          </w:p>
        </w:tc>
        <w:tc>
          <w:tcPr>
            <w:tcW w:w="474" w:type="pct"/>
            <w:tcBorders>
              <w:top w:val="nil"/>
              <w:left w:val="nil"/>
              <w:bottom w:val="single" w:sz="8" w:space="0" w:color="86BC25"/>
              <w:right w:val="nil"/>
            </w:tcBorders>
            <w:shd w:val="clear" w:color="auto" w:fill="auto"/>
            <w:noWrap/>
            <w:vAlign w:val="center"/>
            <w:hideMark/>
          </w:tcPr>
          <w:p w14:paraId="311CB223"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34EAB332" w14:textId="77777777" w:rsidR="00494DC6" w:rsidRPr="00494DC6" w:rsidRDefault="00494DC6" w:rsidP="007A77F1">
            <w:pPr>
              <w:spacing w:after="0"/>
              <w:jc w:val="right"/>
            </w:pPr>
            <w:r w:rsidRPr="00494DC6">
              <w:t xml:space="preserve">        50    </w:t>
            </w:r>
          </w:p>
        </w:tc>
        <w:tc>
          <w:tcPr>
            <w:tcW w:w="474" w:type="pct"/>
            <w:tcBorders>
              <w:top w:val="nil"/>
              <w:left w:val="nil"/>
              <w:bottom w:val="single" w:sz="8" w:space="0" w:color="86BC25"/>
              <w:right w:val="nil"/>
            </w:tcBorders>
            <w:shd w:val="clear" w:color="auto" w:fill="auto"/>
            <w:noWrap/>
            <w:vAlign w:val="center"/>
            <w:hideMark/>
          </w:tcPr>
          <w:p w14:paraId="2AE94DC5"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535958C7" w14:textId="77777777" w:rsidR="00494DC6" w:rsidRPr="00494DC6" w:rsidRDefault="00494DC6" w:rsidP="007A77F1">
            <w:pPr>
              <w:spacing w:after="0"/>
              <w:jc w:val="right"/>
            </w:pPr>
            <w:r w:rsidRPr="00494DC6">
              <w:t xml:space="preserve">   5 500    </w:t>
            </w:r>
          </w:p>
        </w:tc>
        <w:tc>
          <w:tcPr>
            <w:tcW w:w="474" w:type="pct"/>
            <w:tcBorders>
              <w:top w:val="nil"/>
              <w:left w:val="nil"/>
              <w:bottom w:val="single" w:sz="8" w:space="0" w:color="86BC25"/>
              <w:right w:val="nil"/>
            </w:tcBorders>
            <w:shd w:val="clear" w:color="auto" w:fill="auto"/>
            <w:noWrap/>
            <w:vAlign w:val="center"/>
            <w:hideMark/>
          </w:tcPr>
          <w:p w14:paraId="25AFBECF"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6237CFFB" w14:textId="77777777" w:rsidR="00494DC6" w:rsidRPr="00494DC6" w:rsidRDefault="00494DC6" w:rsidP="007A77F1">
            <w:pPr>
              <w:spacing w:after="0"/>
              <w:jc w:val="right"/>
            </w:pPr>
            <w:r w:rsidRPr="00494DC6">
              <w:t xml:space="preserve">   4 240    </w:t>
            </w:r>
          </w:p>
        </w:tc>
        <w:tc>
          <w:tcPr>
            <w:tcW w:w="472" w:type="pct"/>
            <w:tcBorders>
              <w:top w:val="nil"/>
              <w:left w:val="nil"/>
              <w:bottom w:val="single" w:sz="8" w:space="0" w:color="86BC25"/>
              <w:right w:val="nil"/>
            </w:tcBorders>
            <w:shd w:val="clear" w:color="auto" w:fill="auto"/>
            <w:noWrap/>
            <w:vAlign w:val="center"/>
            <w:hideMark/>
          </w:tcPr>
          <w:p w14:paraId="1232C6A6" w14:textId="77777777" w:rsidR="00494DC6" w:rsidRPr="00494DC6" w:rsidRDefault="00494DC6" w:rsidP="007A77F1">
            <w:pPr>
              <w:spacing w:after="0"/>
              <w:jc w:val="right"/>
            </w:pPr>
            <w:r w:rsidRPr="00494DC6">
              <w:t> </w:t>
            </w:r>
          </w:p>
        </w:tc>
      </w:tr>
      <w:tr w:rsidR="00494DC6" w:rsidRPr="00494DC6" w14:paraId="55DCB94E" w14:textId="77777777" w:rsidTr="007A77F1">
        <w:trPr>
          <w:trHeight w:val="340"/>
        </w:trPr>
        <w:tc>
          <w:tcPr>
            <w:tcW w:w="1058" w:type="pct"/>
            <w:tcBorders>
              <w:top w:val="nil"/>
              <w:left w:val="nil"/>
              <w:bottom w:val="nil"/>
              <w:right w:val="nil"/>
            </w:tcBorders>
            <w:shd w:val="clear" w:color="000000" w:fill="DBDBD2"/>
            <w:vAlign w:val="center"/>
            <w:hideMark/>
          </w:tcPr>
          <w:p w14:paraId="0CAE7BD2" w14:textId="77777777" w:rsidR="00494DC6" w:rsidRPr="00494DC6" w:rsidRDefault="00494DC6" w:rsidP="007A77F1">
            <w:pPr>
              <w:spacing w:after="0"/>
            </w:pPr>
            <w:r w:rsidRPr="00494DC6">
              <w:t>Podáno</w:t>
            </w:r>
          </w:p>
        </w:tc>
        <w:tc>
          <w:tcPr>
            <w:tcW w:w="582" w:type="pct"/>
            <w:tcBorders>
              <w:top w:val="nil"/>
              <w:left w:val="nil"/>
              <w:bottom w:val="single" w:sz="8" w:space="0" w:color="86BC25"/>
              <w:right w:val="nil"/>
            </w:tcBorders>
            <w:shd w:val="clear" w:color="auto" w:fill="auto"/>
            <w:vAlign w:val="center"/>
            <w:hideMark/>
          </w:tcPr>
          <w:p w14:paraId="1CD0EB2D" w14:textId="77777777" w:rsidR="00494DC6" w:rsidRPr="00494DC6" w:rsidRDefault="00494DC6" w:rsidP="007A77F1">
            <w:pPr>
              <w:spacing w:after="0"/>
              <w:jc w:val="right"/>
            </w:pPr>
            <w:r w:rsidRPr="00494DC6">
              <w:t xml:space="preserve">      9 395    </w:t>
            </w:r>
          </w:p>
        </w:tc>
        <w:tc>
          <w:tcPr>
            <w:tcW w:w="474" w:type="pct"/>
            <w:tcBorders>
              <w:top w:val="nil"/>
              <w:left w:val="nil"/>
              <w:bottom w:val="nil"/>
              <w:right w:val="nil"/>
            </w:tcBorders>
            <w:shd w:val="clear" w:color="auto" w:fill="auto"/>
            <w:vAlign w:val="center"/>
            <w:hideMark/>
          </w:tcPr>
          <w:p w14:paraId="15DAE68E"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09CB9AD3" w14:textId="77777777" w:rsidR="00494DC6" w:rsidRPr="00494DC6" w:rsidRDefault="00494DC6" w:rsidP="007A77F1">
            <w:pPr>
              <w:spacing w:after="0"/>
              <w:jc w:val="right"/>
            </w:pPr>
            <w:r w:rsidRPr="00494DC6">
              <w:t xml:space="preserve">        58    </w:t>
            </w:r>
          </w:p>
        </w:tc>
        <w:tc>
          <w:tcPr>
            <w:tcW w:w="474" w:type="pct"/>
            <w:tcBorders>
              <w:top w:val="nil"/>
              <w:left w:val="nil"/>
              <w:bottom w:val="nil"/>
              <w:right w:val="nil"/>
            </w:tcBorders>
            <w:shd w:val="clear" w:color="auto" w:fill="auto"/>
            <w:vAlign w:val="center"/>
            <w:hideMark/>
          </w:tcPr>
          <w:p w14:paraId="62FF3DD5" w14:textId="77777777" w:rsidR="00494DC6" w:rsidRPr="00494DC6" w:rsidRDefault="00494DC6" w:rsidP="007A77F1">
            <w:pPr>
              <w:spacing w:after="0"/>
              <w:jc w:val="right"/>
            </w:pPr>
          </w:p>
        </w:tc>
        <w:tc>
          <w:tcPr>
            <w:tcW w:w="484" w:type="pct"/>
            <w:tcBorders>
              <w:top w:val="nil"/>
              <w:left w:val="nil"/>
              <w:bottom w:val="single" w:sz="8" w:space="0" w:color="86BC25"/>
              <w:right w:val="nil"/>
            </w:tcBorders>
            <w:shd w:val="clear" w:color="auto" w:fill="auto"/>
            <w:vAlign w:val="center"/>
            <w:hideMark/>
          </w:tcPr>
          <w:p w14:paraId="74F40285" w14:textId="77777777" w:rsidR="00494DC6" w:rsidRPr="00494DC6" w:rsidRDefault="00494DC6" w:rsidP="007A77F1">
            <w:pPr>
              <w:spacing w:after="0"/>
              <w:jc w:val="right"/>
            </w:pPr>
            <w:r w:rsidRPr="00494DC6">
              <w:t xml:space="preserve">   5 817    </w:t>
            </w:r>
          </w:p>
        </w:tc>
        <w:tc>
          <w:tcPr>
            <w:tcW w:w="474" w:type="pct"/>
            <w:tcBorders>
              <w:top w:val="nil"/>
              <w:left w:val="nil"/>
              <w:bottom w:val="nil"/>
              <w:right w:val="nil"/>
            </w:tcBorders>
            <w:shd w:val="clear" w:color="auto" w:fill="auto"/>
            <w:noWrap/>
            <w:vAlign w:val="center"/>
            <w:hideMark/>
          </w:tcPr>
          <w:p w14:paraId="5011A8F8"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508C0749" w14:textId="77777777" w:rsidR="00494DC6" w:rsidRPr="00494DC6" w:rsidRDefault="00494DC6" w:rsidP="007A77F1">
            <w:pPr>
              <w:spacing w:after="0"/>
              <w:jc w:val="right"/>
            </w:pPr>
            <w:r w:rsidRPr="00494DC6">
              <w:t xml:space="preserve">   2 942    </w:t>
            </w:r>
          </w:p>
        </w:tc>
        <w:tc>
          <w:tcPr>
            <w:tcW w:w="472" w:type="pct"/>
            <w:tcBorders>
              <w:top w:val="nil"/>
              <w:left w:val="nil"/>
              <w:bottom w:val="nil"/>
              <w:right w:val="nil"/>
            </w:tcBorders>
            <w:shd w:val="clear" w:color="auto" w:fill="auto"/>
            <w:noWrap/>
            <w:vAlign w:val="center"/>
            <w:hideMark/>
          </w:tcPr>
          <w:p w14:paraId="27006984" w14:textId="77777777" w:rsidR="00494DC6" w:rsidRPr="00494DC6" w:rsidRDefault="00494DC6" w:rsidP="007A77F1">
            <w:pPr>
              <w:spacing w:after="0"/>
              <w:jc w:val="right"/>
            </w:pPr>
          </w:p>
        </w:tc>
      </w:tr>
      <w:tr w:rsidR="00494DC6" w:rsidRPr="00494DC6" w14:paraId="3A50EFFE"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0FBDC2B3" w14:textId="77777777" w:rsidR="00494DC6" w:rsidRPr="00494DC6" w:rsidRDefault="00494DC6" w:rsidP="007A77F1">
            <w:pPr>
              <w:spacing w:after="0"/>
            </w:pPr>
            <w:r w:rsidRPr="00494DC6">
              <w:t>z toho:</w:t>
            </w:r>
          </w:p>
        </w:tc>
        <w:tc>
          <w:tcPr>
            <w:tcW w:w="582" w:type="pct"/>
            <w:tcBorders>
              <w:top w:val="nil"/>
              <w:left w:val="nil"/>
              <w:bottom w:val="single" w:sz="8" w:space="0" w:color="86BC25"/>
              <w:right w:val="nil"/>
            </w:tcBorders>
            <w:shd w:val="clear" w:color="auto" w:fill="auto"/>
            <w:vAlign w:val="center"/>
            <w:hideMark/>
          </w:tcPr>
          <w:p w14:paraId="7DE30CF0" w14:textId="77777777" w:rsidR="00494DC6" w:rsidRPr="00494DC6" w:rsidRDefault="00494DC6" w:rsidP="007A77F1">
            <w:pPr>
              <w:spacing w:after="0"/>
              <w:jc w:val="right"/>
            </w:pPr>
            <w:r w:rsidRPr="00494DC6">
              <w:t> </w:t>
            </w:r>
          </w:p>
        </w:tc>
        <w:tc>
          <w:tcPr>
            <w:tcW w:w="474" w:type="pct"/>
            <w:tcBorders>
              <w:top w:val="single" w:sz="8" w:space="0" w:color="86BC25"/>
              <w:left w:val="nil"/>
              <w:bottom w:val="single" w:sz="8" w:space="0" w:color="86BC25"/>
              <w:right w:val="nil"/>
            </w:tcBorders>
            <w:shd w:val="clear" w:color="auto" w:fill="auto"/>
            <w:vAlign w:val="center"/>
            <w:hideMark/>
          </w:tcPr>
          <w:p w14:paraId="0A745112"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2B56D903" w14:textId="77777777" w:rsidR="00494DC6" w:rsidRPr="00494DC6" w:rsidRDefault="00494DC6" w:rsidP="007A77F1">
            <w:pPr>
              <w:spacing w:after="0"/>
              <w:jc w:val="right"/>
            </w:pPr>
            <w:r w:rsidRPr="00494DC6">
              <w:t> </w:t>
            </w:r>
          </w:p>
        </w:tc>
        <w:tc>
          <w:tcPr>
            <w:tcW w:w="474" w:type="pct"/>
            <w:tcBorders>
              <w:top w:val="single" w:sz="8" w:space="0" w:color="86BC25"/>
              <w:left w:val="nil"/>
              <w:bottom w:val="single" w:sz="8" w:space="0" w:color="86BC25"/>
              <w:right w:val="nil"/>
            </w:tcBorders>
            <w:shd w:val="clear" w:color="auto" w:fill="auto"/>
            <w:vAlign w:val="center"/>
            <w:hideMark/>
          </w:tcPr>
          <w:p w14:paraId="3DD007C8"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70C74644" w14:textId="77777777" w:rsidR="00494DC6" w:rsidRPr="00494DC6" w:rsidRDefault="00494DC6" w:rsidP="007A77F1">
            <w:pPr>
              <w:spacing w:after="0"/>
              <w:jc w:val="right"/>
            </w:pPr>
            <w:r w:rsidRPr="00494DC6">
              <w:t> </w:t>
            </w:r>
          </w:p>
        </w:tc>
        <w:tc>
          <w:tcPr>
            <w:tcW w:w="474" w:type="pct"/>
            <w:tcBorders>
              <w:top w:val="single" w:sz="8" w:space="0" w:color="86BC25"/>
              <w:left w:val="nil"/>
              <w:bottom w:val="single" w:sz="8" w:space="0" w:color="86BC25"/>
              <w:right w:val="nil"/>
            </w:tcBorders>
            <w:shd w:val="clear" w:color="auto" w:fill="auto"/>
            <w:noWrap/>
            <w:vAlign w:val="center"/>
            <w:hideMark/>
          </w:tcPr>
          <w:p w14:paraId="27DF8AE7"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45E07E7C" w14:textId="77777777" w:rsidR="00494DC6" w:rsidRPr="00494DC6" w:rsidRDefault="00494DC6" w:rsidP="007A77F1">
            <w:pPr>
              <w:spacing w:after="0"/>
              <w:jc w:val="right"/>
            </w:pPr>
            <w:r w:rsidRPr="00494DC6">
              <w:t> </w:t>
            </w:r>
          </w:p>
        </w:tc>
        <w:tc>
          <w:tcPr>
            <w:tcW w:w="472" w:type="pct"/>
            <w:tcBorders>
              <w:top w:val="single" w:sz="8" w:space="0" w:color="86BC25"/>
              <w:left w:val="nil"/>
              <w:bottom w:val="single" w:sz="8" w:space="0" w:color="86BC25"/>
              <w:right w:val="nil"/>
            </w:tcBorders>
            <w:shd w:val="clear" w:color="auto" w:fill="auto"/>
            <w:noWrap/>
            <w:vAlign w:val="center"/>
            <w:hideMark/>
          </w:tcPr>
          <w:p w14:paraId="50612839" w14:textId="77777777" w:rsidR="00494DC6" w:rsidRPr="00494DC6" w:rsidRDefault="00494DC6" w:rsidP="007A77F1">
            <w:pPr>
              <w:spacing w:after="0"/>
              <w:jc w:val="right"/>
            </w:pPr>
            <w:r w:rsidRPr="00494DC6">
              <w:t> </w:t>
            </w:r>
          </w:p>
        </w:tc>
      </w:tr>
      <w:tr w:rsidR="00494DC6" w:rsidRPr="00494DC6" w14:paraId="2AB7328B" w14:textId="77777777" w:rsidTr="007A77F1">
        <w:trPr>
          <w:trHeight w:val="340"/>
        </w:trPr>
        <w:tc>
          <w:tcPr>
            <w:tcW w:w="1058" w:type="pct"/>
            <w:tcBorders>
              <w:top w:val="nil"/>
              <w:left w:val="nil"/>
              <w:bottom w:val="nil"/>
              <w:right w:val="nil"/>
            </w:tcBorders>
            <w:shd w:val="clear" w:color="000000" w:fill="DBDBD2"/>
            <w:vAlign w:val="center"/>
            <w:hideMark/>
          </w:tcPr>
          <w:p w14:paraId="4E13C295" w14:textId="77777777" w:rsidR="00494DC6" w:rsidRPr="00494DC6" w:rsidRDefault="00494DC6" w:rsidP="007A77F1">
            <w:pPr>
              <w:spacing w:after="0"/>
            </w:pPr>
            <w:r w:rsidRPr="00494DC6">
              <w:t>- v hodnocení</w:t>
            </w:r>
          </w:p>
        </w:tc>
        <w:tc>
          <w:tcPr>
            <w:tcW w:w="582" w:type="pct"/>
            <w:tcBorders>
              <w:top w:val="nil"/>
              <w:left w:val="nil"/>
              <w:bottom w:val="single" w:sz="8" w:space="0" w:color="86BC25"/>
              <w:right w:val="nil"/>
            </w:tcBorders>
            <w:shd w:val="clear" w:color="auto" w:fill="auto"/>
            <w:vAlign w:val="center"/>
            <w:hideMark/>
          </w:tcPr>
          <w:p w14:paraId="671CA9C4"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51A9A3A9" w14:textId="77777777" w:rsidR="00494DC6" w:rsidRPr="00494DC6" w:rsidRDefault="00494DC6" w:rsidP="007A77F1">
            <w:pPr>
              <w:spacing w:after="0"/>
              <w:jc w:val="right"/>
            </w:pPr>
            <w:r w:rsidRPr="00494DC6">
              <w:t>0,00</w:t>
            </w:r>
          </w:p>
        </w:tc>
        <w:tc>
          <w:tcPr>
            <w:tcW w:w="491" w:type="pct"/>
            <w:tcBorders>
              <w:top w:val="nil"/>
              <w:left w:val="nil"/>
              <w:bottom w:val="single" w:sz="8" w:space="0" w:color="86BC25"/>
              <w:right w:val="nil"/>
            </w:tcBorders>
            <w:shd w:val="clear" w:color="auto" w:fill="auto"/>
            <w:vAlign w:val="center"/>
            <w:hideMark/>
          </w:tcPr>
          <w:p w14:paraId="73F873F7"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1D85C850" w14:textId="77777777" w:rsidR="00494DC6" w:rsidRPr="00494DC6" w:rsidRDefault="00494DC6" w:rsidP="007A77F1">
            <w:pPr>
              <w:spacing w:after="0"/>
              <w:jc w:val="right"/>
            </w:pPr>
            <w:r w:rsidRPr="00494DC6">
              <w:t>0,00</w:t>
            </w:r>
          </w:p>
        </w:tc>
        <w:tc>
          <w:tcPr>
            <w:tcW w:w="484" w:type="pct"/>
            <w:tcBorders>
              <w:top w:val="nil"/>
              <w:left w:val="nil"/>
              <w:bottom w:val="single" w:sz="8" w:space="0" w:color="86BC25"/>
              <w:right w:val="nil"/>
            </w:tcBorders>
            <w:shd w:val="clear" w:color="auto" w:fill="auto"/>
            <w:vAlign w:val="center"/>
            <w:hideMark/>
          </w:tcPr>
          <w:p w14:paraId="30626906" w14:textId="77777777" w:rsidR="00494DC6" w:rsidRPr="00494DC6" w:rsidRDefault="00494DC6" w:rsidP="007A77F1">
            <w:pPr>
              <w:spacing w:after="0"/>
              <w:jc w:val="right"/>
            </w:pPr>
            <w:r w:rsidRPr="00494DC6">
              <w:t xml:space="preserve">        -      </w:t>
            </w:r>
          </w:p>
        </w:tc>
        <w:tc>
          <w:tcPr>
            <w:tcW w:w="474" w:type="pct"/>
            <w:tcBorders>
              <w:top w:val="nil"/>
              <w:left w:val="nil"/>
              <w:bottom w:val="single" w:sz="8" w:space="0" w:color="86BC25"/>
              <w:right w:val="nil"/>
            </w:tcBorders>
            <w:shd w:val="clear" w:color="auto" w:fill="auto"/>
            <w:vAlign w:val="center"/>
            <w:hideMark/>
          </w:tcPr>
          <w:p w14:paraId="4A63DB5A" w14:textId="77777777" w:rsidR="00494DC6" w:rsidRPr="00494DC6" w:rsidRDefault="00494DC6" w:rsidP="007A77F1">
            <w:pPr>
              <w:spacing w:after="0"/>
              <w:jc w:val="right"/>
            </w:pPr>
            <w:r w:rsidRPr="00494DC6">
              <w:t>0,00</w:t>
            </w:r>
          </w:p>
        </w:tc>
        <w:tc>
          <w:tcPr>
            <w:tcW w:w="491" w:type="pct"/>
            <w:tcBorders>
              <w:top w:val="nil"/>
              <w:left w:val="nil"/>
              <w:bottom w:val="single" w:sz="8" w:space="0" w:color="86BC25"/>
              <w:right w:val="nil"/>
            </w:tcBorders>
            <w:shd w:val="clear" w:color="auto" w:fill="auto"/>
            <w:vAlign w:val="center"/>
            <w:hideMark/>
          </w:tcPr>
          <w:p w14:paraId="73E2F32B" w14:textId="77777777" w:rsidR="00494DC6" w:rsidRPr="00494DC6" w:rsidRDefault="00494DC6" w:rsidP="007A77F1">
            <w:pPr>
              <w:spacing w:after="0"/>
              <w:jc w:val="right"/>
            </w:pPr>
            <w:r w:rsidRPr="00494DC6">
              <w:t xml:space="preserve">        50    </w:t>
            </w:r>
          </w:p>
        </w:tc>
        <w:tc>
          <w:tcPr>
            <w:tcW w:w="472" w:type="pct"/>
            <w:tcBorders>
              <w:top w:val="nil"/>
              <w:left w:val="nil"/>
              <w:bottom w:val="single" w:sz="8" w:space="0" w:color="86BC25"/>
              <w:right w:val="nil"/>
            </w:tcBorders>
            <w:shd w:val="clear" w:color="auto" w:fill="auto"/>
            <w:vAlign w:val="center"/>
            <w:hideMark/>
          </w:tcPr>
          <w:p w14:paraId="6497B2E7" w14:textId="77777777" w:rsidR="00494DC6" w:rsidRPr="00494DC6" w:rsidRDefault="00494DC6" w:rsidP="007A77F1">
            <w:pPr>
              <w:spacing w:after="0"/>
              <w:jc w:val="right"/>
            </w:pPr>
            <w:r w:rsidRPr="00494DC6">
              <w:t>1,70</w:t>
            </w:r>
          </w:p>
        </w:tc>
      </w:tr>
      <w:tr w:rsidR="00494DC6" w:rsidRPr="00494DC6" w14:paraId="2E7EC4C0"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511AC42E" w14:textId="77777777" w:rsidR="00494DC6" w:rsidRPr="00494DC6" w:rsidRDefault="00494DC6" w:rsidP="007A77F1">
            <w:pPr>
              <w:spacing w:after="0"/>
            </w:pPr>
            <w:r w:rsidRPr="00494DC6">
              <w:t>- v realizaci</w:t>
            </w:r>
          </w:p>
        </w:tc>
        <w:tc>
          <w:tcPr>
            <w:tcW w:w="582" w:type="pct"/>
            <w:tcBorders>
              <w:top w:val="nil"/>
              <w:left w:val="nil"/>
              <w:bottom w:val="single" w:sz="8" w:space="0" w:color="86BC25"/>
              <w:right w:val="nil"/>
            </w:tcBorders>
            <w:shd w:val="clear" w:color="auto" w:fill="auto"/>
            <w:vAlign w:val="center"/>
            <w:hideMark/>
          </w:tcPr>
          <w:p w14:paraId="0AE4EFB5" w14:textId="77777777" w:rsidR="00494DC6" w:rsidRPr="00494DC6" w:rsidRDefault="00494DC6" w:rsidP="007A77F1">
            <w:pPr>
              <w:spacing w:after="0"/>
              <w:jc w:val="right"/>
            </w:pPr>
            <w:r w:rsidRPr="00494DC6">
              <w:t xml:space="preserve">      1 086    </w:t>
            </w:r>
          </w:p>
        </w:tc>
        <w:tc>
          <w:tcPr>
            <w:tcW w:w="474" w:type="pct"/>
            <w:tcBorders>
              <w:top w:val="nil"/>
              <w:left w:val="nil"/>
              <w:bottom w:val="single" w:sz="8" w:space="0" w:color="86BC25"/>
              <w:right w:val="nil"/>
            </w:tcBorders>
            <w:shd w:val="clear" w:color="auto" w:fill="auto"/>
            <w:vAlign w:val="center"/>
            <w:hideMark/>
          </w:tcPr>
          <w:p w14:paraId="0BCCA1D0" w14:textId="77777777" w:rsidR="00494DC6" w:rsidRPr="00494DC6" w:rsidRDefault="00494DC6" w:rsidP="007A77F1">
            <w:pPr>
              <w:spacing w:after="0"/>
              <w:jc w:val="right"/>
            </w:pPr>
            <w:r w:rsidRPr="00494DC6">
              <w:t>11,55</w:t>
            </w:r>
          </w:p>
        </w:tc>
        <w:tc>
          <w:tcPr>
            <w:tcW w:w="491" w:type="pct"/>
            <w:tcBorders>
              <w:top w:val="nil"/>
              <w:left w:val="nil"/>
              <w:bottom w:val="single" w:sz="8" w:space="0" w:color="86BC25"/>
              <w:right w:val="nil"/>
            </w:tcBorders>
            <w:shd w:val="clear" w:color="auto" w:fill="auto"/>
            <w:vAlign w:val="center"/>
            <w:hideMark/>
          </w:tcPr>
          <w:p w14:paraId="44685EBC" w14:textId="77777777" w:rsidR="00494DC6" w:rsidRPr="00494DC6" w:rsidRDefault="00494DC6" w:rsidP="007A77F1">
            <w:pPr>
              <w:spacing w:after="0"/>
              <w:jc w:val="right"/>
            </w:pPr>
            <w:r w:rsidRPr="00494DC6">
              <w:t xml:space="preserve">        41    </w:t>
            </w:r>
          </w:p>
        </w:tc>
        <w:tc>
          <w:tcPr>
            <w:tcW w:w="474" w:type="pct"/>
            <w:tcBorders>
              <w:top w:val="nil"/>
              <w:left w:val="nil"/>
              <w:bottom w:val="single" w:sz="8" w:space="0" w:color="86BC25"/>
              <w:right w:val="nil"/>
            </w:tcBorders>
            <w:shd w:val="clear" w:color="auto" w:fill="auto"/>
            <w:vAlign w:val="center"/>
            <w:hideMark/>
          </w:tcPr>
          <w:p w14:paraId="730738A5" w14:textId="77777777" w:rsidR="00494DC6" w:rsidRPr="00494DC6" w:rsidRDefault="00494DC6" w:rsidP="007A77F1">
            <w:pPr>
              <w:spacing w:after="0"/>
              <w:jc w:val="right"/>
            </w:pPr>
            <w:r w:rsidRPr="00494DC6">
              <w:t>70,26</w:t>
            </w:r>
          </w:p>
        </w:tc>
        <w:tc>
          <w:tcPr>
            <w:tcW w:w="484" w:type="pct"/>
            <w:tcBorders>
              <w:top w:val="nil"/>
              <w:left w:val="nil"/>
              <w:bottom w:val="single" w:sz="8" w:space="0" w:color="86BC25"/>
              <w:right w:val="nil"/>
            </w:tcBorders>
            <w:shd w:val="clear" w:color="auto" w:fill="auto"/>
            <w:vAlign w:val="center"/>
            <w:hideMark/>
          </w:tcPr>
          <w:p w14:paraId="771516C9" w14:textId="77777777" w:rsidR="00494DC6" w:rsidRPr="00494DC6" w:rsidRDefault="00494DC6" w:rsidP="007A77F1">
            <w:pPr>
              <w:spacing w:after="0"/>
              <w:jc w:val="right"/>
            </w:pPr>
            <w:r w:rsidRPr="00494DC6">
              <w:t xml:space="preserve">   2 633    </w:t>
            </w:r>
          </w:p>
        </w:tc>
        <w:tc>
          <w:tcPr>
            <w:tcW w:w="474" w:type="pct"/>
            <w:tcBorders>
              <w:top w:val="nil"/>
              <w:left w:val="nil"/>
              <w:bottom w:val="single" w:sz="8" w:space="0" w:color="86BC25"/>
              <w:right w:val="nil"/>
            </w:tcBorders>
            <w:shd w:val="clear" w:color="auto" w:fill="auto"/>
            <w:vAlign w:val="center"/>
            <w:hideMark/>
          </w:tcPr>
          <w:p w14:paraId="7F181F2B" w14:textId="77777777" w:rsidR="00494DC6" w:rsidRPr="00494DC6" w:rsidRDefault="00494DC6" w:rsidP="007A77F1">
            <w:pPr>
              <w:spacing w:after="0"/>
              <w:jc w:val="right"/>
            </w:pPr>
            <w:r w:rsidRPr="00494DC6">
              <w:t>45,26</w:t>
            </w:r>
          </w:p>
        </w:tc>
        <w:tc>
          <w:tcPr>
            <w:tcW w:w="491" w:type="pct"/>
            <w:tcBorders>
              <w:top w:val="nil"/>
              <w:left w:val="nil"/>
              <w:bottom w:val="single" w:sz="8" w:space="0" w:color="86BC25"/>
              <w:right w:val="nil"/>
            </w:tcBorders>
            <w:shd w:val="clear" w:color="auto" w:fill="auto"/>
            <w:vAlign w:val="center"/>
            <w:hideMark/>
          </w:tcPr>
          <w:p w14:paraId="5B70A217" w14:textId="77777777" w:rsidR="00494DC6" w:rsidRPr="00494DC6" w:rsidRDefault="00494DC6" w:rsidP="007A77F1">
            <w:pPr>
              <w:spacing w:after="0"/>
              <w:jc w:val="right"/>
            </w:pPr>
            <w:r w:rsidRPr="00494DC6">
              <w:t xml:space="preserve">   1 874    </w:t>
            </w:r>
          </w:p>
        </w:tc>
        <w:tc>
          <w:tcPr>
            <w:tcW w:w="472" w:type="pct"/>
            <w:tcBorders>
              <w:top w:val="nil"/>
              <w:left w:val="nil"/>
              <w:bottom w:val="single" w:sz="8" w:space="0" w:color="86BC25"/>
              <w:right w:val="nil"/>
            </w:tcBorders>
            <w:shd w:val="clear" w:color="auto" w:fill="auto"/>
            <w:vAlign w:val="center"/>
            <w:hideMark/>
          </w:tcPr>
          <w:p w14:paraId="0B0734BC" w14:textId="77777777" w:rsidR="00494DC6" w:rsidRPr="00494DC6" w:rsidRDefault="00494DC6" w:rsidP="007A77F1">
            <w:pPr>
              <w:spacing w:after="0"/>
              <w:jc w:val="right"/>
            </w:pPr>
            <w:r w:rsidRPr="00494DC6">
              <w:t>63,70</w:t>
            </w:r>
          </w:p>
        </w:tc>
      </w:tr>
      <w:tr w:rsidR="00494DC6" w:rsidRPr="00494DC6" w14:paraId="02B6CE49" w14:textId="77777777" w:rsidTr="007A77F1">
        <w:trPr>
          <w:trHeight w:val="340"/>
        </w:trPr>
        <w:tc>
          <w:tcPr>
            <w:tcW w:w="1058" w:type="pct"/>
            <w:tcBorders>
              <w:top w:val="nil"/>
              <w:left w:val="nil"/>
              <w:bottom w:val="nil"/>
              <w:right w:val="nil"/>
            </w:tcBorders>
            <w:shd w:val="clear" w:color="000000" w:fill="DBDBD2"/>
            <w:vAlign w:val="center"/>
            <w:hideMark/>
          </w:tcPr>
          <w:p w14:paraId="504EB2EB" w14:textId="77777777" w:rsidR="00494DC6" w:rsidRPr="00494DC6" w:rsidRDefault="00494DC6" w:rsidP="007A77F1">
            <w:pPr>
              <w:spacing w:after="0"/>
            </w:pPr>
            <w:r w:rsidRPr="00494DC6">
              <w:t>- ukončeno</w:t>
            </w:r>
          </w:p>
        </w:tc>
        <w:tc>
          <w:tcPr>
            <w:tcW w:w="582" w:type="pct"/>
            <w:tcBorders>
              <w:top w:val="nil"/>
              <w:left w:val="nil"/>
              <w:bottom w:val="single" w:sz="8" w:space="0" w:color="86BC25"/>
              <w:right w:val="nil"/>
            </w:tcBorders>
            <w:shd w:val="clear" w:color="auto" w:fill="auto"/>
            <w:vAlign w:val="center"/>
            <w:hideMark/>
          </w:tcPr>
          <w:p w14:paraId="7632D1E9" w14:textId="77777777" w:rsidR="00494DC6" w:rsidRPr="00494DC6" w:rsidRDefault="00494DC6" w:rsidP="007A77F1">
            <w:pPr>
              <w:spacing w:after="0"/>
              <w:jc w:val="right"/>
            </w:pPr>
            <w:r w:rsidRPr="00494DC6">
              <w:t xml:space="preserve">      1 488    </w:t>
            </w:r>
          </w:p>
        </w:tc>
        <w:tc>
          <w:tcPr>
            <w:tcW w:w="474" w:type="pct"/>
            <w:tcBorders>
              <w:top w:val="nil"/>
              <w:left w:val="nil"/>
              <w:bottom w:val="single" w:sz="8" w:space="0" w:color="86BC25"/>
              <w:right w:val="nil"/>
            </w:tcBorders>
            <w:shd w:val="clear" w:color="auto" w:fill="auto"/>
            <w:vAlign w:val="center"/>
            <w:hideMark/>
          </w:tcPr>
          <w:p w14:paraId="16ABD11B" w14:textId="77777777" w:rsidR="00494DC6" w:rsidRPr="00494DC6" w:rsidRDefault="00494DC6" w:rsidP="007A77F1">
            <w:pPr>
              <w:spacing w:after="0"/>
              <w:jc w:val="right"/>
            </w:pPr>
            <w:r w:rsidRPr="00494DC6">
              <w:t>15,84</w:t>
            </w:r>
          </w:p>
        </w:tc>
        <w:tc>
          <w:tcPr>
            <w:tcW w:w="491" w:type="pct"/>
            <w:tcBorders>
              <w:top w:val="nil"/>
              <w:left w:val="nil"/>
              <w:bottom w:val="single" w:sz="8" w:space="0" w:color="86BC25"/>
              <w:right w:val="nil"/>
            </w:tcBorders>
            <w:shd w:val="clear" w:color="auto" w:fill="auto"/>
            <w:vAlign w:val="center"/>
            <w:hideMark/>
          </w:tcPr>
          <w:p w14:paraId="5881BD38" w14:textId="77777777" w:rsidR="00494DC6" w:rsidRPr="00494DC6" w:rsidRDefault="00494DC6" w:rsidP="007A77F1">
            <w:pPr>
              <w:spacing w:after="0"/>
              <w:jc w:val="right"/>
            </w:pPr>
            <w:r w:rsidRPr="00494DC6">
              <w:t xml:space="preserve">          7    </w:t>
            </w:r>
          </w:p>
        </w:tc>
        <w:tc>
          <w:tcPr>
            <w:tcW w:w="474" w:type="pct"/>
            <w:tcBorders>
              <w:top w:val="nil"/>
              <w:left w:val="nil"/>
              <w:bottom w:val="single" w:sz="8" w:space="0" w:color="86BC25"/>
              <w:right w:val="nil"/>
            </w:tcBorders>
            <w:shd w:val="clear" w:color="auto" w:fill="auto"/>
            <w:vAlign w:val="center"/>
            <w:hideMark/>
          </w:tcPr>
          <w:p w14:paraId="0444E0F8" w14:textId="77777777" w:rsidR="00494DC6" w:rsidRPr="00494DC6" w:rsidRDefault="00494DC6" w:rsidP="007A77F1">
            <w:pPr>
              <w:spacing w:after="0"/>
              <w:jc w:val="right"/>
            </w:pPr>
            <w:r w:rsidRPr="00494DC6">
              <w:t>11,34</w:t>
            </w:r>
          </w:p>
        </w:tc>
        <w:tc>
          <w:tcPr>
            <w:tcW w:w="484" w:type="pct"/>
            <w:tcBorders>
              <w:top w:val="nil"/>
              <w:left w:val="nil"/>
              <w:bottom w:val="single" w:sz="8" w:space="0" w:color="86BC25"/>
              <w:right w:val="nil"/>
            </w:tcBorders>
            <w:shd w:val="clear" w:color="auto" w:fill="auto"/>
            <w:vAlign w:val="center"/>
            <w:hideMark/>
          </w:tcPr>
          <w:p w14:paraId="6177327A" w14:textId="77777777" w:rsidR="00494DC6" w:rsidRPr="00494DC6" w:rsidRDefault="00494DC6" w:rsidP="007A77F1">
            <w:pPr>
              <w:spacing w:after="0"/>
              <w:jc w:val="right"/>
            </w:pPr>
            <w:r w:rsidRPr="00494DC6">
              <w:t xml:space="preserve">      318    </w:t>
            </w:r>
          </w:p>
        </w:tc>
        <w:tc>
          <w:tcPr>
            <w:tcW w:w="474" w:type="pct"/>
            <w:tcBorders>
              <w:top w:val="nil"/>
              <w:left w:val="nil"/>
              <w:bottom w:val="single" w:sz="8" w:space="0" w:color="86BC25"/>
              <w:right w:val="nil"/>
            </w:tcBorders>
            <w:shd w:val="clear" w:color="auto" w:fill="auto"/>
            <w:vAlign w:val="center"/>
            <w:hideMark/>
          </w:tcPr>
          <w:p w14:paraId="34D86EDA" w14:textId="77777777" w:rsidR="00494DC6" w:rsidRPr="00494DC6" w:rsidRDefault="00494DC6" w:rsidP="007A77F1">
            <w:pPr>
              <w:spacing w:after="0"/>
              <w:jc w:val="right"/>
            </w:pPr>
            <w:r w:rsidRPr="00494DC6">
              <w:t>5,47</w:t>
            </w:r>
          </w:p>
        </w:tc>
        <w:tc>
          <w:tcPr>
            <w:tcW w:w="491" w:type="pct"/>
            <w:tcBorders>
              <w:top w:val="nil"/>
              <w:left w:val="nil"/>
              <w:bottom w:val="single" w:sz="8" w:space="0" w:color="86BC25"/>
              <w:right w:val="nil"/>
            </w:tcBorders>
            <w:shd w:val="clear" w:color="auto" w:fill="auto"/>
            <w:vAlign w:val="center"/>
            <w:hideMark/>
          </w:tcPr>
          <w:p w14:paraId="6E2176B0" w14:textId="77777777" w:rsidR="00494DC6" w:rsidRPr="00494DC6" w:rsidRDefault="00494DC6" w:rsidP="007A77F1">
            <w:pPr>
              <w:spacing w:after="0"/>
              <w:jc w:val="right"/>
            </w:pPr>
            <w:r w:rsidRPr="00494DC6">
              <w:t xml:space="preserve">        65    </w:t>
            </w:r>
          </w:p>
        </w:tc>
        <w:tc>
          <w:tcPr>
            <w:tcW w:w="472" w:type="pct"/>
            <w:tcBorders>
              <w:top w:val="nil"/>
              <w:left w:val="nil"/>
              <w:bottom w:val="single" w:sz="8" w:space="0" w:color="86BC25"/>
              <w:right w:val="nil"/>
            </w:tcBorders>
            <w:shd w:val="clear" w:color="auto" w:fill="auto"/>
            <w:vAlign w:val="center"/>
            <w:hideMark/>
          </w:tcPr>
          <w:p w14:paraId="14D32172" w14:textId="77777777" w:rsidR="00494DC6" w:rsidRPr="00494DC6" w:rsidRDefault="00494DC6" w:rsidP="007A77F1">
            <w:pPr>
              <w:spacing w:after="0"/>
              <w:jc w:val="right"/>
            </w:pPr>
            <w:r w:rsidRPr="00494DC6">
              <w:t>2,19</w:t>
            </w:r>
          </w:p>
        </w:tc>
      </w:tr>
      <w:tr w:rsidR="00494DC6" w:rsidRPr="00494DC6" w14:paraId="1D15316F"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3A147F04" w14:textId="77777777" w:rsidR="00494DC6" w:rsidRPr="00494DC6" w:rsidRDefault="00494DC6" w:rsidP="007A77F1">
            <w:pPr>
              <w:spacing w:after="0"/>
            </w:pPr>
            <w:r w:rsidRPr="00494DC6">
              <w:t>- zamítnuto</w:t>
            </w:r>
          </w:p>
        </w:tc>
        <w:tc>
          <w:tcPr>
            <w:tcW w:w="582" w:type="pct"/>
            <w:tcBorders>
              <w:top w:val="nil"/>
              <w:left w:val="nil"/>
              <w:bottom w:val="single" w:sz="8" w:space="0" w:color="86BC25"/>
              <w:right w:val="nil"/>
            </w:tcBorders>
            <w:shd w:val="clear" w:color="auto" w:fill="auto"/>
            <w:vAlign w:val="center"/>
            <w:hideMark/>
          </w:tcPr>
          <w:p w14:paraId="3F5994A5" w14:textId="77777777" w:rsidR="00494DC6" w:rsidRPr="00494DC6" w:rsidRDefault="00494DC6" w:rsidP="007A77F1">
            <w:pPr>
              <w:spacing w:after="0"/>
              <w:jc w:val="right"/>
            </w:pPr>
            <w:r w:rsidRPr="00494DC6">
              <w:t xml:space="preserve">      2 547    </w:t>
            </w:r>
          </w:p>
        </w:tc>
        <w:tc>
          <w:tcPr>
            <w:tcW w:w="474" w:type="pct"/>
            <w:tcBorders>
              <w:top w:val="nil"/>
              <w:left w:val="nil"/>
              <w:bottom w:val="single" w:sz="8" w:space="0" w:color="86BC25"/>
              <w:right w:val="nil"/>
            </w:tcBorders>
            <w:shd w:val="clear" w:color="auto" w:fill="auto"/>
            <w:vAlign w:val="center"/>
            <w:hideMark/>
          </w:tcPr>
          <w:p w14:paraId="6AA866C4" w14:textId="77777777" w:rsidR="00494DC6" w:rsidRPr="00494DC6" w:rsidRDefault="00494DC6" w:rsidP="007A77F1">
            <w:pPr>
              <w:spacing w:after="0"/>
              <w:jc w:val="right"/>
            </w:pPr>
            <w:r w:rsidRPr="00494DC6">
              <w:t>27,11</w:t>
            </w:r>
          </w:p>
        </w:tc>
        <w:tc>
          <w:tcPr>
            <w:tcW w:w="491" w:type="pct"/>
            <w:tcBorders>
              <w:top w:val="nil"/>
              <w:left w:val="nil"/>
              <w:bottom w:val="single" w:sz="8" w:space="0" w:color="86BC25"/>
              <w:right w:val="nil"/>
            </w:tcBorders>
            <w:shd w:val="clear" w:color="auto" w:fill="auto"/>
            <w:vAlign w:val="center"/>
            <w:hideMark/>
          </w:tcPr>
          <w:p w14:paraId="597B4B76" w14:textId="77777777" w:rsidR="00494DC6" w:rsidRPr="00494DC6" w:rsidRDefault="00494DC6" w:rsidP="007A77F1">
            <w:pPr>
              <w:spacing w:after="0"/>
              <w:jc w:val="right"/>
            </w:pPr>
            <w:r w:rsidRPr="00494DC6">
              <w:t xml:space="preserve">          1    </w:t>
            </w:r>
          </w:p>
        </w:tc>
        <w:tc>
          <w:tcPr>
            <w:tcW w:w="474" w:type="pct"/>
            <w:tcBorders>
              <w:top w:val="nil"/>
              <w:left w:val="nil"/>
              <w:bottom w:val="single" w:sz="8" w:space="0" w:color="86BC25"/>
              <w:right w:val="nil"/>
            </w:tcBorders>
            <w:shd w:val="clear" w:color="auto" w:fill="auto"/>
            <w:vAlign w:val="center"/>
            <w:hideMark/>
          </w:tcPr>
          <w:p w14:paraId="6A0ADB09" w14:textId="77777777" w:rsidR="00494DC6" w:rsidRPr="00494DC6" w:rsidRDefault="00494DC6" w:rsidP="007A77F1">
            <w:pPr>
              <w:spacing w:after="0"/>
              <w:jc w:val="right"/>
            </w:pPr>
            <w:r w:rsidRPr="00494DC6">
              <w:t>1,32</w:t>
            </w:r>
          </w:p>
        </w:tc>
        <w:tc>
          <w:tcPr>
            <w:tcW w:w="484" w:type="pct"/>
            <w:tcBorders>
              <w:top w:val="nil"/>
              <w:left w:val="nil"/>
              <w:bottom w:val="single" w:sz="8" w:space="0" w:color="86BC25"/>
              <w:right w:val="nil"/>
            </w:tcBorders>
            <w:shd w:val="clear" w:color="auto" w:fill="auto"/>
            <w:vAlign w:val="center"/>
            <w:hideMark/>
          </w:tcPr>
          <w:p w14:paraId="3D81DB0F" w14:textId="77777777" w:rsidR="00494DC6" w:rsidRPr="00494DC6" w:rsidRDefault="00494DC6" w:rsidP="007A77F1">
            <w:pPr>
              <w:spacing w:after="0"/>
              <w:jc w:val="right"/>
            </w:pPr>
            <w:r w:rsidRPr="00494DC6">
              <w:t xml:space="preserve">   2 052    </w:t>
            </w:r>
          </w:p>
        </w:tc>
        <w:tc>
          <w:tcPr>
            <w:tcW w:w="474" w:type="pct"/>
            <w:tcBorders>
              <w:top w:val="nil"/>
              <w:left w:val="nil"/>
              <w:bottom w:val="single" w:sz="8" w:space="0" w:color="86BC25"/>
              <w:right w:val="nil"/>
            </w:tcBorders>
            <w:shd w:val="clear" w:color="auto" w:fill="auto"/>
            <w:vAlign w:val="center"/>
            <w:hideMark/>
          </w:tcPr>
          <w:p w14:paraId="39BDB2C7" w14:textId="77777777" w:rsidR="00494DC6" w:rsidRPr="00494DC6" w:rsidRDefault="00494DC6" w:rsidP="007A77F1">
            <w:pPr>
              <w:spacing w:after="0"/>
              <w:jc w:val="right"/>
            </w:pPr>
            <w:r w:rsidRPr="00494DC6">
              <w:t>35,28</w:t>
            </w:r>
          </w:p>
        </w:tc>
        <w:tc>
          <w:tcPr>
            <w:tcW w:w="491" w:type="pct"/>
            <w:tcBorders>
              <w:top w:val="nil"/>
              <w:left w:val="nil"/>
              <w:bottom w:val="single" w:sz="8" w:space="0" w:color="86BC25"/>
              <w:right w:val="nil"/>
            </w:tcBorders>
            <w:shd w:val="clear" w:color="auto" w:fill="auto"/>
            <w:vAlign w:val="center"/>
            <w:hideMark/>
          </w:tcPr>
          <w:p w14:paraId="3D805E73" w14:textId="77777777" w:rsidR="00494DC6" w:rsidRPr="00494DC6" w:rsidRDefault="00494DC6" w:rsidP="007A77F1">
            <w:pPr>
              <w:spacing w:after="0"/>
              <w:jc w:val="right"/>
            </w:pPr>
            <w:r w:rsidRPr="00494DC6">
              <w:t xml:space="preserve">      679    </w:t>
            </w:r>
          </w:p>
        </w:tc>
        <w:tc>
          <w:tcPr>
            <w:tcW w:w="472" w:type="pct"/>
            <w:tcBorders>
              <w:top w:val="nil"/>
              <w:left w:val="nil"/>
              <w:bottom w:val="single" w:sz="8" w:space="0" w:color="86BC25"/>
              <w:right w:val="nil"/>
            </w:tcBorders>
            <w:shd w:val="clear" w:color="auto" w:fill="auto"/>
            <w:vAlign w:val="center"/>
            <w:hideMark/>
          </w:tcPr>
          <w:p w14:paraId="00B439AC" w14:textId="77777777" w:rsidR="00494DC6" w:rsidRPr="00494DC6" w:rsidRDefault="00494DC6" w:rsidP="007A77F1">
            <w:pPr>
              <w:spacing w:after="0"/>
              <w:jc w:val="right"/>
            </w:pPr>
            <w:r w:rsidRPr="00494DC6">
              <w:t>23,09</w:t>
            </w:r>
          </w:p>
        </w:tc>
      </w:tr>
      <w:tr w:rsidR="00494DC6" w:rsidRPr="00494DC6" w14:paraId="65C17C71"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511640C6" w14:textId="77777777" w:rsidR="00494DC6" w:rsidRPr="00494DC6" w:rsidRDefault="00494DC6" w:rsidP="007A77F1">
            <w:pPr>
              <w:spacing w:after="0"/>
            </w:pPr>
            <w:r w:rsidRPr="00494DC6">
              <w:t xml:space="preserve">- odstup před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5DBFBBEA" w14:textId="77777777" w:rsidR="00494DC6" w:rsidRPr="00494DC6" w:rsidRDefault="00494DC6" w:rsidP="007A77F1">
            <w:pPr>
              <w:spacing w:after="0"/>
              <w:jc w:val="right"/>
            </w:pPr>
            <w:r w:rsidRPr="00494DC6">
              <w:t xml:space="preserve">      4 049    </w:t>
            </w:r>
          </w:p>
        </w:tc>
        <w:tc>
          <w:tcPr>
            <w:tcW w:w="474" w:type="pct"/>
            <w:tcBorders>
              <w:top w:val="nil"/>
              <w:left w:val="nil"/>
              <w:bottom w:val="single" w:sz="8" w:space="0" w:color="86BC25"/>
              <w:right w:val="nil"/>
            </w:tcBorders>
            <w:shd w:val="clear" w:color="auto" w:fill="auto"/>
            <w:vAlign w:val="center"/>
            <w:hideMark/>
          </w:tcPr>
          <w:p w14:paraId="1F98E936" w14:textId="77777777" w:rsidR="00494DC6" w:rsidRPr="00494DC6" w:rsidRDefault="00494DC6" w:rsidP="007A77F1">
            <w:pPr>
              <w:spacing w:after="0"/>
              <w:jc w:val="right"/>
            </w:pPr>
            <w:r w:rsidRPr="00494DC6">
              <w:t>43,09</w:t>
            </w:r>
          </w:p>
        </w:tc>
        <w:tc>
          <w:tcPr>
            <w:tcW w:w="491" w:type="pct"/>
            <w:tcBorders>
              <w:top w:val="nil"/>
              <w:left w:val="nil"/>
              <w:bottom w:val="single" w:sz="8" w:space="0" w:color="86BC25"/>
              <w:right w:val="nil"/>
            </w:tcBorders>
            <w:shd w:val="clear" w:color="auto" w:fill="auto"/>
            <w:vAlign w:val="center"/>
            <w:hideMark/>
          </w:tcPr>
          <w:p w14:paraId="483770FE" w14:textId="77777777" w:rsidR="00494DC6" w:rsidRPr="00494DC6" w:rsidRDefault="00494DC6" w:rsidP="007A77F1">
            <w:pPr>
              <w:spacing w:after="0"/>
              <w:jc w:val="right"/>
            </w:pPr>
            <w:r w:rsidRPr="00494DC6">
              <w:t xml:space="preserve">          6    </w:t>
            </w:r>
          </w:p>
        </w:tc>
        <w:tc>
          <w:tcPr>
            <w:tcW w:w="474" w:type="pct"/>
            <w:tcBorders>
              <w:top w:val="nil"/>
              <w:left w:val="nil"/>
              <w:bottom w:val="single" w:sz="8" w:space="0" w:color="86BC25"/>
              <w:right w:val="nil"/>
            </w:tcBorders>
            <w:shd w:val="clear" w:color="auto" w:fill="auto"/>
            <w:vAlign w:val="center"/>
            <w:hideMark/>
          </w:tcPr>
          <w:p w14:paraId="11F698D8" w14:textId="77777777" w:rsidR="00494DC6" w:rsidRPr="00494DC6" w:rsidRDefault="00494DC6" w:rsidP="007A77F1">
            <w:pPr>
              <w:spacing w:after="0"/>
              <w:jc w:val="right"/>
            </w:pPr>
            <w:r w:rsidRPr="00494DC6">
              <w:t>9,61</w:t>
            </w:r>
          </w:p>
        </w:tc>
        <w:tc>
          <w:tcPr>
            <w:tcW w:w="484" w:type="pct"/>
            <w:tcBorders>
              <w:top w:val="nil"/>
              <w:left w:val="nil"/>
              <w:bottom w:val="single" w:sz="8" w:space="0" w:color="86BC25"/>
              <w:right w:val="nil"/>
            </w:tcBorders>
            <w:shd w:val="clear" w:color="auto" w:fill="auto"/>
            <w:vAlign w:val="center"/>
            <w:hideMark/>
          </w:tcPr>
          <w:p w14:paraId="3C523E68" w14:textId="77777777" w:rsidR="00494DC6" w:rsidRPr="00494DC6" w:rsidRDefault="00494DC6" w:rsidP="007A77F1">
            <w:pPr>
              <w:spacing w:after="0"/>
              <w:jc w:val="right"/>
            </w:pPr>
            <w:r w:rsidRPr="00494DC6">
              <w:t xml:space="preserve">      675    </w:t>
            </w:r>
          </w:p>
        </w:tc>
        <w:tc>
          <w:tcPr>
            <w:tcW w:w="474" w:type="pct"/>
            <w:tcBorders>
              <w:top w:val="nil"/>
              <w:left w:val="nil"/>
              <w:bottom w:val="single" w:sz="8" w:space="0" w:color="86BC25"/>
              <w:right w:val="nil"/>
            </w:tcBorders>
            <w:shd w:val="clear" w:color="auto" w:fill="auto"/>
            <w:vAlign w:val="center"/>
            <w:hideMark/>
          </w:tcPr>
          <w:p w14:paraId="3A30EE81" w14:textId="77777777" w:rsidR="00494DC6" w:rsidRPr="00494DC6" w:rsidRDefault="00494DC6" w:rsidP="007A77F1">
            <w:pPr>
              <w:spacing w:after="0"/>
              <w:jc w:val="right"/>
            </w:pPr>
            <w:r w:rsidRPr="00494DC6">
              <w:t>11,61</w:t>
            </w:r>
          </w:p>
        </w:tc>
        <w:tc>
          <w:tcPr>
            <w:tcW w:w="491" w:type="pct"/>
            <w:tcBorders>
              <w:top w:val="nil"/>
              <w:left w:val="nil"/>
              <w:bottom w:val="single" w:sz="8" w:space="0" w:color="86BC25"/>
              <w:right w:val="nil"/>
            </w:tcBorders>
            <w:shd w:val="clear" w:color="auto" w:fill="auto"/>
            <w:vAlign w:val="center"/>
            <w:hideMark/>
          </w:tcPr>
          <w:p w14:paraId="023A92B9" w14:textId="77777777" w:rsidR="00494DC6" w:rsidRPr="00494DC6" w:rsidRDefault="00494DC6" w:rsidP="007A77F1">
            <w:pPr>
              <w:spacing w:after="0"/>
              <w:jc w:val="right"/>
            </w:pPr>
            <w:r w:rsidRPr="00494DC6">
              <w:t xml:space="preserve">      274    </w:t>
            </w:r>
          </w:p>
        </w:tc>
        <w:tc>
          <w:tcPr>
            <w:tcW w:w="472" w:type="pct"/>
            <w:tcBorders>
              <w:top w:val="nil"/>
              <w:left w:val="nil"/>
              <w:bottom w:val="single" w:sz="8" w:space="0" w:color="86BC25"/>
              <w:right w:val="nil"/>
            </w:tcBorders>
            <w:shd w:val="clear" w:color="auto" w:fill="auto"/>
            <w:vAlign w:val="center"/>
            <w:hideMark/>
          </w:tcPr>
          <w:p w14:paraId="1C1B7E1A" w14:textId="77777777" w:rsidR="00494DC6" w:rsidRPr="00494DC6" w:rsidRDefault="00494DC6" w:rsidP="007A77F1">
            <w:pPr>
              <w:spacing w:after="0"/>
              <w:jc w:val="right"/>
            </w:pPr>
            <w:r w:rsidRPr="00494DC6">
              <w:t>9,32</w:t>
            </w:r>
          </w:p>
        </w:tc>
      </w:tr>
      <w:tr w:rsidR="00494DC6" w:rsidRPr="00494DC6" w14:paraId="0BCA7002"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4ACFF974" w14:textId="77777777" w:rsidR="00494DC6" w:rsidRPr="00494DC6" w:rsidRDefault="00494DC6" w:rsidP="007A77F1">
            <w:pPr>
              <w:spacing w:after="0"/>
            </w:pPr>
            <w:r w:rsidRPr="00494DC6">
              <w:t xml:space="preserve">- odstup po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27A1C164" w14:textId="77777777" w:rsidR="00494DC6" w:rsidRPr="00494DC6" w:rsidRDefault="00494DC6" w:rsidP="007A77F1">
            <w:pPr>
              <w:spacing w:after="0"/>
              <w:jc w:val="right"/>
            </w:pPr>
            <w:r w:rsidRPr="00494DC6">
              <w:t xml:space="preserve">         226    </w:t>
            </w:r>
          </w:p>
        </w:tc>
        <w:tc>
          <w:tcPr>
            <w:tcW w:w="474" w:type="pct"/>
            <w:tcBorders>
              <w:top w:val="nil"/>
              <w:left w:val="nil"/>
              <w:bottom w:val="single" w:sz="8" w:space="0" w:color="86BC25"/>
              <w:right w:val="nil"/>
            </w:tcBorders>
            <w:shd w:val="clear" w:color="auto" w:fill="auto"/>
            <w:vAlign w:val="center"/>
            <w:hideMark/>
          </w:tcPr>
          <w:p w14:paraId="0384E289" w14:textId="77777777" w:rsidR="00494DC6" w:rsidRPr="00494DC6" w:rsidRDefault="00494DC6" w:rsidP="007A77F1">
            <w:pPr>
              <w:spacing w:after="0"/>
              <w:jc w:val="right"/>
            </w:pPr>
            <w:r w:rsidRPr="00494DC6">
              <w:t>2,40</w:t>
            </w:r>
          </w:p>
        </w:tc>
        <w:tc>
          <w:tcPr>
            <w:tcW w:w="491" w:type="pct"/>
            <w:tcBorders>
              <w:top w:val="nil"/>
              <w:left w:val="nil"/>
              <w:bottom w:val="single" w:sz="8" w:space="0" w:color="86BC25"/>
              <w:right w:val="nil"/>
            </w:tcBorders>
            <w:shd w:val="clear" w:color="auto" w:fill="auto"/>
            <w:vAlign w:val="center"/>
            <w:hideMark/>
          </w:tcPr>
          <w:p w14:paraId="1BF36701" w14:textId="77777777" w:rsidR="00494DC6" w:rsidRPr="00494DC6" w:rsidRDefault="00494DC6" w:rsidP="007A77F1">
            <w:pPr>
              <w:spacing w:after="0"/>
              <w:jc w:val="right"/>
            </w:pPr>
            <w:r w:rsidRPr="00494DC6">
              <w:t xml:space="preserve">          4    </w:t>
            </w:r>
          </w:p>
        </w:tc>
        <w:tc>
          <w:tcPr>
            <w:tcW w:w="474" w:type="pct"/>
            <w:tcBorders>
              <w:top w:val="nil"/>
              <w:left w:val="nil"/>
              <w:bottom w:val="single" w:sz="8" w:space="0" w:color="86BC25"/>
              <w:right w:val="nil"/>
            </w:tcBorders>
            <w:shd w:val="clear" w:color="auto" w:fill="auto"/>
            <w:vAlign w:val="center"/>
            <w:hideMark/>
          </w:tcPr>
          <w:p w14:paraId="63C364E8" w14:textId="77777777" w:rsidR="00494DC6" w:rsidRPr="00494DC6" w:rsidRDefault="00494DC6" w:rsidP="007A77F1">
            <w:pPr>
              <w:spacing w:after="0"/>
              <w:jc w:val="right"/>
            </w:pPr>
            <w:r w:rsidRPr="00494DC6">
              <w:t>7,47</w:t>
            </w:r>
          </w:p>
        </w:tc>
        <w:tc>
          <w:tcPr>
            <w:tcW w:w="484" w:type="pct"/>
            <w:tcBorders>
              <w:top w:val="nil"/>
              <w:left w:val="nil"/>
              <w:bottom w:val="single" w:sz="8" w:space="0" w:color="86BC25"/>
              <w:right w:val="nil"/>
            </w:tcBorders>
            <w:shd w:val="clear" w:color="auto" w:fill="auto"/>
            <w:vAlign w:val="center"/>
            <w:hideMark/>
          </w:tcPr>
          <w:p w14:paraId="5A03066D" w14:textId="77777777" w:rsidR="00494DC6" w:rsidRPr="00494DC6" w:rsidRDefault="00494DC6" w:rsidP="007A77F1">
            <w:pPr>
              <w:spacing w:after="0"/>
              <w:jc w:val="right"/>
            </w:pPr>
            <w:r w:rsidRPr="00494DC6">
              <w:t xml:space="preserve">      138    </w:t>
            </w:r>
          </w:p>
        </w:tc>
        <w:tc>
          <w:tcPr>
            <w:tcW w:w="474" w:type="pct"/>
            <w:tcBorders>
              <w:top w:val="nil"/>
              <w:left w:val="nil"/>
              <w:bottom w:val="single" w:sz="8" w:space="0" w:color="86BC25"/>
              <w:right w:val="nil"/>
            </w:tcBorders>
            <w:shd w:val="clear" w:color="auto" w:fill="auto"/>
            <w:vAlign w:val="center"/>
            <w:hideMark/>
          </w:tcPr>
          <w:p w14:paraId="411A5DE3" w14:textId="77777777" w:rsidR="00494DC6" w:rsidRPr="00494DC6" w:rsidRDefault="00494DC6" w:rsidP="007A77F1">
            <w:pPr>
              <w:spacing w:after="0"/>
              <w:jc w:val="right"/>
            </w:pPr>
            <w:r w:rsidRPr="00494DC6">
              <w:t>2,38</w:t>
            </w:r>
          </w:p>
        </w:tc>
        <w:tc>
          <w:tcPr>
            <w:tcW w:w="491" w:type="pct"/>
            <w:tcBorders>
              <w:top w:val="nil"/>
              <w:left w:val="nil"/>
              <w:bottom w:val="single" w:sz="8" w:space="0" w:color="86BC25"/>
              <w:right w:val="nil"/>
            </w:tcBorders>
            <w:shd w:val="clear" w:color="auto" w:fill="auto"/>
            <w:vAlign w:val="center"/>
            <w:hideMark/>
          </w:tcPr>
          <w:p w14:paraId="2B90A296" w14:textId="77777777" w:rsidR="00494DC6" w:rsidRPr="00494DC6" w:rsidRDefault="00494DC6" w:rsidP="007A77F1">
            <w:pPr>
              <w:spacing w:after="0"/>
              <w:jc w:val="right"/>
            </w:pPr>
            <w:r w:rsidRPr="00494DC6">
              <w:t xml:space="preserve">        -      </w:t>
            </w:r>
          </w:p>
        </w:tc>
        <w:tc>
          <w:tcPr>
            <w:tcW w:w="472" w:type="pct"/>
            <w:tcBorders>
              <w:top w:val="nil"/>
              <w:left w:val="nil"/>
              <w:bottom w:val="single" w:sz="8" w:space="0" w:color="86BC25"/>
              <w:right w:val="nil"/>
            </w:tcBorders>
            <w:shd w:val="clear" w:color="auto" w:fill="auto"/>
            <w:vAlign w:val="center"/>
            <w:hideMark/>
          </w:tcPr>
          <w:p w14:paraId="66BA1527" w14:textId="77777777" w:rsidR="00494DC6" w:rsidRPr="00494DC6" w:rsidRDefault="00494DC6" w:rsidP="007A77F1">
            <w:pPr>
              <w:spacing w:after="0"/>
              <w:jc w:val="right"/>
            </w:pPr>
            <w:r w:rsidRPr="00494DC6">
              <w:t>0,00</w:t>
            </w:r>
          </w:p>
        </w:tc>
      </w:tr>
      <w:tr w:rsidR="00494DC6" w:rsidRPr="007A77F1" w14:paraId="27803413" w14:textId="77777777" w:rsidTr="007A77F1">
        <w:trPr>
          <w:trHeight w:val="340"/>
        </w:trPr>
        <w:tc>
          <w:tcPr>
            <w:tcW w:w="1058" w:type="pct"/>
            <w:tcBorders>
              <w:top w:val="nil"/>
              <w:left w:val="nil"/>
              <w:bottom w:val="nil"/>
              <w:right w:val="nil"/>
            </w:tcBorders>
            <w:shd w:val="clear" w:color="000000" w:fill="E7F5CF"/>
            <w:vAlign w:val="center"/>
            <w:hideMark/>
          </w:tcPr>
          <w:p w14:paraId="7037B359" w14:textId="77777777" w:rsidR="00494DC6" w:rsidRPr="007A77F1" w:rsidRDefault="00494DC6" w:rsidP="007A77F1">
            <w:pPr>
              <w:spacing w:after="0"/>
              <w:rPr>
                <w:b/>
              </w:rPr>
            </w:pPr>
            <w:r w:rsidRPr="007A77F1">
              <w:rPr>
                <w:b/>
              </w:rPr>
              <w:t>Potenciál</w:t>
            </w:r>
          </w:p>
        </w:tc>
        <w:tc>
          <w:tcPr>
            <w:tcW w:w="582" w:type="pct"/>
            <w:tcBorders>
              <w:top w:val="nil"/>
              <w:left w:val="nil"/>
              <w:bottom w:val="nil"/>
              <w:right w:val="nil"/>
            </w:tcBorders>
            <w:shd w:val="clear" w:color="000000" w:fill="E7F5CF"/>
            <w:vAlign w:val="center"/>
            <w:hideMark/>
          </w:tcPr>
          <w:p w14:paraId="23E84722" w14:textId="77777777" w:rsidR="00494DC6" w:rsidRPr="007A77F1" w:rsidRDefault="00494DC6" w:rsidP="007A77F1">
            <w:pPr>
              <w:spacing w:after="0"/>
              <w:jc w:val="right"/>
              <w:rPr>
                <w:b/>
              </w:rPr>
            </w:pPr>
            <w:r w:rsidRPr="007A77F1">
              <w:rPr>
                <w:b/>
              </w:rPr>
              <w:t> </w:t>
            </w:r>
          </w:p>
        </w:tc>
        <w:tc>
          <w:tcPr>
            <w:tcW w:w="474" w:type="pct"/>
            <w:tcBorders>
              <w:top w:val="nil"/>
              <w:left w:val="nil"/>
              <w:bottom w:val="nil"/>
              <w:right w:val="nil"/>
            </w:tcBorders>
            <w:shd w:val="clear" w:color="000000" w:fill="E7F5CF"/>
            <w:vAlign w:val="center"/>
            <w:hideMark/>
          </w:tcPr>
          <w:p w14:paraId="20FDA91D" w14:textId="77777777" w:rsidR="00494DC6" w:rsidRPr="007A77F1" w:rsidRDefault="00494DC6" w:rsidP="007A77F1">
            <w:pPr>
              <w:spacing w:after="0"/>
              <w:jc w:val="right"/>
              <w:rPr>
                <w:b/>
              </w:rPr>
            </w:pPr>
            <w:r w:rsidRPr="007A77F1">
              <w:rPr>
                <w:b/>
              </w:rPr>
              <w:t> </w:t>
            </w:r>
          </w:p>
        </w:tc>
        <w:tc>
          <w:tcPr>
            <w:tcW w:w="491" w:type="pct"/>
            <w:tcBorders>
              <w:top w:val="nil"/>
              <w:left w:val="nil"/>
              <w:bottom w:val="nil"/>
              <w:right w:val="nil"/>
            </w:tcBorders>
            <w:shd w:val="clear" w:color="000000" w:fill="E7F5CF"/>
            <w:vAlign w:val="center"/>
            <w:hideMark/>
          </w:tcPr>
          <w:p w14:paraId="3E4D7522" w14:textId="77777777" w:rsidR="00494DC6" w:rsidRPr="007A77F1" w:rsidRDefault="00494DC6" w:rsidP="007A77F1">
            <w:pPr>
              <w:spacing w:after="0"/>
              <w:jc w:val="right"/>
              <w:rPr>
                <w:b/>
              </w:rPr>
            </w:pPr>
            <w:r w:rsidRPr="007A77F1">
              <w:rPr>
                <w:b/>
              </w:rPr>
              <w:t> </w:t>
            </w:r>
          </w:p>
        </w:tc>
        <w:tc>
          <w:tcPr>
            <w:tcW w:w="474" w:type="pct"/>
            <w:tcBorders>
              <w:top w:val="nil"/>
              <w:left w:val="nil"/>
              <w:bottom w:val="nil"/>
              <w:right w:val="nil"/>
            </w:tcBorders>
            <w:shd w:val="clear" w:color="000000" w:fill="E7F5CF"/>
            <w:vAlign w:val="center"/>
            <w:hideMark/>
          </w:tcPr>
          <w:p w14:paraId="3C936AA6" w14:textId="77777777" w:rsidR="00494DC6" w:rsidRPr="007A77F1" w:rsidRDefault="00494DC6" w:rsidP="007A77F1">
            <w:pPr>
              <w:spacing w:after="0"/>
              <w:jc w:val="right"/>
              <w:rPr>
                <w:b/>
              </w:rPr>
            </w:pPr>
            <w:r w:rsidRPr="007A77F1">
              <w:rPr>
                <w:b/>
              </w:rPr>
              <w:t> </w:t>
            </w:r>
          </w:p>
        </w:tc>
        <w:tc>
          <w:tcPr>
            <w:tcW w:w="484" w:type="pct"/>
            <w:tcBorders>
              <w:top w:val="nil"/>
              <w:left w:val="nil"/>
              <w:bottom w:val="nil"/>
              <w:right w:val="nil"/>
            </w:tcBorders>
            <w:shd w:val="clear" w:color="000000" w:fill="E7F5CF"/>
            <w:noWrap/>
            <w:vAlign w:val="center"/>
            <w:hideMark/>
          </w:tcPr>
          <w:p w14:paraId="7E6F3F36" w14:textId="77777777" w:rsidR="00494DC6" w:rsidRPr="007A77F1" w:rsidRDefault="00494DC6" w:rsidP="007A77F1">
            <w:pPr>
              <w:spacing w:after="0"/>
              <w:jc w:val="right"/>
              <w:rPr>
                <w:b/>
              </w:rPr>
            </w:pPr>
            <w:r w:rsidRPr="007A77F1">
              <w:rPr>
                <w:b/>
              </w:rPr>
              <w:t> </w:t>
            </w:r>
          </w:p>
        </w:tc>
        <w:tc>
          <w:tcPr>
            <w:tcW w:w="474" w:type="pct"/>
            <w:tcBorders>
              <w:top w:val="nil"/>
              <w:left w:val="nil"/>
              <w:bottom w:val="nil"/>
              <w:right w:val="nil"/>
            </w:tcBorders>
            <w:shd w:val="clear" w:color="000000" w:fill="E7F5CF"/>
            <w:noWrap/>
            <w:vAlign w:val="center"/>
            <w:hideMark/>
          </w:tcPr>
          <w:p w14:paraId="0CD903D0" w14:textId="77777777" w:rsidR="00494DC6" w:rsidRPr="007A77F1" w:rsidRDefault="00494DC6" w:rsidP="007A77F1">
            <w:pPr>
              <w:spacing w:after="0"/>
              <w:jc w:val="right"/>
              <w:rPr>
                <w:b/>
              </w:rPr>
            </w:pPr>
            <w:r w:rsidRPr="007A77F1">
              <w:rPr>
                <w:b/>
              </w:rPr>
              <w:t> </w:t>
            </w:r>
          </w:p>
        </w:tc>
        <w:tc>
          <w:tcPr>
            <w:tcW w:w="491" w:type="pct"/>
            <w:tcBorders>
              <w:top w:val="nil"/>
              <w:left w:val="nil"/>
              <w:bottom w:val="nil"/>
              <w:right w:val="nil"/>
            </w:tcBorders>
            <w:shd w:val="clear" w:color="000000" w:fill="E7F5CF"/>
            <w:noWrap/>
            <w:vAlign w:val="center"/>
            <w:hideMark/>
          </w:tcPr>
          <w:p w14:paraId="7C740C83" w14:textId="77777777" w:rsidR="00494DC6" w:rsidRPr="007A77F1" w:rsidRDefault="00494DC6" w:rsidP="007A77F1">
            <w:pPr>
              <w:spacing w:after="0"/>
              <w:jc w:val="right"/>
              <w:rPr>
                <w:b/>
              </w:rPr>
            </w:pPr>
            <w:r w:rsidRPr="007A77F1">
              <w:rPr>
                <w:b/>
              </w:rPr>
              <w:t> </w:t>
            </w:r>
          </w:p>
        </w:tc>
        <w:tc>
          <w:tcPr>
            <w:tcW w:w="472" w:type="pct"/>
            <w:tcBorders>
              <w:top w:val="nil"/>
              <w:left w:val="nil"/>
              <w:bottom w:val="nil"/>
              <w:right w:val="nil"/>
            </w:tcBorders>
            <w:shd w:val="clear" w:color="000000" w:fill="E7F5CF"/>
            <w:noWrap/>
            <w:vAlign w:val="center"/>
            <w:hideMark/>
          </w:tcPr>
          <w:p w14:paraId="0B110883" w14:textId="77777777" w:rsidR="00494DC6" w:rsidRPr="007A77F1" w:rsidRDefault="00494DC6" w:rsidP="007A77F1">
            <w:pPr>
              <w:spacing w:after="0"/>
              <w:jc w:val="right"/>
              <w:rPr>
                <w:b/>
              </w:rPr>
            </w:pPr>
            <w:r w:rsidRPr="007A77F1">
              <w:rPr>
                <w:b/>
              </w:rPr>
              <w:t> </w:t>
            </w:r>
          </w:p>
        </w:tc>
      </w:tr>
      <w:tr w:rsidR="00494DC6" w:rsidRPr="00494DC6" w14:paraId="24E20E67"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7C5A965D" w14:textId="77777777" w:rsidR="00494DC6" w:rsidRPr="00494DC6" w:rsidRDefault="00494DC6" w:rsidP="007A77F1">
            <w:pPr>
              <w:spacing w:after="0"/>
            </w:pPr>
            <w:r w:rsidRPr="00494DC6">
              <w:t>Alokace</w:t>
            </w:r>
          </w:p>
        </w:tc>
        <w:tc>
          <w:tcPr>
            <w:tcW w:w="582" w:type="pct"/>
            <w:tcBorders>
              <w:top w:val="single" w:sz="8" w:space="0" w:color="86BC25"/>
              <w:left w:val="nil"/>
              <w:bottom w:val="single" w:sz="8" w:space="0" w:color="86BC25"/>
              <w:right w:val="nil"/>
            </w:tcBorders>
            <w:shd w:val="clear" w:color="auto" w:fill="auto"/>
            <w:vAlign w:val="center"/>
            <w:hideMark/>
          </w:tcPr>
          <w:p w14:paraId="3A476958" w14:textId="77777777" w:rsidR="00494DC6" w:rsidRPr="00494DC6" w:rsidRDefault="00494DC6" w:rsidP="007A77F1">
            <w:pPr>
              <w:spacing w:after="0"/>
              <w:jc w:val="right"/>
            </w:pPr>
            <w:r w:rsidRPr="00494DC6">
              <w:t xml:space="preserve">      2 920    </w:t>
            </w:r>
          </w:p>
        </w:tc>
        <w:tc>
          <w:tcPr>
            <w:tcW w:w="474" w:type="pct"/>
            <w:tcBorders>
              <w:top w:val="single" w:sz="8" w:space="0" w:color="86BC25"/>
              <w:left w:val="nil"/>
              <w:bottom w:val="single" w:sz="8" w:space="0" w:color="86BC25"/>
              <w:right w:val="nil"/>
            </w:tcBorders>
            <w:shd w:val="clear" w:color="auto" w:fill="auto"/>
            <w:noWrap/>
            <w:vAlign w:val="center"/>
            <w:hideMark/>
          </w:tcPr>
          <w:p w14:paraId="60A11CAC" w14:textId="77777777" w:rsidR="00494DC6" w:rsidRPr="00494DC6" w:rsidRDefault="00494DC6" w:rsidP="007A77F1">
            <w:pPr>
              <w:spacing w:after="0"/>
              <w:jc w:val="right"/>
            </w:pPr>
            <w:r w:rsidRPr="00494DC6">
              <w:t> </w:t>
            </w:r>
          </w:p>
        </w:tc>
        <w:tc>
          <w:tcPr>
            <w:tcW w:w="491" w:type="pct"/>
            <w:tcBorders>
              <w:top w:val="single" w:sz="8" w:space="0" w:color="86BC25"/>
              <w:left w:val="nil"/>
              <w:bottom w:val="single" w:sz="8" w:space="0" w:color="86BC25"/>
              <w:right w:val="nil"/>
            </w:tcBorders>
            <w:shd w:val="clear" w:color="auto" w:fill="auto"/>
            <w:noWrap/>
            <w:vAlign w:val="center"/>
            <w:hideMark/>
          </w:tcPr>
          <w:p w14:paraId="1FD5EC2C" w14:textId="77777777" w:rsidR="00494DC6" w:rsidRPr="00494DC6" w:rsidRDefault="00494DC6" w:rsidP="007A77F1">
            <w:pPr>
              <w:spacing w:after="0"/>
              <w:jc w:val="right"/>
            </w:pPr>
            <w:r w:rsidRPr="00494DC6">
              <w:t> </w:t>
            </w:r>
          </w:p>
        </w:tc>
        <w:tc>
          <w:tcPr>
            <w:tcW w:w="474" w:type="pct"/>
            <w:tcBorders>
              <w:top w:val="single" w:sz="8" w:space="0" w:color="86BC25"/>
              <w:left w:val="nil"/>
              <w:bottom w:val="single" w:sz="8" w:space="0" w:color="86BC25"/>
              <w:right w:val="nil"/>
            </w:tcBorders>
            <w:shd w:val="clear" w:color="auto" w:fill="auto"/>
            <w:noWrap/>
            <w:vAlign w:val="center"/>
            <w:hideMark/>
          </w:tcPr>
          <w:p w14:paraId="6CD206DC" w14:textId="77777777" w:rsidR="00494DC6" w:rsidRPr="00494DC6" w:rsidRDefault="00494DC6" w:rsidP="007A77F1">
            <w:pPr>
              <w:spacing w:after="0"/>
              <w:jc w:val="right"/>
            </w:pPr>
            <w:r w:rsidRPr="00494DC6">
              <w:t> </w:t>
            </w:r>
          </w:p>
        </w:tc>
        <w:tc>
          <w:tcPr>
            <w:tcW w:w="484" w:type="pct"/>
            <w:tcBorders>
              <w:top w:val="single" w:sz="8" w:space="0" w:color="86BC25"/>
              <w:left w:val="nil"/>
              <w:bottom w:val="single" w:sz="8" w:space="0" w:color="86BC25"/>
              <w:right w:val="nil"/>
            </w:tcBorders>
            <w:shd w:val="clear" w:color="auto" w:fill="auto"/>
            <w:vAlign w:val="center"/>
            <w:hideMark/>
          </w:tcPr>
          <w:p w14:paraId="505E0C93" w14:textId="77777777" w:rsidR="00494DC6" w:rsidRPr="00494DC6" w:rsidRDefault="00494DC6" w:rsidP="007A77F1">
            <w:pPr>
              <w:spacing w:after="0"/>
              <w:jc w:val="right"/>
            </w:pPr>
            <w:r w:rsidRPr="00494DC6">
              <w:t xml:space="preserve">   2 500    </w:t>
            </w:r>
          </w:p>
        </w:tc>
        <w:tc>
          <w:tcPr>
            <w:tcW w:w="474" w:type="pct"/>
            <w:tcBorders>
              <w:top w:val="single" w:sz="8" w:space="0" w:color="86BC25"/>
              <w:left w:val="nil"/>
              <w:bottom w:val="single" w:sz="8" w:space="0" w:color="86BC25"/>
              <w:right w:val="nil"/>
            </w:tcBorders>
            <w:shd w:val="clear" w:color="auto" w:fill="auto"/>
            <w:noWrap/>
            <w:vAlign w:val="center"/>
            <w:hideMark/>
          </w:tcPr>
          <w:p w14:paraId="4315378C" w14:textId="77777777" w:rsidR="00494DC6" w:rsidRPr="00494DC6" w:rsidRDefault="00494DC6" w:rsidP="007A77F1">
            <w:pPr>
              <w:spacing w:after="0"/>
              <w:jc w:val="right"/>
            </w:pPr>
            <w:r w:rsidRPr="00494DC6">
              <w:t> </w:t>
            </w:r>
          </w:p>
        </w:tc>
        <w:tc>
          <w:tcPr>
            <w:tcW w:w="491" w:type="pct"/>
            <w:tcBorders>
              <w:top w:val="single" w:sz="8" w:space="0" w:color="86BC25"/>
              <w:left w:val="nil"/>
              <w:bottom w:val="single" w:sz="8" w:space="0" w:color="86BC25"/>
              <w:right w:val="nil"/>
            </w:tcBorders>
            <w:shd w:val="clear" w:color="auto" w:fill="auto"/>
            <w:vAlign w:val="center"/>
            <w:hideMark/>
          </w:tcPr>
          <w:p w14:paraId="2000CF07" w14:textId="77777777" w:rsidR="00494DC6" w:rsidRPr="00494DC6" w:rsidRDefault="00494DC6" w:rsidP="007A77F1">
            <w:pPr>
              <w:spacing w:after="0"/>
              <w:jc w:val="right"/>
            </w:pPr>
            <w:r w:rsidRPr="00494DC6">
              <w:t xml:space="preserve">   1 500    </w:t>
            </w:r>
          </w:p>
        </w:tc>
        <w:tc>
          <w:tcPr>
            <w:tcW w:w="472" w:type="pct"/>
            <w:tcBorders>
              <w:top w:val="single" w:sz="8" w:space="0" w:color="86BC25"/>
              <w:left w:val="nil"/>
              <w:bottom w:val="single" w:sz="8" w:space="0" w:color="86BC25"/>
              <w:right w:val="nil"/>
            </w:tcBorders>
            <w:shd w:val="clear" w:color="auto" w:fill="auto"/>
            <w:noWrap/>
            <w:vAlign w:val="center"/>
            <w:hideMark/>
          </w:tcPr>
          <w:p w14:paraId="5A12F8DD" w14:textId="77777777" w:rsidR="00494DC6" w:rsidRPr="00494DC6" w:rsidRDefault="00494DC6" w:rsidP="007A77F1">
            <w:pPr>
              <w:spacing w:after="0"/>
              <w:jc w:val="right"/>
            </w:pPr>
            <w:r w:rsidRPr="00494DC6">
              <w:t> </w:t>
            </w:r>
          </w:p>
        </w:tc>
      </w:tr>
      <w:tr w:rsidR="00494DC6" w:rsidRPr="00494DC6" w14:paraId="7B2208F9"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0F4F5046" w14:textId="77777777" w:rsidR="00494DC6" w:rsidRPr="00494DC6" w:rsidRDefault="00494DC6" w:rsidP="007A77F1">
            <w:pPr>
              <w:spacing w:after="0"/>
            </w:pPr>
            <w:r w:rsidRPr="00494DC6">
              <w:t>Podáno</w:t>
            </w:r>
          </w:p>
        </w:tc>
        <w:tc>
          <w:tcPr>
            <w:tcW w:w="582" w:type="pct"/>
            <w:tcBorders>
              <w:top w:val="nil"/>
              <w:left w:val="nil"/>
              <w:bottom w:val="single" w:sz="8" w:space="0" w:color="86BC25"/>
              <w:right w:val="nil"/>
            </w:tcBorders>
            <w:shd w:val="clear" w:color="auto" w:fill="auto"/>
            <w:vAlign w:val="center"/>
            <w:hideMark/>
          </w:tcPr>
          <w:p w14:paraId="70C75283" w14:textId="77777777" w:rsidR="00494DC6" w:rsidRPr="00494DC6" w:rsidRDefault="00494DC6" w:rsidP="007A77F1">
            <w:pPr>
              <w:spacing w:after="0"/>
              <w:jc w:val="right"/>
            </w:pPr>
            <w:r w:rsidRPr="00494DC6">
              <w:t xml:space="preserve">      6 793    </w:t>
            </w:r>
          </w:p>
        </w:tc>
        <w:tc>
          <w:tcPr>
            <w:tcW w:w="474" w:type="pct"/>
            <w:tcBorders>
              <w:top w:val="nil"/>
              <w:left w:val="nil"/>
              <w:bottom w:val="single" w:sz="8" w:space="0" w:color="86BC25"/>
              <w:right w:val="nil"/>
            </w:tcBorders>
            <w:shd w:val="clear" w:color="auto" w:fill="auto"/>
            <w:vAlign w:val="center"/>
            <w:hideMark/>
          </w:tcPr>
          <w:p w14:paraId="29B55790"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2CECFF6A"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1B0F3FA8"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3309C1B6" w14:textId="77777777" w:rsidR="00494DC6" w:rsidRPr="00494DC6" w:rsidRDefault="00494DC6" w:rsidP="007A77F1">
            <w:pPr>
              <w:spacing w:after="0"/>
              <w:jc w:val="right"/>
            </w:pPr>
            <w:r w:rsidRPr="00494DC6">
              <w:t xml:space="preserve">   3 380    </w:t>
            </w:r>
          </w:p>
        </w:tc>
        <w:tc>
          <w:tcPr>
            <w:tcW w:w="474" w:type="pct"/>
            <w:tcBorders>
              <w:top w:val="nil"/>
              <w:left w:val="nil"/>
              <w:bottom w:val="single" w:sz="8" w:space="0" w:color="86BC25"/>
              <w:right w:val="nil"/>
            </w:tcBorders>
            <w:shd w:val="clear" w:color="auto" w:fill="auto"/>
            <w:noWrap/>
            <w:vAlign w:val="center"/>
            <w:hideMark/>
          </w:tcPr>
          <w:p w14:paraId="18592701" w14:textId="77777777" w:rsidR="00494DC6" w:rsidRPr="00494DC6" w:rsidRDefault="00494DC6" w:rsidP="007A77F1">
            <w:pPr>
              <w:spacing w:after="0"/>
              <w:jc w:val="right"/>
            </w:pPr>
            <w:r w:rsidRPr="00494DC6">
              <w:t> </w:t>
            </w:r>
          </w:p>
        </w:tc>
        <w:tc>
          <w:tcPr>
            <w:tcW w:w="491" w:type="pct"/>
            <w:tcBorders>
              <w:top w:val="nil"/>
              <w:left w:val="nil"/>
              <w:bottom w:val="single" w:sz="8" w:space="0" w:color="86BC25"/>
              <w:right w:val="nil"/>
            </w:tcBorders>
            <w:shd w:val="clear" w:color="auto" w:fill="auto"/>
            <w:vAlign w:val="center"/>
            <w:hideMark/>
          </w:tcPr>
          <w:p w14:paraId="2F3A1A92" w14:textId="77777777" w:rsidR="00494DC6" w:rsidRPr="00494DC6" w:rsidRDefault="00494DC6" w:rsidP="007A77F1">
            <w:pPr>
              <w:spacing w:after="0"/>
              <w:jc w:val="right"/>
            </w:pPr>
            <w:r w:rsidRPr="00494DC6">
              <w:t xml:space="preserve">   1 003    </w:t>
            </w:r>
          </w:p>
        </w:tc>
        <w:tc>
          <w:tcPr>
            <w:tcW w:w="472" w:type="pct"/>
            <w:tcBorders>
              <w:top w:val="nil"/>
              <w:left w:val="nil"/>
              <w:bottom w:val="single" w:sz="8" w:space="0" w:color="86BC25"/>
              <w:right w:val="nil"/>
            </w:tcBorders>
            <w:shd w:val="clear" w:color="auto" w:fill="auto"/>
            <w:noWrap/>
            <w:vAlign w:val="center"/>
            <w:hideMark/>
          </w:tcPr>
          <w:p w14:paraId="631A1845" w14:textId="77777777" w:rsidR="00494DC6" w:rsidRPr="00494DC6" w:rsidRDefault="00494DC6" w:rsidP="007A77F1">
            <w:pPr>
              <w:spacing w:after="0"/>
              <w:jc w:val="right"/>
            </w:pPr>
            <w:r w:rsidRPr="00494DC6">
              <w:t> </w:t>
            </w:r>
          </w:p>
        </w:tc>
      </w:tr>
      <w:tr w:rsidR="00494DC6" w:rsidRPr="00494DC6" w14:paraId="467F7800" w14:textId="77777777" w:rsidTr="007A77F1">
        <w:trPr>
          <w:trHeight w:val="340"/>
        </w:trPr>
        <w:tc>
          <w:tcPr>
            <w:tcW w:w="1058" w:type="pct"/>
            <w:tcBorders>
              <w:top w:val="nil"/>
              <w:left w:val="nil"/>
              <w:bottom w:val="nil"/>
              <w:right w:val="nil"/>
            </w:tcBorders>
            <w:shd w:val="clear" w:color="000000" w:fill="DBDBD2"/>
            <w:vAlign w:val="center"/>
            <w:hideMark/>
          </w:tcPr>
          <w:p w14:paraId="63BF269A" w14:textId="77777777" w:rsidR="00494DC6" w:rsidRPr="00494DC6" w:rsidRDefault="00494DC6" w:rsidP="007A77F1">
            <w:pPr>
              <w:spacing w:after="0"/>
            </w:pPr>
            <w:r w:rsidRPr="00494DC6">
              <w:t>z toho:</w:t>
            </w:r>
          </w:p>
        </w:tc>
        <w:tc>
          <w:tcPr>
            <w:tcW w:w="582" w:type="pct"/>
            <w:tcBorders>
              <w:top w:val="nil"/>
              <w:left w:val="nil"/>
              <w:bottom w:val="single" w:sz="8" w:space="0" w:color="86BC25"/>
              <w:right w:val="nil"/>
            </w:tcBorders>
            <w:shd w:val="clear" w:color="auto" w:fill="auto"/>
            <w:vAlign w:val="center"/>
            <w:hideMark/>
          </w:tcPr>
          <w:p w14:paraId="3738BC62"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vAlign w:val="center"/>
            <w:hideMark/>
          </w:tcPr>
          <w:p w14:paraId="169FDEA9"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0E2DB1D2"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vAlign w:val="center"/>
            <w:hideMark/>
          </w:tcPr>
          <w:p w14:paraId="0A0B7027" w14:textId="77777777" w:rsidR="00494DC6" w:rsidRPr="00494DC6" w:rsidRDefault="00494DC6" w:rsidP="007A77F1">
            <w:pPr>
              <w:spacing w:after="0"/>
              <w:jc w:val="right"/>
            </w:pPr>
          </w:p>
        </w:tc>
        <w:tc>
          <w:tcPr>
            <w:tcW w:w="484" w:type="pct"/>
            <w:tcBorders>
              <w:top w:val="nil"/>
              <w:left w:val="nil"/>
              <w:bottom w:val="single" w:sz="8" w:space="0" w:color="86BC25"/>
              <w:right w:val="nil"/>
            </w:tcBorders>
            <w:shd w:val="clear" w:color="auto" w:fill="auto"/>
            <w:vAlign w:val="center"/>
            <w:hideMark/>
          </w:tcPr>
          <w:p w14:paraId="73DA37BF" w14:textId="77777777" w:rsidR="00494DC6" w:rsidRPr="00494DC6" w:rsidRDefault="00494DC6" w:rsidP="007A77F1">
            <w:pPr>
              <w:spacing w:after="0"/>
              <w:jc w:val="right"/>
            </w:pPr>
            <w:r w:rsidRPr="00494DC6">
              <w:t> </w:t>
            </w:r>
          </w:p>
        </w:tc>
        <w:tc>
          <w:tcPr>
            <w:tcW w:w="474" w:type="pct"/>
            <w:tcBorders>
              <w:top w:val="nil"/>
              <w:left w:val="nil"/>
              <w:bottom w:val="nil"/>
              <w:right w:val="nil"/>
            </w:tcBorders>
            <w:shd w:val="clear" w:color="auto" w:fill="auto"/>
            <w:noWrap/>
            <w:vAlign w:val="center"/>
            <w:hideMark/>
          </w:tcPr>
          <w:p w14:paraId="15998157" w14:textId="77777777" w:rsidR="00494DC6" w:rsidRPr="00494DC6" w:rsidRDefault="00494DC6" w:rsidP="007A77F1">
            <w:pPr>
              <w:spacing w:after="0"/>
              <w:jc w:val="right"/>
            </w:pPr>
          </w:p>
        </w:tc>
        <w:tc>
          <w:tcPr>
            <w:tcW w:w="491" w:type="pct"/>
            <w:tcBorders>
              <w:top w:val="nil"/>
              <w:left w:val="nil"/>
              <w:bottom w:val="single" w:sz="8" w:space="0" w:color="86BC25"/>
              <w:right w:val="nil"/>
            </w:tcBorders>
            <w:shd w:val="clear" w:color="auto" w:fill="auto"/>
            <w:vAlign w:val="center"/>
            <w:hideMark/>
          </w:tcPr>
          <w:p w14:paraId="3D03B043" w14:textId="77777777" w:rsidR="00494DC6" w:rsidRPr="00494DC6" w:rsidRDefault="00494DC6" w:rsidP="007A77F1">
            <w:pPr>
              <w:spacing w:after="0"/>
              <w:jc w:val="right"/>
            </w:pPr>
            <w:r w:rsidRPr="00494DC6">
              <w:t> </w:t>
            </w:r>
          </w:p>
        </w:tc>
        <w:tc>
          <w:tcPr>
            <w:tcW w:w="472" w:type="pct"/>
            <w:tcBorders>
              <w:top w:val="nil"/>
              <w:left w:val="nil"/>
              <w:bottom w:val="nil"/>
              <w:right w:val="nil"/>
            </w:tcBorders>
            <w:shd w:val="clear" w:color="auto" w:fill="auto"/>
            <w:noWrap/>
            <w:vAlign w:val="center"/>
            <w:hideMark/>
          </w:tcPr>
          <w:p w14:paraId="518DC305" w14:textId="77777777" w:rsidR="00494DC6" w:rsidRPr="00494DC6" w:rsidRDefault="00494DC6" w:rsidP="007A77F1">
            <w:pPr>
              <w:spacing w:after="0"/>
              <w:jc w:val="right"/>
            </w:pPr>
          </w:p>
        </w:tc>
      </w:tr>
      <w:tr w:rsidR="00494DC6" w:rsidRPr="00494DC6" w14:paraId="3C42EA37"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232B6208" w14:textId="77777777" w:rsidR="00494DC6" w:rsidRPr="00494DC6" w:rsidRDefault="00494DC6" w:rsidP="007A77F1">
            <w:pPr>
              <w:spacing w:after="0"/>
            </w:pPr>
            <w:r w:rsidRPr="00494DC6">
              <w:t>- v hodnocení</w:t>
            </w:r>
          </w:p>
        </w:tc>
        <w:tc>
          <w:tcPr>
            <w:tcW w:w="582" w:type="pct"/>
            <w:tcBorders>
              <w:top w:val="nil"/>
              <w:left w:val="nil"/>
              <w:bottom w:val="single" w:sz="8" w:space="0" w:color="86BC25"/>
              <w:right w:val="nil"/>
            </w:tcBorders>
            <w:shd w:val="clear" w:color="auto" w:fill="auto"/>
            <w:vAlign w:val="center"/>
            <w:hideMark/>
          </w:tcPr>
          <w:p w14:paraId="525C9210" w14:textId="77777777" w:rsidR="00494DC6" w:rsidRPr="00494DC6" w:rsidRDefault="00494DC6" w:rsidP="007A77F1">
            <w:pPr>
              <w:spacing w:after="0"/>
              <w:jc w:val="right"/>
            </w:pPr>
            <w:r w:rsidRPr="00494DC6">
              <w:t xml:space="preserve">           -      </w:t>
            </w:r>
          </w:p>
        </w:tc>
        <w:tc>
          <w:tcPr>
            <w:tcW w:w="474" w:type="pct"/>
            <w:tcBorders>
              <w:top w:val="single" w:sz="8" w:space="0" w:color="86BC25"/>
              <w:left w:val="nil"/>
              <w:bottom w:val="single" w:sz="8" w:space="0" w:color="86BC25"/>
              <w:right w:val="nil"/>
            </w:tcBorders>
            <w:shd w:val="clear" w:color="auto" w:fill="auto"/>
            <w:vAlign w:val="center"/>
            <w:hideMark/>
          </w:tcPr>
          <w:p w14:paraId="445C62C1" w14:textId="77777777" w:rsidR="00494DC6" w:rsidRPr="00494DC6" w:rsidRDefault="00494DC6" w:rsidP="007A77F1">
            <w:pPr>
              <w:spacing w:after="0"/>
              <w:jc w:val="right"/>
            </w:pPr>
            <w:r w:rsidRPr="00494DC6">
              <w:t>0,00</w:t>
            </w:r>
          </w:p>
        </w:tc>
        <w:tc>
          <w:tcPr>
            <w:tcW w:w="491" w:type="pct"/>
            <w:tcBorders>
              <w:top w:val="nil"/>
              <w:left w:val="nil"/>
              <w:bottom w:val="single" w:sz="8" w:space="0" w:color="86BC25"/>
              <w:right w:val="nil"/>
            </w:tcBorders>
            <w:shd w:val="clear" w:color="auto" w:fill="auto"/>
            <w:vAlign w:val="center"/>
            <w:hideMark/>
          </w:tcPr>
          <w:p w14:paraId="27455204" w14:textId="77777777" w:rsidR="00494DC6" w:rsidRPr="00494DC6" w:rsidRDefault="00494DC6" w:rsidP="007A77F1">
            <w:pPr>
              <w:spacing w:after="0"/>
              <w:jc w:val="right"/>
            </w:pPr>
            <w:r w:rsidRPr="00494DC6">
              <w:t> </w:t>
            </w:r>
          </w:p>
        </w:tc>
        <w:tc>
          <w:tcPr>
            <w:tcW w:w="474" w:type="pct"/>
            <w:tcBorders>
              <w:top w:val="single" w:sz="8" w:space="0" w:color="86BC25"/>
              <w:left w:val="nil"/>
              <w:bottom w:val="single" w:sz="8" w:space="0" w:color="86BC25"/>
              <w:right w:val="nil"/>
            </w:tcBorders>
            <w:shd w:val="clear" w:color="auto" w:fill="auto"/>
            <w:vAlign w:val="center"/>
            <w:hideMark/>
          </w:tcPr>
          <w:p w14:paraId="29683D5E"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1F0717CA" w14:textId="77777777" w:rsidR="00494DC6" w:rsidRPr="00494DC6" w:rsidRDefault="00494DC6" w:rsidP="007A77F1">
            <w:pPr>
              <w:spacing w:after="0"/>
              <w:jc w:val="right"/>
            </w:pPr>
            <w:r w:rsidRPr="00494DC6">
              <w:t xml:space="preserve">        -      </w:t>
            </w:r>
          </w:p>
        </w:tc>
        <w:tc>
          <w:tcPr>
            <w:tcW w:w="474" w:type="pct"/>
            <w:tcBorders>
              <w:top w:val="single" w:sz="8" w:space="0" w:color="86BC25"/>
              <w:left w:val="nil"/>
              <w:bottom w:val="single" w:sz="8" w:space="0" w:color="86BC25"/>
              <w:right w:val="nil"/>
            </w:tcBorders>
            <w:shd w:val="clear" w:color="auto" w:fill="auto"/>
            <w:vAlign w:val="center"/>
            <w:hideMark/>
          </w:tcPr>
          <w:p w14:paraId="6E2875A6" w14:textId="77777777" w:rsidR="00494DC6" w:rsidRPr="00494DC6" w:rsidRDefault="00494DC6" w:rsidP="007A77F1">
            <w:pPr>
              <w:spacing w:after="0"/>
              <w:jc w:val="right"/>
            </w:pPr>
            <w:r w:rsidRPr="00494DC6">
              <w:t>0,00</w:t>
            </w:r>
          </w:p>
        </w:tc>
        <w:tc>
          <w:tcPr>
            <w:tcW w:w="491" w:type="pct"/>
            <w:tcBorders>
              <w:top w:val="nil"/>
              <w:left w:val="nil"/>
              <w:bottom w:val="single" w:sz="8" w:space="0" w:color="86BC25"/>
              <w:right w:val="nil"/>
            </w:tcBorders>
            <w:shd w:val="clear" w:color="auto" w:fill="auto"/>
            <w:vAlign w:val="center"/>
            <w:hideMark/>
          </w:tcPr>
          <w:p w14:paraId="21365645" w14:textId="77777777" w:rsidR="00494DC6" w:rsidRPr="00494DC6" w:rsidRDefault="00494DC6" w:rsidP="007A77F1">
            <w:pPr>
              <w:spacing w:after="0"/>
              <w:jc w:val="right"/>
            </w:pPr>
            <w:r w:rsidRPr="00494DC6">
              <w:t xml:space="preserve">        22    </w:t>
            </w:r>
          </w:p>
        </w:tc>
        <w:tc>
          <w:tcPr>
            <w:tcW w:w="472" w:type="pct"/>
            <w:tcBorders>
              <w:top w:val="single" w:sz="8" w:space="0" w:color="86BC25"/>
              <w:left w:val="nil"/>
              <w:bottom w:val="single" w:sz="8" w:space="0" w:color="86BC25"/>
              <w:right w:val="nil"/>
            </w:tcBorders>
            <w:shd w:val="clear" w:color="auto" w:fill="auto"/>
            <w:vAlign w:val="center"/>
            <w:hideMark/>
          </w:tcPr>
          <w:p w14:paraId="3C985D5F" w14:textId="77777777" w:rsidR="00494DC6" w:rsidRPr="00494DC6" w:rsidRDefault="00494DC6" w:rsidP="007A77F1">
            <w:pPr>
              <w:spacing w:after="0"/>
              <w:jc w:val="right"/>
            </w:pPr>
            <w:r w:rsidRPr="00494DC6">
              <w:t>2,23</w:t>
            </w:r>
          </w:p>
        </w:tc>
      </w:tr>
      <w:tr w:rsidR="00494DC6" w:rsidRPr="00494DC6" w14:paraId="5C849E4C" w14:textId="77777777" w:rsidTr="007A77F1">
        <w:trPr>
          <w:trHeight w:val="340"/>
        </w:trPr>
        <w:tc>
          <w:tcPr>
            <w:tcW w:w="1058" w:type="pct"/>
            <w:tcBorders>
              <w:top w:val="nil"/>
              <w:left w:val="nil"/>
              <w:bottom w:val="nil"/>
              <w:right w:val="nil"/>
            </w:tcBorders>
            <w:shd w:val="clear" w:color="000000" w:fill="DBDBD2"/>
            <w:vAlign w:val="center"/>
            <w:hideMark/>
          </w:tcPr>
          <w:p w14:paraId="6E201E9D" w14:textId="77777777" w:rsidR="00494DC6" w:rsidRPr="00494DC6" w:rsidRDefault="00494DC6" w:rsidP="007A77F1">
            <w:pPr>
              <w:spacing w:after="0"/>
            </w:pPr>
            <w:r w:rsidRPr="00494DC6">
              <w:t>- v realizaci</w:t>
            </w:r>
          </w:p>
        </w:tc>
        <w:tc>
          <w:tcPr>
            <w:tcW w:w="582" w:type="pct"/>
            <w:tcBorders>
              <w:top w:val="nil"/>
              <w:left w:val="nil"/>
              <w:bottom w:val="single" w:sz="8" w:space="0" w:color="86BC25"/>
              <w:right w:val="nil"/>
            </w:tcBorders>
            <w:shd w:val="clear" w:color="auto" w:fill="auto"/>
            <w:vAlign w:val="center"/>
            <w:hideMark/>
          </w:tcPr>
          <w:p w14:paraId="614356AF" w14:textId="77777777" w:rsidR="00494DC6" w:rsidRPr="00494DC6" w:rsidRDefault="00494DC6" w:rsidP="007A77F1">
            <w:pPr>
              <w:spacing w:after="0"/>
              <w:jc w:val="right"/>
            </w:pPr>
            <w:r w:rsidRPr="00494DC6">
              <w:t xml:space="preserve">         326    </w:t>
            </w:r>
          </w:p>
        </w:tc>
        <w:tc>
          <w:tcPr>
            <w:tcW w:w="474" w:type="pct"/>
            <w:tcBorders>
              <w:top w:val="nil"/>
              <w:left w:val="nil"/>
              <w:bottom w:val="single" w:sz="8" w:space="0" w:color="86BC25"/>
              <w:right w:val="nil"/>
            </w:tcBorders>
            <w:shd w:val="clear" w:color="auto" w:fill="auto"/>
            <w:vAlign w:val="center"/>
            <w:hideMark/>
          </w:tcPr>
          <w:p w14:paraId="6F6155E8" w14:textId="77777777" w:rsidR="00494DC6" w:rsidRPr="00494DC6" w:rsidRDefault="00494DC6" w:rsidP="007A77F1">
            <w:pPr>
              <w:spacing w:after="0"/>
              <w:jc w:val="right"/>
            </w:pPr>
            <w:r w:rsidRPr="00494DC6">
              <w:t>4,80</w:t>
            </w:r>
          </w:p>
        </w:tc>
        <w:tc>
          <w:tcPr>
            <w:tcW w:w="491" w:type="pct"/>
            <w:tcBorders>
              <w:top w:val="nil"/>
              <w:left w:val="nil"/>
              <w:bottom w:val="single" w:sz="8" w:space="0" w:color="86BC25"/>
              <w:right w:val="nil"/>
            </w:tcBorders>
            <w:shd w:val="clear" w:color="auto" w:fill="auto"/>
            <w:vAlign w:val="center"/>
            <w:hideMark/>
          </w:tcPr>
          <w:p w14:paraId="0429996D"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4AEF8CB1"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62F52E93" w14:textId="77777777" w:rsidR="00494DC6" w:rsidRPr="00494DC6" w:rsidRDefault="00494DC6" w:rsidP="007A77F1">
            <w:pPr>
              <w:spacing w:after="0"/>
              <w:jc w:val="right"/>
            </w:pPr>
            <w:r w:rsidRPr="00494DC6">
              <w:t xml:space="preserve">   1 644    </w:t>
            </w:r>
          </w:p>
        </w:tc>
        <w:tc>
          <w:tcPr>
            <w:tcW w:w="474" w:type="pct"/>
            <w:tcBorders>
              <w:top w:val="nil"/>
              <w:left w:val="nil"/>
              <w:bottom w:val="single" w:sz="8" w:space="0" w:color="86BC25"/>
              <w:right w:val="nil"/>
            </w:tcBorders>
            <w:shd w:val="clear" w:color="auto" w:fill="auto"/>
            <w:vAlign w:val="center"/>
            <w:hideMark/>
          </w:tcPr>
          <w:p w14:paraId="7308BA28" w14:textId="77777777" w:rsidR="00494DC6" w:rsidRPr="00494DC6" w:rsidRDefault="00494DC6" w:rsidP="007A77F1">
            <w:pPr>
              <w:spacing w:after="0"/>
              <w:jc w:val="right"/>
            </w:pPr>
            <w:r w:rsidRPr="00494DC6">
              <w:t>48,64</w:t>
            </w:r>
          </w:p>
        </w:tc>
        <w:tc>
          <w:tcPr>
            <w:tcW w:w="491" w:type="pct"/>
            <w:tcBorders>
              <w:top w:val="nil"/>
              <w:left w:val="nil"/>
              <w:bottom w:val="single" w:sz="8" w:space="0" w:color="86BC25"/>
              <w:right w:val="nil"/>
            </w:tcBorders>
            <w:shd w:val="clear" w:color="auto" w:fill="auto"/>
            <w:vAlign w:val="center"/>
            <w:hideMark/>
          </w:tcPr>
          <w:p w14:paraId="30DA7AEE" w14:textId="77777777" w:rsidR="00494DC6" w:rsidRPr="00494DC6" w:rsidRDefault="00494DC6" w:rsidP="007A77F1">
            <w:pPr>
              <w:spacing w:after="0"/>
              <w:jc w:val="right"/>
            </w:pPr>
            <w:r w:rsidRPr="00494DC6">
              <w:t xml:space="preserve">      664    </w:t>
            </w:r>
          </w:p>
        </w:tc>
        <w:tc>
          <w:tcPr>
            <w:tcW w:w="472" w:type="pct"/>
            <w:tcBorders>
              <w:top w:val="nil"/>
              <w:left w:val="nil"/>
              <w:bottom w:val="single" w:sz="8" w:space="0" w:color="86BC25"/>
              <w:right w:val="nil"/>
            </w:tcBorders>
            <w:shd w:val="clear" w:color="auto" w:fill="auto"/>
            <w:vAlign w:val="center"/>
            <w:hideMark/>
          </w:tcPr>
          <w:p w14:paraId="48AAD39A" w14:textId="77777777" w:rsidR="00494DC6" w:rsidRPr="00494DC6" w:rsidRDefault="00494DC6" w:rsidP="007A77F1">
            <w:pPr>
              <w:spacing w:after="0"/>
              <w:jc w:val="right"/>
            </w:pPr>
            <w:r w:rsidRPr="00494DC6">
              <w:t>66,23</w:t>
            </w:r>
          </w:p>
        </w:tc>
      </w:tr>
      <w:tr w:rsidR="00494DC6" w:rsidRPr="00494DC6" w14:paraId="1F71546B" w14:textId="77777777" w:rsidTr="007A77F1">
        <w:trPr>
          <w:trHeight w:val="340"/>
        </w:trPr>
        <w:tc>
          <w:tcPr>
            <w:tcW w:w="1058" w:type="pct"/>
            <w:tcBorders>
              <w:top w:val="single" w:sz="8" w:space="0" w:color="86BC25"/>
              <w:left w:val="nil"/>
              <w:bottom w:val="single" w:sz="8" w:space="0" w:color="86BC25"/>
              <w:right w:val="nil"/>
            </w:tcBorders>
            <w:shd w:val="clear" w:color="000000" w:fill="DBDBD2"/>
            <w:vAlign w:val="center"/>
            <w:hideMark/>
          </w:tcPr>
          <w:p w14:paraId="66B9C444" w14:textId="77777777" w:rsidR="00494DC6" w:rsidRPr="00494DC6" w:rsidRDefault="00494DC6" w:rsidP="007A77F1">
            <w:pPr>
              <w:spacing w:after="0"/>
            </w:pPr>
            <w:r w:rsidRPr="00494DC6">
              <w:t>- ukončeno</w:t>
            </w:r>
          </w:p>
        </w:tc>
        <w:tc>
          <w:tcPr>
            <w:tcW w:w="582" w:type="pct"/>
            <w:tcBorders>
              <w:top w:val="nil"/>
              <w:left w:val="nil"/>
              <w:bottom w:val="single" w:sz="8" w:space="0" w:color="86BC25"/>
              <w:right w:val="nil"/>
            </w:tcBorders>
            <w:shd w:val="clear" w:color="auto" w:fill="auto"/>
            <w:vAlign w:val="center"/>
            <w:hideMark/>
          </w:tcPr>
          <w:p w14:paraId="7FAB4BCD" w14:textId="77777777" w:rsidR="00494DC6" w:rsidRPr="00494DC6" w:rsidRDefault="00494DC6" w:rsidP="007A77F1">
            <w:pPr>
              <w:spacing w:after="0"/>
              <w:jc w:val="right"/>
            </w:pPr>
            <w:r w:rsidRPr="00494DC6">
              <w:t xml:space="preserve">      1 133    </w:t>
            </w:r>
          </w:p>
        </w:tc>
        <w:tc>
          <w:tcPr>
            <w:tcW w:w="474" w:type="pct"/>
            <w:tcBorders>
              <w:top w:val="nil"/>
              <w:left w:val="nil"/>
              <w:bottom w:val="single" w:sz="8" w:space="0" w:color="86BC25"/>
              <w:right w:val="nil"/>
            </w:tcBorders>
            <w:shd w:val="clear" w:color="auto" w:fill="auto"/>
            <w:vAlign w:val="center"/>
            <w:hideMark/>
          </w:tcPr>
          <w:p w14:paraId="6987F546" w14:textId="77777777" w:rsidR="00494DC6" w:rsidRPr="00494DC6" w:rsidRDefault="00494DC6" w:rsidP="007A77F1">
            <w:pPr>
              <w:spacing w:after="0"/>
              <w:jc w:val="right"/>
            </w:pPr>
            <w:r w:rsidRPr="00494DC6">
              <w:t>16,68</w:t>
            </w:r>
          </w:p>
        </w:tc>
        <w:tc>
          <w:tcPr>
            <w:tcW w:w="491" w:type="pct"/>
            <w:tcBorders>
              <w:top w:val="nil"/>
              <w:left w:val="nil"/>
              <w:bottom w:val="single" w:sz="8" w:space="0" w:color="86BC25"/>
              <w:right w:val="nil"/>
            </w:tcBorders>
            <w:shd w:val="clear" w:color="auto" w:fill="auto"/>
            <w:vAlign w:val="center"/>
            <w:hideMark/>
          </w:tcPr>
          <w:p w14:paraId="1FD97DBC"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75B96013"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63A79D61" w14:textId="77777777" w:rsidR="00494DC6" w:rsidRPr="00494DC6" w:rsidRDefault="00494DC6" w:rsidP="007A77F1">
            <w:pPr>
              <w:spacing w:after="0"/>
              <w:jc w:val="right"/>
            </w:pPr>
            <w:r w:rsidRPr="00494DC6">
              <w:t xml:space="preserve">      195    </w:t>
            </w:r>
          </w:p>
        </w:tc>
        <w:tc>
          <w:tcPr>
            <w:tcW w:w="474" w:type="pct"/>
            <w:tcBorders>
              <w:top w:val="nil"/>
              <w:left w:val="nil"/>
              <w:bottom w:val="single" w:sz="8" w:space="0" w:color="86BC25"/>
              <w:right w:val="nil"/>
            </w:tcBorders>
            <w:shd w:val="clear" w:color="auto" w:fill="auto"/>
            <w:vAlign w:val="center"/>
            <w:hideMark/>
          </w:tcPr>
          <w:p w14:paraId="304D8268" w14:textId="77777777" w:rsidR="00494DC6" w:rsidRPr="00494DC6" w:rsidRDefault="00494DC6" w:rsidP="007A77F1">
            <w:pPr>
              <w:spacing w:after="0"/>
              <w:jc w:val="right"/>
            </w:pPr>
            <w:r w:rsidRPr="00494DC6">
              <w:t>5,77</w:t>
            </w:r>
          </w:p>
        </w:tc>
        <w:tc>
          <w:tcPr>
            <w:tcW w:w="491" w:type="pct"/>
            <w:tcBorders>
              <w:top w:val="nil"/>
              <w:left w:val="nil"/>
              <w:bottom w:val="single" w:sz="8" w:space="0" w:color="86BC25"/>
              <w:right w:val="nil"/>
            </w:tcBorders>
            <w:shd w:val="clear" w:color="auto" w:fill="auto"/>
            <w:vAlign w:val="center"/>
            <w:hideMark/>
          </w:tcPr>
          <w:p w14:paraId="2890A666" w14:textId="77777777" w:rsidR="00494DC6" w:rsidRPr="00494DC6" w:rsidRDefault="00494DC6" w:rsidP="007A77F1">
            <w:pPr>
              <w:spacing w:after="0"/>
              <w:jc w:val="right"/>
            </w:pPr>
            <w:r w:rsidRPr="00494DC6">
              <w:t xml:space="preserve">          5    </w:t>
            </w:r>
          </w:p>
        </w:tc>
        <w:tc>
          <w:tcPr>
            <w:tcW w:w="472" w:type="pct"/>
            <w:tcBorders>
              <w:top w:val="nil"/>
              <w:left w:val="nil"/>
              <w:bottom w:val="single" w:sz="8" w:space="0" w:color="86BC25"/>
              <w:right w:val="nil"/>
            </w:tcBorders>
            <w:shd w:val="clear" w:color="auto" w:fill="auto"/>
            <w:vAlign w:val="center"/>
            <w:hideMark/>
          </w:tcPr>
          <w:p w14:paraId="504C6FFE" w14:textId="77777777" w:rsidR="00494DC6" w:rsidRPr="00494DC6" w:rsidRDefault="00494DC6" w:rsidP="007A77F1">
            <w:pPr>
              <w:spacing w:after="0"/>
              <w:jc w:val="right"/>
            </w:pPr>
            <w:r w:rsidRPr="00494DC6">
              <w:t>0,45</w:t>
            </w:r>
          </w:p>
        </w:tc>
      </w:tr>
      <w:tr w:rsidR="00494DC6" w:rsidRPr="00494DC6" w14:paraId="62B103A4"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59C04AFC" w14:textId="77777777" w:rsidR="00494DC6" w:rsidRPr="00494DC6" w:rsidRDefault="00494DC6" w:rsidP="007A77F1">
            <w:pPr>
              <w:spacing w:after="0"/>
            </w:pPr>
            <w:r w:rsidRPr="00494DC6">
              <w:t>- zamítnuto</w:t>
            </w:r>
          </w:p>
        </w:tc>
        <w:tc>
          <w:tcPr>
            <w:tcW w:w="582" w:type="pct"/>
            <w:tcBorders>
              <w:top w:val="nil"/>
              <w:left w:val="nil"/>
              <w:bottom w:val="single" w:sz="8" w:space="0" w:color="86BC25"/>
              <w:right w:val="nil"/>
            </w:tcBorders>
            <w:shd w:val="clear" w:color="auto" w:fill="auto"/>
            <w:vAlign w:val="center"/>
            <w:hideMark/>
          </w:tcPr>
          <w:p w14:paraId="410995A4" w14:textId="77777777" w:rsidR="00494DC6" w:rsidRPr="00494DC6" w:rsidRDefault="00494DC6" w:rsidP="007A77F1">
            <w:pPr>
              <w:spacing w:after="0"/>
              <w:jc w:val="right"/>
            </w:pPr>
            <w:r w:rsidRPr="00494DC6">
              <w:t xml:space="preserve">      1 436    </w:t>
            </w:r>
          </w:p>
        </w:tc>
        <w:tc>
          <w:tcPr>
            <w:tcW w:w="474" w:type="pct"/>
            <w:tcBorders>
              <w:top w:val="nil"/>
              <w:left w:val="nil"/>
              <w:bottom w:val="single" w:sz="8" w:space="0" w:color="86BC25"/>
              <w:right w:val="nil"/>
            </w:tcBorders>
            <w:shd w:val="clear" w:color="auto" w:fill="auto"/>
            <w:vAlign w:val="center"/>
            <w:hideMark/>
          </w:tcPr>
          <w:p w14:paraId="27BE843B" w14:textId="77777777" w:rsidR="00494DC6" w:rsidRPr="00494DC6" w:rsidRDefault="00494DC6" w:rsidP="007A77F1">
            <w:pPr>
              <w:spacing w:after="0"/>
              <w:jc w:val="right"/>
            </w:pPr>
            <w:r w:rsidRPr="00494DC6">
              <w:t>21,14</w:t>
            </w:r>
          </w:p>
        </w:tc>
        <w:tc>
          <w:tcPr>
            <w:tcW w:w="491" w:type="pct"/>
            <w:tcBorders>
              <w:top w:val="nil"/>
              <w:left w:val="nil"/>
              <w:bottom w:val="single" w:sz="8" w:space="0" w:color="86BC25"/>
              <w:right w:val="nil"/>
            </w:tcBorders>
            <w:shd w:val="clear" w:color="auto" w:fill="auto"/>
            <w:vAlign w:val="center"/>
            <w:hideMark/>
          </w:tcPr>
          <w:p w14:paraId="52E38221"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7D041CC1"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21D0001E" w14:textId="77777777" w:rsidR="00494DC6" w:rsidRPr="00494DC6" w:rsidRDefault="00494DC6" w:rsidP="007A77F1">
            <w:pPr>
              <w:spacing w:after="0"/>
              <w:jc w:val="right"/>
            </w:pPr>
            <w:r w:rsidRPr="00494DC6">
              <w:t xml:space="preserve">   1 237    </w:t>
            </w:r>
          </w:p>
        </w:tc>
        <w:tc>
          <w:tcPr>
            <w:tcW w:w="474" w:type="pct"/>
            <w:tcBorders>
              <w:top w:val="nil"/>
              <w:left w:val="nil"/>
              <w:bottom w:val="single" w:sz="8" w:space="0" w:color="86BC25"/>
              <w:right w:val="nil"/>
            </w:tcBorders>
            <w:shd w:val="clear" w:color="auto" w:fill="auto"/>
            <w:vAlign w:val="center"/>
            <w:hideMark/>
          </w:tcPr>
          <w:p w14:paraId="43A136DF" w14:textId="77777777" w:rsidR="00494DC6" w:rsidRPr="00494DC6" w:rsidRDefault="00494DC6" w:rsidP="007A77F1">
            <w:pPr>
              <w:spacing w:after="0"/>
              <w:jc w:val="right"/>
            </w:pPr>
            <w:r w:rsidRPr="00494DC6">
              <w:t>36,59</w:t>
            </w:r>
          </w:p>
        </w:tc>
        <w:tc>
          <w:tcPr>
            <w:tcW w:w="491" w:type="pct"/>
            <w:tcBorders>
              <w:top w:val="nil"/>
              <w:left w:val="nil"/>
              <w:bottom w:val="single" w:sz="8" w:space="0" w:color="86BC25"/>
              <w:right w:val="nil"/>
            </w:tcBorders>
            <w:shd w:val="clear" w:color="auto" w:fill="auto"/>
            <w:vAlign w:val="center"/>
            <w:hideMark/>
          </w:tcPr>
          <w:p w14:paraId="1AC2D6CA" w14:textId="77777777" w:rsidR="00494DC6" w:rsidRPr="00494DC6" w:rsidRDefault="00494DC6" w:rsidP="007A77F1">
            <w:pPr>
              <w:spacing w:after="0"/>
              <w:jc w:val="right"/>
            </w:pPr>
            <w:r w:rsidRPr="00494DC6">
              <w:t xml:space="preserve">      208    </w:t>
            </w:r>
          </w:p>
        </w:tc>
        <w:tc>
          <w:tcPr>
            <w:tcW w:w="472" w:type="pct"/>
            <w:tcBorders>
              <w:top w:val="nil"/>
              <w:left w:val="nil"/>
              <w:bottom w:val="single" w:sz="8" w:space="0" w:color="86BC25"/>
              <w:right w:val="nil"/>
            </w:tcBorders>
            <w:shd w:val="clear" w:color="auto" w:fill="auto"/>
            <w:vAlign w:val="center"/>
            <w:hideMark/>
          </w:tcPr>
          <w:p w14:paraId="3FB6CBB0" w14:textId="77777777" w:rsidR="00494DC6" w:rsidRPr="00494DC6" w:rsidRDefault="00494DC6" w:rsidP="007A77F1">
            <w:pPr>
              <w:spacing w:after="0"/>
              <w:jc w:val="right"/>
            </w:pPr>
            <w:r w:rsidRPr="00494DC6">
              <w:t>20,76</w:t>
            </w:r>
          </w:p>
        </w:tc>
      </w:tr>
      <w:tr w:rsidR="00494DC6" w:rsidRPr="00494DC6" w14:paraId="79B06380"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3BE58937" w14:textId="77777777" w:rsidR="00494DC6" w:rsidRPr="00494DC6" w:rsidRDefault="00494DC6" w:rsidP="007A77F1">
            <w:pPr>
              <w:spacing w:after="0"/>
            </w:pPr>
            <w:r w:rsidRPr="00494DC6">
              <w:t xml:space="preserve">- odstup před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6FCDC643" w14:textId="77777777" w:rsidR="00494DC6" w:rsidRPr="00494DC6" w:rsidRDefault="00494DC6" w:rsidP="007A77F1">
            <w:pPr>
              <w:spacing w:after="0"/>
              <w:jc w:val="right"/>
            </w:pPr>
            <w:r w:rsidRPr="00494DC6">
              <w:t xml:space="preserve">      3 691    </w:t>
            </w:r>
          </w:p>
        </w:tc>
        <w:tc>
          <w:tcPr>
            <w:tcW w:w="474" w:type="pct"/>
            <w:tcBorders>
              <w:top w:val="nil"/>
              <w:left w:val="nil"/>
              <w:bottom w:val="single" w:sz="8" w:space="0" w:color="86BC25"/>
              <w:right w:val="nil"/>
            </w:tcBorders>
            <w:shd w:val="clear" w:color="auto" w:fill="auto"/>
            <w:vAlign w:val="center"/>
            <w:hideMark/>
          </w:tcPr>
          <w:p w14:paraId="443BFCE3" w14:textId="77777777" w:rsidR="00494DC6" w:rsidRPr="00494DC6" w:rsidRDefault="00494DC6" w:rsidP="007A77F1">
            <w:pPr>
              <w:spacing w:after="0"/>
              <w:jc w:val="right"/>
            </w:pPr>
            <w:r w:rsidRPr="00494DC6">
              <w:t>54,34</w:t>
            </w:r>
          </w:p>
        </w:tc>
        <w:tc>
          <w:tcPr>
            <w:tcW w:w="491" w:type="pct"/>
            <w:tcBorders>
              <w:top w:val="nil"/>
              <w:left w:val="nil"/>
              <w:bottom w:val="single" w:sz="8" w:space="0" w:color="86BC25"/>
              <w:right w:val="nil"/>
            </w:tcBorders>
            <w:shd w:val="clear" w:color="auto" w:fill="auto"/>
            <w:vAlign w:val="center"/>
            <w:hideMark/>
          </w:tcPr>
          <w:p w14:paraId="4C6176BE"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52152E8A"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11A743F8" w14:textId="77777777" w:rsidR="00494DC6" w:rsidRPr="00494DC6" w:rsidRDefault="00494DC6" w:rsidP="007A77F1">
            <w:pPr>
              <w:spacing w:after="0"/>
              <w:jc w:val="right"/>
            </w:pPr>
            <w:r w:rsidRPr="00494DC6">
              <w:t xml:space="preserve">      243    </w:t>
            </w:r>
          </w:p>
        </w:tc>
        <w:tc>
          <w:tcPr>
            <w:tcW w:w="474" w:type="pct"/>
            <w:tcBorders>
              <w:top w:val="nil"/>
              <w:left w:val="nil"/>
              <w:bottom w:val="single" w:sz="8" w:space="0" w:color="86BC25"/>
              <w:right w:val="nil"/>
            </w:tcBorders>
            <w:shd w:val="clear" w:color="auto" w:fill="auto"/>
            <w:vAlign w:val="center"/>
            <w:hideMark/>
          </w:tcPr>
          <w:p w14:paraId="58E740C8" w14:textId="77777777" w:rsidR="00494DC6" w:rsidRPr="00494DC6" w:rsidRDefault="00494DC6" w:rsidP="007A77F1">
            <w:pPr>
              <w:spacing w:after="0"/>
              <w:jc w:val="right"/>
            </w:pPr>
            <w:r w:rsidRPr="00494DC6">
              <w:t>7,20</w:t>
            </w:r>
          </w:p>
        </w:tc>
        <w:tc>
          <w:tcPr>
            <w:tcW w:w="491" w:type="pct"/>
            <w:tcBorders>
              <w:top w:val="nil"/>
              <w:left w:val="nil"/>
              <w:bottom w:val="single" w:sz="8" w:space="0" w:color="86BC25"/>
              <w:right w:val="nil"/>
            </w:tcBorders>
            <w:shd w:val="clear" w:color="auto" w:fill="auto"/>
            <w:vAlign w:val="center"/>
            <w:hideMark/>
          </w:tcPr>
          <w:p w14:paraId="3AAD21A2" w14:textId="77777777" w:rsidR="00494DC6" w:rsidRPr="00494DC6" w:rsidRDefault="00494DC6" w:rsidP="007A77F1">
            <w:pPr>
              <w:spacing w:after="0"/>
              <w:jc w:val="right"/>
            </w:pPr>
            <w:r w:rsidRPr="00494DC6">
              <w:t xml:space="preserve">      104    </w:t>
            </w:r>
          </w:p>
        </w:tc>
        <w:tc>
          <w:tcPr>
            <w:tcW w:w="472" w:type="pct"/>
            <w:tcBorders>
              <w:top w:val="nil"/>
              <w:left w:val="nil"/>
              <w:bottom w:val="single" w:sz="8" w:space="0" w:color="86BC25"/>
              <w:right w:val="nil"/>
            </w:tcBorders>
            <w:shd w:val="clear" w:color="auto" w:fill="auto"/>
            <w:vAlign w:val="center"/>
            <w:hideMark/>
          </w:tcPr>
          <w:p w14:paraId="1EF009B0" w14:textId="77777777" w:rsidR="00494DC6" w:rsidRPr="00494DC6" w:rsidRDefault="00494DC6" w:rsidP="007A77F1">
            <w:pPr>
              <w:spacing w:after="0"/>
              <w:jc w:val="right"/>
            </w:pPr>
            <w:r w:rsidRPr="00494DC6">
              <w:t>10,33</w:t>
            </w:r>
          </w:p>
        </w:tc>
      </w:tr>
      <w:tr w:rsidR="00494DC6" w:rsidRPr="00494DC6" w14:paraId="02966382" w14:textId="77777777" w:rsidTr="007A77F1">
        <w:trPr>
          <w:trHeight w:val="340"/>
        </w:trPr>
        <w:tc>
          <w:tcPr>
            <w:tcW w:w="1058" w:type="pct"/>
            <w:tcBorders>
              <w:top w:val="nil"/>
              <w:left w:val="nil"/>
              <w:bottom w:val="single" w:sz="8" w:space="0" w:color="86BC25"/>
              <w:right w:val="nil"/>
            </w:tcBorders>
            <w:shd w:val="clear" w:color="000000" w:fill="DBDBD2"/>
            <w:vAlign w:val="center"/>
            <w:hideMark/>
          </w:tcPr>
          <w:p w14:paraId="7EE61909" w14:textId="77777777" w:rsidR="00494DC6" w:rsidRPr="00494DC6" w:rsidRDefault="00494DC6" w:rsidP="007A77F1">
            <w:pPr>
              <w:spacing w:after="0"/>
            </w:pPr>
            <w:r w:rsidRPr="00494DC6">
              <w:t xml:space="preserve">- odstup po </w:t>
            </w:r>
            <w:proofErr w:type="spellStart"/>
            <w:r w:rsidRPr="00494DC6">
              <w:t>RoPD</w:t>
            </w:r>
            <w:proofErr w:type="spellEnd"/>
          </w:p>
        </w:tc>
        <w:tc>
          <w:tcPr>
            <w:tcW w:w="582" w:type="pct"/>
            <w:tcBorders>
              <w:top w:val="nil"/>
              <w:left w:val="nil"/>
              <w:bottom w:val="single" w:sz="8" w:space="0" w:color="86BC25"/>
              <w:right w:val="nil"/>
            </w:tcBorders>
            <w:shd w:val="clear" w:color="auto" w:fill="auto"/>
            <w:vAlign w:val="center"/>
            <w:hideMark/>
          </w:tcPr>
          <w:p w14:paraId="5C5B7211" w14:textId="77777777" w:rsidR="00494DC6" w:rsidRPr="00494DC6" w:rsidRDefault="00494DC6" w:rsidP="007A77F1">
            <w:pPr>
              <w:spacing w:after="0"/>
              <w:jc w:val="right"/>
            </w:pPr>
            <w:r w:rsidRPr="00494DC6">
              <w:t xml:space="preserve">         207    </w:t>
            </w:r>
          </w:p>
        </w:tc>
        <w:tc>
          <w:tcPr>
            <w:tcW w:w="474" w:type="pct"/>
            <w:tcBorders>
              <w:top w:val="nil"/>
              <w:left w:val="nil"/>
              <w:bottom w:val="single" w:sz="8" w:space="0" w:color="86BC25"/>
              <w:right w:val="nil"/>
            </w:tcBorders>
            <w:shd w:val="clear" w:color="auto" w:fill="auto"/>
            <w:vAlign w:val="center"/>
            <w:hideMark/>
          </w:tcPr>
          <w:p w14:paraId="3B33E37F" w14:textId="77777777" w:rsidR="00494DC6" w:rsidRPr="00494DC6" w:rsidRDefault="00494DC6" w:rsidP="007A77F1">
            <w:pPr>
              <w:spacing w:after="0"/>
              <w:jc w:val="right"/>
            </w:pPr>
            <w:r w:rsidRPr="00494DC6">
              <w:t>3,04</w:t>
            </w:r>
          </w:p>
        </w:tc>
        <w:tc>
          <w:tcPr>
            <w:tcW w:w="491" w:type="pct"/>
            <w:tcBorders>
              <w:top w:val="nil"/>
              <w:left w:val="nil"/>
              <w:bottom w:val="single" w:sz="8" w:space="0" w:color="86BC25"/>
              <w:right w:val="nil"/>
            </w:tcBorders>
            <w:shd w:val="clear" w:color="auto" w:fill="auto"/>
            <w:vAlign w:val="center"/>
            <w:hideMark/>
          </w:tcPr>
          <w:p w14:paraId="50AB5980" w14:textId="77777777" w:rsidR="00494DC6" w:rsidRPr="00494DC6" w:rsidRDefault="00494DC6" w:rsidP="007A77F1">
            <w:pPr>
              <w:spacing w:after="0"/>
              <w:jc w:val="right"/>
            </w:pPr>
            <w:r w:rsidRPr="00494DC6">
              <w:t> </w:t>
            </w:r>
          </w:p>
        </w:tc>
        <w:tc>
          <w:tcPr>
            <w:tcW w:w="474" w:type="pct"/>
            <w:tcBorders>
              <w:top w:val="nil"/>
              <w:left w:val="nil"/>
              <w:bottom w:val="single" w:sz="8" w:space="0" w:color="86BC25"/>
              <w:right w:val="nil"/>
            </w:tcBorders>
            <w:shd w:val="clear" w:color="auto" w:fill="auto"/>
            <w:vAlign w:val="center"/>
            <w:hideMark/>
          </w:tcPr>
          <w:p w14:paraId="58955F96" w14:textId="77777777" w:rsidR="00494DC6" w:rsidRPr="00494DC6" w:rsidRDefault="00494DC6" w:rsidP="007A77F1">
            <w:pPr>
              <w:spacing w:after="0"/>
              <w:jc w:val="right"/>
            </w:pPr>
            <w:r w:rsidRPr="00494DC6">
              <w:t> </w:t>
            </w:r>
          </w:p>
        </w:tc>
        <w:tc>
          <w:tcPr>
            <w:tcW w:w="484" w:type="pct"/>
            <w:tcBorders>
              <w:top w:val="nil"/>
              <w:left w:val="nil"/>
              <w:bottom w:val="single" w:sz="8" w:space="0" w:color="86BC25"/>
              <w:right w:val="nil"/>
            </w:tcBorders>
            <w:shd w:val="clear" w:color="auto" w:fill="auto"/>
            <w:vAlign w:val="center"/>
            <w:hideMark/>
          </w:tcPr>
          <w:p w14:paraId="7580E065" w14:textId="77777777" w:rsidR="00494DC6" w:rsidRPr="00494DC6" w:rsidRDefault="00494DC6" w:rsidP="007A77F1">
            <w:pPr>
              <w:spacing w:after="0"/>
              <w:jc w:val="right"/>
            </w:pPr>
            <w:r w:rsidRPr="00494DC6">
              <w:t xml:space="preserve">        60    </w:t>
            </w:r>
          </w:p>
        </w:tc>
        <w:tc>
          <w:tcPr>
            <w:tcW w:w="474" w:type="pct"/>
            <w:tcBorders>
              <w:top w:val="nil"/>
              <w:left w:val="nil"/>
              <w:bottom w:val="single" w:sz="8" w:space="0" w:color="86BC25"/>
              <w:right w:val="nil"/>
            </w:tcBorders>
            <w:shd w:val="clear" w:color="auto" w:fill="auto"/>
            <w:vAlign w:val="center"/>
            <w:hideMark/>
          </w:tcPr>
          <w:p w14:paraId="6C2D79E6" w14:textId="77777777" w:rsidR="00494DC6" w:rsidRPr="00494DC6" w:rsidRDefault="00494DC6" w:rsidP="007A77F1">
            <w:pPr>
              <w:spacing w:after="0"/>
              <w:jc w:val="right"/>
            </w:pPr>
            <w:r w:rsidRPr="00494DC6">
              <w:t>1,79</w:t>
            </w:r>
          </w:p>
        </w:tc>
        <w:tc>
          <w:tcPr>
            <w:tcW w:w="491" w:type="pct"/>
            <w:tcBorders>
              <w:top w:val="nil"/>
              <w:left w:val="nil"/>
              <w:bottom w:val="single" w:sz="8" w:space="0" w:color="86BC25"/>
              <w:right w:val="nil"/>
            </w:tcBorders>
            <w:shd w:val="clear" w:color="auto" w:fill="auto"/>
            <w:vAlign w:val="center"/>
            <w:hideMark/>
          </w:tcPr>
          <w:p w14:paraId="27AA6C76" w14:textId="77777777" w:rsidR="00494DC6" w:rsidRPr="00494DC6" w:rsidRDefault="00494DC6" w:rsidP="007A77F1">
            <w:pPr>
              <w:spacing w:after="0"/>
              <w:jc w:val="right"/>
            </w:pPr>
            <w:r w:rsidRPr="00494DC6">
              <w:t xml:space="preserve">        -      </w:t>
            </w:r>
          </w:p>
        </w:tc>
        <w:tc>
          <w:tcPr>
            <w:tcW w:w="472" w:type="pct"/>
            <w:tcBorders>
              <w:top w:val="nil"/>
              <w:left w:val="nil"/>
              <w:bottom w:val="single" w:sz="8" w:space="0" w:color="86BC25"/>
              <w:right w:val="nil"/>
            </w:tcBorders>
            <w:shd w:val="clear" w:color="auto" w:fill="auto"/>
            <w:vAlign w:val="center"/>
            <w:hideMark/>
          </w:tcPr>
          <w:p w14:paraId="500FA0BD" w14:textId="77777777" w:rsidR="00494DC6" w:rsidRPr="00494DC6" w:rsidRDefault="00494DC6" w:rsidP="007A77F1">
            <w:pPr>
              <w:spacing w:after="0"/>
              <w:jc w:val="right"/>
            </w:pPr>
            <w:r w:rsidRPr="00494DC6">
              <w:t>0,00</w:t>
            </w:r>
          </w:p>
        </w:tc>
      </w:tr>
    </w:tbl>
    <w:p w14:paraId="5E741478" w14:textId="77777777" w:rsidR="00494DC6" w:rsidRDefault="00494DC6" w:rsidP="00494DC6"/>
    <w:p w14:paraId="50E4FF5A" w14:textId="77777777" w:rsidR="00494DC6" w:rsidRPr="00494DC6" w:rsidRDefault="00494DC6" w:rsidP="00F11136">
      <w:r w:rsidRPr="00494DC6">
        <w:t>Z uvedených výpočtů vyplývá, že:</w:t>
      </w:r>
    </w:p>
    <w:p w14:paraId="7C2501C6" w14:textId="6BE6CFEE" w:rsidR="00494DC6" w:rsidRPr="007A77F1" w:rsidRDefault="00494DC6" w:rsidP="002449AE">
      <w:pPr>
        <w:pStyle w:val="ListParagraph"/>
        <w:numPr>
          <w:ilvl w:val="0"/>
          <w:numId w:val="55"/>
        </w:numPr>
        <w:spacing w:after="120"/>
        <w:ind w:left="714" w:hanging="357"/>
        <w:contextualSpacing w:val="0"/>
        <w:jc w:val="both"/>
        <w:rPr>
          <w:rFonts w:cs="Calibri"/>
        </w:rPr>
      </w:pPr>
      <w:r w:rsidRPr="007A77F1">
        <w:rPr>
          <w:rFonts w:cs="Calibri"/>
          <w:b/>
        </w:rPr>
        <w:t>26–28 % projektů neprošlo hodnocením</w:t>
      </w:r>
      <w:r w:rsidRPr="007A77F1">
        <w:rPr>
          <w:rFonts w:cs="Calibri"/>
        </w:rPr>
        <w:t xml:space="preserve"> (poměr se výrazně neliší napříč programy)</w:t>
      </w:r>
      <w:r w:rsidR="001E6D06">
        <w:rPr>
          <w:rFonts w:cs="Calibri"/>
        </w:rPr>
        <w:t>.</w:t>
      </w:r>
    </w:p>
    <w:p w14:paraId="32C20037" w14:textId="452713FD" w:rsidR="00494DC6" w:rsidRPr="007A77F1" w:rsidRDefault="001E6D06" w:rsidP="002449AE">
      <w:pPr>
        <w:pStyle w:val="ListParagraph"/>
        <w:numPr>
          <w:ilvl w:val="0"/>
          <w:numId w:val="55"/>
        </w:numPr>
        <w:spacing w:after="120"/>
        <w:ind w:left="714" w:hanging="357"/>
        <w:contextualSpacing w:val="0"/>
        <w:jc w:val="both"/>
        <w:rPr>
          <w:rFonts w:cs="Calibri"/>
        </w:rPr>
      </w:pPr>
      <w:r>
        <w:rPr>
          <w:rFonts w:cs="Calibri"/>
        </w:rPr>
        <w:t>V</w:t>
      </w:r>
      <w:r w:rsidR="00494DC6" w:rsidRPr="007A77F1">
        <w:rPr>
          <w:rFonts w:cs="Calibri"/>
        </w:rPr>
        <w:t>elká část projektů byl</w:t>
      </w:r>
      <w:r>
        <w:rPr>
          <w:rFonts w:cs="Calibri"/>
        </w:rPr>
        <w:t>a</w:t>
      </w:r>
      <w:r w:rsidR="00494DC6" w:rsidRPr="007A77F1">
        <w:rPr>
          <w:rFonts w:cs="Calibri"/>
        </w:rPr>
        <w:t xml:space="preserve"> ukončena (stažena) před vydáním </w:t>
      </w:r>
      <w:proofErr w:type="spellStart"/>
      <w:r w:rsidR="00494DC6" w:rsidRPr="007A77F1">
        <w:rPr>
          <w:rFonts w:cs="Calibri"/>
        </w:rPr>
        <w:t>RoPD</w:t>
      </w:r>
      <w:proofErr w:type="spellEnd"/>
      <w:r w:rsidR="00494DC6" w:rsidRPr="007A77F1">
        <w:rPr>
          <w:rFonts w:cs="Calibri"/>
        </w:rPr>
        <w:t xml:space="preserve"> (29–36 %)</w:t>
      </w:r>
      <w:r>
        <w:rPr>
          <w:rFonts w:cs="Calibri"/>
        </w:rPr>
        <w:t>.</w:t>
      </w:r>
    </w:p>
    <w:p w14:paraId="578F1E69" w14:textId="55C30A9F" w:rsidR="00494DC6" w:rsidRPr="007A77F1" w:rsidRDefault="001E6D06" w:rsidP="002449AE">
      <w:pPr>
        <w:pStyle w:val="ListParagraph"/>
        <w:numPr>
          <w:ilvl w:val="0"/>
          <w:numId w:val="55"/>
        </w:numPr>
        <w:spacing w:after="120"/>
        <w:ind w:left="714" w:hanging="357"/>
        <w:contextualSpacing w:val="0"/>
        <w:jc w:val="both"/>
        <w:rPr>
          <w:rFonts w:cs="Calibri"/>
        </w:rPr>
      </w:pPr>
      <w:r>
        <w:rPr>
          <w:rFonts w:cs="Calibri"/>
        </w:rPr>
        <w:t>D</w:t>
      </w:r>
      <w:r w:rsidR="00494DC6" w:rsidRPr="007A77F1">
        <w:rPr>
          <w:rFonts w:cs="Calibri"/>
        </w:rPr>
        <w:t xml:space="preserve">o realizace (vydáno </w:t>
      </w:r>
      <w:proofErr w:type="spellStart"/>
      <w:r w:rsidR="00494DC6" w:rsidRPr="007A77F1">
        <w:rPr>
          <w:rFonts w:cs="Calibri"/>
        </w:rPr>
        <w:t>RoPD</w:t>
      </w:r>
      <w:proofErr w:type="spellEnd"/>
      <w:r w:rsidR="00494DC6" w:rsidRPr="007A77F1">
        <w:rPr>
          <w:rFonts w:cs="Calibri"/>
        </w:rPr>
        <w:t xml:space="preserve">) se dostalo u Aplikací a Inovací 43–45 % projektů, u </w:t>
      </w:r>
      <w:r>
        <w:rPr>
          <w:rFonts w:cs="Calibri"/>
        </w:rPr>
        <w:t>P</w:t>
      </w:r>
      <w:r w:rsidR="00494DC6" w:rsidRPr="007A77F1">
        <w:rPr>
          <w:rFonts w:cs="Calibri"/>
        </w:rPr>
        <w:t>otenciálu je to méně – 38 %.</w:t>
      </w:r>
    </w:p>
    <w:p w14:paraId="288E9995" w14:textId="77777777" w:rsidR="00494DC6" w:rsidRPr="00494DC6" w:rsidRDefault="00494DC6" w:rsidP="00F11136">
      <w:pPr>
        <w:jc w:val="both"/>
      </w:pPr>
      <w:r w:rsidRPr="00CF58DE">
        <w:rPr>
          <w:b/>
        </w:rPr>
        <w:t xml:space="preserve">Podíl projektů, které odstoupily před vydáním </w:t>
      </w:r>
      <w:proofErr w:type="spellStart"/>
      <w:r w:rsidRPr="00CF58DE">
        <w:rPr>
          <w:b/>
        </w:rPr>
        <w:t>RoPD</w:t>
      </w:r>
      <w:proofErr w:type="spellEnd"/>
      <w:r w:rsidR="003318F5">
        <w:rPr>
          <w:rStyle w:val="FootnoteReference"/>
          <w:b/>
        </w:rPr>
        <w:footnoteReference w:id="12"/>
      </w:r>
      <w:r w:rsidR="001E6D06">
        <w:rPr>
          <w:b/>
        </w:rPr>
        <w:t>,</w:t>
      </w:r>
      <w:r w:rsidRPr="00CF58DE">
        <w:rPr>
          <w:b/>
        </w:rPr>
        <w:t xml:space="preserve"> je velmi výrazný u 1. výzev všech programů.</w:t>
      </w:r>
      <w:r w:rsidRPr="00494DC6">
        <w:t xml:space="preserve"> Pokud se výpočty očistí o výzvu I. a jsou uvažovány jen výzvy II. – IV. (resp. II. a III. </w:t>
      </w:r>
      <w:r w:rsidR="001E6D06">
        <w:t>u </w:t>
      </w:r>
      <w:r w:rsidRPr="00494DC6">
        <w:t>Aplikací), jsou výsledné hodnoty mírně odlišné</w:t>
      </w:r>
      <w:r w:rsidR="00CF58DE">
        <w:t>, jak uvádí následující tabulka.</w:t>
      </w:r>
    </w:p>
    <w:p w14:paraId="01A6B124" w14:textId="20179376" w:rsidR="00377492" w:rsidRDefault="00377492" w:rsidP="00377492">
      <w:pPr>
        <w:pStyle w:val="Caption"/>
      </w:pPr>
      <w:r>
        <w:t xml:space="preserve">Tabulka </w:t>
      </w:r>
      <w:r>
        <w:fldChar w:fldCharType="begin"/>
      </w:r>
      <w:r>
        <w:instrText xml:space="preserve"> SEQ Tabulka \* ARABIC </w:instrText>
      </w:r>
      <w:r>
        <w:fldChar w:fldCharType="separate"/>
      </w:r>
      <w:r w:rsidR="00F77CAE">
        <w:rPr>
          <w:noProof/>
        </w:rPr>
        <w:t>12</w:t>
      </w:r>
      <w:r>
        <w:fldChar w:fldCharType="end"/>
      </w:r>
      <w:r>
        <w:t xml:space="preserve"> - Podíl projektů podle stavu</w:t>
      </w:r>
    </w:p>
    <w:tbl>
      <w:tblPr>
        <w:tblStyle w:val="ListTable3-Accent11"/>
        <w:tblW w:w="5000" w:type="pct"/>
        <w:jc w:val="center"/>
        <w:tblLook w:val="04A0" w:firstRow="1" w:lastRow="0" w:firstColumn="1" w:lastColumn="0" w:noHBand="0" w:noVBand="1"/>
      </w:tblPr>
      <w:tblGrid>
        <w:gridCol w:w="2524"/>
        <w:gridCol w:w="3495"/>
        <w:gridCol w:w="3609"/>
      </w:tblGrid>
      <w:tr w:rsidR="007A77F1" w:rsidRPr="007A77F1" w14:paraId="0520954E" w14:textId="77777777" w:rsidTr="00CE2FF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1311" w:type="pct"/>
          </w:tcPr>
          <w:p w14:paraId="72E6548B" w14:textId="77777777" w:rsidR="00494DC6" w:rsidRPr="007A77F1" w:rsidRDefault="00494DC6" w:rsidP="007A77F1">
            <w:pPr>
              <w:spacing w:before="100" w:beforeAutospacing="1" w:after="100" w:afterAutospacing="1"/>
              <w:rPr>
                <w:color w:val="FFFFFF" w:themeColor="background1"/>
              </w:rPr>
            </w:pPr>
            <w:r w:rsidRPr="007A77F1">
              <w:rPr>
                <w:color w:val="FFFFFF" w:themeColor="background1"/>
              </w:rPr>
              <w:t>Stavy projektů</w:t>
            </w:r>
          </w:p>
        </w:tc>
        <w:tc>
          <w:tcPr>
            <w:tcW w:w="1815" w:type="pct"/>
          </w:tcPr>
          <w:p w14:paraId="0946479F" w14:textId="77777777" w:rsidR="00494DC6" w:rsidRPr="007A77F1" w:rsidRDefault="00494DC6" w:rsidP="003318F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77F1">
              <w:rPr>
                <w:color w:val="FFFFFF" w:themeColor="background1"/>
              </w:rPr>
              <w:t>Varianta 1</w:t>
            </w:r>
            <w:r w:rsidR="003318F5">
              <w:rPr>
                <w:color w:val="FFFFFF" w:themeColor="background1"/>
              </w:rPr>
              <w:t xml:space="preserve"> (</w:t>
            </w:r>
            <w:r w:rsidRPr="007A77F1">
              <w:rPr>
                <w:color w:val="FFFFFF" w:themeColor="background1"/>
              </w:rPr>
              <w:t>výzvy I. – IV.*</w:t>
            </w:r>
            <w:r w:rsidR="003318F5">
              <w:rPr>
                <w:color w:val="FFFFFF" w:themeColor="background1"/>
              </w:rPr>
              <w:t>)</w:t>
            </w:r>
          </w:p>
        </w:tc>
        <w:tc>
          <w:tcPr>
            <w:tcW w:w="1874" w:type="pct"/>
          </w:tcPr>
          <w:p w14:paraId="683645CC" w14:textId="77777777" w:rsidR="00494DC6" w:rsidRPr="007A77F1" w:rsidRDefault="00494DC6" w:rsidP="003318F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A77F1">
              <w:rPr>
                <w:color w:val="FFFFFF" w:themeColor="background1"/>
              </w:rPr>
              <w:t>Varianta 2</w:t>
            </w:r>
            <w:r w:rsidR="003318F5">
              <w:rPr>
                <w:color w:val="FFFFFF" w:themeColor="background1"/>
              </w:rPr>
              <w:t xml:space="preserve"> (</w:t>
            </w:r>
            <w:r w:rsidRPr="007A77F1">
              <w:rPr>
                <w:color w:val="FFFFFF" w:themeColor="background1"/>
              </w:rPr>
              <w:t>výzvy II. – IV.*</w:t>
            </w:r>
            <w:r w:rsidR="003318F5">
              <w:rPr>
                <w:color w:val="FFFFFF" w:themeColor="background1"/>
              </w:rPr>
              <w:t>)</w:t>
            </w:r>
          </w:p>
        </w:tc>
      </w:tr>
      <w:tr w:rsidR="00494DC6" w:rsidRPr="00494DC6" w14:paraId="2C318102"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shd w:val="clear" w:color="auto" w:fill="E7F5CF" w:themeFill="accent1" w:themeFillTint="33"/>
          </w:tcPr>
          <w:p w14:paraId="4E0C7DEB" w14:textId="77777777" w:rsidR="00494DC6" w:rsidRPr="00494DC6" w:rsidRDefault="00494DC6" w:rsidP="007A77F1">
            <w:pPr>
              <w:spacing w:before="100" w:beforeAutospacing="1" w:after="100" w:afterAutospacing="1"/>
            </w:pPr>
            <w:r w:rsidRPr="00494DC6">
              <w:t>Aplikace</w:t>
            </w:r>
          </w:p>
        </w:tc>
        <w:tc>
          <w:tcPr>
            <w:tcW w:w="1815" w:type="pct"/>
            <w:shd w:val="clear" w:color="auto" w:fill="E7F5CF" w:themeFill="accent1" w:themeFillTint="33"/>
          </w:tcPr>
          <w:p w14:paraId="50477D22"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p>
        </w:tc>
        <w:tc>
          <w:tcPr>
            <w:tcW w:w="1874" w:type="pct"/>
            <w:shd w:val="clear" w:color="auto" w:fill="E7F5CF" w:themeFill="accent1" w:themeFillTint="33"/>
          </w:tcPr>
          <w:p w14:paraId="6198563E"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p>
        </w:tc>
      </w:tr>
      <w:tr w:rsidR="00494DC6" w:rsidRPr="00494DC6" w14:paraId="5C51348B"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022F0691" w14:textId="77777777" w:rsidR="00494DC6" w:rsidRPr="00377492" w:rsidRDefault="00494DC6" w:rsidP="007A77F1">
            <w:pPr>
              <w:spacing w:before="100" w:beforeAutospacing="1" w:after="100" w:afterAutospacing="1"/>
              <w:rPr>
                <w:b w:val="0"/>
              </w:rPr>
            </w:pPr>
            <w:r w:rsidRPr="00377492">
              <w:rPr>
                <w:b w:val="0"/>
              </w:rPr>
              <w:t xml:space="preserve">Vydáno </w:t>
            </w:r>
            <w:proofErr w:type="spellStart"/>
            <w:r w:rsidRPr="00377492">
              <w:rPr>
                <w:b w:val="0"/>
              </w:rPr>
              <w:t>RoPD</w:t>
            </w:r>
            <w:proofErr w:type="spellEnd"/>
          </w:p>
        </w:tc>
        <w:tc>
          <w:tcPr>
            <w:tcW w:w="1815" w:type="pct"/>
          </w:tcPr>
          <w:p w14:paraId="611B9E2C"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41,71 %</w:t>
            </w:r>
          </w:p>
        </w:tc>
        <w:tc>
          <w:tcPr>
            <w:tcW w:w="1874" w:type="pct"/>
          </w:tcPr>
          <w:p w14:paraId="7B8FF259"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51,66 %</w:t>
            </w:r>
          </w:p>
        </w:tc>
      </w:tr>
      <w:tr w:rsidR="00494DC6" w:rsidRPr="00494DC6" w14:paraId="3C06D2B6"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3259AE36" w14:textId="77777777" w:rsidR="00494DC6" w:rsidRPr="00377492" w:rsidRDefault="00494DC6" w:rsidP="007A77F1">
            <w:pPr>
              <w:spacing w:before="100" w:beforeAutospacing="1" w:after="100" w:afterAutospacing="1"/>
              <w:rPr>
                <w:b w:val="0"/>
              </w:rPr>
            </w:pPr>
            <w:r w:rsidRPr="00377492">
              <w:rPr>
                <w:b w:val="0"/>
              </w:rPr>
              <w:t>Neprošlo hodnocením</w:t>
            </w:r>
          </w:p>
        </w:tc>
        <w:tc>
          <w:tcPr>
            <w:tcW w:w="1815" w:type="pct"/>
          </w:tcPr>
          <w:p w14:paraId="357D0ECE"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25,79 %</w:t>
            </w:r>
          </w:p>
        </w:tc>
        <w:tc>
          <w:tcPr>
            <w:tcW w:w="1874" w:type="pct"/>
          </w:tcPr>
          <w:p w14:paraId="19ADCFBA"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29,36 %</w:t>
            </w:r>
          </w:p>
        </w:tc>
      </w:tr>
      <w:tr w:rsidR="00494DC6" w:rsidRPr="00494DC6" w14:paraId="233EBF99"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6CCE562C" w14:textId="77777777" w:rsidR="00494DC6" w:rsidRPr="00377492" w:rsidRDefault="00494DC6" w:rsidP="007A77F1">
            <w:pPr>
              <w:spacing w:before="100" w:beforeAutospacing="1" w:after="100" w:afterAutospacing="1"/>
              <w:rPr>
                <w:b w:val="0"/>
              </w:rPr>
            </w:pPr>
            <w:r w:rsidRPr="00377492">
              <w:rPr>
                <w:b w:val="0"/>
              </w:rPr>
              <w:t xml:space="preserve">Odstup před </w:t>
            </w:r>
            <w:proofErr w:type="spellStart"/>
            <w:r w:rsidRPr="00377492">
              <w:rPr>
                <w:b w:val="0"/>
              </w:rPr>
              <w:t>RoPD</w:t>
            </w:r>
            <w:proofErr w:type="spellEnd"/>
          </w:p>
        </w:tc>
        <w:tc>
          <w:tcPr>
            <w:tcW w:w="1815" w:type="pct"/>
          </w:tcPr>
          <w:p w14:paraId="42CCCFD1"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28,86 %</w:t>
            </w:r>
          </w:p>
        </w:tc>
        <w:tc>
          <w:tcPr>
            <w:tcW w:w="1874" w:type="pct"/>
          </w:tcPr>
          <w:p w14:paraId="464D6C40"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15,03 %</w:t>
            </w:r>
          </w:p>
        </w:tc>
      </w:tr>
      <w:tr w:rsidR="00494DC6" w:rsidRPr="00494DC6" w14:paraId="59B3AB9E"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39491D16" w14:textId="77777777" w:rsidR="00494DC6" w:rsidRPr="00377492" w:rsidRDefault="00494DC6" w:rsidP="007A77F1">
            <w:pPr>
              <w:spacing w:before="100" w:beforeAutospacing="1" w:after="100" w:afterAutospacing="1"/>
              <w:rPr>
                <w:b w:val="0"/>
              </w:rPr>
            </w:pPr>
            <w:r w:rsidRPr="00377492">
              <w:rPr>
                <w:b w:val="0"/>
              </w:rPr>
              <w:t xml:space="preserve">Odstup po </w:t>
            </w:r>
            <w:proofErr w:type="spellStart"/>
            <w:r w:rsidRPr="00377492">
              <w:rPr>
                <w:b w:val="0"/>
              </w:rPr>
              <w:t>RoPD</w:t>
            </w:r>
            <w:proofErr w:type="spellEnd"/>
          </w:p>
        </w:tc>
        <w:tc>
          <w:tcPr>
            <w:tcW w:w="1815" w:type="pct"/>
          </w:tcPr>
          <w:p w14:paraId="44ED99ED"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3,26 %</w:t>
            </w:r>
          </w:p>
        </w:tc>
        <w:tc>
          <w:tcPr>
            <w:tcW w:w="1874" w:type="pct"/>
          </w:tcPr>
          <w:p w14:paraId="6A36F721"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2,74 %</w:t>
            </w:r>
          </w:p>
        </w:tc>
      </w:tr>
      <w:tr w:rsidR="00494DC6" w:rsidRPr="00494DC6" w14:paraId="7221BFF3"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shd w:val="clear" w:color="auto" w:fill="E7F5CF" w:themeFill="accent1" w:themeFillTint="33"/>
          </w:tcPr>
          <w:p w14:paraId="5CCBA530" w14:textId="77777777" w:rsidR="00494DC6" w:rsidRPr="00494DC6" w:rsidRDefault="00494DC6" w:rsidP="007A77F1">
            <w:pPr>
              <w:spacing w:before="100" w:beforeAutospacing="1" w:after="100" w:afterAutospacing="1"/>
            </w:pPr>
            <w:r w:rsidRPr="00494DC6">
              <w:t>Inovace</w:t>
            </w:r>
          </w:p>
        </w:tc>
        <w:tc>
          <w:tcPr>
            <w:tcW w:w="1815" w:type="pct"/>
            <w:shd w:val="clear" w:color="auto" w:fill="E7F5CF" w:themeFill="accent1" w:themeFillTint="33"/>
          </w:tcPr>
          <w:p w14:paraId="0B8D05A5"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p>
        </w:tc>
        <w:tc>
          <w:tcPr>
            <w:tcW w:w="1874" w:type="pct"/>
            <w:shd w:val="clear" w:color="auto" w:fill="E7F5CF" w:themeFill="accent1" w:themeFillTint="33"/>
          </w:tcPr>
          <w:p w14:paraId="3C1E514D"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p>
        </w:tc>
      </w:tr>
      <w:tr w:rsidR="00494DC6" w:rsidRPr="00494DC6" w14:paraId="05DC9861"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13CDCA56" w14:textId="77777777" w:rsidR="00494DC6" w:rsidRPr="00377492" w:rsidRDefault="00494DC6" w:rsidP="007A77F1">
            <w:pPr>
              <w:spacing w:before="100" w:beforeAutospacing="1" w:after="100" w:afterAutospacing="1"/>
              <w:rPr>
                <w:b w:val="0"/>
              </w:rPr>
            </w:pPr>
            <w:r w:rsidRPr="00377492">
              <w:rPr>
                <w:b w:val="0"/>
              </w:rPr>
              <w:t xml:space="preserve">Vydáno </w:t>
            </w:r>
            <w:proofErr w:type="spellStart"/>
            <w:r w:rsidRPr="00377492">
              <w:rPr>
                <w:b w:val="0"/>
              </w:rPr>
              <w:t>RoPD</w:t>
            </w:r>
            <w:proofErr w:type="spellEnd"/>
          </w:p>
        </w:tc>
        <w:tc>
          <w:tcPr>
            <w:tcW w:w="1815" w:type="pct"/>
          </w:tcPr>
          <w:p w14:paraId="58D7FEDC"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41,24 %</w:t>
            </w:r>
          </w:p>
        </w:tc>
        <w:tc>
          <w:tcPr>
            <w:tcW w:w="1874" w:type="pct"/>
          </w:tcPr>
          <w:p w14:paraId="715931E8"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55,99 %</w:t>
            </w:r>
          </w:p>
        </w:tc>
      </w:tr>
      <w:tr w:rsidR="00494DC6" w:rsidRPr="00494DC6" w14:paraId="1A8F6ED4"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7ACE87E4" w14:textId="77777777" w:rsidR="00494DC6" w:rsidRPr="00377492" w:rsidRDefault="00494DC6" w:rsidP="007A77F1">
            <w:pPr>
              <w:spacing w:before="100" w:beforeAutospacing="1" w:after="100" w:afterAutospacing="1"/>
              <w:rPr>
                <w:b w:val="0"/>
              </w:rPr>
            </w:pPr>
            <w:r w:rsidRPr="00377492">
              <w:rPr>
                <w:b w:val="0"/>
              </w:rPr>
              <w:t>Neprošlo hodnocením</w:t>
            </w:r>
          </w:p>
        </w:tc>
        <w:tc>
          <w:tcPr>
            <w:tcW w:w="1815" w:type="pct"/>
          </w:tcPr>
          <w:p w14:paraId="6040410B"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28,99 %</w:t>
            </w:r>
          </w:p>
        </w:tc>
        <w:tc>
          <w:tcPr>
            <w:tcW w:w="1874" w:type="pct"/>
          </w:tcPr>
          <w:p w14:paraId="1C0C2FB8"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30,99 %</w:t>
            </w:r>
          </w:p>
        </w:tc>
      </w:tr>
      <w:tr w:rsidR="00494DC6" w:rsidRPr="00494DC6" w14:paraId="6DDDAB8B"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0B9B6B59" w14:textId="77777777" w:rsidR="00494DC6" w:rsidRPr="00377492" w:rsidRDefault="00494DC6" w:rsidP="007A77F1">
            <w:pPr>
              <w:spacing w:before="100" w:beforeAutospacing="1" w:after="100" w:afterAutospacing="1"/>
              <w:rPr>
                <w:b w:val="0"/>
              </w:rPr>
            </w:pPr>
            <w:r w:rsidRPr="00377492">
              <w:rPr>
                <w:b w:val="0"/>
              </w:rPr>
              <w:t xml:space="preserve">Odstup před </w:t>
            </w:r>
            <w:proofErr w:type="spellStart"/>
            <w:r w:rsidRPr="00377492">
              <w:rPr>
                <w:b w:val="0"/>
              </w:rPr>
              <w:t>RoPD</w:t>
            </w:r>
            <w:proofErr w:type="spellEnd"/>
          </w:p>
        </w:tc>
        <w:tc>
          <w:tcPr>
            <w:tcW w:w="1815" w:type="pct"/>
          </w:tcPr>
          <w:p w14:paraId="6471EEE0"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27,48 %</w:t>
            </w:r>
          </w:p>
        </w:tc>
        <w:tc>
          <w:tcPr>
            <w:tcW w:w="1874" w:type="pct"/>
          </w:tcPr>
          <w:p w14:paraId="01E5F466"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10,83 %</w:t>
            </w:r>
          </w:p>
        </w:tc>
      </w:tr>
      <w:tr w:rsidR="00494DC6" w:rsidRPr="00494DC6" w14:paraId="1FAA9D5A"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6C0AE011" w14:textId="77777777" w:rsidR="00494DC6" w:rsidRPr="00377492" w:rsidRDefault="00494DC6" w:rsidP="007A77F1">
            <w:pPr>
              <w:spacing w:before="100" w:beforeAutospacing="1" w:after="100" w:afterAutospacing="1"/>
              <w:rPr>
                <w:b w:val="0"/>
              </w:rPr>
            </w:pPr>
            <w:r w:rsidRPr="00377492">
              <w:rPr>
                <w:b w:val="0"/>
              </w:rPr>
              <w:t xml:space="preserve">Odstup po </w:t>
            </w:r>
            <w:proofErr w:type="spellStart"/>
            <w:r w:rsidRPr="00377492">
              <w:rPr>
                <w:b w:val="0"/>
              </w:rPr>
              <w:t>RoPD</w:t>
            </w:r>
            <w:proofErr w:type="spellEnd"/>
          </w:p>
        </w:tc>
        <w:tc>
          <w:tcPr>
            <w:tcW w:w="1815" w:type="pct"/>
          </w:tcPr>
          <w:p w14:paraId="7842E495"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2,02 %</w:t>
            </w:r>
          </w:p>
        </w:tc>
        <w:tc>
          <w:tcPr>
            <w:tcW w:w="1874" w:type="pct"/>
          </w:tcPr>
          <w:p w14:paraId="39482470"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1,62 %</w:t>
            </w:r>
          </w:p>
        </w:tc>
      </w:tr>
      <w:tr w:rsidR="00494DC6" w:rsidRPr="00494DC6" w14:paraId="336BD7CD"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shd w:val="clear" w:color="auto" w:fill="E7F5CF" w:themeFill="accent1" w:themeFillTint="33"/>
          </w:tcPr>
          <w:p w14:paraId="6F63562A" w14:textId="77777777" w:rsidR="00494DC6" w:rsidRPr="00494DC6" w:rsidRDefault="00494DC6" w:rsidP="007A77F1">
            <w:pPr>
              <w:spacing w:before="100" w:beforeAutospacing="1" w:after="100" w:afterAutospacing="1"/>
            </w:pPr>
            <w:r w:rsidRPr="00494DC6">
              <w:t>Potenciál</w:t>
            </w:r>
          </w:p>
        </w:tc>
        <w:tc>
          <w:tcPr>
            <w:tcW w:w="1815" w:type="pct"/>
            <w:shd w:val="clear" w:color="auto" w:fill="E7F5CF" w:themeFill="accent1" w:themeFillTint="33"/>
          </w:tcPr>
          <w:p w14:paraId="50ED8C9B"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p>
        </w:tc>
        <w:tc>
          <w:tcPr>
            <w:tcW w:w="1874" w:type="pct"/>
            <w:shd w:val="clear" w:color="auto" w:fill="E7F5CF" w:themeFill="accent1" w:themeFillTint="33"/>
          </w:tcPr>
          <w:p w14:paraId="4438002F"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p>
        </w:tc>
      </w:tr>
      <w:tr w:rsidR="00494DC6" w:rsidRPr="00494DC6" w14:paraId="7ED11E29"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4B42AD50" w14:textId="77777777" w:rsidR="00494DC6" w:rsidRPr="00377492" w:rsidRDefault="00494DC6" w:rsidP="007A77F1">
            <w:pPr>
              <w:spacing w:before="100" w:beforeAutospacing="1" w:after="100" w:afterAutospacing="1"/>
              <w:rPr>
                <w:b w:val="0"/>
              </w:rPr>
            </w:pPr>
            <w:r w:rsidRPr="00377492">
              <w:rPr>
                <w:b w:val="0"/>
              </w:rPr>
              <w:t xml:space="preserve">Vydáno </w:t>
            </w:r>
            <w:proofErr w:type="spellStart"/>
            <w:r w:rsidRPr="00377492">
              <w:rPr>
                <w:b w:val="0"/>
              </w:rPr>
              <w:t>RoPD</w:t>
            </w:r>
            <w:proofErr w:type="spellEnd"/>
          </w:p>
        </w:tc>
        <w:tc>
          <w:tcPr>
            <w:tcW w:w="1815" w:type="pct"/>
          </w:tcPr>
          <w:p w14:paraId="57FFA7BC"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35,50 %</w:t>
            </w:r>
          </w:p>
        </w:tc>
        <w:tc>
          <w:tcPr>
            <w:tcW w:w="1874" w:type="pct"/>
          </w:tcPr>
          <w:p w14:paraId="05D2B0B1"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57,22 %</w:t>
            </w:r>
          </w:p>
        </w:tc>
      </w:tr>
      <w:tr w:rsidR="00494DC6" w:rsidRPr="00494DC6" w14:paraId="002A7EDD"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377EFD03" w14:textId="77777777" w:rsidR="00494DC6" w:rsidRPr="00377492" w:rsidRDefault="00494DC6" w:rsidP="007A77F1">
            <w:pPr>
              <w:spacing w:before="100" w:beforeAutospacing="1" w:after="100" w:afterAutospacing="1"/>
              <w:rPr>
                <w:b w:val="0"/>
              </w:rPr>
            </w:pPr>
            <w:r w:rsidRPr="00377492">
              <w:rPr>
                <w:b w:val="0"/>
              </w:rPr>
              <w:t>Neprošlo hodnocením</w:t>
            </w:r>
          </w:p>
        </w:tc>
        <w:tc>
          <w:tcPr>
            <w:tcW w:w="1815" w:type="pct"/>
          </w:tcPr>
          <w:p w14:paraId="1DBD2825"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25,78 %</w:t>
            </w:r>
          </w:p>
        </w:tc>
        <w:tc>
          <w:tcPr>
            <w:tcW w:w="1874" w:type="pct"/>
          </w:tcPr>
          <w:p w14:paraId="7CB9D4ED"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32,97 %</w:t>
            </w:r>
          </w:p>
        </w:tc>
      </w:tr>
      <w:tr w:rsidR="00494DC6" w:rsidRPr="00494DC6" w14:paraId="0A4EC772"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79519403" w14:textId="77777777" w:rsidR="00494DC6" w:rsidRPr="00377492" w:rsidRDefault="00494DC6" w:rsidP="007A77F1">
            <w:pPr>
              <w:spacing w:before="100" w:beforeAutospacing="1" w:after="100" w:afterAutospacing="1"/>
              <w:rPr>
                <w:b w:val="0"/>
              </w:rPr>
            </w:pPr>
            <w:r w:rsidRPr="00377492">
              <w:rPr>
                <w:b w:val="0"/>
              </w:rPr>
              <w:t xml:space="preserve">Odstup před </w:t>
            </w:r>
            <w:proofErr w:type="spellStart"/>
            <w:r w:rsidRPr="00377492">
              <w:rPr>
                <w:b w:val="0"/>
              </w:rPr>
              <w:t>RoPD</w:t>
            </w:r>
            <w:proofErr w:type="spellEnd"/>
          </w:p>
        </w:tc>
        <w:tc>
          <w:tcPr>
            <w:tcW w:w="1815" w:type="pct"/>
          </w:tcPr>
          <w:p w14:paraId="49A82BFB"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36,13 %</w:t>
            </w:r>
          </w:p>
        </w:tc>
        <w:tc>
          <w:tcPr>
            <w:tcW w:w="1874" w:type="pct"/>
          </w:tcPr>
          <w:p w14:paraId="53AC0BD5"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7,92 %</w:t>
            </w:r>
          </w:p>
        </w:tc>
      </w:tr>
      <w:tr w:rsidR="00494DC6" w:rsidRPr="00494DC6" w14:paraId="3B993549"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1" w:type="pct"/>
          </w:tcPr>
          <w:p w14:paraId="0B460475" w14:textId="77777777" w:rsidR="00494DC6" w:rsidRPr="00377492" w:rsidRDefault="00494DC6" w:rsidP="007A77F1">
            <w:pPr>
              <w:spacing w:before="100" w:beforeAutospacing="1" w:after="100" w:afterAutospacing="1"/>
              <w:rPr>
                <w:b w:val="0"/>
              </w:rPr>
            </w:pPr>
            <w:r w:rsidRPr="00377492">
              <w:rPr>
                <w:b w:val="0"/>
              </w:rPr>
              <w:t xml:space="preserve">Odstup po </w:t>
            </w:r>
            <w:proofErr w:type="spellStart"/>
            <w:r w:rsidRPr="00377492">
              <w:rPr>
                <w:b w:val="0"/>
              </w:rPr>
              <w:t>RoPD</w:t>
            </w:r>
            <w:proofErr w:type="spellEnd"/>
          </w:p>
        </w:tc>
        <w:tc>
          <w:tcPr>
            <w:tcW w:w="1815" w:type="pct"/>
          </w:tcPr>
          <w:p w14:paraId="1825BE25"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2,93 %</w:t>
            </w:r>
          </w:p>
        </w:tc>
        <w:tc>
          <w:tcPr>
            <w:tcW w:w="1874" w:type="pct"/>
          </w:tcPr>
          <w:p w14:paraId="7AFC4969"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1,38 %</w:t>
            </w:r>
          </w:p>
        </w:tc>
      </w:tr>
    </w:tbl>
    <w:p w14:paraId="7F9DF9F9" w14:textId="77777777" w:rsidR="00494DC6" w:rsidRPr="00377492" w:rsidRDefault="00494DC6" w:rsidP="003318F5">
      <w:pPr>
        <w:rPr>
          <w:i/>
        </w:rPr>
      </w:pPr>
      <w:r w:rsidRPr="00377492">
        <w:rPr>
          <w:i/>
        </w:rPr>
        <w:t>* U programu Aplikace jen do výzvy č. III</w:t>
      </w:r>
    </w:p>
    <w:p w14:paraId="6A8BB818" w14:textId="77777777" w:rsidR="003318F5" w:rsidRDefault="003318F5" w:rsidP="00F11136">
      <w:pPr>
        <w:jc w:val="both"/>
      </w:pPr>
      <w:bookmarkStart w:id="87" w:name="_Hlk6496643"/>
      <w:r>
        <w:t>Pro výše uvedené varianty Zpracovatel provedl výpočet odhadovaného čerpání alokace, který se skládá z</w:t>
      </w:r>
      <w:r w:rsidR="001E6D06">
        <w:t>e</w:t>
      </w:r>
      <w:r>
        <w:t>:</w:t>
      </w:r>
    </w:p>
    <w:p w14:paraId="0D226DA1" w14:textId="77777777" w:rsidR="003318F5" w:rsidRPr="003318F5" w:rsidRDefault="001E6D06" w:rsidP="002449AE">
      <w:pPr>
        <w:pStyle w:val="ListParagraph"/>
        <w:numPr>
          <w:ilvl w:val="0"/>
          <w:numId w:val="55"/>
        </w:numPr>
        <w:spacing w:after="120"/>
        <w:ind w:left="714" w:hanging="357"/>
        <w:contextualSpacing w:val="0"/>
        <w:jc w:val="both"/>
        <w:rPr>
          <w:rFonts w:cs="Calibri"/>
        </w:rPr>
      </w:pPr>
      <w:r>
        <w:rPr>
          <w:rFonts w:cs="Calibri"/>
        </w:rPr>
        <w:t>S</w:t>
      </w:r>
      <w:r w:rsidR="003318F5" w:rsidRPr="003318F5">
        <w:rPr>
          <w:rFonts w:cs="Calibri"/>
        </w:rPr>
        <w:t xml:space="preserve">oučtu všech dosud schválených </w:t>
      </w:r>
      <w:proofErr w:type="spellStart"/>
      <w:r w:rsidR="003318F5" w:rsidRPr="003318F5">
        <w:rPr>
          <w:rFonts w:cs="Calibri"/>
        </w:rPr>
        <w:t>ŽoP</w:t>
      </w:r>
      <w:proofErr w:type="spellEnd"/>
      <w:r>
        <w:rPr>
          <w:rFonts w:cs="Calibri"/>
        </w:rPr>
        <w:t>.</w:t>
      </w:r>
    </w:p>
    <w:p w14:paraId="7CD46518" w14:textId="77777777" w:rsidR="003318F5" w:rsidRPr="003318F5" w:rsidRDefault="001E6D06" w:rsidP="002449AE">
      <w:pPr>
        <w:pStyle w:val="ListParagraph"/>
        <w:numPr>
          <w:ilvl w:val="0"/>
          <w:numId w:val="55"/>
        </w:numPr>
        <w:spacing w:after="120"/>
        <w:ind w:left="714" w:hanging="357"/>
        <w:contextualSpacing w:val="0"/>
        <w:jc w:val="both"/>
        <w:rPr>
          <w:rFonts w:cs="Calibri"/>
        </w:rPr>
      </w:pPr>
      <w:r>
        <w:rPr>
          <w:rFonts w:cs="Calibri"/>
        </w:rPr>
        <w:t>O</w:t>
      </w:r>
      <w:r w:rsidR="003318F5" w:rsidRPr="003318F5">
        <w:rPr>
          <w:rFonts w:cs="Calibri"/>
        </w:rPr>
        <w:t>dhadu skutečného čerpání projektů</w:t>
      </w:r>
      <w:r>
        <w:rPr>
          <w:rFonts w:cs="Calibri"/>
        </w:rPr>
        <w:t>,</w:t>
      </w:r>
      <w:r w:rsidR="003318F5" w:rsidRPr="003318F5">
        <w:rPr>
          <w:rFonts w:cs="Calibri"/>
        </w:rPr>
        <w:t xml:space="preserve"> které jsou aktuálně v</w:t>
      </w:r>
      <w:r>
        <w:rPr>
          <w:rFonts w:cs="Calibri"/>
        </w:rPr>
        <w:t> </w:t>
      </w:r>
      <w:r w:rsidR="003318F5" w:rsidRPr="003318F5">
        <w:rPr>
          <w:rFonts w:cs="Calibri"/>
        </w:rPr>
        <w:t>realizaci</w:t>
      </w:r>
      <w:r>
        <w:rPr>
          <w:rFonts w:cs="Calibri"/>
        </w:rPr>
        <w:t xml:space="preserve"> (Zpracovatel </w:t>
      </w:r>
      <w:r w:rsidR="003318F5" w:rsidRPr="003318F5">
        <w:rPr>
          <w:rFonts w:cs="Calibri"/>
        </w:rPr>
        <w:t>použil „koeficient úspěšnosti čerpání“ vypočtený v </w:t>
      </w:r>
      <w:r>
        <w:rPr>
          <w:rFonts w:cs="Calibri"/>
        </w:rPr>
        <w:t>S</w:t>
      </w:r>
      <w:r w:rsidR="003318F5" w:rsidRPr="003318F5">
        <w:rPr>
          <w:rFonts w:cs="Calibri"/>
        </w:rPr>
        <w:t>ituační zprávě</w:t>
      </w:r>
      <w:r>
        <w:rPr>
          <w:rFonts w:cs="Calibri"/>
        </w:rPr>
        <w:t>).</w:t>
      </w:r>
    </w:p>
    <w:p w14:paraId="7B373EFA" w14:textId="77777777" w:rsidR="00B8071E" w:rsidRPr="003318F5" w:rsidRDefault="001E6D06" w:rsidP="002449AE">
      <w:pPr>
        <w:pStyle w:val="ListParagraph"/>
        <w:numPr>
          <w:ilvl w:val="0"/>
          <w:numId w:val="55"/>
        </w:numPr>
        <w:spacing w:after="120"/>
        <w:ind w:left="714" w:hanging="357"/>
        <w:contextualSpacing w:val="0"/>
        <w:jc w:val="both"/>
        <w:rPr>
          <w:rFonts w:cs="Calibri"/>
        </w:rPr>
      </w:pPr>
      <w:r>
        <w:rPr>
          <w:rFonts w:cs="Calibri"/>
        </w:rPr>
        <w:t>O</w:t>
      </w:r>
      <w:r w:rsidR="003318F5" w:rsidRPr="003318F5">
        <w:rPr>
          <w:rFonts w:cs="Calibri"/>
        </w:rPr>
        <w:t xml:space="preserve">dhadu čerpání projektů, které jsou ve fázi hodnocení ve vyhlášených výzvách (V., VI. a ITI) – </w:t>
      </w:r>
      <w:r>
        <w:rPr>
          <w:rFonts w:cs="Calibri"/>
        </w:rPr>
        <w:t xml:space="preserve">Zpracovatel </w:t>
      </w:r>
      <w:r w:rsidR="003318F5" w:rsidRPr="003318F5">
        <w:rPr>
          <w:rFonts w:cs="Calibri"/>
        </w:rPr>
        <w:t xml:space="preserve">využil „koeficient úspěšnosti hodnocení“, tj. hodnoty z „Vydáno </w:t>
      </w:r>
      <w:proofErr w:type="spellStart"/>
      <w:r w:rsidR="003318F5" w:rsidRPr="003318F5">
        <w:rPr>
          <w:rFonts w:cs="Calibri"/>
        </w:rPr>
        <w:t>RoPD</w:t>
      </w:r>
      <w:proofErr w:type="spellEnd"/>
      <w:r w:rsidR="003318F5" w:rsidRPr="003318F5">
        <w:rPr>
          <w:rFonts w:cs="Calibri"/>
        </w:rPr>
        <w:t>“</w:t>
      </w:r>
      <w:r>
        <w:rPr>
          <w:rFonts w:cs="Calibri"/>
        </w:rPr>
        <w:t>.</w:t>
      </w:r>
    </w:p>
    <w:p w14:paraId="1178075E" w14:textId="77777777" w:rsidR="00494DC6" w:rsidRPr="00494DC6" w:rsidRDefault="003318F5" w:rsidP="00F11136">
      <w:pPr>
        <w:jc w:val="both"/>
      </w:pPr>
      <w:r>
        <w:t xml:space="preserve">Při výpočtu </w:t>
      </w:r>
      <w:r w:rsidR="00494DC6" w:rsidRPr="00494DC6">
        <w:t>predikc</w:t>
      </w:r>
      <w:r>
        <w:t>e</w:t>
      </w:r>
      <w:r w:rsidR="00494DC6" w:rsidRPr="00494DC6">
        <w:t xml:space="preserve"> absorpční kapacity a příspěvku k plnění finančního milníku PO 1 byly použity následující </w:t>
      </w:r>
      <w:r w:rsidR="00CF58DE">
        <w:t xml:space="preserve">hodnoty jednotlivých </w:t>
      </w:r>
      <w:r w:rsidR="00494DC6" w:rsidRPr="00494DC6">
        <w:t>parametr</w:t>
      </w:r>
      <w:r w:rsidR="00CF58DE">
        <w:t>ů</w:t>
      </w:r>
      <w:r w:rsidR="00494DC6" w:rsidRPr="00494DC6">
        <w:t>:</w:t>
      </w:r>
    </w:p>
    <w:p w14:paraId="44BF4F14" w14:textId="0BB40C6D" w:rsidR="00377492" w:rsidRDefault="00377492" w:rsidP="002449AE">
      <w:pPr>
        <w:pStyle w:val="Caption"/>
        <w:keepLines/>
      </w:pPr>
      <w:r>
        <w:t xml:space="preserve">Tabulka </w:t>
      </w:r>
      <w:r>
        <w:fldChar w:fldCharType="begin"/>
      </w:r>
      <w:r>
        <w:instrText xml:space="preserve"> SEQ Tabulka \* ARABIC </w:instrText>
      </w:r>
      <w:r>
        <w:fldChar w:fldCharType="separate"/>
      </w:r>
      <w:r w:rsidR="00F77CAE">
        <w:rPr>
          <w:noProof/>
        </w:rPr>
        <w:t>13</w:t>
      </w:r>
      <w:r>
        <w:fldChar w:fldCharType="end"/>
      </w:r>
      <w:r>
        <w:t xml:space="preserve"> - Koeficienty pro výpočet predikce</w:t>
      </w:r>
    </w:p>
    <w:tbl>
      <w:tblPr>
        <w:tblStyle w:val="ListTable3-Accent11"/>
        <w:tblW w:w="5000" w:type="pct"/>
        <w:jc w:val="center"/>
        <w:tblLook w:val="04A0" w:firstRow="1" w:lastRow="0" w:firstColumn="1" w:lastColumn="0" w:noHBand="0" w:noVBand="1"/>
      </w:tblPr>
      <w:tblGrid>
        <w:gridCol w:w="1923"/>
        <w:gridCol w:w="1925"/>
        <w:gridCol w:w="1926"/>
        <w:gridCol w:w="1926"/>
        <w:gridCol w:w="1928"/>
      </w:tblGrid>
      <w:tr w:rsidR="00494DC6" w:rsidRPr="00494DC6" w14:paraId="2CDEFA7D" w14:textId="77777777" w:rsidTr="00CE2FF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99" w:type="pct"/>
          </w:tcPr>
          <w:p w14:paraId="7A49995D" w14:textId="77777777" w:rsidR="00494DC6" w:rsidRPr="00377492" w:rsidRDefault="00494DC6" w:rsidP="002449AE">
            <w:pPr>
              <w:keepNext/>
              <w:keepLines/>
              <w:spacing w:before="100" w:beforeAutospacing="1" w:after="100" w:afterAutospacing="1"/>
              <w:rPr>
                <w:color w:val="FFFFFF" w:themeColor="background1"/>
              </w:rPr>
            </w:pPr>
            <w:r w:rsidRPr="00377492">
              <w:rPr>
                <w:color w:val="FFFFFF" w:themeColor="background1"/>
              </w:rPr>
              <w:t>Program</w:t>
            </w:r>
          </w:p>
        </w:tc>
        <w:tc>
          <w:tcPr>
            <w:tcW w:w="1000" w:type="pct"/>
          </w:tcPr>
          <w:p w14:paraId="748D8296"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Koeficient zájmu</w:t>
            </w:r>
          </w:p>
        </w:tc>
        <w:tc>
          <w:tcPr>
            <w:tcW w:w="1000" w:type="pct"/>
          </w:tcPr>
          <w:p w14:paraId="73D7B3CB"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Koeficient úspěšnosti</w:t>
            </w:r>
          </w:p>
          <w:p w14:paraId="351963F7"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varianta 1</w:t>
            </w:r>
          </w:p>
        </w:tc>
        <w:tc>
          <w:tcPr>
            <w:tcW w:w="1000" w:type="pct"/>
          </w:tcPr>
          <w:p w14:paraId="2A1CBFE4"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Koeficient úspěšnosti</w:t>
            </w:r>
          </w:p>
          <w:p w14:paraId="2BFA5A68"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varianta 2</w:t>
            </w:r>
          </w:p>
        </w:tc>
        <w:tc>
          <w:tcPr>
            <w:tcW w:w="1001" w:type="pct"/>
          </w:tcPr>
          <w:p w14:paraId="3E6B13AF" w14:textId="77777777" w:rsidR="00494DC6" w:rsidRPr="00377492" w:rsidRDefault="00494DC6" w:rsidP="002449AE">
            <w:pPr>
              <w:keepNext/>
              <w:keepLine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Koeficient skutečného čerpání</w:t>
            </w:r>
          </w:p>
        </w:tc>
      </w:tr>
      <w:tr w:rsidR="00494DC6" w:rsidRPr="00494DC6" w14:paraId="5D8B5A62"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013C660E" w14:textId="77777777" w:rsidR="00494DC6" w:rsidRPr="00494DC6" w:rsidRDefault="00494DC6" w:rsidP="00511E66">
            <w:pPr>
              <w:spacing w:before="100" w:beforeAutospacing="1" w:after="100" w:afterAutospacing="1"/>
            </w:pPr>
            <w:r w:rsidRPr="00494DC6">
              <w:t>Aplikace</w:t>
            </w:r>
          </w:p>
        </w:tc>
        <w:tc>
          <w:tcPr>
            <w:tcW w:w="1000" w:type="pct"/>
            <w:vAlign w:val="center"/>
          </w:tcPr>
          <w:p w14:paraId="0523D5FF"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167 %</w:t>
            </w:r>
          </w:p>
        </w:tc>
        <w:tc>
          <w:tcPr>
            <w:tcW w:w="1000" w:type="pct"/>
            <w:vAlign w:val="center"/>
          </w:tcPr>
          <w:p w14:paraId="4AD53FE0"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41,71 %</w:t>
            </w:r>
          </w:p>
        </w:tc>
        <w:tc>
          <w:tcPr>
            <w:tcW w:w="1000" w:type="pct"/>
            <w:vAlign w:val="center"/>
          </w:tcPr>
          <w:p w14:paraId="7200481A"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51,66 %</w:t>
            </w:r>
          </w:p>
        </w:tc>
        <w:tc>
          <w:tcPr>
            <w:tcW w:w="1001" w:type="pct"/>
            <w:vAlign w:val="center"/>
          </w:tcPr>
          <w:p w14:paraId="0FDAF23A"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85,42 %</w:t>
            </w:r>
          </w:p>
        </w:tc>
      </w:tr>
      <w:tr w:rsidR="00494DC6" w:rsidRPr="00494DC6" w14:paraId="53CA0C52"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46174E19" w14:textId="77777777" w:rsidR="00494DC6" w:rsidRPr="00494DC6" w:rsidRDefault="00494DC6" w:rsidP="00511E66">
            <w:pPr>
              <w:spacing w:before="100" w:beforeAutospacing="1" w:after="100" w:afterAutospacing="1"/>
            </w:pPr>
            <w:r w:rsidRPr="00494DC6">
              <w:t>Inovace</w:t>
            </w:r>
          </w:p>
        </w:tc>
        <w:tc>
          <w:tcPr>
            <w:tcW w:w="1000" w:type="pct"/>
            <w:vAlign w:val="center"/>
          </w:tcPr>
          <w:p w14:paraId="071BEF86"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127 %</w:t>
            </w:r>
          </w:p>
        </w:tc>
        <w:tc>
          <w:tcPr>
            <w:tcW w:w="1000" w:type="pct"/>
            <w:vAlign w:val="center"/>
          </w:tcPr>
          <w:p w14:paraId="55C0A45F"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41,24 %</w:t>
            </w:r>
          </w:p>
        </w:tc>
        <w:tc>
          <w:tcPr>
            <w:tcW w:w="1000" w:type="pct"/>
            <w:vAlign w:val="center"/>
          </w:tcPr>
          <w:p w14:paraId="5A6EAF4B"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55,99 %</w:t>
            </w:r>
          </w:p>
        </w:tc>
        <w:tc>
          <w:tcPr>
            <w:tcW w:w="1001" w:type="pct"/>
            <w:vAlign w:val="center"/>
          </w:tcPr>
          <w:p w14:paraId="6347C7D4"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86,75 %</w:t>
            </w:r>
          </w:p>
        </w:tc>
      </w:tr>
      <w:tr w:rsidR="00494DC6" w:rsidRPr="00494DC6" w14:paraId="149D15AF"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9" w:type="pct"/>
            <w:vAlign w:val="center"/>
          </w:tcPr>
          <w:p w14:paraId="09478CBF" w14:textId="77777777" w:rsidR="00494DC6" w:rsidRPr="00494DC6" w:rsidRDefault="00494DC6" w:rsidP="00511E66">
            <w:pPr>
              <w:spacing w:before="100" w:beforeAutospacing="1" w:after="100" w:afterAutospacing="1"/>
            </w:pPr>
            <w:r w:rsidRPr="00494DC6">
              <w:t>Potenciál</w:t>
            </w:r>
          </w:p>
        </w:tc>
        <w:tc>
          <w:tcPr>
            <w:tcW w:w="1000" w:type="pct"/>
            <w:vAlign w:val="center"/>
          </w:tcPr>
          <w:p w14:paraId="18EF1E88"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132 %</w:t>
            </w:r>
          </w:p>
        </w:tc>
        <w:tc>
          <w:tcPr>
            <w:tcW w:w="1000" w:type="pct"/>
            <w:vAlign w:val="center"/>
          </w:tcPr>
          <w:p w14:paraId="28730227"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35,50 %</w:t>
            </w:r>
          </w:p>
        </w:tc>
        <w:tc>
          <w:tcPr>
            <w:tcW w:w="1000" w:type="pct"/>
            <w:vAlign w:val="center"/>
          </w:tcPr>
          <w:p w14:paraId="5F26553A"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57,22 %</w:t>
            </w:r>
          </w:p>
        </w:tc>
        <w:tc>
          <w:tcPr>
            <w:tcW w:w="1001" w:type="pct"/>
            <w:vAlign w:val="center"/>
          </w:tcPr>
          <w:p w14:paraId="5CA081B6"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91,57 %</w:t>
            </w:r>
          </w:p>
        </w:tc>
      </w:tr>
      <w:bookmarkEnd w:id="87"/>
    </w:tbl>
    <w:p w14:paraId="6955A9FF" w14:textId="77777777" w:rsidR="00494DC6" w:rsidRDefault="00494DC6" w:rsidP="00494DC6"/>
    <w:p w14:paraId="16678A29" w14:textId="77777777" w:rsidR="00377492" w:rsidRDefault="00CF58DE" w:rsidP="00F11136">
      <w:r>
        <w:t>Zpracovatel předpokládá následující čerpání z dosud vyhlášených výzev:</w:t>
      </w:r>
    </w:p>
    <w:p w14:paraId="1D2BF74D" w14:textId="77777777" w:rsidR="00CF58DE" w:rsidRPr="005E20D6" w:rsidRDefault="00CF58DE" w:rsidP="002449AE">
      <w:pPr>
        <w:pStyle w:val="ListParagraph"/>
        <w:numPr>
          <w:ilvl w:val="0"/>
          <w:numId w:val="55"/>
        </w:numPr>
        <w:spacing w:after="120"/>
        <w:ind w:left="714" w:hanging="357"/>
        <w:contextualSpacing w:val="0"/>
        <w:jc w:val="both"/>
        <w:rPr>
          <w:rFonts w:cs="Calibri"/>
        </w:rPr>
      </w:pPr>
      <w:r w:rsidRPr="005E20D6">
        <w:rPr>
          <w:rFonts w:cs="Calibri"/>
          <w:b/>
        </w:rPr>
        <w:t>2 884 mil. Kč</w:t>
      </w:r>
      <w:r w:rsidRPr="005E20D6">
        <w:rPr>
          <w:rFonts w:cs="Calibri"/>
        </w:rPr>
        <w:t xml:space="preserve"> bylo již </w:t>
      </w:r>
      <w:r w:rsidR="005E20D6" w:rsidRPr="005E20D6">
        <w:rPr>
          <w:rFonts w:cs="Calibri"/>
        </w:rPr>
        <w:t xml:space="preserve">reálně vyčerpáno </w:t>
      </w:r>
      <w:r w:rsidR="005E20D6" w:rsidRPr="005E20D6">
        <w:rPr>
          <w:rFonts w:cs="Calibri"/>
          <w:b/>
        </w:rPr>
        <w:t>ukončenými projekty</w:t>
      </w:r>
      <w:r w:rsidR="001E6D06">
        <w:rPr>
          <w:rFonts w:cs="Calibri"/>
        </w:rPr>
        <w:t>.</w:t>
      </w:r>
    </w:p>
    <w:p w14:paraId="3ABB057D" w14:textId="77777777" w:rsidR="005E20D6" w:rsidRPr="005E20D6" w:rsidRDefault="001E6D06" w:rsidP="002449AE">
      <w:pPr>
        <w:pStyle w:val="ListParagraph"/>
        <w:numPr>
          <w:ilvl w:val="0"/>
          <w:numId w:val="55"/>
        </w:numPr>
        <w:spacing w:after="120"/>
        <w:ind w:left="714" w:hanging="357"/>
        <w:contextualSpacing w:val="0"/>
        <w:jc w:val="both"/>
        <w:rPr>
          <w:rFonts w:cs="Calibri"/>
        </w:rPr>
      </w:pPr>
      <w:r>
        <w:rPr>
          <w:rFonts w:cs="Calibri"/>
        </w:rPr>
        <w:t>U</w:t>
      </w:r>
      <w:r w:rsidR="005E20D6" w:rsidRPr="005E20D6">
        <w:rPr>
          <w:rFonts w:cs="Calibri"/>
        </w:rPr>
        <w:t xml:space="preserve"> běžících projektů byly dosud </w:t>
      </w:r>
      <w:r w:rsidR="005E20D6" w:rsidRPr="005E20D6">
        <w:rPr>
          <w:rFonts w:cs="Calibri"/>
          <w:b/>
        </w:rPr>
        <w:t>schváleny žádosti o platby</w:t>
      </w:r>
      <w:r w:rsidR="005E20D6" w:rsidRPr="005E20D6">
        <w:rPr>
          <w:rFonts w:cs="Calibri"/>
        </w:rPr>
        <w:t xml:space="preserve"> v celkové výši </w:t>
      </w:r>
      <w:r w:rsidR="005E20D6" w:rsidRPr="005E20D6">
        <w:rPr>
          <w:rFonts w:cs="Calibri"/>
          <w:b/>
        </w:rPr>
        <w:t>2 375 mil. Kč</w:t>
      </w:r>
      <w:r>
        <w:rPr>
          <w:rFonts w:cs="Calibri"/>
        </w:rPr>
        <w:t>.</w:t>
      </w:r>
    </w:p>
    <w:p w14:paraId="33CE4EF3" w14:textId="77777777" w:rsidR="005E20D6" w:rsidRPr="005E20D6" w:rsidRDefault="001E6D06" w:rsidP="002449AE">
      <w:pPr>
        <w:pStyle w:val="ListParagraph"/>
        <w:numPr>
          <w:ilvl w:val="0"/>
          <w:numId w:val="55"/>
        </w:numPr>
        <w:spacing w:after="120"/>
        <w:ind w:left="714" w:hanging="357"/>
        <w:contextualSpacing w:val="0"/>
        <w:jc w:val="both"/>
        <w:rPr>
          <w:rFonts w:cs="Calibri"/>
        </w:rPr>
      </w:pPr>
      <w:r>
        <w:rPr>
          <w:rFonts w:cs="Calibri"/>
        </w:rPr>
        <w:t>S</w:t>
      </w:r>
      <w:r w:rsidR="005E20D6" w:rsidRPr="005E20D6">
        <w:rPr>
          <w:rFonts w:cs="Calibri"/>
        </w:rPr>
        <w:t xml:space="preserve"> použitím koeficientu skutečného čerpání lze předpokládat, že </w:t>
      </w:r>
      <w:r w:rsidR="005E20D6" w:rsidRPr="005E20D6">
        <w:rPr>
          <w:rFonts w:cs="Calibri"/>
          <w:b/>
        </w:rPr>
        <w:t>aktuálně běžící projekty</w:t>
      </w:r>
      <w:r w:rsidR="005E20D6" w:rsidRPr="005E20D6">
        <w:rPr>
          <w:rFonts w:cs="Calibri"/>
        </w:rPr>
        <w:t xml:space="preserve"> vyčerpají přibližně </w:t>
      </w:r>
      <w:r w:rsidR="005E20D6" w:rsidRPr="005E20D6">
        <w:rPr>
          <w:rFonts w:cs="Calibri"/>
          <w:b/>
        </w:rPr>
        <w:t>9 022 mil. Kč</w:t>
      </w:r>
      <w:r>
        <w:rPr>
          <w:rFonts w:cs="Calibri"/>
        </w:rPr>
        <w:t>.</w:t>
      </w:r>
    </w:p>
    <w:p w14:paraId="0CB77F25" w14:textId="62AC7613" w:rsidR="005E20D6" w:rsidRDefault="001E6D06" w:rsidP="002449AE">
      <w:pPr>
        <w:pStyle w:val="ListParagraph"/>
        <w:numPr>
          <w:ilvl w:val="0"/>
          <w:numId w:val="55"/>
        </w:numPr>
        <w:spacing w:after="120"/>
        <w:ind w:left="714" w:hanging="357"/>
        <w:contextualSpacing w:val="0"/>
        <w:jc w:val="both"/>
        <w:rPr>
          <w:rFonts w:cs="Calibri"/>
        </w:rPr>
      </w:pPr>
      <w:r>
        <w:rPr>
          <w:rFonts w:cs="Calibri"/>
        </w:rPr>
        <w:t>P</w:t>
      </w:r>
      <w:r w:rsidR="005E20D6" w:rsidRPr="005E20D6">
        <w:rPr>
          <w:rFonts w:cs="Calibri"/>
        </w:rPr>
        <w:t xml:space="preserve">ři předpokládané úspěšnosti projektů, u kterých probíhá hodnocení žádosti (koeficient úspěšnosti – ve dvou variantách), a s následnou aplikací koeficientu skutečného čerpání, je celkové </w:t>
      </w:r>
      <w:r w:rsidR="005E20D6" w:rsidRPr="005E20D6">
        <w:rPr>
          <w:rFonts w:cs="Calibri"/>
          <w:b/>
        </w:rPr>
        <w:t>čerpání alokace hodnocenými projekty</w:t>
      </w:r>
      <w:r w:rsidR="005E20D6" w:rsidRPr="005E20D6">
        <w:rPr>
          <w:rFonts w:cs="Calibri"/>
        </w:rPr>
        <w:t xml:space="preserve"> v rozsahu </w:t>
      </w:r>
      <w:r w:rsidR="005E20D6" w:rsidRPr="005E20D6">
        <w:rPr>
          <w:rFonts w:cs="Calibri"/>
          <w:b/>
        </w:rPr>
        <w:t>3–4 mil. Kč</w:t>
      </w:r>
      <w:r w:rsidR="005E20D6" w:rsidRPr="005E20D6">
        <w:rPr>
          <w:rFonts w:cs="Calibri"/>
        </w:rPr>
        <w:t>.</w:t>
      </w:r>
    </w:p>
    <w:p w14:paraId="76957120" w14:textId="77777777" w:rsidR="005E20D6" w:rsidRPr="005E20D6" w:rsidRDefault="005E20D6" w:rsidP="005E20D6">
      <w:pPr>
        <w:spacing w:after="120" w:line="276" w:lineRule="auto"/>
        <w:jc w:val="both"/>
        <w:rPr>
          <w:rFonts w:cs="Calibri"/>
        </w:rPr>
      </w:pPr>
    </w:p>
    <w:p w14:paraId="5E21CBCA" w14:textId="48886DEA" w:rsidR="00377492" w:rsidRDefault="00377492" w:rsidP="00377492">
      <w:pPr>
        <w:pStyle w:val="Caption"/>
      </w:pPr>
      <w:bookmarkStart w:id="88" w:name="_Hlk6496532"/>
      <w:r>
        <w:t xml:space="preserve">Tabulka </w:t>
      </w:r>
      <w:r>
        <w:fldChar w:fldCharType="begin"/>
      </w:r>
      <w:r>
        <w:instrText xml:space="preserve"> SEQ Tabulka \* ARABIC </w:instrText>
      </w:r>
      <w:r>
        <w:fldChar w:fldCharType="separate"/>
      </w:r>
      <w:r w:rsidR="00F77CAE">
        <w:rPr>
          <w:noProof/>
        </w:rPr>
        <w:t>14</w:t>
      </w:r>
      <w:r>
        <w:fldChar w:fldCharType="end"/>
      </w:r>
      <w:r>
        <w:t xml:space="preserve"> - </w:t>
      </w:r>
      <w:r w:rsidRPr="00BF648C">
        <w:t>Předpoklad čerpání u již vyhlášených výzev (v mil. Kč)</w:t>
      </w:r>
    </w:p>
    <w:tbl>
      <w:tblPr>
        <w:tblStyle w:val="ListTable3-Accent11"/>
        <w:tblW w:w="5000" w:type="pct"/>
        <w:jc w:val="center"/>
        <w:tblLook w:val="04E0" w:firstRow="1" w:lastRow="1" w:firstColumn="1" w:lastColumn="0" w:noHBand="0" w:noVBand="1"/>
      </w:tblPr>
      <w:tblGrid>
        <w:gridCol w:w="1152"/>
        <w:gridCol w:w="1631"/>
        <w:gridCol w:w="1748"/>
        <w:gridCol w:w="2411"/>
        <w:gridCol w:w="1417"/>
        <w:gridCol w:w="1269"/>
      </w:tblGrid>
      <w:tr w:rsidR="00377492" w:rsidRPr="00494DC6" w14:paraId="6324BF11" w14:textId="77777777" w:rsidTr="00CE2FF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598" w:type="pct"/>
            <w:vMerge w:val="restart"/>
          </w:tcPr>
          <w:p w14:paraId="5193E544" w14:textId="77777777" w:rsidR="00377492" w:rsidRPr="00494DC6" w:rsidRDefault="00377492" w:rsidP="00377492">
            <w:pPr>
              <w:spacing w:before="100" w:beforeAutospacing="1" w:after="100" w:afterAutospacing="1"/>
            </w:pPr>
          </w:p>
        </w:tc>
        <w:tc>
          <w:tcPr>
            <w:tcW w:w="847" w:type="pct"/>
            <w:vMerge w:val="restart"/>
          </w:tcPr>
          <w:p w14:paraId="31CF3639" w14:textId="77777777" w:rsidR="00377492" w:rsidRPr="00377492" w:rsidRDefault="00377492" w:rsidP="003774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Ukončené projekty</w:t>
            </w:r>
          </w:p>
        </w:tc>
        <w:tc>
          <w:tcPr>
            <w:tcW w:w="2160" w:type="pct"/>
            <w:gridSpan w:val="2"/>
          </w:tcPr>
          <w:p w14:paraId="755FFE59" w14:textId="77777777" w:rsidR="00377492" w:rsidRPr="00377492" w:rsidRDefault="00377492" w:rsidP="003774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Běžící projekty</w:t>
            </w:r>
          </w:p>
        </w:tc>
        <w:tc>
          <w:tcPr>
            <w:tcW w:w="1395" w:type="pct"/>
            <w:gridSpan w:val="2"/>
          </w:tcPr>
          <w:p w14:paraId="7EAD8DC5" w14:textId="77777777" w:rsidR="00377492" w:rsidRPr="00377492" w:rsidRDefault="00377492" w:rsidP="003774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77492">
              <w:rPr>
                <w:color w:val="FFFFFF" w:themeColor="background1"/>
              </w:rPr>
              <w:t>Předpoklad čerpání z hodnocených projektů</w:t>
            </w:r>
          </w:p>
        </w:tc>
      </w:tr>
      <w:tr w:rsidR="00377492" w:rsidRPr="00494DC6" w14:paraId="69A6128F"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8" w:type="pct"/>
            <w:vMerge/>
          </w:tcPr>
          <w:p w14:paraId="13C2DCCD" w14:textId="77777777" w:rsidR="00377492" w:rsidRPr="00494DC6" w:rsidRDefault="00377492" w:rsidP="00377492">
            <w:pPr>
              <w:spacing w:before="100" w:beforeAutospacing="1" w:after="100" w:afterAutospacing="1"/>
            </w:pPr>
          </w:p>
        </w:tc>
        <w:tc>
          <w:tcPr>
            <w:tcW w:w="847" w:type="pct"/>
            <w:vMerge/>
          </w:tcPr>
          <w:p w14:paraId="359D4DFC" w14:textId="77777777" w:rsidR="00377492" w:rsidRPr="00377492" w:rsidRDefault="00377492" w:rsidP="003774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908" w:type="pct"/>
            <w:shd w:val="clear" w:color="auto" w:fill="86BC25" w:themeFill="accent1"/>
          </w:tcPr>
          <w:p w14:paraId="6EC58826" w14:textId="77777777" w:rsidR="00377492" w:rsidRPr="00377492" w:rsidRDefault="00377492" w:rsidP="003774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377492">
              <w:rPr>
                <w:b/>
                <w:color w:val="FFFFFF" w:themeColor="background1"/>
              </w:rPr>
              <w:t>Schválené ŽOP</w:t>
            </w:r>
          </w:p>
        </w:tc>
        <w:tc>
          <w:tcPr>
            <w:tcW w:w="1252" w:type="pct"/>
            <w:shd w:val="clear" w:color="auto" w:fill="86BC25" w:themeFill="accent1"/>
          </w:tcPr>
          <w:p w14:paraId="2B04FE36" w14:textId="77777777" w:rsidR="00377492" w:rsidRPr="00377492" w:rsidRDefault="00377492" w:rsidP="003774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377492">
              <w:rPr>
                <w:b/>
                <w:color w:val="FFFFFF" w:themeColor="background1"/>
              </w:rPr>
              <w:t>Předpoklad z plánovaných ŽOP</w:t>
            </w:r>
          </w:p>
        </w:tc>
        <w:tc>
          <w:tcPr>
            <w:tcW w:w="736" w:type="pct"/>
            <w:shd w:val="clear" w:color="auto" w:fill="86BC25" w:themeFill="accent1"/>
          </w:tcPr>
          <w:p w14:paraId="79992060" w14:textId="77777777" w:rsidR="00377492" w:rsidRPr="00377492" w:rsidRDefault="00377492" w:rsidP="003774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color w:val="FFFFFF" w:themeColor="background1"/>
              </w:rPr>
            </w:pPr>
            <w:r w:rsidRPr="00377492">
              <w:rPr>
                <w:b/>
                <w:color w:val="FFFFFF" w:themeColor="background1"/>
              </w:rPr>
              <w:t>Varianta 1</w:t>
            </w:r>
          </w:p>
        </w:tc>
        <w:tc>
          <w:tcPr>
            <w:tcW w:w="659" w:type="pct"/>
            <w:shd w:val="clear" w:color="auto" w:fill="86BC25" w:themeFill="accent1"/>
          </w:tcPr>
          <w:p w14:paraId="027BFD03" w14:textId="77777777" w:rsidR="00377492" w:rsidRPr="00377492" w:rsidRDefault="00377492" w:rsidP="003774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377492">
              <w:rPr>
                <w:b/>
                <w:color w:val="FFFFFF" w:themeColor="background1"/>
              </w:rPr>
              <w:t>Varianta 2</w:t>
            </w:r>
          </w:p>
        </w:tc>
      </w:tr>
      <w:tr w:rsidR="00494DC6" w:rsidRPr="00494DC6" w14:paraId="51F27480"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598" w:type="pct"/>
            <w:vAlign w:val="center"/>
            <w:hideMark/>
          </w:tcPr>
          <w:p w14:paraId="2322FA2E" w14:textId="77777777" w:rsidR="00494DC6" w:rsidRPr="00494DC6" w:rsidRDefault="00494DC6" w:rsidP="00511E66">
            <w:pPr>
              <w:spacing w:before="100" w:beforeAutospacing="1" w:after="100" w:afterAutospacing="1"/>
            </w:pPr>
            <w:r w:rsidRPr="00494DC6">
              <w:t>Aplikace</w:t>
            </w:r>
          </w:p>
        </w:tc>
        <w:tc>
          <w:tcPr>
            <w:tcW w:w="847" w:type="pct"/>
            <w:vAlign w:val="center"/>
            <w:hideMark/>
          </w:tcPr>
          <w:p w14:paraId="0FE4755B"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35</w:t>
            </w:r>
          </w:p>
        </w:tc>
        <w:tc>
          <w:tcPr>
            <w:tcW w:w="908" w:type="pct"/>
            <w:vAlign w:val="center"/>
          </w:tcPr>
          <w:p w14:paraId="4A76D1D7"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1 293</w:t>
            </w:r>
          </w:p>
        </w:tc>
        <w:tc>
          <w:tcPr>
            <w:tcW w:w="1252" w:type="pct"/>
            <w:vAlign w:val="center"/>
          </w:tcPr>
          <w:p w14:paraId="4B5CFE45"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3 088</w:t>
            </w:r>
          </w:p>
        </w:tc>
        <w:tc>
          <w:tcPr>
            <w:tcW w:w="736" w:type="pct"/>
            <w:vAlign w:val="center"/>
          </w:tcPr>
          <w:p w14:paraId="49937CC0"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1 975</w:t>
            </w:r>
          </w:p>
        </w:tc>
        <w:tc>
          <w:tcPr>
            <w:tcW w:w="659" w:type="pct"/>
            <w:vAlign w:val="center"/>
          </w:tcPr>
          <w:p w14:paraId="3A25A9DE"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2 446</w:t>
            </w:r>
          </w:p>
        </w:tc>
      </w:tr>
      <w:tr w:rsidR="00494DC6" w:rsidRPr="00494DC6" w14:paraId="08A9710B"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98" w:type="pct"/>
            <w:vAlign w:val="center"/>
            <w:hideMark/>
          </w:tcPr>
          <w:p w14:paraId="5D6C3DF2" w14:textId="77777777" w:rsidR="00494DC6" w:rsidRPr="00494DC6" w:rsidRDefault="00494DC6" w:rsidP="00511E66">
            <w:pPr>
              <w:spacing w:before="100" w:beforeAutospacing="1" w:after="100" w:afterAutospacing="1"/>
            </w:pPr>
            <w:r w:rsidRPr="00494DC6">
              <w:t>Inovace</w:t>
            </w:r>
          </w:p>
        </w:tc>
        <w:tc>
          <w:tcPr>
            <w:tcW w:w="847" w:type="pct"/>
            <w:vAlign w:val="center"/>
            <w:hideMark/>
          </w:tcPr>
          <w:p w14:paraId="1C9158E3"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1 628</w:t>
            </w:r>
          </w:p>
        </w:tc>
        <w:tc>
          <w:tcPr>
            <w:tcW w:w="908" w:type="pct"/>
            <w:vAlign w:val="center"/>
          </w:tcPr>
          <w:p w14:paraId="0F0BCC7E"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724</w:t>
            </w:r>
          </w:p>
        </w:tc>
        <w:tc>
          <w:tcPr>
            <w:tcW w:w="1252" w:type="pct"/>
            <w:vAlign w:val="center"/>
          </w:tcPr>
          <w:p w14:paraId="52B0B0F3"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3 703</w:t>
            </w:r>
          </w:p>
        </w:tc>
        <w:tc>
          <w:tcPr>
            <w:tcW w:w="736" w:type="pct"/>
            <w:vAlign w:val="center"/>
          </w:tcPr>
          <w:p w14:paraId="5F813670"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984</w:t>
            </w:r>
          </w:p>
        </w:tc>
        <w:tc>
          <w:tcPr>
            <w:tcW w:w="659" w:type="pct"/>
            <w:vAlign w:val="center"/>
          </w:tcPr>
          <w:p w14:paraId="7B12508F" w14:textId="77777777" w:rsidR="00494DC6" w:rsidRPr="00494DC6" w:rsidRDefault="00494DC6" w:rsidP="00511E66">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1 337</w:t>
            </w:r>
          </w:p>
        </w:tc>
      </w:tr>
      <w:tr w:rsidR="00494DC6" w:rsidRPr="00494DC6" w14:paraId="608E5A10"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598" w:type="pct"/>
            <w:vAlign w:val="center"/>
            <w:hideMark/>
          </w:tcPr>
          <w:p w14:paraId="67626678" w14:textId="77777777" w:rsidR="00494DC6" w:rsidRPr="00494DC6" w:rsidRDefault="00494DC6" w:rsidP="00511E66">
            <w:pPr>
              <w:spacing w:before="100" w:beforeAutospacing="1" w:after="100" w:afterAutospacing="1"/>
            </w:pPr>
            <w:r w:rsidRPr="00494DC6">
              <w:t>Potenciál</w:t>
            </w:r>
          </w:p>
        </w:tc>
        <w:tc>
          <w:tcPr>
            <w:tcW w:w="847" w:type="pct"/>
            <w:vAlign w:val="center"/>
            <w:hideMark/>
          </w:tcPr>
          <w:p w14:paraId="450201A1"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1 220</w:t>
            </w:r>
          </w:p>
        </w:tc>
        <w:tc>
          <w:tcPr>
            <w:tcW w:w="908" w:type="pct"/>
            <w:vAlign w:val="center"/>
          </w:tcPr>
          <w:p w14:paraId="790556E0"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358</w:t>
            </w:r>
          </w:p>
        </w:tc>
        <w:tc>
          <w:tcPr>
            <w:tcW w:w="1252" w:type="pct"/>
            <w:vAlign w:val="center"/>
          </w:tcPr>
          <w:p w14:paraId="5CE2C3F6"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2 230</w:t>
            </w:r>
          </w:p>
        </w:tc>
        <w:tc>
          <w:tcPr>
            <w:tcW w:w="736" w:type="pct"/>
            <w:vAlign w:val="center"/>
          </w:tcPr>
          <w:p w14:paraId="0284A67D"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143</w:t>
            </w:r>
          </w:p>
        </w:tc>
        <w:tc>
          <w:tcPr>
            <w:tcW w:w="659" w:type="pct"/>
            <w:vAlign w:val="center"/>
          </w:tcPr>
          <w:p w14:paraId="35F3AF06" w14:textId="77777777" w:rsidR="00494DC6" w:rsidRPr="00494DC6" w:rsidRDefault="00494DC6" w:rsidP="00511E66">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231</w:t>
            </w:r>
          </w:p>
        </w:tc>
      </w:tr>
      <w:tr w:rsidR="00511E66" w:rsidRPr="00494DC6" w14:paraId="2A6255E1" w14:textId="77777777" w:rsidTr="00CE2FF0">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598" w:type="pct"/>
            <w:shd w:val="clear" w:color="auto" w:fill="E7F5CF" w:themeFill="accent1" w:themeFillTint="33"/>
            <w:vAlign w:val="center"/>
          </w:tcPr>
          <w:p w14:paraId="50220355" w14:textId="77777777" w:rsidR="00494DC6" w:rsidRPr="00494DC6" w:rsidRDefault="00494DC6" w:rsidP="00511E66">
            <w:pPr>
              <w:spacing w:before="100" w:beforeAutospacing="1" w:after="100" w:afterAutospacing="1"/>
            </w:pPr>
            <w:r w:rsidRPr="00494DC6">
              <w:t>Celkem</w:t>
            </w:r>
          </w:p>
        </w:tc>
        <w:tc>
          <w:tcPr>
            <w:tcW w:w="847" w:type="pct"/>
            <w:shd w:val="clear" w:color="auto" w:fill="E7F5CF" w:themeFill="accent1" w:themeFillTint="33"/>
            <w:vAlign w:val="center"/>
          </w:tcPr>
          <w:p w14:paraId="43E6C6D2" w14:textId="77777777" w:rsidR="00494DC6" w:rsidRPr="00494DC6" w:rsidRDefault="00494DC6" w:rsidP="00511E66">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rsidRPr="00494DC6">
              <w:t>2 884</w:t>
            </w:r>
          </w:p>
        </w:tc>
        <w:tc>
          <w:tcPr>
            <w:tcW w:w="908" w:type="pct"/>
            <w:shd w:val="clear" w:color="auto" w:fill="E7F5CF" w:themeFill="accent1" w:themeFillTint="33"/>
            <w:vAlign w:val="center"/>
          </w:tcPr>
          <w:p w14:paraId="07663232" w14:textId="77777777" w:rsidR="00494DC6" w:rsidRPr="00494DC6" w:rsidRDefault="00494DC6" w:rsidP="00511E66">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rsidRPr="00494DC6">
              <w:t xml:space="preserve">     2 375 </w:t>
            </w:r>
          </w:p>
        </w:tc>
        <w:tc>
          <w:tcPr>
            <w:tcW w:w="1252" w:type="pct"/>
            <w:shd w:val="clear" w:color="auto" w:fill="E7F5CF" w:themeFill="accent1" w:themeFillTint="33"/>
            <w:vAlign w:val="center"/>
          </w:tcPr>
          <w:p w14:paraId="76A05BB6" w14:textId="77777777" w:rsidR="00494DC6" w:rsidRPr="00494DC6" w:rsidRDefault="00494DC6" w:rsidP="00511E66">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rsidRPr="00494DC6">
              <w:t xml:space="preserve">     9 022 </w:t>
            </w:r>
          </w:p>
        </w:tc>
        <w:tc>
          <w:tcPr>
            <w:tcW w:w="736" w:type="pct"/>
            <w:shd w:val="clear" w:color="auto" w:fill="E7F5CF" w:themeFill="accent1" w:themeFillTint="33"/>
            <w:vAlign w:val="center"/>
          </w:tcPr>
          <w:p w14:paraId="00EB5420" w14:textId="77777777" w:rsidR="00494DC6" w:rsidRPr="00494DC6" w:rsidRDefault="00494DC6" w:rsidP="00511E66">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rsidRPr="00494DC6">
              <w:t xml:space="preserve">     3 103 </w:t>
            </w:r>
          </w:p>
        </w:tc>
        <w:tc>
          <w:tcPr>
            <w:tcW w:w="659" w:type="pct"/>
            <w:shd w:val="clear" w:color="auto" w:fill="E7F5CF" w:themeFill="accent1" w:themeFillTint="33"/>
            <w:vAlign w:val="center"/>
          </w:tcPr>
          <w:p w14:paraId="5F06FE9A" w14:textId="77777777" w:rsidR="00494DC6" w:rsidRPr="00494DC6" w:rsidRDefault="00494DC6" w:rsidP="00511E66">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rsidRPr="00494DC6">
              <w:t xml:space="preserve">     4 013 </w:t>
            </w:r>
          </w:p>
        </w:tc>
      </w:tr>
    </w:tbl>
    <w:p w14:paraId="19856851" w14:textId="77777777" w:rsidR="00494DC6" w:rsidRPr="00494DC6" w:rsidRDefault="00494DC6" w:rsidP="00377492">
      <w:pPr>
        <w:jc w:val="right"/>
      </w:pPr>
    </w:p>
    <w:p w14:paraId="2DFF9B28" w14:textId="6BF0C545" w:rsidR="00494DC6" w:rsidRPr="005E20D6" w:rsidRDefault="005E20D6" w:rsidP="002449AE">
      <w:pPr>
        <w:jc w:val="both"/>
        <w:rPr>
          <w:b/>
        </w:rPr>
      </w:pPr>
      <w:r w:rsidRPr="005E20D6">
        <w:rPr>
          <w:b/>
        </w:rPr>
        <w:t>Celkově lze u vyhlášených výzev předpokládat vyčerpání alokace v rozsahu přibližně 17,4–18,3 mld. Kč, tj. 63–67 % celkové alokace SC 1.1.</w:t>
      </w:r>
    </w:p>
    <w:p w14:paraId="41F01C0E" w14:textId="1C0DB405" w:rsidR="005E20D6" w:rsidRDefault="005E20D6" w:rsidP="005E20D6">
      <w:pPr>
        <w:pStyle w:val="Caption"/>
      </w:pPr>
      <w:r>
        <w:t xml:space="preserve">Tabulka </w:t>
      </w:r>
      <w:r>
        <w:fldChar w:fldCharType="begin"/>
      </w:r>
      <w:r>
        <w:instrText xml:space="preserve"> SEQ Tabulka \* ARABIC </w:instrText>
      </w:r>
      <w:r>
        <w:fldChar w:fldCharType="separate"/>
      </w:r>
      <w:r w:rsidR="00F77CAE">
        <w:rPr>
          <w:noProof/>
        </w:rPr>
        <w:t>15</w:t>
      </w:r>
      <w:r>
        <w:fldChar w:fldCharType="end"/>
      </w:r>
      <w:r>
        <w:t xml:space="preserve"> - Předpokládané č</w:t>
      </w:r>
      <w:r w:rsidRPr="005C3C8C">
        <w:t xml:space="preserve">erpání u již vyhlášených výzev </w:t>
      </w:r>
      <w:r>
        <w:t xml:space="preserve">- celkem </w:t>
      </w:r>
      <w:r w:rsidRPr="005C3C8C">
        <w:t>(v mil. Kč)</w:t>
      </w:r>
    </w:p>
    <w:tbl>
      <w:tblPr>
        <w:tblStyle w:val="ListTable3-Accent11"/>
        <w:tblW w:w="0" w:type="auto"/>
        <w:tblBorders>
          <w:left w:val="none" w:sz="0" w:space="0" w:color="auto"/>
          <w:right w:val="none" w:sz="0" w:space="0" w:color="auto"/>
          <w:insideH w:val="single" w:sz="4" w:space="0" w:color="86BC25" w:themeColor="accent1"/>
        </w:tblBorders>
        <w:tblLook w:val="04E0" w:firstRow="1" w:lastRow="1" w:firstColumn="1" w:lastColumn="0" w:noHBand="0" w:noVBand="1"/>
      </w:tblPr>
      <w:tblGrid>
        <w:gridCol w:w="1151"/>
        <w:gridCol w:w="1008"/>
        <w:gridCol w:w="1364"/>
        <w:gridCol w:w="1087"/>
        <w:gridCol w:w="1288"/>
        <w:gridCol w:w="1382"/>
        <w:gridCol w:w="1087"/>
        <w:gridCol w:w="1271"/>
      </w:tblGrid>
      <w:tr w:rsidR="00494DC6" w:rsidRPr="00494DC6" w14:paraId="72DAB514" w14:textId="77777777" w:rsidTr="00511E6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auto"/>
          </w:tcPr>
          <w:p w14:paraId="33712CB6" w14:textId="77777777" w:rsidR="00494DC6" w:rsidRPr="00511E66" w:rsidRDefault="00494DC6" w:rsidP="00511E66">
            <w:pPr>
              <w:spacing w:before="100" w:beforeAutospacing="1" w:after="100" w:afterAutospacing="1"/>
              <w:rPr>
                <w:color w:val="FFFFFF" w:themeColor="background1"/>
              </w:rPr>
            </w:pPr>
          </w:p>
        </w:tc>
        <w:tc>
          <w:tcPr>
            <w:tcW w:w="0" w:type="auto"/>
          </w:tcPr>
          <w:p w14:paraId="17CD23FA"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0" w:type="auto"/>
            <w:gridSpan w:val="3"/>
          </w:tcPr>
          <w:p w14:paraId="33E9E9D7"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Varianta 1</w:t>
            </w:r>
          </w:p>
        </w:tc>
        <w:tc>
          <w:tcPr>
            <w:tcW w:w="0" w:type="auto"/>
            <w:gridSpan w:val="3"/>
          </w:tcPr>
          <w:p w14:paraId="2FBCA38A"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Varianta 2</w:t>
            </w:r>
          </w:p>
        </w:tc>
      </w:tr>
      <w:tr w:rsidR="00494DC6" w:rsidRPr="00494DC6" w14:paraId="2E5ADD2A" w14:textId="77777777" w:rsidTr="005E20D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0" w:type="auto"/>
          </w:tcPr>
          <w:p w14:paraId="4B61B933" w14:textId="77777777" w:rsidR="00494DC6" w:rsidRPr="00511E66" w:rsidRDefault="00494DC6" w:rsidP="00511E66">
            <w:pPr>
              <w:spacing w:before="100" w:beforeAutospacing="1" w:after="100" w:afterAutospacing="1"/>
              <w:rPr>
                <w:color w:val="FFFFFF" w:themeColor="background1"/>
              </w:rPr>
            </w:pPr>
          </w:p>
        </w:tc>
        <w:tc>
          <w:tcPr>
            <w:tcW w:w="0" w:type="auto"/>
          </w:tcPr>
          <w:p w14:paraId="7F0AB9F5"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Alokace</w:t>
            </w:r>
          </w:p>
        </w:tc>
        <w:tc>
          <w:tcPr>
            <w:tcW w:w="1364" w:type="dxa"/>
          </w:tcPr>
          <w:p w14:paraId="598CE370"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Předpoklad čerpání</w:t>
            </w:r>
          </w:p>
        </w:tc>
        <w:tc>
          <w:tcPr>
            <w:tcW w:w="1087" w:type="dxa"/>
          </w:tcPr>
          <w:p w14:paraId="0CFE2E36"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w:t>
            </w:r>
            <w:r w:rsidR="00511E66">
              <w:rPr>
                <w:color w:val="FFFFFF" w:themeColor="background1"/>
              </w:rPr>
              <w:t xml:space="preserve"> z Alokace</w:t>
            </w:r>
          </w:p>
        </w:tc>
        <w:tc>
          <w:tcPr>
            <w:tcW w:w="1288" w:type="dxa"/>
          </w:tcPr>
          <w:p w14:paraId="0E3F7E06"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Nepokrytá alokace</w:t>
            </w:r>
          </w:p>
        </w:tc>
        <w:tc>
          <w:tcPr>
            <w:tcW w:w="1382" w:type="dxa"/>
          </w:tcPr>
          <w:p w14:paraId="34D26CB2"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Předpoklad čerpání</w:t>
            </w:r>
          </w:p>
        </w:tc>
        <w:tc>
          <w:tcPr>
            <w:tcW w:w="1087" w:type="dxa"/>
          </w:tcPr>
          <w:p w14:paraId="07A0AB34"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w:t>
            </w:r>
            <w:r w:rsidR="00511E66">
              <w:rPr>
                <w:color w:val="FFFFFF" w:themeColor="background1"/>
              </w:rPr>
              <w:t xml:space="preserve"> z Alokace</w:t>
            </w:r>
          </w:p>
        </w:tc>
        <w:tc>
          <w:tcPr>
            <w:tcW w:w="1271" w:type="dxa"/>
          </w:tcPr>
          <w:p w14:paraId="39D4A8C2" w14:textId="77777777" w:rsidR="00494DC6" w:rsidRPr="00511E66" w:rsidRDefault="00494DC6"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Nepokrytá alokace</w:t>
            </w:r>
          </w:p>
        </w:tc>
      </w:tr>
      <w:tr w:rsidR="00494DC6" w:rsidRPr="00494DC6" w14:paraId="5BC6AF10" w14:textId="77777777" w:rsidTr="005E20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E3610F" w14:textId="77777777" w:rsidR="00494DC6" w:rsidRPr="00494DC6" w:rsidRDefault="00494DC6" w:rsidP="00511E66">
            <w:pPr>
              <w:spacing w:before="100" w:beforeAutospacing="1" w:after="100" w:afterAutospacing="1"/>
            </w:pPr>
            <w:r w:rsidRPr="00494DC6">
              <w:t>Aplikace</w:t>
            </w:r>
          </w:p>
        </w:tc>
        <w:tc>
          <w:tcPr>
            <w:tcW w:w="0" w:type="auto"/>
            <w:vAlign w:val="center"/>
          </w:tcPr>
          <w:p w14:paraId="240F5D42"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10 680</w:t>
            </w:r>
          </w:p>
        </w:tc>
        <w:tc>
          <w:tcPr>
            <w:tcW w:w="1364" w:type="dxa"/>
            <w:vAlign w:val="center"/>
          </w:tcPr>
          <w:p w14:paraId="7C797A86"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6 392</w:t>
            </w:r>
          </w:p>
        </w:tc>
        <w:tc>
          <w:tcPr>
            <w:tcW w:w="1087" w:type="dxa"/>
            <w:vAlign w:val="center"/>
          </w:tcPr>
          <w:p w14:paraId="5B5E66CE"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59,85</w:t>
            </w:r>
          </w:p>
        </w:tc>
        <w:tc>
          <w:tcPr>
            <w:tcW w:w="1288" w:type="dxa"/>
            <w:vAlign w:val="center"/>
          </w:tcPr>
          <w:p w14:paraId="4F9ADE0D"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4 289</w:t>
            </w:r>
          </w:p>
        </w:tc>
        <w:tc>
          <w:tcPr>
            <w:tcW w:w="1382" w:type="dxa"/>
            <w:vAlign w:val="center"/>
          </w:tcPr>
          <w:p w14:paraId="0345842D"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6 862</w:t>
            </w:r>
          </w:p>
        </w:tc>
        <w:tc>
          <w:tcPr>
            <w:tcW w:w="1087" w:type="dxa"/>
            <w:vAlign w:val="center"/>
          </w:tcPr>
          <w:p w14:paraId="1CEC5198"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64,25</w:t>
            </w:r>
          </w:p>
        </w:tc>
        <w:tc>
          <w:tcPr>
            <w:tcW w:w="1271" w:type="dxa"/>
            <w:vAlign w:val="center"/>
          </w:tcPr>
          <w:p w14:paraId="3103043F"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3 818</w:t>
            </w:r>
          </w:p>
        </w:tc>
      </w:tr>
      <w:tr w:rsidR="00494DC6" w:rsidRPr="00494DC6" w14:paraId="6076D601" w14:textId="77777777" w:rsidTr="005E20D6">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36F245" w14:textId="77777777" w:rsidR="00494DC6" w:rsidRPr="00494DC6" w:rsidRDefault="00494DC6" w:rsidP="00511E66">
            <w:pPr>
              <w:spacing w:before="100" w:beforeAutospacing="1" w:after="100" w:afterAutospacing="1"/>
            </w:pPr>
            <w:r w:rsidRPr="00494DC6">
              <w:t>Inovace</w:t>
            </w:r>
          </w:p>
        </w:tc>
        <w:tc>
          <w:tcPr>
            <w:tcW w:w="0" w:type="auto"/>
            <w:vAlign w:val="center"/>
          </w:tcPr>
          <w:p w14:paraId="06F92BC5"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10 792</w:t>
            </w:r>
          </w:p>
        </w:tc>
        <w:tc>
          <w:tcPr>
            <w:tcW w:w="1364" w:type="dxa"/>
            <w:vAlign w:val="center"/>
          </w:tcPr>
          <w:p w14:paraId="2010CADB"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7 040</w:t>
            </w:r>
          </w:p>
        </w:tc>
        <w:tc>
          <w:tcPr>
            <w:tcW w:w="1087" w:type="dxa"/>
            <w:vAlign w:val="center"/>
          </w:tcPr>
          <w:p w14:paraId="3F43066E"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65,24</w:t>
            </w:r>
          </w:p>
        </w:tc>
        <w:tc>
          <w:tcPr>
            <w:tcW w:w="1288" w:type="dxa"/>
            <w:vAlign w:val="center"/>
          </w:tcPr>
          <w:p w14:paraId="095A7FC2"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3 752</w:t>
            </w:r>
          </w:p>
        </w:tc>
        <w:tc>
          <w:tcPr>
            <w:tcW w:w="1382" w:type="dxa"/>
            <w:vAlign w:val="center"/>
          </w:tcPr>
          <w:p w14:paraId="6FE3E820"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7 392</w:t>
            </w:r>
          </w:p>
        </w:tc>
        <w:tc>
          <w:tcPr>
            <w:tcW w:w="1087" w:type="dxa"/>
            <w:vAlign w:val="center"/>
          </w:tcPr>
          <w:p w14:paraId="154D0BBD"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68,50</w:t>
            </w:r>
          </w:p>
        </w:tc>
        <w:tc>
          <w:tcPr>
            <w:tcW w:w="1271" w:type="dxa"/>
            <w:vAlign w:val="center"/>
          </w:tcPr>
          <w:p w14:paraId="47C80BBB" w14:textId="77777777" w:rsidR="00494DC6" w:rsidRPr="00494DC6" w:rsidRDefault="00494DC6" w:rsidP="00511E6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pPr>
            <w:r w:rsidRPr="00494DC6">
              <w:t>3 400</w:t>
            </w:r>
          </w:p>
        </w:tc>
      </w:tr>
      <w:tr w:rsidR="00494DC6" w:rsidRPr="00494DC6" w14:paraId="32CBA596" w14:textId="77777777" w:rsidTr="005E20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FCD2BB" w14:textId="77777777" w:rsidR="00494DC6" w:rsidRPr="00494DC6" w:rsidRDefault="00494DC6" w:rsidP="00511E66">
            <w:pPr>
              <w:spacing w:before="100" w:beforeAutospacing="1" w:after="100" w:afterAutospacing="1"/>
            </w:pPr>
            <w:r w:rsidRPr="00494DC6">
              <w:t>Potenciál</w:t>
            </w:r>
          </w:p>
        </w:tc>
        <w:tc>
          <w:tcPr>
            <w:tcW w:w="0" w:type="auto"/>
            <w:vAlign w:val="center"/>
          </w:tcPr>
          <w:p w14:paraId="032D3F22"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6 032</w:t>
            </w:r>
          </w:p>
        </w:tc>
        <w:tc>
          <w:tcPr>
            <w:tcW w:w="1364" w:type="dxa"/>
            <w:vAlign w:val="center"/>
          </w:tcPr>
          <w:p w14:paraId="79DB9DBE"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3 952</w:t>
            </w:r>
          </w:p>
        </w:tc>
        <w:tc>
          <w:tcPr>
            <w:tcW w:w="1087" w:type="dxa"/>
            <w:vAlign w:val="center"/>
          </w:tcPr>
          <w:p w14:paraId="793F6A2C"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65,52</w:t>
            </w:r>
          </w:p>
        </w:tc>
        <w:tc>
          <w:tcPr>
            <w:tcW w:w="1288" w:type="dxa"/>
            <w:vAlign w:val="center"/>
          </w:tcPr>
          <w:p w14:paraId="10D91D56"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2 080</w:t>
            </w:r>
          </w:p>
        </w:tc>
        <w:tc>
          <w:tcPr>
            <w:tcW w:w="1382" w:type="dxa"/>
            <w:vAlign w:val="center"/>
          </w:tcPr>
          <w:p w14:paraId="74472FC0"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4 040</w:t>
            </w:r>
          </w:p>
        </w:tc>
        <w:tc>
          <w:tcPr>
            <w:tcW w:w="1087" w:type="dxa"/>
            <w:vAlign w:val="center"/>
          </w:tcPr>
          <w:p w14:paraId="69FFCBD6"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66,97</w:t>
            </w:r>
          </w:p>
        </w:tc>
        <w:tc>
          <w:tcPr>
            <w:tcW w:w="1271" w:type="dxa"/>
            <w:vAlign w:val="center"/>
          </w:tcPr>
          <w:p w14:paraId="153BD0F3" w14:textId="77777777" w:rsidR="00494DC6" w:rsidRPr="00494DC6" w:rsidRDefault="00494DC6"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pPr>
            <w:r w:rsidRPr="00494DC6">
              <w:t>1 992</w:t>
            </w:r>
          </w:p>
        </w:tc>
      </w:tr>
      <w:tr w:rsidR="00494DC6" w:rsidRPr="00494DC6" w14:paraId="6731B418" w14:textId="77777777" w:rsidTr="005E20D6">
        <w:trPr>
          <w:cnfStyle w:val="010000000000" w:firstRow="0" w:lastRow="1" w:firstColumn="0" w:lastColumn="0" w:oddVBand="0" w:evenVBand="0" w:oddHBand="0" w:evenHBand="0" w:firstRowFirstColumn="0" w:firstRowLastColumn="0" w:lastRowFirstColumn="0" w:lastRowLastColumn="0"/>
          <w:trHeight w:val="340"/>
        </w:trPr>
        <w:tc>
          <w:tcPr>
            <w:cnfStyle w:val="001000000001" w:firstRow="0" w:lastRow="0" w:firstColumn="1" w:lastColumn="0" w:oddVBand="0" w:evenVBand="0" w:oddHBand="0" w:evenHBand="0" w:firstRowFirstColumn="0" w:firstRowLastColumn="0" w:lastRowFirstColumn="1" w:lastRowLastColumn="0"/>
            <w:tcW w:w="0" w:type="auto"/>
            <w:shd w:val="clear" w:color="auto" w:fill="E7F5CF" w:themeFill="accent1" w:themeFillTint="33"/>
            <w:vAlign w:val="center"/>
          </w:tcPr>
          <w:p w14:paraId="499C44E2" w14:textId="77777777" w:rsidR="00494DC6" w:rsidRPr="00494DC6" w:rsidRDefault="00494DC6" w:rsidP="00511E66">
            <w:pPr>
              <w:spacing w:before="100" w:beforeAutospacing="1" w:after="100" w:afterAutospacing="1"/>
            </w:pPr>
            <w:r w:rsidRPr="00494DC6">
              <w:t>Celkem</w:t>
            </w:r>
          </w:p>
        </w:tc>
        <w:tc>
          <w:tcPr>
            <w:tcW w:w="0" w:type="auto"/>
            <w:shd w:val="clear" w:color="auto" w:fill="E7F5CF" w:themeFill="accent1" w:themeFillTint="33"/>
            <w:vAlign w:val="center"/>
          </w:tcPr>
          <w:p w14:paraId="0B0B6055"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27 504</w:t>
            </w:r>
          </w:p>
        </w:tc>
        <w:tc>
          <w:tcPr>
            <w:tcW w:w="1364" w:type="dxa"/>
            <w:shd w:val="clear" w:color="auto" w:fill="E7F5CF" w:themeFill="accent1" w:themeFillTint="33"/>
            <w:vAlign w:val="center"/>
          </w:tcPr>
          <w:p w14:paraId="4E7B4244"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17 384</w:t>
            </w:r>
          </w:p>
        </w:tc>
        <w:tc>
          <w:tcPr>
            <w:tcW w:w="1087" w:type="dxa"/>
            <w:shd w:val="clear" w:color="auto" w:fill="E7F5CF" w:themeFill="accent1" w:themeFillTint="33"/>
            <w:vAlign w:val="center"/>
          </w:tcPr>
          <w:p w14:paraId="69AA1D0B"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63,21</w:t>
            </w:r>
          </w:p>
        </w:tc>
        <w:tc>
          <w:tcPr>
            <w:tcW w:w="1288" w:type="dxa"/>
            <w:shd w:val="clear" w:color="auto" w:fill="E7F5CF" w:themeFill="accent1" w:themeFillTint="33"/>
            <w:vAlign w:val="center"/>
          </w:tcPr>
          <w:p w14:paraId="3E290FE1"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10 120</w:t>
            </w:r>
          </w:p>
        </w:tc>
        <w:tc>
          <w:tcPr>
            <w:tcW w:w="1382" w:type="dxa"/>
            <w:shd w:val="clear" w:color="auto" w:fill="E7F5CF" w:themeFill="accent1" w:themeFillTint="33"/>
            <w:vAlign w:val="center"/>
          </w:tcPr>
          <w:p w14:paraId="4852FF42"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18 294</w:t>
            </w:r>
          </w:p>
        </w:tc>
        <w:tc>
          <w:tcPr>
            <w:tcW w:w="1087" w:type="dxa"/>
            <w:shd w:val="clear" w:color="auto" w:fill="E7F5CF" w:themeFill="accent1" w:themeFillTint="33"/>
            <w:vAlign w:val="center"/>
          </w:tcPr>
          <w:p w14:paraId="33175C9F"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66,52</w:t>
            </w:r>
          </w:p>
        </w:tc>
        <w:tc>
          <w:tcPr>
            <w:tcW w:w="1271" w:type="dxa"/>
            <w:shd w:val="clear" w:color="auto" w:fill="E7F5CF" w:themeFill="accent1" w:themeFillTint="33"/>
            <w:vAlign w:val="center"/>
          </w:tcPr>
          <w:p w14:paraId="22490AD8" w14:textId="77777777" w:rsidR="00494DC6" w:rsidRPr="00494DC6" w:rsidRDefault="00494DC6" w:rsidP="00511E66">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pPr>
            <w:r w:rsidRPr="00494DC6">
              <w:t>9 209</w:t>
            </w:r>
          </w:p>
        </w:tc>
      </w:tr>
      <w:bookmarkEnd w:id="88"/>
    </w:tbl>
    <w:p w14:paraId="78D6DC53" w14:textId="77777777" w:rsidR="003318F5" w:rsidRDefault="003318F5" w:rsidP="003318F5">
      <w:pPr>
        <w:jc w:val="both"/>
      </w:pPr>
    </w:p>
    <w:p w14:paraId="65CF53A9" w14:textId="77777777" w:rsidR="00494DC6" w:rsidRDefault="00FB2A14" w:rsidP="003318F5">
      <w:pPr>
        <w:jc w:val="both"/>
        <w:rPr>
          <w:b/>
        </w:rPr>
      </w:pPr>
      <w:r>
        <w:t>Z provedených výpočtů, mimo jiné, vyplývá, že n</w:t>
      </w:r>
      <w:r w:rsidR="00494DC6" w:rsidRPr="00494DC6">
        <w:t>a to, aby bylo vyčerpáno 18,3 mld. Kč</w:t>
      </w:r>
      <w:r>
        <w:t xml:space="preserve">, </w:t>
      </w:r>
      <w:r w:rsidR="00494DC6" w:rsidRPr="00494DC6">
        <w:t xml:space="preserve">byly vyhlášeny </w:t>
      </w:r>
      <w:r w:rsidR="00494DC6" w:rsidRPr="003318F5">
        <w:rPr>
          <w:b/>
        </w:rPr>
        <w:t>stávající výzvy v celkovém objemu 38,2 mld. Kč</w:t>
      </w:r>
      <w:r w:rsidRPr="003318F5">
        <w:rPr>
          <w:b/>
        </w:rPr>
        <w:t xml:space="preserve"> </w:t>
      </w:r>
      <w:r w:rsidR="00494DC6" w:rsidRPr="003318F5">
        <w:rPr>
          <w:b/>
        </w:rPr>
        <w:t>a podány byly projekty v hodnotě 53,9 mld. Kč.</w:t>
      </w:r>
    </w:p>
    <w:p w14:paraId="5DC96FCE" w14:textId="457687BF" w:rsidR="005D470C" w:rsidRDefault="00494DC6" w:rsidP="005D470C">
      <w:pPr>
        <w:pBdr>
          <w:top w:val="single" w:sz="4" w:space="1" w:color="auto"/>
          <w:left w:val="single" w:sz="4" w:space="4" w:color="auto"/>
          <w:bottom w:val="single" w:sz="4" w:space="1" w:color="auto"/>
          <w:right w:val="single" w:sz="4" w:space="4" w:color="auto"/>
        </w:pBdr>
        <w:shd w:val="clear" w:color="auto" w:fill="E7F5CF" w:themeFill="accent1" w:themeFillTint="33"/>
        <w:spacing w:after="120" w:line="276" w:lineRule="auto"/>
        <w:jc w:val="center"/>
        <w:rPr>
          <w:b/>
        </w:rPr>
      </w:pPr>
      <w:r w:rsidRPr="005D470C">
        <w:rPr>
          <w:b/>
        </w:rPr>
        <w:t xml:space="preserve">Podle </w:t>
      </w:r>
      <w:r w:rsidR="005D470C">
        <w:rPr>
          <w:b/>
        </w:rPr>
        <w:t>vyhodnocení</w:t>
      </w:r>
      <w:r w:rsidRPr="005D470C">
        <w:rPr>
          <w:b/>
        </w:rPr>
        <w:t xml:space="preserve"> ukazatelů </w:t>
      </w:r>
      <w:r w:rsidR="005D470C">
        <w:rPr>
          <w:b/>
        </w:rPr>
        <w:t xml:space="preserve">stávajících výzev </w:t>
      </w:r>
      <w:r w:rsidRPr="005D470C">
        <w:rPr>
          <w:b/>
        </w:rPr>
        <w:t xml:space="preserve">a provedených výpočtů, </w:t>
      </w:r>
      <w:r w:rsidR="003318F5" w:rsidRPr="005D470C">
        <w:rPr>
          <w:b/>
        </w:rPr>
        <w:t xml:space="preserve">je potřeba pokrýt přibližně 9–10 mil. </w:t>
      </w:r>
      <w:r w:rsidR="005957CE">
        <w:rPr>
          <w:b/>
        </w:rPr>
        <w:t xml:space="preserve">Kč </w:t>
      </w:r>
      <w:r w:rsidR="00555FA7">
        <w:rPr>
          <w:b/>
        </w:rPr>
        <w:t xml:space="preserve">z </w:t>
      </w:r>
      <w:r w:rsidR="003318F5" w:rsidRPr="005D470C">
        <w:rPr>
          <w:b/>
        </w:rPr>
        <w:t>celkové alokace SC 1.1.</w:t>
      </w:r>
    </w:p>
    <w:p w14:paraId="13D323E1" w14:textId="77777777" w:rsidR="005D470C" w:rsidRPr="005D470C" w:rsidRDefault="005D470C" w:rsidP="005D470C">
      <w:pPr>
        <w:pBdr>
          <w:top w:val="single" w:sz="4" w:space="1" w:color="auto"/>
          <w:left w:val="single" w:sz="4" w:space="4" w:color="auto"/>
          <w:bottom w:val="single" w:sz="4" w:space="1" w:color="auto"/>
          <w:right w:val="single" w:sz="4" w:space="4" w:color="auto"/>
        </w:pBdr>
        <w:shd w:val="clear" w:color="auto" w:fill="E7F5CF" w:themeFill="accent1" w:themeFillTint="33"/>
        <w:spacing w:after="120" w:line="276" w:lineRule="auto"/>
        <w:jc w:val="center"/>
        <w:rPr>
          <w:rFonts w:cs="Calibri"/>
          <w:b/>
        </w:rPr>
      </w:pPr>
      <w:r>
        <w:rPr>
          <w:b/>
        </w:rPr>
        <w:t>P</w:t>
      </w:r>
      <w:r w:rsidR="00494DC6" w:rsidRPr="005D470C">
        <w:rPr>
          <w:b/>
        </w:rPr>
        <w:t xml:space="preserve">lán </w:t>
      </w:r>
      <w:r w:rsidR="00494DC6" w:rsidRPr="005D470C">
        <w:rPr>
          <w:rFonts w:cs="Calibri"/>
          <w:b/>
        </w:rPr>
        <w:t xml:space="preserve">výzev ŘO tomuto cíli </w:t>
      </w:r>
      <w:r w:rsidR="009F6C51">
        <w:rPr>
          <w:rFonts w:cs="Calibri"/>
          <w:b/>
        </w:rPr>
        <w:t>zatím</w:t>
      </w:r>
      <w:r w:rsidR="00494DC6" w:rsidRPr="005D470C">
        <w:rPr>
          <w:rFonts w:cs="Calibri"/>
          <w:b/>
        </w:rPr>
        <w:t xml:space="preserve"> neodpovídá.</w:t>
      </w:r>
    </w:p>
    <w:p w14:paraId="261433C0" w14:textId="77777777" w:rsidR="005D470C" w:rsidRDefault="005D470C" w:rsidP="003318F5">
      <w:pPr>
        <w:spacing w:after="120" w:line="276" w:lineRule="auto"/>
        <w:jc w:val="both"/>
      </w:pPr>
    </w:p>
    <w:p w14:paraId="70120B63" w14:textId="19592025" w:rsidR="003318F5" w:rsidRPr="0063122F" w:rsidRDefault="005D470C" w:rsidP="009F6C51">
      <w:pPr>
        <w:spacing w:after="120" w:line="276" w:lineRule="auto"/>
        <w:jc w:val="both"/>
        <w:rPr>
          <w:rFonts w:cs="Calibri"/>
        </w:rPr>
      </w:pPr>
      <w:r w:rsidRPr="0063122F">
        <w:t xml:space="preserve">V analogii na již vyhlášené výzvy Zpracovatel předpokládá, že by bylo potřeba vyhlásit výzvy v celkovém objemu 13,6–20,3 mld. Kč. </w:t>
      </w:r>
      <w:r w:rsidR="00494DC6" w:rsidRPr="0063122F">
        <w:rPr>
          <w:rFonts w:cs="Calibri"/>
        </w:rPr>
        <w:t>Na rok 2019 jsou naplánovány výzvy</w:t>
      </w:r>
      <w:r w:rsidR="009F6C51" w:rsidRPr="0063122F">
        <w:rPr>
          <w:rFonts w:cs="Calibri"/>
        </w:rPr>
        <w:t xml:space="preserve"> v objemu 4 mld. Kč (Aplikace, Inovace a </w:t>
      </w:r>
      <w:r w:rsidR="005957CE" w:rsidRPr="0063122F">
        <w:rPr>
          <w:rFonts w:cs="Calibri"/>
        </w:rPr>
        <w:t>P</w:t>
      </w:r>
      <w:r w:rsidR="009F6C51" w:rsidRPr="0063122F">
        <w:rPr>
          <w:rFonts w:cs="Calibri"/>
        </w:rPr>
        <w:t>otenciál v Q3 2019 a výzvy ITI</w:t>
      </w:r>
      <w:r w:rsidR="005957CE" w:rsidRPr="0063122F">
        <w:rPr>
          <w:rFonts w:cs="Calibri"/>
        </w:rPr>
        <w:t>)</w:t>
      </w:r>
      <w:r w:rsidR="009F6C51" w:rsidRPr="0063122F">
        <w:rPr>
          <w:rFonts w:cs="Calibri"/>
        </w:rPr>
        <w:t>. Na rok 2020 jsou uvažovány výzvy v obdobném rozsahu, cca 3,5</w:t>
      </w:r>
      <w:r w:rsidR="005957CE" w:rsidRPr="0063122F">
        <w:rPr>
          <w:rFonts w:cs="Calibri"/>
        </w:rPr>
        <w:t> </w:t>
      </w:r>
      <w:r w:rsidR="009F6C51" w:rsidRPr="0063122F">
        <w:rPr>
          <w:rFonts w:cs="Calibri"/>
        </w:rPr>
        <w:t xml:space="preserve">mld. Kč. Lze tak předkládat, že </w:t>
      </w:r>
      <w:r w:rsidR="009F6C51" w:rsidRPr="0063122F">
        <w:rPr>
          <w:rFonts w:cs="Calibri"/>
          <w:b/>
        </w:rPr>
        <w:t>bude potřeba naplánovat a vyhlásit další výzvy v rozsahu 6,1–12,8</w:t>
      </w:r>
      <w:r w:rsidR="005957CE" w:rsidRPr="0063122F">
        <w:rPr>
          <w:rFonts w:cs="Calibri"/>
          <w:b/>
        </w:rPr>
        <w:t> </w:t>
      </w:r>
      <w:r w:rsidR="009F6C51" w:rsidRPr="0063122F">
        <w:rPr>
          <w:rFonts w:cs="Calibri"/>
          <w:b/>
        </w:rPr>
        <w:t>mld. Kč.</w:t>
      </w:r>
    </w:p>
    <w:p w14:paraId="7F4BCF78" w14:textId="77777777" w:rsidR="00051387" w:rsidRPr="0063122F" w:rsidRDefault="00051387" w:rsidP="00051387">
      <w:pPr>
        <w:jc w:val="both"/>
      </w:pPr>
      <w:r w:rsidRPr="0063122F">
        <w:rPr>
          <w:b/>
        </w:rPr>
        <w:t>Vliv ITI</w:t>
      </w:r>
      <w:r w:rsidRPr="0063122F">
        <w:t xml:space="preserve"> na predikci čerpání alokace je v případě SC 1.1 minimální. Na implementaci opatření v rámci územní dimenze ITI je rezervována alokace SC 1.1 v celkovém objemu 833 mil. Kč. Dosud byly vyhlášeny výzvy s alokací 670 mil Kč, do kterých byly podány žádosti v celkové výši 310 mil. Kč. </w:t>
      </w:r>
    </w:p>
    <w:p w14:paraId="1A632E33" w14:textId="59F061A3" w:rsidR="00051387" w:rsidRDefault="00051387" w:rsidP="00051387">
      <w:pPr>
        <w:pStyle w:val="Caption"/>
      </w:pPr>
      <w:r w:rsidRPr="0063122F">
        <w:t xml:space="preserve">Tabulka </w:t>
      </w:r>
      <w:r w:rsidRPr="0063122F">
        <w:fldChar w:fldCharType="begin"/>
      </w:r>
      <w:r w:rsidRPr="0063122F">
        <w:instrText xml:space="preserve"> SEQ Tabulka \* ARABIC </w:instrText>
      </w:r>
      <w:r w:rsidRPr="0063122F">
        <w:fldChar w:fldCharType="separate"/>
      </w:r>
      <w:r w:rsidR="00F77CAE">
        <w:rPr>
          <w:noProof/>
        </w:rPr>
        <w:t>16</w:t>
      </w:r>
      <w:r w:rsidRPr="0063122F">
        <w:fldChar w:fldCharType="end"/>
      </w:r>
      <w:r w:rsidRPr="0063122F">
        <w:t xml:space="preserve"> - Alokace SC 1.1</w:t>
      </w:r>
      <w:r w:rsidRPr="0063122F">
        <w:rPr>
          <w:noProof/>
        </w:rPr>
        <w:t xml:space="preserve"> rezervovaná pro ITI</w:t>
      </w:r>
    </w:p>
    <w:tbl>
      <w:tblPr>
        <w:tblStyle w:val="ListTable3-Accent11"/>
        <w:tblW w:w="5000" w:type="pct"/>
        <w:jc w:val="center"/>
        <w:tblLook w:val="04E0" w:firstRow="1" w:lastRow="1" w:firstColumn="1" w:lastColumn="0" w:noHBand="0" w:noVBand="1"/>
      </w:tblPr>
      <w:tblGrid>
        <w:gridCol w:w="3593"/>
        <w:gridCol w:w="2363"/>
        <w:gridCol w:w="1837"/>
        <w:gridCol w:w="1835"/>
      </w:tblGrid>
      <w:tr w:rsidR="00051387" w:rsidRPr="00494DC6" w14:paraId="7FA2D7FA" w14:textId="77777777" w:rsidTr="00CE2FF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66" w:type="pct"/>
          </w:tcPr>
          <w:p w14:paraId="69F01AE3" w14:textId="77777777" w:rsidR="00051387" w:rsidRPr="00377492" w:rsidRDefault="00051387" w:rsidP="0094613B">
            <w:pPr>
              <w:spacing w:before="100" w:beforeAutospacing="1" w:after="100" w:afterAutospacing="1"/>
              <w:rPr>
                <w:color w:val="FFFFFF" w:themeColor="background1"/>
              </w:rPr>
            </w:pPr>
            <w:r w:rsidRPr="00377492">
              <w:rPr>
                <w:color w:val="FFFFFF" w:themeColor="background1"/>
              </w:rPr>
              <w:t>Program</w:t>
            </w:r>
          </w:p>
        </w:tc>
        <w:tc>
          <w:tcPr>
            <w:tcW w:w="1227" w:type="pct"/>
          </w:tcPr>
          <w:p w14:paraId="3B4477CB" w14:textId="77777777" w:rsidR="00051387" w:rsidRPr="00377492" w:rsidRDefault="00051387" w:rsidP="0094613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Alokace SC 1.1</w:t>
            </w:r>
          </w:p>
        </w:tc>
        <w:tc>
          <w:tcPr>
            <w:tcW w:w="954" w:type="pct"/>
          </w:tcPr>
          <w:p w14:paraId="4CB46DDA" w14:textId="77777777" w:rsidR="00051387" w:rsidRPr="00377492" w:rsidRDefault="00051387" w:rsidP="0094613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Vyhlášeno</w:t>
            </w:r>
          </w:p>
        </w:tc>
        <w:tc>
          <w:tcPr>
            <w:tcW w:w="954" w:type="pct"/>
          </w:tcPr>
          <w:p w14:paraId="40E72C7F" w14:textId="77777777" w:rsidR="00051387" w:rsidRPr="00377492" w:rsidRDefault="00051387" w:rsidP="0094613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Podáno</w:t>
            </w:r>
          </w:p>
        </w:tc>
      </w:tr>
      <w:tr w:rsidR="00051387" w:rsidRPr="00494DC6" w14:paraId="62B6C557"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66" w:type="pct"/>
            <w:vAlign w:val="center"/>
          </w:tcPr>
          <w:p w14:paraId="25449BD7" w14:textId="77777777" w:rsidR="00051387" w:rsidRPr="00494DC6" w:rsidRDefault="00051387" w:rsidP="0094613B">
            <w:pPr>
              <w:spacing w:before="100" w:beforeAutospacing="1" w:after="100" w:afterAutospacing="1"/>
            </w:pPr>
            <w:r>
              <w:t>ITI Hradec-Pardubice</w:t>
            </w:r>
          </w:p>
        </w:tc>
        <w:tc>
          <w:tcPr>
            <w:tcW w:w="1227" w:type="pct"/>
            <w:vAlign w:val="center"/>
          </w:tcPr>
          <w:p w14:paraId="541B510F"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321 041</w:t>
            </w:r>
          </w:p>
        </w:tc>
        <w:tc>
          <w:tcPr>
            <w:tcW w:w="954" w:type="pct"/>
            <w:vAlign w:val="center"/>
          </w:tcPr>
          <w:p w14:paraId="37019101"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 xml:space="preserve">71 800 </w:t>
            </w:r>
          </w:p>
        </w:tc>
        <w:tc>
          <w:tcPr>
            <w:tcW w:w="954" w:type="pct"/>
            <w:vAlign w:val="center"/>
          </w:tcPr>
          <w:p w14:paraId="5224A40F"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85 601</w:t>
            </w:r>
          </w:p>
        </w:tc>
      </w:tr>
      <w:tr w:rsidR="00051387" w:rsidRPr="00494DC6" w14:paraId="42429F7B"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1866" w:type="pct"/>
            <w:vAlign w:val="center"/>
          </w:tcPr>
          <w:p w14:paraId="18BD780B" w14:textId="77777777" w:rsidR="00051387" w:rsidRPr="00494DC6" w:rsidRDefault="00051387" w:rsidP="0094613B">
            <w:pPr>
              <w:spacing w:before="100" w:beforeAutospacing="1" w:after="100" w:afterAutospacing="1"/>
            </w:pPr>
            <w:r>
              <w:t>ITI Olomouc</w:t>
            </w:r>
          </w:p>
        </w:tc>
        <w:tc>
          <w:tcPr>
            <w:tcW w:w="1227" w:type="pct"/>
            <w:vAlign w:val="center"/>
          </w:tcPr>
          <w:p w14:paraId="37B304E1" w14:textId="77777777" w:rsidR="00051387" w:rsidRPr="00494DC6" w:rsidRDefault="00051387" w:rsidP="0094613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t>390 837</w:t>
            </w:r>
          </w:p>
        </w:tc>
        <w:tc>
          <w:tcPr>
            <w:tcW w:w="954" w:type="pct"/>
            <w:vAlign w:val="center"/>
          </w:tcPr>
          <w:p w14:paraId="69CEFF22" w14:textId="77777777" w:rsidR="00051387" w:rsidRPr="00494DC6" w:rsidRDefault="00051387" w:rsidP="0094613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t>500 000</w:t>
            </w:r>
          </w:p>
        </w:tc>
        <w:tc>
          <w:tcPr>
            <w:tcW w:w="954" w:type="pct"/>
            <w:vAlign w:val="center"/>
          </w:tcPr>
          <w:p w14:paraId="451E9B8F" w14:textId="77777777" w:rsidR="00051387" w:rsidRPr="00494DC6" w:rsidRDefault="00051387" w:rsidP="0094613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t>117 723</w:t>
            </w:r>
          </w:p>
        </w:tc>
      </w:tr>
      <w:tr w:rsidR="00051387" w:rsidRPr="00494DC6" w14:paraId="31603729"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66" w:type="pct"/>
            <w:vAlign w:val="center"/>
          </w:tcPr>
          <w:p w14:paraId="10ED060E" w14:textId="77777777" w:rsidR="00051387" w:rsidRPr="00494DC6" w:rsidRDefault="00051387" w:rsidP="0094613B">
            <w:pPr>
              <w:spacing w:before="100" w:beforeAutospacing="1" w:after="100" w:afterAutospacing="1"/>
            </w:pPr>
            <w:r>
              <w:t>ITI Plzeň</w:t>
            </w:r>
          </w:p>
        </w:tc>
        <w:tc>
          <w:tcPr>
            <w:tcW w:w="1227" w:type="pct"/>
            <w:vAlign w:val="center"/>
          </w:tcPr>
          <w:p w14:paraId="700E0ECA"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121 059</w:t>
            </w:r>
          </w:p>
        </w:tc>
        <w:tc>
          <w:tcPr>
            <w:tcW w:w="954" w:type="pct"/>
            <w:vAlign w:val="center"/>
          </w:tcPr>
          <w:p w14:paraId="665A5510"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70 000</w:t>
            </w:r>
          </w:p>
        </w:tc>
        <w:tc>
          <w:tcPr>
            <w:tcW w:w="954" w:type="pct"/>
            <w:vAlign w:val="center"/>
          </w:tcPr>
          <w:p w14:paraId="327E466B" w14:textId="77777777" w:rsidR="00051387" w:rsidRPr="00494DC6" w:rsidRDefault="00051387" w:rsidP="0094613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t>107 096</w:t>
            </w:r>
          </w:p>
        </w:tc>
      </w:tr>
      <w:tr w:rsidR="00051387" w:rsidRPr="00494DC6" w14:paraId="70493666" w14:textId="77777777" w:rsidTr="00CE2FF0">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1866" w:type="pct"/>
            <w:shd w:val="clear" w:color="auto" w:fill="E7F5CF" w:themeFill="accent1" w:themeFillTint="33"/>
            <w:vAlign w:val="center"/>
          </w:tcPr>
          <w:p w14:paraId="5330F3E3" w14:textId="77777777" w:rsidR="00051387" w:rsidRDefault="00051387" w:rsidP="0094613B">
            <w:pPr>
              <w:spacing w:before="100" w:beforeAutospacing="1" w:after="100" w:afterAutospacing="1"/>
            </w:pPr>
            <w:r>
              <w:t>Celkem</w:t>
            </w:r>
          </w:p>
        </w:tc>
        <w:tc>
          <w:tcPr>
            <w:tcW w:w="1227" w:type="pct"/>
            <w:shd w:val="clear" w:color="auto" w:fill="E7F5CF" w:themeFill="accent1" w:themeFillTint="33"/>
            <w:vAlign w:val="center"/>
          </w:tcPr>
          <w:p w14:paraId="18093D0F" w14:textId="77777777" w:rsidR="00051387" w:rsidRDefault="00051387" w:rsidP="0094613B">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t>832 937</w:t>
            </w:r>
          </w:p>
        </w:tc>
        <w:tc>
          <w:tcPr>
            <w:tcW w:w="954" w:type="pct"/>
            <w:shd w:val="clear" w:color="auto" w:fill="E7F5CF" w:themeFill="accent1" w:themeFillTint="33"/>
            <w:vAlign w:val="center"/>
          </w:tcPr>
          <w:p w14:paraId="35782A03" w14:textId="77777777" w:rsidR="00051387" w:rsidRPr="00494DC6" w:rsidRDefault="00051387" w:rsidP="0094613B">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t>641 800</w:t>
            </w:r>
          </w:p>
        </w:tc>
        <w:tc>
          <w:tcPr>
            <w:tcW w:w="954" w:type="pct"/>
            <w:shd w:val="clear" w:color="auto" w:fill="E7F5CF" w:themeFill="accent1" w:themeFillTint="33"/>
            <w:vAlign w:val="center"/>
          </w:tcPr>
          <w:p w14:paraId="5DF08C74" w14:textId="77777777" w:rsidR="00051387" w:rsidRPr="00494DC6" w:rsidRDefault="00051387" w:rsidP="0094613B">
            <w:pPr>
              <w:spacing w:before="100" w:beforeAutospacing="1" w:after="100" w:afterAutospacing="1"/>
              <w:jc w:val="right"/>
              <w:cnfStyle w:val="010000000000" w:firstRow="0" w:lastRow="1" w:firstColumn="0" w:lastColumn="0" w:oddVBand="0" w:evenVBand="0" w:oddHBand="0" w:evenHBand="0" w:firstRowFirstColumn="0" w:firstRowLastColumn="0" w:lastRowFirstColumn="0" w:lastRowLastColumn="0"/>
            </w:pPr>
            <w:r>
              <w:t>310 420</w:t>
            </w:r>
          </w:p>
        </w:tc>
      </w:tr>
    </w:tbl>
    <w:p w14:paraId="43B8D559" w14:textId="77777777" w:rsidR="00051387" w:rsidRPr="005D24EA" w:rsidRDefault="00051387" w:rsidP="00051387">
      <w:pPr>
        <w:jc w:val="both"/>
      </w:pPr>
    </w:p>
    <w:p w14:paraId="24DD9F8F" w14:textId="77777777" w:rsidR="00494DC6" w:rsidRPr="00F3225F" w:rsidRDefault="005D470C" w:rsidP="005D470C">
      <w:pPr>
        <w:jc w:val="both"/>
      </w:pPr>
      <w:r>
        <w:t>K predikci naplnění cílů byl</w:t>
      </w:r>
      <w:r w:rsidR="005957CE">
        <w:t>a</w:t>
      </w:r>
      <w:r>
        <w:t xml:space="preserve"> provedena i další analýza, konkrétně k </w:t>
      </w:r>
      <w:r w:rsidRPr="005D470C">
        <w:rPr>
          <w:b/>
        </w:rPr>
        <w:t>naplnění monitorovacích indikátorů</w:t>
      </w:r>
      <w:r>
        <w:t xml:space="preserve"> 1</w:t>
      </w:r>
      <w:r w:rsidRPr="00494DC6">
        <w:t>0300 a 20900</w:t>
      </w:r>
      <w:r>
        <w:t xml:space="preserve"> </w:t>
      </w:r>
      <w:r w:rsidRPr="00CF7F88">
        <w:rPr>
          <w:b/>
        </w:rPr>
        <w:t>Plánovaná výše soukromých investic</w:t>
      </w:r>
      <w:r>
        <w:rPr>
          <w:b/>
        </w:rPr>
        <w:t>.</w:t>
      </w:r>
      <w:r w:rsidR="00F3225F">
        <w:t xml:space="preserve"> Soukromé investice podle definice indikátoru zahrnují i nezpůsobilé výdaje projektů. Z rozboru dosud podaných žádostí, resp. projektů v aktivním stavu, vyplývá, že poměr příspěvku Unie je přibližně 41 % z celkových způsobilých výdajů (CZV) projektu.</w:t>
      </w:r>
    </w:p>
    <w:p w14:paraId="653EFDD3" w14:textId="26D60163" w:rsidR="00CF58DE" w:rsidRDefault="00CF58DE" w:rsidP="00CF58DE">
      <w:pPr>
        <w:pStyle w:val="Caption"/>
      </w:pPr>
      <w:r>
        <w:t xml:space="preserve">Tabulka </w:t>
      </w:r>
      <w:r>
        <w:fldChar w:fldCharType="begin"/>
      </w:r>
      <w:r>
        <w:instrText xml:space="preserve"> SEQ Tabulka \* ARABIC </w:instrText>
      </w:r>
      <w:r>
        <w:fldChar w:fldCharType="separate"/>
      </w:r>
      <w:r w:rsidR="00F77CAE">
        <w:rPr>
          <w:noProof/>
        </w:rPr>
        <w:t>17</w:t>
      </w:r>
      <w:r>
        <w:fldChar w:fldCharType="end"/>
      </w:r>
      <w:r>
        <w:t xml:space="preserve"> </w:t>
      </w:r>
      <w:r w:rsidR="00F3225F">
        <w:t>–</w:t>
      </w:r>
      <w:r>
        <w:t xml:space="preserve"> </w:t>
      </w:r>
      <w:r w:rsidR="00F3225F">
        <w:t>Výpočet podílu soukromých zdrojů</w:t>
      </w:r>
    </w:p>
    <w:tbl>
      <w:tblPr>
        <w:tblStyle w:val="ListTable3-Accent11"/>
        <w:tblW w:w="5000" w:type="pct"/>
        <w:jc w:val="center"/>
        <w:tblLook w:val="04A0" w:firstRow="1" w:lastRow="0" w:firstColumn="1" w:lastColumn="0" w:noHBand="0" w:noVBand="1"/>
      </w:tblPr>
      <w:tblGrid>
        <w:gridCol w:w="6077"/>
        <w:gridCol w:w="2367"/>
        <w:gridCol w:w="1184"/>
      </w:tblGrid>
      <w:tr w:rsidR="00F3225F" w:rsidRPr="00494DC6" w14:paraId="32C20E78" w14:textId="77777777" w:rsidTr="00CE2FF0">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3156" w:type="pct"/>
            <w:vMerge w:val="restart"/>
            <w:vAlign w:val="center"/>
          </w:tcPr>
          <w:p w14:paraId="3C9C6F6E" w14:textId="77777777" w:rsidR="00F3225F" w:rsidRPr="00511E66" w:rsidRDefault="00F3225F" w:rsidP="00511E66">
            <w:pPr>
              <w:spacing w:before="100" w:beforeAutospacing="1" w:after="100" w:afterAutospacing="1"/>
              <w:rPr>
                <w:color w:val="FFFFFF" w:themeColor="background1"/>
              </w:rPr>
            </w:pPr>
            <w:r w:rsidRPr="00511E66">
              <w:rPr>
                <w:color w:val="FFFFFF" w:themeColor="background1"/>
              </w:rPr>
              <w:t>Zdroj</w:t>
            </w:r>
          </w:p>
        </w:tc>
        <w:tc>
          <w:tcPr>
            <w:tcW w:w="1844" w:type="pct"/>
            <w:gridSpan w:val="2"/>
            <w:vAlign w:val="center"/>
          </w:tcPr>
          <w:p w14:paraId="586B9864" w14:textId="77777777" w:rsidR="00F3225F" w:rsidRPr="00511E66" w:rsidRDefault="00F3225F" w:rsidP="00511E6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511E66">
              <w:rPr>
                <w:color w:val="FFFFFF" w:themeColor="background1"/>
              </w:rPr>
              <w:t>Projekty v aktivním stavu</w:t>
            </w:r>
          </w:p>
        </w:tc>
      </w:tr>
      <w:tr w:rsidR="00F3225F" w:rsidRPr="00494DC6" w14:paraId="21D88A48" w14:textId="77777777" w:rsidTr="00CE2F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6" w:type="pct"/>
            <w:vMerge/>
          </w:tcPr>
          <w:p w14:paraId="59B1D8C6" w14:textId="77777777" w:rsidR="00F3225F" w:rsidRPr="00494DC6" w:rsidRDefault="00F3225F" w:rsidP="00511E66">
            <w:pPr>
              <w:spacing w:before="100" w:beforeAutospacing="1" w:after="100" w:afterAutospacing="1"/>
            </w:pPr>
          </w:p>
        </w:tc>
        <w:tc>
          <w:tcPr>
            <w:tcW w:w="1229" w:type="pct"/>
            <w:shd w:val="clear" w:color="auto" w:fill="86BC25" w:themeFill="accent1"/>
            <w:vAlign w:val="center"/>
          </w:tcPr>
          <w:p w14:paraId="16D61333" w14:textId="77777777" w:rsidR="00F3225F" w:rsidRPr="00511E66" w:rsidRDefault="00F3225F"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11E66">
              <w:rPr>
                <w:b/>
                <w:color w:val="FFFFFF" w:themeColor="background1"/>
              </w:rPr>
              <w:t>Částka v mil. Kč</w:t>
            </w:r>
          </w:p>
        </w:tc>
        <w:tc>
          <w:tcPr>
            <w:tcW w:w="615" w:type="pct"/>
            <w:shd w:val="clear" w:color="auto" w:fill="86BC25" w:themeFill="accent1"/>
            <w:vAlign w:val="center"/>
          </w:tcPr>
          <w:p w14:paraId="2DAB5B41" w14:textId="77777777" w:rsidR="00F3225F" w:rsidRPr="00511E66" w:rsidRDefault="00F3225F" w:rsidP="00511E6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F3225F" w:rsidRPr="00494DC6" w14:paraId="19708CA9"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3156" w:type="pct"/>
          </w:tcPr>
          <w:p w14:paraId="0B3DB271" w14:textId="77777777" w:rsidR="00F3225F" w:rsidRPr="00494DC6" w:rsidRDefault="00F3225F" w:rsidP="00511E66">
            <w:pPr>
              <w:spacing w:before="100" w:beforeAutospacing="1" w:after="100" w:afterAutospacing="1"/>
            </w:pPr>
            <w:r w:rsidRPr="00494DC6">
              <w:t xml:space="preserve">Příspěvek </w:t>
            </w:r>
            <w:r>
              <w:t>U</w:t>
            </w:r>
            <w:r w:rsidRPr="00494DC6">
              <w:t>nie</w:t>
            </w:r>
          </w:p>
        </w:tc>
        <w:tc>
          <w:tcPr>
            <w:tcW w:w="1229" w:type="pct"/>
            <w:vAlign w:val="center"/>
          </w:tcPr>
          <w:p w14:paraId="58F35B10" w14:textId="77777777" w:rsidR="00F3225F" w:rsidRPr="00494DC6" w:rsidRDefault="00F3225F" w:rsidP="00F3225F">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17 850</w:t>
            </w:r>
          </w:p>
        </w:tc>
        <w:tc>
          <w:tcPr>
            <w:tcW w:w="615" w:type="pct"/>
            <w:shd w:val="clear" w:color="auto" w:fill="E7F5CF" w:themeFill="accent1" w:themeFillTint="33"/>
            <w:vAlign w:val="center"/>
          </w:tcPr>
          <w:p w14:paraId="0AF94FA1" w14:textId="77777777" w:rsidR="00F3225F" w:rsidRPr="00494DC6" w:rsidRDefault="00F3225F" w:rsidP="00F3225F">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41</w:t>
            </w:r>
            <w:r>
              <w:t xml:space="preserve"> %</w:t>
            </w:r>
          </w:p>
        </w:tc>
      </w:tr>
      <w:tr w:rsidR="00F3225F" w:rsidRPr="00494DC6" w14:paraId="259FCF65" w14:textId="77777777" w:rsidTr="00CE2FF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156" w:type="pct"/>
          </w:tcPr>
          <w:p w14:paraId="0DD0F994" w14:textId="77777777" w:rsidR="00F3225F" w:rsidRPr="00494DC6" w:rsidRDefault="00F3225F" w:rsidP="00511E66">
            <w:pPr>
              <w:spacing w:before="100" w:beforeAutospacing="1" w:after="100" w:afterAutospacing="1"/>
            </w:pPr>
            <w:r w:rsidRPr="00494DC6">
              <w:t>Celkové způsobilé výdaje</w:t>
            </w:r>
          </w:p>
        </w:tc>
        <w:tc>
          <w:tcPr>
            <w:tcW w:w="1229" w:type="pct"/>
            <w:vAlign w:val="center"/>
          </w:tcPr>
          <w:p w14:paraId="25034F80" w14:textId="77777777" w:rsidR="00F3225F" w:rsidRPr="00494DC6" w:rsidRDefault="00F3225F" w:rsidP="00F3225F">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43 536</w:t>
            </w:r>
          </w:p>
        </w:tc>
        <w:tc>
          <w:tcPr>
            <w:tcW w:w="615" w:type="pct"/>
            <w:shd w:val="clear" w:color="auto" w:fill="E7F5CF" w:themeFill="accent1" w:themeFillTint="33"/>
            <w:vAlign w:val="center"/>
          </w:tcPr>
          <w:p w14:paraId="0B0DA5D7" w14:textId="77777777" w:rsidR="00F3225F" w:rsidRPr="00494DC6" w:rsidRDefault="00F3225F" w:rsidP="00F3225F">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100</w:t>
            </w:r>
            <w:r>
              <w:t xml:space="preserve"> %</w:t>
            </w:r>
          </w:p>
        </w:tc>
      </w:tr>
      <w:tr w:rsidR="00F3225F" w:rsidRPr="00494DC6" w14:paraId="70262644" w14:textId="77777777" w:rsidTr="00CE2FF0">
        <w:trPr>
          <w:trHeight w:val="340"/>
          <w:jc w:val="center"/>
        </w:trPr>
        <w:tc>
          <w:tcPr>
            <w:cnfStyle w:val="001000000000" w:firstRow="0" w:lastRow="0" w:firstColumn="1" w:lastColumn="0" w:oddVBand="0" w:evenVBand="0" w:oddHBand="0" w:evenHBand="0" w:firstRowFirstColumn="0" w:firstRowLastColumn="0" w:lastRowFirstColumn="0" w:lastRowLastColumn="0"/>
            <w:tcW w:w="3156" w:type="pct"/>
          </w:tcPr>
          <w:p w14:paraId="7EE4288F" w14:textId="77777777" w:rsidR="00F3225F" w:rsidRPr="00494DC6" w:rsidRDefault="00F3225F" w:rsidP="00511E66">
            <w:pPr>
              <w:spacing w:before="100" w:beforeAutospacing="1" w:after="100" w:afterAutospacing="1"/>
            </w:pPr>
            <w:r w:rsidRPr="00494DC6">
              <w:t>Spolufinancování příjemcem – způsobilé výdaje</w:t>
            </w:r>
          </w:p>
        </w:tc>
        <w:tc>
          <w:tcPr>
            <w:tcW w:w="1229" w:type="pct"/>
            <w:vAlign w:val="center"/>
          </w:tcPr>
          <w:p w14:paraId="11F4F21C" w14:textId="77777777" w:rsidR="00F3225F" w:rsidRPr="00494DC6" w:rsidRDefault="00F3225F" w:rsidP="00F3225F">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25 686</w:t>
            </w:r>
          </w:p>
        </w:tc>
        <w:tc>
          <w:tcPr>
            <w:tcW w:w="615" w:type="pct"/>
            <w:shd w:val="clear" w:color="auto" w:fill="E7F5CF" w:themeFill="accent1" w:themeFillTint="33"/>
            <w:vAlign w:val="center"/>
          </w:tcPr>
          <w:p w14:paraId="7CF8CEE5" w14:textId="77777777" w:rsidR="00F3225F" w:rsidRPr="00494DC6" w:rsidRDefault="00F3225F" w:rsidP="00F3225F">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59</w:t>
            </w:r>
            <w:r>
              <w:t xml:space="preserve"> %</w:t>
            </w:r>
          </w:p>
        </w:tc>
      </w:tr>
    </w:tbl>
    <w:p w14:paraId="0297014F" w14:textId="77777777" w:rsidR="00494DC6" w:rsidRDefault="00494DC6" w:rsidP="00494DC6"/>
    <w:p w14:paraId="7619D7E3" w14:textId="77777777" w:rsidR="00D53168" w:rsidRDefault="00F3225F" w:rsidP="00F3225F">
      <w:pPr>
        <w:jc w:val="both"/>
      </w:pPr>
      <w:r>
        <w:t xml:space="preserve">Pokud tento je tento poměr aplikován na hodnotu celkové alokace, lze předpokládat objem celkových způsobilých výdajů ve výši přibližně </w:t>
      </w:r>
      <w:r w:rsidR="00D53168">
        <w:t>2 619 mil. EUR a objem soukromých zdrojů připadající na způsobilé výdaje ve výši 1 545 mil. EUR.</w:t>
      </w:r>
    </w:p>
    <w:p w14:paraId="587C1567" w14:textId="77777777" w:rsidR="00F3225F" w:rsidRDefault="00F3225F" w:rsidP="00D53168">
      <w:pPr>
        <w:jc w:val="both"/>
      </w:pPr>
      <w:r>
        <w:t>Hodnota obou indikátorů</w:t>
      </w:r>
      <w:r w:rsidRPr="00494DC6">
        <w:t xml:space="preserve"> 3 440 mil. EUR</w:t>
      </w:r>
      <w:r w:rsidR="00D53168">
        <w:t xml:space="preserve"> tak</w:t>
      </w:r>
      <w:r w:rsidRPr="00494DC6">
        <w:t xml:space="preserve"> odpovídá 3,2násobku alokace SC 1.1 </w:t>
      </w:r>
      <w:r>
        <w:t xml:space="preserve">(1 074 mil. EUR). </w:t>
      </w:r>
      <w:r w:rsidRPr="00494DC6">
        <w:t>Při</w:t>
      </w:r>
      <w:r w:rsidR="005957CE">
        <w:t> </w:t>
      </w:r>
      <w:r w:rsidRPr="00494DC6">
        <w:t xml:space="preserve">průměrné plánované míře spolufinancování způsobilých výdajů ze strany příjemce ve výši 59 % to znamená, že každý projekt by měl obsahovat nezpůsobilé výdaje ve výši 72 % celkových způsobilých výdajů. To znamená, že nezpůsobilé výdaje odpovídají 1,2násobku způsobilých výdajů financovaných příjemcem. Takovou hodnotu </w:t>
      </w:r>
      <w:r>
        <w:t>Z</w:t>
      </w:r>
      <w:r w:rsidRPr="00494DC6">
        <w:t xml:space="preserve">pracovatel považuje za velmi vysokou a </w:t>
      </w:r>
      <w:r w:rsidRPr="00CF7F88">
        <w:rPr>
          <w:b/>
        </w:rPr>
        <w:t>dosažení těchto dvou indikátorů</w:t>
      </w:r>
      <w:r w:rsidRPr="00494DC6">
        <w:t xml:space="preserve"> hodnotí jako </w:t>
      </w:r>
      <w:r w:rsidRPr="00CF7F88">
        <w:rPr>
          <w:b/>
        </w:rPr>
        <w:t>velmi rizikové a nepravděpodobné.</w:t>
      </w:r>
    </w:p>
    <w:p w14:paraId="2B4DFD97" w14:textId="0C386CB2" w:rsidR="00D53168" w:rsidRDefault="00D53168" w:rsidP="00D53168">
      <w:pPr>
        <w:pStyle w:val="Caption"/>
      </w:pPr>
      <w:r>
        <w:t xml:space="preserve">Tabulka </w:t>
      </w:r>
      <w:r>
        <w:fldChar w:fldCharType="begin"/>
      </w:r>
      <w:r>
        <w:instrText xml:space="preserve"> SEQ Tabulka \* ARABIC </w:instrText>
      </w:r>
      <w:r>
        <w:fldChar w:fldCharType="separate"/>
      </w:r>
      <w:r w:rsidR="00F77CAE">
        <w:rPr>
          <w:noProof/>
        </w:rPr>
        <w:t>18</w:t>
      </w:r>
      <w:r>
        <w:fldChar w:fldCharType="end"/>
      </w:r>
      <w:r>
        <w:t xml:space="preserve"> - Výpočet výše soukromých investic</w:t>
      </w:r>
    </w:p>
    <w:tbl>
      <w:tblPr>
        <w:tblStyle w:val="ListTable3-Accent11"/>
        <w:tblW w:w="5000" w:type="pct"/>
        <w:jc w:val="center"/>
        <w:tblLook w:val="04A0" w:firstRow="1" w:lastRow="0" w:firstColumn="1" w:lastColumn="0" w:noHBand="0" w:noVBand="1"/>
      </w:tblPr>
      <w:tblGrid>
        <w:gridCol w:w="4106"/>
        <w:gridCol w:w="1134"/>
        <w:gridCol w:w="1463"/>
        <w:gridCol w:w="2925"/>
      </w:tblGrid>
      <w:tr w:rsidR="00F3225F" w:rsidRPr="00494DC6" w14:paraId="1E71B9F8" w14:textId="77777777" w:rsidTr="00D5316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32" w:type="pct"/>
          </w:tcPr>
          <w:p w14:paraId="6A065648" w14:textId="77777777" w:rsidR="00F3225F" w:rsidRPr="00F3225F" w:rsidRDefault="00F3225F" w:rsidP="00B92790">
            <w:pPr>
              <w:spacing w:before="100" w:beforeAutospacing="1" w:after="100" w:afterAutospacing="1"/>
              <w:rPr>
                <w:color w:val="FFFFFF" w:themeColor="background1"/>
              </w:rPr>
            </w:pPr>
            <w:r w:rsidRPr="00F3225F">
              <w:rPr>
                <w:color w:val="FFFFFF" w:themeColor="background1"/>
              </w:rPr>
              <w:t>Zdroj</w:t>
            </w:r>
          </w:p>
        </w:tc>
        <w:tc>
          <w:tcPr>
            <w:tcW w:w="589" w:type="pct"/>
            <w:vAlign w:val="center"/>
          </w:tcPr>
          <w:p w14:paraId="1028EC7D" w14:textId="77777777" w:rsidR="00F3225F" w:rsidRPr="00F3225F" w:rsidRDefault="00D53168" w:rsidP="00B9279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Poměr</w:t>
            </w:r>
          </w:p>
        </w:tc>
        <w:tc>
          <w:tcPr>
            <w:tcW w:w="760" w:type="pct"/>
            <w:vAlign w:val="center"/>
          </w:tcPr>
          <w:p w14:paraId="0D053335" w14:textId="77777777" w:rsidR="00F3225F" w:rsidRPr="00F3225F" w:rsidRDefault="00F3225F" w:rsidP="00B9279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225F">
              <w:rPr>
                <w:color w:val="FFFFFF" w:themeColor="background1"/>
              </w:rPr>
              <w:t>Částka v mil. EUR</w:t>
            </w:r>
          </w:p>
        </w:tc>
        <w:tc>
          <w:tcPr>
            <w:tcW w:w="1519" w:type="pct"/>
            <w:vAlign w:val="center"/>
          </w:tcPr>
          <w:p w14:paraId="1B8A29C9" w14:textId="77777777" w:rsidR="00F3225F" w:rsidRPr="00F3225F" w:rsidRDefault="00F3225F" w:rsidP="00B92790">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color w:val="FFFFFF" w:themeColor="background1"/>
              </w:rPr>
            </w:pPr>
            <w:r w:rsidRPr="00F3225F">
              <w:rPr>
                <w:color w:val="FFFFFF" w:themeColor="background1"/>
              </w:rPr>
              <w:t>Komentář</w:t>
            </w:r>
          </w:p>
        </w:tc>
      </w:tr>
      <w:tr w:rsidR="00F3225F" w:rsidRPr="00494DC6" w14:paraId="5BE4B97D" w14:textId="77777777" w:rsidTr="00D5316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2" w:type="pct"/>
          </w:tcPr>
          <w:p w14:paraId="0BF8308B" w14:textId="77777777" w:rsidR="00F3225F" w:rsidRPr="00494DC6" w:rsidRDefault="00F3225F" w:rsidP="00B92790">
            <w:pPr>
              <w:spacing w:before="100" w:beforeAutospacing="1" w:after="100" w:afterAutospacing="1"/>
            </w:pPr>
            <w:r w:rsidRPr="00494DC6">
              <w:t>Příspěvek unie</w:t>
            </w:r>
          </w:p>
        </w:tc>
        <w:tc>
          <w:tcPr>
            <w:tcW w:w="589" w:type="pct"/>
            <w:shd w:val="clear" w:color="auto" w:fill="auto"/>
          </w:tcPr>
          <w:p w14:paraId="4B6B08FB"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41</w:t>
            </w:r>
            <w:r w:rsidR="00D53168">
              <w:t xml:space="preserve"> %</w:t>
            </w:r>
          </w:p>
        </w:tc>
        <w:tc>
          <w:tcPr>
            <w:tcW w:w="760" w:type="pct"/>
            <w:shd w:val="clear" w:color="auto" w:fill="auto"/>
          </w:tcPr>
          <w:p w14:paraId="64445FC5"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1 074</w:t>
            </w:r>
          </w:p>
        </w:tc>
        <w:tc>
          <w:tcPr>
            <w:tcW w:w="1519" w:type="pct"/>
            <w:shd w:val="clear" w:color="auto" w:fill="auto"/>
          </w:tcPr>
          <w:p w14:paraId="2E1AF98F" w14:textId="77777777" w:rsidR="00F3225F" w:rsidRPr="00494DC6" w:rsidRDefault="00F3225F" w:rsidP="00B9279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494DC6">
              <w:t>Aktuální výše alokace SC 1.1</w:t>
            </w:r>
          </w:p>
        </w:tc>
      </w:tr>
      <w:tr w:rsidR="00F3225F" w:rsidRPr="00494DC6" w14:paraId="02C1FE06" w14:textId="77777777" w:rsidTr="00D53168">
        <w:trPr>
          <w:trHeight w:val="340"/>
          <w:jc w:val="center"/>
        </w:trPr>
        <w:tc>
          <w:tcPr>
            <w:cnfStyle w:val="001000000000" w:firstRow="0" w:lastRow="0" w:firstColumn="1" w:lastColumn="0" w:oddVBand="0" w:evenVBand="0" w:oddHBand="0" w:evenHBand="0" w:firstRowFirstColumn="0" w:firstRowLastColumn="0" w:lastRowFirstColumn="0" w:lastRowLastColumn="0"/>
            <w:tcW w:w="2132" w:type="pct"/>
          </w:tcPr>
          <w:p w14:paraId="70ACE8BE" w14:textId="77777777" w:rsidR="00F3225F" w:rsidRPr="00494DC6" w:rsidRDefault="00F3225F" w:rsidP="00B92790">
            <w:pPr>
              <w:spacing w:before="100" w:beforeAutospacing="1" w:after="100" w:afterAutospacing="1"/>
            </w:pPr>
            <w:r w:rsidRPr="00494DC6">
              <w:t>Celkové způsobilé výdaje</w:t>
            </w:r>
          </w:p>
        </w:tc>
        <w:tc>
          <w:tcPr>
            <w:tcW w:w="589" w:type="pct"/>
            <w:shd w:val="clear" w:color="auto" w:fill="auto"/>
          </w:tcPr>
          <w:p w14:paraId="3469B64A" w14:textId="77777777" w:rsidR="00F3225F" w:rsidRPr="00494DC6" w:rsidRDefault="00F3225F" w:rsidP="00D5316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100</w:t>
            </w:r>
            <w:r w:rsidR="00D53168">
              <w:t xml:space="preserve"> %</w:t>
            </w:r>
          </w:p>
        </w:tc>
        <w:tc>
          <w:tcPr>
            <w:tcW w:w="760" w:type="pct"/>
            <w:shd w:val="clear" w:color="auto" w:fill="auto"/>
          </w:tcPr>
          <w:p w14:paraId="5682F2B3" w14:textId="77777777" w:rsidR="00F3225F" w:rsidRPr="00494DC6" w:rsidRDefault="00F3225F" w:rsidP="00D5316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2 619</w:t>
            </w:r>
          </w:p>
        </w:tc>
        <w:tc>
          <w:tcPr>
            <w:tcW w:w="1519" w:type="pct"/>
            <w:shd w:val="clear" w:color="auto" w:fill="auto"/>
          </w:tcPr>
          <w:p w14:paraId="78A5913E" w14:textId="77777777" w:rsidR="00F3225F" w:rsidRPr="00494DC6" w:rsidRDefault="00F3225F" w:rsidP="00B9279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494DC6">
              <w:t>Výpočet</w:t>
            </w:r>
            <w:r>
              <w:t xml:space="preserve"> Zpracovatele</w:t>
            </w:r>
          </w:p>
        </w:tc>
      </w:tr>
      <w:tr w:rsidR="00F3225F" w:rsidRPr="00494DC6" w14:paraId="7DE6AC24" w14:textId="77777777" w:rsidTr="00D5316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2" w:type="pct"/>
          </w:tcPr>
          <w:p w14:paraId="673AE174" w14:textId="77777777" w:rsidR="00F3225F" w:rsidRPr="00494DC6" w:rsidRDefault="00F3225F" w:rsidP="00B92790">
            <w:pPr>
              <w:spacing w:before="100" w:beforeAutospacing="1" w:after="100" w:afterAutospacing="1"/>
            </w:pPr>
            <w:r w:rsidRPr="00494DC6">
              <w:t>Spolufinancování příjemcem – způsobilé výdaje</w:t>
            </w:r>
          </w:p>
        </w:tc>
        <w:tc>
          <w:tcPr>
            <w:tcW w:w="589" w:type="pct"/>
            <w:shd w:val="clear" w:color="auto" w:fill="auto"/>
          </w:tcPr>
          <w:p w14:paraId="58E7FE9A"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59</w:t>
            </w:r>
            <w:r w:rsidR="00D53168">
              <w:t xml:space="preserve"> %</w:t>
            </w:r>
          </w:p>
        </w:tc>
        <w:tc>
          <w:tcPr>
            <w:tcW w:w="760" w:type="pct"/>
            <w:shd w:val="clear" w:color="auto" w:fill="auto"/>
          </w:tcPr>
          <w:p w14:paraId="571F3428"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1 545</w:t>
            </w:r>
          </w:p>
        </w:tc>
        <w:tc>
          <w:tcPr>
            <w:tcW w:w="1519" w:type="pct"/>
            <w:shd w:val="clear" w:color="auto" w:fill="auto"/>
          </w:tcPr>
          <w:p w14:paraId="6320D70B" w14:textId="77777777" w:rsidR="00F3225F" w:rsidRPr="00494DC6" w:rsidRDefault="00F3225F" w:rsidP="00B9279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494DC6">
              <w:t>Výpočet</w:t>
            </w:r>
            <w:r>
              <w:t xml:space="preserve"> Zpracovatele</w:t>
            </w:r>
          </w:p>
        </w:tc>
      </w:tr>
      <w:tr w:rsidR="00F3225F" w:rsidRPr="00494DC6" w14:paraId="309524B7" w14:textId="77777777" w:rsidTr="00D53168">
        <w:trPr>
          <w:trHeight w:val="340"/>
          <w:jc w:val="center"/>
        </w:trPr>
        <w:tc>
          <w:tcPr>
            <w:cnfStyle w:val="001000000000" w:firstRow="0" w:lastRow="0" w:firstColumn="1" w:lastColumn="0" w:oddVBand="0" w:evenVBand="0" w:oddHBand="0" w:evenHBand="0" w:firstRowFirstColumn="0" w:firstRowLastColumn="0" w:lastRowFirstColumn="0" w:lastRowLastColumn="0"/>
            <w:tcW w:w="2132" w:type="pct"/>
          </w:tcPr>
          <w:p w14:paraId="1566D78B" w14:textId="77777777" w:rsidR="00F3225F" w:rsidRPr="00494DC6" w:rsidRDefault="00F3225F" w:rsidP="00B92790">
            <w:pPr>
              <w:spacing w:before="100" w:beforeAutospacing="1" w:after="100" w:afterAutospacing="1"/>
            </w:pPr>
            <w:r w:rsidRPr="00494DC6">
              <w:t>Celková výše soukromých investic</w:t>
            </w:r>
          </w:p>
        </w:tc>
        <w:tc>
          <w:tcPr>
            <w:tcW w:w="589" w:type="pct"/>
            <w:shd w:val="clear" w:color="auto" w:fill="auto"/>
          </w:tcPr>
          <w:p w14:paraId="2567A9B8" w14:textId="77777777" w:rsidR="00F3225F" w:rsidRPr="00494DC6" w:rsidRDefault="00F3225F" w:rsidP="00D5316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p>
        </w:tc>
        <w:tc>
          <w:tcPr>
            <w:tcW w:w="760" w:type="pct"/>
            <w:shd w:val="clear" w:color="auto" w:fill="auto"/>
          </w:tcPr>
          <w:p w14:paraId="14E6B07E" w14:textId="77777777" w:rsidR="00F3225F" w:rsidRPr="00494DC6" w:rsidRDefault="00F3225F" w:rsidP="00D5316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pPr>
            <w:r w:rsidRPr="00494DC6">
              <w:t>3 440</w:t>
            </w:r>
          </w:p>
        </w:tc>
        <w:tc>
          <w:tcPr>
            <w:tcW w:w="1519" w:type="pct"/>
            <w:shd w:val="clear" w:color="auto" w:fill="auto"/>
          </w:tcPr>
          <w:p w14:paraId="710D9189" w14:textId="77777777" w:rsidR="00F3225F" w:rsidRPr="00494DC6" w:rsidRDefault="00F3225F" w:rsidP="00B9279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494DC6">
              <w:t>Hodnota indikátoru</w:t>
            </w:r>
          </w:p>
        </w:tc>
      </w:tr>
      <w:tr w:rsidR="00F3225F" w:rsidRPr="00494DC6" w14:paraId="14E648D4" w14:textId="77777777" w:rsidTr="00D5316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32" w:type="pct"/>
          </w:tcPr>
          <w:p w14:paraId="64AE4257" w14:textId="77777777" w:rsidR="00F3225F" w:rsidRPr="00494DC6" w:rsidRDefault="00F3225F" w:rsidP="00B92790">
            <w:pPr>
              <w:spacing w:before="100" w:beforeAutospacing="1" w:after="100" w:afterAutospacing="1"/>
            </w:pPr>
            <w:r w:rsidRPr="00494DC6">
              <w:t>Spolufinancování příjemcem – nezpůsobilé výdaje</w:t>
            </w:r>
          </w:p>
        </w:tc>
        <w:tc>
          <w:tcPr>
            <w:tcW w:w="589" w:type="pct"/>
            <w:shd w:val="clear" w:color="auto" w:fill="auto"/>
          </w:tcPr>
          <w:p w14:paraId="0C33F6D9"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p>
        </w:tc>
        <w:tc>
          <w:tcPr>
            <w:tcW w:w="760" w:type="pct"/>
            <w:shd w:val="clear" w:color="auto" w:fill="auto"/>
          </w:tcPr>
          <w:p w14:paraId="4091A43F" w14:textId="77777777" w:rsidR="00F3225F" w:rsidRPr="00494DC6" w:rsidRDefault="00F3225F" w:rsidP="00D5316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pPr>
            <w:r w:rsidRPr="00494DC6">
              <w:t>1 895</w:t>
            </w:r>
          </w:p>
        </w:tc>
        <w:tc>
          <w:tcPr>
            <w:tcW w:w="1519" w:type="pct"/>
            <w:shd w:val="clear" w:color="auto" w:fill="auto"/>
          </w:tcPr>
          <w:p w14:paraId="2E56CE51" w14:textId="77777777" w:rsidR="00F3225F" w:rsidRPr="00494DC6" w:rsidRDefault="00F3225F" w:rsidP="00B9279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494DC6">
              <w:t>Výpočet</w:t>
            </w:r>
            <w:r>
              <w:t xml:space="preserve"> Zpracovatele</w:t>
            </w:r>
          </w:p>
          <w:p w14:paraId="5335D390" w14:textId="1A4B61F5" w:rsidR="00F3225F" w:rsidRPr="00494DC6" w:rsidRDefault="007A7B9F" w:rsidP="00B9279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P</w:t>
            </w:r>
            <w:r w:rsidR="00F3225F" w:rsidRPr="00494DC6">
              <w:t>oměr vůči CZV – 72 %</w:t>
            </w:r>
          </w:p>
          <w:p w14:paraId="530228DB" w14:textId="58F9BF61" w:rsidR="00F3225F" w:rsidRPr="00494DC6" w:rsidRDefault="007A7B9F" w:rsidP="00B9279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P</w:t>
            </w:r>
            <w:r w:rsidR="00F3225F" w:rsidRPr="00494DC6">
              <w:t>oměr vůči způsobilým výdajům spolufinancovaným příjemcem – 123 %</w:t>
            </w:r>
          </w:p>
        </w:tc>
      </w:tr>
    </w:tbl>
    <w:p w14:paraId="6184BCBD" w14:textId="77777777" w:rsidR="00F3225F" w:rsidRDefault="00F3225F" w:rsidP="00494DC6"/>
    <w:p w14:paraId="3C4982B1" w14:textId="77777777" w:rsidR="00F3225F" w:rsidRPr="00680E5B" w:rsidRDefault="00680E5B" w:rsidP="00494DC6">
      <w:pPr>
        <w:rPr>
          <w:b/>
        </w:rPr>
      </w:pPr>
      <w:r w:rsidRPr="00680E5B">
        <w:rPr>
          <w:b/>
        </w:rPr>
        <w:t>Modelování ekonomického dopadu</w:t>
      </w:r>
    </w:p>
    <w:p w14:paraId="6B278695" w14:textId="77777777" w:rsidR="00680E5B" w:rsidRDefault="00680E5B" w:rsidP="002449AE">
      <w:pPr>
        <w:jc w:val="both"/>
      </w:pPr>
      <w:r>
        <w:t>Vzhledem k výše uvedeným skutečnostem není možné posoudit reálný ekonomický dopad intervencí, zejména protože:</w:t>
      </w:r>
    </w:p>
    <w:p w14:paraId="6662EA81" w14:textId="77777777" w:rsidR="00680E5B" w:rsidRPr="003318F5" w:rsidRDefault="00680E5B" w:rsidP="00680E5B">
      <w:pPr>
        <w:pStyle w:val="ListParagraph"/>
        <w:numPr>
          <w:ilvl w:val="0"/>
          <w:numId w:val="55"/>
        </w:numPr>
        <w:spacing w:after="120" w:line="276" w:lineRule="auto"/>
        <w:ind w:left="714" w:hanging="357"/>
        <w:contextualSpacing w:val="0"/>
        <w:jc w:val="both"/>
        <w:rPr>
          <w:rFonts w:cs="Calibri"/>
        </w:rPr>
      </w:pPr>
      <w:r w:rsidRPr="00680E5B">
        <w:rPr>
          <w:rFonts w:cs="Calibri"/>
          <w:b/>
        </w:rPr>
        <w:t>Není známa celková výše soukromých investic</w:t>
      </w:r>
      <w:r>
        <w:rPr>
          <w:rFonts w:cs="Calibri"/>
        </w:rPr>
        <w:t xml:space="preserve"> a není tak možné posoudit</w:t>
      </w:r>
      <w:r w:rsidR="005957CE">
        <w:rPr>
          <w:rFonts w:cs="Calibri"/>
        </w:rPr>
        <w:t>,</w:t>
      </w:r>
      <w:r>
        <w:rPr>
          <w:rFonts w:cs="Calibri"/>
        </w:rPr>
        <w:t xml:space="preserve"> jaký dotace vyvolává multiplikační efekt.</w:t>
      </w:r>
    </w:p>
    <w:p w14:paraId="7BCB31BF" w14:textId="77777777" w:rsidR="005957CE" w:rsidRDefault="00680E5B" w:rsidP="00680E5B">
      <w:pPr>
        <w:pStyle w:val="ListParagraph"/>
        <w:numPr>
          <w:ilvl w:val="0"/>
          <w:numId w:val="55"/>
        </w:numPr>
        <w:spacing w:after="120" w:line="276" w:lineRule="auto"/>
        <w:ind w:left="714" w:hanging="357"/>
        <w:contextualSpacing w:val="0"/>
        <w:jc w:val="both"/>
        <w:rPr>
          <w:rFonts w:cs="Calibri"/>
        </w:rPr>
      </w:pPr>
      <w:r w:rsidRPr="00680E5B">
        <w:rPr>
          <w:rFonts w:cs="Calibri"/>
          <w:b/>
        </w:rPr>
        <w:t>Nejsou řádně vykazovány informace o tržbách</w:t>
      </w:r>
      <w:r>
        <w:rPr>
          <w:rFonts w:cs="Calibri"/>
        </w:rPr>
        <w:t xml:space="preserve"> </w:t>
      </w:r>
      <w:r w:rsidRPr="00680E5B">
        <w:rPr>
          <w:rFonts w:cs="Calibri"/>
        </w:rPr>
        <w:t>podpořených podniků v důsledku zavedené inovace</w:t>
      </w:r>
      <w:r>
        <w:rPr>
          <w:rFonts w:cs="Calibri"/>
        </w:rPr>
        <w:t xml:space="preserve"> (indikátor 21410).</w:t>
      </w:r>
    </w:p>
    <w:p w14:paraId="3D407941" w14:textId="77777777" w:rsidR="005957CE" w:rsidRDefault="005957CE" w:rsidP="002449AE">
      <w:r>
        <w:br w:type="page"/>
      </w:r>
    </w:p>
    <w:p w14:paraId="6D7878AB" w14:textId="77777777" w:rsidR="00823C2A" w:rsidRPr="00C90D79" w:rsidRDefault="008727E9" w:rsidP="00C818D5">
      <w:pPr>
        <w:pStyle w:val="Heading1"/>
        <w:numPr>
          <w:ilvl w:val="0"/>
          <w:numId w:val="2"/>
        </w:numPr>
        <w:tabs>
          <w:tab w:val="left" w:pos="993"/>
        </w:tabs>
        <w:spacing w:after="120"/>
        <w:rPr>
          <w:rFonts w:ascii="Verdana" w:eastAsia="MingLiU" w:hAnsi="Verdana" w:cs="Times New Roman"/>
          <w:b w:val="0"/>
          <w:color w:val="auto"/>
          <w:sz w:val="60"/>
          <w:szCs w:val="60"/>
        </w:rPr>
      </w:pPr>
      <w:bookmarkStart w:id="89" w:name="_Toc11679642"/>
      <w:r>
        <w:rPr>
          <w:rFonts w:ascii="Verdana" w:eastAsia="MingLiU" w:hAnsi="Verdana" w:cs="Times New Roman"/>
          <w:b w:val="0"/>
          <w:color w:val="auto"/>
          <w:sz w:val="60"/>
          <w:szCs w:val="60"/>
        </w:rPr>
        <w:t>Syntéza závěrů a návrh doporučení</w:t>
      </w:r>
      <w:bookmarkEnd w:id="89"/>
      <w:r w:rsidR="00C90D79" w:rsidRPr="00C90D79">
        <w:rPr>
          <w:rFonts w:ascii="Verdana" w:eastAsia="MingLiU" w:hAnsi="Verdana" w:cs="Times New Roman"/>
          <w:b w:val="0"/>
          <w:color w:val="auto"/>
          <w:sz w:val="60"/>
          <w:szCs w:val="60"/>
        </w:rPr>
        <w:t xml:space="preserve"> </w:t>
      </w:r>
    </w:p>
    <w:p w14:paraId="41BA31F4" w14:textId="77777777" w:rsidR="00C90D79" w:rsidRDefault="00C90D79" w:rsidP="007038B8">
      <w:pPr>
        <w:spacing w:after="200" w:line="276" w:lineRule="auto"/>
        <w:rPr>
          <w:highlight w:val="yellow"/>
        </w:rPr>
      </w:pPr>
    </w:p>
    <w:p w14:paraId="1F1B44F8" w14:textId="77777777" w:rsidR="006B0C43" w:rsidRDefault="006B0C43" w:rsidP="00152DAD">
      <w:pPr>
        <w:pStyle w:val="Heading1"/>
        <w:numPr>
          <w:ilvl w:val="1"/>
          <w:numId w:val="2"/>
        </w:numPr>
        <w:tabs>
          <w:tab w:val="left" w:pos="851"/>
        </w:tabs>
        <w:spacing w:before="240" w:after="120"/>
        <w:ind w:left="714" w:hanging="357"/>
      </w:pPr>
      <w:bookmarkStart w:id="90" w:name="_Toc8825228"/>
      <w:bookmarkStart w:id="91" w:name="_Toc11679643"/>
      <w:r>
        <w:t>Shrnutí zjištění</w:t>
      </w:r>
      <w:bookmarkEnd w:id="90"/>
      <w:bookmarkEnd w:id="91"/>
    </w:p>
    <w:p w14:paraId="7431A413" w14:textId="002FE21B" w:rsidR="00214D86" w:rsidRDefault="00214D86" w:rsidP="00214D86">
      <w:pPr>
        <w:jc w:val="both"/>
      </w:pPr>
      <w:r w:rsidRPr="00681A2E">
        <w:t xml:space="preserve">Přes doposud nízký počet ukončených projektů lze </w:t>
      </w:r>
      <w:r w:rsidRPr="00681A2E">
        <w:rPr>
          <w:b/>
        </w:rPr>
        <w:t>dosavadní vývoj</w:t>
      </w:r>
      <w:r w:rsidRPr="00681A2E">
        <w:t xml:space="preserve"> implementace, resp. dosahování cílů strategického cíle 1.1 OP PIK hodnotit </w:t>
      </w:r>
      <w:r w:rsidRPr="00681A2E">
        <w:rPr>
          <w:b/>
        </w:rPr>
        <w:t>pozitivně</w:t>
      </w:r>
      <w:r w:rsidRPr="00681A2E">
        <w:t>.</w:t>
      </w:r>
      <w:r w:rsidRPr="00681A2E">
        <w:rPr>
          <w:b/>
        </w:rPr>
        <w:t xml:space="preserve"> Hlavní ukazatele, tj. výkonnostní milníky a </w:t>
      </w:r>
      <w:proofErr w:type="spellStart"/>
      <w:r w:rsidRPr="00681A2E">
        <w:rPr>
          <w:b/>
        </w:rPr>
        <w:t>zazávazkovanost</w:t>
      </w:r>
      <w:proofErr w:type="spellEnd"/>
      <w:r w:rsidRPr="00681A2E">
        <w:rPr>
          <w:b/>
        </w:rPr>
        <w:t xml:space="preserve"> alokace, jsou na úrovni odpovídající současné fázi programu.</w:t>
      </w:r>
      <w:r w:rsidRPr="00681A2E">
        <w:t xml:space="preserve"> Některé indikátory sledující vývoj výstupů jsou shledány jako </w:t>
      </w:r>
      <w:r w:rsidRPr="00681A2E">
        <w:rPr>
          <w:b/>
        </w:rPr>
        <w:t>rizikové s nízkou naplněností</w:t>
      </w:r>
      <w:r w:rsidRPr="00681A2E">
        <w:t xml:space="preserve"> (a/nebo plánem) a některé jako</w:t>
      </w:r>
      <w:r w:rsidRPr="00681A2E">
        <w:rPr>
          <w:b/>
        </w:rPr>
        <w:t xml:space="preserve"> nevypovídající, neboť u nich dochází k evidentním chybám v jejich vykazování. </w:t>
      </w:r>
      <w:r w:rsidRPr="00681A2E">
        <w:t>Vzhledem k tomu, že jsou v programech Aplikace, Inovace a Potenciál ukončeny projekty odpovídající jedné desetině celkové alokace specifického cíle, hodnoty uvedené u monitorovacích indikátorů jako plánované se ve skutečnosti po ukončení projektů mohou lišit.</w:t>
      </w:r>
      <w:r w:rsidRPr="00696674">
        <w:t xml:space="preserve"> </w:t>
      </w:r>
      <w:r w:rsidRPr="00681A2E">
        <w:t>Vzhledem k malému počtu ukončených projektů</w:t>
      </w:r>
      <w:r>
        <w:t xml:space="preserve"> také </w:t>
      </w:r>
      <w:r w:rsidRPr="00681A2E">
        <w:rPr>
          <w:b/>
        </w:rPr>
        <w:t>nelze zatím vyhodnotit dopady v podobě zvýšení tržeb</w:t>
      </w:r>
      <w:r w:rsidRPr="00681A2E">
        <w:t xml:space="preserve"> z inovovaných produktů a služeb. Z vyjádření zástupců podpořených podniků je však zřejmé, že díky finanční podpoře je možné produkty uvádět na trh rychleji a ve větším množství, a to jak na trh v ČR tak v zahraničí. </w:t>
      </w:r>
    </w:p>
    <w:p w14:paraId="2F705FC5" w14:textId="77777777" w:rsidR="00F1506C" w:rsidRDefault="00F1506C" w:rsidP="00F1506C">
      <w:pPr>
        <w:spacing w:after="60"/>
      </w:pPr>
      <w:r>
        <w:t>Hlavními důvody problémů či přímo selhání podniků při zavádění nového produktu na trh byly např.:</w:t>
      </w:r>
    </w:p>
    <w:p w14:paraId="0516CD94" w14:textId="77777777" w:rsidR="00F1506C" w:rsidRDefault="00F1506C" w:rsidP="00F1506C">
      <w:pPr>
        <w:pStyle w:val="ListParagraph"/>
        <w:numPr>
          <w:ilvl w:val="0"/>
          <w:numId w:val="12"/>
        </w:numPr>
        <w:spacing w:before="60" w:after="0"/>
        <w:ind w:left="579" w:hanging="206"/>
        <w:contextualSpacing w:val="0"/>
      </w:pPr>
      <w:r>
        <w:t>Opoždění realizace projektu, dlouhá doba spojená s hodnocením projektů a přípravou zakázek,</w:t>
      </w:r>
    </w:p>
    <w:p w14:paraId="56D96568" w14:textId="77777777" w:rsidR="00F1506C" w:rsidRDefault="00F1506C" w:rsidP="00F1506C">
      <w:pPr>
        <w:pStyle w:val="ListParagraph"/>
        <w:numPr>
          <w:ilvl w:val="0"/>
          <w:numId w:val="12"/>
        </w:numPr>
        <w:spacing w:before="60" w:after="0"/>
        <w:ind w:left="579" w:hanging="206"/>
        <w:contextualSpacing w:val="0"/>
      </w:pPr>
      <w:r>
        <w:t>Velká administrativní zátěž,</w:t>
      </w:r>
    </w:p>
    <w:p w14:paraId="6D141AEC" w14:textId="77777777" w:rsidR="00F1506C" w:rsidRDefault="00F1506C" w:rsidP="00F1506C">
      <w:pPr>
        <w:pStyle w:val="ListParagraph"/>
        <w:numPr>
          <w:ilvl w:val="0"/>
          <w:numId w:val="12"/>
        </w:numPr>
        <w:spacing w:before="60" w:after="0"/>
        <w:ind w:left="579" w:hanging="206"/>
        <w:contextualSpacing w:val="0"/>
      </w:pPr>
      <w:r>
        <w:t>Vysoká míra konkurence na trzích inovovaných produktů,</w:t>
      </w:r>
    </w:p>
    <w:p w14:paraId="3759CF43" w14:textId="77777777" w:rsidR="00F1506C" w:rsidRDefault="00F1506C" w:rsidP="00F1506C">
      <w:pPr>
        <w:pStyle w:val="ListParagraph"/>
        <w:numPr>
          <w:ilvl w:val="0"/>
          <w:numId w:val="12"/>
        </w:numPr>
        <w:spacing w:before="60" w:after="0"/>
        <w:ind w:left="579" w:hanging="206"/>
        <w:contextualSpacing w:val="0"/>
      </w:pPr>
      <w:r>
        <w:t>Vysoké vstupní náklady,</w:t>
      </w:r>
    </w:p>
    <w:p w14:paraId="0B711D2D" w14:textId="77777777" w:rsidR="00F1506C" w:rsidRDefault="00F1506C" w:rsidP="00F1506C">
      <w:pPr>
        <w:pStyle w:val="ListParagraph"/>
        <w:numPr>
          <w:ilvl w:val="0"/>
          <w:numId w:val="12"/>
        </w:numPr>
        <w:spacing w:before="60" w:after="60"/>
        <w:ind w:left="579" w:hanging="206"/>
        <w:contextualSpacing w:val="0"/>
      </w:pPr>
      <w:r>
        <w:t>Konzervativnost č</w:t>
      </w:r>
      <w:r w:rsidRPr="000F4B13">
        <w:t>esk</w:t>
      </w:r>
      <w:r>
        <w:t>ého</w:t>
      </w:r>
      <w:r w:rsidRPr="000F4B13">
        <w:t xml:space="preserve"> trh</w:t>
      </w:r>
      <w:r>
        <w:t xml:space="preserve">u, kdy zákazník v </w:t>
      </w:r>
      <w:r w:rsidRPr="000F4B13">
        <w:t xml:space="preserve">mnoha ohledech dává přednost zahraničním </w:t>
      </w:r>
      <w:r>
        <w:t>produktům nebo není ochotný vyzkoušet nový produkt</w:t>
      </w:r>
    </w:p>
    <w:p w14:paraId="0D79070A" w14:textId="77777777" w:rsidR="00F1506C" w:rsidRDefault="00F1506C" w:rsidP="00F1506C">
      <w:pPr>
        <w:pStyle w:val="ListParagraph"/>
        <w:numPr>
          <w:ilvl w:val="0"/>
          <w:numId w:val="12"/>
        </w:numPr>
        <w:spacing w:before="60" w:after="60"/>
        <w:ind w:left="579" w:hanging="206"/>
        <w:contextualSpacing w:val="0"/>
      </w:pPr>
      <w:r>
        <w:t>Vnější vlivy nespojité s podporou OP PIK (např. změny na globálních trzích, pokles odběru produktů v automobilovém průmyslu s vazbou na konstrukce se spalovacím nebo zážehovým motorem z důvodu přechodu na elektromobilitu)</w:t>
      </w:r>
    </w:p>
    <w:p w14:paraId="770FCD3E" w14:textId="77777777" w:rsidR="00F1506C" w:rsidRDefault="00F1506C" w:rsidP="006229FF">
      <w:pPr>
        <w:pStyle w:val="ListParagraph"/>
        <w:numPr>
          <w:ilvl w:val="0"/>
          <w:numId w:val="12"/>
        </w:numPr>
        <w:spacing w:before="60" w:after="60"/>
        <w:ind w:left="579" w:hanging="206"/>
        <w:contextualSpacing w:val="0"/>
        <w:jc w:val="both"/>
      </w:pPr>
      <w:r>
        <w:t>Změny ve strategickém řízení firmy, odstoupení od projektu z různých důvodů, změna ekonomické situace podniku apod.</w:t>
      </w:r>
    </w:p>
    <w:p w14:paraId="3441AFB9" w14:textId="77777777" w:rsidR="007A7B9F" w:rsidRPr="00681A2E" w:rsidRDefault="007A7B9F" w:rsidP="00CE2FF0">
      <w:pPr>
        <w:pStyle w:val="ListParagraph"/>
        <w:spacing w:before="60" w:after="60"/>
        <w:ind w:left="579"/>
        <w:contextualSpacing w:val="0"/>
        <w:jc w:val="both"/>
      </w:pPr>
    </w:p>
    <w:p w14:paraId="56FF0AC5" w14:textId="5DA99C33" w:rsidR="00214D86" w:rsidRPr="00681A2E" w:rsidRDefault="00214D86" w:rsidP="00214D86">
      <w:pPr>
        <w:jc w:val="both"/>
      </w:pPr>
      <w:r w:rsidRPr="00681A2E">
        <w:t xml:space="preserve">Pro úspěšné dosažení cílů programů v rámci SC 1.1 </w:t>
      </w:r>
      <w:r w:rsidR="00165329">
        <w:t>j</w:t>
      </w:r>
      <w:r w:rsidR="00165329" w:rsidRPr="00681A2E">
        <w:t xml:space="preserve">e </w:t>
      </w:r>
      <w:r w:rsidRPr="00681A2E">
        <w:t xml:space="preserve">zcela </w:t>
      </w:r>
      <w:r w:rsidRPr="00681A2E">
        <w:rPr>
          <w:b/>
        </w:rPr>
        <w:t>zásadní kvalitní finanční řízení alokace SC 1.1</w:t>
      </w:r>
      <w:r w:rsidRPr="00681A2E">
        <w:t xml:space="preserve">, </w:t>
      </w:r>
      <w:r w:rsidRPr="00681A2E">
        <w:rPr>
          <w:b/>
        </w:rPr>
        <w:t>a to zejména</w:t>
      </w:r>
      <w:r w:rsidRPr="00681A2E">
        <w:t xml:space="preserve"> </w:t>
      </w:r>
      <w:r w:rsidRPr="00681A2E">
        <w:rPr>
          <w:b/>
        </w:rPr>
        <w:t>naplánování a vyhlášení výzev v dostatečném objemu finančních prostředků.</w:t>
      </w:r>
      <w:r w:rsidRPr="00681A2E">
        <w:t xml:space="preserve"> Z dosud vyhlášených výzev lze předpokládat vyčerpání přibližně 2/3 celkové alokace SC 1.1. K pokrytí zbytku alokace (cca 9</w:t>
      </w:r>
      <w:r w:rsidR="00165329">
        <w:t>–</w:t>
      </w:r>
      <w:r w:rsidRPr="00681A2E">
        <w:t>10 mld. Kč) bude tudíž potřeba vyhlásit výzvy či navýšit alokaci v současnosti vyhlášených výzev v objemu 14–20 mld. Kč.</w:t>
      </w:r>
    </w:p>
    <w:p w14:paraId="114D1B1C" w14:textId="77777777" w:rsidR="00214D86" w:rsidRPr="00681A2E" w:rsidRDefault="00214D86" w:rsidP="00214D86">
      <w:pPr>
        <w:jc w:val="both"/>
      </w:pPr>
      <w:r w:rsidRPr="00681A2E">
        <w:t xml:space="preserve">Z provedených šetření v rámci evaluace vyplývá, že podpořené projekty měly </w:t>
      </w:r>
      <w:r w:rsidRPr="00681A2E">
        <w:rPr>
          <w:b/>
        </w:rPr>
        <w:t>pozitivní vliv na zvýšení inovační výkonnosti podpořených podniků, zejména podniků malých a středních.</w:t>
      </w:r>
      <w:r w:rsidRPr="00681A2E">
        <w:t xml:space="preserve"> Přínosy se projevily především v </w:t>
      </w:r>
      <w:r w:rsidRPr="00681A2E">
        <w:rPr>
          <w:b/>
        </w:rPr>
        <w:t>urychlení procesu inovací</w:t>
      </w:r>
      <w:r w:rsidRPr="00681A2E">
        <w:t xml:space="preserve"> a uvádění inovovaných výrobků na trh, kdy podniky byly schopné díky finanční podpoře inovovat až o dva roky rychleji, než kdyby podporu nezískaly. Schopnost provádět inovace rychleji je přitom samotnými podniky považována za naprosto klíčovou, zvláště pak v dynamicky se rozvíjejících oborech.</w:t>
      </w:r>
      <w:r>
        <w:t xml:space="preserve"> </w:t>
      </w:r>
      <w:r w:rsidRPr="005468F3">
        <w:rPr>
          <w:b/>
        </w:rPr>
        <w:t>Velmi negativně však příjemci hodnotí</w:t>
      </w:r>
      <w:r w:rsidR="008D04F1">
        <w:rPr>
          <w:b/>
        </w:rPr>
        <w:t xml:space="preserve"> prodlení v hodnocení projektů,</w:t>
      </w:r>
      <w:r w:rsidRPr="005468F3">
        <w:rPr>
          <w:b/>
        </w:rPr>
        <w:t xml:space="preserve"> schvalování žádostí</w:t>
      </w:r>
      <w:r>
        <w:rPr>
          <w:b/>
        </w:rPr>
        <w:t xml:space="preserve"> </w:t>
      </w:r>
      <w:r w:rsidR="008D04F1">
        <w:rPr>
          <w:b/>
        </w:rPr>
        <w:t>a administrace žádostí o platbu a nízkou</w:t>
      </w:r>
      <w:r>
        <w:rPr>
          <w:b/>
        </w:rPr>
        <w:t xml:space="preserve"> flexibilit</w:t>
      </w:r>
      <w:r w:rsidR="008D04F1">
        <w:rPr>
          <w:b/>
        </w:rPr>
        <w:t>u</w:t>
      </w:r>
      <w:r>
        <w:rPr>
          <w:b/>
        </w:rPr>
        <w:t xml:space="preserve"> při změnách projektů</w:t>
      </w:r>
      <w:r w:rsidRPr="005468F3">
        <w:rPr>
          <w:b/>
        </w:rPr>
        <w:t>,</w:t>
      </w:r>
      <w:r>
        <w:t xml:space="preserve"> co mělo často zcela opačný vliv a vedlo naopak ke zpoždění při zavádění inovací. Z tohoto důvodu byly podniky bez dotační podpory častokrát schopné reagovat na potřeby trhu </w:t>
      </w:r>
      <w:r w:rsidR="008D04F1">
        <w:t xml:space="preserve">a zavádět inovace </w:t>
      </w:r>
      <w:r>
        <w:t>rychleji a více flexibilně než podniky čerpající dotační podporu.</w:t>
      </w:r>
    </w:p>
    <w:p w14:paraId="5615B818" w14:textId="77777777" w:rsidR="00214D86" w:rsidRPr="00696674" w:rsidRDefault="00214D86" w:rsidP="00214D86">
      <w:pPr>
        <w:jc w:val="both"/>
        <w:rPr>
          <w:b/>
        </w:rPr>
      </w:pPr>
      <w:r w:rsidRPr="00681A2E">
        <w:t xml:space="preserve">Z pohledu úrovně samotných inovací jsou přínosy menší. </w:t>
      </w:r>
      <w:r w:rsidRPr="00681A2E">
        <w:rPr>
          <w:b/>
        </w:rPr>
        <w:t xml:space="preserve">Realizace projektů je směřována primárně ke zkvalitnění technické infrastruktury firem pro výzkum a vývoj. </w:t>
      </w:r>
      <w:r w:rsidRPr="00681A2E">
        <w:t xml:space="preserve">Samotný podnikový výzkum je však poměrně konzervativní, převážně na průměrné úrovni. Pouze malý počet projektů dosahuje inovačního řádu 7. Stále se tak </w:t>
      </w:r>
      <w:r w:rsidRPr="00696674">
        <w:rPr>
          <w:b/>
        </w:rPr>
        <w:t>nedaří rozvíjet výrobu s vysokou přidanou hodnotou</w:t>
      </w:r>
      <w:r w:rsidRPr="00681A2E">
        <w:t xml:space="preserve">. </w:t>
      </w:r>
      <w:r>
        <w:t xml:space="preserve">Podpořené inovace měli </w:t>
      </w:r>
      <w:r w:rsidRPr="00696674">
        <w:rPr>
          <w:b/>
        </w:rPr>
        <w:t>především charakter produktových a pro</w:t>
      </w:r>
      <w:r>
        <w:rPr>
          <w:b/>
        </w:rPr>
        <w:t>cesních inovací, marketingové a </w:t>
      </w:r>
      <w:r w:rsidRPr="00696674">
        <w:rPr>
          <w:b/>
        </w:rPr>
        <w:t xml:space="preserve">organizační inovace jsou realizované pouze jako doplňkové. </w:t>
      </w:r>
    </w:p>
    <w:p w14:paraId="49BEF82E" w14:textId="4EDA2F89" w:rsidR="00516F22" w:rsidRPr="00980BDF" w:rsidRDefault="00214D86" w:rsidP="00193521">
      <w:pPr>
        <w:pStyle w:val="Bodyodsazene"/>
        <w:spacing w:before="0" w:after="60"/>
        <w:rPr>
          <w:rFonts w:asciiTheme="minorHAnsi" w:hAnsiTheme="minorHAnsi" w:cstheme="minorBidi"/>
          <w:color w:val="00000A"/>
          <w:szCs w:val="18"/>
        </w:rPr>
      </w:pPr>
      <w:r w:rsidRPr="00681A2E">
        <w:rPr>
          <w:b/>
        </w:rPr>
        <w:t>Velkým a přetrvávajícím nedostatkem implementace</w:t>
      </w:r>
      <w:r w:rsidRPr="00681A2E">
        <w:t xml:space="preserve"> programů SC 1.1 </w:t>
      </w:r>
      <w:r w:rsidRPr="00681A2E">
        <w:rPr>
          <w:b/>
        </w:rPr>
        <w:t>je enormní administrativní zátěž</w:t>
      </w:r>
      <w:r w:rsidRPr="00681A2E">
        <w:t xml:space="preserve"> příjemce spojená s procesem podávání žádostí o podporu a následnou realizací podpořeného projektu. Negativní dopady se však neprojevují jen směrem k žadatelům a příjemcům, ale i na straně řídícího orgánu či dalších subjektů implementační struktury (API, nositelé ITI). Mezi nejčastěji zmiňované nedostatky patří komplikovanost dotačních podmínek, neefektivní práce s informačním systémem ISKP2014+/MS2014+ a nadměrné a opakované dokládání velkého množství dokumentů.</w:t>
      </w:r>
      <w:r w:rsidR="00FF158E">
        <w:t xml:space="preserve"> </w:t>
      </w:r>
      <w:r w:rsidR="00DF762A" w:rsidRPr="002C7AD4">
        <w:rPr>
          <w:rFonts w:asciiTheme="minorHAnsi" w:hAnsiTheme="minorHAnsi"/>
          <w:color w:val="auto"/>
          <w:szCs w:val="18"/>
        </w:rPr>
        <w:t xml:space="preserve">Nový informační systém MS2014+, který nahradil dobře fungující systém </w:t>
      </w:r>
      <w:proofErr w:type="spellStart"/>
      <w:r w:rsidR="00DF762A" w:rsidRPr="002C7AD4">
        <w:rPr>
          <w:rFonts w:asciiTheme="minorHAnsi" w:hAnsiTheme="minorHAnsi"/>
          <w:color w:val="auto"/>
          <w:szCs w:val="18"/>
        </w:rPr>
        <w:t>eAccount</w:t>
      </w:r>
      <w:proofErr w:type="spellEnd"/>
      <w:r w:rsidR="00DF762A">
        <w:rPr>
          <w:rFonts w:asciiTheme="minorHAnsi" w:hAnsiTheme="minorHAnsi"/>
          <w:color w:val="auto"/>
          <w:szCs w:val="18"/>
        </w:rPr>
        <w:t>,</w:t>
      </w:r>
      <w:r w:rsidR="00DF762A" w:rsidRPr="002C7AD4">
        <w:rPr>
          <w:rFonts w:asciiTheme="minorHAnsi" w:hAnsiTheme="minorHAnsi"/>
          <w:color w:val="auto"/>
          <w:szCs w:val="18"/>
        </w:rPr>
        <w:t xml:space="preserve"> postrádá celou řadu funkcionalit, vede k celé řadě duplicitního zadávání a nahrávání údajů a dokumentů a je celkově uživatelsky méně přívětivý.</w:t>
      </w:r>
      <w:r w:rsidR="00516F22">
        <w:rPr>
          <w:rFonts w:asciiTheme="minorHAnsi" w:hAnsiTheme="minorHAnsi"/>
          <w:color w:val="auto"/>
          <w:szCs w:val="18"/>
        </w:rPr>
        <w:t xml:space="preserve"> </w:t>
      </w:r>
      <w:r w:rsidR="00516F22" w:rsidRPr="002C7AD4">
        <w:rPr>
          <w:rFonts w:asciiTheme="minorHAnsi" w:hAnsiTheme="minorHAnsi" w:cstheme="minorBidi"/>
          <w:color w:val="auto"/>
          <w:szCs w:val="18"/>
        </w:rPr>
        <w:t>Nedostatečné zajištění kontinuity na ŘO a zprostředkovatelském subjektu</w:t>
      </w:r>
      <w:r w:rsidR="00FF158E">
        <w:rPr>
          <w:rFonts w:asciiTheme="minorHAnsi" w:hAnsiTheme="minorHAnsi" w:cstheme="minorBidi"/>
          <w:color w:val="auto"/>
          <w:szCs w:val="18"/>
        </w:rPr>
        <w:t xml:space="preserve"> mělo nezanedbatelný negativní efekt na efektivitu poskytované podpory</w:t>
      </w:r>
      <w:r w:rsidR="00516F22" w:rsidRPr="002C7AD4">
        <w:rPr>
          <w:rFonts w:asciiTheme="minorHAnsi" w:hAnsiTheme="minorHAnsi" w:cstheme="minorBidi"/>
          <w:color w:val="auto"/>
          <w:szCs w:val="18"/>
        </w:rPr>
        <w:t xml:space="preserve">. </w:t>
      </w:r>
      <w:r w:rsidR="00516F22" w:rsidRPr="00193521">
        <w:rPr>
          <w:rFonts w:asciiTheme="minorHAnsi" w:hAnsiTheme="minorHAnsi" w:cstheme="minorBidi"/>
          <w:b/>
          <w:color w:val="auto"/>
          <w:szCs w:val="18"/>
        </w:rPr>
        <w:t>Fluktuace lidí</w:t>
      </w:r>
      <w:r w:rsidR="00516F22" w:rsidRPr="002C7AD4">
        <w:rPr>
          <w:rFonts w:asciiTheme="minorHAnsi" w:hAnsiTheme="minorHAnsi" w:cstheme="minorBidi"/>
          <w:color w:val="auto"/>
          <w:szCs w:val="18"/>
        </w:rPr>
        <w:t xml:space="preserve"> je jedním z faktorů ovlivňující</w:t>
      </w:r>
      <w:r w:rsidR="00516F22">
        <w:rPr>
          <w:rFonts w:asciiTheme="minorHAnsi" w:hAnsiTheme="minorHAnsi" w:cstheme="minorBidi"/>
          <w:color w:val="auto"/>
          <w:szCs w:val="18"/>
        </w:rPr>
        <w:t>ch</w:t>
      </w:r>
      <w:r w:rsidR="00516F22" w:rsidRPr="002C7AD4">
        <w:rPr>
          <w:rFonts w:asciiTheme="minorHAnsi" w:hAnsiTheme="minorHAnsi" w:cstheme="minorBidi"/>
          <w:color w:val="auto"/>
          <w:szCs w:val="18"/>
        </w:rPr>
        <w:t xml:space="preserve"> </w:t>
      </w:r>
      <w:r w:rsidR="00516F22" w:rsidRPr="00193521">
        <w:rPr>
          <w:rFonts w:asciiTheme="minorHAnsi" w:hAnsiTheme="minorHAnsi" w:cstheme="minorBidi"/>
          <w:b/>
          <w:color w:val="auto"/>
          <w:szCs w:val="18"/>
        </w:rPr>
        <w:t>vznik časových zpoždění</w:t>
      </w:r>
      <w:r w:rsidR="00516F22" w:rsidRPr="002C7AD4">
        <w:rPr>
          <w:rFonts w:asciiTheme="minorHAnsi" w:hAnsiTheme="minorHAnsi" w:cstheme="minorBidi"/>
          <w:color w:val="auto"/>
          <w:szCs w:val="18"/>
        </w:rPr>
        <w:t xml:space="preserve"> při hodnocení a schvalování projektů, při projektovém managementu na straně poskytovatele dotace. Zároveň </w:t>
      </w:r>
      <w:r w:rsidR="00516F22" w:rsidRPr="00193521">
        <w:rPr>
          <w:rFonts w:asciiTheme="minorHAnsi" w:hAnsiTheme="minorHAnsi" w:cstheme="minorBidi"/>
          <w:b/>
          <w:color w:val="auto"/>
          <w:szCs w:val="18"/>
        </w:rPr>
        <w:t>fluktuace vede k rozkolísávání výkladu pravidel a metodik a jejich odlišné interpretaci</w:t>
      </w:r>
      <w:r w:rsidR="00516F22" w:rsidRPr="002C7AD4">
        <w:rPr>
          <w:rFonts w:asciiTheme="minorHAnsi" w:hAnsiTheme="minorHAnsi" w:cstheme="minorBidi"/>
          <w:color w:val="auto"/>
          <w:szCs w:val="18"/>
        </w:rPr>
        <w:t>.</w:t>
      </w:r>
    </w:p>
    <w:p w14:paraId="3E43DC2C" w14:textId="77777777" w:rsidR="00516F22" w:rsidRDefault="00516F22" w:rsidP="00DF762A">
      <w:pPr>
        <w:jc w:val="both"/>
      </w:pPr>
      <w:r>
        <w:t>Nastavení programů podpory</w:t>
      </w:r>
      <w:r w:rsidR="00FF158E">
        <w:t xml:space="preserve"> také</w:t>
      </w:r>
      <w:r>
        <w:t xml:space="preserve"> setrvačně nedostatečně reflektuje dynamické socioekonomické a globální tržní změny. Samotné hodnocení stupně inovativnosti dle škály Prof. Františka Valenty se stává stále více problematičtější např. v případě inovací Průmyslu 4.0.</w:t>
      </w:r>
    </w:p>
    <w:p w14:paraId="4C624732" w14:textId="77777777" w:rsidR="000C321B" w:rsidRPr="009C67FD" w:rsidRDefault="00193521" w:rsidP="00193521">
      <w:pPr>
        <w:spacing w:after="120"/>
      </w:pPr>
      <w:r>
        <w:t xml:space="preserve">Dalším faktorem ovlivňujícím efektivnost podpory je </w:t>
      </w:r>
      <w:r w:rsidRPr="00193521">
        <w:rPr>
          <w:b/>
        </w:rPr>
        <w:t>proces a kritéria hodnocení žádostí</w:t>
      </w:r>
      <w:r>
        <w:t xml:space="preserve">. </w:t>
      </w:r>
      <w:r w:rsidR="000C321B" w:rsidRPr="009C67FD">
        <w:t xml:space="preserve">Z důvodů příliš dlouhého dvoukolového hodnocení a nedostatku nezávislých externích hodnotitelů řídící orgán zavedl proces vnitřních hodnotitelů projektových žádostí, kteří nemohou disponovat odbornou kvalifikací k věcnému hodnocení projektů z různých technologických a výzkumných oblastí, a hodnocení žádostí je tak zaměřeno více na hodnocení formálních náležitostí a ekonomických aspektů žádosti. Dle tvrzení dotázaných tato skutečnost může vést ke zvýhodnění v případě projektových žádostí velkých podniků nebo žádosti vzniklých za podpory poradenských společností, které naplňují formální náležitosti a podmínky žádostí. Naopak mezi zamítnutými žádostmi mohou být projekty s vyšším inovačním potenciálem, které však byly vyřazeny na základě formálních nedostatků. </w:t>
      </w:r>
    </w:p>
    <w:p w14:paraId="71522061" w14:textId="77777777" w:rsidR="000C321B" w:rsidRPr="000C321B" w:rsidRDefault="00193521" w:rsidP="00193521">
      <w:pPr>
        <w:spacing w:after="120"/>
        <w:rPr>
          <w:b/>
        </w:rPr>
      </w:pPr>
      <w:r>
        <w:t>Zprostředkující subjekt,</w:t>
      </w:r>
      <w:r w:rsidR="000C321B" w:rsidRPr="009C67FD">
        <w:t> A</w:t>
      </w:r>
      <w:r>
        <w:t xml:space="preserve">gentura pro </w:t>
      </w:r>
      <w:r w:rsidR="000C321B" w:rsidRPr="009C67FD">
        <w:t>P</w:t>
      </w:r>
      <w:r>
        <w:t xml:space="preserve">odnikání a </w:t>
      </w:r>
      <w:r w:rsidR="000C321B" w:rsidRPr="009C67FD">
        <w:t>I</w:t>
      </w:r>
      <w:r>
        <w:t>novace</w:t>
      </w:r>
      <w:r w:rsidR="000C321B" w:rsidRPr="009C67FD">
        <w:t xml:space="preserve"> </w:t>
      </w:r>
      <w:r>
        <w:t xml:space="preserve">je </w:t>
      </w:r>
      <w:r w:rsidRPr="00193521">
        <w:rPr>
          <w:b/>
        </w:rPr>
        <w:t>dlouhodobě v</w:t>
      </w:r>
      <w:r>
        <w:rPr>
          <w:b/>
        </w:rPr>
        <w:t xml:space="preserve"> personálním </w:t>
      </w:r>
      <w:r w:rsidR="000C321B" w:rsidRPr="00193521">
        <w:rPr>
          <w:b/>
        </w:rPr>
        <w:t>podstav</w:t>
      </w:r>
      <w:r w:rsidRPr="00193521">
        <w:rPr>
          <w:b/>
        </w:rPr>
        <w:t>u</w:t>
      </w:r>
      <w:r w:rsidRPr="00193521">
        <w:t>,</w:t>
      </w:r>
      <w:r>
        <w:t xml:space="preserve"> především na úrovni</w:t>
      </w:r>
      <w:r w:rsidR="000C321B" w:rsidRPr="00193521">
        <w:t xml:space="preserve"> projektových manažerů</w:t>
      </w:r>
      <w:r w:rsidRPr="00193521">
        <w:t>,</w:t>
      </w:r>
      <w:r>
        <w:t xml:space="preserve"> kde</w:t>
      </w:r>
      <w:r w:rsidR="000C321B" w:rsidRPr="009C67FD">
        <w:t xml:space="preserve"> na každého vychází více jak 100 projektů. V tomto personálním obsazení a nedostatečné technické podpoře </w:t>
      </w:r>
      <w:r w:rsidR="000C321B" w:rsidRPr="00193521">
        <w:rPr>
          <w:b/>
        </w:rPr>
        <w:t>není reálně možné vykonávat kontrolu projektů na místě jejich realizace a veškerá kontrola se odehrává pouze formalisticky</w:t>
      </w:r>
      <w:r w:rsidR="000C321B" w:rsidRPr="009C67FD">
        <w:t xml:space="preserve">. V případě vyhlášení dalších dvou výzev (Inovace, Aplikace) panuje reálná obava z dodržení termínů hodnocení a schválení žádostí. </w:t>
      </w:r>
    </w:p>
    <w:p w14:paraId="76B1138F" w14:textId="77777777" w:rsidR="009F6C51" w:rsidRDefault="009F6C51" w:rsidP="009F6C51">
      <w:pPr>
        <w:jc w:val="both"/>
      </w:pPr>
    </w:p>
    <w:p w14:paraId="02484B91" w14:textId="77777777" w:rsidR="00107B42" w:rsidRDefault="008727E9" w:rsidP="00152DAD">
      <w:pPr>
        <w:pStyle w:val="Heading1"/>
        <w:numPr>
          <w:ilvl w:val="1"/>
          <w:numId w:val="2"/>
        </w:numPr>
        <w:tabs>
          <w:tab w:val="left" w:pos="851"/>
        </w:tabs>
        <w:spacing w:before="240" w:after="120"/>
        <w:ind w:left="714" w:hanging="357"/>
      </w:pPr>
      <w:bookmarkStart w:id="92" w:name="_Toc8825229"/>
      <w:bookmarkStart w:id="93" w:name="_Toc11679644"/>
      <w:r>
        <w:t>Doporučení OP PIK do konce programového období</w:t>
      </w:r>
      <w:bookmarkEnd w:id="92"/>
      <w:bookmarkEnd w:id="93"/>
    </w:p>
    <w:p w14:paraId="0EF6831F" w14:textId="77777777" w:rsidR="00620AC6" w:rsidRDefault="0058696B" w:rsidP="00BC6DA7">
      <w:pPr>
        <w:jc w:val="both"/>
      </w:pPr>
      <w:r>
        <w:t xml:space="preserve">V této části Zpracovatel na základě zjištění </w:t>
      </w:r>
      <w:r w:rsidR="00D966FE">
        <w:t xml:space="preserve">z evaluačních metod </w:t>
      </w:r>
      <w:r w:rsidR="00BC6DA7">
        <w:t>zformulova</w:t>
      </w:r>
      <w:r w:rsidR="00D966FE">
        <w:t>l</w:t>
      </w:r>
      <w:r w:rsidR="00BC6DA7">
        <w:t xml:space="preserve"> návrhy </w:t>
      </w:r>
      <w:r>
        <w:t>opatření</w:t>
      </w:r>
      <w:r w:rsidR="00620AC6">
        <w:t xml:space="preserve"> s ohledem na úspěšné naplnění výkonnostních parametrů SC 1.1 (alokace a milníky)</w:t>
      </w:r>
      <w:r w:rsidR="00BC6DA7">
        <w:t xml:space="preserve"> do konce programového období. Návrhy nejsou řazeny</w:t>
      </w:r>
      <w:r w:rsidR="00D966FE">
        <w:t>,</w:t>
      </w:r>
      <w:r w:rsidR="00BC6DA7">
        <w:t xml:space="preserve"> ani jim není přiřazován stupeň důležitosti, implementace každého z nich přispěje k úspěšnému dosažení SC 1.1. Zároveň následující výčet nezohledňuje a nehodnotí, zda a v jaké míře již příslušné návrhy </w:t>
      </w:r>
      <w:r w:rsidR="00D966FE">
        <w:t>ŘO</w:t>
      </w:r>
      <w:r w:rsidR="00BC6DA7">
        <w:t xml:space="preserve"> realizuje.</w:t>
      </w:r>
      <w:r w:rsidR="00E00C9D">
        <w:t xml:space="preserve"> Tabulka níže obsahuje komplexní výčet doporučení umožňujících zefektivnění programů v rámci SC 1.1, včetně doporučení, které spadají mimo gesce ŘO.</w:t>
      </w:r>
    </w:p>
    <w:p w14:paraId="221105FE" w14:textId="77777777" w:rsidR="007A7B9F" w:rsidRPr="00CE2FF0" w:rsidRDefault="007A7B9F" w:rsidP="00BC6DA7">
      <w:pPr>
        <w:jc w:val="both"/>
        <w:rPr>
          <w:i/>
        </w:rPr>
      </w:pPr>
      <w:r w:rsidRPr="00CE2FF0">
        <w:rPr>
          <w:i/>
        </w:rPr>
        <w:t xml:space="preserve">Přehled evaluačních doporučení v tabulce bude po odsouhlasení finální verze Závěrečné zprávy vložen do systému IS KP 2014+, do modulu Evaluace. </w:t>
      </w:r>
    </w:p>
    <w:p w14:paraId="021FB0ED" w14:textId="77777777" w:rsidR="00AF7D67" w:rsidRDefault="00AF7D67" w:rsidP="00AF7D67">
      <w:pPr>
        <w:spacing w:after="200" w:line="276" w:lineRule="auto"/>
        <w:jc w:val="both"/>
      </w:pPr>
      <w:r w:rsidRPr="00C2329B">
        <w:t>Ze stávajících zjištění Dodavatele vyplývají následující klíčová doporučení pro nastavení OP PIK</w:t>
      </w:r>
      <w:r>
        <w:t xml:space="preserve"> do budoucna</w:t>
      </w:r>
      <w:r w:rsidRPr="00C2329B">
        <w:t>:</w:t>
      </w:r>
    </w:p>
    <w:p w14:paraId="14D32ACC" w14:textId="77777777" w:rsidR="00AF7D67" w:rsidRPr="009A72EC" w:rsidRDefault="00AF7D67" w:rsidP="00AF7D67">
      <w:pPr>
        <w:spacing w:after="200" w:line="276" w:lineRule="auto"/>
        <w:jc w:val="both"/>
        <w:rPr>
          <w:b/>
        </w:rPr>
      </w:pPr>
      <w:r w:rsidRPr="009A72EC">
        <w:rPr>
          <w:b/>
        </w:rPr>
        <w:t>Doporučení OP PIK do konce programového období</w:t>
      </w:r>
    </w:p>
    <w:tbl>
      <w:tblPr>
        <w:tblStyle w:val="ListTable3-Accent1"/>
        <w:tblW w:w="9923" w:type="dxa"/>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1871"/>
        <w:gridCol w:w="445"/>
        <w:gridCol w:w="7607"/>
      </w:tblGrid>
      <w:tr w:rsidR="00AF7D67" w:rsidRPr="004D390C" w14:paraId="74F8EC28" w14:textId="77777777" w:rsidTr="00CE2FF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871" w:type="dxa"/>
          </w:tcPr>
          <w:p w14:paraId="041D9E85" w14:textId="77777777" w:rsidR="00AF7D67" w:rsidRPr="009A72EC" w:rsidRDefault="00AF7D67" w:rsidP="00CE2FF0">
            <w:pPr>
              <w:spacing w:after="0" w:line="0" w:lineRule="atLeast"/>
              <w:rPr>
                <w:color w:val="FFFFFF" w:themeColor="background1"/>
              </w:rPr>
            </w:pPr>
            <w:r w:rsidRPr="009A72EC">
              <w:rPr>
                <w:color w:val="FFFFFF" w:themeColor="background1"/>
              </w:rPr>
              <w:t>Oblast</w:t>
            </w:r>
          </w:p>
        </w:tc>
        <w:tc>
          <w:tcPr>
            <w:tcW w:w="0" w:type="auto"/>
          </w:tcPr>
          <w:p w14:paraId="7F570697" w14:textId="77777777" w:rsidR="00AF7D67" w:rsidRPr="009A72EC" w:rsidRDefault="00AF7D67" w:rsidP="00CE2FF0">
            <w:pPr>
              <w:spacing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9A72EC">
              <w:rPr>
                <w:color w:val="FFFFFF" w:themeColor="background1"/>
              </w:rPr>
              <w:t>Č.</w:t>
            </w:r>
          </w:p>
        </w:tc>
        <w:tc>
          <w:tcPr>
            <w:tcW w:w="7607" w:type="dxa"/>
          </w:tcPr>
          <w:p w14:paraId="48A4CA7D" w14:textId="77777777" w:rsidR="00AF7D67" w:rsidRPr="009A72EC" w:rsidRDefault="00AF7D67" w:rsidP="00CE2FF0">
            <w:pPr>
              <w:spacing w:after="0" w:line="0" w:lineRule="atLeast"/>
              <w:cnfStyle w:val="100000000000" w:firstRow="1" w:lastRow="0" w:firstColumn="0" w:lastColumn="0" w:oddVBand="0" w:evenVBand="0" w:oddHBand="0" w:evenHBand="0" w:firstRowFirstColumn="0" w:firstRowLastColumn="0" w:lastRowFirstColumn="0" w:lastRowLastColumn="0"/>
              <w:rPr>
                <w:color w:val="FFFFFF" w:themeColor="background1"/>
              </w:rPr>
            </w:pPr>
            <w:r w:rsidRPr="009A72EC">
              <w:rPr>
                <w:color w:val="FFFFFF" w:themeColor="background1"/>
              </w:rPr>
              <w:t>Doporučení</w:t>
            </w:r>
          </w:p>
        </w:tc>
      </w:tr>
      <w:tr w:rsidR="00AF7D67" w:rsidRPr="004D390C" w14:paraId="5AA13B44"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none" w:sz="0" w:space="0" w:color="auto"/>
              <w:bottom w:val="none" w:sz="0" w:space="0" w:color="auto"/>
              <w:right w:val="none" w:sz="0" w:space="0" w:color="auto"/>
            </w:tcBorders>
          </w:tcPr>
          <w:p w14:paraId="0C88B711" w14:textId="77777777" w:rsidR="00AF7D67" w:rsidRPr="004D390C" w:rsidRDefault="00AF7D67" w:rsidP="00CE2FF0">
            <w:pPr>
              <w:spacing w:after="0" w:line="0" w:lineRule="atLeast"/>
            </w:pPr>
            <w:r w:rsidRPr="004D390C">
              <w:t>Řízení OP</w:t>
            </w:r>
          </w:p>
        </w:tc>
        <w:tc>
          <w:tcPr>
            <w:tcW w:w="0" w:type="auto"/>
            <w:tcBorders>
              <w:top w:val="none" w:sz="0" w:space="0" w:color="auto"/>
              <w:bottom w:val="none" w:sz="0" w:space="0" w:color="auto"/>
            </w:tcBorders>
          </w:tcPr>
          <w:p w14:paraId="73E3B674"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rsidRPr="004D390C">
              <w:t>1</w:t>
            </w:r>
          </w:p>
        </w:tc>
        <w:tc>
          <w:tcPr>
            <w:tcW w:w="7607" w:type="dxa"/>
            <w:tcBorders>
              <w:top w:val="none" w:sz="0" w:space="0" w:color="auto"/>
              <w:bottom w:val="none" w:sz="0" w:space="0" w:color="auto"/>
            </w:tcBorders>
          </w:tcPr>
          <w:p w14:paraId="01DB7196"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t>A</w:t>
            </w:r>
            <w:r w:rsidRPr="004D390C">
              <w:t>ktualizovat plán výzev do konce programového období umožňující vyčerpání alokace</w:t>
            </w:r>
            <w:r>
              <w:t>. V</w:t>
            </w:r>
            <w:r w:rsidRPr="005867E4">
              <w:t>yhlásit výzvy v dostatečném objemu finančních prostředků.</w:t>
            </w:r>
          </w:p>
        </w:tc>
      </w:tr>
      <w:tr w:rsidR="00AF7D67" w:rsidRPr="004D390C" w14:paraId="70A39513"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right w:val="none" w:sz="0" w:space="0" w:color="auto"/>
            </w:tcBorders>
          </w:tcPr>
          <w:p w14:paraId="766B8D3F" w14:textId="77777777" w:rsidR="00AF7D67" w:rsidRPr="004D390C" w:rsidRDefault="00AF7D67" w:rsidP="00CE2FF0">
            <w:pPr>
              <w:spacing w:after="0" w:line="0" w:lineRule="atLeast"/>
            </w:pPr>
          </w:p>
        </w:tc>
        <w:tc>
          <w:tcPr>
            <w:tcW w:w="0" w:type="auto"/>
          </w:tcPr>
          <w:p w14:paraId="1716B029"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2</w:t>
            </w:r>
          </w:p>
        </w:tc>
        <w:tc>
          <w:tcPr>
            <w:tcW w:w="7607" w:type="dxa"/>
          </w:tcPr>
          <w:p w14:paraId="5C70DB8D"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pPr>
            <w:r w:rsidRPr="004D390C">
              <w:rPr>
                <w:rFonts w:cs="Calibri"/>
              </w:rPr>
              <w:t>Dokončit hodnocení a schvalování projektových žádostí z dosud vyhlášených výzev, aby bylo zřejmé, jak velkou část a</w:t>
            </w:r>
            <w:r>
              <w:rPr>
                <w:rFonts w:cs="Calibri"/>
              </w:rPr>
              <w:t xml:space="preserve">lokace se podařilo </w:t>
            </w:r>
            <w:proofErr w:type="spellStart"/>
            <w:r>
              <w:rPr>
                <w:rFonts w:cs="Calibri"/>
              </w:rPr>
              <w:t>zazávazkovat</w:t>
            </w:r>
            <w:proofErr w:type="spellEnd"/>
          </w:p>
        </w:tc>
      </w:tr>
      <w:tr w:rsidR="00AF7D67" w:rsidRPr="004D390C" w14:paraId="69068AE4"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4E9AE679"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27889171"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3</w:t>
            </w:r>
          </w:p>
        </w:tc>
        <w:tc>
          <w:tcPr>
            <w:tcW w:w="7607" w:type="dxa"/>
            <w:tcBorders>
              <w:top w:val="none" w:sz="0" w:space="0" w:color="auto"/>
              <w:bottom w:val="none" w:sz="0" w:space="0" w:color="auto"/>
            </w:tcBorders>
          </w:tcPr>
          <w:p w14:paraId="3D405B97"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rsidRPr="004D390C">
              <w:rPr>
                <w:rFonts w:cs="Calibri"/>
              </w:rPr>
              <w:t>Průběžně monitorovat a vyhodnocovat implementaci výzev v rámci ITI a včas iniciovat změnu alokace v případech, kdy nositelé ITI nebudou schopni plánovanou alokaci vyčerpat</w:t>
            </w:r>
          </w:p>
        </w:tc>
      </w:tr>
      <w:tr w:rsidR="00AF7D67" w:rsidRPr="004D390C" w14:paraId="295ECCEC"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val="restart"/>
            <w:tcBorders>
              <w:right w:val="none" w:sz="0" w:space="0" w:color="auto"/>
            </w:tcBorders>
          </w:tcPr>
          <w:p w14:paraId="3B0B4144" w14:textId="77777777" w:rsidR="00AF7D67" w:rsidRPr="004D390C" w:rsidRDefault="00AF7D67" w:rsidP="00CE2FF0">
            <w:pPr>
              <w:spacing w:after="0" w:line="0" w:lineRule="atLeast"/>
            </w:pPr>
            <w:r w:rsidRPr="004D390C">
              <w:t>Řízení výzev</w:t>
            </w:r>
          </w:p>
        </w:tc>
        <w:tc>
          <w:tcPr>
            <w:tcW w:w="0" w:type="auto"/>
          </w:tcPr>
          <w:p w14:paraId="39D3B1E2"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pPr>
            <w:r w:rsidRPr="004D390C">
              <w:t>4</w:t>
            </w:r>
          </w:p>
        </w:tc>
        <w:tc>
          <w:tcPr>
            <w:tcW w:w="7607" w:type="dxa"/>
          </w:tcPr>
          <w:p w14:paraId="095BFF53"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t>Urychlit schvalovací procesy projektových žádostí, změnových řízení</w:t>
            </w:r>
            <w:r>
              <w:t xml:space="preserve"> a žádostí o </w:t>
            </w:r>
            <w:r w:rsidRPr="004D390C">
              <w:t>platbu, včetn</w:t>
            </w:r>
            <w:r>
              <w:t>ě</w:t>
            </w:r>
            <w:r w:rsidRPr="004D390C">
              <w:t xml:space="preserve"> automatizace procesů a zajištění personální kapacity</w:t>
            </w:r>
          </w:p>
        </w:tc>
      </w:tr>
      <w:tr w:rsidR="00AF7D67" w:rsidRPr="004D390C" w14:paraId="7205EA22"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34E8554C"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501D1D19"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5</w:t>
            </w:r>
          </w:p>
        </w:tc>
        <w:tc>
          <w:tcPr>
            <w:tcW w:w="7607" w:type="dxa"/>
            <w:tcBorders>
              <w:top w:val="none" w:sz="0" w:space="0" w:color="auto"/>
              <w:bottom w:val="none" w:sz="0" w:space="0" w:color="auto"/>
            </w:tcBorders>
          </w:tcPr>
          <w:p w14:paraId="07F235C8"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Snížit administrativní zátěž spojenou s předkládáním žádostí i realizací podpořených projektů</w:t>
            </w:r>
            <w:r>
              <w:rPr>
                <w:rFonts w:cs="Calibri"/>
              </w:rPr>
              <w:t xml:space="preserve"> </w:t>
            </w:r>
            <w:r>
              <w:t>(</w:t>
            </w:r>
            <w:r w:rsidRPr="00165329">
              <w:t>zejména zjednodušit hodnotící proces a kontrolní mechanismy</w:t>
            </w:r>
            <w:r>
              <w:t>;</w:t>
            </w:r>
            <w:r w:rsidRPr="00165329">
              <w:t xml:space="preserve"> zjednodušit pravidla pro výběr dodavatele a zadávání veřejných zakázek</w:t>
            </w:r>
            <w:r>
              <w:t>; omezit duplicitní zadávání údajů, dokládání a nahrávání stejných nebo zbytných dokumentů do ISKP; zjednodušit proces žádosti o platbu)</w:t>
            </w:r>
          </w:p>
        </w:tc>
      </w:tr>
      <w:tr w:rsidR="00AF7D67" w:rsidRPr="004D390C" w14:paraId="523EC27A"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right w:val="none" w:sz="0" w:space="0" w:color="auto"/>
            </w:tcBorders>
          </w:tcPr>
          <w:p w14:paraId="67F40832" w14:textId="77777777" w:rsidR="00AF7D67" w:rsidRPr="004D390C" w:rsidRDefault="00AF7D67" w:rsidP="00CE2FF0">
            <w:pPr>
              <w:spacing w:after="0" w:line="0" w:lineRule="atLeast"/>
            </w:pPr>
          </w:p>
        </w:tc>
        <w:tc>
          <w:tcPr>
            <w:tcW w:w="0" w:type="auto"/>
          </w:tcPr>
          <w:p w14:paraId="17EB4B18"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6</w:t>
            </w:r>
          </w:p>
        </w:tc>
        <w:tc>
          <w:tcPr>
            <w:tcW w:w="7607" w:type="dxa"/>
          </w:tcPr>
          <w:p w14:paraId="38ACA4E5"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Usilovat o optimalizaci elektronického prostředí MS2014+ pro potřeby OP PIK</w:t>
            </w:r>
            <w:r>
              <w:rPr>
                <w:rFonts w:cs="Calibri"/>
              </w:rPr>
              <w:t xml:space="preserve"> </w:t>
            </w:r>
            <w:r w:rsidRPr="00165329">
              <w:rPr>
                <w:rFonts w:cs="Calibri"/>
              </w:rPr>
              <w:t xml:space="preserve">(např. </w:t>
            </w:r>
            <w:r w:rsidRPr="00165329">
              <w:t>automatizovaná kontrol</w:t>
            </w:r>
            <w:r>
              <w:t>a</w:t>
            </w:r>
            <w:r w:rsidRPr="00165329">
              <w:t>, nahrávání dokumentů, omezení potřeby duplicitního zadávání dat a nahrávání dokumentů</w:t>
            </w:r>
            <w:r>
              <w:t>; umožnění dalších funkcionalit a generování automatických reportů</w:t>
            </w:r>
            <w:r w:rsidRPr="00165329">
              <w:t>)</w:t>
            </w:r>
          </w:p>
        </w:tc>
      </w:tr>
      <w:tr w:rsidR="00AF7D67" w:rsidRPr="004D390C" w14:paraId="5A512F34"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4CB7A1A1"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3BC07920"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7</w:t>
            </w:r>
          </w:p>
        </w:tc>
        <w:tc>
          <w:tcPr>
            <w:tcW w:w="7607" w:type="dxa"/>
            <w:tcBorders>
              <w:top w:val="none" w:sz="0" w:space="0" w:color="auto"/>
              <w:bottom w:val="none" w:sz="0" w:space="0" w:color="auto"/>
            </w:tcBorders>
          </w:tcPr>
          <w:p w14:paraId="61F3A015"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Zjednodušit podmínky nově vyhlašovaných výzev</w:t>
            </w:r>
            <w:r>
              <w:rPr>
                <w:rFonts w:cs="Calibri"/>
              </w:rPr>
              <w:t xml:space="preserve"> (např. navýšit alokaci a podpořit více projektů v rámci realizovaných výzev; zjednodušit výpočet způsobilých výdajů; omezit duplicitní zadávání údajů a dokumentů; zjednodušit a neměnit pravidla a podmínky výzev)</w:t>
            </w:r>
          </w:p>
        </w:tc>
      </w:tr>
      <w:tr w:rsidR="00AF7D67" w:rsidRPr="004D390C" w14:paraId="5B2BD31A"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val="restart"/>
            <w:tcBorders>
              <w:right w:val="none" w:sz="0" w:space="0" w:color="auto"/>
            </w:tcBorders>
          </w:tcPr>
          <w:p w14:paraId="778CB51B" w14:textId="77777777" w:rsidR="00AF7D67" w:rsidRPr="004D390C" w:rsidRDefault="00AF7D67" w:rsidP="00CE2FF0">
            <w:pPr>
              <w:spacing w:after="0" w:line="0" w:lineRule="atLeast"/>
            </w:pPr>
            <w:r w:rsidRPr="004D390C">
              <w:rPr>
                <w:color w:val="auto"/>
              </w:rPr>
              <w:t>Realizace projektů, metodické řízení a podpora příjemců</w:t>
            </w:r>
          </w:p>
        </w:tc>
        <w:tc>
          <w:tcPr>
            <w:tcW w:w="0" w:type="auto"/>
          </w:tcPr>
          <w:p w14:paraId="6C0CB721"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8</w:t>
            </w:r>
          </w:p>
        </w:tc>
        <w:tc>
          <w:tcPr>
            <w:tcW w:w="7607" w:type="dxa"/>
          </w:tcPr>
          <w:p w14:paraId="3EDA639A"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Minimalizovat změny metodických pravidel</w:t>
            </w:r>
          </w:p>
        </w:tc>
      </w:tr>
      <w:tr w:rsidR="00AF7D67" w:rsidRPr="004D390C" w14:paraId="71906AB6"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3B4E6336"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4940F57E"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9</w:t>
            </w:r>
          </w:p>
        </w:tc>
        <w:tc>
          <w:tcPr>
            <w:tcW w:w="7607" w:type="dxa"/>
            <w:tcBorders>
              <w:top w:val="none" w:sz="0" w:space="0" w:color="auto"/>
              <w:bottom w:val="none" w:sz="0" w:space="0" w:color="auto"/>
            </w:tcBorders>
          </w:tcPr>
          <w:p w14:paraId="5C16CBAC"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Zajistit jednoznačný a závazný výklad metodických pravidel</w:t>
            </w:r>
          </w:p>
        </w:tc>
      </w:tr>
      <w:tr w:rsidR="00AF7D67" w:rsidRPr="004D390C" w14:paraId="15793A55"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right w:val="none" w:sz="0" w:space="0" w:color="auto"/>
            </w:tcBorders>
          </w:tcPr>
          <w:p w14:paraId="4C5AB12B" w14:textId="77777777" w:rsidR="00AF7D67" w:rsidRPr="004D390C" w:rsidRDefault="00AF7D67" w:rsidP="00CE2FF0">
            <w:pPr>
              <w:spacing w:after="0" w:line="0" w:lineRule="atLeast"/>
            </w:pPr>
          </w:p>
        </w:tc>
        <w:tc>
          <w:tcPr>
            <w:tcW w:w="0" w:type="auto"/>
          </w:tcPr>
          <w:p w14:paraId="4E4B8B92"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10</w:t>
            </w:r>
          </w:p>
        </w:tc>
        <w:tc>
          <w:tcPr>
            <w:tcW w:w="7607" w:type="dxa"/>
          </w:tcPr>
          <w:p w14:paraId="43364EC9"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rPr>
                <w:rFonts w:cs="Calibri"/>
              </w:rPr>
              <w:t xml:space="preserve">Posílit </w:t>
            </w:r>
            <w:proofErr w:type="spellStart"/>
            <w:r w:rsidRPr="004D390C">
              <w:rPr>
                <w:rFonts w:cs="Calibri"/>
              </w:rPr>
              <w:t>proklientský</w:t>
            </w:r>
            <w:proofErr w:type="spellEnd"/>
            <w:r w:rsidRPr="004D390C">
              <w:rPr>
                <w:rFonts w:cs="Calibri"/>
              </w:rPr>
              <w:t xml:space="preserve"> přístup – posílit roli projektového manažera jako kontaktní osoby, optimalizovat komunikační kanály, </w:t>
            </w:r>
            <w:r>
              <w:rPr>
                <w:rFonts w:cs="Calibri"/>
              </w:rPr>
              <w:t>r</w:t>
            </w:r>
            <w:r w:rsidRPr="004D390C">
              <w:rPr>
                <w:rFonts w:cs="Calibri"/>
              </w:rPr>
              <w:t xml:space="preserve">ealizovat podpůrné aktivity pro žadatele a příjemce </w:t>
            </w:r>
            <w:r>
              <w:rPr>
                <w:rFonts w:cs="Calibri"/>
              </w:rPr>
              <w:t>(</w:t>
            </w:r>
            <w:r w:rsidRPr="00B0453A">
              <w:rPr>
                <w:rFonts w:cs="Calibri"/>
              </w:rPr>
              <w:t>pořádat informační semináře, poskytovat osobní konzultace, nabízet vzorové dokumenty apod.</w:t>
            </w:r>
            <w:r>
              <w:rPr>
                <w:rFonts w:cs="Calibri"/>
              </w:rPr>
              <w:t>)</w:t>
            </w:r>
          </w:p>
        </w:tc>
      </w:tr>
      <w:tr w:rsidR="00AF7D67" w:rsidRPr="004D390C" w14:paraId="4871B134"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66BF8307"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5C128D91"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rsidRPr="004D390C">
              <w:t>11</w:t>
            </w:r>
          </w:p>
        </w:tc>
        <w:tc>
          <w:tcPr>
            <w:tcW w:w="7607" w:type="dxa"/>
            <w:tcBorders>
              <w:top w:val="none" w:sz="0" w:space="0" w:color="auto"/>
              <w:bottom w:val="none" w:sz="0" w:space="0" w:color="auto"/>
            </w:tcBorders>
          </w:tcPr>
          <w:p w14:paraId="4ECDCE57"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rPr>
                <w:rFonts w:cs="Calibri"/>
              </w:rPr>
            </w:pPr>
            <w:r w:rsidRPr="004D390C">
              <w:rPr>
                <w:rFonts w:cs="Calibri"/>
              </w:rPr>
              <w:t>Zvýšit flexibilitu změnových řízení</w:t>
            </w:r>
          </w:p>
        </w:tc>
      </w:tr>
      <w:tr w:rsidR="00AF7D67" w:rsidRPr="004D390C" w14:paraId="44ED082E"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val="restart"/>
            <w:tcBorders>
              <w:right w:val="none" w:sz="0" w:space="0" w:color="auto"/>
            </w:tcBorders>
          </w:tcPr>
          <w:p w14:paraId="4CA7EA50" w14:textId="77777777" w:rsidR="00AF7D67" w:rsidRPr="004D390C" w:rsidRDefault="00AF7D67" w:rsidP="00CE2FF0">
            <w:pPr>
              <w:spacing w:after="0" w:line="0" w:lineRule="atLeast"/>
            </w:pPr>
            <w:r w:rsidRPr="004D390C">
              <w:t>Další</w:t>
            </w:r>
          </w:p>
        </w:tc>
        <w:tc>
          <w:tcPr>
            <w:tcW w:w="0" w:type="auto"/>
          </w:tcPr>
          <w:p w14:paraId="60D4D168"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pPr>
            <w:r w:rsidRPr="004D390C">
              <w:t>12</w:t>
            </w:r>
          </w:p>
        </w:tc>
        <w:tc>
          <w:tcPr>
            <w:tcW w:w="7607" w:type="dxa"/>
          </w:tcPr>
          <w:p w14:paraId="5F727485"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rPr>
                <w:rFonts w:cs="Calibri"/>
              </w:rPr>
            </w:pPr>
            <w:r w:rsidRPr="004D390C">
              <w:t xml:space="preserve">Zvýšit propagaci zahraničních programů podpory </w:t>
            </w:r>
            <w:proofErr w:type="spellStart"/>
            <w:r w:rsidRPr="004D390C">
              <w:t>VaVaI</w:t>
            </w:r>
            <w:proofErr w:type="spellEnd"/>
          </w:p>
        </w:tc>
      </w:tr>
      <w:tr w:rsidR="00AF7D67" w:rsidRPr="004D390C" w14:paraId="40BFD782"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545F9BD6"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72EA3363"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rsidRPr="004D390C">
              <w:t>13</w:t>
            </w:r>
          </w:p>
        </w:tc>
        <w:tc>
          <w:tcPr>
            <w:tcW w:w="7607" w:type="dxa"/>
            <w:tcBorders>
              <w:top w:val="none" w:sz="0" w:space="0" w:color="auto"/>
              <w:bottom w:val="none" w:sz="0" w:space="0" w:color="auto"/>
            </w:tcBorders>
          </w:tcPr>
          <w:p w14:paraId="1DC24438" w14:textId="77777777" w:rsidR="00AF7D67" w:rsidRPr="004D390C" w:rsidRDefault="00AF7D67" w:rsidP="00CE2FF0">
            <w:pPr>
              <w:spacing w:after="0" w:line="0" w:lineRule="atLeast"/>
              <w:jc w:val="both"/>
              <w:cnfStyle w:val="000000100000" w:firstRow="0" w:lastRow="0" w:firstColumn="0" w:lastColumn="0" w:oddVBand="0" w:evenVBand="0" w:oddHBand="1" w:evenHBand="0" w:firstRowFirstColumn="0" w:firstRowLastColumn="0" w:lastRowFirstColumn="0" w:lastRowLastColumn="0"/>
            </w:pPr>
            <w:r w:rsidRPr="004D390C">
              <w:t>Poskytovat technickou podporu při navazování zahraničních partnerství a při podávání žádostí do evropských programů podpory</w:t>
            </w:r>
          </w:p>
        </w:tc>
      </w:tr>
      <w:tr w:rsidR="00AF7D67" w:rsidRPr="004D390C" w14:paraId="452E70B5" w14:textId="77777777" w:rsidTr="00CE2FF0">
        <w:trPr>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right w:val="none" w:sz="0" w:space="0" w:color="auto"/>
            </w:tcBorders>
          </w:tcPr>
          <w:p w14:paraId="1ABB74CA" w14:textId="77777777" w:rsidR="00AF7D67" w:rsidRPr="004D390C" w:rsidRDefault="00AF7D67" w:rsidP="00CE2FF0">
            <w:pPr>
              <w:spacing w:after="0" w:line="0" w:lineRule="atLeast"/>
            </w:pPr>
          </w:p>
        </w:tc>
        <w:tc>
          <w:tcPr>
            <w:tcW w:w="0" w:type="auto"/>
          </w:tcPr>
          <w:p w14:paraId="247C25B4"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pPr>
            <w:r w:rsidRPr="004D390C">
              <w:t>14</w:t>
            </w:r>
          </w:p>
        </w:tc>
        <w:tc>
          <w:tcPr>
            <w:tcW w:w="7607" w:type="dxa"/>
          </w:tcPr>
          <w:p w14:paraId="49BF2655" w14:textId="77777777" w:rsidR="00AF7D67" w:rsidRPr="004D390C" w:rsidRDefault="00AF7D67" w:rsidP="00CE2FF0">
            <w:pPr>
              <w:spacing w:after="0" w:line="0" w:lineRule="atLeast"/>
              <w:cnfStyle w:val="000000000000" w:firstRow="0" w:lastRow="0" w:firstColumn="0" w:lastColumn="0" w:oddVBand="0" w:evenVBand="0" w:oddHBand="0" w:evenHBand="0" w:firstRowFirstColumn="0" w:firstRowLastColumn="0" w:lastRowFirstColumn="0" w:lastRowLastColumn="0"/>
            </w:pPr>
            <w:r w:rsidRPr="004D390C">
              <w:t>Využít potenciál nepodpořených kvalitních mezinárodních projektů</w:t>
            </w:r>
          </w:p>
        </w:tc>
      </w:tr>
      <w:tr w:rsidR="00AF7D67" w:rsidRPr="004D390C" w14:paraId="1D412BF5" w14:textId="77777777" w:rsidTr="00CE2FF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1" w:type="dxa"/>
            <w:vMerge/>
            <w:tcBorders>
              <w:top w:val="none" w:sz="0" w:space="0" w:color="auto"/>
              <w:bottom w:val="none" w:sz="0" w:space="0" w:color="auto"/>
              <w:right w:val="none" w:sz="0" w:space="0" w:color="auto"/>
            </w:tcBorders>
          </w:tcPr>
          <w:p w14:paraId="21A6A3D3" w14:textId="77777777" w:rsidR="00AF7D67" w:rsidRPr="004D390C" w:rsidRDefault="00AF7D67" w:rsidP="00CE2FF0">
            <w:pPr>
              <w:spacing w:after="0" w:line="0" w:lineRule="atLeast"/>
            </w:pPr>
          </w:p>
        </w:tc>
        <w:tc>
          <w:tcPr>
            <w:tcW w:w="0" w:type="auto"/>
            <w:tcBorders>
              <w:top w:val="none" w:sz="0" w:space="0" w:color="auto"/>
              <w:bottom w:val="none" w:sz="0" w:space="0" w:color="auto"/>
            </w:tcBorders>
          </w:tcPr>
          <w:p w14:paraId="10E7A7DA"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rsidRPr="004D390C">
              <w:t>15</w:t>
            </w:r>
          </w:p>
        </w:tc>
        <w:tc>
          <w:tcPr>
            <w:tcW w:w="7607" w:type="dxa"/>
            <w:tcBorders>
              <w:top w:val="none" w:sz="0" w:space="0" w:color="auto"/>
              <w:bottom w:val="none" w:sz="0" w:space="0" w:color="auto"/>
            </w:tcBorders>
          </w:tcPr>
          <w:p w14:paraId="221F13A3" w14:textId="77777777" w:rsidR="00AF7D67" w:rsidRPr="004D390C" w:rsidRDefault="00AF7D67" w:rsidP="00CE2FF0">
            <w:pPr>
              <w:spacing w:after="0" w:line="0" w:lineRule="atLeast"/>
              <w:cnfStyle w:val="000000100000" w:firstRow="0" w:lastRow="0" w:firstColumn="0" w:lastColumn="0" w:oddVBand="0" w:evenVBand="0" w:oddHBand="1" w:evenHBand="0" w:firstRowFirstColumn="0" w:firstRowLastColumn="0" w:lastRowFirstColumn="0" w:lastRowLastColumn="0"/>
            </w:pPr>
            <w:r>
              <w:t>Z pozice resortu usilovat o</w:t>
            </w:r>
            <w:r w:rsidRPr="004D390C">
              <w:t xml:space="preserve"> stabilizaci podnikatelského prostředí a systematické podpoře výzkumu a vývoje</w:t>
            </w:r>
            <w:r>
              <w:t>;</w:t>
            </w:r>
            <w:r w:rsidRPr="004D390C">
              <w:t xml:space="preserve"> zefektivnit a zjednodušit podporu vědy a výzkumu</w:t>
            </w:r>
            <w:r>
              <w:t xml:space="preserve">; přizpůsobit podporu požadavkům Průmyslu 4.0; zefektivnit podmínky odpočtu </w:t>
            </w:r>
            <w:proofErr w:type="spellStart"/>
            <w:r>
              <w:t>VaVaI</w:t>
            </w:r>
            <w:proofErr w:type="spellEnd"/>
            <w:r>
              <w:t xml:space="preserve"> ze základu daně;</w:t>
            </w:r>
          </w:p>
        </w:tc>
      </w:tr>
    </w:tbl>
    <w:p w14:paraId="68402460" w14:textId="77777777" w:rsidR="00AF7D67" w:rsidRDefault="00AF7D67" w:rsidP="00AF7D67">
      <w:pPr>
        <w:spacing w:after="0" w:line="240" w:lineRule="auto"/>
      </w:pPr>
    </w:p>
    <w:p w14:paraId="7FC076ED" w14:textId="77777777" w:rsidR="00AF7D67" w:rsidRDefault="00AF7D67" w:rsidP="00BC6DA7">
      <w:pPr>
        <w:jc w:val="both"/>
      </w:pPr>
      <w:r>
        <w:t xml:space="preserve">V následující </w:t>
      </w:r>
      <w:r w:rsidR="00E00C9D">
        <w:t xml:space="preserve">podkapitole </w:t>
      </w:r>
      <w:r>
        <w:t>Dodavatel detailně rozepisuje výše uvedená doporučení.</w:t>
      </w:r>
    </w:p>
    <w:p w14:paraId="159F4C33" w14:textId="77777777" w:rsidR="00E00C9D" w:rsidRDefault="00E00C9D">
      <w:pPr>
        <w:spacing w:after="0" w:line="240" w:lineRule="auto"/>
        <w:rPr>
          <w:b/>
          <w:color w:val="012169" w:themeColor="accent4"/>
        </w:rPr>
      </w:pPr>
      <w:r>
        <w:rPr>
          <w:b/>
          <w:color w:val="012169" w:themeColor="accent4"/>
        </w:rPr>
        <w:br w:type="page"/>
      </w:r>
    </w:p>
    <w:p w14:paraId="1B3AFBCC" w14:textId="77777777" w:rsidR="00620AC6" w:rsidRPr="008D04F1" w:rsidRDefault="00620AC6" w:rsidP="00107B42">
      <w:pPr>
        <w:rPr>
          <w:b/>
          <w:color w:val="012169" w:themeColor="accent4"/>
        </w:rPr>
      </w:pPr>
      <w:r w:rsidRPr="008D04F1">
        <w:rPr>
          <w:b/>
          <w:color w:val="012169" w:themeColor="accent4"/>
        </w:rPr>
        <w:t>Oblast řízení operačního programu</w:t>
      </w:r>
    </w:p>
    <w:p w14:paraId="40DA8E96" w14:textId="77777777" w:rsidR="00462F95" w:rsidRDefault="005508A9" w:rsidP="00AB4F03">
      <w:pPr>
        <w:jc w:val="both"/>
      </w:pPr>
      <w:r>
        <w:t xml:space="preserve">Na úrovni řízení operačního programu doporučujeme zejména se zaměřit na </w:t>
      </w:r>
      <w:r w:rsidRPr="00B0453A">
        <w:rPr>
          <w:b/>
        </w:rPr>
        <w:t>sestavení či aktualizaci plánu výzev až do konce programov</w:t>
      </w:r>
      <w:r w:rsidR="00D966FE">
        <w:rPr>
          <w:b/>
        </w:rPr>
        <w:t>é</w:t>
      </w:r>
      <w:r w:rsidRPr="00B0453A">
        <w:rPr>
          <w:b/>
        </w:rPr>
        <w:t>ho období</w:t>
      </w:r>
      <w:r>
        <w:t xml:space="preserve"> tak, aby se podařilo </w:t>
      </w:r>
      <w:r w:rsidR="00C20382">
        <w:t xml:space="preserve">vyčerpat celou alokaci a naplnit výkonnostní milníky. </w:t>
      </w:r>
      <w:r w:rsidR="00C1198F">
        <w:t>Zpracovatel</w:t>
      </w:r>
      <w:r w:rsidR="00247774">
        <w:t xml:space="preserve"> z</w:t>
      </w:r>
      <w:r w:rsidR="00C20382">
        <w:t xml:space="preserve">ejména </w:t>
      </w:r>
      <w:r w:rsidR="00462F95">
        <w:t>doporučuje:</w:t>
      </w:r>
    </w:p>
    <w:p w14:paraId="1B9CE34A" w14:textId="77777777" w:rsidR="00462F95" w:rsidRPr="00B0453A" w:rsidRDefault="00462F95" w:rsidP="002449AE">
      <w:pPr>
        <w:pStyle w:val="ListParagraph"/>
        <w:numPr>
          <w:ilvl w:val="0"/>
          <w:numId w:val="55"/>
        </w:numPr>
        <w:spacing w:after="120"/>
        <w:ind w:left="714" w:hanging="357"/>
        <w:contextualSpacing w:val="0"/>
        <w:jc w:val="both"/>
        <w:rPr>
          <w:rFonts w:cs="Calibri"/>
        </w:rPr>
      </w:pPr>
      <w:r w:rsidRPr="00B0453A">
        <w:rPr>
          <w:rFonts w:cs="Calibri"/>
        </w:rPr>
        <w:t xml:space="preserve">Urychleně </w:t>
      </w:r>
      <w:r w:rsidRPr="00B0453A">
        <w:rPr>
          <w:rFonts w:cs="Calibri"/>
          <w:b/>
        </w:rPr>
        <w:t>dokončit hodnocení a schvalování projektových žádostí z dosud vyhlášených výzev</w:t>
      </w:r>
      <w:r w:rsidRPr="00B0453A">
        <w:rPr>
          <w:rFonts w:cs="Calibri"/>
        </w:rPr>
        <w:t xml:space="preserve">, aby bylo zřejmé, jak velkou část alokace se podařilo </w:t>
      </w:r>
      <w:proofErr w:type="spellStart"/>
      <w:r w:rsidRPr="00B0453A">
        <w:rPr>
          <w:rFonts w:cs="Calibri"/>
        </w:rPr>
        <w:t>zazávazkovat</w:t>
      </w:r>
      <w:proofErr w:type="spellEnd"/>
      <w:r w:rsidRPr="00B0453A">
        <w:rPr>
          <w:rFonts w:cs="Calibri"/>
        </w:rPr>
        <w:t>.</w:t>
      </w:r>
    </w:p>
    <w:p w14:paraId="6CC85CB4" w14:textId="77777777" w:rsidR="00462F95" w:rsidRPr="00B0453A" w:rsidRDefault="00462F95" w:rsidP="002449AE">
      <w:pPr>
        <w:pStyle w:val="ListParagraph"/>
        <w:numPr>
          <w:ilvl w:val="0"/>
          <w:numId w:val="55"/>
        </w:numPr>
        <w:spacing w:after="120"/>
        <w:ind w:left="714" w:hanging="357"/>
        <w:contextualSpacing w:val="0"/>
        <w:jc w:val="both"/>
        <w:rPr>
          <w:rFonts w:cs="Calibri"/>
        </w:rPr>
      </w:pPr>
      <w:r w:rsidRPr="00B0453A">
        <w:rPr>
          <w:rFonts w:cs="Calibri"/>
        </w:rPr>
        <w:t xml:space="preserve">Revidovat dosud vyhlášené výzvy a tam, kde je to možné a účelné, </w:t>
      </w:r>
      <w:r w:rsidRPr="00B0453A">
        <w:rPr>
          <w:rFonts w:cs="Calibri"/>
          <w:b/>
        </w:rPr>
        <w:t>navýšit alokaci výzvy tak, aby mohly být podpořeny projektové žádosti, které splnily bodové hodnocení</w:t>
      </w:r>
      <w:r w:rsidRPr="00B0453A">
        <w:rPr>
          <w:rFonts w:cs="Calibri"/>
        </w:rPr>
        <w:t>, avšak nebyly podpořeny v důsledku vyčerpané alokace. Případně zvážit a vyhlásit nové výzvy, ve</w:t>
      </w:r>
      <w:r w:rsidR="00D966FE">
        <w:rPr>
          <w:rFonts w:cs="Calibri"/>
        </w:rPr>
        <w:t> </w:t>
      </w:r>
      <w:r w:rsidRPr="00B0453A">
        <w:rPr>
          <w:rFonts w:cs="Calibri"/>
        </w:rPr>
        <w:t>kterých tyto dříve kladně hodnocené projektové žádosti budou moci rychle projít novým hodnocením.</w:t>
      </w:r>
    </w:p>
    <w:p w14:paraId="5D9968E3" w14:textId="77777777" w:rsidR="00462F95" w:rsidRPr="00B0453A" w:rsidRDefault="00462F95" w:rsidP="002449AE">
      <w:pPr>
        <w:pStyle w:val="ListParagraph"/>
        <w:numPr>
          <w:ilvl w:val="0"/>
          <w:numId w:val="55"/>
        </w:numPr>
        <w:spacing w:after="120"/>
        <w:ind w:left="714" w:hanging="357"/>
        <w:contextualSpacing w:val="0"/>
        <w:jc w:val="both"/>
        <w:rPr>
          <w:rFonts w:cs="Calibri"/>
        </w:rPr>
      </w:pPr>
      <w:r w:rsidRPr="00B0453A">
        <w:rPr>
          <w:rFonts w:cs="Calibri"/>
        </w:rPr>
        <w:t xml:space="preserve">Sestavit </w:t>
      </w:r>
      <w:r w:rsidRPr="00B0453A">
        <w:rPr>
          <w:rFonts w:cs="Calibri"/>
          <w:b/>
        </w:rPr>
        <w:t>realistický plán výzev až do konce programovacího období</w:t>
      </w:r>
      <w:r w:rsidRPr="00B0453A">
        <w:rPr>
          <w:rFonts w:cs="Calibri"/>
        </w:rPr>
        <w:t>, který bude pokrývat kompletní alokaci SC 1.1 navýšenou o dostatečnou rezervu.</w:t>
      </w:r>
    </w:p>
    <w:p w14:paraId="6159C446" w14:textId="77777777" w:rsidR="002D4C29" w:rsidRPr="00B0453A" w:rsidRDefault="002D4C29" w:rsidP="002449AE">
      <w:pPr>
        <w:pStyle w:val="ListParagraph"/>
        <w:numPr>
          <w:ilvl w:val="0"/>
          <w:numId w:val="55"/>
        </w:numPr>
        <w:spacing w:after="120"/>
        <w:ind w:left="714" w:hanging="357"/>
        <w:contextualSpacing w:val="0"/>
        <w:jc w:val="both"/>
        <w:rPr>
          <w:rFonts w:cs="Calibri"/>
        </w:rPr>
      </w:pPr>
      <w:r w:rsidRPr="00B0453A">
        <w:rPr>
          <w:rFonts w:cs="Calibri"/>
        </w:rPr>
        <w:t xml:space="preserve">Průběžně monitorovat a </w:t>
      </w:r>
      <w:r w:rsidRPr="00B0453A">
        <w:rPr>
          <w:rFonts w:cs="Calibri"/>
          <w:b/>
        </w:rPr>
        <w:t>vyhodnocovat implementaci výzev v rámci ITI a včas iniciovat změnu alokace</w:t>
      </w:r>
      <w:r w:rsidRPr="00B0453A">
        <w:rPr>
          <w:rFonts w:cs="Calibri"/>
        </w:rPr>
        <w:t xml:space="preserve"> v případech, kdy nositelé ITI nebudou schopni plánovanou alokaci vyčerpat.</w:t>
      </w:r>
    </w:p>
    <w:p w14:paraId="4BCB9C47" w14:textId="77777777" w:rsidR="00462F95" w:rsidRDefault="00C1198F" w:rsidP="00AB4F03">
      <w:pPr>
        <w:jc w:val="both"/>
      </w:pPr>
      <w:r>
        <w:t>Zpracovatel</w:t>
      </w:r>
      <w:r w:rsidR="00B0453A" w:rsidRPr="00494DC6">
        <w:t xml:space="preserve"> doporučuje provést </w:t>
      </w:r>
      <w:r w:rsidR="00B0453A" w:rsidRPr="00B0453A">
        <w:t>vyhodnocení vlivu SC 1.1 a SC 1.2 na plnění hodnoty finančního milníku</w:t>
      </w:r>
      <w:r w:rsidR="00B0453A" w:rsidRPr="00494DC6">
        <w:t xml:space="preserve"> tak, aby bylo možné identifikovat příspěvek obou specifických cílů. Na základě toho by měl Zadavatel navrhnout a realizovat účinné kroky (vyhlášení výzev, úpravy alokace) k </w:t>
      </w:r>
      <w:r w:rsidR="00B0453A" w:rsidRPr="00B0453A">
        <w:t>zajištění naplnění milníku v roce 2023</w:t>
      </w:r>
      <w:r w:rsidR="00B0453A" w:rsidRPr="00494DC6">
        <w:t>.</w:t>
      </w:r>
    </w:p>
    <w:p w14:paraId="5D372A61" w14:textId="77777777" w:rsidR="005508A9" w:rsidRPr="008D04F1" w:rsidRDefault="005508A9" w:rsidP="00E91B2E">
      <w:pPr>
        <w:rPr>
          <w:b/>
          <w:color w:val="012169" w:themeColor="accent4"/>
        </w:rPr>
      </w:pPr>
      <w:r w:rsidRPr="008D04F1">
        <w:rPr>
          <w:b/>
          <w:color w:val="012169" w:themeColor="accent4"/>
        </w:rPr>
        <w:t>Oblast řízení výzev</w:t>
      </w:r>
    </w:p>
    <w:p w14:paraId="2861BC3B" w14:textId="77777777" w:rsidR="00462F95" w:rsidRDefault="00C20382" w:rsidP="00E91B2E">
      <w:pPr>
        <w:jc w:val="both"/>
      </w:pPr>
      <w:r>
        <w:t>V oblasti řízení výzev by se ŘO měl soustředit především</w:t>
      </w:r>
      <w:r w:rsidR="002E27B8">
        <w:t xml:space="preserve"> na </w:t>
      </w:r>
      <w:r w:rsidR="002E27B8" w:rsidRPr="00B0453A">
        <w:rPr>
          <w:b/>
        </w:rPr>
        <w:t>urychlení schvalovacích procesů projektových žádostí</w:t>
      </w:r>
      <w:r w:rsidR="002D4C29">
        <w:t xml:space="preserve">, </w:t>
      </w:r>
      <w:r w:rsidR="002D4C29" w:rsidRPr="008D04F1">
        <w:rPr>
          <w:b/>
        </w:rPr>
        <w:t>změnových řízení</w:t>
      </w:r>
      <w:r w:rsidR="002E27B8" w:rsidRPr="008D04F1">
        <w:rPr>
          <w:b/>
        </w:rPr>
        <w:t xml:space="preserve"> a žádostí o platbu</w:t>
      </w:r>
      <w:r w:rsidR="002D4C29" w:rsidRPr="008D04F1">
        <w:rPr>
          <w:b/>
        </w:rPr>
        <w:t xml:space="preserve">, </w:t>
      </w:r>
      <w:r w:rsidR="002D4C29">
        <w:t>zejména:</w:t>
      </w:r>
    </w:p>
    <w:p w14:paraId="487EF9FA" w14:textId="77777777" w:rsidR="002D4C29" w:rsidRDefault="002D4C29" w:rsidP="002449AE">
      <w:pPr>
        <w:pStyle w:val="ListParagraph"/>
        <w:numPr>
          <w:ilvl w:val="0"/>
          <w:numId w:val="55"/>
        </w:numPr>
        <w:spacing w:after="120"/>
        <w:ind w:left="714" w:hanging="357"/>
        <w:contextualSpacing w:val="0"/>
        <w:jc w:val="both"/>
        <w:rPr>
          <w:rFonts w:cs="Calibri"/>
        </w:rPr>
      </w:pPr>
      <w:r w:rsidRPr="00B0453A">
        <w:rPr>
          <w:rFonts w:cs="Calibri"/>
        </w:rPr>
        <w:t xml:space="preserve">Zajistit </w:t>
      </w:r>
      <w:r w:rsidRPr="00B0453A">
        <w:rPr>
          <w:rFonts w:cs="Calibri"/>
          <w:b/>
        </w:rPr>
        <w:t>dostatečnou kapacitu lidských zdrojů</w:t>
      </w:r>
      <w:r w:rsidRPr="00B0453A">
        <w:rPr>
          <w:rFonts w:cs="Calibri"/>
        </w:rPr>
        <w:t>, zejména na straně API</w:t>
      </w:r>
      <w:r w:rsidR="00E91B2E">
        <w:rPr>
          <w:rFonts w:cs="Calibri"/>
        </w:rPr>
        <w:t>,</w:t>
      </w:r>
      <w:r w:rsidRPr="00B0453A">
        <w:rPr>
          <w:rFonts w:cs="Calibri"/>
        </w:rPr>
        <w:t xml:space="preserve"> a průběžně </w:t>
      </w:r>
      <w:r w:rsidRPr="00B0453A">
        <w:rPr>
          <w:rFonts w:cs="Calibri"/>
          <w:b/>
        </w:rPr>
        <w:t>optimalizovat její využívání</w:t>
      </w:r>
      <w:r w:rsidRPr="00B0453A">
        <w:rPr>
          <w:rFonts w:cs="Calibri"/>
        </w:rPr>
        <w:t>, tj. především sledovat aktuální vytíženost pracovníků a dynamicky jim přidělovat projekty / veřejné zakázky</w:t>
      </w:r>
      <w:r w:rsidR="00B0453A">
        <w:rPr>
          <w:rFonts w:cs="Calibri"/>
        </w:rPr>
        <w:t>.</w:t>
      </w:r>
    </w:p>
    <w:p w14:paraId="4A48BDCB" w14:textId="77777777" w:rsidR="00214D86" w:rsidRPr="00B0453A" w:rsidRDefault="00214D86" w:rsidP="002449AE">
      <w:pPr>
        <w:pStyle w:val="ListParagraph"/>
        <w:numPr>
          <w:ilvl w:val="0"/>
          <w:numId w:val="55"/>
        </w:numPr>
        <w:spacing w:after="120"/>
        <w:ind w:left="714" w:hanging="357"/>
        <w:contextualSpacing w:val="0"/>
        <w:jc w:val="both"/>
        <w:rPr>
          <w:rFonts w:cs="Calibri"/>
        </w:rPr>
      </w:pPr>
      <w:r w:rsidRPr="00214D86">
        <w:rPr>
          <w:rFonts w:cs="Calibri"/>
          <w:b/>
        </w:rPr>
        <w:t>Zanalyzovat úkony s nejvyšší četností a zavést robotickou procesní automatizaci činností, které mají potenciál pro automatizaci</w:t>
      </w:r>
      <w:r>
        <w:rPr>
          <w:rFonts w:cs="Calibri"/>
        </w:rPr>
        <w:t xml:space="preserve"> (</w:t>
      </w:r>
      <w:r w:rsidR="008D04F1">
        <w:rPr>
          <w:rFonts w:cs="Calibri"/>
        </w:rPr>
        <w:t>tzn. nevyžadují manuální úkony / interakci pracovníků</w:t>
      </w:r>
      <w:r>
        <w:rPr>
          <w:rFonts w:cs="Calibri"/>
        </w:rPr>
        <w:t>). Jedná se např. o duplicitní vyplňování dat do různých systémů, přepisy dat ze systému do excelu</w:t>
      </w:r>
      <w:r w:rsidR="008D04F1">
        <w:rPr>
          <w:rFonts w:cs="Calibri"/>
        </w:rPr>
        <w:t>, kontroly dat, přepočty</w:t>
      </w:r>
      <w:r>
        <w:rPr>
          <w:rFonts w:cs="Calibri"/>
        </w:rPr>
        <w:t xml:space="preserve"> atd. </w:t>
      </w:r>
    </w:p>
    <w:p w14:paraId="63A5E3A5" w14:textId="77777777" w:rsidR="00247774" w:rsidRDefault="008C6947" w:rsidP="002449AE">
      <w:pPr>
        <w:pStyle w:val="ListParagraph"/>
        <w:numPr>
          <w:ilvl w:val="0"/>
          <w:numId w:val="55"/>
        </w:numPr>
        <w:spacing w:after="120"/>
        <w:ind w:left="714" w:hanging="357"/>
        <w:contextualSpacing w:val="0"/>
        <w:jc w:val="both"/>
        <w:rPr>
          <w:rFonts w:cs="Calibri"/>
        </w:rPr>
      </w:pPr>
      <w:r w:rsidRPr="00B0453A">
        <w:rPr>
          <w:rFonts w:cs="Calibri"/>
          <w:b/>
        </w:rPr>
        <w:t>Snížit administrativní zátěž spojenou s předkládáním žádostí i realizac</w:t>
      </w:r>
      <w:r w:rsidR="00B0453A">
        <w:rPr>
          <w:rFonts w:cs="Calibri"/>
          <w:b/>
        </w:rPr>
        <w:t>í</w:t>
      </w:r>
      <w:r w:rsidRPr="00B0453A">
        <w:rPr>
          <w:rFonts w:cs="Calibri"/>
          <w:b/>
        </w:rPr>
        <w:t xml:space="preserve"> podpořených projektů</w:t>
      </w:r>
      <w:r w:rsidRPr="00B0453A">
        <w:rPr>
          <w:rFonts w:cs="Calibri"/>
        </w:rPr>
        <w:t xml:space="preserve"> </w:t>
      </w:r>
      <w:r w:rsidR="00B0453A" w:rsidRPr="00494DC6">
        <w:t>na straně žadatelů</w:t>
      </w:r>
      <w:r w:rsidR="00B0453A">
        <w:t xml:space="preserve"> </w:t>
      </w:r>
      <w:r w:rsidR="00B0453A" w:rsidRPr="00494DC6">
        <w:t>/</w:t>
      </w:r>
      <w:r w:rsidR="00B0453A">
        <w:t xml:space="preserve"> </w:t>
      </w:r>
      <w:r w:rsidR="00B0453A" w:rsidRPr="00494DC6">
        <w:t xml:space="preserve">příjemců podpory i administrátorů </w:t>
      </w:r>
      <w:r w:rsidR="00B0453A">
        <w:t>API,</w:t>
      </w:r>
      <w:r w:rsidR="00B0453A" w:rsidRPr="00494DC6">
        <w:t xml:space="preserve"> </w:t>
      </w:r>
      <w:r w:rsidR="00247774">
        <w:rPr>
          <w:rFonts w:cs="Calibri"/>
        </w:rPr>
        <w:t>např.:</w:t>
      </w:r>
    </w:p>
    <w:p w14:paraId="6E1B150B" w14:textId="77777777" w:rsidR="00247774" w:rsidRDefault="00E91B2E" w:rsidP="002449AE">
      <w:pPr>
        <w:pStyle w:val="ListParagraph"/>
        <w:numPr>
          <w:ilvl w:val="1"/>
          <w:numId w:val="55"/>
        </w:numPr>
        <w:spacing w:after="120"/>
        <w:ind w:left="1418" w:hanging="338"/>
        <w:contextualSpacing w:val="0"/>
        <w:jc w:val="both"/>
        <w:rPr>
          <w:rFonts w:cs="Calibri"/>
        </w:rPr>
      </w:pPr>
      <w:r>
        <w:rPr>
          <w:rFonts w:cs="Calibri"/>
        </w:rPr>
        <w:t>O</w:t>
      </w:r>
      <w:r w:rsidR="008C6947" w:rsidRPr="00B0453A">
        <w:rPr>
          <w:rFonts w:cs="Calibri"/>
        </w:rPr>
        <w:t>dstran</w:t>
      </w:r>
      <w:r w:rsidR="00247774">
        <w:rPr>
          <w:rFonts w:cs="Calibri"/>
        </w:rPr>
        <w:t>it</w:t>
      </w:r>
      <w:r w:rsidR="00214D86">
        <w:rPr>
          <w:rFonts w:cs="Calibri"/>
        </w:rPr>
        <w:t xml:space="preserve"> vícenásobné</w:t>
      </w:r>
      <w:r w:rsidR="008C6947" w:rsidRPr="00B0453A">
        <w:rPr>
          <w:rFonts w:cs="Calibri"/>
        </w:rPr>
        <w:t xml:space="preserve"> dokládání některých informací a dokumentů</w:t>
      </w:r>
      <w:r w:rsidR="008D04F1">
        <w:rPr>
          <w:rFonts w:cs="Calibri"/>
        </w:rPr>
        <w:t>.</w:t>
      </w:r>
    </w:p>
    <w:p w14:paraId="20033A9D" w14:textId="77777777" w:rsidR="00247774" w:rsidRDefault="00E91B2E" w:rsidP="002449AE">
      <w:pPr>
        <w:pStyle w:val="ListParagraph"/>
        <w:numPr>
          <w:ilvl w:val="1"/>
          <w:numId w:val="55"/>
        </w:numPr>
        <w:spacing w:after="120"/>
        <w:ind w:left="1418" w:hanging="338"/>
        <w:contextualSpacing w:val="0"/>
        <w:jc w:val="both"/>
        <w:rPr>
          <w:rFonts w:cs="Calibri"/>
        </w:rPr>
      </w:pPr>
      <w:r>
        <w:rPr>
          <w:rFonts w:cs="Calibri"/>
        </w:rPr>
        <w:t>V</w:t>
      </w:r>
      <w:r w:rsidR="008D04F1">
        <w:rPr>
          <w:rFonts w:cs="Calibri"/>
        </w:rPr>
        <w:t>íce v</w:t>
      </w:r>
      <w:r w:rsidR="008C6947" w:rsidRPr="00B0453A">
        <w:rPr>
          <w:rFonts w:cs="Calibri"/>
        </w:rPr>
        <w:t>yužív</w:t>
      </w:r>
      <w:r w:rsidR="00247774">
        <w:rPr>
          <w:rFonts w:cs="Calibri"/>
        </w:rPr>
        <w:t>at</w:t>
      </w:r>
      <w:r w:rsidR="008C6947" w:rsidRPr="00B0453A">
        <w:rPr>
          <w:rFonts w:cs="Calibri"/>
        </w:rPr>
        <w:t xml:space="preserve"> čestn</w:t>
      </w:r>
      <w:r w:rsidR="00247774">
        <w:rPr>
          <w:rFonts w:cs="Calibri"/>
        </w:rPr>
        <w:t>á</w:t>
      </w:r>
      <w:r w:rsidR="008C6947" w:rsidRPr="00B0453A">
        <w:rPr>
          <w:rFonts w:cs="Calibri"/>
        </w:rPr>
        <w:t xml:space="preserve"> prohlášení, která povedou ke snížení předkládané dokumentace</w:t>
      </w:r>
      <w:r>
        <w:rPr>
          <w:rFonts w:cs="Calibri"/>
        </w:rPr>
        <w:t>.</w:t>
      </w:r>
    </w:p>
    <w:p w14:paraId="36EC5700" w14:textId="77777777" w:rsidR="00247774" w:rsidRPr="00247774" w:rsidRDefault="00E91B2E" w:rsidP="002449AE">
      <w:pPr>
        <w:pStyle w:val="ListParagraph"/>
        <w:numPr>
          <w:ilvl w:val="1"/>
          <w:numId w:val="55"/>
        </w:numPr>
        <w:spacing w:after="120"/>
        <w:ind w:left="1418" w:hanging="338"/>
        <w:contextualSpacing w:val="0"/>
        <w:jc w:val="both"/>
        <w:rPr>
          <w:rFonts w:cs="Calibri"/>
        </w:rPr>
      </w:pPr>
      <w:r>
        <w:rPr>
          <w:rFonts w:cs="Calibri"/>
        </w:rPr>
        <w:t>Z</w:t>
      </w:r>
      <w:r w:rsidR="00247774" w:rsidRPr="00247774">
        <w:rPr>
          <w:rFonts w:cs="Calibri"/>
        </w:rPr>
        <w:t>jednodušit dokladování mzdových nákladů, výběr dodavatelů.</w:t>
      </w:r>
    </w:p>
    <w:p w14:paraId="23D27D28" w14:textId="77777777" w:rsidR="002D4C29" w:rsidRPr="00B0453A" w:rsidRDefault="00247774" w:rsidP="002449AE">
      <w:pPr>
        <w:pStyle w:val="ListParagraph"/>
        <w:numPr>
          <w:ilvl w:val="0"/>
          <w:numId w:val="55"/>
        </w:numPr>
        <w:spacing w:after="120"/>
        <w:ind w:left="714" w:hanging="357"/>
        <w:contextualSpacing w:val="0"/>
        <w:jc w:val="both"/>
        <w:rPr>
          <w:rFonts w:cs="Calibri"/>
        </w:rPr>
      </w:pPr>
      <w:r>
        <w:rPr>
          <w:rFonts w:cs="Calibri"/>
        </w:rPr>
        <w:t>V</w:t>
      </w:r>
      <w:r w:rsidR="008C6947" w:rsidRPr="00B0453A">
        <w:rPr>
          <w:rFonts w:cs="Calibri"/>
        </w:rPr>
        <w:t xml:space="preserve"> rámci možností usilovat o </w:t>
      </w:r>
      <w:r w:rsidR="008C6947" w:rsidRPr="00247774">
        <w:rPr>
          <w:rFonts w:cs="Calibri"/>
          <w:b/>
        </w:rPr>
        <w:t>optimalizaci elektronického prostředí MS2014+</w:t>
      </w:r>
      <w:r w:rsidR="008C6947" w:rsidRPr="00B0453A">
        <w:rPr>
          <w:rFonts w:cs="Calibri"/>
        </w:rPr>
        <w:t xml:space="preserve"> pro potřeby OP PIK</w:t>
      </w:r>
      <w:r w:rsidR="00C677A9">
        <w:rPr>
          <w:rFonts w:cs="Calibri"/>
        </w:rPr>
        <w:t xml:space="preserve"> (optimalizovat </w:t>
      </w:r>
      <w:r w:rsidR="00C677A9">
        <w:t>odezvu, rychlost a velké množství kliků pro provedení finálních úkolů)</w:t>
      </w:r>
      <w:r w:rsidR="008D04F1">
        <w:rPr>
          <w:rFonts w:cs="Calibri"/>
        </w:rPr>
        <w:t>, zejména zařadit funkcionality potřebné pro podporu programů (zejména programu Aplikace)</w:t>
      </w:r>
      <w:r w:rsidR="00C677A9">
        <w:rPr>
          <w:rStyle w:val="FootnoteReference"/>
          <w:rFonts w:cs="Calibri"/>
        </w:rPr>
        <w:footnoteReference w:id="13"/>
      </w:r>
      <w:r w:rsidR="008C6947" w:rsidRPr="00B0453A">
        <w:rPr>
          <w:rFonts w:cs="Calibri"/>
        </w:rPr>
        <w:t>.</w:t>
      </w:r>
      <w:r w:rsidR="00C677A9">
        <w:rPr>
          <w:rFonts w:cs="Calibri"/>
        </w:rPr>
        <w:t xml:space="preserve"> Pro více detailů Dodavatel doporučuje konzultovat zprostředkující subjekt API. </w:t>
      </w:r>
    </w:p>
    <w:p w14:paraId="5D183F6C" w14:textId="77777777" w:rsidR="008C6947" w:rsidRDefault="008C6947" w:rsidP="002449AE">
      <w:pPr>
        <w:pStyle w:val="ListParagraph"/>
        <w:numPr>
          <w:ilvl w:val="0"/>
          <w:numId w:val="55"/>
        </w:numPr>
        <w:spacing w:after="120"/>
        <w:ind w:left="714" w:hanging="357"/>
        <w:contextualSpacing w:val="0"/>
        <w:jc w:val="both"/>
        <w:rPr>
          <w:rFonts w:cs="Calibri"/>
        </w:rPr>
      </w:pPr>
      <w:r w:rsidRPr="00B0453A">
        <w:rPr>
          <w:rFonts w:cs="Calibri"/>
          <w:b/>
        </w:rPr>
        <w:t>Zjednodušit podmínky nově vyhlašovaných výzev</w:t>
      </w:r>
      <w:r w:rsidRPr="00B0453A">
        <w:rPr>
          <w:rFonts w:cs="Calibri"/>
        </w:rPr>
        <w:t xml:space="preserve"> (např. složitý mechanismus výpočtu způsobilých výdajů programu Aplikace)</w:t>
      </w:r>
      <w:r w:rsidR="00C1198F">
        <w:rPr>
          <w:rFonts w:cs="Calibri"/>
        </w:rPr>
        <w:t>.</w:t>
      </w:r>
    </w:p>
    <w:p w14:paraId="0645EE8D" w14:textId="77777777" w:rsidR="00070C61" w:rsidRPr="006406AB" w:rsidRDefault="00070C61" w:rsidP="006406AB">
      <w:pPr>
        <w:pStyle w:val="ListParagraph"/>
        <w:numPr>
          <w:ilvl w:val="0"/>
          <w:numId w:val="55"/>
        </w:numPr>
        <w:spacing w:after="120"/>
        <w:ind w:left="714" w:hanging="357"/>
        <w:contextualSpacing w:val="0"/>
        <w:jc w:val="both"/>
        <w:rPr>
          <w:rFonts w:cs="Calibri"/>
        </w:rPr>
      </w:pPr>
      <w:r w:rsidRPr="006406AB">
        <w:rPr>
          <w:rFonts w:cs="Calibri"/>
        </w:rPr>
        <w:t>Inspirovat se způsobem hodnocení, kontroly a proplácením po etapách v Horizon2020.</w:t>
      </w:r>
    </w:p>
    <w:p w14:paraId="43DD424E" w14:textId="77777777" w:rsidR="00070C61" w:rsidRPr="006406AB" w:rsidRDefault="00070C61" w:rsidP="002B1A4B">
      <w:pPr>
        <w:pStyle w:val="ListParagraph"/>
        <w:numPr>
          <w:ilvl w:val="0"/>
          <w:numId w:val="55"/>
        </w:numPr>
        <w:spacing w:after="120"/>
        <w:ind w:left="714" w:hanging="357"/>
        <w:contextualSpacing w:val="0"/>
        <w:jc w:val="both"/>
        <w:rPr>
          <w:rFonts w:cs="Calibri"/>
        </w:rPr>
      </w:pPr>
      <w:r w:rsidRPr="006406AB">
        <w:rPr>
          <w:rFonts w:cs="Calibri"/>
          <w:b/>
        </w:rPr>
        <w:t>Odstranit podmínku na výběrové řízení na řešitele projektu na začátku projektu</w:t>
      </w:r>
      <w:r w:rsidRPr="006406AB">
        <w:rPr>
          <w:rFonts w:cs="Calibri"/>
        </w:rPr>
        <w:t xml:space="preserve">. Řešitel je v naprosté většině projektů autorem a tvůrcem projektové žádosti a myšlenky. </w:t>
      </w:r>
    </w:p>
    <w:p w14:paraId="1A459530" w14:textId="77777777" w:rsidR="00070C61" w:rsidRPr="006406AB" w:rsidRDefault="00070C61" w:rsidP="006406AB">
      <w:pPr>
        <w:pStyle w:val="ListParagraph"/>
        <w:numPr>
          <w:ilvl w:val="0"/>
          <w:numId w:val="55"/>
        </w:numPr>
        <w:spacing w:after="120"/>
        <w:ind w:left="714" w:hanging="357"/>
        <w:contextualSpacing w:val="0"/>
        <w:jc w:val="both"/>
        <w:rPr>
          <w:rFonts w:cs="Calibri"/>
        </w:rPr>
      </w:pPr>
      <w:r w:rsidRPr="006406AB">
        <w:rPr>
          <w:rFonts w:cs="Calibri"/>
          <w:b/>
        </w:rPr>
        <w:t>Zahrnout mzdové náklady do způsobilých nákladů a od jejich výše paušálně vypočítat nepřímé náklady</w:t>
      </w:r>
      <w:r w:rsidRPr="006406AB">
        <w:rPr>
          <w:rFonts w:cs="Calibri"/>
        </w:rPr>
        <w:t xml:space="preserve"> ve výši 40 až 50 %. Takové opatření by výrazným způsobem omezilo administrativní zátěž vykazování nákladů. Zároveň by toto opatření vedlo ke zvýšení zájmu o podporu a navýšení počtu žadatelů a projektů.</w:t>
      </w:r>
    </w:p>
    <w:p w14:paraId="7A7906A9" w14:textId="77777777" w:rsidR="006406AB" w:rsidRPr="006406AB" w:rsidRDefault="006406AB" w:rsidP="006406AB">
      <w:pPr>
        <w:pStyle w:val="ListParagraph"/>
        <w:numPr>
          <w:ilvl w:val="0"/>
          <w:numId w:val="55"/>
        </w:numPr>
        <w:spacing w:after="120"/>
        <w:ind w:left="714" w:hanging="357"/>
        <w:contextualSpacing w:val="0"/>
        <w:jc w:val="both"/>
        <w:rPr>
          <w:rFonts w:cs="Calibri"/>
        </w:rPr>
      </w:pPr>
      <w:r w:rsidRPr="006406AB">
        <w:rPr>
          <w:rFonts w:cs="Calibri"/>
        </w:rPr>
        <w:t xml:space="preserve">Zvážit rozšíření využití </w:t>
      </w:r>
      <w:r w:rsidRPr="0041769D">
        <w:rPr>
          <w:rFonts w:cs="Calibri"/>
          <w:b/>
        </w:rPr>
        <w:t>paušálního financování formou tzv. nepřímých nebo jednotkových nákladů,</w:t>
      </w:r>
      <w:r w:rsidRPr="006406AB">
        <w:rPr>
          <w:rFonts w:cs="Calibri"/>
        </w:rPr>
        <w:t xml:space="preserve"> které by nahradily současnou praxi dokládání poptávek, nabídek, faktur, výpisů z účtu o proběhlých platbách a výkazů mezd.</w:t>
      </w:r>
    </w:p>
    <w:p w14:paraId="10017264" w14:textId="77777777" w:rsidR="006406AB" w:rsidRPr="006406AB" w:rsidRDefault="006406AB" w:rsidP="006406AB">
      <w:pPr>
        <w:pStyle w:val="ListParagraph"/>
        <w:numPr>
          <w:ilvl w:val="0"/>
          <w:numId w:val="55"/>
        </w:numPr>
        <w:spacing w:after="120"/>
        <w:ind w:left="714" w:hanging="357"/>
        <w:contextualSpacing w:val="0"/>
        <w:jc w:val="both"/>
        <w:rPr>
          <w:rFonts w:cs="Calibri"/>
        </w:rPr>
      </w:pPr>
      <w:r w:rsidRPr="006406AB">
        <w:rPr>
          <w:rFonts w:cs="Calibri"/>
        </w:rPr>
        <w:t xml:space="preserve">Upravit kritéria hodnocení projektových žádostí tak, aby </w:t>
      </w:r>
      <w:r w:rsidRPr="0041769D">
        <w:rPr>
          <w:rFonts w:cs="Calibri"/>
          <w:b/>
        </w:rPr>
        <w:t xml:space="preserve">reflektovala </w:t>
      </w:r>
      <w:r w:rsidRPr="00CE2FF0">
        <w:rPr>
          <w:rFonts w:cs="Calibri"/>
          <w:b/>
        </w:rPr>
        <w:t>kapitálovou návratnost investic</w:t>
      </w:r>
      <w:r w:rsidRPr="006406AB">
        <w:rPr>
          <w:rFonts w:cs="Calibri"/>
        </w:rPr>
        <w:t xml:space="preserve">. Zvýhodňovat projekty a podniky, které mají vyšší pravděpodobnost návratnosti investic, vyšších tržeb. Podporovat výrobu s větším kapitálem a dovolit firmám růst bez omezení. </w:t>
      </w:r>
    </w:p>
    <w:p w14:paraId="228E1682" w14:textId="77777777" w:rsidR="006406AB" w:rsidRPr="006406AB" w:rsidRDefault="006406AB" w:rsidP="006406AB">
      <w:pPr>
        <w:pStyle w:val="ListParagraph"/>
        <w:numPr>
          <w:ilvl w:val="0"/>
          <w:numId w:val="55"/>
        </w:numPr>
        <w:spacing w:after="120"/>
        <w:ind w:left="714" w:hanging="357"/>
        <w:contextualSpacing w:val="0"/>
        <w:jc w:val="both"/>
        <w:rPr>
          <w:rFonts w:cs="Calibri"/>
        </w:rPr>
      </w:pPr>
      <w:r w:rsidRPr="00CE2FF0">
        <w:rPr>
          <w:rFonts w:cs="Calibri"/>
          <w:b/>
        </w:rPr>
        <w:t>Zaměřit kontroly více na</w:t>
      </w:r>
      <w:r w:rsidRPr="0041769D">
        <w:rPr>
          <w:rFonts w:cs="Calibri"/>
          <w:b/>
        </w:rPr>
        <w:t xml:space="preserve"> </w:t>
      </w:r>
      <w:r w:rsidRPr="00CE2FF0">
        <w:rPr>
          <w:rFonts w:cs="Calibri"/>
          <w:b/>
        </w:rPr>
        <w:t>kontrolu výsledného produktu, výstupu projektu</w:t>
      </w:r>
      <w:r w:rsidRPr="006406AB">
        <w:rPr>
          <w:rFonts w:cs="Calibri"/>
        </w:rPr>
        <w:t xml:space="preserve">. Současná kontrola zaměřená především na procesní a technickou stránku řízení projektů vede k administrativní zátěži a nekontroluje cíle, výsledky a dopady projektu. </w:t>
      </w:r>
    </w:p>
    <w:p w14:paraId="330BB26E" w14:textId="77777777" w:rsidR="008C6947" w:rsidRDefault="008C6947" w:rsidP="00E91B2E"/>
    <w:p w14:paraId="62C8E3B3" w14:textId="77777777" w:rsidR="00462F95" w:rsidRPr="008D04F1" w:rsidRDefault="00462F95" w:rsidP="008D04F1">
      <w:pPr>
        <w:rPr>
          <w:b/>
          <w:color w:val="012169" w:themeColor="accent4"/>
        </w:rPr>
      </w:pPr>
      <w:r w:rsidRPr="008D04F1">
        <w:rPr>
          <w:b/>
          <w:color w:val="012169" w:themeColor="accent4"/>
        </w:rPr>
        <w:t>Oblast realizace projektů</w:t>
      </w:r>
      <w:r w:rsidR="00247774" w:rsidRPr="008D04F1">
        <w:rPr>
          <w:b/>
          <w:color w:val="012169" w:themeColor="accent4"/>
        </w:rPr>
        <w:t>, metodického řízení a podpory příjemců</w:t>
      </w:r>
    </w:p>
    <w:p w14:paraId="4FD43DA4" w14:textId="77777777" w:rsidR="00C1198F" w:rsidRPr="00C1198F" w:rsidRDefault="00C1198F" w:rsidP="00E91B2E">
      <w:pPr>
        <w:jc w:val="both"/>
      </w:pPr>
      <w:r>
        <w:t xml:space="preserve">Na projektové úrovni je potřeba především poskytovat </w:t>
      </w:r>
      <w:r w:rsidRPr="00EE7DF3">
        <w:rPr>
          <w:b/>
        </w:rPr>
        <w:t>účelnou podporu jednotlivým potenciálním žadatelům a příjemcům</w:t>
      </w:r>
      <w:r>
        <w:t>. Toho je možné dosáhnout</w:t>
      </w:r>
      <w:r w:rsidRPr="008D04F1">
        <w:rPr>
          <w:b/>
        </w:rPr>
        <w:t xml:space="preserve"> zefe</w:t>
      </w:r>
      <w:r w:rsidR="002A4ED2">
        <w:rPr>
          <w:b/>
        </w:rPr>
        <w:t>ktivněním metodických postupů a </w:t>
      </w:r>
      <w:r w:rsidRPr="008D04F1">
        <w:rPr>
          <w:b/>
        </w:rPr>
        <w:t xml:space="preserve">zajištěním dostatečné informovanosti žadatelů a příjemců. </w:t>
      </w:r>
      <w:r>
        <w:t>Zhotovitel doporučuje</w:t>
      </w:r>
      <w:r w:rsidR="00321601">
        <w:t>:</w:t>
      </w:r>
    </w:p>
    <w:p w14:paraId="1C4DA0D6" w14:textId="77777777" w:rsidR="00321601" w:rsidRPr="00B0453A" w:rsidRDefault="00321601" w:rsidP="002449AE">
      <w:pPr>
        <w:pStyle w:val="ListParagraph"/>
        <w:numPr>
          <w:ilvl w:val="0"/>
          <w:numId w:val="55"/>
        </w:numPr>
        <w:spacing w:after="120"/>
        <w:ind w:left="714" w:hanging="357"/>
        <w:contextualSpacing w:val="0"/>
        <w:jc w:val="both"/>
        <w:rPr>
          <w:rFonts w:cs="Calibri"/>
        </w:rPr>
      </w:pPr>
      <w:r w:rsidRPr="00B0453A">
        <w:t>Udrž</w:t>
      </w:r>
      <w:r>
        <w:t>ovat</w:t>
      </w:r>
      <w:r w:rsidRPr="00B0453A">
        <w:t xml:space="preserve"> současn</w:t>
      </w:r>
      <w:r>
        <w:t>ou</w:t>
      </w:r>
      <w:r w:rsidRPr="00B0453A">
        <w:t xml:space="preserve"> podob</w:t>
      </w:r>
      <w:r>
        <w:t>u</w:t>
      </w:r>
      <w:r w:rsidRPr="00B0453A">
        <w:t xml:space="preserve"> a znění pravidel a metodik podpory, </w:t>
      </w:r>
      <w:r>
        <w:t xml:space="preserve">resp. </w:t>
      </w:r>
      <w:r w:rsidRPr="00EE7DF3">
        <w:rPr>
          <w:b/>
        </w:rPr>
        <w:t>zdržet se zbytných změn metodických postupů a pravidel</w:t>
      </w:r>
      <w:r>
        <w:rPr>
          <w:rFonts w:cs="Calibri"/>
        </w:rPr>
        <w:t>. Časté změny pravidel vyvolávají nejistotu příjemců a zvyšují pravděpodobnost chybovosti.</w:t>
      </w:r>
    </w:p>
    <w:p w14:paraId="691FE691" w14:textId="0A457FBB" w:rsidR="00F27512" w:rsidRPr="00C1198F" w:rsidRDefault="00F27512" w:rsidP="00F27512">
      <w:pPr>
        <w:pStyle w:val="ListParagraph"/>
        <w:numPr>
          <w:ilvl w:val="0"/>
          <w:numId w:val="55"/>
        </w:numPr>
        <w:spacing w:after="120"/>
        <w:ind w:left="714" w:hanging="357"/>
        <w:contextualSpacing w:val="0"/>
        <w:jc w:val="both"/>
        <w:rPr>
          <w:rFonts w:cs="Calibri"/>
        </w:rPr>
      </w:pPr>
      <w:r w:rsidRPr="008D04F1">
        <w:rPr>
          <w:rFonts w:cs="Calibri"/>
          <w:b/>
        </w:rPr>
        <w:t>Jednoznačný a závazný výklad metodických pravidel</w:t>
      </w:r>
      <w:r>
        <w:rPr>
          <w:rFonts w:cs="Calibri"/>
        </w:rPr>
        <w:t xml:space="preserve"> je pro zvýšení jistoty žadatelů / příjemců a snížení počtu negativních zkušeností vedoucích ke snížení zájmu o podporu </w:t>
      </w:r>
      <w:r w:rsidRPr="00F27512">
        <w:rPr>
          <w:rFonts w:cs="Calibri"/>
          <w:b/>
        </w:rPr>
        <w:t>z</w:t>
      </w:r>
      <w:r w:rsidRPr="008D04F1">
        <w:rPr>
          <w:rFonts w:cs="Calibri"/>
          <w:b/>
        </w:rPr>
        <w:t>cela nezbytný.</w:t>
      </w:r>
      <w:r>
        <w:rPr>
          <w:rFonts w:cs="Calibri"/>
          <w:b/>
        </w:rPr>
        <w:t xml:space="preserve"> </w:t>
      </w:r>
      <w:r>
        <w:rPr>
          <w:rFonts w:cs="Calibri"/>
        </w:rPr>
        <w:t>Doporučujeme zajistit koordinaci s orgány vykládajícími metodická pravidla v rámci OP PIK (API, MPO) a dalšími orgány (NOK, Auditní orgán, Finanční úřad, NKÚ atd.).</w:t>
      </w:r>
    </w:p>
    <w:p w14:paraId="07DD24B1" w14:textId="77777777" w:rsidR="00DE71D7" w:rsidRPr="00B0453A" w:rsidRDefault="00DE71D7" w:rsidP="00DE71D7">
      <w:pPr>
        <w:pStyle w:val="ListParagraph"/>
        <w:numPr>
          <w:ilvl w:val="0"/>
          <w:numId w:val="55"/>
        </w:numPr>
        <w:spacing w:after="120"/>
        <w:ind w:left="714" w:hanging="357"/>
        <w:contextualSpacing w:val="0"/>
        <w:jc w:val="both"/>
        <w:rPr>
          <w:rFonts w:cs="Calibri"/>
        </w:rPr>
      </w:pPr>
      <w:r>
        <w:rPr>
          <w:rFonts w:cs="Calibri"/>
        </w:rPr>
        <w:t xml:space="preserve">Umožnit </w:t>
      </w:r>
      <w:r w:rsidRPr="00EE7DF3">
        <w:rPr>
          <w:rFonts w:cs="Calibri"/>
          <w:b/>
        </w:rPr>
        <w:t>větší flexibilitu při změnách</w:t>
      </w:r>
      <w:r w:rsidRPr="00B0453A">
        <w:rPr>
          <w:rFonts w:cs="Calibri"/>
        </w:rPr>
        <w:t xml:space="preserve"> během realizace projektu, prodlužování projektu apod.</w:t>
      </w:r>
      <w:r>
        <w:rPr>
          <w:rFonts w:cs="Calibri"/>
        </w:rPr>
        <w:t xml:space="preserve"> Zjednodušit a zrychlit proces schvalování změnových řízení.</w:t>
      </w:r>
    </w:p>
    <w:p w14:paraId="49D54FE0" w14:textId="608849A3" w:rsidR="00F27512" w:rsidRDefault="00A13D29" w:rsidP="00F27512">
      <w:pPr>
        <w:pStyle w:val="ListParagraph"/>
        <w:numPr>
          <w:ilvl w:val="0"/>
          <w:numId w:val="55"/>
        </w:numPr>
        <w:spacing w:after="120"/>
        <w:ind w:left="714" w:hanging="357"/>
        <w:contextualSpacing w:val="0"/>
        <w:jc w:val="both"/>
        <w:rPr>
          <w:rFonts w:cs="Calibri"/>
        </w:rPr>
      </w:pPr>
      <w:r>
        <w:rPr>
          <w:rFonts w:cs="Calibri"/>
          <w:b/>
        </w:rPr>
        <w:t xml:space="preserve">Posílit </w:t>
      </w:r>
      <w:r w:rsidR="00F27512">
        <w:rPr>
          <w:rFonts w:cs="Calibri"/>
          <w:b/>
        </w:rPr>
        <w:t>pro-</w:t>
      </w:r>
      <w:proofErr w:type="spellStart"/>
      <w:r w:rsidR="00F27512">
        <w:rPr>
          <w:rFonts w:cs="Calibri"/>
          <w:b/>
        </w:rPr>
        <w:t>klietský</w:t>
      </w:r>
      <w:proofErr w:type="spellEnd"/>
      <w:r w:rsidR="00F27512">
        <w:rPr>
          <w:rFonts w:cs="Calibri"/>
          <w:b/>
        </w:rPr>
        <w:t xml:space="preserve"> přístup a </w:t>
      </w:r>
      <w:r w:rsidR="00F27512" w:rsidRPr="00F27512">
        <w:rPr>
          <w:rFonts w:cs="Calibri"/>
          <w:b/>
        </w:rPr>
        <w:t xml:space="preserve">metodickou podporu příjemců ze strany API. </w:t>
      </w:r>
      <w:r w:rsidR="00F27512" w:rsidRPr="00F27512">
        <w:rPr>
          <w:rFonts w:cs="Calibri"/>
        </w:rPr>
        <w:t>S cílem zvýšení spokojenosti příjemců</w:t>
      </w:r>
      <w:r w:rsidR="00F27512" w:rsidRPr="00F27512">
        <w:rPr>
          <w:rFonts w:cs="Calibri"/>
          <w:b/>
        </w:rPr>
        <w:t xml:space="preserve"> </w:t>
      </w:r>
      <w:r w:rsidR="00F27512">
        <w:rPr>
          <w:rFonts w:cs="Calibri"/>
        </w:rPr>
        <w:t>a úspěšnosti projektů doporučujeme re-designovat roli projektového manažera ze sou</w:t>
      </w:r>
      <w:r>
        <w:rPr>
          <w:rFonts w:cs="Calibri"/>
        </w:rPr>
        <w:t>časné role</w:t>
      </w:r>
      <w:r w:rsidR="00F27512">
        <w:rPr>
          <w:rFonts w:cs="Calibri"/>
        </w:rPr>
        <w:t xml:space="preserve"> administrátora projektu a posílit jeho funkci kontaktní osoby pro příjemce, na kterou se </w:t>
      </w:r>
      <w:r>
        <w:rPr>
          <w:rFonts w:cs="Calibri"/>
        </w:rPr>
        <w:t>může příjemce</w:t>
      </w:r>
      <w:r w:rsidR="00F27512">
        <w:rPr>
          <w:rFonts w:cs="Calibri"/>
        </w:rPr>
        <w:t xml:space="preserve"> obrátit s jakýmikoliv dotazy k projektu. Zároveň </w:t>
      </w:r>
      <w:r w:rsidR="009F79ED">
        <w:rPr>
          <w:rFonts w:cs="Calibri"/>
        </w:rPr>
        <w:t>Dodavatel doporučuje realizovat doporučení vzniklá z</w:t>
      </w:r>
      <w:r w:rsidR="00E00C9D">
        <w:rPr>
          <w:rFonts w:cs="Calibri"/>
        </w:rPr>
        <w:t xml:space="preserve"> plánovaného </w:t>
      </w:r>
      <w:r w:rsidR="009F79ED">
        <w:rPr>
          <w:rFonts w:cs="Calibri"/>
        </w:rPr>
        <w:t>o</w:t>
      </w:r>
      <w:r w:rsidR="00E85CC3">
        <w:rPr>
          <w:rFonts w:cs="Calibri"/>
        </w:rPr>
        <w:t xml:space="preserve"> </w:t>
      </w:r>
      <w:r w:rsidR="00E85CC3" w:rsidRPr="00E85CC3">
        <w:rPr>
          <w:rFonts w:cs="Calibri"/>
          <w:b/>
        </w:rPr>
        <w:t xml:space="preserve">vyhodnocení spokojenosti </w:t>
      </w:r>
      <w:r>
        <w:rPr>
          <w:rFonts w:cs="Calibri"/>
          <w:b/>
        </w:rPr>
        <w:t xml:space="preserve">žadatelů a příjemců s komunikačními kanály – </w:t>
      </w:r>
      <w:proofErr w:type="spellStart"/>
      <w:r>
        <w:rPr>
          <w:rFonts w:cs="Calibri"/>
          <w:b/>
        </w:rPr>
        <w:t>webstránkou</w:t>
      </w:r>
      <w:proofErr w:type="spellEnd"/>
      <w:r>
        <w:rPr>
          <w:rFonts w:cs="Calibri"/>
          <w:b/>
        </w:rPr>
        <w:t xml:space="preserve">, </w:t>
      </w:r>
      <w:proofErr w:type="spellStart"/>
      <w:r w:rsidR="00E85CC3" w:rsidRPr="00E85CC3">
        <w:rPr>
          <w:rFonts w:cs="Calibri"/>
          <w:b/>
        </w:rPr>
        <w:t>help</w:t>
      </w:r>
      <w:proofErr w:type="spellEnd"/>
      <w:r w:rsidR="00E85CC3" w:rsidRPr="00E85CC3">
        <w:rPr>
          <w:rFonts w:cs="Calibri"/>
          <w:b/>
        </w:rPr>
        <w:t>-linkou</w:t>
      </w:r>
      <w:r>
        <w:rPr>
          <w:rFonts w:cs="Calibri"/>
          <w:b/>
        </w:rPr>
        <w:t xml:space="preserve"> atd.</w:t>
      </w:r>
      <w:r w:rsidR="00F27512">
        <w:rPr>
          <w:rFonts w:cs="Calibri"/>
        </w:rPr>
        <w:t xml:space="preserve"> </w:t>
      </w:r>
    </w:p>
    <w:p w14:paraId="17661959" w14:textId="77777777" w:rsidR="00F27512" w:rsidRDefault="00F27512" w:rsidP="00F27512">
      <w:pPr>
        <w:pStyle w:val="ListParagraph"/>
        <w:numPr>
          <w:ilvl w:val="0"/>
          <w:numId w:val="55"/>
        </w:numPr>
        <w:spacing w:after="120"/>
        <w:ind w:left="714" w:hanging="357"/>
        <w:contextualSpacing w:val="0"/>
        <w:jc w:val="both"/>
        <w:rPr>
          <w:rFonts w:cs="Calibri"/>
        </w:rPr>
      </w:pPr>
      <w:r w:rsidRPr="00B0453A">
        <w:rPr>
          <w:rFonts w:cs="Calibri"/>
        </w:rPr>
        <w:t xml:space="preserve">Realizovat </w:t>
      </w:r>
      <w:r w:rsidRPr="00B0453A">
        <w:rPr>
          <w:rFonts w:cs="Calibri"/>
          <w:b/>
        </w:rPr>
        <w:t>podpůrné aktivity pro žadatele</w:t>
      </w:r>
      <w:r>
        <w:rPr>
          <w:rFonts w:cs="Calibri"/>
          <w:b/>
        </w:rPr>
        <w:t xml:space="preserve"> a příjemce</w:t>
      </w:r>
      <w:r w:rsidRPr="00B0453A">
        <w:rPr>
          <w:rFonts w:cs="Calibri"/>
        </w:rPr>
        <w:t xml:space="preserve"> </w:t>
      </w:r>
      <w:r w:rsidR="00DE71D7">
        <w:rPr>
          <w:rFonts w:cs="Calibri"/>
        </w:rPr>
        <w:t>–</w:t>
      </w:r>
      <w:r w:rsidRPr="00B0453A">
        <w:rPr>
          <w:rFonts w:cs="Calibri"/>
        </w:rPr>
        <w:t xml:space="preserve"> pořádat informační semináře, poskytovat osobní konzultace, nabízet vzorové dokumenty apod. Všechny tyto aktivity efektivně komunikovat potenciálním žadatelům</w:t>
      </w:r>
      <w:r>
        <w:rPr>
          <w:rFonts w:cs="Calibri"/>
        </w:rPr>
        <w:t xml:space="preserve"> a příjemcům.</w:t>
      </w:r>
    </w:p>
    <w:p w14:paraId="42E71E0F" w14:textId="77777777" w:rsidR="00EE7DF3" w:rsidRPr="00EE7DF3" w:rsidRDefault="00EE7DF3" w:rsidP="00DE71D7">
      <w:pPr>
        <w:pStyle w:val="ListParagraph"/>
        <w:numPr>
          <w:ilvl w:val="0"/>
          <w:numId w:val="55"/>
        </w:numPr>
        <w:ind w:left="714" w:hanging="357"/>
        <w:contextualSpacing w:val="0"/>
        <w:jc w:val="both"/>
        <w:rPr>
          <w:rFonts w:cs="Calibri"/>
        </w:rPr>
      </w:pPr>
      <w:r>
        <w:rPr>
          <w:rFonts w:cs="Calibri"/>
        </w:rPr>
        <w:t xml:space="preserve">Poskytovat podporu formou </w:t>
      </w:r>
      <w:r w:rsidRPr="00EE7DF3">
        <w:rPr>
          <w:rFonts w:cs="Calibri"/>
          <w:b/>
        </w:rPr>
        <w:t xml:space="preserve">konzultací ze strany API </w:t>
      </w:r>
      <w:r>
        <w:rPr>
          <w:rFonts w:cs="Calibri"/>
        </w:rPr>
        <w:t>pro</w:t>
      </w:r>
      <w:r w:rsidRPr="00B0453A">
        <w:rPr>
          <w:rFonts w:cs="Calibri"/>
        </w:rPr>
        <w:t xml:space="preserve"> příjemc</w:t>
      </w:r>
      <w:r>
        <w:rPr>
          <w:rFonts w:cs="Calibri"/>
        </w:rPr>
        <w:t>e</w:t>
      </w:r>
      <w:r w:rsidRPr="00B0453A">
        <w:rPr>
          <w:rFonts w:cs="Calibri"/>
        </w:rPr>
        <w:t xml:space="preserve"> podpory při výběru dodavatele (</w:t>
      </w:r>
      <w:r>
        <w:rPr>
          <w:rFonts w:cs="Calibri"/>
        </w:rPr>
        <w:t>o</w:t>
      </w:r>
      <w:r w:rsidRPr="00B0453A">
        <w:rPr>
          <w:rFonts w:cs="Calibri"/>
        </w:rPr>
        <w:t>svědčená dobrá praxe)</w:t>
      </w:r>
      <w:r>
        <w:rPr>
          <w:rFonts w:cs="Calibri"/>
        </w:rPr>
        <w:t>.</w:t>
      </w:r>
    </w:p>
    <w:p w14:paraId="3778FE2A" w14:textId="77777777" w:rsidR="005508A9" w:rsidRPr="008D04F1" w:rsidRDefault="008C6947" w:rsidP="00DE71D7">
      <w:pPr>
        <w:spacing w:before="120"/>
        <w:rPr>
          <w:b/>
          <w:color w:val="012169" w:themeColor="accent4"/>
        </w:rPr>
      </w:pPr>
      <w:r w:rsidRPr="008D04F1">
        <w:rPr>
          <w:b/>
          <w:color w:val="012169" w:themeColor="accent4"/>
        </w:rPr>
        <w:t>Další doporučení</w:t>
      </w:r>
    </w:p>
    <w:p w14:paraId="37BB6D7F" w14:textId="77777777" w:rsidR="00EE7DF3" w:rsidRDefault="00BC6DA7" w:rsidP="00E91B2E">
      <w:pPr>
        <w:jc w:val="both"/>
      </w:pPr>
      <w:r>
        <w:t xml:space="preserve">Poslední soubor doporučení přímo nesouvisí s naplňováním SC 1.1, ale s podporou výzkumu a inovací obecně, a to především ve vztahu k mezinárodním projektům </w:t>
      </w:r>
      <w:proofErr w:type="spellStart"/>
      <w:r>
        <w:t>VaV</w:t>
      </w:r>
      <w:proofErr w:type="spellEnd"/>
      <w:r>
        <w:t>. Zpracovatel považuje za vhodné:</w:t>
      </w:r>
    </w:p>
    <w:p w14:paraId="2C646B9E" w14:textId="77777777" w:rsidR="001D56AE" w:rsidRDefault="001D56AE" w:rsidP="002449AE">
      <w:pPr>
        <w:pStyle w:val="ListParagraph"/>
        <w:numPr>
          <w:ilvl w:val="0"/>
          <w:numId w:val="55"/>
        </w:numPr>
        <w:spacing w:after="120"/>
        <w:ind w:left="714" w:hanging="357"/>
        <w:contextualSpacing w:val="0"/>
        <w:jc w:val="both"/>
      </w:pPr>
      <w:r w:rsidRPr="00963A36">
        <w:rPr>
          <w:b/>
        </w:rPr>
        <w:t xml:space="preserve">Zvýšit propagaci zahraničních programů podpory </w:t>
      </w:r>
      <w:proofErr w:type="spellStart"/>
      <w:r w:rsidRPr="00963A36">
        <w:rPr>
          <w:b/>
        </w:rPr>
        <w:t>VaVaI</w:t>
      </w:r>
      <w:proofErr w:type="spellEnd"/>
      <w:r w:rsidR="00E91B2E">
        <w:rPr>
          <w:b/>
        </w:rPr>
        <w:t>,</w:t>
      </w:r>
      <w:r w:rsidR="00963A36">
        <w:t xml:space="preserve"> zvláště pak mezi malými a středními podniky.</w:t>
      </w:r>
    </w:p>
    <w:p w14:paraId="23815502" w14:textId="77777777" w:rsidR="00963A36" w:rsidRPr="00B0453A" w:rsidRDefault="00963A36" w:rsidP="002449AE">
      <w:pPr>
        <w:pStyle w:val="ListParagraph"/>
        <w:numPr>
          <w:ilvl w:val="0"/>
          <w:numId w:val="55"/>
        </w:numPr>
        <w:spacing w:after="120"/>
        <w:ind w:left="714" w:hanging="357"/>
        <w:contextualSpacing w:val="0"/>
        <w:jc w:val="both"/>
      </w:pPr>
      <w:r w:rsidRPr="00B0453A">
        <w:t>Poskyt</w:t>
      </w:r>
      <w:r>
        <w:t>ovat</w:t>
      </w:r>
      <w:r w:rsidRPr="00B0453A">
        <w:t xml:space="preserve"> </w:t>
      </w:r>
      <w:r w:rsidRPr="00D90EBC">
        <w:rPr>
          <w:b/>
        </w:rPr>
        <w:t>technickou podporu</w:t>
      </w:r>
      <w:r>
        <w:t xml:space="preserve"> při navazování zahraničních partnerství a při podávání žádostí do evropských programů podpory</w:t>
      </w:r>
      <w:r w:rsidR="00E91B2E">
        <w:t>.</w:t>
      </w:r>
    </w:p>
    <w:p w14:paraId="33A6E194" w14:textId="77777777" w:rsidR="000E20B6" w:rsidRDefault="00963A36" w:rsidP="002449AE">
      <w:pPr>
        <w:pStyle w:val="ListParagraph"/>
        <w:numPr>
          <w:ilvl w:val="0"/>
          <w:numId w:val="55"/>
        </w:numPr>
        <w:spacing w:after="120"/>
        <w:ind w:left="714" w:hanging="357"/>
        <w:contextualSpacing w:val="0"/>
        <w:jc w:val="both"/>
      </w:pPr>
      <w:r w:rsidRPr="00D90EBC">
        <w:rPr>
          <w:b/>
        </w:rPr>
        <w:t xml:space="preserve">Využít potenciál </w:t>
      </w:r>
      <w:r w:rsidR="00D90EBC" w:rsidRPr="00D90EBC">
        <w:rPr>
          <w:b/>
        </w:rPr>
        <w:t>nepodpořených kvalitních mezinárodních projektů</w:t>
      </w:r>
      <w:r w:rsidR="00D90EBC">
        <w:t>, obdobně jako ve</w:t>
      </w:r>
      <w:r w:rsidR="00E91B2E">
        <w:t> </w:t>
      </w:r>
      <w:r w:rsidR="00D90EBC">
        <w:t xml:space="preserve">výzvách Mezinárodní mobility výzkumných pracovníků v OP VVV. V těchto výzvách mohou </w:t>
      </w:r>
      <w:r w:rsidR="00D90EBC" w:rsidRPr="00D90EBC">
        <w:t xml:space="preserve">získat </w:t>
      </w:r>
      <w:r w:rsidR="00D90EBC">
        <w:t xml:space="preserve">podporu </w:t>
      </w:r>
      <w:r w:rsidR="00D90EBC" w:rsidRPr="00D90EBC">
        <w:t xml:space="preserve">projekty předložené do </w:t>
      </w:r>
      <w:r w:rsidR="00D90EBC">
        <w:t xml:space="preserve">zahraničních </w:t>
      </w:r>
      <w:r w:rsidR="00D90EBC" w:rsidRPr="00D90EBC">
        <w:t>program</w:t>
      </w:r>
      <w:r w:rsidR="00D90EBC">
        <w:t>ů podpory</w:t>
      </w:r>
      <w:r w:rsidR="00D90EBC" w:rsidRPr="00D90EBC">
        <w:t xml:space="preserve"> </w:t>
      </w:r>
      <w:r w:rsidR="00D90EBC">
        <w:t>(</w:t>
      </w:r>
      <w:r w:rsidR="00D90EBC" w:rsidRPr="00D90EBC">
        <w:t>Horizont 2020</w:t>
      </w:r>
      <w:r w:rsidR="00D90EBC">
        <w:t>)</w:t>
      </w:r>
      <w:r w:rsidR="00D90EBC" w:rsidRPr="00D90EBC">
        <w:t>, které byly Evropskou komisí kladně hodnoceny, ale vzhledem k nedostatku finančních prostředků nebyly dosud podpořeny.</w:t>
      </w:r>
    </w:p>
    <w:p w14:paraId="2428B8EB" w14:textId="77777777" w:rsidR="00DE71D7" w:rsidRDefault="00DE71D7" w:rsidP="002449AE">
      <w:pPr>
        <w:pStyle w:val="ListParagraph"/>
        <w:numPr>
          <w:ilvl w:val="0"/>
          <w:numId w:val="55"/>
        </w:numPr>
        <w:spacing w:after="120"/>
        <w:ind w:left="714" w:hanging="357"/>
        <w:contextualSpacing w:val="0"/>
        <w:jc w:val="both"/>
      </w:pPr>
      <w:r>
        <w:rPr>
          <w:b/>
        </w:rPr>
        <w:t>Věnovat pozorn</w:t>
      </w:r>
      <w:r w:rsidR="00634AA1">
        <w:rPr>
          <w:b/>
        </w:rPr>
        <w:t>ost stabilizaci</w:t>
      </w:r>
      <w:r>
        <w:rPr>
          <w:b/>
        </w:rPr>
        <w:t xml:space="preserve"> podnikatelského prostředí a </w:t>
      </w:r>
      <w:r w:rsidR="00634AA1">
        <w:rPr>
          <w:b/>
        </w:rPr>
        <w:t xml:space="preserve">systematické podpoře </w:t>
      </w:r>
      <w:r>
        <w:rPr>
          <w:b/>
        </w:rPr>
        <w:t xml:space="preserve">výzkumu a vývoje, zefektivnit a zjednodušit podporu vědy a výzkumu </w:t>
      </w:r>
      <w:r w:rsidRPr="00934611">
        <w:t xml:space="preserve">(např. </w:t>
      </w:r>
      <w:r w:rsidR="00634AA1">
        <w:t xml:space="preserve">podpořit </w:t>
      </w:r>
      <w:proofErr w:type="spellStart"/>
      <w:r w:rsidR="00634AA1">
        <w:t>VaVaI</w:t>
      </w:r>
      <w:proofErr w:type="spellEnd"/>
      <w:r w:rsidR="00634AA1">
        <w:t xml:space="preserve"> účinnějšími formami </w:t>
      </w:r>
      <w:r w:rsidR="00634AA1" w:rsidRPr="00634AA1">
        <w:t>daňového zvýhodnění</w:t>
      </w:r>
      <w:r w:rsidR="00634AA1">
        <w:t xml:space="preserve"> atd.</w:t>
      </w:r>
      <w:r w:rsidRPr="00934611">
        <w:t>)</w:t>
      </w:r>
    </w:p>
    <w:p w14:paraId="494AD428" w14:textId="77777777" w:rsidR="006229FF" w:rsidRDefault="006229FF" w:rsidP="006229FF">
      <w:pPr>
        <w:spacing w:after="120"/>
        <w:ind w:left="357"/>
        <w:jc w:val="both"/>
      </w:pPr>
    </w:p>
    <w:p w14:paraId="56B9D2A1" w14:textId="77777777" w:rsidR="008727E9" w:rsidRDefault="008727E9" w:rsidP="00152DAD">
      <w:pPr>
        <w:pStyle w:val="Heading1"/>
        <w:numPr>
          <w:ilvl w:val="1"/>
          <w:numId w:val="2"/>
        </w:numPr>
        <w:tabs>
          <w:tab w:val="left" w:pos="851"/>
        </w:tabs>
        <w:spacing w:before="240" w:after="120"/>
        <w:ind w:left="714" w:hanging="357"/>
      </w:pPr>
      <w:bookmarkStart w:id="94" w:name="_Toc8825230"/>
      <w:bookmarkStart w:id="95" w:name="_Toc11679645"/>
      <w:r>
        <w:t>Doporučení OP PIK pro zaměření programov</w:t>
      </w:r>
      <w:r w:rsidR="00D90EBC">
        <w:t>ého</w:t>
      </w:r>
      <w:r>
        <w:t xml:space="preserve"> období 2021+</w:t>
      </w:r>
      <w:bookmarkEnd w:id="94"/>
      <w:bookmarkEnd w:id="95"/>
    </w:p>
    <w:p w14:paraId="31D24AFF" w14:textId="77777777" w:rsidR="00EC70B8" w:rsidRDefault="00D90EBC" w:rsidP="00EC70B8">
      <w:pPr>
        <w:jc w:val="both"/>
      </w:pPr>
      <w:r>
        <w:t>Všechna doporučení uvedená výše jsou relevantní a vhodná i pro následné programové období 2021+. Aplikace, Inovace a Potenciál jsou funkční</w:t>
      </w:r>
      <w:r w:rsidR="00EC70B8">
        <w:t>mi</w:t>
      </w:r>
      <w:r>
        <w:t xml:space="preserve"> a </w:t>
      </w:r>
      <w:r w:rsidR="00EC70B8">
        <w:t xml:space="preserve">zároveň </w:t>
      </w:r>
      <w:r>
        <w:t>podniky žádan</w:t>
      </w:r>
      <w:r w:rsidR="00EC70B8">
        <w:t>ými</w:t>
      </w:r>
      <w:r>
        <w:t xml:space="preserve"> programy podpory. Je proto velmi vhodné, aby </w:t>
      </w:r>
      <w:r w:rsidR="00407BDB">
        <w:t>tyto programy podpory</w:t>
      </w:r>
      <w:r>
        <w:t xml:space="preserve"> zůstaly zachovány i do budoucna.</w:t>
      </w:r>
    </w:p>
    <w:p w14:paraId="25850719" w14:textId="77777777" w:rsidR="00AF7D67" w:rsidRPr="00181728" w:rsidRDefault="00AF7D67" w:rsidP="00AF7D67">
      <w:pPr>
        <w:spacing w:after="0" w:line="240" w:lineRule="auto"/>
        <w:rPr>
          <w:b/>
        </w:rPr>
      </w:pPr>
      <w:r>
        <w:rPr>
          <w:b/>
        </w:rPr>
        <w:t>Shrnutí d</w:t>
      </w:r>
      <w:r w:rsidRPr="009A72EC">
        <w:rPr>
          <w:b/>
        </w:rPr>
        <w:t>oporučení OP PIK pro zaměření programového období 2021</w:t>
      </w:r>
      <w:r w:rsidRPr="00181728">
        <w:rPr>
          <w:b/>
        </w:rPr>
        <w:t>+</w:t>
      </w:r>
    </w:p>
    <w:p w14:paraId="7B6E136F" w14:textId="77777777" w:rsidR="00AF7D67" w:rsidRPr="00181728" w:rsidRDefault="00AF7D67" w:rsidP="00AF7D67">
      <w:pPr>
        <w:spacing w:after="0" w:line="240" w:lineRule="auto"/>
      </w:pPr>
    </w:p>
    <w:tbl>
      <w:tblPr>
        <w:tblStyle w:val="ListTable3-Accent1"/>
        <w:tblW w:w="9634" w:type="dxa"/>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562"/>
        <w:gridCol w:w="9072"/>
      </w:tblGrid>
      <w:tr w:rsidR="00AF7D67" w:rsidRPr="009A72EC" w14:paraId="21592258" w14:textId="77777777" w:rsidTr="002B1A4B">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562" w:type="dxa"/>
            <w:tcBorders>
              <w:bottom w:val="none" w:sz="0" w:space="0" w:color="auto"/>
              <w:right w:val="none" w:sz="0" w:space="0" w:color="auto"/>
            </w:tcBorders>
            <w:vAlign w:val="center"/>
          </w:tcPr>
          <w:p w14:paraId="48EC82DC" w14:textId="77777777" w:rsidR="00AF7D67" w:rsidRPr="009A72EC" w:rsidRDefault="00AF7D67" w:rsidP="002B1A4B">
            <w:pPr>
              <w:spacing w:after="0"/>
              <w:rPr>
                <w:color w:val="FFFFFF" w:themeColor="background1"/>
              </w:rPr>
            </w:pPr>
            <w:r w:rsidRPr="009A72EC">
              <w:rPr>
                <w:color w:val="FFFFFF" w:themeColor="background1"/>
              </w:rPr>
              <w:t>Č.</w:t>
            </w:r>
          </w:p>
        </w:tc>
        <w:tc>
          <w:tcPr>
            <w:tcW w:w="9072" w:type="dxa"/>
            <w:vAlign w:val="center"/>
          </w:tcPr>
          <w:p w14:paraId="3464FD60" w14:textId="77777777" w:rsidR="00AF7D67" w:rsidRPr="009A72EC" w:rsidRDefault="00AF7D67" w:rsidP="002B1A4B">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9A72EC">
              <w:rPr>
                <w:color w:val="FFFFFF" w:themeColor="background1"/>
              </w:rPr>
              <w:t>Doporučení</w:t>
            </w:r>
          </w:p>
        </w:tc>
      </w:tr>
      <w:tr w:rsidR="00AF7D67" w:rsidRPr="004D390C" w14:paraId="37CCD70D"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738754F8" w14:textId="77777777" w:rsidR="00AF7D67" w:rsidRPr="004D390C" w:rsidRDefault="00AF7D67" w:rsidP="002B1A4B">
            <w:pPr>
              <w:spacing w:after="0"/>
              <w:rPr>
                <w:b w:val="0"/>
              </w:rPr>
            </w:pPr>
            <w:r w:rsidRPr="004D390C">
              <w:rPr>
                <w:b w:val="0"/>
              </w:rPr>
              <w:t>1</w:t>
            </w:r>
          </w:p>
        </w:tc>
        <w:tc>
          <w:tcPr>
            <w:tcW w:w="9072" w:type="dxa"/>
            <w:tcBorders>
              <w:top w:val="none" w:sz="0" w:space="0" w:color="auto"/>
              <w:bottom w:val="none" w:sz="0" w:space="0" w:color="auto"/>
            </w:tcBorders>
            <w:vAlign w:val="center"/>
          </w:tcPr>
          <w:p w14:paraId="29D3A77B" w14:textId="77777777" w:rsidR="00AF7D67" w:rsidRPr="004D390C" w:rsidRDefault="00AF7D67" w:rsidP="002B1A4B">
            <w:pPr>
              <w:spacing w:after="0"/>
              <w:cnfStyle w:val="000000100000" w:firstRow="0" w:lastRow="0" w:firstColumn="0" w:lastColumn="0" w:oddVBand="0" w:evenVBand="0" w:oddHBand="1" w:evenHBand="0" w:firstRowFirstColumn="0" w:firstRowLastColumn="0" w:lastRowFirstColumn="0" w:lastRowLastColumn="0"/>
            </w:pPr>
            <w:r w:rsidRPr="004D390C">
              <w:t>Trvale snižovat administrativní zátěž, urychlovat procesy hodnocení, schvalování a řízení projektů ze strany ŘO, API a umožnit flexibilní změny projektu a jejich rychlé schvalování</w:t>
            </w:r>
          </w:p>
        </w:tc>
      </w:tr>
      <w:tr w:rsidR="00AF7D67" w:rsidRPr="004D390C" w14:paraId="2599A02B"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4862DE7F" w14:textId="77777777" w:rsidR="00AF7D67" w:rsidRPr="004D390C" w:rsidRDefault="00AF7D67" w:rsidP="002B1A4B">
            <w:pPr>
              <w:spacing w:after="0"/>
              <w:rPr>
                <w:b w:val="0"/>
              </w:rPr>
            </w:pPr>
            <w:r w:rsidRPr="004D390C">
              <w:rPr>
                <w:b w:val="0"/>
              </w:rPr>
              <w:t>2</w:t>
            </w:r>
          </w:p>
        </w:tc>
        <w:tc>
          <w:tcPr>
            <w:tcW w:w="9072" w:type="dxa"/>
            <w:vAlign w:val="center"/>
          </w:tcPr>
          <w:p w14:paraId="13FE80A3"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pPr>
            <w:r w:rsidRPr="004D390C">
              <w:t>Sjednotit a kontinuálně zachovat nezměněná pravidla a metodiku podpory napříč ŘO, ZS, NOK</w:t>
            </w:r>
            <w:r>
              <w:t xml:space="preserve"> a kontrolními, auditními orgány</w:t>
            </w:r>
          </w:p>
        </w:tc>
      </w:tr>
      <w:tr w:rsidR="00AF7D67" w:rsidRPr="004D390C" w14:paraId="3E8475A3"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11A258E2" w14:textId="77777777" w:rsidR="00AF7D67" w:rsidRPr="004D390C" w:rsidRDefault="00AF7D67" w:rsidP="002B1A4B">
            <w:pPr>
              <w:spacing w:after="0"/>
              <w:rPr>
                <w:b w:val="0"/>
              </w:rPr>
            </w:pPr>
            <w:r w:rsidRPr="004D390C">
              <w:rPr>
                <w:b w:val="0"/>
              </w:rPr>
              <w:t>3</w:t>
            </w:r>
          </w:p>
        </w:tc>
        <w:tc>
          <w:tcPr>
            <w:tcW w:w="9072" w:type="dxa"/>
            <w:tcBorders>
              <w:top w:val="none" w:sz="0" w:space="0" w:color="auto"/>
              <w:bottom w:val="none" w:sz="0" w:space="0" w:color="auto"/>
            </w:tcBorders>
            <w:vAlign w:val="center"/>
          </w:tcPr>
          <w:p w14:paraId="1C387F9D" w14:textId="77777777" w:rsidR="00AF7D67" w:rsidRPr="004D390C" w:rsidRDefault="00AF7D67" w:rsidP="002B1A4B">
            <w:pPr>
              <w:spacing w:after="0"/>
              <w:cnfStyle w:val="000000100000" w:firstRow="0" w:lastRow="0" w:firstColumn="0" w:lastColumn="0" w:oddVBand="0" w:evenVBand="0" w:oddHBand="1" w:evenHBand="0" w:firstRowFirstColumn="0" w:firstRowLastColumn="0" w:lastRowFirstColumn="0" w:lastRowLastColumn="0"/>
            </w:pPr>
            <w:r w:rsidRPr="004D390C">
              <w:t xml:space="preserve">Zjednodušit výpočet a dokladování způsobilých </w:t>
            </w:r>
            <w:r>
              <w:t>výdajů</w:t>
            </w:r>
          </w:p>
        </w:tc>
      </w:tr>
      <w:tr w:rsidR="00AF7D67" w:rsidRPr="004D390C" w14:paraId="54C74886"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7AA1D29E" w14:textId="77777777" w:rsidR="00AF7D67" w:rsidRPr="004D390C" w:rsidRDefault="00AF7D67" w:rsidP="002B1A4B">
            <w:pPr>
              <w:spacing w:after="0"/>
              <w:rPr>
                <w:b w:val="0"/>
              </w:rPr>
            </w:pPr>
            <w:r w:rsidRPr="004D390C">
              <w:rPr>
                <w:b w:val="0"/>
              </w:rPr>
              <w:t>4</w:t>
            </w:r>
          </w:p>
        </w:tc>
        <w:tc>
          <w:tcPr>
            <w:tcW w:w="9072" w:type="dxa"/>
            <w:vAlign w:val="center"/>
          </w:tcPr>
          <w:p w14:paraId="2D19E086"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rPr>
                <w:rFonts w:cs="Calibri"/>
              </w:rPr>
            </w:pPr>
            <w:r w:rsidRPr="004D390C">
              <w:t>Zjednodušit pravidla poskytování podpory</w:t>
            </w:r>
          </w:p>
        </w:tc>
      </w:tr>
      <w:tr w:rsidR="00AF7D67" w:rsidRPr="004D390C" w14:paraId="1F2F9C0E"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7C362055" w14:textId="77777777" w:rsidR="00AF7D67" w:rsidRPr="004D390C" w:rsidRDefault="00AF7D67" w:rsidP="002B1A4B">
            <w:pPr>
              <w:spacing w:after="0"/>
              <w:rPr>
                <w:b w:val="0"/>
              </w:rPr>
            </w:pPr>
            <w:r w:rsidRPr="004D390C">
              <w:rPr>
                <w:b w:val="0"/>
              </w:rPr>
              <w:t>5</w:t>
            </w:r>
          </w:p>
        </w:tc>
        <w:tc>
          <w:tcPr>
            <w:tcW w:w="9072" w:type="dxa"/>
            <w:tcBorders>
              <w:top w:val="none" w:sz="0" w:space="0" w:color="auto"/>
              <w:bottom w:val="none" w:sz="0" w:space="0" w:color="auto"/>
            </w:tcBorders>
            <w:vAlign w:val="center"/>
          </w:tcPr>
          <w:p w14:paraId="43834D0C" w14:textId="77777777" w:rsidR="00AF7D67" w:rsidRPr="009A72EC" w:rsidRDefault="00AF7D67" w:rsidP="002B1A4B">
            <w:pPr>
              <w:spacing w:after="0" w:line="276" w:lineRule="auto"/>
              <w:cnfStyle w:val="000000100000" w:firstRow="0" w:lastRow="0" w:firstColumn="0" w:lastColumn="0" w:oddVBand="0" w:evenVBand="0" w:oddHBand="1" w:evenHBand="0" w:firstRowFirstColumn="0" w:firstRowLastColumn="0" w:lastRowFirstColumn="0" w:lastRowLastColumn="0"/>
            </w:pPr>
            <w:r w:rsidRPr="004D390C">
              <w:t>Do přípravy dalšího programového období více zapojit zprostředkující subjekty a využít jejich zkušenosti a doporučení. Podporovat sdílení příkladů dobré praxe, i přes zastřešující organizace typu komor a svazů. Šířit osvětu o charakte</w:t>
            </w:r>
            <w:r>
              <w:t>ru inovací s přidanou hodnotou</w:t>
            </w:r>
          </w:p>
        </w:tc>
      </w:tr>
      <w:tr w:rsidR="00AF7D67" w:rsidRPr="004D390C" w14:paraId="36FF0715"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0827EA3" w14:textId="77777777" w:rsidR="00AF7D67" w:rsidRPr="004D390C" w:rsidRDefault="00AF7D67" w:rsidP="002B1A4B">
            <w:pPr>
              <w:spacing w:after="0"/>
              <w:rPr>
                <w:b w:val="0"/>
              </w:rPr>
            </w:pPr>
            <w:r w:rsidRPr="004D390C">
              <w:rPr>
                <w:b w:val="0"/>
              </w:rPr>
              <w:t>6</w:t>
            </w:r>
          </w:p>
        </w:tc>
        <w:tc>
          <w:tcPr>
            <w:tcW w:w="9072" w:type="dxa"/>
            <w:vAlign w:val="center"/>
          </w:tcPr>
          <w:p w14:paraId="2940D383"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pPr>
            <w:r w:rsidRPr="004D390C">
              <w:t>Posílit finanční řízení programu umožňující efektivní čerpání alokace s cílem dosažení</w:t>
            </w:r>
            <w:r>
              <w:t xml:space="preserve"> cílů</w:t>
            </w:r>
          </w:p>
        </w:tc>
      </w:tr>
      <w:tr w:rsidR="00AF7D67" w:rsidRPr="004D390C" w14:paraId="30246BE4"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70BF8256" w14:textId="77777777" w:rsidR="00AF7D67" w:rsidRPr="004D390C" w:rsidRDefault="00AF7D67" w:rsidP="002B1A4B">
            <w:pPr>
              <w:spacing w:after="0"/>
              <w:rPr>
                <w:b w:val="0"/>
              </w:rPr>
            </w:pPr>
            <w:r w:rsidRPr="004D390C">
              <w:rPr>
                <w:b w:val="0"/>
              </w:rPr>
              <w:t>7</w:t>
            </w:r>
          </w:p>
        </w:tc>
        <w:tc>
          <w:tcPr>
            <w:tcW w:w="9072" w:type="dxa"/>
            <w:tcBorders>
              <w:top w:val="none" w:sz="0" w:space="0" w:color="auto"/>
              <w:bottom w:val="none" w:sz="0" w:space="0" w:color="auto"/>
            </w:tcBorders>
            <w:vAlign w:val="center"/>
          </w:tcPr>
          <w:p w14:paraId="7DF80D55" w14:textId="77777777" w:rsidR="00AF7D67" w:rsidRPr="004D390C" w:rsidRDefault="00AF7D67" w:rsidP="002B1A4B">
            <w:pPr>
              <w:spacing w:after="0" w:line="276" w:lineRule="auto"/>
              <w:cnfStyle w:val="000000100000" w:firstRow="0" w:lastRow="0" w:firstColumn="0" w:lastColumn="0" w:oddVBand="0" w:evenVBand="0" w:oddHBand="1" w:evenHBand="0" w:firstRowFirstColumn="0" w:firstRowLastColumn="0" w:lastRowFirstColumn="0" w:lastRowLastColumn="0"/>
            </w:pPr>
            <w:r w:rsidRPr="004D390C">
              <w:t>Revidovat indikátorovou soustavu a způsob monitoringu a reportingu indikátorů. Do indikátorové soustavy doplnit dopadové indikátory, které umožní</w:t>
            </w:r>
            <w:r>
              <w:t xml:space="preserve"> měření změny chování příjemců</w:t>
            </w:r>
          </w:p>
        </w:tc>
      </w:tr>
      <w:tr w:rsidR="00AF7D67" w:rsidRPr="004D390C" w14:paraId="402EC054"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04BE6F8" w14:textId="77777777" w:rsidR="00AF7D67" w:rsidRPr="004D390C" w:rsidRDefault="00AF7D67" w:rsidP="002B1A4B">
            <w:pPr>
              <w:spacing w:after="0"/>
              <w:rPr>
                <w:b w:val="0"/>
              </w:rPr>
            </w:pPr>
            <w:r w:rsidRPr="004D390C">
              <w:rPr>
                <w:b w:val="0"/>
              </w:rPr>
              <w:t>8</w:t>
            </w:r>
          </w:p>
        </w:tc>
        <w:tc>
          <w:tcPr>
            <w:tcW w:w="9072" w:type="dxa"/>
            <w:vAlign w:val="center"/>
          </w:tcPr>
          <w:p w14:paraId="7AE86319" w14:textId="77777777" w:rsidR="00AF7D67" w:rsidRPr="004D390C" w:rsidRDefault="00AF7D67" w:rsidP="002B1A4B">
            <w:pPr>
              <w:spacing w:after="0" w:line="276" w:lineRule="auto"/>
              <w:cnfStyle w:val="000000000000" w:firstRow="0" w:lastRow="0" w:firstColumn="0" w:lastColumn="0" w:oddVBand="0" w:evenVBand="0" w:oddHBand="0" w:evenHBand="0" w:firstRowFirstColumn="0" w:firstRowLastColumn="0" w:lastRowFirstColumn="0" w:lastRowLastColumn="0"/>
            </w:pPr>
            <w:r w:rsidRPr="004D390C">
              <w:t>Vyžít finanční nástroje na podporu MSP v oblasti tržního uplatnění přelomových inovačních řešení, rozvoj technologických, kreativních a digitálních inovací v oblasti tradičních řemesel</w:t>
            </w:r>
            <w:r>
              <w:t xml:space="preserve"> a nákup nových technologií</w:t>
            </w:r>
          </w:p>
        </w:tc>
      </w:tr>
      <w:tr w:rsidR="00AF7D67" w:rsidRPr="004D390C" w14:paraId="1CB2A319"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5C951D52" w14:textId="77777777" w:rsidR="00AF7D67" w:rsidRPr="004D390C" w:rsidRDefault="00AF7D67" w:rsidP="002B1A4B">
            <w:pPr>
              <w:spacing w:after="0"/>
              <w:rPr>
                <w:b w:val="0"/>
              </w:rPr>
            </w:pPr>
            <w:r w:rsidRPr="004D390C">
              <w:rPr>
                <w:b w:val="0"/>
              </w:rPr>
              <w:t>9</w:t>
            </w:r>
          </w:p>
        </w:tc>
        <w:tc>
          <w:tcPr>
            <w:tcW w:w="9072" w:type="dxa"/>
            <w:tcBorders>
              <w:top w:val="none" w:sz="0" w:space="0" w:color="auto"/>
              <w:bottom w:val="none" w:sz="0" w:space="0" w:color="auto"/>
            </w:tcBorders>
            <w:vAlign w:val="center"/>
          </w:tcPr>
          <w:p w14:paraId="5F92C594" w14:textId="77777777" w:rsidR="00AF7D67" w:rsidRPr="004D390C" w:rsidRDefault="00AF7D67" w:rsidP="002B1A4B">
            <w:pPr>
              <w:spacing w:after="0" w:line="276" w:lineRule="auto"/>
              <w:cnfStyle w:val="000000100000" w:firstRow="0" w:lastRow="0" w:firstColumn="0" w:lastColumn="0" w:oddVBand="0" w:evenVBand="0" w:oddHBand="1" w:evenHBand="0" w:firstRowFirstColumn="0" w:firstRowLastColumn="0" w:lastRowFirstColumn="0" w:lastRowLastColumn="0"/>
            </w:pPr>
            <w:r w:rsidRPr="004D390C">
              <w:t>Dbát na srozumitelnost pravidel a metodik. Přínosem v tomto směru mohou být konzultace se vzorkem</w:t>
            </w:r>
            <w:r>
              <w:t xml:space="preserve"> potenciálních příjemců podpory</w:t>
            </w:r>
          </w:p>
        </w:tc>
      </w:tr>
      <w:tr w:rsidR="00AF7D67" w:rsidRPr="004D390C" w14:paraId="46602B04"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0C27B1E1" w14:textId="77777777" w:rsidR="00AF7D67" w:rsidRPr="004D390C" w:rsidRDefault="00AF7D67" w:rsidP="002B1A4B">
            <w:pPr>
              <w:spacing w:after="0"/>
              <w:rPr>
                <w:b w:val="0"/>
              </w:rPr>
            </w:pPr>
            <w:r w:rsidRPr="004D390C">
              <w:rPr>
                <w:b w:val="0"/>
              </w:rPr>
              <w:t>10</w:t>
            </w:r>
          </w:p>
        </w:tc>
        <w:tc>
          <w:tcPr>
            <w:tcW w:w="9072" w:type="dxa"/>
            <w:vAlign w:val="center"/>
          </w:tcPr>
          <w:p w14:paraId="69DFB643"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rPr>
                <w:rFonts w:cs="Calibri"/>
              </w:rPr>
            </w:pPr>
            <w:r w:rsidRPr="004D390C">
              <w:t xml:space="preserve">Vyhlašovat výzvy, aby umožňovaly co největší flexibilitu a bylo možné reagovat na (prudké) výkyvy na trhu a vývoji ve </w:t>
            </w:r>
            <w:proofErr w:type="spellStart"/>
            <w:r w:rsidRPr="004D390C">
              <w:t>VaVaI</w:t>
            </w:r>
            <w:proofErr w:type="spellEnd"/>
            <w:r w:rsidRPr="004D390C">
              <w:t xml:space="preserve"> sektoru</w:t>
            </w:r>
          </w:p>
        </w:tc>
      </w:tr>
      <w:tr w:rsidR="00AF7D67" w:rsidRPr="004D390C" w14:paraId="3121F528"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725F09E6" w14:textId="77777777" w:rsidR="00AF7D67" w:rsidRPr="004D390C" w:rsidRDefault="00AF7D67" w:rsidP="002B1A4B">
            <w:pPr>
              <w:spacing w:after="0"/>
              <w:rPr>
                <w:b w:val="0"/>
              </w:rPr>
            </w:pPr>
            <w:r w:rsidRPr="004D390C">
              <w:rPr>
                <w:b w:val="0"/>
              </w:rPr>
              <w:t>11</w:t>
            </w:r>
          </w:p>
        </w:tc>
        <w:tc>
          <w:tcPr>
            <w:tcW w:w="9072" w:type="dxa"/>
            <w:tcBorders>
              <w:top w:val="none" w:sz="0" w:space="0" w:color="auto"/>
              <w:bottom w:val="none" w:sz="0" w:space="0" w:color="auto"/>
            </w:tcBorders>
            <w:vAlign w:val="center"/>
          </w:tcPr>
          <w:p w14:paraId="430BA767" w14:textId="77777777" w:rsidR="00AF7D67" w:rsidRPr="004D390C" w:rsidRDefault="00AF7D67" w:rsidP="002B1A4B">
            <w:pPr>
              <w:spacing w:after="0"/>
              <w:cnfStyle w:val="000000100000" w:firstRow="0" w:lastRow="0" w:firstColumn="0" w:lastColumn="0" w:oddVBand="0" w:evenVBand="0" w:oddHBand="1" w:evenHBand="0" w:firstRowFirstColumn="0" w:firstRowLastColumn="0" w:lastRowFirstColumn="0" w:lastRowLastColumn="0"/>
              <w:rPr>
                <w:rFonts w:cs="Calibri"/>
              </w:rPr>
            </w:pPr>
            <w:r w:rsidRPr="004D390C">
              <w:t>Ponechat jednotné metodické prostředí pouze na centrální úrovni</w:t>
            </w:r>
            <w:r>
              <w:t xml:space="preserve"> a zautomatizovat sdílení a </w:t>
            </w:r>
            <w:r w:rsidRPr="004D390C">
              <w:t>výměnu dat a dokumentů</w:t>
            </w:r>
          </w:p>
        </w:tc>
      </w:tr>
      <w:tr w:rsidR="00AF7D67" w:rsidRPr="004D390C" w14:paraId="64A45365"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7EC6D818" w14:textId="77777777" w:rsidR="00AF7D67" w:rsidRPr="004D390C" w:rsidRDefault="00AF7D67" w:rsidP="002B1A4B">
            <w:pPr>
              <w:spacing w:after="0"/>
              <w:rPr>
                <w:b w:val="0"/>
              </w:rPr>
            </w:pPr>
            <w:r w:rsidRPr="004D390C">
              <w:rPr>
                <w:b w:val="0"/>
              </w:rPr>
              <w:t>12</w:t>
            </w:r>
          </w:p>
        </w:tc>
        <w:tc>
          <w:tcPr>
            <w:tcW w:w="9072" w:type="dxa"/>
            <w:vAlign w:val="center"/>
          </w:tcPr>
          <w:p w14:paraId="2D5D0562"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pPr>
            <w:r w:rsidRPr="004D390C">
              <w:t xml:space="preserve">Rozšířit portfolio technické pomoci na vyhodnocení připravenosti žadatelů na realizaci </w:t>
            </w:r>
            <w:proofErr w:type="spellStart"/>
            <w:r w:rsidRPr="004D390C">
              <w:t>VaVaI</w:t>
            </w:r>
            <w:proofErr w:type="spellEnd"/>
            <w:r w:rsidRPr="004D390C">
              <w:t>. Vytvořit program na poskytování navazujícího poradenství v oblasti podpory nastavení inovačních procesů a restrukturalizace firem pro navýšení inovační výkonnosti</w:t>
            </w:r>
          </w:p>
        </w:tc>
      </w:tr>
      <w:tr w:rsidR="00AF7D67" w:rsidRPr="004D390C" w14:paraId="5528D4BF"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0F203EE2" w14:textId="77777777" w:rsidR="00AF7D67" w:rsidRPr="004D390C" w:rsidRDefault="00AF7D67" w:rsidP="002B1A4B">
            <w:pPr>
              <w:spacing w:after="0"/>
              <w:rPr>
                <w:b w:val="0"/>
              </w:rPr>
            </w:pPr>
            <w:r w:rsidRPr="004D390C">
              <w:rPr>
                <w:b w:val="0"/>
              </w:rPr>
              <w:t>13</w:t>
            </w:r>
          </w:p>
        </w:tc>
        <w:tc>
          <w:tcPr>
            <w:tcW w:w="9072" w:type="dxa"/>
            <w:tcBorders>
              <w:top w:val="none" w:sz="0" w:space="0" w:color="auto"/>
              <w:bottom w:val="none" w:sz="0" w:space="0" w:color="auto"/>
            </w:tcBorders>
            <w:vAlign w:val="center"/>
          </w:tcPr>
          <w:p w14:paraId="63191ADF" w14:textId="77777777" w:rsidR="00AF7D67" w:rsidRPr="004D390C" w:rsidRDefault="00AF7D67" w:rsidP="002B1A4B">
            <w:pPr>
              <w:spacing w:after="0"/>
              <w:cnfStyle w:val="000000100000" w:firstRow="0" w:lastRow="0" w:firstColumn="0" w:lastColumn="0" w:oddVBand="0" w:evenVBand="0" w:oddHBand="1" w:evenHBand="0" w:firstRowFirstColumn="0" w:firstRowLastColumn="0" w:lastRowFirstColumn="0" w:lastRowLastColumn="0"/>
            </w:pPr>
            <w:r w:rsidRPr="004D390C">
              <w:t>Zvážit doplnění možnosti právní podpory pro získání a ochranu celosvětových patentů.</w:t>
            </w:r>
          </w:p>
        </w:tc>
      </w:tr>
      <w:tr w:rsidR="00AF7D67" w:rsidRPr="004D390C" w14:paraId="60721EC3"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1A768745" w14:textId="77777777" w:rsidR="00AF7D67" w:rsidRPr="004D390C" w:rsidRDefault="00AF7D67" w:rsidP="002B1A4B">
            <w:pPr>
              <w:spacing w:after="0"/>
              <w:rPr>
                <w:b w:val="0"/>
              </w:rPr>
            </w:pPr>
            <w:r w:rsidRPr="004D390C">
              <w:rPr>
                <w:b w:val="0"/>
              </w:rPr>
              <w:t>14</w:t>
            </w:r>
          </w:p>
        </w:tc>
        <w:tc>
          <w:tcPr>
            <w:tcW w:w="9072" w:type="dxa"/>
            <w:vAlign w:val="center"/>
          </w:tcPr>
          <w:p w14:paraId="50301A69" w14:textId="77777777" w:rsidR="00AF7D67" w:rsidRPr="004D390C" w:rsidRDefault="00AF7D67" w:rsidP="002B1A4B">
            <w:pPr>
              <w:spacing w:after="0"/>
              <w:cnfStyle w:val="000000000000" w:firstRow="0" w:lastRow="0" w:firstColumn="0" w:lastColumn="0" w:oddVBand="0" w:evenVBand="0" w:oddHBand="0" w:evenHBand="0" w:firstRowFirstColumn="0" w:firstRowLastColumn="0" w:lastRowFirstColumn="0" w:lastRowLastColumn="0"/>
            </w:pPr>
            <w:r w:rsidRPr="004D390C">
              <w:t>Navýšit finanční alokaci na „nákup“ služeb od veřejných výzkumných pracovišť přes inovační vouchery</w:t>
            </w:r>
          </w:p>
        </w:tc>
      </w:tr>
      <w:tr w:rsidR="00AF7D67" w:rsidRPr="004D390C" w14:paraId="1DF7812A"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1512F8E8" w14:textId="77777777" w:rsidR="00AF7D67" w:rsidRPr="004D390C" w:rsidRDefault="00AF7D67" w:rsidP="002B1A4B">
            <w:pPr>
              <w:spacing w:after="0"/>
              <w:rPr>
                <w:b w:val="0"/>
              </w:rPr>
            </w:pPr>
            <w:r w:rsidRPr="004D390C">
              <w:rPr>
                <w:b w:val="0"/>
              </w:rPr>
              <w:t>15</w:t>
            </w:r>
          </w:p>
        </w:tc>
        <w:tc>
          <w:tcPr>
            <w:tcW w:w="9072" w:type="dxa"/>
            <w:tcBorders>
              <w:top w:val="none" w:sz="0" w:space="0" w:color="auto"/>
              <w:bottom w:val="none" w:sz="0" w:space="0" w:color="auto"/>
            </w:tcBorders>
            <w:vAlign w:val="center"/>
          </w:tcPr>
          <w:p w14:paraId="13E39C7F" w14:textId="77777777" w:rsidR="00AF7D67" w:rsidRPr="004D390C" w:rsidRDefault="00AF7D67" w:rsidP="002B1A4B">
            <w:pPr>
              <w:spacing w:after="0" w:line="276" w:lineRule="auto"/>
              <w:cnfStyle w:val="000000100000" w:firstRow="0" w:lastRow="0" w:firstColumn="0" w:lastColumn="0" w:oddVBand="0" w:evenVBand="0" w:oddHBand="1" w:evenHBand="0" w:firstRowFirstColumn="0" w:firstRowLastColumn="0" w:lastRowFirstColumn="0" w:lastRowLastColumn="0"/>
            </w:pPr>
            <w:r w:rsidRPr="004D390C">
              <w:t>Pozdvihnout průřezové priority dopadu na životní prostředí, nízkouhlíkové technologie, úspory energií apod. z bonifikačních kritérií na samostatná témata výzev</w:t>
            </w:r>
          </w:p>
        </w:tc>
      </w:tr>
      <w:tr w:rsidR="00AF7D67" w:rsidRPr="004D390C" w14:paraId="5C02BECF" w14:textId="77777777" w:rsidTr="002B1A4B">
        <w:trPr>
          <w:trHeight w:val="510"/>
        </w:trPr>
        <w:tc>
          <w:tcPr>
            <w:cnfStyle w:val="001000000000" w:firstRow="0" w:lastRow="0" w:firstColumn="1" w:lastColumn="0" w:oddVBand="0" w:evenVBand="0" w:oddHBand="0" w:evenHBand="0" w:firstRowFirstColumn="0" w:firstRowLastColumn="0" w:lastRowFirstColumn="0" w:lastRowLastColumn="0"/>
            <w:tcW w:w="562" w:type="dxa"/>
            <w:tcBorders>
              <w:right w:val="none" w:sz="0" w:space="0" w:color="auto"/>
            </w:tcBorders>
            <w:vAlign w:val="center"/>
          </w:tcPr>
          <w:p w14:paraId="3B22F79C" w14:textId="77777777" w:rsidR="00AF7D67" w:rsidRPr="004D390C" w:rsidRDefault="00AF7D67" w:rsidP="002B1A4B">
            <w:pPr>
              <w:spacing w:after="0"/>
              <w:rPr>
                <w:b w:val="0"/>
              </w:rPr>
            </w:pPr>
            <w:r w:rsidRPr="004D390C">
              <w:rPr>
                <w:b w:val="0"/>
              </w:rPr>
              <w:t>16</w:t>
            </w:r>
          </w:p>
        </w:tc>
        <w:tc>
          <w:tcPr>
            <w:tcW w:w="9072" w:type="dxa"/>
            <w:vAlign w:val="center"/>
          </w:tcPr>
          <w:p w14:paraId="4781DCDC" w14:textId="77777777" w:rsidR="00AF7D67" w:rsidRPr="004D390C" w:rsidRDefault="00AF7D67" w:rsidP="002B1A4B">
            <w:pPr>
              <w:spacing w:after="0" w:line="276" w:lineRule="auto"/>
              <w:cnfStyle w:val="000000000000" w:firstRow="0" w:lastRow="0" w:firstColumn="0" w:lastColumn="0" w:oddVBand="0" w:evenVBand="0" w:oddHBand="0" w:evenHBand="0" w:firstRowFirstColumn="0" w:firstRowLastColumn="0" w:lastRowFirstColumn="0" w:lastRowLastColumn="0"/>
            </w:pPr>
            <w:r w:rsidRPr="004D390C">
              <w:t xml:space="preserve">Zvážit podmínění spolupráce s VVO nastavením licenčních pravidel a ujednání s konkrétními výzkumníky, obdobně jako je tomu u programů podpory TA </w:t>
            </w:r>
            <w:r>
              <w:t>ČR</w:t>
            </w:r>
          </w:p>
        </w:tc>
      </w:tr>
      <w:tr w:rsidR="00AF7D67" w:rsidRPr="004D390C" w14:paraId="0060AB54" w14:textId="77777777" w:rsidTr="002B1A4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bottom w:val="none" w:sz="0" w:space="0" w:color="auto"/>
              <w:right w:val="none" w:sz="0" w:space="0" w:color="auto"/>
            </w:tcBorders>
            <w:vAlign w:val="center"/>
          </w:tcPr>
          <w:p w14:paraId="705EF1B3" w14:textId="77777777" w:rsidR="00AF7D67" w:rsidRPr="004D390C" w:rsidRDefault="00AF7D67" w:rsidP="002B1A4B">
            <w:pPr>
              <w:spacing w:after="0"/>
              <w:rPr>
                <w:b w:val="0"/>
              </w:rPr>
            </w:pPr>
            <w:r w:rsidRPr="004D390C">
              <w:rPr>
                <w:b w:val="0"/>
              </w:rPr>
              <w:t>17</w:t>
            </w:r>
          </w:p>
        </w:tc>
        <w:tc>
          <w:tcPr>
            <w:tcW w:w="9072" w:type="dxa"/>
            <w:tcBorders>
              <w:top w:val="none" w:sz="0" w:space="0" w:color="auto"/>
              <w:bottom w:val="none" w:sz="0" w:space="0" w:color="auto"/>
            </w:tcBorders>
            <w:vAlign w:val="center"/>
          </w:tcPr>
          <w:p w14:paraId="056B4C74" w14:textId="77777777" w:rsidR="00AF7D67" w:rsidRPr="004D390C" w:rsidRDefault="00AF7D67" w:rsidP="002B1A4B">
            <w:pPr>
              <w:spacing w:after="0" w:line="276" w:lineRule="auto"/>
              <w:cnfStyle w:val="000000100000" w:firstRow="0" w:lastRow="0" w:firstColumn="0" w:lastColumn="0" w:oddVBand="0" w:evenVBand="0" w:oddHBand="1" w:evenHBand="0" w:firstRowFirstColumn="0" w:firstRowLastColumn="0" w:lastRowFirstColumn="0" w:lastRowLastColumn="0"/>
            </w:pPr>
            <w:r w:rsidRPr="004D390C">
              <w:t>Klást větší důraz na propojení investic na inovace z OP PIK s investicemi do „měkkých“ dovedností a vzdělávání z OP Z, OP VVV a dalších programů</w:t>
            </w:r>
          </w:p>
        </w:tc>
      </w:tr>
    </w:tbl>
    <w:p w14:paraId="179956F0" w14:textId="77777777" w:rsidR="00AF7D67" w:rsidRPr="00181728" w:rsidRDefault="00AF7D67" w:rsidP="00AF7D67">
      <w:pPr>
        <w:spacing w:after="0" w:line="240" w:lineRule="auto"/>
      </w:pPr>
    </w:p>
    <w:p w14:paraId="70A8E91D" w14:textId="77777777" w:rsidR="00AF7D67" w:rsidRPr="00CE2FF0" w:rsidRDefault="00AF7D67" w:rsidP="00CE2FF0">
      <w:pPr>
        <w:spacing w:before="120"/>
        <w:rPr>
          <w:b/>
          <w:color w:val="012169" w:themeColor="accent4"/>
        </w:rPr>
      </w:pPr>
      <w:r w:rsidRPr="00CE2FF0">
        <w:rPr>
          <w:b/>
          <w:color w:val="012169" w:themeColor="accent4"/>
        </w:rPr>
        <w:t>Detailní rozpracování výše uvedených doporučení:</w:t>
      </w:r>
    </w:p>
    <w:p w14:paraId="1B03E106" w14:textId="60FE5BC3" w:rsidR="00B05E33" w:rsidRDefault="00EC70B8" w:rsidP="00CE2FF0">
      <w:pPr>
        <w:spacing w:before="120"/>
        <w:jc w:val="both"/>
      </w:pPr>
      <w:r>
        <w:t xml:space="preserve">Z provedených rozhovorů a případových studií </w:t>
      </w:r>
      <w:r w:rsidR="00172807">
        <w:t xml:space="preserve">mají příjemci zájem o zachování </w:t>
      </w:r>
      <w:r>
        <w:rPr>
          <w:b/>
        </w:rPr>
        <w:t xml:space="preserve">financování formou </w:t>
      </w:r>
      <w:r w:rsidR="00B05E33" w:rsidRPr="00B05E33">
        <w:rPr>
          <w:b/>
        </w:rPr>
        <w:t>dotace</w:t>
      </w:r>
      <w:r w:rsidR="00407BDB">
        <w:rPr>
          <w:b/>
        </w:rPr>
        <w:t xml:space="preserve"> a </w:t>
      </w:r>
      <w:r w:rsidR="00B05E33" w:rsidRPr="00B05E33">
        <w:rPr>
          <w:b/>
        </w:rPr>
        <w:t>udrže</w:t>
      </w:r>
      <w:r w:rsidR="00172807">
        <w:rPr>
          <w:b/>
        </w:rPr>
        <w:t>ní</w:t>
      </w:r>
      <w:r w:rsidR="00B05E33" w:rsidRPr="00B05E33">
        <w:rPr>
          <w:b/>
        </w:rPr>
        <w:t xml:space="preserve"> míru financování ve výši 30–50 %</w:t>
      </w:r>
      <w:r w:rsidR="00B05E33">
        <w:t xml:space="preserve">. Zejména pro MSP </w:t>
      </w:r>
      <w:r>
        <w:t>je</w:t>
      </w:r>
      <w:r w:rsidR="00B05E33">
        <w:t xml:space="preserve"> míra financování kritická – při velmi nízké dotaci výrazně klesá </w:t>
      </w:r>
      <w:r w:rsidR="00407BDB">
        <w:t>motivace</w:t>
      </w:r>
      <w:r w:rsidR="00B05E33">
        <w:t xml:space="preserve"> </w:t>
      </w:r>
      <w:r w:rsidR="00407BDB">
        <w:t xml:space="preserve">a možnosti </w:t>
      </w:r>
      <w:r w:rsidR="00B05E33">
        <w:t>realizovat inovační projekty. Zároveň při zachování významného podílu spolufinancování ze strany příjemce se zvyšuje přirozený tlak na</w:t>
      </w:r>
      <w:r w:rsidR="00E91B2E">
        <w:t> </w:t>
      </w:r>
      <w:r w:rsidR="00407BDB">
        <w:t>smysluplnost a </w:t>
      </w:r>
      <w:r w:rsidR="00B05E33">
        <w:t>efektivitu realizovaných projektů.</w:t>
      </w:r>
    </w:p>
    <w:p w14:paraId="7EDC66FC" w14:textId="77777777" w:rsidR="00EC70B8" w:rsidRDefault="00EC70B8" w:rsidP="00EC70B8">
      <w:pPr>
        <w:jc w:val="both"/>
      </w:pPr>
      <w:r>
        <w:t xml:space="preserve">Mezi hlavní nedostatky stávajícího období, kterých by se ŘO měl v příštím programovém </w:t>
      </w:r>
      <w:r w:rsidR="00E91B2E">
        <w:t xml:space="preserve">období </w:t>
      </w:r>
      <w:r>
        <w:t xml:space="preserve">vyvarovat, </w:t>
      </w:r>
      <w:r w:rsidR="00E91B2E">
        <w:t>spadají</w:t>
      </w:r>
      <w:r>
        <w:t xml:space="preserve"> různé </w:t>
      </w:r>
      <w:r w:rsidRPr="00407BDB">
        <w:rPr>
          <w:b/>
        </w:rPr>
        <w:t>podoby komplikovanosti a administrativní zátěže</w:t>
      </w:r>
      <w:r>
        <w:t xml:space="preserve">. </w:t>
      </w:r>
      <w:r>
        <w:rPr>
          <w:b/>
        </w:rPr>
        <w:t>Prioritou</w:t>
      </w:r>
      <w:r>
        <w:t xml:space="preserve"> pro programové období 20</w:t>
      </w:r>
      <w:r w:rsidR="00E91B2E">
        <w:t>2</w:t>
      </w:r>
      <w:r>
        <w:t xml:space="preserve">1+ by mělo být především </w:t>
      </w:r>
      <w:r w:rsidRPr="00EC70B8">
        <w:rPr>
          <w:b/>
        </w:rPr>
        <w:t>zjednodušování</w:t>
      </w:r>
      <w:r>
        <w:t>. Mezi hlavní doporučení patří:</w:t>
      </w:r>
    </w:p>
    <w:p w14:paraId="6867E082" w14:textId="77777777" w:rsidR="00373E3D" w:rsidRDefault="00B05E33" w:rsidP="009A72EC">
      <w:pPr>
        <w:pStyle w:val="ListParagraph"/>
        <w:numPr>
          <w:ilvl w:val="0"/>
          <w:numId w:val="55"/>
        </w:numPr>
        <w:spacing w:after="120"/>
        <w:contextualSpacing w:val="0"/>
        <w:jc w:val="both"/>
      </w:pPr>
      <w:r w:rsidRPr="00634AA1">
        <w:rPr>
          <w:b/>
        </w:rPr>
        <w:t>Trvale snižovat administrativní zátěž, urychlovat procesy hodnocení, schvalování a řízení projektů</w:t>
      </w:r>
      <w:r>
        <w:t xml:space="preserve"> </w:t>
      </w:r>
      <w:r w:rsidR="00373E3D" w:rsidRPr="00634AA1">
        <w:rPr>
          <w:b/>
        </w:rPr>
        <w:t>ze strany ŘO, API a u</w:t>
      </w:r>
      <w:r w:rsidR="00172807" w:rsidRPr="00634AA1">
        <w:rPr>
          <w:b/>
        </w:rPr>
        <w:t>možnit flexibilní změny projektu a jejich rychlé schvalování.</w:t>
      </w:r>
      <w:r w:rsidR="00172807">
        <w:t xml:space="preserve"> </w:t>
      </w:r>
      <w:r w:rsidR="00373E3D">
        <w:t xml:space="preserve">S tím souvisí revize monitorovacího systému (zavedení více funkcionalit a prevence duplicit), zavedení robustnějšího systému technické podpory pro žadatele, </w:t>
      </w:r>
      <w:r w:rsidR="00373E3D" w:rsidRPr="002A2508">
        <w:t xml:space="preserve">stabilizace </w:t>
      </w:r>
      <w:r w:rsidR="00373E3D" w:rsidRPr="00C2329B">
        <w:t>metodického prostředí</w:t>
      </w:r>
      <w:r w:rsidR="00373E3D">
        <w:t>), posílení personální kapacity API, automatizace procesů, zlepšení komunikace na straně</w:t>
      </w:r>
      <w:r w:rsidR="00634AA1">
        <w:t xml:space="preserve"> ŘO a API.</w:t>
      </w:r>
    </w:p>
    <w:p w14:paraId="741CCAF1" w14:textId="77777777" w:rsidR="00B05E33" w:rsidRDefault="00D26013" w:rsidP="00CE2FF0">
      <w:pPr>
        <w:pStyle w:val="ListParagraph"/>
        <w:numPr>
          <w:ilvl w:val="0"/>
          <w:numId w:val="55"/>
        </w:numPr>
        <w:spacing w:after="120"/>
        <w:contextualSpacing w:val="0"/>
        <w:jc w:val="both"/>
      </w:pPr>
      <w:r>
        <w:rPr>
          <w:b/>
        </w:rPr>
        <w:t>Sjednotit a kontinuálně zachovat nezměněná pravidla a metodiku podpory</w:t>
      </w:r>
      <w:r w:rsidR="00172807">
        <w:t xml:space="preserve"> napříč ŘO, ZS, NOK</w:t>
      </w:r>
      <w:r>
        <w:t xml:space="preserve"> a kontrolními, auditními orgány. Sjednotit pravidla, metodiku a terminologii napříč PO, programy podpory i výzvami.</w:t>
      </w:r>
    </w:p>
    <w:p w14:paraId="0FA27916" w14:textId="77777777" w:rsidR="00511BB9" w:rsidRDefault="00B05E33" w:rsidP="00511BB9">
      <w:pPr>
        <w:pStyle w:val="ListParagraph"/>
        <w:numPr>
          <w:ilvl w:val="0"/>
          <w:numId w:val="55"/>
        </w:numPr>
        <w:spacing w:after="120" w:line="276" w:lineRule="auto"/>
        <w:ind w:left="714" w:hanging="357"/>
        <w:contextualSpacing w:val="0"/>
        <w:jc w:val="both"/>
      </w:pPr>
      <w:r w:rsidRPr="00D26013">
        <w:rPr>
          <w:b/>
        </w:rPr>
        <w:t>Zjednodušit výpočet a dokladování způsobilých výdajů.</w:t>
      </w:r>
      <w:r>
        <w:t xml:space="preserve"> Ve stávajícím období je </w:t>
      </w:r>
      <w:r w:rsidR="00172807">
        <w:t xml:space="preserve">problematické </w:t>
      </w:r>
      <w:r>
        <w:t>především programu Aplikace. Složitý mechanismus představuje výraznou administrativní zátěž jak na straně žadatele, tak i na straně poskytovatele (API), nehledě na zbytečný potenciální nárůst chybovosti.</w:t>
      </w:r>
    </w:p>
    <w:p w14:paraId="670C0C71" w14:textId="19134293" w:rsidR="00B05E33" w:rsidRPr="00634AA1" w:rsidRDefault="00634AA1" w:rsidP="00E00C9D">
      <w:pPr>
        <w:pStyle w:val="ListParagraph"/>
        <w:numPr>
          <w:ilvl w:val="0"/>
          <w:numId w:val="55"/>
        </w:numPr>
        <w:spacing w:after="120" w:line="276" w:lineRule="auto"/>
        <w:ind w:left="714" w:hanging="357"/>
        <w:contextualSpacing w:val="0"/>
        <w:jc w:val="both"/>
      </w:pPr>
      <w:r w:rsidRPr="00634AA1">
        <w:rPr>
          <w:b/>
        </w:rPr>
        <w:t>Zjednodušit pravidla poskytování podpory</w:t>
      </w:r>
      <w:r>
        <w:t xml:space="preserve"> – např. navýšení</w:t>
      </w:r>
      <w:r w:rsidRPr="00634AA1">
        <w:rPr>
          <w:b/>
        </w:rPr>
        <w:t xml:space="preserve"> </w:t>
      </w:r>
      <w:r w:rsidRPr="00C2329B">
        <w:t>limitu pro výběr dodavatele</w:t>
      </w:r>
      <w:r>
        <w:t>, zahrnutí mzdových nákladů do způsobilých nákladů a od jejich výše paušálně počítat nepřímé náklady ve výši 40</w:t>
      </w:r>
      <w:r w:rsidR="006D4D05">
        <w:t>–</w:t>
      </w:r>
      <w:r>
        <w:t xml:space="preserve">50 %, replikovat model podpory Inovační vouchery i v dalších programech atd. K výraznému snížení administrativní náročnosti může přispět zjednodušení </w:t>
      </w:r>
      <w:r>
        <w:rPr>
          <w:b/>
        </w:rPr>
        <w:t>pravidel</w:t>
      </w:r>
      <w:r w:rsidR="00B05E33" w:rsidRPr="00634AA1">
        <w:rPr>
          <w:b/>
        </w:rPr>
        <w:t xml:space="preserve"> pro výběr dodavatele a zadávání veřejných zakázek </w:t>
      </w:r>
      <w:r w:rsidR="00D26013" w:rsidRPr="00634AA1">
        <w:rPr>
          <w:b/>
        </w:rPr>
        <w:t>(Postupy)</w:t>
      </w:r>
      <w:r w:rsidR="00D26013">
        <w:t xml:space="preserve"> </w:t>
      </w:r>
      <w:r w:rsidR="00B05E33">
        <w:t>v případě, kdy příjemce nepostupuje podle příslušného zákona. Výběr dodavatelů podle daných postupů nijak výrazně nezvyšuje efektivitu vynaložení finančních prostředků a zbytečně vytváří administrativní zátěž.</w:t>
      </w:r>
      <w:r w:rsidR="00D26013">
        <w:t xml:space="preserve"> </w:t>
      </w:r>
      <w:r w:rsidR="00511BB9" w:rsidRPr="00634AA1">
        <w:rPr>
          <w:rFonts w:cs="Calibri"/>
        </w:rPr>
        <w:t xml:space="preserve">Vzhledem k míře spolufinancování je v zájmu samotného příjemce vybrat nejvhodnějšího dodavatele. Jako vhodné řešení se nabízí zvážit </w:t>
      </w:r>
      <w:r w:rsidR="00511BB9" w:rsidRPr="00634AA1">
        <w:rPr>
          <w:rFonts w:cs="Calibri"/>
          <w:b/>
        </w:rPr>
        <w:t>zvýšení limitu</w:t>
      </w:r>
      <w:r w:rsidR="00511BB9" w:rsidRPr="00634AA1">
        <w:rPr>
          <w:b/>
        </w:rPr>
        <w:t xml:space="preserve"> pro zadávání zakázek podle Postupů</w:t>
      </w:r>
      <w:r w:rsidR="00511BB9">
        <w:t xml:space="preserve"> na úroveň, která bude rozumným kompromisem mezi účelností a účinností</w:t>
      </w:r>
      <w:r>
        <w:t xml:space="preserve"> (např. až na 2 mil.)</w:t>
      </w:r>
      <w:r w:rsidR="00511BB9">
        <w:t>, tzn. dosáhnout stavu, kdy budou dokladovány a kontrolovány zakázky významné hodnoty.</w:t>
      </w:r>
      <w:r w:rsidR="00511BB9" w:rsidRPr="00634AA1">
        <w:rPr>
          <w:rFonts w:cs="Calibri"/>
        </w:rPr>
        <w:t xml:space="preserve"> Zvýšením stávajícího limitu by došlo ke snížení počtu veřejných zakázek a při vhodném nastavení nového limitu by mohlo dojít k výraznému úbytku administrativy spojené s dokladováním a kontrolou veřejných zakázek na straně příjemce i API. </w:t>
      </w:r>
    </w:p>
    <w:p w14:paraId="544647E1" w14:textId="77777777" w:rsidR="00634AA1" w:rsidRDefault="00634AA1" w:rsidP="00E00C9D">
      <w:pPr>
        <w:pStyle w:val="ListParagraph"/>
        <w:numPr>
          <w:ilvl w:val="0"/>
          <w:numId w:val="55"/>
        </w:numPr>
        <w:spacing w:after="120" w:line="276" w:lineRule="auto"/>
        <w:contextualSpacing w:val="0"/>
        <w:jc w:val="both"/>
      </w:pPr>
      <w:r w:rsidRPr="00967A16">
        <w:rPr>
          <w:b/>
        </w:rPr>
        <w:t xml:space="preserve">Do přípravy dalšího programového období více zapojit zprostředkující subjekty </w:t>
      </w:r>
      <w:r>
        <w:t xml:space="preserve">a využít jejich zkušenosti a doporučení. </w:t>
      </w:r>
      <w:r w:rsidRPr="00967A16">
        <w:rPr>
          <w:b/>
        </w:rPr>
        <w:t>Podporovat sdílení příkladů dobré praxe, i přes zastřešující organizace typu komor a svazů</w:t>
      </w:r>
      <w:r>
        <w:t xml:space="preserve">. Šířit osvětu o charakteru inovací s přidanou hodnotou. </w:t>
      </w:r>
    </w:p>
    <w:p w14:paraId="2740741B" w14:textId="77777777" w:rsidR="0041769D" w:rsidRPr="00591F56" w:rsidRDefault="0041769D" w:rsidP="00CE2FF0">
      <w:pPr>
        <w:pStyle w:val="Bodyodsazene"/>
        <w:numPr>
          <w:ilvl w:val="0"/>
          <w:numId w:val="55"/>
        </w:numPr>
        <w:spacing w:before="0"/>
        <w:rPr>
          <w:rFonts w:asciiTheme="minorHAnsi" w:hAnsiTheme="minorHAnsi" w:cstheme="minorBidi"/>
          <w:color w:val="00000A"/>
          <w:szCs w:val="18"/>
        </w:rPr>
      </w:pPr>
      <w:r w:rsidRPr="0041769D">
        <w:rPr>
          <w:rFonts w:asciiTheme="minorHAnsi" w:hAnsiTheme="minorHAnsi" w:cstheme="minorBidi"/>
          <w:b/>
          <w:color w:val="00000A"/>
          <w:szCs w:val="18"/>
        </w:rPr>
        <w:t xml:space="preserve">Sjednotit terminologii napříč programy podpory. </w:t>
      </w:r>
      <w:r w:rsidRPr="00591F56">
        <w:rPr>
          <w:rFonts w:asciiTheme="minorHAnsi" w:hAnsiTheme="minorHAnsi" w:cstheme="minorBidi"/>
          <w:color w:val="00000A"/>
          <w:szCs w:val="18"/>
        </w:rPr>
        <w:t xml:space="preserve">Např. v programech Aplikace a Potenciál se pracuje se zaměnitelnými termíny „náklady“ a „způsobilé výdaje“. </w:t>
      </w:r>
    </w:p>
    <w:p w14:paraId="6EB302D4" w14:textId="77777777" w:rsidR="0041769D" w:rsidRDefault="0041769D" w:rsidP="00CE2FF0">
      <w:pPr>
        <w:pStyle w:val="Bodyodsazene"/>
        <w:numPr>
          <w:ilvl w:val="0"/>
          <w:numId w:val="55"/>
        </w:numPr>
        <w:spacing w:before="0"/>
        <w:rPr>
          <w:rFonts w:asciiTheme="minorHAnsi" w:hAnsiTheme="minorHAnsi" w:cstheme="minorBidi"/>
          <w:color w:val="00000A"/>
          <w:szCs w:val="18"/>
        </w:rPr>
      </w:pPr>
      <w:r w:rsidRPr="0041769D">
        <w:rPr>
          <w:rFonts w:asciiTheme="minorHAnsi" w:hAnsiTheme="minorHAnsi" w:cstheme="minorBidi"/>
          <w:b/>
          <w:color w:val="00000A"/>
          <w:szCs w:val="18"/>
        </w:rPr>
        <w:t xml:space="preserve">Zvážit možnost sjednocení podpory </w:t>
      </w:r>
      <w:proofErr w:type="spellStart"/>
      <w:r w:rsidRPr="0041769D">
        <w:rPr>
          <w:rFonts w:asciiTheme="minorHAnsi" w:hAnsiTheme="minorHAnsi" w:cstheme="minorBidi"/>
          <w:b/>
          <w:color w:val="00000A"/>
          <w:szCs w:val="18"/>
        </w:rPr>
        <w:t>VaVaI</w:t>
      </w:r>
      <w:proofErr w:type="spellEnd"/>
      <w:r w:rsidRPr="0041769D">
        <w:rPr>
          <w:rFonts w:asciiTheme="minorHAnsi" w:hAnsiTheme="minorHAnsi" w:cstheme="minorBidi"/>
          <w:b/>
          <w:color w:val="00000A"/>
          <w:szCs w:val="18"/>
        </w:rPr>
        <w:t xml:space="preserve"> v ČR pod jedním subjektem</w:t>
      </w:r>
      <w:r w:rsidRPr="00591F56">
        <w:rPr>
          <w:rFonts w:asciiTheme="minorHAnsi" w:hAnsiTheme="minorHAnsi" w:cstheme="minorBidi"/>
          <w:color w:val="00000A"/>
          <w:szCs w:val="18"/>
        </w:rPr>
        <w:t xml:space="preserve">, který by garantoval jednotnost a závaznost výkladu metodik a pravidel podpory. Alternativně zajistit koordinaci napříč subjekty poskytujícími podporu </w:t>
      </w:r>
      <w:proofErr w:type="spellStart"/>
      <w:r w:rsidRPr="00591F56">
        <w:rPr>
          <w:rFonts w:asciiTheme="minorHAnsi" w:hAnsiTheme="minorHAnsi" w:cstheme="minorBidi"/>
          <w:color w:val="00000A"/>
          <w:szCs w:val="18"/>
        </w:rPr>
        <w:t>VaVaI</w:t>
      </w:r>
      <w:proofErr w:type="spellEnd"/>
      <w:r w:rsidRPr="00591F56">
        <w:rPr>
          <w:rFonts w:asciiTheme="minorHAnsi" w:hAnsiTheme="minorHAnsi" w:cstheme="minorBidi"/>
          <w:color w:val="00000A"/>
          <w:szCs w:val="18"/>
        </w:rPr>
        <w:t>.</w:t>
      </w:r>
    </w:p>
    <w:p w14:paraId="648062BE" w14:textId="77777777" w:rsidR="0041769D" w:rsidRDefault="0041769D" w:rsidP="00E00C9D">
      <w:pPr>
        <w:pStyle w:val="ListParagraph"/>
        <w:numPr>
          <w:ilvl w:val="0"/>
          <w:numId w:val="55"/>
        </w:numPr>
        <w:spacing w:after="120" w:line="276" w:lineRule="auto"/>
        <w:jc w:val="both"/>
      </w:pPr>
      <w:r w:rsidRPr="0041769D">
        <w:rPr>
          <w:rFonts w:asciiTheme="minorHAnsi" w:hAnsiTheme="minorHAnsi"/>
          <w:b/>
          <w:szCs w:val="18"/>
        </w:rPr>
        <w:t>Zrušit rozdělení na experimentální vývoj a průmyslový výzkum</w:t>
      </w:r>
      <w:r w:rsidRPr="0041769D">
        <w:rPr>
          <w:rFonts w:asciiTheme="minorHAnsi" w:hAnsiTheme="minorHAnsi"/>
          <w:szCs w:val="18"/>
        </w:rPr>
        <w:t>, minimálně na úrovni denních výkazů práce. Takové rozdělování je často obtížné stanovit, při vykazování často dochází k nejasnostem a zkreslením, nemá tedy přidanou hodnotu.</w:t>
      </w:r>
    </w:p>
    <w:p w14:paraId="2C590A3C" w14:textId="77777777" w:rsidR="00E00C9D" w:rsidRDefault="00E00C9D" w:rsidP="00D90EBC">
      <w:pPr>
        <w:jc w:val="both"/>
      </w:pPr>
    </w:p>
    <w:p w14:paraId="6EEA7942" w14:textId="77777777" w:rsidR="00B05E33" w:rsidRDefault="0018136F" w:rsidP="00D90EBC">
      <w:pPr>
        <w:jc w:val="both"/>
      </w:pPr>
      <w:r>
        <w:t>Dále by se měl ŘO zaměřit na následující opatření:</w:t>
      </w:r>
    </w:p>
    <w:p w14:paraId="343AD489" w14:textId="77777777" w:rsidR="007F374C" w:rsidRDefault="007F374C" w:rsidP="007F374C">
      <w:pPr>
        <w:pStyle w:val="ListParagraph"/>
        <w:numPr>
          <w:ilvl w:val="0"/>
          <w:numId w:val="55"/>
        </w:numPr>
        <w:spacing w:after="120"/>
        <w:contextualSpacing w:val="0"/>
        <w:jc w:val="both"/>
      </w:pPr>
      <w:r>
        <w:rPr>
          <w:b/>
        </w:rPr>
        <w:t xml:space="preserve">Posílit finanční řízení programu </w:t>
      </w:r>
      <w:r>
        <w:t xml:space="preserve">umožňující efektivní </w:t>
      </w:r>
      <w:r w:rsidR="009A72EC">
        <w:t xml:space="preserve">nastavení a </w:t>
      </w:r>
      <w:r>
        <w:t>čerpání alokace s cílem dosažení cílů.</w:t>
      </w:r>
    </w:p>
    <w:p w14:paraId="4FF8537A" w14:textId="77777777" w:rsidR="00634AA1" w:rsidRDefault="007F374C" w:rsidP="00634AA1">
      <w:pPr>
        <w:pStyle w:val="ListParagraph"/>
        <w:numPr>
          <w:ilvl w:val="0"/>
          <w:numId w:val="9"/>
        </w:numPr>
        <w:spacing w:after="120" w:line="276" w:lineRule="auto"/>
        <w:ind w:left="714" w:hanging="357"/>
        <w:contextualSpacing w:val="0"/>
        <w:jc w:val="both"/>
      </w:pPr>
      <w:r>
        <w:rPr>
          <w:b/>
        </w:rPr>
        <w:t>Revidovat indikátorovou soustavu a způsob monitoringu a reportingu indikátorů.</w:t>
      </w:r>
      <w:r w:rsidR="00E921A3">
        <w:rPr>
          <w:bCs/>
        </w:rPr>
        <w:t xml:space="preserve"> Zejména se zaměřit na jednoznačnou definici indikátoru, metodický výklad indikátorů a způsob jejich vykazování</w:t>
      </w:r>
      <w:r w:rsidR="00E921A3">
        <w:rPr>
          <w:rStyle w:val="FootnoteReference"/>
          <w:bCs/>
        </w:rPr>
        <w:footnoteReference w:id="14"/>
      </w:r>
      <w:r w:rsidR="00E921A3">
        <w:rPr>
          <w:bCs/>
        </w:rPr>
        <w:t>.</w:t>
      </w:r>
      <w:r w:rsidR="00634AA1">
        <w:rPr>
          <w:b/>
        </w:rPr>
        <w:t xml:space="preserve"> </w:t>
      </w:r>
      <w:r w:rsidR="00634AA1" w:rsidRPr="005104A3">
        <w:rPr>
          <w:b/>
        </w:rPr>
        <w:t>Do indikátorové soustavy doplnit dopadové indikátory</w:t>
      </w:r>
      <w:r w:rsidR="00634AA1">
        <w:t xml:space="preserve">, které umožní měření změny chování příjemců. </w:t>
      </w:r>
    </w:p>
    <w:p w14:paraId="04A742A5" w14:textId="77777777" w:rsidR="005C4888" w:rsidRPr="005C4888" w:rsidRDefault="005C4888" w:rsidP="009A72EC">
      <w:pPr>
        <w:pStyle w:val="ListParagraph"/>
        <w:numPr>
          <w:ilvl w:val="0"/>
          <w:numId w:val="55"/>
        </w:numPr>
        <w:spacing w:after="120" w:line="276" w:lineRule="auto"/>
        <w:contextualSpacing w:val="0"/>
        <w:jc w:val="both"/>
      </w:pPr>
      <w:r w:rsidRPr="005C4888">
        <w:rPr>
          <w:b/>
        </w:rPr>
        <w:t>Vyžít finanční nástroje na podporu MSP</w:t>
      </w:r>
      <w:r>
        <w:t xml:space="preserve"> v oblasti tržního uplatnění přelomových inovačních řešení, rozvoj technologických, kreativních a digitálních inovací v oblasti tradičních řemesel a nákup nových technologií.</w:t>
      </w:r>
    </w:p>
    <w:p w14:paraId="1FB466D2" w14:textId="77777777" w:rsidR="004B1883" w:rsidRDefault="0018136F" w:rsidP="0018136F">
      <w:pPr>
        <w:pStyle w:val="ListParagraph"/>
        <w:numPr>
          <w:ilvl w:val="0"/>
          <w:numId w:val="55"/>
        </w:numPr>
        <w:spacing w:after="120" w:line="276" w:lineRule="auto"/>
        <w:ind w:left="714" w:hanging="357"/>
        <w:contextualSpacing w:val="0"/>
        <w:jc w:val="both"/>
      </w:pPr>
      <w:r w:rsidRPr="0018136F">
        <w:rPr>
          <w:b/>
        </w:rPr>
        <w:t>Dbát na s</w:t>
      </w:r>
      <w:r w:rsidR="004B1883" w:rsidRPr="0018136F">
        <w:rPr>
          <w:b/>
        </w:rPr>
        <w:t>rozumitelnost pravidel a metodik</w:t>
      </w:r>
      <w:r w:rsidRPr="0018136F">
        <w:rPr>
          <w:b/>
        </w:rPr>
        <w:t>.</w:t>
      </w:r>
      <w:r>
        <w:t xml:space="preserve"> Přínosem v tomto směru mohou být konzultace </w:t>
      </w:r>
      <w:r w:rsidR="004B1883">
        <w:t>se vzorkem potenciálních příjemců podpory.</w:t>
      </w:r>
    </w:p>
    <w:p w14:paraId="66D94693" w14:textId="77777777" w:rsidR="004B1883" w:rsidRDefault="0018136F" w:rsidP="0018136F">
      <w:pPr>
        <w:pStyle w:val="ListParagraph"/>
        <w:numPr>
          <w:ilvl w:val="0"/>
          <w:numId w:val="55"/>
        </w:numPr>
        <w:spacing w:after="120" w:line="276" w:lineRule="auto"/>
        <w:ind w:left="714" w:hanging="357"/>
        <w:contextualSpacing w:val="0"/>
        <w:jc w:val="both"/>
      </w:pPr>
      <w:r w:rsidRPr="0018136F">
        <w:t>Vyhlašovat výzvy, aby</w:t>
      </w:r>
      <w:r>
        <w:rPr>
          <w:b/>
        </w:rPr>
        <w:t xml:space="preserve"> u</w:t>
      </w:r>
      <w:r w:rsidR="004B1883" w:rsidRPr="0018136F">
        <w:rPr>
          <w:b/>
        </w:rPr>
        <w:t>mož</w:t>
      </w:r>
      <w:r>
        <w:rPr>
          <w:b/>
        </w:rPr>
        <w:t>ňovaly</w:t>
      </w:r>
      <w:r w:rsidR="004B1883" w:rsidRPr="0018136F">
        <w:rPr>
          <w:b/>
        </w:rPr>
        <w:t xml:space="preserve"> co největší flexibilitu</w:t>
      </w:r>
      <w:r w:rsidR="004B1883" w:rsidRPr="0018136F">
        <w:t xml:space="preserve"> </w:t>
      </w:r>
      <w:r>
        <w:t>a bylo možné</w:t>
      </w:r>
      <w:r w:rsidR="004B1883">
        <w:t xml:space="preserve"> reagovat na (prudké) výkyvy na trhu (reakce na uvádění konkurenčních produktů na trh, na změny ve výrobních procesech, trendech apod.), vývoji v </w:t>
      </w:r>
      <w:proofErr w:type="spellStart"/>
      <w:r w:rsidR="004B1883">
        <w:t>VaVaI</w:t>
      </w:r>
      <w:proofErr w:type="spellEnd"/>
      <w:r w:rsidR="004B1883">
        <w:t xml:space="preserve"> sektoru (změny v dostupných technologiích, strojích apod.). </w:t>
      </w:r>
    </w:p>
    <w:p w14:paraId="38756FC3" w14:textId="77777777" w:rsidR="004B1883" w:rsidRDefault="004B1883" w:rsidP="0018136F">
      <w:pPr>
        <w:pStyle w:val="ListParagraph"/>
        <w:numPr>
          <w:ilvl w:val="0"/>
          <w:numId w:val="55"/>
        </w:numPr>
        <w:spacing w:after="120" w:line="276" w:lineRule="auto"/>
        <w:ind w:left="714" w:hanging="357"/>
        <w:contextualSpacing w:val="0"/>
        <w:jc w:val="both"/>
      </w:pPr>
      <w:r w:rsidRPr="0018136F">
        <w:t xml:space="preserve">Ponechat </w:t>
      </w:r>
      <w:r w:rsidRPr="0018136F">
        <w:rPr>
          <w:b/>
        </w:rPr>
        <w:t>jednotné metodické prostředí pouze na centrální úrovni</w:t>
      </w:r>
      <w:r w:rsidRPr="0018136F">
        <w:t xml:space="preserve"> </w:t>
      </w:r>
      <w:r w:rsidR="00D27A8D">
        <w:t xml:space="preserve">(pro průřezové potřeby MMR, MF) </w:t>
      </w:r>
      <w:r w:rsidRPr="0018136F">
        <w:t>a zautomatizovat sdílení a výměnu dat a dokumentů</w:t>
      </w:r>
      <w:r w:rsidR="00D27A8D">
        <w:t xml:space="preserve"> (s cílem prevence duplicitního zadávání údajů)</w:t>
      </w:r>
      <w:r w:rsidRPr="0018136F">
        <w:t xml:space="preserve">. </w:t>
      </w:r>
      <w:r w:rsidR="00C677A9">
        <w:t xml:space="preserve">Ponechat variabilitu </w:t>
      </w:r>
      <w:r w:rsidR="00D27A8D">
        <w:t>modulů</w:t>
      </w:r>
      <w:r w:rsidR="00C677A9">
        <w:t xml:space="preserve"> pro </w:t>
      </w:r>
      <w:r w:rsidR="00D27A8D">
        <w:t>jednotlivé</w:t>
      </w:r>
      <w:r w:rsidR="00C677A9">
        <w:t xml:space="preserve"> operační program</w:t>
      </w:r>
      <w:r w:rsidR="00D27A8D">
        <w:t>y</w:t>
      </w:r>
      <w:r w:rsidR="00C677A9">
        <w:t>, respektující specifické požadavky programů</w:t>
      </w:r>
      <w:r w:rsidR="00D27A8D">
        <w:t xml:space="preserve"> a poskytujících efektivní 24h podporou</w:t>
      </w:r>
      <w:r w:rsidR="00C677A9">
        <w:t xml:space="preserve">. </w:t>
      </w:r>
      <w:r>
        <w:t xml:space="preserve">Zavést specifické prostředí pro jednotlivé operační programy umožňující přizpůsobení se systému a prostředí specifickým potřebám typických příjemců podpory. </w:t>
      </w:r>
    </w:p>
    <w:p w14:paraId="0C4D5712" w14:textId="77777777" w:rsidR="00833E29" w:rsidRDefault="004B1883" w:rsidP="009A72EC">
      <w:pPr>
        <w:pStyle w:val="ListParagraph"/>
        <w:numPr>
          <w:ilvl w:val="0"/>
          <w:numId w:val="55"/>
        </w:numPr>
        <w:spacing w:after="120" w:line="276" w:lineRule="auto"/>
        <w:contextualSpacing w:val="0"/>
        <w:jc w:val="both"/>
      </w:pPr>
      <w:r w:rsidRPr="002A4ED2">
        <w:rPr>
          <w:b/>
        </w:rPr>
        <w:t>Rozšířit portfolio technické pomoci</w:t>
      </w:r>
      <w:r>
        <w:t xml:space="preserve"> na </w:t>
      </w:r>
      <w:r w:rsidRPr="0018136F">
        <w:t xml:space="preserve">vyhodnocení připravenosti žadatelů na realizaci </w:t>
      </w:r>
      <w:proofErr w:type="spellStart"/>
      <w:r w:rsidRPr="0018136F">
        <w:t>VaVaI</w:t>
      </w:r>
      <w:proofErr w:type="spellEnd"/>
      <w:r w:rsidR="002A4ED2">
        <w:t xml:space="preserve"> projektů umožňující ověření, zda firmy</w:t>
      </w:r>
      <w:r w:rsidR="002A4ED2" w:rsidRPr="00833E29">
        <w:t xml:space="preserve"> disponuje potřebnými procesy a strukturou pro řízení inovačních projektů</w:t>
      </w:r>
      <w:r w:rsidR="002A4ED2">
        <w:t xml:space="preserve">. </w:t>
      </w:r>
      <w:r w:rsidRPr="0018136F">
        <w:t xml:space="preserve"> </w:t>
      </w:r>
      <w:r w:rsidR="002A4ED2">
        <w:t>V</w:t>
      </w:r>
      <w:r w:rsidRPr="0018136F">
        <w:t xml:space="preserve">ytvořit </w:t>
      </w:r>
      <w:r w:rsidRPr="002A4ED2">
        <w:rPr>
          <w:b/>
        </w:rPr>
        <w:t>program na poskytování navazujícího poradenství</w:t>
      </w:r>
      <w:r w:rsidR="002A4ED2">
        <w:rPr>
          <w:b/>
        </w:rPr>
        <w:t xml:space="preserve"> v oblasti podpory nastavení inovačních procesů a </w:t>
      </w:r>
      <w:r w:rsidR="002A4ED2" w:rsidRPr="002A4ED2">
        <w:rPr>
          <w:b/>
        </w:rPr>
        <w:t>restrukturalizace firem pro navýšení inovační výkonnosti</w:t>
      </w:r>
      <w:r>
        <w:t xml:space="preserve"> pro malé podniky ze strany API nebo externích dodavatelů. </w:t>
      </w:r>
    </w:p>
    <w:p w14:paraId="0E120F1B" w14:textId="77777777" w:rsidR="002A4ED2" w:rsidRDefault="002A4ED2" w:rsidP="009A72EC">
      <w:pPr>
        <w:pStyle w:val="ListParagraph"/>
        <w:numPr>
          <w:ilvl w:val="0"/>
          <w:numId w:val="55"/>
        </w:numPr>
        <w:spacing w:after="120" w:line="276" w:lineRule="auto"/>
        <w:contextualSpacing w:val="0"/>
        <w:jc w:val="both"/>
      </w:pPr>
      <w:r>
        <w:rPr>
          <w:b/>
        </w:rPr>
        <w:t>Zvážit doplnění možnosti právní podpory pro získání a ochranu celosvětových patentů.</w:t>
      </w:r>
    </w:p>
    <w:p w14:paraId="65DA2FCF" w14:textId="77777777" w:rsidR="004B1883" w:rsidRDefault="004B1883" w:rsidP="0018136F">
      <w:pPr>
        <w:pStyle w:val="ListParagraph"/>
        <w:numPr>
          <w:ilvl w:val="0"/>
          <w:numId w:val="55"/>
        </w:numPr>
        <w:spacing w:after="120" w:line="276" w:lineRule="auto"/>
        <w:ind w:left="714" w:hanging="357"/>
        <w:contextualSpacing w:val="0"/>
        <w:jc w:val="both"/>
      </w:pPr>
      <w:r w:rsidRPr="0018136F">
        <w:rPr>
          <w:b/>
        </w:rPr>
        <w:t>Navýšit finanční alokaci</w:t>
      </w:r>
      <w:r>
        <w:t xml:space="preserve"> na „nákup“ služeb od veřejných výzkumných pracovišť přes </w:t>
      </w:r>
      <w:r w:rsidRPr="0018136F">
        <w:rPr>
          <w:b/>
        </w:rPr>
        <w:t>inovační vouchery</w:t>
      </w:r>
      <w:r>
        <w:t xml:space="preserve">. Zvážit navrácení nebo sdílení inovačních voucherů s Inovačními centry krajů. Inovační vouchery jsou prokazatelně vhodným nástrojem pro navázání dlouhodobé spolupráce s podniky, prověření funkčnosti a životaschopnosti podniku a </w:t>
      </w:r>
      <w:proofErr w:type="spellStart"/>
      <w:r>
        <w:t>VaV</w:t>
      </w:r>
      <w:proofErr w:type="spellEnd"/>
      <w:r>
        <w:t xml:space="preserve"> projektu. Krajská inovační centra mohou v tomto směru zajistit větší kontinuitu a intenzitu spolupráce a navazující podpory.</w:t>
      </w:r>
    </w:p>
    <w:p w14:paraId="7E691075" w14:textId="77777777" w:rsidR="004B1883" w:rsidRDefault="004B1883" w:rsidP="0018136F">
      <w:pPr>
        <w:pStyle w:val="ListParagraph"/>
        <w:numPr>
          <w:ilvl w:val="0"/>
          <w:numId w:val="55"/>
        </w:numPr>
        <w:spacing w:after="120" w:line="276" w:lineRule="auto"/>
        <w:ind w:left="714" w:hanging="357"/>
        <w:contextualSpacing w:val="0"/>
        <w:jc w:val="both"/>
      </w:pPr>
      <w:r>
        <w:t>Vzhledem k tomu, že b</w:t>
      </w:r>
      <w:r w:rsidRPr="004C43D1">
        <w:t xml:space="preserve">onifikace projektových žádostí za zohlednění průřezových priorit </w:t>
      </w:r>
      <w:r>
        <w:t xml:space="preserve">(včetně dopadu na životní prostředí) </w:t>
      </w:r>
      <w:r w:rsidRPr="004C43D1">
        <w:t>ne</w:t>
      </w:r>
      <w:r w:rsidR="00511BB9">
        <w:t xml:space="preserve">má výrazný přínos </w:t>
      </w:r>
      <w:r>
        <w:t xml:space="preserve">(žadatelé se často pouze snaží zvýšit šance na úspěch žádosti), bylo by vhodné </w:t>
      </w:r>
      <w:r w:rsidRPr="0018136F">
        <w:rPr>
          <w:b/>
        </w:rPr>
        <w:t xml:space="preserve">pozdvihnout průřezové priority </w:t>
      </w:r>
      <w:r w:rsidRPr="0018136F">
        <w:t>dopadu na životní prostředí</w:t>
      </w:r>
      <w:r>
        <w:t xml:space="preserve">, nízkouhlíkové technologie, úspory energií apod. </w:t>
      </w:r>
      <w:r w:rsidRPr="0018136F">
        <w:t xml:space="preserve">z bonifikačních kritérií </w:t>
      </w:r>
      <w:r w:rsidRPr="0018136F">
        <w:rPr>
          <w:b/>
        </w:rPr>
        <w:t>na samostatná témata výzev</w:t>
      </w:r>
      <w:r>
        <w:t>.</w:t>
      </w:r>
    </w:p>
    <w:p w14:paraId="1FA946CD" w14:textId="77777777" w:rsidR="002A4ED2" w:rsidRDefault="002A4ED2" w:rsidP="0018136F">
      <w:pPr>
        <w:pStyle w:val="ListParagraph"/>
        <w:numPr>
          <w:ilvl w:val="0"/>
          <w:numId w:val="55"/>
        </w:numPr>
        <w:spacing w:after="120" w:line="276" w:lineRule="auto"/>
        <w:ind w:left="714" w:hanging="357"/>
        <w:contextualSpacing w:val="0"/>
        <w:jc w:val="both"/>
      </w:pPr>
      <w:r>
        <w:t xml:space="preserve">Zvážit </w:t>
      </w:r>
      <w:r w:rsidRPr="002A4ED2">
        <w:rPr>
          <w:b/>
        </w:rPr>
        <w:t xml:space="preserve">podmínění spolupráce s VVO nastavením licenčních </w:t>
      </w:r>
      <w:r>
        <w:rPr>
          <w:b/>
        </w:rPr>
        <w:t xml:space="preserve">pravidel a </w:t>
      </w:r>
      <w:r w:rsidRPr="002A4ED2">
        <w:rPr>
          <w:b/>
        </w:rPr>
        <w:t>ujednání s konkrétními výzkumníky</w:t>
      </w:r>
      <w:r>
        <w:t xml:space="preserve">, obdobně jako je tomu u programů podpory TA ČR. </w:t>
      </w:r>
    </w:p>
    <w:p w14:paraId="3C0DE856" w14:textId="12EDC91D" w:rsidR="00833E29" w:rsidRPr="00833E29" w:rsidRDefault="002A4ED2" w:rsidP="0018136F">
      <w:pPr>
        <w:pStyle w:val="ListParagraph"/>
        <w:numPr>
          <w:ilvl w:val="0"/>
          <w:numId w:val="55"/>
        </w:numPr>
        <w:spacing w:after="120" w:line="276" w:lineRule="auto"/>
        <w:ind w:left="714" w:hanging="357"/>
        <w:contextualSpacing w:val="0"/>
        <w:jc w:val="both"/>
        <w:rPr>
          <w:b/>
        </w:rPr>
      </w:pPr>
      <w:r>
        <w:t>Klást v</w:t>
      </w:r>
      <w:r w:rsidR="00833E29">
        <w:t xml:space="preserve">ětší </w:t>
      </w:r>
      <w:r w:rsidR="00833E29" w:rsidRPr="00833E29">
        <w:rPr>
          <w:b/>
        </w:rPr>
        <w:t>důraz na propojení investic na inovace z OP PIK s investicemi do „měkkých“ dovedností a vzdělávání</w:t>
      </w:r>
      <w:r w:rsidR="00833E29">
        <w:rPr>
          <w:b/>
        </w:rPr>
        <w:t xml:space="preserve"> z OP Z, OP VVV a dalších programů</w:t>
      </w:r>
      <w:r w:rsidR="00833E29" w:rsidRPr="00833E29">
        <w:rPr>
          <w:b/>
        </w:rPr>
        <w:t>.</w:t>
      </w:r>
    </w:p>
    <w:p w14:paraId="7C96F81E" w14:textId="77777777" w:rsidR="00833E29" w:rsidRDefault="00833E29" w:rsidP="004B1883">
      <w:pPr>
        <w:jc w:val="both"/>
      </w:pPr>
    </w:p>
    <w:p w14:paraId="46B97EAD" w14:textId="77777777" w:rsidR="00833E29" w:rsidRDefault="00833E29" w:rsidP="004B1883">
      <w:pPr>
        <w:jc w:val="both"/>
        <w:sectPr w:rsidR="00833E29" w:rsidSect="008727E9">
          <w:footerReference w:type="default" r:id="rId20"/>
          <w:pgSz w:w="11906" w:h="16838"/>
          <w:pgMar w:top="1985" w:right="1134" w:bottom="1134" w:left="1134" w:header="680" w:footer="567" w:gutter="0"/>
          <w:cols w:space="708"/>
          <w:formProt w:val="0"/>
          <w:docGrid w:linePitch="360" w:charSpace="6143"/>
        </w:sectPr>
      </w:pPr>
    </w:p>
    <w:p w14:paraId="553D7C5A" w14:textId="77777777" w:rsidR="00465F14" w:rsidRDefault="006062A2" w:rsidP="000F7450">
      <w:pPr>
        <w:pStyle w:val="Heading1"/>
        <w:spacing w:after="120"/>
        <w:rPr>
          <w:rFonts w:ascii="Verdana" w:eastAsia="MingLiU" w:hAnsi="Verdana" w:cs="Times New Roman"/>
          <w:b w:val="0"/>
          <w:color w:val="auto"/>
          <w:sz w:val="60"/>
          <w:szCs w:val="60"/>
        </w:rPr>
      </w:pPr>
      <w:bookmarkStart w:id="96" w:name="_Toc535415002"/>
      <w:bookmarkStart w:id="97" w:name="_Toc11679646"/>
      <w:r w:rsidRPr="00811A8E">
        <w:rPr>
          <w:rFonts w:ascii="Verdana" w:eastAsia="MingLiU" w:hAnsi="Verdana" w:cs="Times New Roman"/>
          <w:b w:val="0"/>
          <w:color w:val="auto"/>
          <w:sz w:val="60"/>
          <w:szCs w:val="60"/>
        </w:rPr>
        <w:t>Příloh</w:t>
      </w:r>
      <w:r w:rsidR="000F7450">
        <w:rPr>
          <w:rFonts w:ascii="Verdana" w:eastAsia="MingLiU" w:hAnsi="Verdana" w:cs="Times New Roman"/>
          <w:b w:val="0"/>
          <w:color w:val="auto"/>
          <w:sz w:val="60"/>
          <w:szCs w:val="60"/>
        </w:rPr>
        <w:t xml:space="preserve">a 1: </w:t>
      </w:r>
      <w:bookmarkEnd w:id="96"/>
      <w:r w:rsidR="009A7253">
        <w:rPr>
          <w:rFonts w:ascii="Verdana" w:eastAsia="MingLiU" w:hAnsi="Verdana" w:cs="Times New Roman"/>
          <w:b w:val="0"/>
          <w:color w:val="auto"/>
          <w:sz w:val="60"/>
          <w:szCs w:val="60"/>
        </w:rPr>
        <w:t>Výsledky analýzy dat a </w:t>
      </w:r>
      <w:r w:rsidR="00D2265E">
        <w:rPr>
          <w:rFonts w:ascii="Verdana" w:eastAsia="MingLiU" w:hAnsi="Verdana" w:cs="Times New Roman"/>
          <w:b w:val="0"/>
          <w:color w:val="auto"/>
          <w:sz w:val="60"/>
          <w:szCs w:val="60"/>
        </w:rPr>
        <w:t>dokumentů</w:t>
      </w:r>
      <w:bookmarkEnd w:id="97"/>
    </w:p>
    <w:p w14:paraId="32D869CE" w14:textId="77777777" w:rsidR="00465F14" w:rsidRDefault="00465F14" w:rsidP="00465F14">
      <w:pPr>
        <w:pStyle w:val="Bntext"/>
        <w:rPr>
          <w:rFonts w:asciiTheme="minorHAnsi" w:hAnsiTheme="minorHAnsi"/>
          <w:b/>
          <w:color w:val="62B5E5" w:themeColor="accent3"/>
          <w:sz w:val="18"/>
          <w:szCs w:val="18"/>
        </w:rPr>
      </w:pPr>
    </w:p>
    <w:p w14:paraId="335FC6E6" w14:textId="77777777" w:rsidR="00B92790" w:rsidRPr="00AC1B2F" w:rsidRDefault="00BF27C3" w:rsidP="00AC1B2F">
      <w:pPr>
        <w:pStyle w:val="Bntext"/>
        <w:spacing w:after="240"/>
        <w:rPr>
          <w:rFonts w:asciiTheme="majorHAnsi" w:hAnsiTheme="majorHAnsi"/>
          <w:b/>
          <w:color w:val="62B5E5"/>
          <w:sz w:val="18"/>
          <w:szCs w:val="18"/>
        </w:rPr>
      </w:pPr>
      <w:bookmarkStart w:id="98" w:name="_Toc3566730"/>
      <w:bookmarkStart w:id="99" w:name="_Toc8825232"/>
      <w:r w:rsidRPr="00AC1B2F">
        <w:rPr>
          <w:rFonts w:asciiTheme="majorHAnsi" w:hAnsiTheme="majorHAnsi"/>
          <w:b/>
          <w:color w:val="62B5E5"/>
          <w:sz w:val="18"/>
          <w:szCs w:val="18"/>
        </w:rPr>
        <w:t>Shrnutí zjištění z analýzy</w:t>
      </w:r>
      <w:r w:rsidR="00B92790" w:rsidRPr="00AC1B2F">
        <w:rPr>
          <w:rFonts w:asciiTheme="majorHAnsi" w:hAnsiTheme="majorHAnsi"/>
          <w:b/>
          <w:color w:val="62B5E5"/>
          <w:sz w:val="18"/>
          <w:szCs w:val="18"/>
        </w:rPr>
        <w:t xml:space="preserve"> dat z</w:t>
      </w:r>
      <w:r w:rsidR="00465379" w:rsidRPr="00AC1B2F">
        <w:rPr>
          <w:rFonts w:asciiTheme="majorHAnsi" w:hAnsiTheme="majorHAnsi"/>
          <w:b/>
          <w:color w:val="62B5E5"/>
          <w:sz w:val="18"/>
          <w:szCs w:val="18"/>
        </w:rPr>
        <w:t> </w:t>
      </w:r>
      <w:r w:rsidR="00B92790" w:rsidRPr="00AC1B2F">
        <w:rPr>
          <w:rFonts w:asciiTheme="majorHAnsi" w:hAnsiTheme="majorHAnsi"/>
          <w:b/>
          <w:color w:val="62B5E5"/>
          <w:sz w:val="18"/>
          <w:szCs w:val="18"/>
        </w:rPr>
        <w:t>MS</w:t>
      </w:r>
      <w:bookmarkEnd w:id="98"/>
      <w:r w:rsidR="00465379" w:rsidRPr="00AC1B2F">
        <w:rPr>
          <w:rFonts w:asciiTheme="majorHAnsi" w:hAnsiTheme="majorHAnsi"/>
          <w:b/>
          <w:color w:val="62B5E5"/>
          <w:sz w:val="18"/>
          <w:szCs w:val="18"/>
        </w:rPr>
        <w:t>2014+</w:t>
      </w:r>
      <w:bookmarkEnd w:id="99"/>
    </w:p>
    <w:p w14:paraId="7C5E2ED5" w14:textId="77777777" w:rsidR="00B92790" w:rsidRPr="00790BE2" w:rsidRDefault="00B92790" w:rsidP="00B92790">
      <w:pPr>
        <w:rPr>
          <w:b/>
        </w:rPr>
      </w:pPr>
      <w:r w:rsidRPr="00790BE2">
        <w:rPr>
          <w:b/>
        </w:rPr>
        <w:t>Východiska datové analýzy SC 1.1</w:t>
      </w:r>
    </w:p>
    <w:p w14:paraId="443793F2" w14:textId="77777777" w:rsidR="00B92790" w:rsidRDefault="00B92790" w:rsidP="00B92790">
      <w:pPr>
        <w:jc w:val="both"/>
      </w:pPr>
      <w:r w:rsidRPr="00867CEE">
        <w:t>Analýza dat</w:t>
      </w:r>
      <w:r>
        <w:t xml:space="preserve"> z monitorovacího systému MS2014+ byla zpracována na základě datových sestav poskytnutých Zadavatelem vytvořených ke dni 8. 1. 2019. Vzhledem k fázi, ve které se program nachází (65 % </w:t>
      </w:r>
      <w:proofErr w:type="spellStart"/>
      <w:r>
        <w:t>zazávazkování</w:t>
      </w:r>
      <w:proofErr w:type="spellEnd"/>
      <w:r>
        <w:t xml:space="preserve"> alokace), k nízkému počtu dosud ukončených projektů a ke krátké době od jejich ukončení nelze finálně vyhodnotit výsledky podpory</w:t>
      </w:r>
      <w:r w:rsidRPr="00595B0D">
        <w:t xml:space="preserve"> </w:t>
      </w:r>
      <w:r>
        <w:t xml:space="preserve">v oblasti SC 1.1. Z projektů, pro které byl vydán právní akt, byla ukončena realizace pouze u 27,05 % z nich. U dosud neukončených projektů vychází evaluace z plánovaných hodnot indikátorů, které se mohou od skutečně dosažených hodnot lišit. Zjištění této výsledkové evaluace lze proto brát jako orientační zhodnocení směřování programu k dosažení kýžených výsledků, nikoliv jako komplexní a konečné vyhodnocení výsledků programů. </w:t>
      </w:r>
    </w:p>
    <w:p w14:paraId="23337A6A" w14:textId="77777777" w:rsidR="00B92790" w:rsidRDefault="00B92790" w:rsidP="00B92790">
      <w:pPr>
        <w:jc w:val="both"/>
      </w:pPr>
      <w:r>
        <w:t xml:space="preserve">Hodnocení dat bylo primárně prováděno na projektech, které jsou v tzv. aktivním stavu, tj. ve stavu, kdy pro projekt byl vydán právní akt a projekt je v realizaci nebo již došlo k jeho ukončení. U těchto projektů bylo vydáno Rozhodnutí o poskytnutí dotace a hodnoty jejich monitorovacích dat odpovídají </w:t>
      </w:r>
      <w:proofErr w:type="spellStart"/>
      <w:r w:rsidRPr="00790BE2">
        <w:rPr>
          <w:b/>
        </w:rPr>
        <w:t>zazávazkovanému</w:t>
      </w:r>
      <w:proofErr w:type="spellEnd"/>
      <w:r w:rsidRPr="00790BE2">
        <w:rPr>
          <w:b/>
        </w:rPr>
        <w:t xml:space="preserve"> smluvnímu plánu</w:t>
      </w:r>
      <w:r>
        <w:t xml:space="preserve"> či </w:t>
      </w:r>
      <w:r w:rsidRPr="00790BE2">
        <w:rPr>
          <w:b/>
        </w:rPr>
        <w:t>předpokládaným hodnotám</w:t>
      </w:r>
      <w:r>
        <w:rPr>
          <w:b/>
        </w:rPr>
        <w:t xml:space="preserve"> u </w:t>
      </w:r>
      <w:r w:rsidRPr="00790BE2">
        <w:rPr>
          <w:b/>
        </w:rPr>
        <w:t>nepovinných indikátorů</w:t>
      </w:r>
      <w:r>
        <w:t xml:space="preserve">. Pro celkové zhodnocení, zda programy směřují k dosažení požadovaných výsledků, je důležitá </w:t>
      </w:r>
      <w:r w:rsidRPr="00790BE2">
        <w:rPr>
          <w:b/>
        </w:rPr>
        <w:t xml:space="preserve">vazba </w:t>
      </w:r>
      <w:proofErr w:type="spellStart"/>
      <w:r w:rsidRPr="00790BE2">
        <w:rPr>
          <w:b/>
        </w:rPr>
        <w:t>zazávazkovaných</w:t>
      </w:r>
      <w:proofErr w:type="spellEnd"/>
      <w:r w:rsidRPr="00790BE2">
        <w:rPr>
          <w:b/>
        </w:rPr>
        <w:t xml:space="preserve"> hodnot indikátorů</w:t>
      </w:r>
      <w:r>
        <w:t xml:space="preserve"> vůči </w:t>
      </w:r>
      <w:proofErr w:type="spellStart"/>
      <w:r w:rsidRPr="00790BE2">
        <w:rPr>
          <w:b/>
        </w:rPr>
        <w:t>zazávazkované</w:t>
      </w:r>
      <w:proofErr w:type="spellEnd"/>
      <w:r w:rsidRPr="00790BE2">
        <w:rPr>
          <w:b/>
        </w:rPr>
        <w:t xml:space="preserve"> alokaci</w:t>
      </w:r>
      <w:r>
        <w:t xml:space="preserve"> jednotlivých programů. I když se v obou případech jedná o předpokládané hodnoty, které ve skutečnosti mohou být nižší, klíčová pro posouzení výsledků podpory je skutečnost, zda </w:t>
      </w:r>
      <w:r w:rsidRPr="00790BE2">
        <w:rPr>
          <w:b/>
        </w:rPr>
        <w:t>poměr naplánovaných hodnot indikátorů</w:t>
      </w:r>
      <w:r>
        <w:t xml:space="preserve"> </w:t>
      </w:r>
      <w:r w:rsidRPr="00790BE2">
        <w:rPr>
          <w:b/>
        </w:rPr>
        <w:t xml:space="preserve">odpovídá </w:t>
      </w:r>
      <w:r>
        <w:t xml:space="preserve">(nebo je vyšší) </w:t>
      </w:r>
      <w:r w:rsidRPr="00790BE2">
        <w:rPr>
          <w:b/>
        </w:rPr>
        <w:t>poměru zasmluvněných finančních prostředků</w:t>
      </w:r>
      <w:r>
        <w:t>.</w:t>
      </w:r>
    </w:p>
    <w:p w14:paraId="08EC03A3" w14:textId="77777777" w:rsidR="00B92790" w:rsidRDefault="00B92790" w:rsidP="00B92790">
      <w:pPr>
        <w:jc w:val="both"/>
      </w:pPr>
      <w:r>
        <w:t xml:space="preserve">Aktuální </w:t>
      </w:r>
      <w:r w:rsidRPr="00790BE2">
        <w:rPr>
          <w:b/>
        </w:rPr>
        <w:t>výše alokace programu OP PIK</w:t>
      </w:r>
      <w:r>
        <w:t xml:space="preserve"> pro SC 1.1 je </w:t>
      </w:r>
      <w:r w:rsidRPr="00790BE2">
        <w:rPr>
          <w:b/>
        </w:rPr>
        <w:t>1 074 358 932 EUR</w:t>
      </w:r>
      <w:r>
        <w:t xml:space="preserve">, což je při kurzu 25,60 Kč/EUR celkem </w:t>
      </w:r>
      <w:r w:rsidRPr="00790BE2">
        <w:rPr>
          <w:b/>
        </w:rPr>
        <w:t>27,5 mld. Kč</w:t>
      </w:r>
      <w:r>
        <w:t xml:space="preserve">. Alokace je rozdělena v poměru přibližně po 30 % na programy podpory Aplikace a Inovace, pro program Potenciál je alokace o něco menší ve výši necelých 20 %. </w:t>
      </w:r>
      <w:proofErr w:type="spellStart"/>
      <w:r>
        <w:t>Zazávazkovaná</w:t>
      </w:r>
      <w:proofErr w:type="spellEnd"/>
      <w:r>
        <w:t xml:space="preserve"> alokace, tj. krytá právním aktem, byla v době analýzy ve výši </w:t>
      </w:r>
      <w:r w:rsidRPr="00790BE2">
        <w:rPr>
          <w:b/>
        </w:rPr>
        <w:t>17,850 mld. Kč</w:t>
      </w:r>
      <w:r>
        <w:t>, tj. přibližně 65 % celkové alokace SC 1.1.</w:t>
      </w:r>
    </w:p>
    <w:p w14:paraId="6154307F" w14:textId="6219A3A0"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19</w:t>
      </w:r>
      <w:r>
        <w:fldChar w:fldCharType="end"/>
      </w:r>
      <w:r>
        <w:t xml:space="preserve"> - Aktuální alokace SC 1.1</w:t>
      </w:r>
    </w:p>
    <w:tbl>
      <w:tblPr>
        <w:tblStyle w:val="ListTable3-Accent11"/>
        <w:tblW w:w="5000"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048"/>
        <w:gridCol w:w="2633"/>
        <w:gridCol w:w="2357"/>
        <w:gridCol w:w="2600"/>
      </w:tblGrid>
      <w:tr w:rsidR="00B92790" w:rsidRPr="004C31D7" w14:paraId="6474D2BD"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62" w:type="pct"/>
            <w:vAlign w:val="center"/>
            <w:hideMark/>
          </w:tcPr>
          <w:p w14:paraId="75D55F63" w14:textId="77777777" w:rsidR="00B92790" w:rsidRPr="00790BE2" w:rsidRDefault="00B92790" w:rsidP="00B92790">
            <w:pPr>
              <w:spacing w:after="0" w:line="240" w:lineRule="auto"/>
              <w:ind w:left="-10"/>
              <w:rPr>
                <w:rFonts w:asciiTheme="minorHAnsi" w:eastAsia="Times New Roman" w:hAnsiTheme="minorHAnsi" w:cs="Calibri"/>
                <w:b w:val="0"/>
                <w:color w:val="FFFFFF"/>
                <w:szCs w:val="18"/>
                <w:lang w:eastAsia="cs-CZ"/>
              </w:rPr>
            </w:pPr>
            <w:r w:rsidRPr="00790BE2">
              <w:rPr>
                <w:rFonts w:asciiTheme="minorHAnsi" w:eastAsia="Times New Roman" w:hAnsiTheme="minorHAnsi" w:cs="Calibri"/>
                <w:color w:val="FFFFFF"/>
                <w:szCs w:val="18"/>
                <w:lang w:eastAsia="cs-CZ"/>
              </w:rPr>
              <w:t>Program podpory</w:t>
            </w:r>
          </w:p>
        </w:tc>
        <w:tc>
          <w:tcPr>
            <w:tcW w:w="1366" w:type="pct"/>
            <w:noWrap/>
            <w:vAlign w:val="center"/>
            <w:hideMark/>
          </w:tcPr>
          <w:p w14:paraId="15B93E59" w14:textId="77777777" w:rsidR="00B92790" w:rsidRPr="00790BE2"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sidRPr="00790BE2">
              <w:rPr>
                <w:rFonts w:asciiTheme="minorHAnsi" w:eastAsia="Times New Roman" w:hAnsiTheme="minorHAnsi" w:cs="Calibri"/>
                <w:color w:val="FFFFFF"/>
                <w:szCs w:val="18"/>
                <w:lang w:eastAsia="cs-CZ"/>
              </w:rPr>
              <w:t>Alokace (EUR)</w:t>
            </w:r>
          </w:p>
        </w:tc>
        <w:tc>
          <w:tcPr>
            <w:tcW w:w="1223" w:type="pct"/>
            <w:noWrap/>
            <w:vAlign w:val="center"/>
            <w:hideMark/>
          </w:tcPr>
          <w:p w14:paraId="7E9986AA" w14:textId="77777777" w:rsidR="00B92790" w:rsidRPr="00790BE2"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sidRPr="00790BE2">
              <w:rPr>
                <w:rFonts w:asciiTheme="minorHAnsi" w:eastAsia="Times New Roman" w:hAnsiTheme="minorHAnsi" w:cs="Calibri"/>
                <w:color w:val="FFFFFF"/>
                <w:szCs w:val="18"/>
                <w:lang w:eastAsia="cs-CZ"/>
              </w:rPr>
              <w:t>Alokace (Kč)</w:t>
            </w:r>
          </w:p>
        </w:tc>
        <w:tc>
          <w:tcPr>
            <w:tcW w:w="1349" w:type="pct"/>
            <w:vAlign w:val="center"/>
            <w:hideMark/>
          </w:tcPr>
          <w:p w14:paraId="62D019A6" w14:textId="77777777" w:rsidR="00B92790" w:rsidRPr="00790BE2"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sidRPr="00790BE2">
              <w:rPr>
                <w:rFonts w:asciiTheme="minorHAnsi" w:eastAsia="Times New Roman" w:hAnsiTheme="minorHAnsi" w:cs="Calibri"/>
                <w:color w:val="FFFFFF"/>
                <w:szCs w:val="18"/>
                <w:lang w:eastAsia="cs-CZ"/>
              </w:rPr>
              <w:t xml:space="preserve">Podíl programu </w:t>
            </w:r>
            <w:r>
              <w:rPr>
                <w:rFonts w:asciiTheme="minorHAnsi" w:eastAsia="Times New Roman" w:hAnsiTheme="minorHAnsi" w:cs="Calibri"/>
                <w:color w:val="FFFFFF"/>
                <w:szCs w:val="18"/>
                <w:lang w:eastAsia="cs-CZ"/>
              </w:rPr>
              <w:br/>
            </w:r>
            <w:r w:rsidRPr="00790BE2">
              <w:rPr>
                <w:rFonts w:asciiTheme="minorHAnsi" w:eastAsia="Times New Roman" w:hAnsiTheme="minorHAnsi" w:cs="Calibri"/>
                <w:color w:val="FFFFFF"/>
                <w:szCs w:val="18"/>
                <w:lang w:eastAsia="cs-CZ"/>
              </w:rPr>
              <w:t>na PO</w:t>
            </w:r>
          </w:p>
        </w:tc>
      </w:tr>
      <w:tr w:rsidR="00B92790" w:rsidRPr="006C494D" w14:paraId="5737DBA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hideMark/>
          </w:tcPr>
          <w:p w14:paraId="70C589E7" w14:textId="77777777" w:rsidR="00B92790" w:rsidRPr="00F01B3E" w:rsidRDefault="00B92790" w:rsidP="00B92790">
            <w:pPr>
              <w:spacing w:after="0" w:line="240" w:lineRule="auto"/>
              <w:rPr>
                <w:rFonts w:asciiTheme="minorHAnsi" w:eastAsia="Times New Roman" w:hAnsiTheme="minorHAnsi" w:cs="Calibri"/>
                <w:b w:val="0"/>
                <w:color w:val="000000"/>
                <w:szCs w:val="18"/>
                <w:lang w:eastAsia="cs-CZ"/>
              </w:rPr>
            </w:pPr>
            <w:r w:rsidRPr="00F01B3E">
              <w:rPr>
                <w:rFonts w:asciiTheme="minorHAnsi" w:eastAsia="Times New Roman" w:hAnsiTheme="minorHAnsi" w:cs="Calibri"/>
                <w:b w:val="0"/>
                <w:color w:val="000000"/>
                <w:szCs w:val="18"/>
                <w:lang w:eastAsia="cs-CZ"/>
              </w:rPr>
              <w:t>Aplikace</w:t>
            </w:r>
          </w:p>
        </w:tc>
        <w:tc>
          <w:tcPr>
            <w:tcW w:w="1366" w:type="pct"/>
            <w:noWrap/>
            <w:hideMark/>
          </w:tcPr>
          <w:p w14:paraId="65485CAD"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417</w:t>
            </w:r>
            <w:r>
              <w:rPr>
                <w:rFonts w:asciiTheme="minorHAnsi" w:eastAsia="Times New Roman" w:hAnsiTheme="minorHAnsi" w:cs="Calibri"/>
                <w:color w:val="000000"/>
                <w:szCs w:val="18"/>
                <w:lang w:eastAsia="cs-CZ"/>
              </w:rPr>
              <w:t>,2 mil.</w:t>
            </w:r>
          </w:p>
        </w:tc>
        <w:tc>
          <w:tcPr>
            <w:tcW w:w="1223" w:type="pct"/>
            <w:noWrap/>
            <w:hideMark/>
          </w:tcPr>
          <w:p w14:paraId="24183922"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10</w:t>
            </w:r>
            <w:r>
              <w:rPr>
                <w:rFonts w:asciiTheme="minorHAnsi" w:eastAsia="Times New Roman" w:hAnsiTheme="minorHAnsi" w:cs="Calibri"/>
                <w:color w:val="000000"/>
                <w:szCs w:val="18"/>
                <w:lang w:eastAsia="cs-CZ"/>
              </w:rPr>
              <w:t>,</w:t>
            </w:r>
            <w:r w:rsidRPr="00C865F1">
              <w:rPr>
                <w:rFonts w:asciiTheme="minorHAnsi" w:eastAsia="Times New Roman" w:hAnsiTheme="minorHAnsi" w:cs="Calibri"/>
                <w:color w:val="000000"/>
                <w:szCs w:val="18"/>
                <w:lang w:eastAsia="cs-CZ"/>
              </w:rPr>
              <w:t>68</w:t>
            </w:r>
            <w:r>
              <w:rPr>
                <w:rFonts w:asciiTheme="minorHAnsi" w:eastAsia="Times New Roman" w:hAnsiTheme="minorHAnsi" w:cs="Calibri"/>
                <w:color w:val="000000"/>
                <w:szCs w:val="18"/>
                <w:lang w:eastAsia="cs-CZ"/>
              </w:rPr>
              <w:t xml:space="preserve"> mld.</w:t>
            </w:r>
          </w:p>
        </w:tc>
        <w:tc>
          <w:tcPr>
            <w:tcW w:w="1349" w:type="pct"/>
            <w:noWrap/>
            <w:hideMark/>
          </w:tcPr>
          <w:p w14:paraId="5054907D"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30,85</w:t>
            </w:r>
            <w:r>
              <w:rPr>
                <w:rFonts w:asciiTheme="minorHAnsi" w:eastAsia="Times New Roman" w:hAnsiTheme="minorHAnsi" w:cs="Calibri"/>
                <w:color w:val="000000"/>
                <w:szCs w:val="18"/>
                <w:lang w:eastAsia="cs-CZ"/>
              </w:rPr>
              <w:t xml:space="preserve"> </w:t>
            </w:r>
            <w:r w:rsidRPr="00C865F1">
              <w:rPr>
                <w:rFonts w:asciiTheme="minorHAnsi" w:eastAsia="Times New Roman" w:hAnsiTheme="minorHAnsi" w:cs="Calibri"/>
                <w:color w:val="000000"/>
                <w:szCs w:val="18"/>
                <w:lang w:eastAsia="cs-CZ"/>
              </w:rPr>
              <w:t>%</w:t>
            </w:r>
          </w:p>
        </w:tc>
      </w:tr>
      <w:tr w:rsidR="00B92790" w:rsidRPr="006C494D" w14:paraId="06D4BD3D"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062" w:type="pct"/>
          </w:tcPr>
          <w:p w14:paraId="14F2AA7A" w14:textId="77777777" w:rsidR="00B92790" w:rsidRPr="00F01B3E" w:rsidRDefault="00B92790" w:rsidP="00B92790">
            <w:pPr>
              <w:spacing w:after="0" w:line="240" w:lineRule="auto"/>
              <w:rPr>
                <w:rFonts w:asciiTheme="minorHAnsi" w:eastAsia="Times New Roman" w:hAnsiTheme="minorHAnsi" w:cs="Calibri"/>
                <w:b w:val="0"/>
                <w:color w:val="000000"/>
                <w:szCs w:val="18"/>
                <w:lang w:eastAsia="cs-CZ"/>
              </w:rPr>
            </w:pPr>
            <w:r w:rsidRPr="00F01B3E">
              <w:rPr>
                <w:rFonts w:asciiTheme="minorHAnsi" w:eastAsia="Times New Roman" w:hAnsiTheme="minorHAnsi" w:cs="Calibri"/>
                <w:b w:val="0"/>
                <w:color w:val="000000"/>
                <w:szCs w:val="18"/>
                <w:lang w:eastAsia="cs-CZ"/>
              </w:rPr>
              <w:t>Inovace</w:t>
            </w:r>
          </w:p>
        </w:tc>
        <w:tc>
          <w:tcPr>
            <w:tcW w:w="1366" w:type="pct"/>
            <w:noWrap/>
          </w:tcPr>
          <w:p w14:paraId="3C82DA1F" w14:textId="77777777" w:rsidR="00B92790" w:rsidRPr="00C865F1"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421</w:t>
            </w:r>
            <w:r>
              <w:rPr>
                <w:rFonts w:asciiTheme="minorHAnsi" w:eastAsia="Times New Roman" w:hAnsiTheme="minorHAnsi" w:cs="Calibri"/>
                <w:color w:val="000000"/>
                <w:szCs w:val="18"/>
                <w:lang w:eastAsia="cs-CZ"/>
              </w:rPr>
              <w:t>,6 mil.</w:t>
            </w:r>
          </w:p>
        </w:tc>
        <w:tc>
          <w:tcPr>
            <w:tcW w:w="1223" w:type="pct"/>
            <w:noWrap/>
          </w:tcPr>
          <w:p w14:paraId="02F69BE6" w14:textId="77777777" w:rsidR="00B92790" w:rsidRPr="00C865F1"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10</w:t>
            </w:r>
            <w:r>
              <w:rPr>
                <w:rFonts w:asciiTheme="minorHAnsi" w:eastAsia="Times New Roman" w:hAnsiTheme="minorHAnsi" w:cs="Calibri"/>
                <w:color w:val="000000"/>
                <w:szCs w:val="18"/>
                <w:lang w:eastAsia="cs-CZ"/>
              </w:rPr>
              <w:t>,</w:t>
            </w:r>
            <w:r w:rsidRPr="00C865F1">
              <w:rPr>
                <w:rFonts w:asciiTheme="minorHAnsi" w:eastAsia="Times New Roman" w:hAnsiTheme="minorHAnsi" w:cs="Calibri"/>
                <w:color w:val="000000"/>
                <w:szCs w:val="18"/>
                <w:lang w:eastAsia="cs-CZ"/>
              </w:rPr>
              <w:t>79</w:t>
            </w:r>
            <w:r>
              <w:rPr>
                <w:rFonts w:asciiTheme="minorHAnsi" w:eastAsia="Times New Roman" w:hAnsiTheme="minorHAnsi" w:cs="Calibri"/>
                <w:color w:val="000000"/>
                <w:szCs w:val="18"/>
                <w:lang w:eastAsia="cs-CZ"/>
              </w:rPr>
              <w:t xml:space="preserve"> mld.</w:t>
            </w:r>
          </w:p>
        </w:tc>
        <w:tc>
          <w:tcPr>
            <w:tcW w:w="1349" w:type="pct"/>
            <w:noWrap/>
          </w:tcPr>
          <w:p w14:paraId="49C788B7" w14:textId="77777777" w:rsidR="00B92790" w:rsidRPr="00C865F1"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31,17</w:t>
            </w:r>
            <w:r>
              <w:rPr>
                <w:rFonts w:asciiTheme="minorHAnsi" w:eastAsia="Times New Roman" w:hAnsiTheme="minorHAnsi" w:cs="Calibri"/>
                <w:color w:val="000000"/>
                <w:szCs w:val="18"/>
                <w:lang w:eastAsia="cs-CZ"/>
              </w:rPr>
              <w:t xml:space="preserve"> </w:t>
            </w:r>
            <w:r w:rsidRPr="00C865F1">
              <w:rPr>
                <w:rFonts w:asciiTheme="minorHAnsi" w:eastAsia="Times New Roman" w:hAnsiTheme="minorHAnsi" w:cs="Calibri"/>
                <w:color w:val="000000"/>
                <w:szCs w:val="18"/>
                <w:lang w:eastAsia="cs-CZ"/>
              </w:rPr>
              <w:t>%</w:t>
            </w:r>
          </w:p>
        </w:tc>
      </w:tr>
      <w:tr w:rsidR="00B92790" w:rsidRPr="006C494D" w14:paraId="6861D7A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2" w:type="pct"/>
            <w:hideMark/>
          </w:tcPr>
          <w:p w14:paraId="2A6C6EBB" w14:textId="77777777" w:rsidR="00B92790" w:rsidRPr="00F01B3E" w:rsidRDefault="00B92790" w:rsidP="00B92790">
            <w:pPr>
              <w:spacing w:after="0" w:line="240" w:lineRule="auto"/>
              <w:rPr>
                <w:rFonts w:asciiTheme="minorHAnsi" w:eastAsia="Times New Roman" w:hAnsiTheme="minorHAnsi" w:cs="Calibri"/>
                <w:b w:val="0"/>
                <w:color w:val="000000"/>
                <w:szCs w:val="18"/>
                <w:lang w:eastAsia="cs-CZ"/>
              </w:rPr>
            </w:pPr>
            <w:r w:rsidRPr="00F01B3E">
              <w:rPr>
                <w:rFonts w:asciiTheme="minorHAnsi" w:eastAsia="Times New Roman" w:hAnsiTheme="minorHAnsi" w:cs="Calibri"/>
                <w:b w:val="0"/>
                <w:color w:val="000000"/>
                <w:szCs w:val="18"/>
                <w:lang w:eastAsia="cs-CZ"/>
              </w:rPr>
              <w:t>Potenciál</w:t>
            </w:r>
          </w:p>
        </w:tc>
        <w:tc>
          <w:tcPr>
            <w:tcW w:w="1366" w:type="pct"/>
            <w:noWrap/>
            <w:hideMark/>
          </w:tcPr>
          <w:p w14:paraId="1CE0BDCC"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235</w:t>
            </w:r>
            <w:r>
              <w:rPr>
                <w:rFonts w:asciiTheme="minorHAnsi" w:eastAsia="Times New Roman" w:hAnsiTheme="minorHAnsi" w:cs="Calibri"/>
                <w:color w:val="000000"/>
                <w:szCs w:val="18"/>
                <w:lang w:eastAsia="cs-CZ"/>
              </w:rPr>
              <w:t>,</w:t>
            </w:r>
            <w:r w:rsidRPr="00C865F1">
              <w:rPr>
                <w:rFonts w:asciiTheme="minorHAnsi" w:eastAsia="Times New Roman" w:hAnsiTheme="minorHAnsi" w:cs="Calibri"/>
                <w:color w:val="000000"/>
                <w:szCs w:val="18"/>
                <w:lang w:eastAsia="cs-CZ"/>
              </w:rPr>
              <w:t>6</w:t>
            </w:r>
            <w:r>
              <w:rPr>
                <w:rFonts w:asciiTheme="minorHAnsi" w:eastAsia="Times New Roman" w:hAnsiTheme="minorHAnsi" w:cs="Calibri"/>
                <w:color w:val="000000"/>
                <w:szCs w:val="18"/>
                <w:lang w:eastAsia="cs-CZ"/>
              </w:rPr>
              <w:t xml:space="preserve"> mil.</w:t>
            </w:r>
          </w:p>
        </w:tc>
        <w:tc>
          <w:tcPr>
            <w:tcW w:w="1223" w:type="pct"/>
            <w:noWrap/>
            <w:hideMark/>
          </w:tcPr>
          <w:p w14:paraId="74DE07FC"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6</w:t>
            </w:r>
            <w:r>
              <w:rPr>
                <w:rFonts w:asciiTheme="minorHAnsi" w:eastAsia="Times New Roman" w:hAnsiTheme="minorHAnsi" w:cs="Calibri"/>
                <w:color w:val="000000"/>
                <w:szCs w:val="18"/>
                <w:lang w:eastAsia="cs-CZ"/>
              </w:rPr>
              <w:t>,</w:t>
            </w:r>
            <w:r w:rsidRPr="00C865F1">
              <w:rPr>
                <w:rFonts w:asciiTheme="minorHAnsi" w:eastAsia="Times New Roman" w:hAnsiTheme="minorHAnsi" w:cs="Calibri"/>
                <w:color w:val="000000"/>
                <w:szCs w:val="18"/>
                <w:lang w:eastAsia="cs-CZ"/>
              </w:rPr>
              <w:t>03</w:t>
            </w:r>
            <w:r>
              <w:rPr>
                <w:rFonts w:asciiTheme="minorHAnsi" w:eastAsia="Times New Roman" w:hAnsiTheme="minorHAnsi" w:cs="Calibri"/>
                <w:color w:val="000000"/>
                <w:szCs w:val="18"/>
                <w:lang w:eastAsia="cs-CZ"/>
              </w:rPr>
              <w:t xml:space="preserve"> mld.</w:t>
            </w:r>
          </w:p>
        </w:tc>
        <w:tc>
          <w:tcPr>
            <w:tcW w:w="1349" w:type="pct"/>
            <w:noWrap/>
            <w:hideMark/>
          </w:tcPr>
          <w:p w14:paraId="04E53654" w14:textId="77777777" w:rsidR="00B92790" w:rsidRPr="00C865F1"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17,42</w:t>
            </w:r>
            <w:r>
              <w:rPr>
                <w:rFonts w:asciiTheme="minorHAnsi" w:eastAsia="Times New Roman" w:hAnsiTheme="minorHAnsi" w:cs="Calibri"/>
                <w:color w:val="000000"/>
                <w:szCs w:val="18"/>
                <w:lang w:eastAsia="cs-CZ"/>
              </w:rPr>
              <w:t xml:space="preserve"> </w:t>
            </w:r>
            <w:r w:rsidRPr="00C865F1">
              <w:rPr>
                <w:rFonts w:asciiTheme="minorHAnsi" w:eastAsia="Times New Roman" w:hAnsiTheme="minorHAnsi" w:cs="Calibri"/>
                <w:color w:val="000000"/>
                <w:szCs w:val="18"/>
                <w:lang w:eastAsia="cs-CZ"/>
              </w:rPr>
              <w:t>%</w:t>
            </w:r>
          </w:p>
        </w:tc>
      </w:tr>
      <w:tr w:rsidR="00B92790" w:rsidRPr="006C494D" w14:paraId="6BED498C"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062" w:type="pct"/>
            <w:shd w:val="clear" w:color="auto" w:fill="E7F5CF" w:themeFill="accent1" w:themeFillTint="33"/>
          </w:tcPr>
          <w:p w14:paraId="0C9B2924" w14:textId="77777777" w:rsidR="00B92790" w:rsidRPr="00790BE2" w:rsidRDefault="00B92790" w:rsidP="00B92790">
            <w:pPr>
              <w:spacing w:after="0" w:line="240" w:lineRule="auto"/>
              <w:rPr>
                <w:rFonts w:asciiTheme="minorHAnsi" w:eastAsia="Times New Roman" w:hAnsiTheme="minorHAnsi" w:cs="Calibri"/>
                <w:b w:val="0"/>
                <w:color w:val="000000"/>
                <w:szCs w:val="18"/>
                <w:lang w:eastAsia="cs-CZ"/>
              </w:rPr>
            </w:pPr>
            <w:r w:rsidRPr="00790BE2">
              <w:rPr>
                <w:rFonts w:asciiTheme="minorHAnsi" w:eastAsia="Times New Roman" w:hAnsiTheme="minorHAnsi" w:cs="Calibri"/>
                <w:color w:val="000000"/>
                <w:szCs w:val="18"/>
                <w:lang w:eastAsia="cs-CZ"/>
              </w:rPr>
              <w:t>Celkem</w:t>
            </w:r>
          </w:p>
        </w:tc>
        <w:tc>
          <w:tcPr>
            <w:tcW w:w="1366" w:type="pct"/>
            <w:shd w:val="clear" w:color="auto" w:fill="E7F5CF" w:themeFill="accent1" w:themeFillTint="33"/>
            <w:noWrap/>
          </w:tcPr>
          <w:p w14:paraId="37860D24"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790BE2">
              <w:rPr>
                <w:rFonts w:asciiTheme="minorHAnsi" w:eastAsia="Times New Roman" w:hAnsiTheme="minorHAnsi" w:cs="Calibri"/>
                <w:b/>
                <w:color w:val="000000"/>
                <w:szCs w:val="18"/>
                <w:lang w:eastAsia="cs-CZ"/>
              </w:rPr>
              <w:t xml:space="preserve">1,07 mld. </w:t>
            </w:r>
          </w:p>
        </w:tc>
        <w:tc>
          <w:tcPr>
            <w:tcW w:w="1223" w:type="pct"/>
            <w:shd w:val="clear" w:color="auto" w:fill="E7F5CF" w:themeFill="accent1" w:themeFillTint="33"/>
            <w:noWrap/>
          </w:tcPr>
          <w:p w14:paraId="2CB2E75C"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790BE2">
              <w:rPr>
                <w:rFonts w:asciiTheme="minorHAnsi" w:eastAsia="Times New Roman" w:hAnsiTheme="minorHAnsi" w:cs="Calibri"/>
                <w:b/>
                <w:color w:val="000000"/>
                <w:szCs w:val="18"/>
                <w:lang w:eastAsia="cs-CZ"/>
              </w:rPr>
              <w:t>27,5 mld.</w:t>
            </w:r>
          </w:p>
        </w:tc>
        <w:tc>
          <w:tcPr>
            <w:tcW w:w="1349" w:type="pct"/>
            <w:shd w:val="clear" w:color="auto" w:fill="E7F5CF" w:themeFill="accent1" w:themeFillTint="33"/>
            <w:noWrap/>
          </w:tcPr>
          <w:p w14:paraId="6662809F" w14:textId="77777777" w:rsidR="00B92790" w:rsidRPr="00C865F1"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r>
    </w:tbl>
    <w:p w14:paraId="092B6E62" w14:textId="77777777" w:rsidR="00B92790" w:rsidRPr="0003572C" w:rsidRDefault="00B92790" w:rsidP="00B92790">
      <w:pPr>
        <w:jc w:val="both"/>
        <w:rPr>
          <w:i/>
        </w:rPr>
      </w:pPr>
      <w:r w:rsidRPr="0003572C">
        <w:rPr>
          <w:i/>
        </w:rPr>
        <w:t xml:space="preserve">Pozn.: Údaj </w:t>
      </w:r>
      <w:r>
        <w:rPr>
          <w:i/>
        </w:rPr>
        <w:t>„A</w:t>
      </w:r>
      <w:r w:rsidRPr="0003572C">
        <w:rPr>
          <w:i/>
        </w:rPr>
        <w:t>lokace</w:t>
      </w:r>
      <w:r>
        <w:rPr>
          <w:i/>
        </w:rPr>
        <w:t>“</w:t>
      </w:r>
      <w:r w:rsidRPr="0003572C">
        <w:rPr>
          <w:i/>
        </w:rPr>
        <w:t xml:space="preserve"> se vztahuje</w:t>
      </w:r>
      <w:r>
        <w:rPr>
          <w:i/>
        </w:rPr>
        <w:t xml:space="preserve"> k </w:t>
      </w:r>
      <w:r w:rsidRPr="0003572C">
        <w:rPr>
          <w:i/>
        </w:rPr>
        <w:t>finančnímu příspěvku EU, nezohledňuje celkové výdaje projektu</w:t>
      </w:r>
      <w:r>
        <w:rPr>
          <w:i/>
        </w:rPr>
        <w:t xml:space="preserve"> a </w:t>
      </w:r>
      <w:r w:rsidRPr="0003572C">
        <w:rPr>
          <w:i/>
        </w:rPr>
        <w:t>tudíž ani vlastní financování žadatele / příjemce.</w:t>
      </w:r>
    </w:p>
    <w:p w14:paraId="62365614" w14:textId="77777777" w:rsidR="00B92790" w:rsidRPr="00790BE2" w:rsidRDefault="00B92790" w:rsidP="00B92790">
      <w:pPr>
        <w:jc w:val="both"/>
        <w:rPr>
          <w:b/>
        </w:rPr>
      </w:pPr>
      <w:r w:rsidRPr="00790BE2">
        <w:rPr>
          <w:b/>
        </w:rPr>
        <w:t>Počet projektů dle výzvy</w:t>
      </w:r>
      <w:r>
        <w:rPr>
          <w:b/>
        </w:rPr>
        <w:t xml:space="preserve"> a </w:t>
      </w:r>
      <w:r w:rsidRPr="00790BE2">
        <w:rPr>
          <w:b/>
        </w:rPr>
        <w:t>stavu</w:t>
      </w:r>
    </w:p>
    <w:p w14:paraId="59912B1C" w14:textId="77777777" w:rsidR="00B92790" w:rsidRDefault="00B92790" w:rsidP="00B92790">
      <w:pPr>
        <w:jc w:val="both"/>
      </w:pPr>
      <w:r>
        <w:t>Ve všech třech programech podpory bylo celkem vyhlášeno 6 výzev. V případě programu Potenciál byla výzva č. II zrušena (a zároveň byla navýšena alokace I. výzvy). Dále bylo vyhlášeno 6 výzev v rámci územních intervencí ITI:</w:t>
      </w:r>
    </w:p>
    <w:p w14:paraId="312FB5F4" w14:textId="77777777" w:rsidR="00B92790" w:rsidRDefault="00B92790" w:rsidP="00B92790">
      <w:pPr>
        <w:pStyle w:val="ListParagraph"/>
        <w:numPr>
          <w:ilvl w:val="0"/>
          <w:numId w:val="93"/>
        </w:numPr>
        <w:jc w:val="both"/>
      </w:pPr>
      <w:r>
        <w:t>Aplikace:</w:t>
      </w:r>
    </w:p>
    <w:p w14:paraId="0E6410E2" w14:textId="77777777" w:rsidR="00B92790" w:rsidRDefault="00B92790" w:rsidP="00B92790">
      <w:pPr>
        <w:pStyle w:val="ListParagraph"/>
        <w:numPr>
          <w:ilvl w:val="1"/>
          <w:numId w:val="93"/>
        </w:numPr>
        <w:jc w:val="both"/>
      </w:pPr>
      <w:r>
        <w:t>I. výzva – Aplikace – ITI Olomouc</w:t>
      </w:r>
    </w:p>
    <w:p w14:paraId="2FE86D44" w14:textId="77777777" w:rsidR="00B92790" w:rsidRDefault="00B92790" w:rsidP="00B92790">
      <w:pPr>
        <w:pStyle w:val="ListParagraph"/>
        <w:numPr>
          <w:ilvl w:val="1"/>
          <w:numId w:val="93"/>
        </w:numPr>
        <w:jc w:val="both"/>
      </w:pPr>
      <w:r>
        <w:t>I. výzva – Aplikace – ITI Hradec-Pardubice</w:t>
      </w:r>
    </w:p>
    <w:p w14:paraId="02B4A844" w14:textId="77777777" w:rsidR="00B92790" w:rsidRDefault="00B92790" w:rsidP="00B92790">
      <w:pPr>
        <w:pStyle w:val="ListParagraph"/>
        <w:numPr>
          <w:ilvl w:val="0"/>
          <w:numId w:val="93"/>
        </w:numPr>
        <w:jc w:val="both"/>
      </w:pPr>
      <w:r>
        <w:t>Inovace:</w:t>
      </w:r>
    </w:p>
    <w:p w14:paraId="67A7F505" w14:textId="77777777" w:rsidR="00B92790" w:rsidRDefault="00B92790" w:rsidP="00B92790">
      <w:pPr>
        <w:pStyle w:val="ListParagraph"/>
        <w:numPr>
          <w:ilvl w:val="1"/>
          <w:numId w:val="93"/>
        </w:numPr>
        <w:jc w:val="both"/>
      </w:pPr>
      <w:r>
        <w:t>I. výzva – Inovace – Inovační projekt – ITI Olomouc</w:t>
      </w:r>
    </w:p>
    <w:p w14:paraId="316FA320" w14:textId="77777777" w:rsidR="00B92790" w:rsidRDefault="00B92790" w:rsidP="00B92790">
      <w:pPr>
        <w:pStyle w:val="ListParagraph"/>
        <w:numPr>
          <w:ilvl w:val="1"/>
          <w:numId w:val="93"/>
        </w:numPr>
        <w:jc w:val="both"/>
      </w:pPr>
      <w:r>
        <w:t>I. výzva – Inovace – Inovační projekt – ITI Plzeň</w:t>
      </w:r>
    </w:p>
    <w:p w14:paraId="22D1D918" w14:textId="77777777" w:rsidR="00B92790" w:rsidRDefault="00B92790" w:rsidP="00B92790">
      <w:pPr>
        <w:pStyle w:val="ListParagraph"/>
        <w:numPr>
          <w:ilvl w:val="0"/>
          <w:numId w:val="93"/>
        </w:numPr>
        <w:jc w:val="both"/>
      </w:pPr>
      <w:r>
        <w:t>Potenciál:</w:t>
      </w:r>
    </w:p>
    <w:p w14:paraId="678238B8" w14:textId="77777777" w:rsidR="00B92790" w:rsidRDefault="00B92790" w:rsidP="00B92790">
      <w:pPr>
        <w:pStyle w:val="ListParagraph"/>
        <w:numPr>
          <w:ilvl w:val="1"/>
          <w:numId w:val="93"/>
        </w:numPr>
        <w:jc w:val="both"/>
      </w:pPr>
      <w:r>
        <w:t>I. výzva – Potenciál – ITI Hradec-Pardubice</w:t>
      </w:r>
    </w:p>
    <w:p w14:paraId="09C6E43B" w14:textId="77777777" w:rsidR="00B92790" w:rsidRDefault="00B92790" w:rsidP="00B92790">
      <w:pPr>
        <w:pStyle w:val="ListParagraph"/>
        <w:numPr>
          <w:ilvl w:val="1"/>
          <w:numId w:val="93"/>
        </w:numPr>
        <w:jc w:val="both"/>
      </w:pPr>
      <w:r>
        <w:t>I. výzva – Potenciál – ITI Plzeň</w:t>
      </w:r>
    </w:p>
    <w:p w14:paraId="2E2E68CD" w14:textId="77777777" w:rsidR="00B92790" w:rsidRDefault="00B92790" w:rsidP="00B92790">
      <w:pPr>
        <w:jc w:val="both"/>
      </w:pPr>
      <w:r>
        <w:t xml:space="preserve">Z hlediska počtu žádostí připadlo po </w:t>
      </w:r>
      <w:r w:rsidRPr="00790BE2">
        <w:rPr>
          <w:b/>
        </w:rPr>
        <w:t>40 % na programy Aplikace</w:t>
      </w:r>
      <w:r>
        <w:rPr>
          <w:b/>
        </w:rPr>
        <w:t xml:space="preserve"> a </w:t>
      </w:r>
      <w:r w:rsidRPr="00790BE2">
        <w:rPr>
          <w:b/>
        </w:rPr>
        <w:t>Inovace</w:t>
      </w:r>
      <w:r>
        <w:t xml:space="preserve">, zbývajících </w:t>
      </w:r>
      <w:r w:rsidRPr="00790BE2">
        <w:rPr>
          <w:b/>
        </w:rPr>
        <w:t>20 % na program Potenciál</w:t>
      </w:r>
      <w:r>
        <w:t xml:space="preserve">. </w:t>
      </w:r>
      <w:r w:rsidRPr="00790BE2">
        <w:rPr>
          <w:b/>
        </w:rPr>
        <w:t xml:space="preserve">Převis dosud požadovaných prostředků je téměř dvojnásobný </w:t>
      </w:r>
      <w:r>
        <w:t xml:space="preserve">nad dosud vyhlášenými alokacemi všech výzev bez výrazných rozdílů mezi programy (192 – 199 </w:t>
      </w:r>
      <w:r w:rsidRPr="0063122F">
        <w:t>%</w:t>
      </w:r>
      <w:r>
        <w:t xml:space="preserve">). </w:t>
      </w:r>
    </w:p>
    <w:p w14:paraId="4577513F" w14:textId="77777777" w:rsidR="00B92790" w:rsidRDefault="00B92790" w:rsidP="00B92790">
      <w:pPr>
        <w:jc w:val="both"/>
      </w:pPr>
      <w:r>
        <w:t xml:space="preserve">Počet projektů v členění dle jednotlivých výzev shrnuje následující tabulka. </w:t>
      </w:r>
    </w:p>
    <w:p w14:paraId="0D74B063" w14:textId="2A267911"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20</w:t>
      </w:r>
      <w:r>
        <w:fldChar w:fldCharType="end"/>
      </w:r>
      <w:r>
        <w:t xml:space="preserve"> - Přehled stavů projektů podle výzev</w:t>
      </w:r>
    </w:p>
    <w:tbl>
      <w:tblPr>
        <w:tblStyle w:val="ListTable3-Accent11"/>
        <w:tblW w:w="5000" w:type="pct"/>
        <w:tblLook w:val="04A0" w:firstRow="1" w:lastRow="0" w:firstColumn="1" w:lastColumn="0" w:noHBand="0" w:noVBand="1"/>
      </w:tblPr>
      <w:tblGrid>
        <w:gridCol w:w="2488"/>
        <w:gridCol w:w="722"/>
        <w:gridCol w:w="723"/>
        <w:gridCol w:w="723"/>
        <w:gridCol w:w="723"/>
        <w:gridCol w:w="723"/>
        <w:gridCol w:w="754"/>
        <w:gridCol w:w="563"/>
        <w:gridCol w:w="966"/>
        <w:gridCol w:w="1253"/>
      </w:tblGrid>
      <w:tr w:rsidR="00B92790" w:rsidRPr="008E2502" w14:paraId="4D37B163"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91" w:type="pct"/>
            <w:tcBorders>
              <w:top w:val="single" w:sz="4" w:space="0" w:color="86BC25" w:themeColor="accent1"/>
              <w:left w:val="nil"/>
            </w:tcBorders>
          </w:tcPr>
          <w:p w14:paraId="509F78EA" w14:textId="77777777" w:rsidR="00B92790" w:rsidRPr="008E2502" w:rsidRDefault="00B92790" w:rsidP="00B92790">
            <w:pPr>
              <w:spacing w:after="0" w:line="240" w:lineRule="auto"/>
              <w:rPr>
                <w:rFonts w:asciiTheme="majorHAnsi" w:eastAsia="Times New Roman" w:hAnsiTheme="majorHAnsi" w:cs="Calibri"/>
                <w:color w:val="FFFFFF"/>
                <w:szCs w:val="18"/>
                <w:lang w:eastAsia="cs-CZ"/>
              </w:rPr>
            </w:pPr>
            <w:r w:rsidRPr="008E2502">
              <w:rPr>
                <w:rFonts w:asciiTheme="majorHAnsi" w:eastAsia="Times New Roman" w:hAnsiTheme="majorHAnsi" w:cs="Calibri"/>
                <w:color w:val="FFFFFF"/>
                <w:szCs w:val="18"/>
                <w:lang w:eastAsia="cs-CZ"/>
              </w:rPr>
              <w:t>Program podpory</w:t>
            </w:r>
          </w:p>
        </w:tc>
        <w:tc>
          <w:tcPr>
            <w:tcW w:w="2556" w:type="pct"/>
            <w:gridSpan w:val="7"/>
            <w:tcBorders>
              <w:top w:val="single" w:sz="4" w:space="0" w:color="86BC25" w:themeColor="accent1"/>
            </w:tcBorders>
          </w:tcPr>
          <w:p w14:paraId="10EE96A2" w14:textId="77777777" w:rsidR="00B92790" w:rsidRPr="008E2502"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8E2502">
              <w:rPr>
                <w:rFonts w:asciiTheme="majorHAnsi" w:eastAsia="Times New Roman" w:hAnsiTheme="majorHAnsi" w:cs="Calibri"/>
                <w:color w:val="FFFFFF"/>
                <w:szCs w:val="18"/>
                <w:lang w:eastAsia="cs-CZ"/>
              </w:rPr>
              <w:t>Výzva</w:t>
            </w:r>
          </w:p>
        </w:tc>
        <w:tc>
          <w:tcPr>
            <w:tcW w:w="1153" w:type="pct"/>
            <w:gridSpan w:val="2"/>
            <w:tcBorders>
              <w:top w:val="single" w:sz="4" w:space="0" w:color="86BC25" w:themeColor="accent1"/>
              <w:right w:val="nil"/>
            </w:tcBorders>
            <w:noWrap/>
          </w:tcPr>
          <w:p w14:paraId="2C156E5D" w14:textId="77777777" w:rsidR="00B92790" w:rsidRPr="008E2502"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8E2502">
              <w:rPr>
                <w:rFonts w:asciiTheme="majorHAnsi" w:eastAsia="Times New Roman" w:hAnsiTheme="majorHAnsi" w:cs="Calibri"/>
                <w:color w:val="FFFFFF"/>
                <w:szCs w:val="18"/>
                <w:lang w:eastAsia="cs-CZ"/>
              </w:rPr>
              <w:t>Celkem</w:t>
            </w:r>
          </w:p>
        </w:tc>
      </w:tr>
      <w:tr w:rsidR="00B92790" w:rsidRPr="008E2502" w14:paraId="4159B3F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shd w:val="clear" w:color="auto" w:fill="86BC25" w:themeFill="accent1"/>
          </w:tcPr>
          <w:p w14:paraId="6C9D075E" w14:textId="77777777" w:rsidR="00B92790" w:rsidRPr="008E2502" w:rsidRDefault="00B92790" w:rsidP="00B92790">
            <w:pPr>
              <w:spacing w:after="0" w:line="240" w:lineRule="auto"/>
              <w:rPr>
                <w:rFonts w:asciiTheme="majorHAnsi" w:eastAsia="Times New Roman" w:hAnsiTheme="majorHAnsi" w:cs="Calibri"/>
                <w:color w:val="FFFFFF"/>
                <w:szCs w:val="18"/>
                <w:lang w:eastAsia="cs-CZ"/>
              </w:rPr>
            </w:pPr>
            <w:r w:rsidRPr="008E2502">
              <w:rPr>
                <w:rFonts w:asciiTheme="majorHAnsi" w:eastAsia="Times New Roman" w:hAnsiTheme="majorHAnsi" w:cs="Calibri"/>
                <w:color w:val="FFFFFF"/>
                <w:szCs w:val="18"/>
                <w:lang w:eastAsia="cs-CZ"/>
              </w:rPr>
              <w:t>Stav projektu</w:t>
            </w:r>
          </w:p>
        </w:tc>
        <w:tc>
          <w:tcPr>
            <w:tcW w:w="375" w:type="pct"/>
            <w:shd w:val="clear" w:color="auto" w:fill="86BC25" w:themeFill="accent1"/>
          </w:tcPr>
          <w:p w14:paraId="5F308A4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I</w:t>
            </w:r>
          </w:p>
        </w:tc>
        <w:tc>
          <w:tcPr>
            <w:tcW w:w="375" w:type="pct"/>
            <w:shd w:val="clear" w:color="auto" w:fill="86BC25" w:themeFill="accent1"/>
          </w:tcPr>
          <w:p w14:paraId="6435734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II</w:t>
            </w:r>
          </w:p>
        </w:tc>
        <w:tc>
          <w:tcPr>
            <w:tcW w:w="375" w:type="pct"/>
            <w:shd w:val="clear" w:color="auto" w:fill="86BC25" w:themeFill="accent1"/>
            <w:noWrap/>
            <w:hideMark/>
          </w:tcPr>
          <w:p w14:paraId="7194281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III</w:t>
            </w:r>
          </w:p>
        </w:tc>
        <w:tc>
          <w:tcPr>
            <w:tcW w:w="375" w:type="pct"/>
            <w:shd w:val="clear" w:color="auto" w:fill="86BC25" w:themeFill="accent1"/>
            <w:noWrap/>
            <w:hideMark/>
          </w:tcPr>
          <w:p w14:paraId="5BD29DC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IV</w:t>
            </w:r>
          </w:p>
        </w:tc>
        <w:tc>
          <w:tcPr>
            <w:tcW w:w="375" w:type="pct"/>
            <w:shd w:val="clear" w:color="auto" w:fill="86BC25" w:themeFill="accent1"/>
          </w:tcPr>
          <w:p w14:paraId="39FC71CD"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V</w:t>
            </w:r>
          </w:p>
        </w:tc>
        <w:tc>
          <w:tcPr>
            <w:tcW w:w="391" w:type="pct"/>
            <w:shd w:val="clear" w:color="auto" w:fill="86BC25" w:themeFill="accent1"/>
            <w:noWrap/>
            <w:hideMark/>
          </w:tcPr>
          <w:p w14:paraId="24A6A56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VI*)</w:t>
            </w:r>
          </w:p>
        </w:tc>
        <w:tc>
          <w:tcPr>
            <w:tcW w:w="292" w:type="pct"/>
            <w:shd w:val="clear" w:color="auto" w:fill="86BC25" w:themeFill="accent1"/>
          </w:tcPr>
          <w:p w14:paraId="28236743"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ITI</w:t>
            </w:r>
          </w:p>
        </w:tc>
        <w:tc>
          <w:tcPr>
            <w:tcW w:w="501" w:type="pct"/>
            <w:shd w:val="clear" w:color="auto" w:fill="86BC25" w:themeFill="accent1"/>
            <w:noWrap/>
            <w:hideMark/>
          </w:tcPr>
          <w:p w14:paraId="713D33D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Počet</w:t>
            </w:r>
          </w:p>
        </w:tc>
        <w:tc>
          <w:tcPr>
            <w:tcW w:w="651" w:type="pct"/>
            <w:tcBorders>
              <w:right w:val="nil"/>
            </w:tcBorders>
            <w:shd w:val="clear" w:color="auto" w:fill="86BC25" w:themeFill="accent1"/>
          </w:tcPr>
          <w:p w14:paraId="53FA389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Cs w:val="18"/>
                <w:lang w:eastAsia="cs-CZ"/>
              </w:rPr>
            </w:pPr>
            <w:r w:rsidRPr="008E2502">
              <w:rPr>
                <w:rFonts w:asciiTheme="majorHAnsi" w:eastAsia="Times New Roman" w:hAnsiTheme="majorHAnsi" w:cs="Calibri"/>
                <w:b/>
                <w:color w:val="FFFFFF"/>
                <w:szCs w:val="18"/>
                <w:lang w:eastAsia="cs-CZ"/>
              </w:rPr>
              <w:t>v %</w:t>
            </w:r>
          </w:p>
        </w:tc>
      </w:tr>
      <w:tr w:rsidR="00B92790" w:rsidRPr="008E2502" w14:paraId="0279DD4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shd w:val="clear" w:color="auto" w:fill="E7F5CF" w:themeFill="accent1" w:themeFillTint="33"/>
          </w:tcPr>
          <w:p w14:paraId="295A3D5C" w14:textId="77777777" w:rsidR="00B92790" w:rsidRPr="008E2502" w:rsidRDefault="00B92790" w:rsidP="00B92790">
            <w:pPr>
              <w:spacing w:after="0" w:line="240" w:lineRule="auto"/>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Aplikace</w:t>
            </w:r>
          </w:p>
        </w:tc>
        <w:tc>
          <w:tcPr>
            <w:tcW w:w="375" w:type="pct"/>
            <w:shd w:val="clear" w:color="auto" w:fill="E7F5CF" w:themeFill="accent1" w:themeFillTint="33"/>
          </w:tcPr>
          <w:p w14:paraId="05F0CD7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tcPr>
          <w:p w14:paraId="0206F5F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noWrap/>
          </w:tcPr>
          <w:p w14:paraId="601602B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noWrap/>
          </w:tcPr>
          <w:p w14:paraId="47739428"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tcPr>
          <w:p w14:paraId="3807934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91" w:type="pct"/>
            <w:shd w:val="clear" w:color="auto" w:fill="E7F5CF" w:themeFill="accent1" w:themeFillTint="33"/>
            <w:noWrap/>
          </w:tcPr>
          <w:p w14:paraId="15AAE9D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292" w:type="pct"/>
            <w:shd w:val="clear" w:color="auto" w:fill="E7F5CF" w:themeFill="accent1" w:themeFillTint="33"/>
          </w:tcPr>
          <w:p w14:paraId="58D969B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501" w:type="pct"/>
            <w:shd w:val="clear" w:color="auto" w:fill="E7F5CF" w:themeFill="accent1" w:themeFillTint="33"/>
            <w:noWrap/>
          </w:tcPr>
          <w:p w14:paraId="27B898E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651" w:type="pct"/>
            <w:tcBorders>
              <w:right w:val="nil"/>
            </w:tcBorders>
            <w:shd w:val="clear" w:color="auto" w:fill="E7F5CF" w:themeFill="accent1" w:themeFillTint="33"/>
          </w:tcPr>
          <w:p w14:paraId="6FCF659B"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r>
      <w:tr w:rsidR="00B92790" w:rsidRPr="008E2502" w14:paraId="2E1B78F2"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182AAAE9"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Podáno</w:t>
            </w:r>
          </w:p>
        </w:tc>
        <w:tc>
          <w:tcPr>
            <w:tcW w:w="375" w:type="pct"/>
          </w:tcPr>
          <w:p w14:paraId="37EB766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695</w:t>
            </w:r>
          </w:p>
        </w:tc>
        <w:tc>
          <w:tcPr>
            <w:tcW w:w="375" w:type="pct"/>
          </w:tcPr>
          <w:p w14:paraId="5F29278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w:t>
            </w:r>
          </w:p>
        </w:tc>
        <w:tc>
          <w:tcPr>
            <w:tcW w:w="375" w:type="pct"/>
            <w:noWrap/>
          </w:tcPr>
          <w:p w14:paraId="48DE3A0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261</w:t>
            </w:r>
          </w:p>
        </w:tc>
        <w:tc>
          <w:tcPr>
            <w:tcW w:w="375" w:type="pct"/>
            <w:noWrap/>
          </w:tcPr>
          <w:p w14:paraId="10655CDD"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238</w:t>
            </w:r>
          </w:p>
        </w:tc>
        <w:tc>
          <w:tcPr>
            <w:tcW w:w="375" w:type="pct"/>
          </w:tcPr>
          <w:p w14:paraId="1BA84BD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w:t>
            </w:r>
          </w:p>
        </w:tc>
        <w:tc>
          <w:tcPr>
            <w:tcW w:w="391" w:type="pct"/>
            <w:noWrap/>
          </w:tcPr>
          <w:p w14:paraId="22729B33"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310</w:t>
            </w:r>
          </w:p>
        </w:tc>
        <w:tc>
          <w:tcPr>
            <w:tcW w:w="292" w:type="pct"/>
          </w:tcPr>
          <w:p w14:paraId="21B8C56D"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10</w:t>
            </w:r>
          </w:p>
        </w:tc>
        <w:tc>
          <w:tcPr>
            <w:tcW w:w="501" w:type="pct"/>
            <w:noWrap/>
          </w:tcPr>
          <w:p w14:paraId="487AAE87"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1 523</w:t>
            </w:r>
          </w:p>
        </w:tc>
        <w:tc>
          <w:tcPr>
            <w:tcW w:w="651" w:type="pct"/>
            <w:tcBorders>
              <w:right w:val="nil"/>
            </w:tcBorders>
          </w:tcPr>
          <w:p w14:paraId="2586594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490E2A4B"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6EFB9D53"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z toho:</w:t>
            </w:r>
          </w:p>
        </w:tc>
        <w:tc>
          <w:tcPr>
            <w:tcW w:w="375" w:type="pct"/>
          </w:tcPr>
          <w:p w14:paraId="45CF68F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40F9E60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4DFB6E4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41C215F9"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4DD1C12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91" w:type="pct"/>
            <w:noWrap/>
          </w:tcPr>
          <w:p w14:paraId="02ECE5B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292" w:type="pct"/>
          </w:tcPr>
          <w:p w14:paraId="5536704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501" w:type="pct"/>
            <w:noWrap/>
          </w:tcPr>
          <w:p w14:paraId="247F48B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651" w:type="pct"/>
            <w:tcBorders>
              <w:right w:val="nil"/>
            </w:tcBorders>
          </w:tcPr>
          <w:p w14:paraId="42155FE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6251DFA4"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3F794A40"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hodnocení</w:t>
            </w:r>
          </w:p>
        </w:tc>
        <w:tc>
          <w:tcPr>
            <w:tcW w:w="375" w:type="pct"/>
          </w:tcPr>
          <w:p w14:paraId="2B224C4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w:t>
            </w:r>
          </w:p>
        </w:tc>
        <w:tc>
          <w:tcPr>
            <w:tcW w:w="375" w:type="pct"/>
          </w:tcPr>
          <w:p w14:paraId="5DD4D6C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494120E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6</w:t>
            </w:r>
          </w:p>
        </w:tc>
        <w:tc>
          <w:tcPr>
            <w:tcW w:w="375" w:type="pct"/>
            <w:noWrap/>
          </w:tcPr>
          <w:p w14:paraId="62975099"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89</w:t>
            </w:r>
          </w:p>
        </w:tc>
        <w:tc>
          <w:tcPr>
            <w:tcW w:w="375" w:type="pct"/>
          </w:tcPr>
          <w:p w14:paraId="61FBD6E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w:t>
            </w:r>
          </w:p>
        </w:tc>
        <w:tc>
          <w:tcPr>
            <w:tcW w:w="391" w:type="pct"/>
            <w:noWrap/>
          </w:tcPr>
          <w:p w14:paraId="156FFCD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295</w:t>
            </w:r>
          </w:p>
        </w:tc>
        <w:tc>
          <w:tcPr>
            <w:tcW w:w="292" w:type="pct"/>
          </w:tcPr>
          <w:p w14:paraId="0442877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w:t>
            </w:r>
          </w:p>
        </w:tc>
        <w:tc>
          <w:tcPr>
            <w:tcW w:w="501" w:type="pct"/>
            <w:noWrap/>
          </w:tcPr>
          <w:p w14:paraId="07529F4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404</w:t>
            </w:r>
          </w:p>
        </w:tc>
        <w:tc>
          <w:tcPr>
            <w:tcW w:w="651" w:type="pct"/>
            <w:tcBorders>
              <w:right w:val="nil"/>
            </w:tcBorders>
          </w:tcPr>
          <w:p w14:paraId="07B5BE4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26,53 %</w:t>
            </w:r>
          </w:p>
        </w:tc>
      </w:tr>
      <w:tr w:rsidR="00B92790" w:rsidRPr="008E2502" w14:paraId="025343D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79FD90B5"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realizaci</w:t>
            </w:r>
          </w:p>
        </w:tc>
        <w:tc>
          <w:tcPr>
            <w:tcW w:w="375" w:type="pct"/>
          </w:tcPr>
          <w:p w14:paraId="0FA572C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275</w:t>
            </w:r>
          </w:p>
        </w:tc>
        <w:tc>
          <w:tcPr>
            <w:tcW w:w="375" w:type="pct"/>
          </w:tcPr>
          <w:p w14:paraId="593216D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w:t>
            </w:r>
          </w:p>
        </w:tc>
        <w:tc>
          <w:tcPr>
            <w:tcW w:w="375" w:type="pct"/>
            <w:noWrap/>
          </w:tcPr>
          <w:p w14:paraId="71A2ECF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158</w:t>
            </w:r>
          </w:p>
        </w:tc>
        <w:tc>
          <w:tcPr>
            <w:tcW w:w="375" w:type="pct"/>
            <w:noWrap/>
          </w:tcPr>
          <w:p w14:paraId="126924F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56</w:t>
            </w:r>
          </w:p>
        </w:tc>
        <w:tc>
          <w:tcPr>
            <w:tcW w:w="375" w:type="pct"/>
          </w:tcPr>
          <w:p w14:paraId="66BC910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6B142C8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292" w:type="pct"/>
          </w:tcPr>
          <w:p w14:paraId="7FFC39D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0A43B30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491</w:t>
            </w:r>
          </w:p>
        </w:tc>
        <w:tc>
          <w:tcPr>
            <w:tcW w:w="651" w:type="pct"/>
            <w:tcBorders>
              <w:right w:val="nil"/>
            </w:tcBorders>
          </w:tcPr>
          <w:p w14:paraId="6237660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32,24 %</w:t>
            </w:r>
          </w:p>
        </w:tc>
      </w:tr>
      <w:tr w:rsidR="00B92790" w:rsidRPr="008E2502" w14:paraId="099238D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4F5E4248"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ukončeno</w:t>
            </w:r>
          </w:p>
        </w:tc>
        <w:tc>
          <w:tcPr>
            <w:tcW w:w="375" w:type="pct"/>
          </w:tcPr>
          <w:p w14:paraId="6E21A05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12</w:t>
            </w:r>
          </w:p>
        </w:tc>
        <w:tc>
          <w:tcPr>
            <w:tcW w:w="375" w:type="pct"/>
          </w:tcPr>
          <w:p w14:paraId="1B10444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5A1927FF"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12203C4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tcPr>
          <w:p w14:paraId="79B6279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5C18DE7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292" w:type="pct"/>
          </w:tcPr>
          <w:p w14:paraId="411B2737"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49BC345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12</w:t>
            </w:r>
          </w:p>
        </w:tc>
        <w:tc>
          <w:tcPr>
            <w:tcW w:w="651" w:type="pct"/>
            <w:tcBorders>
              <w:right w:val="nil"/>
            </w:tcBorders>
          </w:tcPr>
          <w:p w14:paraId="54317CE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0,79 %</w:t>
            </w:r>
          </w:p>
        </w:tc>
      </w:tr>
      <w:tr w:rsidR="00B92790" w:rsidRPr="008E2502" w14:paraId="5769232B"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499C2291"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ostatní**</w:t>
            </w:r>
          </w:p>
        </w:tc>
        <w:tc>
          <w:tcPr>
            <w:tcW w:w="375" w:type="pct"/>
          </w:tcPr>
          <w:p w14:paraId="05E6FBE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407</w:t>
            </w:r>
          </w:p>
        </w:tc>
        <w:tc>
          <w:tcPr>
            <w:tcW w:w="375" w:type="pct"/>
          </w:tcPr>
          <w:p w14:paraId="095B987B"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w:t>
            </w:r>
          </w:p>
        </w:tc>
        <w:tc>
          <w:tcPr>
            <w:tcW w:w="375" w:type="pct"/>
            <w:noWrap/>
          </w:tcPr>
          <w:p w14:paraId="19F550F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97</w:t>
            </w:r>
          </w:p>
        </w:tc>
        <w:tc>
          <w:tcPr>
            <w:tcW w:w="375" w:type="pct"/>
            <w:noWrap/>
          </w:tcPr>
          <w:p w14:paraId="732F1878"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93</w:t>
            </w:r>
          </w:p>
        </w:tc>
        <w:tc>
          <w:tcPr>
            <w:tcW w:w="375" w:type="pct"/>
          </w:tcPr>
          <w:p w14:paraId="70CABB8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2C887D9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15</w:t>
            </w:r>
          </w:p>
        </w:tc>
        <w:tc>
          <w:tcPr>
            <w:tcW w:w="292" w:type="pct"/>
          </w:tcPr>
          <w:p w14:paraId="0B47AE9B"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w:t>
            </w:r>
          </w:p>
        </w:tc>
        <w:tc>
          <w:tcPr>
            <w:tcW w:w="501" w:type="pct"/>
            <w:noWrap/>
          </w:tcPr>
          <w:p w14:paraId="5802171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616</w:t>
            </w:r>
          </w:p>
        </w:tc>
        <w:tc>
          <w:tcPr>
            <w:tcW w:w="651" w:type="pct"/>
            <w:tcBorders>
              <w:right w:val="nil"/>
            </w:tcBorders>
          </w:tcPr>
          <w:p w14:paraId="633DDD8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40,45 %</w:t>
            </w:r>
          </w:p>
        </w:tc>
      </w:tr>
      <w:tr w:rsidR="00B92790" w:rsidRPr="008E2502" w14:paraId="778CF36F"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shd w:val="clear" w:color="auto" w:fill="E7F5CF" w:themeFill="accent1" w:themeFillTint="33"/>
          </w:tcPr>
          <w:p w14:paraId="77770441" w14:textId="77777777" w:rsidR="00B92790" w:rsidRPr="008E2502" w:rsidRDefault="00B92790" w:rsidP="00B92790">
            <w:pPr>
              <w:spacing w:after="0" w:line="240" w:lineRule="auto"/>
              <w:rPr>
                <w:rFonts w:asciiTheme="majorHAnsi" w:eastAsia="Times New Roman" w:hAnsiTheme="majorHAnsi" w:cs="Calibri"/>
                <w:color w:val="auto"/>
                <w:szCs w:val="18"/>
                <w:lang w:eastAsia="cs-CZ"/>
              </w:rPr>
            </w:pPr>
            <w:r w:rsidRPr="008E2502">
              <w:rPr>
                <w:rFonts w:asciiTheme="majorHAnsi" w:eastAsia="Times New Roman" w:hAnsiTheme="majorHAnsi" w:cs="Calibri"/>
                <w:color w:val="auto"/>
                <w:szCs w:val="18"/>
                <w:lang w:eastAsia="cs-CZ"/>
              </w:rPr>
              <w:t>Inovace</w:t>
            </w:r>
          </w:p>
        </w:tc>
        <w:tc>
          <w:tcPr>
            <w:tcW w:w="375" w:type="pct"/>
            <w:shd w:val="clear" w:color="auto" w:fill="E7F5CF" w:themeFill="accent1" w:themeFillTint="33"/>
          </w:tcPr>
          <w:p w14:paraId="2BEB377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375" w:type="pct"/>
            <w:shd w:val="clear" w:color="auto" w:fill="E7F5CF" w:themeFill="accent1" w:themeFillTint="33"/>
          </w:tcPr>
          <w:p w14:paraId="79BA870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375" w:type="pct"/>
            <w:shd w:val="clear" w:color="auto" w:fill="E7F5CF" w:themeFill="accent1" w:themeFillTint="33"/>
            <w:noWrap/>
          </w:tcPr>
          <w:p w14:paraId="03DBBC8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375" w:type="pct"/>
            <w:shd w:val="clear" w:color="auto" w:fill="E7F5CF" w:themeFill="accent1" w:themeFillTint="33"/>
            <w:noWrap/>
          </w:tcPr>
          <w:p w14:paraId="1FDBCFD3"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375" w:type="pct"/>
            <w:shd w:val="clear" w:color="auto" w:fill="E7F5CF" w:themeFill="accent1" w:themeFillTint="33"/>
          </w:tcPr>
          <w:p w14:paraId="4EC08A2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391" w:type="pct"/>
            <w:shd w:val="clear" w:color="auto" w:fill="E7F5CF" w:themeFill="accent1" w:themeFillTint="33"/>
            <w:noWrap/>
          </w:tcPr>
          <w:p w14:paraId="4B80ABFF"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292" w:type="pct"/>
            <w:shd w:val="clear" w:color="auto" w:fill="E7F5CF" w:themeFill="accent1" w:themeFillTint="33"/>
          </w:tcPr>
          <w:p w14:paraId="2253277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501" w:type="pct"/>
            <w:shd w:val="clear" w:color="auto" w:fill="E7F5CF" w:themeFill="accent1" w:themeFillTint="33"/>
            <w:noWrap/>
          </w:tcPr>
          <w:p w14:paraId="6B1D9AD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c>
          <w:tcPr>
            <w:tcW w:w="651" w:type="pct"/>
            <w:tcBorders>
              <w:right w:val="nil"/>
            </w:tcBorders>
            <w:shd w:val="clear" w:color="auto" w:fill="E7F5CF" w:themeFill="accent1" w:themeFillTint="33"/>
          </w:tcPr>
          <w:p w14:paraId="69C9A35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auto"/>
                <w:szCs w:val="18"/>
                <w:lang w:eastAsia="cs-CZ"/>
              </w:rPr>
            </w:pPr>
          </w:p>
        </w:tc>
      </w:tr>
      <w:tr w:rsidR="00B92790" w:rsidRPr="008E2502" w14:paraId="24DE6163"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7563E28E"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Podáno</w:t>
            </w:r>
          </w:p>
        </w:tc>
        <w:tc>
          <w:tcPr>
            <w:tcW w:w="375" w:type="pct"/>
          </w:tcPr>
          <w:p w14:paraId="13F75DE5"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619</w:t>
            </w:r>
          </w:p>
        </w:tc>
        <w:tc>
          <w:tcPr>
            <w:tcW w:w="375" w:type="pct"/>
          </w:tcPr>
          <w:p w14:paraId="13D9DAD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163</w:t>
            </w:r>
          </w:p>
        </w:tc>
        <w:tc>
          <w:tcPr>
            <w:tcW w:w="375" w:type="pct"/>
            <w:noWrap/>
          </w:tcPr>
          <w:p w14:paraId="27ADD409"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414</w:t>
            </w:r>
          </w:p>
        </w:tc>
        <w:tc>
          <w:tcPr>
            <w:tcW w:w="375" w:type="pct"/>
            <w:noWrap/>
          </w:tcPr>
          <w:p w14:paraId="52AC13E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214</w:t>
            </w:r>
          </w:p>
        </w:tc>
        <w:tc>
          <w:tcPr>
            <w:tcW w:w="375" w:type="pct"/>
          </w:tcPr>
          <w:p w14:paraId="2E83FBA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238</w:t>
            </w:r>
          </w:p>
        </w:tc>
        <w:tc>
          <w:tcPr>
            <w:tcW w:w="391" w:type="pct"/>
            <w:noWrap/>
          </w:tcPr>
          <w:p w14:paraId="18591540"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26</w:t>
            </w:r>
          </w:p>
        </w:tc>
        <w:tc>
          <w:tcPr>
            <w:tcW w:w="292" w:type="pct"/>
          </w:tcPr>
          <w:p w14:paraId="2C90EFD9"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w:t>
            </w:r>
          </w:p>
        </w:tc>
        <w:tc>
          <w:tcPr>
            <w:tcW w:w="501" w:type="pct"/>
            <w:noWrap/>
          </w:tcPr>
          <w:p w14:paraId="4F4E292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1 682</w:t>
            </w:r>
          </w:p>
        </w:tc>
        <w:tc>
          <w:tcPr>
            <w:tcW w:w="651" w:type="pct"/>
            <w:tcBorders>
              <w:right w:val="nil"/>
            </w:tcBorders>
          </w:tcPr>
          <w:p w14:paraId="048CB3E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4082A664"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024ADCD9"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z toho:</w:t>
            </w:r>
          </w:p>
        </w:tc>
        <w:tc>
          <w:tcPr>
            <w:tcW w:w="375" w:type="pct"/>
          </w:tcPr>
          <w:p w14:paraId="0D07280F"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669875E8"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01F0276F"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75256F9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3835E7E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391" w:type="pct"/>
            <w:noWrap/>
          </w:tcPr>
          <w:p w14:paraId="070DFB0F"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292" w:type="pct"/>
          </w:tcPr>
          <w:p w14:paraId="3E653123"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501" w:type="pct"/>
            <w:noWrap/>
          </w:tcPr>
          <w:p w14:paraId="4B1AD88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c>
          <w:tcPr>
            <w:tcW w:w="651" w:type="pct"/>
            <w:tcBorders>
              <w:right w:val="nil"/>
            </w:tcBorders>
          </w:tcPr>
          <w:p w14:paraId="5FF120C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05DE7E45"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6F362417"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hodnocení</w:t>
            </w:r>
          </w:p>
        </w:tc>
        <w:tc>
          <w:tcPr>
            <w:tcW w:w="375" w:type="pct"/>
          </w:tcPr>
          <w:p w14:paraId="0B13776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tcPr>
          <w:p w14:paraId="04D947D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1EA5181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3E9AB55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w:t>
            </w:r>
          </w:p>
        </w:tc>
        <w:tc>
          <w:tcPr>
            <w:tcW w:w="375" w:type="pct"/>
          </w:tcPr>
          <w:p w14:paraId="502B121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212</w:t>
            </w:r>
          </w:p>
        </w:tc>
        <w:tc>
          <w:tcPr>
            <w:tcW w:w="391" w:type="pct"/>
            <w:noWrap/>
          </w:tcPr>
          <w:p w14:paraId="1F6297A9"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w:t>
            </w:r>
          </w:p>
        </w:tc>
        <w:tc>
          <w:tcPr>
            <w:tcW w:w="292" w:type="pct"/>
          </w:tcPr>
          <w:p w14:paraId="2460FFEB"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6</w:t>
            </w:r>
          </w:p>
        </w:tc>
        <w:tc>
          <w:tcPr>
            <w:tcW w:w="501" w:type="pct"/>
            <w:noWrap/>
          </w:tcPr>
          <w:p w14:paraId="3846A5D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226</w:t>
            </w:r>
          </w:p>
        </w:tc>
        <w:tc>
          <w:tcPr>
            <w:tcW w:w="651" w:type="pct"/>
            <w:tcBorders>
              <w:right w:val="nil"/>
            </w:tcBorders>
          </w:tcPr>
          <w:p w14:paraId="09546620"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13,44 %</w:t>
            </w:r>
          </w:p>
        </w:tc>
      </w:tr>
      <w:tr w:rsidR="00B92790" w:rsidRPr="008E2502" w14:paraId="1902214B"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439EC9B9"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realizaci</w:t>
            </w:r>
          </w:p>
        </w:tc>
        <w:tc>
          <w:tcPr>
            <w:tcW w:w="375" w:type="pct"/>
          </w:tcPr>
          <w:p w14:paraId="3DADA1F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75</w:t>
            </w:r>
          </w:p>
        </w:tc>
        <w:tc>
          <w:tcPr>
            <w:tcW w:w="375" w:type="pct"/>
          </w:tcPr>
          <w:p w14:paraId="492A44F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105</w:t>
            </w:r>
          </w:p>
        </w:tc>
        <w:tc>
          <w:tcPr>
            <w:tcW w:w="375" w:type="pct"/>
            <w:noWrap/>
          </w:tcPr>
          <w:p w14:paraId="75A463D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180</w:t>
            </w:r>
          </w:p>
        </w:tc>
        <w:tc>
          <w:tcPr>
            <w:tcW w:w="375" w:type="pct"/>
            <w:noWrap/>
          </w:tcPr>
          <w:p w14:paraId="3E97EE9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129</w:t>
            </w:r>
          </w:p>
        </w:tc>
        <w:tc>
          <w:tcPr>
            <w:tcW w:w="375" w:type="pct"/>
          </w:tcPr>
          <w:p w14:paraId="65A95133"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2B9D07C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15</w:t>
            </w:r>
          </w:p>
        </w:tc>
        <w:tc>
          <w:tcPr>
            <w:tcW w:w="292" w:type="pct"/>
          </w:tcPr>
          <w:p w14:paraId="423FB5C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212E843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504</w:t>
            </w:r>
          </w:p>
        </w:tc>
        <w:tc>
          <w:tcPr>
            <w:tcW w:w="651" w:type="pct"/>
            <w:tcBorders>
              <w:right w:val="nil"/>
            </w:tcBorders>
          </w:tcPr>
          <w:p w14:paraId="1094014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29,96 %</w:t>
            </w:r>
          </w:p>
        </w:tc>
      </w:tr>
      <w:tr w:rsidR="00B92790" w:rsidRPr="008E2502" w14:paraId="51829CB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01C3F093"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ukončeno</w:t>
            </w:r>
          </w:p>
        </w:tc>
        <w:tc>
          <w:tcPr>
            <w:tcW w:w="375" w:type="pct"/>
          </w:tcPr>
          <w:p w14:paraId="54F0DEF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141</w:t>
            </w:r>
          </w:p>
        </w:tc>
        <w:tc>
          <w:tcPr>
            <w:tcW w:w="375" w:type="pct"/>
          </w:tcPr>
          <w:p w14:paraId="37A67FF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20</w:t>
            </w:r>
          </w:p>
        </w:tc>
        <w:tc>
          <w:tcPr>
            <w:tcW w:w="375" w:type="pct"/>
            <w:noWrap/>
          </w:tcPr>
          <w:p w14:paraId="098866E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58</w:t>
            </w:r>
          </w:p>
        </w:tc>
        <w:tc>
          <w:tcPr>
            <w:tcW w:w="375" w:type="pct"/>
            <w:noWrap/>
          </w:tcPr>
          <w:p w14:paraId="50E1420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9</w:t>
            </w:r>
          </w:p>
        </w:tc>
        <w:tc>
          <w:tcPr>
            <w:tcW w:w="375" w:type="pct"/>
          </w:tcPr>
          <w:p w14:paraId="6CAFD02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2FD1436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292" w:type="pct"/>
          </w:tcPr>
          <w:p w14:paraId="0A14B618"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579A761B"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228</w:t>
            </w:r>
          </w:p>
        </w:tc>
        <w:tc>
          <w:tcPr>
            <w:tcW w:w="651" w:type="pct"/>
            <w:tcBorders>
              <w:right w:val="nil"/>
            </w:tcBorders>
          </w:tcPr>
          <w:p w14:paraId="5BB1DD4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13,56 %</w:t>
            </w:r>
          </w:p>
        </w:tc>
      </w:tr>
      <w:tr w:rsidR="00B92790" w:rsidRPr="008E2502" w14:paraId="7B98CB55"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1AC42ED2"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ostatní</w:t>
            </w:r>
          </w:p>
        </w:tc>
        <w:tc>
          <w:tcPr>
            <w:tcW w:w="375" w:type="pct"/>
          </w:tcPr>
          <w:p w14:paraId="7344E33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403</w:t>
            </w:r>
          </w:p>
        </w:tc>
        <w:tc>
          <w:tcPr>
            <w:tcW w:w="375" w:type="pct"/>
          </w:tcPr>
          <w:p w14:paraId="34CC8B6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38</w:t>
            </w:r>
          </w:p>
        </w:tc>
        <w:tc>
          <w:tcPr>
            <w:tcW w:w="375" w:type="pct"/>
            <w:noWrap/>
          </w:tcPr>
          <w:p w14:paraId="260D5FC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176</w:t>
            </w:r>
          </w:p>
        </w:tc>
        <w:tc>
          <w:tcPr>
            <w:tcW w:w="375" w:type="pct"/>
            <w:noWrap/>
          </w:tcPr>
          <w:p w14:paraId="6A1F9826"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75</w:t>
            </w:r>
          </w:p>
        </w:tc>
        <w:tc>
          <w:tcPr>
            <w:tcW w:w="375" w:type="pct"/>
          </w:tcPr>
          <w:p w14:paraId="591CE19D"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26</w:t>
            </w:r>
          </w:p>
        </w:tc>
        <w:tc>
          <w:tcPr>
            <w:tcW w:w="391" w:type="pct"/>
            <w:noWrap/>
          </w:tcPr>
          <w:p w14:paraId="44082EE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w:t>
            </w:r>
          </w:p>
        </w:tc>
        <w:tc>
          <w:tcPr>
            <w:tcW w:w="292" w:type="pct"/>
          </w:tcPr>
          <w:p w14:paraId="08FB6EB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w:t>
            </w:r>
          </w:p>
        </w:tc>
        <w:tc>
          <w:tcPr>
            <w:tcW w:w="501" w:type="pct"/>
            <w:noWrap/>
          </w:tcPr>
          <w:p w14:paraId="30D246E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724</w:t>
            </w:r>
          </w:p>
        </w:tc>
        <w:tc>
          <w:tcPr>
            <w:tcW w:w="651" w:type="pct"/>
            <w:tcBorders>
              <w:right w:val="nil"/>
            </w:tcBorders>
          </w:tcPr>
          <w:p w14:paraId="0DF7EF0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43,04 %</w:t>
            </w:r>
          </w:p>
        </w:tc>
      </w:tr>
      <w:tr w:rsidR="00B92790" w:rsidRPr="008E2502" w14:paraId="462E280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shd w:val="clear" w:color="auto" w:fill="E7F5CF" w:themeFill="accent1" w:themeFillTint="33"/>
          </w:tcPr>
          <w:p w14:paraId="2FBD7125" w14:textId="77777777" w:rsidR="00B92790" w:rsidRPr="008E2502" w:rsidRDefault="00B92790" w:rsidP="00B92790">
            <w:pPr>
              <w:spacing w:after="0" w:line="240" w:lineRule="auto"/>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Potenciál</w:t>
            </w:r>
          </w:p>
        </w:tc>
        <w:tc>
          <w:tcPr>
            <w:tcW w:w="375" w:type="pct"/>
            <w:shd w:val="clear" w:color="auto" w:fill="E7F5CF" w:themeFill="accent1" w:themeFillTint="33"/>
          </w:tcPr>
          <w:p w14:paraId="11AA564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tcPr>
          <w:p w14:paraId="4EBBF63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noWrap/>
          </w:tcPr>
          <w:p w14:paraId="1BE0BC4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noWrap/>
          </w:tcPr>
          <w:p w14:paraId="17A48B2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75" w:type="pct"/>
            <w:shd w:val="clear" w:color="auto" w:fill="E7F5CF" w:themeFill="accent1" w:themeFillTint="33"/>
          </w:tcPr>
          <w:p w14:paraId="1E7BEF7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391" w:type="pct"/>
            <w:shd w:val="clear" w:color="auto" w:fill="E7F5CF" w:themeFill="accent1" w:themeFillTint="33"/>
            <w:noWrap/>
          </w:tcPr>
          <w:p w14:paraId="139EE2A8"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292" w:type="pct"/>
            <w:shd w:val="clear" w:color="auto" w:fill="E7F5CF" w:themeFill="accent1" w:themeFillTint="33"/>
          </w:tcPr>
          <w:p w14:paraId="5169F78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501" w:type="pct"/>
            <w:shd w:val="clear" w:color="auto" w:fill="E7F5CF" w:themeFill="accent1" w:themeFillTint="33"/>
            <w:noWrap/>
          </w:tcPr>
          <w:p w14:paraId="6949241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c>
          <w:tcPr>
            <w:tcW w:w="651" w:type="pct"/>
            <w:tcBorders>
              <w:right w:val="nil"/>
            </w:tcBorders>
            <w:shd w:val="clear" w:color="auto" w:fill="E7F5CF" w:themeFill="accent1" w:themeFillTint="33"/>
          </w:tcPr>
          <w:p w14:paraId="35F9AB52"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color w:val="000000"/>
                <w:szCs w:val="18"/>
                <w:lang w:eastAsia="cs-CZ"/>
              </w:rPr>
            </w:pPr>
          </w:p>
        </w:tc>
      </w:tr>
      <w:tr w:rsidR="00B92790" w:rsidRPr="008E2502" w14:paraId="6EEA735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73C27A11"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Podáno</w:t>
            </w:r>
          </w:p>
        </w:tc>
        <w:tc>
          <w:tcPr>
            <w:tcW w:w="375" w:type="pct"/>
          </w:tcPr>
          <w:p w14:paraId="06D1E31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384</w:t>
            </w:r>
          </w:p>
        </w:tc>
        <w:tc>
          <w:tcPr>
            <w:tcW w:w="375" w:type="pct"/>
          </w:tcPr>
          <w:p w14:paraId="3D0218E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148292E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199</w:t>
            </w:r>
          </w:p>
        </w:tc>
        <w:tc>
          <w:tcPr>
            <w:tcW w:w="375" w:type="pct"/>
            <w:noWrap/>
          </w:tcPr>
          <w:p w14:paraId="7049EC0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78</w:t>
            </w:r>
          </w:p>
        </w:tc>
        <w:tc>
          <w:tcPr>
            <w:tcW w:w="375" w:type="pct"/>
          </w:tcPr>
          <w:p w14:paraId="5EF1838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23</w:t>
            </w:r>
          </w:p>
        </w:tc>
        <w:tc>
          <w:tcPr>
            <w:tcW w:w="391" w:type="pct"/>
            <w:noWrap/>
          </w:tcPr>
          <w:p w14:paraId="725036A5"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20</w:t>
            </w:r>
          </w:p>
        </w:tc>
        <w:tc>
          <w:tcPr>
            <w:tcW w:w="292" w:type="pct"/>
          </w:tcPr>
          <w:p w14:paraId="0A4D5F44"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w:t>
            </w:r>
          </w:p>
        </w:tc>
        <w:tc>
          <w:tcPr>
            <w:tcW w:w="501" w:type="pct"/>
            <w:noWrap/>
          </w:tcPr>
          <w:p w14:paraId="554C68F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712</w:t>
            </w:r>
          </w:p>
        </w:tc>
        <w:tc>
          <w:tcPr>
            <w:tcW w:w="651" w:type="pct"/>
            <w:tcBorders>
              <w:right w:val="nil"/>
            </w:tcBorders>
          </w:tcPr>
          <w:p w14:paraId="6F641E47"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1A53C8A3"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3358B471"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z toho:</w:t>
            </w:r>
          </w:p>
        </w:tc>
        <w:tc>
          <w:tcPr>
            <w:tcW w:w="375" w:type="pct"/>
          </w:tcPr>
          <w:p w14:paraId="6D0F1E0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7800D21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5289398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noWrap/>
          </w:tcPr>
          <w:p w14:paraId="757133FA"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75" w:type="pct"/>
          </w:tcPr>
          <w:p w14:paraId="12E3FDA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391" w:type="pct"/>
            <w:noWrap/>
          </w:tcPr>
          <w:p w14:paraId="4F869EA6"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292" w:type="pct"/>
          </w:tcPr>
          <w:p w14:paraId="7A811BDF"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501" w:type="pct"/>
            <w:noWrap/>
          </w:tcPr>
          <w:p w14:paraId="4617247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c>
          <w:tcPr>
            <w:tcW w:w="651" w:type="pct"/>
            <w:tcBorders>
              <w:right w:val="nil"/>
            </w:tcBorders>
          </w:tcPr>
          <w:p w14:paraId="00DF873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p>
        </w:tc>
      </w:tr>
      <w:tr w:rsidR="00B92790" w:rsidRPr="008E2502" w14:paraId="5E7DB92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1B44E5C4"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hodnocení</w:t>
            </w:r>
          </w:p>
        </w:tc>
        <w:tc>
          <w:tcPr>
            <w:tcW w:w="375" w:type="pct"/>
          </w:tcPr>
          <w:p w14:paraId="3D2F594C"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tcPr>
          <w:p w14:paraId="5C81869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70147BFB"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5CE5506E"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w:t>
            </w:r>
          </w:p>
        </w:tc>
        <w:tc>
          <w:tcPr>
            <w:tcW w:w="375" w:type="pct"/>
          </w:tcPr>
          <w:p w14:paraId="644B7CB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19</w:t>
            </w:r>
          </w:p>
        </w:tc>
        <w:tc>
          <w:tcPr>
            <w:tcW w:w="391" w:type="pct"/>
            <w:noWrap/>
          </w:tcPr>
          <w:p w14:paraId="3EFCD39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w:t>
            </w:r>
          </w:p>
        </w:tc>
        <w:tc>
          <w:tcPr>
            <w:tcW w:w="292" w:type="pct"/>
          </w:tcPr>
          <w:p w14:paraId="044D666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w:t>
            </w:r>
          </w:p>
        </w:tc>
        <w:tc>
          <w:tcPr>
            <w:tcW w:w="501" w:type="pct"/>
            <w:noWrap/>
          </w:tcPr>
          <w:p w14:paraId="285D3EA7"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32</w:t>
            </w:r>
          </w:p>
        </w:tc>
        <w:tc>
          <w:tcPr>
            <w:tcW w:w="651" w:type="pct"/>
            <w:tcBorders>
              <w:right w:val="nil"/>
            </w:tcBorders>
          </w:tcPr>
          <w:p w14:paraId="1C3954F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4,49 %</w:t>
            </w:r>
          </w:p>
        </w:tc>
      </w:tr>
      <w:tr w:rsidR="00B92790" w:rsidRPr="008E2502" w14:paraId="330A1736"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18353888"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v realizaci</w:t>
            </w:r>
          </w:p>
        </w:tc>
        <w:tc>
          <w:tcPr>
            <w:tcW w:w="375" w:type="pct"/>
          </w:tcPr>
          <w:p w14:paraId="4CC67CB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17</w:t>
            </w:r>
          </w:p>
        </w:tc>
        <w:tc>
          <w:tcPr>
            <w:tcW w:w="375" w:type="pct"/>
          </w:tcPr>
          <w:p w14:paraId="75AA707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26AA2B40"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90</w:t>
            </w:r>
          </w:p>
        </w:tc>
        <w:tc>
          <w:tcPr>
            <w:tcW w:w="375" w:type="pct"/>
            <w:noWrap/>
          </w:tcPr>
          <w:p w14:paraId="694A06C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51</w:t>
            </w:r>
          </w:p>
        </w:tc>
        <w:tc>
          <w:tcPr>
            <w:tcW w:w="375" w:type="pct"/>
          </w:tcPr>
          <w:p w14:paraId="57F3A410"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38E9DF7E"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16</w:t>
            </w:r>
          </w:p>
        </w:tc>
        <w:tc>
          <w:tcPr>
            <w:tcW w:w="292" w:type="pct"/>
          </w:tcPr>
          <w:p w14:paraId="7F2FAAE7"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62BC60B8"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174</w:t>
            </w:r>
          </w:p>
        </w:tc>
        <w:tc>
          <w:tcPr>
            <w:tcW w:w="651" w:type="pct"/>
            <w:tcBorders>
              <w:right w:val="nil"/>
            </w:tcBorders>
          </w:tcPr>
          <w:p w14:paraId="6FD755F9"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24,44 %</w:t>
            </w:r>
          </w:p>
        </w:tc>
      </w:tr>
      <w:tr w:rsidR="00B92790" w:rsidRPr="008E2502" w14:paraId="2A2DFB8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tcBorders>
          </w:tcPr>
          <w:p w14:paraId="25293FDF"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ukončeno</w:t>
            </w:r>
          </w:p>
        </w:tc>
        <w:tc>
          <w:tcPr>
            <w:tcW w:w="375" w:type="pct"/>
          </w:tcPr>
          <w:p w14:paraId="3A840BE7"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75</w:t>
            </w:r>
          </w:p>
        </w:tc>
        <w:tc>
          <w:tcPr>
            <w:tcW w:w="375" w:type="pct"/>
          </w:tcPr>
          <w:p w14:paraId="76C9781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noWrap/>
          </w:tcPr>
          <w:p w14:paraId="2A117FD2"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22</w:t>
            </w:r>
          </w:p>
        </w:tc>
        <w:tc>
          <w:tcPr>
            <w:tcW w:w="375" w:type="pct"/>
            <w:noWrap/>
          </w:tcPr>
          <w:p w14:paraId="7C617739"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w:t>
            </w:r>
          </w:p>
        </w:tc>
        <w:tc>
          <w:tcPr>
            <w:tcW w:w="375" w:type="pct"/>
          </w:tcPr>
          <w:p w14:paraId="4227C10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91" w:type="pct"/>
            <w:noWrap/>
          </w:tcPr>
          <w:p w14:paraId="0A2575E0"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292" w:type="pct"/>
          </w:tcPr>
          <w:p w14:paraId="5A27D2AA"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noWrap/>
          </w:tcPr>
          <w:p w14:paraId="44C997C1"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98</w:t>
            </w:r>
          </w:p>
        </w:tc>
        <w:tc>
          <w:tcPr>
            <w:tcW w:w="651" w:type="pct"/>
            <w:tcBorders>
              <w:right w:val="nil"/>
            </w:tcBorders>
          </w:tcPr>
          <w:p w14:paraId="04CF9258" w14:textId="77777777" w:rsidR="00B92790" w:rsidRPr="008E2502"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13,76 %</w:t>
            </w:r>
          </w:p>
        </w:tc>
      </w:tr>
      <w:tr w:rsidR="00B92790" w:rsidRPr="008E2502" w14:paraId="6AADB849"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91" w:type="pct"/>
            <w:tcBorders>
              <w:left w:val="nil"/>
              <w:bottom w:val="single" w:sz="4" w:space="0" w:color="86BC25" w:themeColor="accent1"/>
            </w:tcBorders>
          </w:tcPr>
          <w:p w14:paraId="411767C6" w14:textId="77777777" w:rsidR="00B92790" w:rsidRPr="008E2502" w:rsidRDefault="00B92790" w:rsidP="00B92790">
            <w:pPr>
              <w:spacing w:after="0" w:line="240" w:lineRule="auto"/>
              <w:rPr>
                <w:rFonts w:asciiTheme="majorHAnsi" w:eastAsia="Times New Roman" w:hAnsiTheme="majorHAnsi" w:cs="Calibri"/>
                <w:b w:val="0"/>
                <w:color w:val="000000"/>
                <w:szCs w:val="18"/>
                <w:lang w:eastAsia="cs-CZ"/>
              </w:rPr>
            </w:pPr>
            <w:r w:rsidRPr="008E2502">
              <w:rPr>
                <w:rFonts w:asciiTheme="majorHAnsi" w:eastAsia="Times New Roman" w:hAnsiTheme="majorHAnsi" w:cs="Calibri"/>
                <w:b w:val="0"/>
                <w:color w:val="000000"/>
                <w:szCs w:val="18"/>
                <w:lang w:eastAsia="cs-CZ"/>
              </w:rPr>
              <w:t>- ostatní</w:t>
            </w:r>
          </w:p>
        </w:tc>
        <w:tc>
          <w:tcPr>
            <w:tcW w:w="375" w:type="pct"/>
            <w:tcBorders>
              <w:bottom w:val="single" w:sz="4" w:space="0" w:color="86BC25" w:themeColor="accent1"/>
            </w:tcBorders>
          </w:tcPr>
          <w:p w14:paraId="39F4E8D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292</w:t>
            </w:r>
          </w:p>
        </w:tc>
        <w:tc>
          <w:tcPr>
            <w:tcW w:w="375" w:type="pct"/>
            <w:tcBorders>
              <w:bottom w:val="single" w:sz="4" w:space="0" w:color="86BC25" w:themeColor="accent1"/>
            </w:tcBorders>
          </w:tcPr>
          <w:p w14:paraId="0394D4F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375" w:type="pct"/>
            <w:tcBorders>
              <w:bottom w:val="single" w:sz="4" w:space="0" w:color="86BC25" w:themeColor="accent1"/>
            </w:tcBorders>
            <w:noWrap/>
          </w:tcPr>
          <w:p w14:paraId="7FBA3023"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87</w:t>
            </w:r>
          </w:p>
        </w:tc>
        <w:tc>
          <w:tcPr>
            <w:tcW w:w="375" w:type="pct"/>
            <w:tcBorders>
              <w:bottom w:val="single" w:sz="4" w:space="0" w:color="86BC25" w:themeColor="accent1"/>
            </w:tcBorders>
            <w:noWrap/>
          </w:tcPr>
          <w:p w14:paraId="24D5A1F5"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25</w:t>
            </w:r>
          </w:p>
        </w:tc>
        <w:tc>
          <w:tcPr>
            <w:tcW w:w="375" w:type="pct"/>
            <w:tcBorders>
              <w:bottom w:val="single" w:sz="4" w:space="0" w:color="86BC25" w:themeColor="accent1"/>
            </w:tcBorders>
          </w:tcPr>
          <w:p w14:paraId="32B2F591"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w:t>
            </w:r>
          </w:p>
        </w:tc>
        <w:tc>
          <w:tcPr>
            <w:tcW w:w="391" w:type="pct"/>
            <w:tcBorders>
              <w:bottom w:val="single" w:sz="4" w:space="0" w:color="86BC25" w:themeColor="accent1"/>
            </w:tcBorders>
            <w:noWrap/>
          </w:tcPr>
          <w:p w14:paraId="1683930C"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292" w:type="pct"/>
            <w:tcBorders>
              <w:bottom w:val="single" w:sz="4" w:space="0" w:color="86BC25" w:themeColor="accent1"/>
            </w:tcBorders>
          </w:tcPr>
          <w:p w14:paraId="50ACDEE4"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0</w:t>
            </w:r>
          </w:p>
        </w:tc>
        <w:tc>
          <w:tcPr>
            <w:tcW w:w="501" w:type="pct"/>
            <w:tcBorders>
              <w:bottom w:val="single" w:sz="4" w:space="0" w:color="86BC25" w:themeColor="accent1"/>
            </w:tcBorders>
            <w:noWrap/>
          </w:tcPr>
          <w:p w14:paraId="12EFBF20"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408</w:t>
            </w:r>
          </w:p>
        </w:tc>
        <w:tc>
          <w:tcPr>
            <w:tcW w:w="651" w:type="pct"/>
            <w:tcBorders>
              <w:bottom w:val="single" w:sz="4" w:space="0" w:color="86BC25" w:themeColor="accent1"/>
              <w:right w:val="nil"/>
            </w:tcBorders>
          </w:tcPr>
          <w:p w14:paraId="1283F07D" w14:textId="77777777" w:rsidR="00B92790" w:rsidRPr="008E2502"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8E2502">
              <w:rPr>
                <w:rFonts w:asciiTheme="majorHAnsi" w:eastAsia="Times New Roman" w:hAnsiTheme="majorHAnsi" w:cs="Calibri"/>
                <w:color w:val="000000"/>
                <w:szCs w:val="18"/>
                <w:lang w:eastAsia="cs-CZ"/>
              </w:rPr>
              <w:t>57,30 %</w:t>
            </w:r>
          </w:p>
        </w:tc>
      </w:tr>
    </w:tbl>
    <w:p w14:paraId="2583B04C" w14:textId="77777777" w:rsidR="00B92790" w:rsidRDefault="00B92790" w:rsidP="00B92790">
      <w:pPr>
        <w:spacing w:after="0"/>
        <w:rPr>
          <w:i/>
        </w:rPr>
      </w:pPr>
      <w:r w:rsidRPr="00650C12">
        <w:rPr>
          <w:i/>
        </w:rPr>
        <w:t>*) Výzva VI.</w:t>
      </w:r>
      <w:r>
        <w:rPr>
          <w:i/>
        </w:rPr>
        <w:t xml:space="preserve"> u </w:t>
      </w:r>
      <w:r w:rsidRPr="00650C12">
        <w:rPr>
          <w:i/>
        </w:rPr>
        <w:t>programu Potenciál odpovídá tzv. Technické výzvě</w:t>
      </w:r>
      <w:r>
        <w:rPr>
          <w:i/>
        </w:rPr>
        <w:t>.</w:t>
      </w:r>
    </w:p>
    <w:p w14:paraId="480F1D0A" w14:textId="77777777" w:rsidR="00B92790" w:rsidRPr="00650C12" w:rsidRDefault="00B92790" w:rsidP="00B92790">
      <w:pPr>
        <w:rPr>
          <w:i/>
        </w:rPr>
      </w:pPr>
      <w:r>
        <w:rPr>
          <w:i/>
        </w:rPr>
        <w:t>**) Ostatní odpovídá projektům, které neprošly hodnocení, byly staženy žadatelem nebo byly předčasně ukončeny (ze strany žadatele/příjemce i ŘO).</w:t>
      </w:r>
    </w:p>
    <w:p w14:paraId="06D9E2C6" w14:textId="77777777" w:rsidR="00B92790" w:rsidRDefault="00B92790" w:rsidP="00B92790">
      <w:pPr>
        <w:jc w:val="both"/>
      </w:pPr>
      <w:r>
        <w:t>V </w:t>
      </w:r>
      <w:r w:rsidRPr="00790BE2">
        <w:rPr>
          <w:b/>
        </w:rPr>
        <w:t>programu Aplikace</w:t>
      </w:r>
      <w:r>
        <w:t xml:space="preserve"> bylo podáno celkem </w:t>
      </w:r>
      <w:r w:rsidRPr="00790BE2">
        <w:rPr>
          <w:b/>
        </w:rPr>
        <w:t>1 523 žádostí</w:t>
      </w:r>
      <w:r>
        <w:t xml:space="preserve">. Vzhledem k tomu, že pravidla programu umožňují maximální délku realizace projektu 4 roky, dochází teprve nyní k ukončování projektů I. výzvy. Z následných výzev není ukončen žádný projekt. Z výzev V. a VI. a z výzev ITI dosud nebyl vydán ani jeden právní akt. Oproti ostatním programům je v programu Aplikace </w:t>
      </w:r>
      <w:r w:rsidRPr="00790BE2">
        <w:rPr>
          <w:b/>
        </w:rPr>
        <w:t>aktuálně výrazně více projektů ve fázi hodnocení</w:t>
      </w:r>
      <w:r>
        <w:t xml:space="preserve"> (26,53 % z celkového počtu podaných žádostí). U </w:t>
      </w:r>
      <w:r w:rsidRPr="00790BE2">
        <w:rPr>
          <w:b/>
        </w:rPr>
        <w:t>programu Inovace</w:t>
      </w:r>
      <w:r>
        <w:t xml:space="preserve"> je celkově </w:t>
      </w:r>
      <w:r w:rsidRPr="00790BE2">
        <w:rPr>
          <w:b/>
        </w:rPr>
        <w:t>ukončen již větší počet projektů (13,56 %)</w:t>
      </w:r>
      <w:r>
        <w:t xml:space="preserve">, a to nejen z první výzvy. V té se podařilo ukončit již 65 % projektů. Souhrnně za všech 6 výzev a výzev ITI bylo podáno nejvíce žádostí, dohromady </w:t>
      </w:r>
      <w:r w:rsidRPr="00790BE2">
        <w:rPr>
          <w:b/>
        </w:rPr>
        <w:t>1 682</w:t>
      </w:r>
      <w:r>
        <w:t>.</w:t>
      </w:r>
    </w:p>
    <w:p w14:paraId="6FDD8D1C" w14:textId="77777777" w:rsidR="00B92790" w:rsidRDefault="00B92790" w:rsidP="00B92790">
      <w:pPr>
        <w:jc w:val="both"/>
      </w:pPr>
      <w:r>
        <w:t>Do počtu nejméně bylo podáno žádostí v </w:t>
      </w:r>
      <w:r w:rsidRPr="00790BE2">
        <w:rPr>
          <w:b/>
        </w:rPr>
        <w:t>programu podpory Potenciál</w:t>
      </w:r>
      <w:r>
        <w:t xml:space="preserve"> (712). Vzhledem k nižšímu počtu žádostí se daří rychleji provádět jejich hodnocení. Ve </w:t>
      </w:r>
      <w:r w:rsidRPr="00790BE2">
        <w:rPr>
          <w:b/>
        </w:rPr>
        <w:t>fázi hodnocení je pouze necelých 5 % podaných žádostí</w:t>
      </w:r>
      <w:r>
        <w:t xml:space="preserve">. Ostatní projekty jsou již </w:t>
      </w:r>
      <w:r w:rsidRPr="00790BE2">
        <w:rPr>
          <w:b/>
        </w:rPr>
        <w:t>buď v realizaci (24,44</w:t>
      </w:r>
      <w:r>
        <w:rPr>
          <w:b/>
        </w:rPr>
        <w:t xml:space="preserve"> </w:t>
      </w:r>
      <w:r w:rsidRPr="0063122F">
        <w:rPr>
          <w:b/>
        </w:rPr>
        <w:t>%</w:t>
      </w:r>
      <w:r w:rsidRPr="00790BE2">
        <w:rPr>
          <w:b/>
        </w:rPr>
        <w:t>)</w:t>
      </w:r>
      <w:r>
        <w:t xml:space="preserve">, nebo </w:t>
      </w:r>
      <w:r w:rsidRPr="00790BE2">
        <w:rPr>
          <w:b/>
        </w:rPr>
        <w:t>byly ukončeny (13,76</w:t>
      </w:r>
      <w:r>
        <w:rPr>
          <w:b/>
        </w:rPr>
        <w:t> </w:t>
      </w:r>
      <w:r w:rsidRPr="0063122F">
        <w:rPr>
          <w:b/>
        </w:rPr>
        <w:t>%</w:t>
      </w:r>
      <w:r w:rsidRPr="00790BE2">
        <w:rPr>
          <w:b/>
        </w:rPr>
        <w:t>)</w:t>
      </w:r>
      <w:r>
        <w:t xml:space="preserve">. Program Potenciál se od ostatních odlišuje </w:t>
      </w:r>
      <w:r w:rsidRPr="00790BE2">
        <w:rPr>
          <w:b/>
        </w:rPr>
        <w:t>vyšší „neúspěšností projektů“.</w:t>
      </w:r>
      <w:r>
        <w:t xml:space="preserve"> Více jak polovina (57,30 %) podaných žádostí buď neprošla hodnocením, nebo od nich bylo ustoupeno, ať již ze strany příjemce/žadatele nebo řídícího orgánu. U programů Aplikace a Inovace se </w:t>
      </w:r>
      <w:r w:rsidRPr="00790BE2">
        <w:rPr>
          <w:b/>
        </w:rPr>
        <w:t>„neúspěšnost žádostí“ pohybuje okolo 40 %.</w:t>
      </w:r>
    </w:p>
    <w:p w14:paraId="217B5A71" w14:textId="77777777" w:rsidR="00B92790" w:rsidRDefault="00B92790" w:rsidP="00B92790">
      <w:r>
        <w:t xml:space="preserve">Následující tabulka zobrazuje </w:t>
      </w:r>
      <w:r w:rsidRPr="00790BE2">
        <w:rPr>
          <w:b/>
        </w:rPr>
        <w:t>přehled projektů v tzv. aktivním stavu</w:t>
      </w:r>
      <w:r>
        <w:t xml:space="preserve">, tj. po vydaném právním aktu. </w:t>
      </w:r>
      <w:r>
        <w:fldChar w:fldCharType="begin"/>
      </w:r>
      <w:r>
        <w:instrText xml:space="preserve"> LINK Excel.Sheet.12 "C:\\Dokumenty\\Projekty s aktivním stavem.xlsx" "List1!R3C1:R10C5" \a \f 4 \h  \* MERGEFORMAT </w:instrText>
      </w:r>
      <w:r>
        <w:fldChar w:fldCharType="separate"/>
      </w:r>
    </w:p>
    <w:p w14:paraId="144970DA" w14:textId="5F1FD761"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21</w:t>
      </w:r>
      <w:r>
        <w:fldChar w:fldCharType="end"/>
      </w:r>
      <w:r>
        <w:t xml:space="preserve"> - Aktivní projekty - počet</w:t>
      </w:r>
    </w:p>
    <w:tbl>
      <w:tblPr>
        <w:tblStyle w:val="ListTable3-Accent11"/>
        <w:tblW w:w="5000" w:type="pct"/>
        <w:tblLayout w:type="fixed"/>
        <w:tblLook w:val="04A0" w:firstRow="1" w:lastRow="0" w:firstColumn="1" w:lastColumn="0" w:noHBand="0" w:noVBand="1"/>
      </w:tblPr>
      <w:tblGrid>
        <w:gridCol w:w="2318"/>
        <w:gridCol w:w="833"/>
        <w:gridCol w:w="1108"/>
        <w:gridCol w:w="688"/>
        <w:gridCol w:w="1106"/>
        <w:gridCol w:w="690"/>
        <w:gridCol w:w="1083"/>
        <w:gridCol w:w="738"/>
        <w:gridCol w:w="1074"/>
      </w:tblGrid>
      <w:tr w:rsidR="00B92790" w:rsidRPr="00F038E6" w14:paraId="52FD87BF"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02" w:type="pct"/>
            <w:tcBorders>
              <w:top w:val="single" w:sz="4" w:space="0" w:color="86BC25" w:themeColor="accent1"/>
              <w:left w:val="nil"/>
            </w:tcBorders>
            <w:noWrap/>
            <w:hideMark/>
          </w:tcPr>
          <w:p w14:paraId="607B1FD4" w14:textId="77777777" w:rsidR="00B92790" w:rsidRPr="00F038E6" w:rsidRDefault="00B92790" w:rsidP="00B92790">
            <w:pPr>
              <w:spacing w:after="0" w:line="240" w:lineRule="auto"/>
              <w:rPr>
                <w:rFonts w:asciiTheme="minorHAnsi" w:eastAsia="Times New Roman" w:hAnsiTheme="minorHAnsi" w:cs="Calibri"/>
                <w:color w:val="FFFFFF"/>
                <w:lang w:eastAsia="cs-CZ"/>
              </w:rPr>
            </w:pPr>
            <w:r w:rsidRPr="00F038E6">
              <w:rPr>
                <w:rFonts w:asciiTheme="minorHAnsi" w:eastAsia="Times New Roman" w:hAnsiTheme="minorHAnsi" w:cs="Calibri"/>
                <w:color w:val="FFFFFF"/>
                <w:lang w:eastAsia="cs-CZ"/>
              </w:rPr>
              <w:t>Stav projektu</w:t>
            </w:r>
          </w:p>
        </w:tc>
        <w:tc>
          <w:tcPr>
            <w:tcW w:w="1007" w:type="pct"/>
            <w:gridSpan w:val="2"/>
            <w:tcBorders>
              <w:top w:val="single" w:sz="4" w:space="0" w:color="86BC25" w:themeColor="accent1"/>
            </w:tcBorders>
            <w:noWrap/>
            <w:hideMark/>
          </w:tcPr>
          <w:p w14:paraId="6E80F08A" w14:textId="77777777" w:rsidR="00B92790" w:rsidRPr="00F038E6"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sidRPr="00F038E6">
              <w:rPr>
                <w:rFonts w:asciiTheme="minorHAnsi" w:eastAsia="Times New Roman" w:hAnsiTheme="minorHAnsi" w:cs="Calibri"/>
                <w:color w:val="FFFFFF"/>
                <w:lang w:eastAsia="cs-CZ"/>
              </w:rPr>
              <w:t>Aplikace</w:t>
            </w:r>
          </w:p>
        </w:tc>
        <w:tc>
          <w:tcPr>
            <w:tcW w:w="931" w:type="pct"/>
            <w:gridSpan w:val="2"/>
            <w:tcBorders>
              <w:top w:val="single" w:sz="4" w:space="0" w:color="86BC25" w:themeColor="accent1"/>
            </w:tcBorders>
            <w:noWrap/>
            <w:hideMark/>
          </w:tcPr>
          <w:p w14:paraId="6398C6E1" w14:textId="77777777" w:rsidR="00B92790" w:rsidRPr="00F038E6"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sidRPr="00F038E6">
              <w:rPr>
                <w:rFonts w:asciiTheme="minorHAnsi" w:eastAsia="Times New Roman" w:hAnsiTheme="minorHAnsi" w:cs="Calibri"/>
                <w:color w:val="FFFFFF"/>
                <w:lang w:eastAsia="cs-CZ"/>
              </w:rPr>
              <w:t>Inovace</w:t>
            </w:r>
          </w:p>
        </w:tc>
        <w:tc>
          <w:tcPr>
            <w:tcW w:w="920" w:type="pct"/>
            <w:gridSpan w:val="2"/>
            <w:tcBorders>
              <w:top w:val="single" w:sz="4" w:space="0" w:color="86BC25" w:themeColor="accent1"/>
            </w:tcBorders>
            <w:noWrap/>
            <w:hideMark/>
          </w:tcPr>
          <w:p w14:paraId="7712A38A" w14:textId="77777777" w:rsidR="00B92790" w:rsidRPr="00F038E6"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sidRPr="00F038E6">
              <w:rPr>
                <w:rFonts w:asciiTheme="minorHAnsi" w:eastAsia="Times New Roman" w:hAnsiTheme="minorHAnsi" w:cs="Calibri"/>
                <w:color w:val="FFFFFF"/>
                <w:lang w:eastAsia="cs-CZ"/>
              </w:rPr>
              <w:t>Potenciál</w:t>
            </w:r>
          </w:p>
        </w:tc>
        <w:tc>
          <w:tcPr>
            <w:tcW w:w="940" w:type="pct"/>
            <w:gridSpan w:val="2"/>
            <w:tcBorders>
              <w:top w:val="single" w:sz="4" w:space="0" w:color="86BC25" w:themeColor="accent1"/>
              <w:right w:val="nil"/>
            </w:tcBorders>
            <w:noWrap/>
            <w:hideMark/>
          </w:tcPr>
          <w:p w14:paraId="2118E45D" w14:textId="77777777" w:rsidR="00B92790" w:rsidRPr="00F038E6"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sidRPr="00F038E6">
              <w:rPr>
                <w:rFonts w:asciiTheme="minorHAnsi" w:eastAsia="Times New Roman" w:hAnsiTheme="minorHAnsi" w:cs="Calibri"/>
                <w:color w:val="FFFFFF"/>
                <w:lang w:eastAsia="cs-CZ"/>
              </w:rPr>
              <w:t>Celkem</w:t>
            </w:r>
          </w:p>
        </w:tc>
      </w:tr>
      <w:tr w:rsidR="00B92790" w:rsidRPr="006C494D" w14:paraId="63B64BD1"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tcBorders>
            <w:noWrap/>
            <w:hideMark/>
          </w:tcPr>
          <w:p w14:paraId="634D7A8F" w14:textId="77777777" w:rsidR="00B92790" w:rsidRPr="00F038E6" w:rsidRDefault="00B92790" w:rsidP="00B92790">
            <w:pPr>
              <w:spacing w:after="0" w:line="240" w:lineRule="auto"/>
              <w:rPr>
                <w:rFonts w:asciiTheme="minorHAnsi" w:eastAsia="Times New Roman" w:hAnsiTheme="minorHAnsi" w:cs="Calibri"/>
                <w:b w:val="0"/>
                <w:color w:val="000000"/>
                <w:lang w:eastAsia="cs-CZ"/>
              </w:rPr>
            </w:pPr>
            <w:r w:rsidRPr="00F038E6">
              <w:rPr>
                <w:rFonts w:asciiTheme="minorHAnsi" w:eastAsia="Times New Roman" w:hAnsiTheme="minorHAnsi" w:cs="Calibri"/>
                <w:b w:val="0"/>
                <w:color w:val="000000"/>
                <w:lang w:eastAsia="cs-CZ"/>
              </w:rPr>
              <w:t>Projekt s právním aktem</w:t>
            </w:r>
          </w:p>
        </w:tc>
        <w:tc>
          <w:tcPr>
            <w:tcW w:w="432" w:type="pct"/>
            <w:noWrap/>
            <w:vAlign w:val="center"/>
            <w:hideMark/>
          </w:tcPr>
          <w:p w14:paraId="2E63A76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15</w:t>
            </w:r>
          </w:p>
        </w:tc>
        <w:tc>
          <w:tcPr>
            <w:tcW w:w="575" w:type="pct"/>
            <w:vAlign w:val="center"/>
          </w:tcPr>
          <w:p w14:paraId="401AD485"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2,98 %</w:t>
            </w:r>
          </w:p>
        </w:tc>
        <w:tc>
          <w:tcPr>
            <w:tcW w:w="357" w:type="pct"/>
            <w:noWrap/>
            <w:vAlign w:val="center"/>
            <w:hideMark/>
          </w:tcPr>
          <w:p w14:paraId="6057B69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2</w:t>
            </w:r>
          </w:p>
        </w:tc>
        <w:tc>
          <w:tcPr>
            <w:tcW w:w="574" w:type="pct"/>
            <w:vAlign w:val="center"/>
          </w:tcPr>
          <w:p w14:paraId="20041174"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0,27 %</w:t>
            </w:r>
          </w:p>
        </w:tc>
        <w:tc>
          <w:tcPr>
            <w:tcW w:w="358" w:type="pct"/>
            <w:noWrap/>
            <w:vAlign w:val="center"/>
            <w:hideMark/>
          </w:tcPr>
          <w:p w14:paraId="571E3FC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0</w:t>
            </w:r>
          </w:p>
        </w:tc>
        <w:tc>
          <w:tcPr>
            <w:tcW w:w="562" w:type="pct"/>
            <w:vAlign w:val="center"/>
          </w:tcPr>
          <w:p w14:paraId="3E813DFC"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0,00 %</w:t>
            </w:r>
          </w:p>
        </w:tc>
        <w:tc>
          <w:tcPr>
            <w:tcW w:w="383" w:type="pct"/>
            <w:noWrap/>
            <w:vAlign w:val="center"/>
            <w:hideMark/>
          </w:tcPr>
          <w:p w14:paraId="7F33C91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17</w:t>
            </w:r>
          </w:p>
        </w:tc>
        <w:tc>
          <w:tcPr>
            <w:tcW w:w="558" w:type="pct"/>
            <w:tcBorders>
              <w:right w:val="nil"/>
            </w:tcBorders>
            <w:vAlign w:val="center"/>
          </w:tcPr>
          <w:p w14:paraId="00B610FC"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1,13 %</w:t>
            </w:r>
          </w:p>
        </w:tc>
      </w:tr>
      <w:tr w:rsidR="00B92790" w:rsidRPr="006C494D" w14:paraId="08031FA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tcBorders>
            <w:noWrap/>
            <w:hideMark/>
          </w:tcPr>
          <w:p w14:paraId="63877A93" w14:textId="77777777" w:rsidR="00B92790" w:rsidRPr="00F038E6" w:rsidRDefault="00B92790" w:rsidP="00B92790">
            <w:pPr>
              <w:spacing w:after="0" w:line="240" w:lineRule="auto"/>
              <w:rPr>
                <w:rFonts w:asciiTheme="minorHAnsi" w:eastAsia="Times New Roman" w:hAnsiTheme="minorHAnsi" w:cs="Calibri"/>
                <w:b w:val="0"/>
                <w:color w:val="000000"/>
                <w:lang w:eastAsia="cs-CZ"/>
              </w:rPr>
            </w:pPr>
            <w:r w:rsidRPr="00F038E6">
              <w:rPr>
                <w:rFonts w:asciiTheme="minorHAnsi" w:eastAsia="Times New Roman" w:hAnsiTheme="minorHAnsi" w:cs="Calibri"/>
                <w:b w:val="0"/>
                <w:color w:val="000000"/>
                <w:lang w:eastAsia="cs-CZ"/>
              </w:rPr>
              <w:t>Projekt ve fyzické realizaci</w:t>
            </w:r>
          </w:p>
        </w:tc>
        <w:tc>
          <w:tcPr>
            <w:tcW w:w="432" w:type="pct"/>
            <w:noWrap/>
            <w:vAlign w:val="center"/>
            <w:hideMark/>
          </w:tcPr>
          <w:p w14:paraId="5F76430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134</w:t>
            </w:r>
          </w:p>
        </w:tc>
        <w:tc>
          <w:tcPr>
            <w:tcW w:w="575" w:type="pct"/>
            <w:vAlign w:val="center"/>
          </w:tcPr>
          <w:p w14:paraId="56F727E8"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26,64 %</w:t>
            </w:r>
          </w:p>
        </w:tc>
        <w:tc>
          <w:tcPr>
            <w:tcW w:w="357" w:type="pct"/>
            <w:noWrap/>
            <w:vAlign w:val="center"/>
            <w:hideMark/>
          </w:tcPr>
          <w:p w14:paraId="62C2D57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375</w:t>
            </w:r>
          </w:p>
        </w:tc>
        <w:tc>
          <w:tcPr>
            <w:tcW w:w="574" w:type="pct"/>
            <w:vAlign w:val="center"/>
          </w:tcPr>
          <w:p w14:paraId="6784C698"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51,23 %</w:t>
            </w:r>
          </w:p>
        </w:tc>
        <w:tc>
          <w:tcPr>
            <w:tcW w:w="358" w:type="pct"/>
            <w:noWrap/>
            <w:vAlign w:val="center"/>
            <w:hideMark/>
          </w:tcPr>
          <w:p w14:paraId="6BC3992C"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122</w:t>
            </w:r>
          </w:p>
        </w:tc>
        <w:tc>
          <w:tcPr>
            <w:tcW w:w="562" w:type="pct"/>
            <w:vAlign w:val="center"/>
          </w:tcPr>
          <w:p w14:paraId="49D812A9"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44,85 %</w:t>
            </w:r>
          </w:p>
        </w:tc>
        <w:tc>
          <w:tcPr>
            <w:tcW w:w="383" w:type="pct"/>
            <w:noWrap/>
            <w:vAlign w:val="center"/>
            <w:hideMark/>
          </w:tcPr>
          <w:p w14:paraId="0150C9F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631</w:t>
            </w:r>
          </w:p>
        </w:tc>
        <w:tc>
          <w:tcPr>
            <w:tcW w:w="558" w:type="pct"/>
            <w:tcBorders>
              <w:right w:val="nil"/>
            </w:tcBorders>
            <w:vAlign w:val="center"/>
          </w:tcPr>
          <w:p w14:paraId="1360EA24"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41,87 %</w:t>
            </w:r>
          </w:p>
        </w:tc>
      </w:tr>
      <w:tr w:rsidR="00B92790" w:rsidRPr="006C494D" w14:paraId="49C0C1AB"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tcBorders>
            <w:noWrap/>
            <w:hideMark/>
          </w:tcPr>
          <w:p w14:paraId="7AE20DF6" w14:textId="77777777" w:rsidR="00B92790" w:rsidRPr="00F038E6" w:rsidRDefault="00B92790" w:rsidP="00B92790">
            <w:pPr>
              <w:spacing w:after="0" w:line="240" w:lineRule="auto"/>
              <w:rPr>
                <w:rFonts w:asciiTheme="minorHAnsi" w:eastAsia="Times New Roman" w:hAnsiTheme="minorHAnsi" w:cs="Calibri"/>
                <w:b w:val="0"/>
                <w:color w:val="000000"/>
                <w:lang w:eastAsia="cs-CZ"/>
              </w:rPr>
            </w:pPr>
            <w:r w:rsidRPr="00F038E6">
              <w:rPr>
                <w:rFonts w:asciiTheme="minorHAnsi" w:eastAsia="Times New Roman" w:hAnsiTheme="minorHAnsi" w:cs="Calibri"/>
                <w:b w:val="0"/>
                <w:color w:val="000000"/>
                <w:lang w:eastAsia="cs-CZ"/>
              </w:rPr>
              <w:t>Projekt v plné (fyzické</w:t>
            </w:r>
            <w:r>
              <w:rPr>
                <w:rFonts w:asciiTheme="minorHAnsi" w:eastAsia="Times New Roman" w:hAnsiTheme="minorHAnsi" w:cs="Calibri"/>
                <w:b w:val="0"/>
                <w:color w:val="000000"/>
                <w:lang w:eastAsia="cs-CZ"/>
              </w:rPr>
              <w:t xml:space="preserve"> i </w:t>
            </w:r>
            <w:r w:rsidRPr="00F038E6">
              <w:rPr>
                <w:rFonts w:asciiTheme="minorHAnsi" w:eastAsia="Times New Roman" w:hAnsiTheme="minorHAnsi" w:cs="Calibri"/>
                <w:b w:val="0"/>
                <w:color w:val="000000"/>
                <w:lang w:eastAsia="cs-CZ"/>
              </w:rPr>
              <w:t>finanční</w:t>
            </w:r>
            <w:r>
              <w:rPr>
                <w:rFonts w:asciiTheme="minorHAnsi" w:eastAsia="Times New Roman" w:hAnsiTheme="minorHAnsi" w:cs="Calibri"/>
                <w:b w:val="0"/>
                <w:color w:val="000000"/>
                <w:lang w:val="en-US" w:eastAsia="cs-CZ"/>
              </w:rPr>
              <w:t>*</w:t>
            </w:r>
            <w:r w:rsidRPr="00F038E6">
              <w:rPr>
                <w:rFonts w:asciiTheme="minorHAnsi" w:eastAsia="Times New Roman" w:hAnsiTheme="minorHAnsi" w:cs="Calibri"/>
                <w:b w:val="0"/>
                <w:color w:val="000000"/>
                <w:lang w:eastAsia="cs-CZ"/>
              </w:rPr>
              <w:t>) realizaci</w:t>
            </w:r>
          </w:p>
        </w:tc>
        <w:tc>
          <w:tcPr>
            <w:tcW w:w="432" w:type="pct"/>
            <w:noWrap/>
            <w:vAlign w:val="center"/>
            <w:hideMark/>
          </w:tcPr>
          <w:p w14:paraId="4D3E991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342</w:t>
            </w:r>
          </w:p>
        </w:tc>
        <w:tc>
          <w:tcPr>
            <w:tcW w:w="575" w:type="pct"/>
            <w:vAlign w:val="center"/>
          </w:tcPr>
          <w:p w14:paraId="75837C7D"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67,99 %</w:t>
            </w:r>
          </w:p>
        </w:tc>
        <w:tc>
          <w:tcPr>
            <w:tcW w:w="357" w:type="pct"/>
            <w:noWrap/>
            <w:vAlign w:val="center"/>
            <w:hideMark/>
          </w:tcPr>
          <w:p w14:paraId="504BBAA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127</w:t>
            </w:r>
          </w:p>
        </w:tc>
        <w:tc>
          <w:tcPr>
            <w:tcW w:w="574" w:type="pct"/>
            <w:vAlign w:val="center"/>
          </w:tcPr>
          <w:p w14:paraId="04445A3C"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17,35 %</w:t>
            </w:r>
          </w:p>
        </w:tc>
        <w:tc>
          <w:tcPr>
            <w:tcW w:w="358" w:type="pct"/>
            <w:noWrap/>
            <w:vAlign w:val="center"/>
            <w:hideMark/>
          </w:tcPr>
          <w:p w14:paraId="4D4660C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52</w:t>
            </w:r>
          </w:p>
        </w:tc>
        <w:tc>
          <w:tcPr>
            <w:tcW w:w="562" w:type="pct"/>
            <w:vAlign w:val="center"/>
          </w:tcPr>
          <w:p w14:paraId="1FFC6A5F"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19,12 %</w:t>
            </w:r>
          </w:p>
        </w:tc>
        <w:tc>
          <w:tcPr>
            <w:tcW w:w="383" w:type="pct"/>
            <w:noWrap/>
            <w:vAlign w:val="center"/>
            <w:hideMark/>
          </w:tcPr>
          <w:p w14:paraId="3189867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521</w:t>
            </w:r>
          </w:p>
        </w:tc>
        <w:tc>
          <w:tcPr>
            <w:tcW w:w="558" w:type="pct"/>
            <w:tcBorders>
              <w:right w:val="nil"/>
            </w:tcBorders>
            <w:vAlign w:val="center"/>
          </w:tcPr>
          <w:p w14:paraId="03F78548"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34,57 %</w:t>
            </w:r>
          </w:p>
        </w:tc>
      </w:tr>
      <w:tr w:rsidR="00B92790" w:rsidRPr="006C494D" w14:paraId="3B3B1AA3"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tcBorders>
            <w:noWrap/>
            <w:hideMark/>
          </w:tcPr>
          <w:p w14:paraId="02D2A4E7" w14:textId="77777777" w:rsidR="00B92790" w:rsidRPr="00F038E6" w:rsidRDefault="00B92790" w:rsidP="00B92790">
            <w:pPr>
              <w:spacing w:after="0" w:line="240" w:lineRule="auto"/>
              <w:rPr>
                <w:rFonts w:asciiTheme="minorHAnsi" w:eastAsia="Times New Roman" w:hAnsiTheme="minorHAnsi" w:cs="Calibri"/>
                <w:b w:val="0"/>
                <w:color w:val="000000"/>
                <w:lang w:eastAsia="cs-CZ"/>
              </w:rPr>
            </w:pPr>
            <w:r w:rsidRPr="00F038E6">
              <w:rPr>
                <w:rFonts w:asciiTheme="minorHAnsi" w:eastAsia="Times New Roman" w:hAnsiTheme="minorHAnsi" w:cs="Calibri"/>
                <w:b w:val="0"/>
                <w:color w:val="000000"/>
                <w:lang w:eastAsia="cs-CZ"/>
              </w:rPr>
              <w:t>Projekt fyzicky ukončen</w:t>
            </w:r>
          </w:p>
        </w:tc>
        <w:tc>
          <w:tcPr>
            <w:tcW w:w="432" w:type="pct"/>
            <w:noWrap/>
            <w:vAlign w:val="center"/>
            <w:hideMark/>
          </w:tcPr>
          <w:p w14:paraId="660CD4F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w:t>
            </w:r>
          </w:p>
        </w:tc>
        <w:tc>
          <w:tcPr>
            <w:tcW w:w="575" w:type="pct"/>
            <w:vAlign w:val="center"/>
          </w:tcPr>
          <w:p w14:paraId="1553A1B1"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0,20 %</w:t>
            </w:r>
          </w:p>
        </w:tc>
        <w:tc>
          <w:tcPr>
            <w:tcW w:w="357" w:type="pct"/>
            <w:noWrap/>
            <w:vAlign w:val="center"/>
            <w:hideMark/>
          </w:tcPr>
          <w:p w14:paraId="446EBB1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12</w:t>
            </w:r>
          </w:p>
        </w:tc>
        <w:tc>
          <w:tcPr>
            <w:tcW w:w="574" w:type="pct"/>
            <w:vAlign w:val="center"/>
          </w:tcPr>
          <w:p w14:paraId="670D7A76"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1,64 %</w:t>
            </w:r>
          </w:p>
        </w:tc>
        <w:tc>
          <w:tcPr>
            <w:tcW w:w="358" w:type="pct"/>
            <w:noWrap/>
            <w:vAlign w:val="center"/>
            <w:hideMark/>
          </w:tcPr>
          <w:p w14:paraId="0B1FF7C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4</w:t>
            </w:r>
          </w:p>
        </w:tc>
        <w:tc>
          <w:tcPr>
            <w:tcW w:w="562" w:type="pct"/>
            <w:vAlign w:val="center"/>
          </w:tcPr>
          <w:p w14:paraId="6471713F"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1,47 %</w:t>
            </w:r>
          </w:p>
        </w:tc>
        <w:tc>
          <w:tcPr>
            <w:tcW w:w="383" w:type="pct"/>
            <w:noWrap/>
            <w:vAlign w:val="center"/>
            <w:hideMark/>
          </w:tcPr>
          <w:p w14:paraId="6F12639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17</w:t>
            </w:r>
          </w:p>
        </w:tc>
        <w:tc>
          <w:tcPr>
            <w:tcW w:w="558" w:type="pct"/>
            <w:tcBorders>
              <w:right w:val="nil"/>
            </w:tcBorders>
            <w:vAlign w:val="center"/>
          </w:tcPr>
          <w:p w14:paraId="2F8277CF" w14:textId="77777777" w:rsidR="00B92790" w:rsidRPr="006C494D"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1,13 %</w:t>
            </w:r>
          </w:p>
        </w:tc>
      </w:tr>
      <w:tr w:rsidR="00B92790" w:rsidRPr="006C494D" w14:paraId="17233EF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tcBorders>
            <w:noWrap/>
            <w:hideMark/>
          </w:tcPr>
          <w:p w14:paraId="6579C245" w14:textId="77777777" w:rsidR="00B92790" w:rsidRPr="00F038E6" w:rsidRDefault="00B92790" w:rsidP="00B92790">
            <w:pPr>
              <w:spacing w:after="0" w:line="240" w:lineRule="auto"/>
              <w:rPr>
                <w:rFonts w:asciiTheme="minorHAnsi" w:eastAsia="Times New Roman" w:hAnsiTheme="minorHAnsi" w:cs="Calibri"/>
                <w:b w:val="0"/>
                <w:color w:val="000000"/>
                <w:lang w:eastAsia="cs-CZ"/>
              </w:rPr>
            </w:pPr>
            <w:r w:rsidRPr="00F038E6">
              <w:rPr>
                <w:rFonts w:asciiTheme="minorHAnsi" w:eastAsia="Times New Roman" w:hAnsiTheme="minorHAnsi" w:cs="Calibri"/>
                <w:b w:val="0"/>
                <w:color w:val="000000"/>
                <w:lang w:eastAsia="cs-CZ"/>
              </w:rPr>
              <w:t>Projekt finančně ukončen ze strany ŘO</w:t>
            </w:r>
          </w:p>
        </w:tc>
        <w:tc>
          <w:tcPr>
            <w:tcW w:w="432" w:type="pct"/>
            <w:noWrap/>
            <w:vAlign w:val="center"/>
            <w:hideMark/>
          </w:tcPr>
          <w:p w14:paraId="0B1EAFD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11</w:t>
            </w:r>
          </w:p>
        </w:tc>
        <w:tc>
          <w:tcPr>
            <w:tcW w:w="575" w:type="pct"/>
            <w:vAlign w:val="center"/>
          </w:tcPr>
          <w:p w14:paraId="334D0F6B"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2,19 %</w:t>
            </w:r>
          </w:p>
        </w:tc>
        <w:tc>
          <w:tcPr>
            <w:tcW w:w="357" w:type="pct"/>
            <w:noWrap/>
            <w:vAlign w:val="center"/>
            <w:hideMark/>
          </w:tcPr>
          <w:p w14:paraId="2E5551D1"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216</w:t>
            </w:r>
          </w:p>
        </w:tc>
        <w:tc>
          <w:tcPr>
            <w:tcW w:w="574" w:type="pct"/>
            <w:vAlign w:val="center"/>
          </w:tcPr>
          <w:p w14:paraId="1A307F84"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29,51 %</w:t>
            </w:r>
          </w:p>
        </w:tc>
        <w:tc>
          <w:tcPr>
            <w:tcW w:w="358" w:type="pct"/>
            <w:noWrap/>
            <w:vAlign w:val="center"/>
            <w:hideMark/>
          </w:tcPr>
          <w:p w14:paraId="5198B47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94</w:t>
            </w:r>
          </w:p>
        </w:tc>
        <w:tc>
          <w:tcPr>
            <w:tcW w:w="562" w:type="pct"/>
            <w:vAlign w:val="center"/>
          </w:tcPr>
          <w:p w14:paraId="6A4FCD9C"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34,56 %</w:t>
            </w:r>
          </w:p>
        </w:tc>
        <w:tc>
          <w:tcPr>
            <w:tcW w:w="383" w:type="pct"/>
            <w:noWrap/>
            <w:vAlign w:val="center"/>
            <w:hideMark/>
          </w:tcPr>
          <w:p w14:paraId="128FC319"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sidRPr="00C6728C">
              <w:rPr>
                <w:rFonts w:asciiTheme="minorHAnsi" w:eastAsia="Times New Roman" w:hAnsiTheme="minorHAnsi" w:cs="Calibri"/>
                <w:color w:val="000000"/>
                <w:lang w:eastAsia="cs-CZ"/>
              </w:rPr>
              <w:t>321</w:t>
            </w:r>
          </w:p>
        </w:tc>
        <w:tc>
          <w:tcPr>
            <w:tcW w:w="558" w:type="pct"/>
            <w:tcBorders>
              <w:right w:val="nil"/>
            </w:tcBorders>
            <w:vAlign w:val="center"/>
          </w:tcPr>
          <w:p w14:paraId="303C5F5D" w14:textId="77777777" w:rsidR="00B92790" w:rsidRPr="006C494D"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lang w:eastAsia="cs-CZ"/>
              </w:rPr>
            </w:pPr>
            <w:r>
              <w:rPr>
                <w:rFonts w:asciiTheme="minorHAnsi" w:eastAsia="Times New Roman" w:hAnsiTheme="minorHAnsi" w:cs="Calibri"/>
                <w:color w:val="000000"/>
                <w:lang w:eastAsia="cs-CZ"/>
              </w:rPr>
              <w:t>21,30 %</w:t>
            </w:r>
          </w:p>
        </w:tc>
      </w:tr>
      <w:tr w:rsidR="00BC1A01" w:rsidRPr="00F038E6" w14:paraId="55CE21DB"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202" w:type="pct"/>
            <w:tcBorders>
              <w:left w:val="nil"/>
              <w:bottom w:val="single" w:sz="4" w:space="0" w:color="86BC25" w:themeColor="accent1"/>
            </w:tcBorders>
            <w:shd w:val="clear" w:color="auto" w:fill="E7F5CF" w:themeFill="accent1" w:themeFillTint="33"/>
            <w:noWrap/>
            <w:hideMark/>
          </w:tcPr>
          <w:p w14:paraId="3E343F56" w14:textId="77777777" w:rsidR="00B92790" w:rsidRPr="00F038E6" w:rsidRDefault="00B92790" w:rsidP="00B92790">
            <w:pPr>
              <w:spacing w:after="0" w:line="240" w:lineRule="auto"/>
              <w:rPr>
                <w:rFonts w:asciiTheme="minorHAnsi" w:eastAsia="Times New Roman" w:hAnsiTheme="minorHAnsi" w:cs="Calibri"/>
                <w:bCs w:val="0"/>
                <w:color w:val="000000"/>
                <w:lang w:eastAsia="cs-CZ"/>
              </w:rPr>
            </w:pPr>
            <w:r w:rsidRPr="00F038E6">
              <w:rPr>
                <w:rFonts w:asciiTheme="minorHAnsi" w:eastAsia="Times New Roman" w:hAnsiTheme="minorHAnsi" w:cs="Calibri"/>
                <w:bCs w:val="0"/>
                <w:color w:val="000000"/>
                <w:lang w:eastAsia="cs-CZ"/>
              </w:rPr>
              <w:t>Ce</w:t>
            </w:r>
            <w:r>
              <w:rPr>
                <w:rFonts w:asciiTheme="minorHAnsi" w:eastAsia="Times New Roman" w:hAnsiTheme="minorHAnsi" w:cs="Calibri"/>
                <w:bCs w:val="0"/>
                <w:color w:val="000000"/>
                <w:lang w:eastAsia="cs-CZ"/>
              </w:rPr>
              <w:t>lkem</w:t>
            </w:r>
          </w:p>
        </w:tc>
        <w:tc>
          <w:tcPr>
            <w:tcW w:w="432" w:type="pct"/>
            <w:tcBorders>
              <w:bottom w:val="single" w:sz="4" w:space="0" w:color="86BC25" w:themeColor="accent1"/>
            </w:tcBorders>
            <w:shd w:val="clear" w:color="auto" w:fill="E7F5CF" w:themeFill="accent1" w:themeFillTint="33"/>
            <w:noWrap/>
            <w:vAlign w:val="center"/>
            <w:hideMark/>
          </w:tcPr>
          <w:p w14:paraId="756E8E65"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r w:rsidRPr="00F038E6">
              <w:rPr>
                <w:rFonts w:asciiTheme="minorHAnsi" w:eastAsia="Times New Roman" w:hAnsiTheme="minorHAnsi" w:cs="Calibri"/>
                <w:b/>
                <w:bCs/>
                <w:color w:val="000000"/>
                <w:lang w:eastAsia="cs-CZ"/>
              </w:rPr>
              <w:t>503</w:t>
            </w:r>
          </w:p>
        </w:tc>
        <w:tc>
          <w:tcPr>
            <w:tcW w:w="575" w:type="pct"/>
            <w:tcBorders>
              <w:bottom w:val="single" w:sz="4" w:space="0" w:color="86BC25" w:themeColor="accent1"/>
            </w:tcBorders>
            <w:shd w:val="clear" w:color="auto" w:fill="E7F5CF" w:themeFill="accent1" w:themeFillTint="33"/>
            <w:vAlign w:val="center"/>
          </w:tcPr>
          <w:p w14:paraId="2D59B5D3"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p>
        </w:tc>
        <w:tc>
          <w:tcPr>
            <w:tcW w:w="357" w:type="pct"/>
            <w:tcBorders>
              <w:bottom w:val="single" w:sz="4" w:space="0" w:color="86BC25" w:themeColor="accent1"/>
            </w:tcBorders>
            <w:shd w:val="clear" w:color="auto" w:fill="E7F5CF" w:themeFill="accent1" w:themeFillTint="33"/>
            <w:noWrap/>
            <w:vAlign w:val="center"/>
            <w:hideMark/>
          </w:tcPr>
          <w:p w14:paraId="65A12050"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r w:rsidRPr="00F038E6">
              <w:rPr>
                <w:rFonts w:asciiTheme="minorHAnsi" w:eastAsia="Times New Roman" w:hAnsiTheme="minorHAnsi" w:cs="Calibri"/>
                <w:b/>
                <w:bCs/>
                <w:color w:val="000000"/>
                <w:lang w:eastAsia="cs-CZ"/>
              </w:rPr>
              <w:t>732</w:t>
            </w:r>
          </w:p>
        </w:tc>
        <w:tc>
          <w:tcPr>
            <w:tcW w:w="574" w:type="pct"/>
            <w:tcBorders>
              <w:bottom w:val="single" w:sz="4" w:space="0" w:color="86BC25" w:themeColor="accent1"/>
            </w:tcBorders>
            <w:shd w:val="clear" w:color="auto" w:fill="E7F5CF" w:themeFill="accent1" w:themeFillTint="33"/>
            <w:vAlign w:val="center"/>
          </w:tcPr>
          <w:p w14:paraId="716193E5"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p>
        </w:tc>
        <w:tc>
          <w:tcPr>
            <w:tcW w:w="358" w:type="pct"/>
            <w:tcBorders>
              <w:bottom w:val="single" w:sz="4" w:space="0" w:color="86BC25" w:themeColor="accent1"/>
            </w:tcBorders>
            <w:shd w:val="clear" w:color="auto" w:fill="E7F5CF" w:themeFill="accent1" w:themeFillTint="33"/>
            <w:noWrap/>
            <w:vAlign w:val="center"/>
            <w:hideMark/>
          </w:tcPr>
          <w:p w14:paraId="4773BB8A"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r w:rsidRPr="00F038E6">
              <w:rPr>
                <w:rFonts w:asciiTheme="minorHAnsi" w:eastAsia="Times New Roman" w:hAnsiTheme="minorHAnsi" w:cs="Calibri"/>
                <w:b/>
                <w:bCs/>
                <w:color w:val="000000"/>
                <w:lang w:eastAsia="cs-CZ"/>
              </w:rPr>
              <w:t>272</w:t>
            </w:r>
          </w:p>
        </w:tc>
        <w:tc>
          <w:tcPr>
            <w:tcW w:w="562" w:type="pct"/>
            <w:tcBorders>
              <w:bottom w:val="single" w:sz="4" w:space="0" w:color="86BC25" w:themeColor="accent1"/>
            </w:tcBorders>
            <w:shd w:val="clear" w:color="auto" w:fill="E7F5CF" w:themeFill="accent1" w:themeFillTint="33"/>
            <w:vAlign w:val="center"/>
          </w:tcPr>
          <w:p w14:paraId="3DEE8702"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p>
        </w:tc>
        <w:tc>
          <w:tcPr>
            <w:tcW w:w="383" w:type="pct"/>
            <w:tcBorders>
              <w:bottom w:val="single" w:sz="4" w:space="0" w:color="86BC25" w:themeColor="accent1"/>
            </w:tcBorders>
            <w:shd w:val="clear" w:color="auto" w:fill="E7F5CF" w:themeFill="accent1" w:themeFillTint="33"/>
            <w:noWrap/>
            <w:vAlign w:val="center"/>
            <w:hideMark/>
          </w:tcPr>
          <w:p w14:paraId="02BE2475"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r w:rsidRPr="00F038E6">
              <w:rPr>
                <w:rFonts w:asciiTheme="minorHAnsi" w:eastAsia="Times New Roman" w:hAnsiTheme="minorHAnsi" w:cs="Calibri"/>
                <w:b/>
                <w:bCs/>
                <w:color w:val="000000"/>
                <w:lang w:eastAsia="cs-CZ"/>
              </w:rPr>
              <w:t>1507</w:t>
            </w:r>
          </w:p>
        </w:tc>
        <w:tc>
          <w:tcPr>
            <w:tcW w:w="558" w:type="pct"/>
            <w:tcBorders>
              <w:bottom w:val="single" w:sz="4" w:space="0" w:color="86BC25" w:themeColor="accent1"/>
              <w:right w:val="nil"/>
            </w:tcBorders>
            <w:shd w:val="clear" w:color="auto" w:fill="E7F5CF" w:themeFill="accent1" w:themeFillTint="33"/>
            <w:vAlign w:val="center"/>
          </w:tcPr>
          <w:p w14:paraId="53894FFB" w14:textId="77777777" w:rsidR="00B92790" w:rsidRPr="00F038E6"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lang w:eastAsia="cs-CZ"/>
              </w:rPr>
            </w:pPr>
          </w:p>
        </w:tc>
      </w:tr>
    </w:tbl>
    <w:p w14:paraId="5FF5BEF3" w14:textId="77777777" w:rsidR="00B92790" w:rsidRPr="00C63160" w:rsidRDefault="00B92790" w:rsidP="00B92790">
      <w:pPr>
        <w:rPr>
          <w:i/>
        </w:rPr>
      </w:pPr>
      <w:r>
        <w:fldChar w:fldCharType="end"/>
      </w:r>
      <w:r w:rsidRPr="00790BE2">
        <w:rPr>
          <w:i/>
        </w:rPr>
        <w:t>Pozn.: Výše uvedená tabulka nezahrnuje projekty,</w:t>
      </w:r>
      <w:r>
        <w:rPr>
          <w:i/>
        </w:rPr>
        <w:t xml:space="preserve"> u </w:t>
      </w:r>
      <w:r w:rsidRPr="00790BE2">
        <w:rPr>
          <w:i/>
        </w:rPr>
        <w:t>kterých příjemce či ŘO odstoupili od realizace, takové projekty</w:t>
      </w:r>
      <w:r>
        <w:rPr>
          <w:i/>
        </w:rPr>
        <w:t xml:space="preserve"> nejsou považovány za „aktivní“</w:t>
      </w:r>
      <w:r>
        <w:rPr>
          <w:i/>
        </w:rPr>
        <w:br/>
        <w:t xml:space="preserve">* Byla zahájena fyzická realizace a došlo k proplacení alespoň jedné </w:t>
      </w:r>
      <w:proofErr w:type="spellStart"/>
      <w:r>
        <w:rPr>
          <w:i/>
        </w:rPr>
        <w:t>ZoP</w:t>
      </w:r>
      <w:proofErr w:type="spellEnd"/>
    </w:p>
    <w:p w14:paraId="71AB5BCC" w14:textId="77777777" w:rsidR="00B92790" w:rsidRDefault="00B92790" w:rsidP="00B92790">
      <w:pPr>
        <w:jc w:val="both"/>
      </w:pPr>
      <w:r>
        <w:t xml:space="preserve">Z celkového počtu 1 507 projektů v aktivním stavu (tzn. s vydaným právním aktem) byla </w:t>
      </w:r>
      <w:r w:rsidRPr="00790BE2">
        <w:rPr>
          <w:b/>
        </w:rPr>
        <w:t>ukončena jedna pětina (22,43 %)</w:t>
      </w:r>
      <w:r>
        <w:t xml:space="preserve"> projektů. Z údajů dále vyplývá, že téměř u všech projektů s vydaným právním aktem již byla zahájena fyzická realizace, před zahájením je pouze 1,13 % projektů. </w:t>
      </w:r>
      <w:r w:rsidRPr="00790BE2">
        <w:rPr>
          <w:b/>
        </w:rPr>
        <w:t>Nejvíce finančně ukončených projektů je v programu Potenciál</w:t>
      </w:r>
      <w:r>
        <w:t xml:space="preserve">, a to </w:t>
      </w:r>
      <w:r w:rsidRPr="00790BE2">
        <w:rPr>
          <w:b/>
        </w:rPr>
        <w:t>více než jedna třetina (34,56 %).</w:t>
      </w:r>
      <w:r>
        <w:t xml:space="preserve"> O něco méně je to v programu Inovace (29,51 %) a nejméně v programu Aplikace, kde bylo ukončených pouhých </w:t>
      </w:r>
      <w:r w:rsidRPr="00790BE2">
        <w:rPr>
          <w:b/>
        </w:rPr>
        <w:t>2,19</w:t>
      </w:r>
      <w:r w:rsidR="0063122F">
        <w:rPr>
          <w:b/>
        </w:rPr>
        <w:t> </w:t>
      </w:r>
      <w:r w:rsidRPr="0063122F">
        <w:rPr>
          <w:b/>
        </w:rPr>
        <w:t>%</w:t>
      </w:r>
      <w:r>
        <w:t xml:space="preserve"> projektů, což je ale dáno podmínkami výzvy. Jak již bylo uvedeno, v tomto programu je možná délka realizace projektu až 4 roky.</w:t>
      </w:r>
    </w:p>
    <w:p w14:paraId="55ED940C" w14:textId="77777777" w:rsidR="00B92790" w:rsidRDefault="00B92790" w:rsidP="00B92790">
      <w:pPr>
        <w:jc w:val="both"/>
        <w:rPr>
          <w:b/>
        </w:rPr>
      </w:pPr>
      <w:r>
        <w:t xml:space="preserve">Nízký počet ukončených projektů, na základě kterého není možné provést konečné vyhodnocení výsledků programů, je vzhledem k fázi programového období očekávatelný, proto je důležité se při hodnocení podívat i na </w:t>
      </w:r>
      <w:r w:rsidRPr="00790BE2">
        <w:rPr>
          <w:b/>
        </w:rPr>
        <w:t>stav projektů</w:t>
      </w:r>
      <w:r>
        <w:rPr>
          <w:b/>
        </w:rPr>
        <w:t xml:space="preserve"> z </w:t>
      </w:r>
      <w:r w:rsidRPr="00790BE2">
        <w:rPr>
          <w:b/>
        </w:rPr>
        <w:t xml:space="preserve">hlediska </w:t>
      </w:r>
      <w:proofErr w:type="spellStart"/>
      <w:r w:rsidRPr="00790BE2">
        <w:rPr>
          <w:b/>
        </w:rPr>
        <w:t>zazávazkovanosti</w:t>
      </w:r>
      <w:proofErr w:type="spellEnd"/>
      <w:r w:rsidRPr="00790BE2">
        <w:rPr>
          <w:b/>
        </w:rPr>
        <w:t xml:space="preserve"> alokace, resp. jejího předpokládaného čerpání vydaných právních aktů.</w:t>
      </w:r>
    </w:p>
    <w:p w14:paraId="165582C7" w14:textId="77777777" w:rsidR="00B92790" w:rsidRDefault="00B92790" w:rsidP="00B92790">
      <w:pPr>
        <w:jc w:val="both"/>
        <w:rPr>
          <w:b/>
        </w:rPr>
      </w:pPr>
      <w:r>
        <w:rPr>
          <w:b/>
        </w:rPr>
        <w:t>Plán výzev 2019</w:t>
      </w:r>
    </w:p>
    <w:p w14:paraId="6986CDC7" w14:textId="77777777" w:rsidR="00B92790" w:rsidRDefault="00B92790" w:rsidP="00B92790">
      <w:pPr>
        <w:jc w:val="both"/>
      </w:pPr>
      <w:r>
        <w:t>Na rok 2019 jsou plánovány výzvy č. VII. v programu Inovace (vyhlášení v květnu), Aplikace (červenec) a celkem 7 výzev ITI (leden – březen).</w:t>
      </w:r>
    </w:p>
    <w:p w14:paraId="7391420D" w14:textId="55E93B5B"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22</w:t>
      </w:r>
      <w:r>
        <w:fldChar w:fldCharType="end"/>
      </w:r>
      <w:r>
        <w:t xml:space="preserve"> - Předpoklad výzev na rok 2019</w:t>
      </w:r>
    </w:p>
    <w:tbl>
      <w:tblPr>
        <w:tblStyle w:val="Tabulkaseznamu3zvraznn11"/>
        <w:tblW w:w="0" w:type="auto"/>
        <w:tblBorders>
          <w:left w:val="none" w:sz="0" w:space="0" w:color="auto"/>
          <w:right w:val="none" w:sz="0" w:space="0" w:color="auto"/>
          <w:insideH w:val="single" w:sz="4" w:space="0" w:color="86BC25" w:themeColor="accent1"/>
        </w:tblBorders>
        <w:tblLook w:val="06A0" w:firstRow="1" w:lastRow="0" w:firstColumn="1" w:lastColumn="0" w:noHBand="1" w:noVBand="1"/>
      </w:tblPr>
      <w:tblGrid>
        <w:gridCol w:w="3514"/>
        <w:gridCol w:w="1398"/>
        <w:gridCol w:w="1403"/>
        <w:gridCol w:w="1679"/>
        <w:gridCol w:w="1644"/>
      </w:tblGrid>
      <w:tr w:rsidR="00B92790" w:rsidRPr="00165962" w14:paraId="4FF07396" w14:textId="77777777" w:rsidTr="00AA1E4E">
        <w:trPr>
          <w:cnfStyle w:val="100000000000" w:firstRow="1" w:lastRow="0" w:firstColumn="0" w:lastColumn="0" w:oddVBand="0" w:evenVBand="0" w:oddHBand="0" w:evenHBand="0" w:firstRowFirstColumn="0" w:firstRowLastColumn="0" w:lastRowFirstColumn="0" w:lastRowLastColumn="0"/>
          <w:trHeight w:val="687"/>
          <w:tblHeader/>
        </w:trPr>
        <w:tc>
          <w:tcPr>
            <w:cnfStyle w:val="001000000100" w:firstRow="0" w:lastRow="0" w:firstColumn="1" w:lastColumn="0" w:oddVBand="0" w:evenVBand="0" w:oddHBand="0" w:evenHBand="0" w:firstRowFirstColumn="1" w:firstRowLastColumn="0" w:lastRowFirstColumn="0" w:lastRowLastColumn="0"/>
            <w:tcW w:w="3652" w:type="dxa"/>
            <w:vAlign w:val="center"/>
          </w:tcPr>
          <w:p w14:paraId="269FE91B" w14:textId="77777777" w:rsidR="00B92790" w:rsidRPr="00184694" w:rsidRDefault="00B92790" w:rsidP="00B92790">
            <w:pPr>
              <w:spacing w:after="0" w:line="240" w:lineRule="auto"/>
              <w:rPr>
                <w:rFonts w:asciiTheme="minorHAnsi" w:eastAsia="Times New Roman" w:hAnsiTheme="minorHAnsi" w:cs="Calibri"/>
                <w:bCs w:val="0"/>
                <w:color w:val="FFFFFF"/>
                <w:lang w:eastAsia="cs-CZ"/>
              </w:rPr>
            </w:pPr>
            <w:r>
              <w:rPr>
                <w:rFonts w:asciiTheme="minorHAnsi" w:eastAsia="Times New Roman" w:hAnsiTheme="minorHAnsi" w:cs="Calibri"/>
                <w:bCs w:val="0"/>
                <w:color w:val="FFFFFF"/>
                <w:lang w:eastAsia="cs-CZ"/>
              </w:rPr>
              <w:t>Název výzvy</w:t>
            </w:r>
          </w:p>
        </w:tc>
        <w:tc>
          <w:tcPr>
            <w:tcW w:w="1418" w:type="dxa"/>
            <w:vAlign w:val="center"/>
          </w:tcPr>
          <w:p w14:paraId="5FBE785D" w14:textId="77777777" w:rsidR="00B92790" w:rsidRPr="00184694"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Pr>
                <w:rFonts w:asciiTheme="minorHAnsi" w:eastAsia="Times New Roman" w:hAnsiTheme="minorHAnsi" w:cs="Calibri"/>
                <w:color w:val="FFFFFF"/>
                <w:lang w:eastAsia="cs-CZ"/>
              </w:rPr>
              <w:t>Druh výzvy</w:t>
            </w:r>
          </w:p>
        </w:tc>
        <w:tc>
          <w:tcPr>
            <w:tcW w:w="1417" w:type="dxa"/>
            <w:vAlign w:val="center"/>
          </w:tcPr>
          <w:p w14:paraId="291C7389" w14:textId="77777777" w:rsidR="00B92790"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Pr>
                <w:rFonts w:asciiTheme="minorHAnsi" w:eastAsia="Times New Roman" w:hAnsiTheme="minorHAnsi" w:cs="Calibri"/>
                <w:color w:val="FFFFFF"/>
                <w:lang w:eastAsia="cs-CZ"/>
              </w:rPr>
              <w:t xml:space="preserve">Alokace </w:t>
            </w:r>
          </w:p>
          <w:p w14:paraId="438909E3" w14:textId="77777777" w:rsidR="00B92790" w:rsidRPr="00184694"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Pr>
                <w:rFonts w:asciiTheme="minorHAnsi" w:eastAsia="Times New Roman" w:hAnsiTheme="minorHAnsi" w:cs="Calibri"/>
                <w:color w:val="FFFFFF"/>
                <w:lang w:eastAsia="cs-CZ"/>
              </w:rPr>
              <w:t>(tis. Kč)</w:t>
            </w:r>
          </w:p>
        </w:tc>
        <w:tc>
          <w:tcPr>
            <w:tcW w:w="1701" w:type="dxa"/>
            <w:vAlign w:val="center"/>
          </w:tcPr>
          <w:p w14:paraId="7B4D2F5D" w14:textId="77777777" w:rsidR="00B92790" w:rsidRPr="00184694"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Pr>
                <w:rFonts w:asciiTheme="minorHAnsi" w:eastAsia="Times New Roman" w:hAnsiTheme="minorHAnsi" w:cs="Calibri"/>
                <w:color w:val="FFFFFF"/>
                <w:lang w:eastAsia="cs-CZ"/>
              </w:rPr>
              <w:t>Model hodnocení</w:t>
            </w:r>
          </w:p>
        </w:tc>
        <w:tc>
          <w:tcPr>
            <w:tcW w:w="1666" w:type="dxa"/>
            <w:vAlign w:val="center"/>
          </w:tcPr>
          <w:p w14:paraId="5B1F042F" w14:textId="77777777" w:rsidR="00B92790" w:rsidRPr="00184694"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lang w:eastAsia="cs-CZ"/>
              </w:rPr>
            </w:pPr>
            <w:r>
              <w:rPr>
                <w:rFonts w:asciiTheme="minorHAnsi" w:eastAsia="Times New Roman" w:hAnsiTheme="minorHAnsi" w:cs="Calibri"/>
                <w:color w:val="FFFFFF"/>
                <w:lang w:eastAsia="cs-CZ"/>
              </w:rPr>
              <w:t>Plánované datum vyhlášení</w:t>
            </w:r>
          </w:p>
        </w:tc>
      </w:tr>
      <w:tr w:rsidR="00B92790" w:rsidRPr="00165962" w14:paraId="14F72517" w14:textId="77777777" w:rsidTr="00AA1E4E">
        <w:trPr>
          <w:trHeight w:val="373"/>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568F2CA3" w14:textId="77777777" w:rsidR="00B92790" w:rsidRPr="00AA1E4E" w:rsidRDefault="00B92790" w:rsidP="00B92790">
            <w:pPr>
              <w:spacing w:after="0" w:line="240" w:lineRule="auto"/>
              <w:rPr>
                <w:rFonts w:asciiTheme="minorHAnsi" w:eastAsia="Times New Roman" w:hAnsiTheme="minorHAnsi" w:cs="Arial"/>
                <w:b w:val="0"/>
                <w:color w:val="000000"/>
                <w:szCs w:val="18"/>
                <w:lang w:eastAsia="cs-CZ"/>
              </w:rPr>
            </w:pPr>
            <w:r w:rsidRPr="00AA1E4E">
              <w:rPr>
                <w:rFonts w:asciiTheme="minorHAnsi" w:eastAsia="Times New Roman" w:hAnsiTheme="minorHAnsi" w:cs="Arial"/>
                <w:b w:val="0"/>
                <w:color w:val="000000"/>
                <w:szCs w:val="18"/>
                <w:lang w:eastAsia="cs-CZ"/>
              </w:rPr>
              <w:t>Výzva VII. INOVACE - Inovační projekt</w:t>
            </w:r>
          </w:p>
        </w:tc>
        <w:tc>
          <w:tcPr>
            <w:tcW w:w="1418" w:type="dxa"/>
            <w:vAlign w:val="center"/>
            <w:hideMark/>
          </w:tcPr>
          <w:p w14:paraId="4DB05FAD"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průběžná</w:t>
            </w:r>
          </w:p>
        </w:tc>
        <w:tc>
          <w:tcPr>
            <w:tcW w:w="1417" w:type="dxa"/>
            <w:vAlign w:val="center"/>
            <w:hideMark/>
          </w:tcPr>
          <w:p w14:paraId="0253505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Cs w:val="18"/>
                <w:lang w:eastAsia="cs-CZ"/>
              </w:rPr>
            </w:pPr>
            <w:r w:rsidRPr="00184694">
              <w:rPr>
                <w:rFonts w:asciiTheme="minorHAnsi" w:eastAsia="Times New Roman" w:hAnsiTheme="minorHAnsi" w:cs="Arial"/>
                <w:color w:val="000000"/>
                <w:szCs w:val="18"/>
                <w:lang w:eastAsia="cs-CZ"/>
              </w:rPr>
              <w:t>bude upřesněno</w:t>
            </w:r>
          </w:p>
        </w:tc>
        <w:tc>
          <w:tcPr>
            <w:tcW w:w="1701" w:type="dxa"/>
            <w:vAlign w:val="center"/>
            <w:hideMark/>
          </w:tcPr>
          <w:p w14:paraId="513E8B19"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jednokolový</w:t>
            </w:r>
          </w:p>
        </w:tc>
        <w:tc>
          <w:tcPr>
            <w:tcW w:w="1666" w:type="dxa"/>
            <w:vAlign w:val="center"/>
            <w:hideMark/>
          </w:tcPr>
          <w:p w14:paraId="676B2855"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6.</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5.</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2019</w:t>
            </w:r>
          </w:p>
        </w:tc>
      </w:tr>
      <w:tr w:rsidR="00B92790" w:rsidRPr="00165962" w14:paraId="74665557" w14:textId="77777777" w:rsidTr="00AA1E4E">
        <w:trPr>
          <w:trHeight w:val="239"/>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68569F85" w14:textId="77777777" w:rsidR="00B92790" w:rsidRPr="00AA1E4E" w:rsidRDefault="00B92790" w:rsidP="00B92790">
            <w:pPr>
              <w:spacing w:after="0" w:line="240" w:lineRule="auto"/>
              <w:rPr>
                <w:rFonts w:asciiTheme="minorHAnsi" w:eastAsia="Times New Roman" w:hAnsiTheme="minorHAnsi" w:cs="Arial"/>
                <w:b w:val="0"/>
                <w:color w:val="000000"/>
                <w:szCs w:val="18"/>
                <w:lang w:eastAsia="cs-CZ"/>
              </w:rPr>
            </w:pPr>
            <w:r w:rsidRPr="00AA1E4E">
              <w:rPr>
                <w:rFonts w:asciiTheme="minorHAnsi" w:eastAsia="Times New Roman" w:hAnsiTheme="minorHAnsi" w:cs="Arial"/>
                <w:b w:val="0"/>
                <w:color w:val="000000"/>
                <w:szCs w:val="18"/>
                <w:lang w:eastAsia="cs-CZ"/>
              </w:rPr>
              <w:t>Výzva VII. APLIKACE</w:t>
            </w:r>
          </w:p>
        </w:tc>
        <w:tc>
          <w:tcPr>
            <w:tcW w:w="1418" w:type="dxa"/>
            <w:vAlign w:val="center"/>
            <w:hideMark/>
          </w:tcPr>
          <w:p w14:paraId="5E32AC0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kolová</w:t>
            </w:r>
          </w:p>
        </w:tc>
        <w:tc>
          <w:tcPr>
            <w:tcW w:w="1417" w:type="dxa"/>
            <w:vAlign w:val="center"/>
            <w:hideMark/>
          </w:tcPr>
          <w:p w14:paraId="58FF366E"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Cs w:val="18"/>
                <w:lang w:eastAsia="cs-CZ"/>
              </w:rPr>
            </w:pPr>
            <w:r w:rsidRPr="00184694">
              <w:rPr>
                <w:rFonts w:asciiTheme="minorHAnsi" w:eastAsia="Times New Roman" w:hAnsiTheme="minorHAnsi" w:cs="Arial"/>
                <w:color w:val="000000"/>
                <w:szCs w:val="18"/>
                <w:lang w:eastAsia="cs-CZ"/>
              </w:rPr>
              <w:t>1</w:t>
            </w:r>
            <w:r>
              <w:rPr>
                <w:rFonts w:asciiTheme="minorHAnsi" w:eastAsia="Times New Roman" w:hAnsiTheme="minorHAnsi" w:cs="Arial"/>
                <w:color w:val="000000"/>
                <w:szCs w:val="18"/>
                <w:lang w:eastAsia="cs-CZ"/>
              </w:rPr>
              <w:t> </w:t>
            </w:r>
            <w:r w:rsidRPr="00184694">
              <w:rPr>
                <w:rFonts w:asciiTheme="minorHAnsi" w:eastAsia="Times New Roman" w:hAnsiTheme="minorHAnsi" w:cs="Arial"/>
                <w:color w:val="000000"/>
                <w:szCs w:val="18"/>
                <w:lang w:eastAsia="cs-CZ"/>
              </w:rPr>
              <w:t>000</w:t>
            </w:r>
            <w:r>
              <w:rPr>
                <w:rFonts w:asciiTheme="minorHAnsi" w:eastAsia="Times New Roman" w:hAnsiTheme="minorHAnsi" w:cs="Arial"/>
                <w:color w:val="000000"/>
                <w:szCs w:val="18"/>
                <w:lang w:eastAsia="cs-CZ"/>
              </w:rPr>
              <w:t xml:space="preserve"> </w:t>
            </w:r>
            <w:r w:rsidRPr="00184694">
              <w:rPr>
                <w:rFonts w:asciiTheme="minorHAnsi" w:eastAsia="Times New Roman" w:hAnsiTheme="minorHAnsi" w:cs="Arial"/>
                <w:color w:val="000000"/>
                <w:szCs w:val="18"/>
                <w:lang w:eastAsia="cs-CZ"/>
              </w:rPr>
              <w:t xml:space="preserve">000 </w:t>
            </w:r>
          </w:p>
        </w:tc>
        <w:tc>
          <w:tcPr>
            <w:tcW w:w="1701" w:type="dxa"/>
            <w:vAlign w:val="center"/>
            <w:hideMark/>
          </w:tcPr>
          <w:p w14:paraId="51D7ED48"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jednokolový</w:t>
            </w:r>
          </w:p>
        </w:tc>
        <w:tc>
          <w:tcPr>
            <w:tcW w:w="1666" w:type="dxa"/>
            <w:vAlign w:val="center"/>
            <w:hideMark/>
          </w:tcPr>
          <w:p w14:paraId="63B6BC65"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1.</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7.</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2019</w:t>
            </w:r>
          </w:p>
        </w:tc>
      </w:tr>
      <w:tr w:rsidR="00B92790" w:rsidRPr="004B51AA" w14:paraId="70E3CF4E" w14:textId="77777777" w:rsidTr="00AA1E4E">
        <w:trPr>
          <w:trHeight w:val="271"/>
        </w:trPr>
        <w:tc>
          <w:tcPr>
            <w:cnfStyle w:val="001000000000" w:firstRow="0" w:lastRow="0" w:firstColumn="1" w:lastColumn="0" w:oddVBand="0" w:evenVBand="0" w:oddHBand="0" w:evenHBand="0" w:firstRowFirstColumn="0" w:firstRowLastColumn="0" w:lastRowFirstColumn="0" w:lastRowLastColumn="0"/>
            <w:tcW w:w="3652" w:type="dxa"/>
            <w:vAlign w:val="center"/>
          </w:tcPr>
          <w:p w14:paraId="14E4E4F7" w14:textId="77777777" w:rsidR="00B92790" w:rsidRPr="00AA1E4E" w:rsidRDefault="00B92790" w:rsidP="00B92790">
            <w:pPr>
              <w:spacing w:after="0" w:line="240" w:lineRule="auto"/>
              <w:rPr>
                <w:rFonts w:asciiTheme="minorHAnsi" w:hAnsiTheme="minorHAnsi"/>
                <w:b w:val="0"/>
                <w:bCs w:val="0"/>
                <w:szCs w:val="18"/>
              </w:rPr>
            </w:pPr>
            <w:r w:rsidRPr="00AA1E4E">
              <w:rPr>
                <w:rFonts w:asciiTheme="minorHAnsi" w:hAnsiTheme="minorHAnsi"/>
                <w:b w:val="0"/>
                <w:bCs w:val="0"/>
                <w:szCs w:val="18"/>
              </w:rPr>
              <w:t>II. Výzva Inovace - Inovační projekt - ITI Olomouc</w:t>
            </w:r>
          </w:p>
        </w:tc>
        <w:tc>
          <w:tcPr>
            <w:tcW w:w="1418" w:type="dxa"/>
            <w:vAlign w:val="center"/>
          </w:tcPr>
          <w:p w14:paraId="2C30A309"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průběžná</w:t>
            </w:r>
          </w:p>
        </w:tc>
        <w:tc>
          <w:tcPr>
            <w:tcW w:w="1417" w:type="dxa"/>
            <w:vAlign w:val="center"/>
          </w:tcPr>
          <w:p w14:paraId="60EB58C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128 000</w:t>
            </w:r>
          </w:p>
        </w:tc>
        <w:tc>
          <w:tcPr>
            <w:tcW w:w="1701" w:type="dxa"/>
            <w:vAlign w:val="center"/>
          </w:tcPr>
          <w:p w14:paraId="3FBA83B8"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jednokolový</w:t>
            </w:r>
          </w:p>
        </w:tc>
        <w:tc>
          <w:tcPr>
            <w:tcW w:w="1666" w:type="dxa"/>
            <w:vAlign w:val="center"/>
          </w:tcPr>
          <w:p w14:paraId="715BFC1D"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23.</w:t>
            </w:r>
            <w:r>
              <w:rPr>
                <w:rFonts w:asciiTheme="minorHAnsi" w:hAnsiTheme="minorHAnsi"/>
                <w:szCs w:val="18"/>
              </w:rPr>
              <w:t xml:space="preserve"> </w:t>
            </w:r>
            <w:r w:rsidRPr="00184694">
              <w:rPr>
                <w:rFonts w:asciiTheme="minorHAnsi" w:hAnsiTheme="minorHAnsi"/>
                <w:szCs w:val="18"/>
              </w:rPr>
              <w:t>1.</w:t>
            </w:r>
            <w:r>
              <w:rPr>
                <w:rFonts w:asciiTheme="minorHAnsi" w:hAnsiTheme="minorHAnsi"/>
                <w:szCs w:val="18"/>
              </w:rPr>
              <w:t xml:space="preserve"> </w:t>
            </w:r>
            <w:r w:rsidRPr="00184694">
              <w:rPr>
                <w:rFonts w:asciiTheme="minorHAnsi" w:hAnsiTheme="minorHAnsi"/>
                <w:szCs w:val="18"/>
              </w:rPr>
              <w:t>2019</w:t>
            </w:r>
          </w:p>
        </w:tc>
      </w:tr>
      <w:tr w:rsidR="00B92790" w:rsidRPr="004B51AA" w14:paraId="1F43AD02" w14:textId="77777777" w:rsidTr="00AA1E4E">
        <w:trPr>
          <w:trHeight w:val="259"/>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6E94DD64" w14:textId="77777777" w:rsidR="00B92790" w:rsidRPr="00AA1E4E" w:rsidRDefault="00B92790" w:rsidP="00B92790">
            <w:pPr>
              <w:spacing w:after="0" w:line="240" w:lineRule="auto"/>
              <w:rPr>
                <w:rFonts w:asciiTheme="minorHAnsi" w:hAnsiTheme="minorHAnsi"/>
                <w:b w:val="0"/>
                <w:bCs w:val="0"/>
                <w:szCs w:val="18"/>
              </w:rPr>
            </w:pPr>
            <w:r w:rsidRPr="00AA1E4E">
              <w:rPr>
                <w:rFonts w:asciiTheme="minorHAnsi" w:hAnsiTheme="minorHAnsi"/>
                <w:b w:val="0"/>
                <w:bCs w:val="0"/>
                <w:szCs w:val="18"/>
              </w:rPr>
              <w:t>I. Výzva Aplikace ITI Ostrava</w:t>
            </w:r>
          </w:p>
        </w:tc>
        <w:tc>
          <w:tcPr>
            <w:tcW w:w="1418" w:type="dxa"/>
            <w:vAlign w:val="center"/>
            <w:hideMark/>
          </w:tcPr>
          <w:p w14:paraId="5FFE417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průběžná</w:t>
            </w:r>
          </w:p>
        </w:tc>
        <w:tc>
          <w:tcPr>
            <w:tcW w:w="1417" w:type="dxa"/>
            <w:vAlign w:val="center"/>
            <w:hideMark/>
          </w:tcPr>
          <w:p w14:paraId="38230B23"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106 800</w:t>
            </w:r>
          </w:p>
        </w:tc>
        <w:tc>
          <w:tcPr>
            <w:tcW w:w="1701" w:type="dxa"/>
            <w:vAlign w:val="center"/>
            <w:hideMark/>
          </w:tcPr>
          <w:p w14:paraId="336F166E"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jednokolový</w:t>
            </w:r>
          </w:p>
        </w:tc>
        <w:tc>
          <w:tcPr>
            <w:tcW w:w="1666" w:type="dxa"/>
            <w:vAlign w:val="center"/>
            <w:hideMark/>
          </w:tcPr>
          <w:p w14:paraId="47BC5633"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15.</w:t>
            </w:r>
            <w:r>
              <w:rPr>
                <w:rFonts w:asciiTheme="minorHAnsi" w:hAnsiTheme="minorHAnsi"/>
                <w:szCs w:val="18"/>
              </w:rPr>
              <w:t xml:space="preserve"> </w:t>
            </w:r>
            <w:r w:rsidRPr="00184694">
              <w:rPr>
                <w:rFonts w:asciiTheme="minorHAnsi" w:hAnsiTheme="minorHAnsi"/>
                <w:szCs w:val="18"/>
              </w:rPr>
              <w:t>1.</w:t>
            </w:r>
            <w:r>
              <w:rPr>
                <w:rFonts w:asciiTheme="minorHAnsi" w:hAnsiTheme="minorHAnsi"/>
                <w:szCs w:val="18"/>
              </w:rPr>
              <w:t xml:space="preserve"> </w:t>
            </w:r>
            <w:r w:rsidRPr="00184694">
              <w:rPr>
                <w:rFonts w:asciiTheme="minorHAnsi" w:hAnsiTheme="minorHAnsi"/>
                <w:szCs w:val="18"/>
              </w:rPr>
              <w:t>2019</w:t>
            </w:r>
          </w:p>
        </w:tc>
      </w:tr>
      <w:tr w:rsidR="00B92790" w:rsidRPr="004B51AA" w14:paraId="3625EA32" w14:textId="77777777" w:rsidTr="00AA1E4E">
        <w:trPr>
          <w:trHeight w:val="284"/>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0250EE56" w14:textId="77777777" w:rsidR="00B92790" w:rsidRPr="00AA1E4E" w:rsidRDefault="00B92790" w:rsidP="00B92790">
            <w:pPr>
              <w:spacing w:after="0" w:line="240" w:lineRule="auto"/>
              <w:rPr>
                <w:rFonts w:asciiTheme="minorHAnsi" w:hAnsiTheme="minorHAnsi"/>
                <w:b w:val="0"/>
                <w:bCs w:val="0"/>
                <w:szCs w:val="18"/>
              </w:rPr>
            </w:pPr>
            <w:r w:rsidRPr="00AA1E4E">
              <w:rPr>
                <w:rFonts w:asciiTheme="minorHAnsi" w:hAnsiTheme="minorHAnsi"/>
                <w:b w:val="0"/>
                <w:bCs w:val="0"/>
                <w:szCs w:val="18"/>
              </w:rPr>
              <w:t>II. výzva Potenciál - ITI Hradec-Pardubice</w:t>
            </w:r>
          </w:p>
        </w:tc>
        <w:tc>
          <w:tcPr>
            <w:tcW w:w="1418" w:type="dxa"/>
            <w:vAlign w:val="center"/>
            <w:hideMark/>
          </w:tcPr>
          <w:p w14:paraId="75D40D17"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průběžná</w:t>
            </w:r>
          </w:p>
        </w:tc>
        <w:tc>
          <w:tcPr>
            <w:tcW w:w="1417" w:type="dxa"/>
            <w:vAlign w:val="center"/>
            <w:hideMark/>
          </w:tcPr>
          <w:p w14:paraId="63071FDF"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75 000</w:t>
            </w:r>
          </w:p>
        </w:tc>
        <w:tc>
          <w:tcPr>
            <w:tcW w:w="1701" w:type="dxa"/>
            <w:vAlign w:val="center"/>
            <w:hideMark/>
          </w:tcPr>
          <w:p w14:paraId="235E89CD"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jednokolový</w:t>
            </w:r>
          </w:p>
        </w:tc>
        <w:tc>
          <w:tcPr>
            <w:tcW w:w="1666" w:type="dxa"/>
            <w:vAlign w:val="center"/>
            <w:hideMark/>
          </w:tcPr>
          <w:p w14:paraId="7CD94480"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23.</w:t>
            </w:r>
            <w:r>
              <w:rPr>
                <w:rFonts w:asciiTheme="minorHAnsi" w:hAnsiTheme="minorHAnsi"/>
                <w:szCs w:val="18"/>
              </w:rPr>
              <w:t xml:space="preserve"> </w:t>
            </w:r>
            <w:r w:rsidRPr="00184694">
              <w:rPr>
                <w:rFonts w:asciiTheme="minorHAnsi" w:hAnsiTheme="minorHAnsi"/>
                <w:szCs w:val="18"/>
              </w:rPr>
              <w:t>1.</w:t>
            </w:r>
            <w:r>
              <w:rPr>
                <w:rFonts w:asciiTheme="minorHAnsi" w:hAnsiTheme="minorHAnsi"/>
                <w:szCs w:val="18"/>
              </w:rPr>
              <w:t xml:space="preserve"> </w:t>
            </w:r>
            <w:r w:rsidRPr="00184694">
              <w:rPr>
                <w:rFonts w:asciiTheme="minorHAnsi" w:hAnsiTheme="minorHAnsi"/>
                <w:szCs w:val="18"/>
              </w:rPr>
              <w:t>2019</w:t>
            </w:r>
          </w:p>
        </w:tc>
      </w:tr>
      <w:tr w:rsidR="00B92790" w:rsidRPr="004B51AA" w14:paraId="51BDC9A4" w14:textId="77777777" w:rsidTr="00AA1E4E">
        <w:trPr>
          <w:trHeight w:val="146"/>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67965834" w14:textId="77777777" w:rsidR="00B92790" w:rsidRPr="00AA1E4E" w:rsidRDefault="00B92790" w:rsidP="00B92790">
            <w:pPr>
              <w:spacing w:after="0" w:line="240" w:lineRule="auto"/>
              <w:rPr>
                <w:rFonts w:asciiTheme="minorHAnsi" w:hAnsiTheme="minorHAnsi"/>
                <w:b w:val="0"/>
                <w:bCs w:val="0"/>
                <w:szCs w:val="18"/>
              </w:rPr>
            </w:pPr>
            <w:r w:rsidRPr="00AA1E4E">
              <w:rPr>
                <w:rFonts w:asciiTheme="minorHAnsi" w:hAnsiTheme="minorHAnsi"/>
                <w:b w:val="0"/>
                <w:bCs w:val="0"/>
                <w:szCs w:val="18"/>
              </w:rPr>
              <w:t>II. výzva Potenciál - ITI Olomouc</w:t>
            </w:r>
          </w:p>
        </w:tc>
        <w:tc>
          <w:tcPr>
            <w:tcW w:w="1418" w:type="dxa"/>
            <w:vAlign w:val="center"/>
            <w:hideMark/>
          </w:tcPr>
          <w:p w14:paraId="0DC2AD24"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průběžná</w:t>
            </w:r>
          </w:p>
        </w:tc>
        <w:tc>
          <w:tcPr>
            <w:tcW w:w="1417" w:type="dxa"/>
            <w:vAlign w:val="center"/>
            <w:hideMark/>
          </w:tcPr>
          <w:p w14:paraId="0079074A"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150 000</w:t>
            </w:r>
          </w:p>
        </w:tc>
        <w:tc>
          <w:tcPr>
            <w:tcW w:w="1701" w:type="dxa"/>
            <w:vAlign w:val="center"/>
            <w:hideMark/>
          </w:tcPr>
          <w:p w14:paraId="3E1940C1"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jednokolový</w:t>
            </w:r>
          </w:p>
        </w:tc>
        <w:tc>
          <w:tcPr>
            <w:tcW w:w="1666" w:type="dxa"/>
            <w:vAlign w:val="center"/>
            <w:hideMark/>
          </w:tcPr>
          <w:p w14:paraId="69D5FFA8"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23.</w:t>
            </w:r>
            <w:r>
              <w:rPr>
                <w:rFonts w:asciiTheme="minorHAnsi" w:hAnsiTheme="minorHAnsi"/>
                <w:szCs w:val="18"/>
              </w:rPr>
              <w:t xml:space="preserve"> </w:t>
            </w:r>
            <w:r w:rsidRPr="00184694">
              <w:rPr>
                <w:rFonts w:asciiTheme="minorHAnsi" w:hAnsiTheme="minorHAnsi"/>
                <w:szCs w:val="18"/>
              </w:rPr>
              <w:t>1.</w:t>
            </w:r>
            <w:r>
              <w:rPr>
                <w:rFonts w:asciiTheme="minorHAnsi" w:hAnsiTheme="minorHAnsi"/>
                <w:szCs w:val="18"/>
              </w:rPr>
              <w:t xml:space="preserve"> </w:t>
            </w:r>
            <w:r w:rsidRPr="00184694">
              <w:rPr>
                <w:rFonts w:asciiTheme="minorHAnsi" w:hAnsiTheme="minorHAnsi"/>
                <w:szCs w:val="18"/>
              </w:rPr>
              <w:t>2019</w:t>
            </w:r>
          </w:p>
        </w:tc>
      </w:tr>
      <w:tr w:rsidR="00B92790" w:rsidRPr="004B51AA" w14:paraId="13E360B8" w14:textId="77777777" w:rsidTr="00AA1E4E">
        <w:trPr>
          <w:trHeight w:val="424"/>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78ED6AD9" w14:textId="77777777" w:rsidR="00B92790" w:rsidRPr="00AA1E4E" w:rsidRDefault="00B92790" w:rsidP="00B92790">
            <w:pPr>
              <w:spacing w:after="0" w:line="240" w:lineRule="auto"/>
              <w:rPr>
                <w:rFonts w:asciiTheme="minorHAnsi" w:hAnsiTheme="minorHAnsi"/>
                <w:b w:val="0"/>
                <w:bCs w:val="0"/>
                <w:szCs w:val="18"/>
              </w:rPr>
            </w:pPr>
            <w:r w:rsidRPr="00AA1E4E">
              <w:rPr>
                <w:rFonts w:asciiTheme="minorHAnsi" w:hAnsiTheme="minorHAnsi"/>
                <w:b w:val="0"/>
                <w:bCs w:val="0"/>
                <w:szCs w:val="18"/>
              </w:rPr>
              <w:t>II. Výzva Inovace - Inovační projekt - ITI Hradec-Pardubice</w:t>
            </w:r>
          </w:p>
        </w:tc>
        <w:tc>
          <w:tcPr>
            <w:tcW w:w="1418" w:type="dxa"/>
            <w:vAlign w:val="center"/>
            <w:hideMark/>
          </w:tcPr>
          <w:p w14:paraId="4728F19B"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průběžná</w:t>
            </w:r>
          </w:p>
        </w:tc>
        <w:tc>
          <w:tcPr>
            <w:tcW w:w="1417" w:type="dxa"/>
            <w:vAlign w:val="center"/>
            <w:hideMark/>
          </w:tcPr>
          <w:p w14:paraId="08C99B02"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50</w:t>
            </w:r>
            <w:r>
              <w:rPr>
                <w:rFonts w:asciiTheme="minorHAnsi" w:hAnsiTheme="minorHAnsi"/>
                <w:szCs w:val="18"/>
              </w:rPr>
              <w:t> </w:t>
            </w:r>
            <w:r w:rsidRPr="00184694">
              <w:rPr>
                <w:rFonts w:asciiTheme="minorHAnsi" w:hAnsiTheme="minorHAnsi"/>
                <w:szCs w:val="18"/>
              </w:rPr>
              <w:t>503</w:t>
            </w:r>
            <w:r>
              <w:rPr>
                <w:rFonts w:asciiTheme="minorHAnsi" w:hAnsiTheme="minorHAnsi"/>
                <w:szCs w:val="18"/>
              </w:rPr>
              <w:t>,</w:t>
            </w:r>
            <w:r w:rsidRPr="00184694">
              <w:rPr>
                <w:rFonts w:asciiTheme="minorHAnsi" w:hAnsiTheme="minorHAnsi"/>
                <w:szCs w:val="18"/>
              </w:rPr>
              <w:t>5</w:t>
            </w:r>
          </w:p>
        </w:tc>
        <w:tc>
          <w:tcPr>
            <w:tcW w:w="1701" w:type="dxa"/>
            <w:vAlign w:val="center"/>
            <w:hideMark/>
          </w:tcPr>
          <w:p w14:paraId="394C4B15"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jednokolový</w:t>
            </w:r>
          </w:p>
        </w:tc>
        <w:tc>
          <w:tcPr>
            <w:tcW w:w="1666" w:type="dxa"/>
            <w:vAlign w:val="center"/>
            <w:hideMark/>
          </w:tcPr>
          <w:p w14:paraId="3EE936AD"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184694">
              <w:rPr>
                <w:rFonts w:asciiTheme="minorHAnsi" w:hAnsiTheme="minorHAnsi"/>
                <w:szCs w:val="18"/>
              </w:rPr>
              <w:t>23.</w:t>
            </w:r>
            <w:r>
              <w:rPr>
                <w:rFonts w:asciiTheme="minorHAnsi" w:hAnsiTheme="minorHAnsi"/>
                <w:szCs w:val="18"/>
              </w:rPr>
              <w:t xml:space="preserve"> </w:t>
            </w:r>
            <w:r w:rsidRPr="00184694">
              <w:rPr>
                <w:rFonts w:asciiTheme="minorHAnsi" w:hAnsiTheme="minorHAnsi"/>
                <w:szCs w:val="18"/>
              </w:rPr>
              <w:t>1.</w:t>
            </w:r>
            <w:r>
              <w:rPr>
                <w:rFonts w:asciiTheme="minorHAnsi" w:hAnsiTheme="minorHAnsi"/>
                <w:szCs w:val="18"/>
              </w:rPr>
              <w:t xml:space="preserve"> </w:t>
            </w:r>
            <w:r w:rsidRPr="00184694">
              <w:rPr>
                <w:rFonts w:asciiTheme="minorHAnsi" w:hAnsiTheme="minorHAnsi"/>
                <w:szCs w:val="18"/>
              </w:rPr>
              <w:t>2019</w:t>
            </w:r>
          </w:p>
        </w:tc>
      </w:tr>
      <w:tr w:rsidR="00B92790" w:rsidRPr="00165962" w14:paraId="7300D4FC" w14:textId="77777777" w:rsidTr="00AA1E4E">
        <w:trPr>
          <w:trHeight w:val="312"/>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15022C77" w14:textId="77777777" w:rsidR="00B92790" w:rsidRPr="00AA1E4E" w:rsidRDefault="00B92790" w:rsidP="00B92790">
            <w:pPr>
              <w:spacing w:after="0" w:line="240" w:lineRule="auto"/>
              <w:rPr>
                <w:rFonts w:asciiTheme="minorHAnsi" w:eastAsia="Times New Roman" w:hAnsiTheme="minorHAnsi" w:cs="Arial"/>
                <w:b w:val="0"/>
                <w:color w:val="auto"/>
                <w:szCs w:val="18"/>
                <w:lang w:eastAsia="cs-CZ"/>
              </w:rPr>
            </w:pPr>
            <w:r w:rsidRPr="00AA1E4E">
              <w:rPr>
                <w:rFonts w:asciiTheme="minorHAnsi" w:eastAsia="Times New Roman" w:hAnsiTheme="minorHAnsi" w:cs="Arial"/>
                <w:b w:val="0"/>
                <w:color w:val="auto"/>
                <w:szCs w:val="18"/>
                <w:lang w:eastAsia="cs-CZ"/>
              </w:rPr>
              <w:t>II. Výzva Aplikace ITI Olomouc</w:t>
            </w:r>
          </w:p>
        </w:tc>
        <w:tc>
          <w:tcPr>
            <w:tcW w:w="1418" w:type="dxa"/>
            <w:vAlign w:val="center"/>
            <w:hideMark/>
          </w:tcPr>
          <w:p w14:paraId="0F709ED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průběžná</w:t>
            </w:r>
          </w:p>
        </w:tc>
        <w:tc>
          <w:tcPr>
            <w:tcW w:w="1417" w:type="dxa"/>
            <w:vAlign w:val="center"/>
            <w:hideMark/>
          </w:tcPr>
          <w:p w14:paraId="6E8B184A"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Cs w:val="18"/>
                <w:lang w:eastAsia="cs-CZ"/>
              </w:rPr>
            </w:pPr>
            <w:r w:rsidRPr="00184694">
              <w:rPr>
                <w:rFonts w:asciiTheme="minorHAnsi" w:eastAsia="Times New Roman" w:hAnsiTheme="minorHAnsi" w:cs="Arial"/>
                <w:color w:val="000000"/>
                <w:szCs w:val="18"/>
                <w:lang w:eastAsia="cs-CZ"/>
              </w:rPr>
              <w:t>100 000</w:t>
            </w:r>
          </w:p>
        </w:tc>
        <w:tc>
          <w:tcPr>
            <w:tcW w:w="1701" w:type="dxa"/>
            <w:vAlign w:val="center"/>
            <w:hideMark/>
          </w:tcPr>
          <w:p w14:paraId="692FBBD4"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jednokolový</w:t>
            </w:r>
          </w:p>
        </w:tc>
        <w:tc>
          <w:tcPr>
            <w:tcW w:w="1666" w:type="dxa"/>
            <w:vAlign w:val="center"/>
            <w:hideMark/>
          </w:tcPr>
          <w:p w14:paraId="6745920C"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Cs w:val="18"/>
                <w:lang w:eastAsia="cs-CZ"/>
              </w:rPr>
            </w:pPr>
            <w:r w:rsidRPr="00184694">
              <w:rPr>
                <w:rFonts w:asciiTheme="minorHAnsi" w:eastAsia="Times New Roman" w:hAnsiTheme="minorHAnsi" w:cs="Arial"/>
                <w:color w:val="000000"/>
                <w:szCs w:val="18"/>
                <w:lang w:eastAsia="cs-CZ"/>
              </w:rPr>
              <w:t>6.</w:t>
            </w:r>
            <w:r>
              <w:rPr>
                <w:rFonts w:asciiTheme="minorHAnsi" w:eastAsia="Times New Roman" w:hAnsiTheme="minorHAnsi" w:cs="Arial"/>
                <w:color w:val="000000"/>
                <w:szCs w:val="18"/>
                <w:lang w:eastAsia="cs-CZ"/>
              </w:rPr>
              <w:t xml:space="preserve"> </w:t>
            </w:r>
            <w:r w:rsidRPr="00184694">
              <w:rPr>
                <w:rFonts w:asciiTheme="minorHAnsi" w:eastAsia="Times New Roman" w:hAnsiTheme="minorHAnsi" w:cs="Arial"/>
                <w:color w:val="000000"/>
                <w:szCs w:val="18"/>
                <w:lang w:eastAsia="cs-CZ"/>
              </w:rPr>
              <w:t>2.</w:t>
            </w:r>
            <w:r>
              <w:rPr>
                <w:rFonts w:asciiTheme="minorHAnsi" w:eastAsia="Times New Roman" w:hAnsiTheme="minorHAnsi" w:cs="Arial"/>
                <w:color w:val="000000"/>
                <w:szCs w:val="18"/>
                <w:lang w:eastAsia="cs-CZ"/>
              </w:rPr>
              <w:t xml:space="preserve"> </w:t>
            </w:r>
            <w:r w:rsidRPr="00184694">
              <w:rPr>
                <w:rFonts w:asciiTheme="minorHAnsi" w:eastAsia="Times New Roman" w:hAnsiTheme="minorHAnsi" w:cs="Arial"/>
                <w:color w:val="000000"/>
                <w:szCs w:val="18"/>
                <w:lang w:eastAsia="cs-CZ"/>
              </w:rPr>
              <w:t>2019</w:t>
            </w:r>
          </w:p>
        </w:tc>
      </w:tr>
      <w:tr w:rsidR="00B92790" w:rsidRPr="00165962" w14:paraId="7A6B0CDD" w14:textId="77777777" w:rsidTr="00AA1E4E">
        <w:trPr>
          <w:trHeight w:val="273"/>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14:paraId="01F7C6B4" w14:textId="77777777" w:rsidR="00B92790" w:rsidRPr="00AA1E4E" w:rsidRDefault="00B92790" w:rsidP="00B92790">
            <w:pPr>
              <w:spacing w:after="0" w:line="240" w:lineRule="auto"/>
              <w:rPr>
                <w:rFonts w:asciiTheme="minorHAnsi" w:eastAsia="Times New Roman" w:hAnsiTheme="minorHAnsi" w:cs="Arial"/>
                <w:b w:val="0"/>
                <w:color w:val="000000"/>
                <w:szCs w:val="18"/>
                <w:lang w:eastAsia="cs-CZ"/>
              </w:rPr>
            </w:pPr>
            <w:r w:rsidRPr="00AA1E4E">
              <w:rPr>
                <w:rFonts w:asciiTheme="minorHAnsi" w:eastAsia="Times New Roman" w:hAnsiTheme="minorHAnsi" w:cs="Arial"/>
                <w:b w:val="0"/>
                <w:color w:val="000000"/>
                <w:szCs w:val="18"/>
                <w:lang w:eastAsia="cs-CZ"/>
              </w:rPr>
              <w:t>II. Výzva Aplikace - ITI Hradec Králové - Pardubice</w:t>
            </w:r>
          </w:p>
        </w:tc>
        <w:tc>
          <w:tcPr>
            <w:tcW w:w="1418" w:type="dxa"/>
            <w:vAlign w:val="center"/>
            <w:hideMark/>
          </w:tcPr>
          <w:p w14:paraId="198EA44F"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průběžná</w:t>
            </w:r>
          </w:p>
        </w:tc>
        <w:tc>
          <w:tcPr>
            <w:tcW w:w="1417" w:type="dxa"/>
            <w:vAlign w:val="center"/>
            <w:hideMark/>
          </w:tcPr>
          <w:p w14:paraId="10423808"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Cs w:val="18"/>
                <w:lang w:eastAsia="cs-CZ"/>
              </w:rPr>
            </w:pPr>
            <w:r w:rsidRPr="00184694">
              <w:rPr>
                <w:rFonts w:asciiTheme="minorHAnsi" w:eastAsia="Times New Roman" w:hAnsiTheme="minorHAnsi" w:cs="Arial"/>
                <w:color w:val="000000"/>
                <w:szCs w:val="18"/>
                <w:lang w:eastAsia="cs-CZ"/>
              </w:rPr>
              <w:t>124 000</w:t>
            </w:r>
          </w:p>
        </w:tc>
        <w:tc>
          <w:tcPr>
            <w:tcW w:w="1701" w:type="dxa"/>
            <w:vAlign w:val="center"/>
            <w:hideMark/>
          </w:tcPr>
          <w:p w14:paraId="576C4067"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jednokolový</w:t>
            </w:r>
          </w:p>
        </w:tc>
        <w:tc>
          <w:tcPr>
            <w:tcW w:w="1666" w:type="dxa"/>
            <w:vAlign w:val="center"/>
            <w:hideMark/>
          </w:tcPr>
          <w:p w14:paraId="6EEFA3C7" w14:textId="77777777" w:rsidR="00B92790" w:rsidRPr="00184694"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18"/>
                <w:lang w:eastAsia="cs-CZ"/>
              </w:rPr>
            </w:pPr>
            <w:r w:rsidRPr="00184694">
              <w:rPr>
                <w:rFonts w:asciiTheme="minorHAnsi" w:eastAsia="Times New Roman" w:hAnsiTheme="minorHAnsi" w:cs="Arial"/>
                <w:color w:val="auto"/>
                <w:szCs w:val="18"/>
                <w:lang w:eastAsia="cs-CZ"/>
              </w:rPr>
              <w:t>1.</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3.</w:t>
            </w:r>
            <w:r>
              <w:rPr>
                <w:rFonts w:asciiTheme="minorHAnsi" w:eastAsia="Times New Roman" w:hAnsiTheme="minorHAnsi" w:cs="Arial"/>
                <w:color w:val="auto"/>
                <w:szCs w:val="18"/>
                <w:lang w:eastAsia="cs-CZ"/>
              </w:rPr>
              <w:t xml:space="preserve"> </w:t>
            </w:r>
            <w:r w:rsidRPr="00184694">
              <w:rPr>
                <w:rFonts w:asciiTheme="minorHAnsi" w:eastAsia="Times New Roman" w:hAnsiTheme="minorHAnsi" w:cs="Arial"/>
                <w:color w:val="auto"/>
                <w:szCs w:val="18"/>
                <w:lang w:eastAsia="cs-CZ"/>
              </w:rPr>
              <w:t>2019</w:t>
            </w:r>
          </w:p>
        </w:tc>
      </w:tr>
    </w:tbl>
    <w:p w14:paraId="77D978FC" w14:textId="77777777" w:rsidR="00B92790" w:rsidRPr="00184694" w:rsidRDefault="00B92790" w:rsidP="00B92790">
      <w:pPr>
        <w:jc w:val="both"/>
      </w:pPr>
    </w:p>
    <w:p w14:paraId="6D0361BE" w14:textId="77777777" w:rsidR="00B92790" w:rsidRPr="00790BE2" w:rsidRDefault="00B92790" w:rsidP="00B92790">
      <w:pPr>
        <w:jc w:val="both"/>
        <w:rPr>
          <w:b/>
        </w:rPr>
      </w:pPr>
      <w:r>
        <w:rPr>
          <w:b/>
        </w:rPr>
        <w:t>Stav čerpání a </w:t>
      </w:r>
      <w:proofErr w:type="spellStart"/>
      <w:r>
        <w:rPr>
          <w:b/>
        </w:rPr>
        <w:t>zazávazkování</w:t>
      </w:r>
      <w:proofErr w:type="spellEnd"/>
      <w:r>
        <w:rPr>
          <w:b/>
        </w:rPr>
        <w:t xml:space="preserve"> alokace SC 1.1</w:t>
      </w:r>
    </w:p>
    <w:p w14:paraId="35C99C27" w14:textId="77777777" w:rsidR="00B92790" w:rsidRDefault="00B92790" w:rsidP="00B92790">
      <w:pPr>
        <w:jc w:val="both"/>
      </w:pPr>
      <w:r>
        <w:t xml:space="preserve">Z celkové alokace SC 1.1 bylo dosud </w:t>
      </w:r>
      <w:r w:rsidRPr="00995CD1">
        <w:rPr>
          <w:b/>
        </w:rPr>
        <w:t>proplaceno 18,37 %</w:t>
      </w:r>
      <w:r>
        <w:t xml:space="preserve"> </w:t>
      </w:r>
      <w:r w:rsidRPr="00995CD1">
        <w:rPr>
          <w:b/>
        </w:rPr>
        <w:t xml:space="preserve">(5,05 mld. Kč). </w:t>
      </w:r>
      <w:r>
        <w:t xml:space="preserve">Největší objem alokace je </w:t>
      </w:r>
      <w:proofErr w:type="spellStart"/>
      <w:r>
        <w:t>zazávazkován</w:t>
      </w:r>
      <w:proofErr w:type="spellEnd"/>
      <w:r>
        <w:t xml:space="preserve"> v </w:t>
      </w:r>
      <w:r w:rsidRPr="00790BE2">
        <w:rPr>
          <w:b/>
        </w:rPr>
        <w:t>programu Potenciál</w:t>
      </w:r>
      <w:r>
        <w:t xml:space="preserve">, ve kterém </w:t>
      </w:r>
      <w:r w:rsidRPr="00790BE2">
        <w:rPr>
          <w:b/>
        </w:rPr>
        <w:t>aktivní projekty pokrývají 72,21 % alokace</w:t>
      </w:r>
      <w:r>
        <w:t xml:space="preserve">, nejméně pak </w:t>
      </w:r>
      <w:r w:rsidRPr="00790BE2">
        <w:rPr>
          <w:b/>
        </w:rPr>
        <w:t>program Aplikace</w:t>
      </w:r>
      <w:r>
        <w:t xml:space="preserve">, kde to je jen </w:t>
      </w:r>
      <w:r w:rsidRPr="00790BE2">
        <w:rPr>
          <w:b/>
        </w:rPr>
        <w:t xml:space="preserve">55,96 %. </w:t>
      </w:r>
    </w:p>
    <w:p w14:paraId="12784DD3" w14:textId="04B43D1B"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23</w:t>
      </w:r>
      <w:r>
        <w:fldChar w:fldCharType="end"/>
      </w:r>
      <w:r>
        <w:t xml:space="preserve"> - </w:t>
      </w:r>
      <w:proofErr w:type="spellStart"/>
      <w:r>
        <w:t>Zazávazkovanost</w:t>
      </w:r>
      <w:proofErr w:type="spellEnd"/>
      <w:r>
        <w:t xml:space="preserve"> alokace</w:t>
      </w:r>
    </w:p>
    <w:tbl>
      <w:tblPr>
        <w:tblStyle w:val="ListTable3-Accent11"/>
        <w:tblW w:w="9774" w:type="dxa"/>
        <w:tblBorders>
          <w:left w:val="none" w:sz="0" w:space="0" w:color="auto"/>
          <w:right w:val="none" w:sz="0" w:space="0" w:color="auto"/>
          <w:insideH w:val="single" w:sz="4" w:space="0" w:color="86BC25" w:themeColor="accent1"/>
        </w:tblBorders>
        <w:tblLayout w:type="fixed"/>
        <w:tblLook w:val="06E0" w:firstRow="1" w:lastRow="1" w:firstColumn="1" w:lastColumn="0" w:noHBand="1" w:noVBand="1"/>
      </w:tblPr>
      <w:tblGrid>
        <w:gridCol w:w="1526"/>
        <w:gridCol w:w="2126"/>
        <w:gridCol w:w="1843"/>
        <w:gridCol w:w="1134"/>
        <w:gridCol w:w="354"/>
        <w:gridCol w:w="1521"/>
        <w:gridCol w:w="1270"/>
      </w:tblGrid>
      <w:tr w:rsidR="00B92790" w:rsidRPr="006C494D" w14:paraId="2CE80111" w14:textId="77777777" w:rsidTr="005715E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26" w:type="dxa"/>
            <w:vMerge w:val="restart"/>
            <w:hideMark/>
          </w:tcPr>
          <w:p w14:paraId="2C4E6056" w14:textId="77777777" w:rsidR="00B92790" w:rsidRPr="00C865F1" w:rsidRDefault="00B92790" w:rsidP="00B92790">
            <w:pPr>
              <w:spacing w:after="0" w:line="240" w:lineRule="auto"/>
              <w:rPr>
                <w:rFonts w:asciiTheme="minorHAnsi" w:eastAsia="Times New Roman" w:hAnsiTheme="minorHAnsi" w:cs="Times New Roman"/>
                <w:color w:val="FFFFFF"/>
                <w:szCs w:val="18"/>
                <w:lang w:eastAsia="cs-CZ"/>
              </w:rPr>
            </w:pPr>
            <w:r w:rsidRPr="00C865F1">
              <w:rPr>
                <w:rFonts w:asciiTheme="minorHAnsi" w:eastAsia="Times New Roman" w:hAnsiTheme="minorHAnsi" w:cs="Calibri"/>
                <w:color w:val="FFFFFF"/>
                <w:szCs w:val="18"/>
                <w:lang w:eastAsia="cs-CZ"/>
              </w:rPr>
              <w:t>Program podpory</w:t>
            </w:r>
          </w:p>
        </w:tc>
        <w:tc>
          <w:tcPr>
            <w:tcW w:w="2126" w:type="dxa"/>
          </w:tcPr>
          <w:p w14:paraId="55D27E0F" w14:textId="77777777" w:rsidR="00B92790" w:rsidRPr="00C865F1"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sidRPr="00C865F1">
              <w:rPr>
                <w:rFonts w:asciiTheme="minorHAnsi" w:eastAsia="Times New Roman" w:hAnsiTheme="minorHAnsi" w:cs="Calibri"/>
                <w:color w:val="FFFFFF"/>
                <w:szCs w:val="18"/>
                <w:lang w:eastAsia="cs-CZ"/>
              </w:rPr>
              <w:t>Alokace</w:t>
            </w:r>
          </w:p>
        </w:tc>
        <w:tc>
          <w:tcPr>
            <w:tcW w:w="3331" w:type="dxa"/>
            <w:gridSpan w:val="3"/>
            <w:hideMark/>
          </w:tcPr>
          <w:p w14:paraId="073AF5D8" w14:textId="77777777" w:rsidR="00B92790" w:rsidRPr="00C865F1"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proofErr w:type="spellStart"/>
            <w:r w:rsidRPr="00C865F1">
              <w:rPr>
                <w:rFonts w:asciiTheme="minorHAnsi" w:eastAsia="Times New Roman" w:hAnsiTheme="minorHAnsi" w:cs="Calibri"/>
                <w:color w:val="FFFFFF"/>
                <w:szCs w:val="18"/>
                <w:lang w:eastAsia="cs-CZ"/>
              </w:rPr>
              <w:t>Zazávazkováno</w:t>
            </w:r>
            <w:proofErr w:type="spellEnd"/>
            <w:r>
              <w:rPr>
                <w:rFonts w:asciiTheme="minorHAnsi" w:eastAsia="Times New Roman" w:hAnsiTheme="minorHAnsi" w:cs="Calibri"/>
                <w:color w:val="FFFFFF"/>
                <w:szCs w:val="18"/>
                <w:lang w:eastAsia="cs-CZ"/>
              </w:rPr>
              <w:t xml:space="preserve"> </w:t>
            </w:r>
            <w:r>
              <w:rPr>
                <w:rFonts w:asciiTheme="minorHAnsi" w:eastAsia="Times New Roman" w:hAnsiTheme="minorHAnsi" w:cs="Calibri"/>
                <w:color w:val="FFFFFF"/>
                <w:szCs w:val="18"/>
                <w:lang w:eastAsia="cs-CZ"/>
              </w:rPr>
              <w:br/>
              <w:t>(aktivní projekty)</w:t>
            </w:r>
          </w:p>
        </w:tc>
        <w:tc>
          <w:tcPr>
            <w:tcW w:w="2791" w:type="dxa"/>
            <w:gridSpan w:val="2"/>
            <w:hideMark/>
          </w:tcPr>
          <w:p w14:paraId="7BF624A0" w14:textId="77777777" w:rsidR="00B92790" w:rsidRPr="00C865F1"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sidRPr="00C865F1">
              <w:rPr>
                <w:rFonts w:asciiTheme="minorHAnsi" w:eastAsia="Times New Roman" w:hAnsiTheme="minorHAnsi" w:cs="Calibri"/>
                <w:color w:val="FFFFFF"/>
                <w:szCs w:val="18"/>
                <w:lang w:eastAsia="cs-CZ"/>
              </w:rPr>
              <w:t>Proplaceno</w:t>
            </w:r>
          </w:p>
        </w:tc>
      </w:tr>
      <w:tr w:rsidR="00B92790" w:rsidRPr="006C494D" w14:paraId="3BCD807D"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86BC25" w:themeFill="accent1"/>
          </w:tcPr>
          <w:p w14:paraId="5B7DB53A" w14:textId="77777777" w:rsidR="00B92790" w:rsidRPr="00C865F1" w:rsidRDefault="00B92790" w:rsidP="00B92790">
            <w:pPr>
              <w:spacing w:after="0" w:line="240" w:lineRule="auto"/>
              <w:jc w:val="center"/>
              <w:rPr>
                <w:rFonts w:asciiTheme="minorHAnsi" w:eastAsia="Times New Roman" w:hAnsiTheme="minorHAnsi" w:cs="Calibri"/>
                <w:color w:val="FFFFFF"/>
                <w:szCs w:val="18"/>
                <w:lang w:eastAsia="cs-CZ"/>
              </w:rPr>
            </w:pPr>
          </w:p>
        </w:tc>
        <w:tc>
          <w:tcPr>
            <w:tcW w:w="2126" w:type="dxa"/>
            <w:shd w:val="clear" w:color="auto" w:fill="86BC25" w:themeFill="accent1"/>
          </w:tcPr>
          <w:p w14:paraId="009E59ED"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790BE2">
              <w:rPr>
                <w:rFonts w:asciiTheme="minorHAnsi" w:eastAsia="Times New Roman" w:hAnsiTheme="minorHAnsi" w:cs="Calibri"/>
                <w:b/>
                <w:color w:val="FFFFFF"/>
                <w:szCs w:val="18"/>
                <w:lang w:eastAsia="cs-CZ"/>
              </w:rPr>
              <w:t>Kč</w:t>
            </w:r>
          </w:p>
        </w:tc>
        <w:tc>
          <w:tcPr>
            <w:tcW w:w="1843" w:type="dxa"/>
            <w:shd w:val="clear" w:color="auto" w:fill="86BC25" w:themeFill="accent1"/>
          </w:tcPr>
          <w:p w14:paraId="55EC8322"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790BE2">
              <w:rPr>
                <w:rFonts w:asciiTheme="minorHAnsi" w:eastAsia="Times New Roman" w:hAnsiTheme="minorHAnsi" w:cs="Calibri"/>
                <w:b/>
                <w:color w:val="FFFFFF"/>
                <w:szCs w:val="18"/>
                <w:lang w:eastAsia="cs-CZ"/>
              </w:rPr>
              <w:t>Kč</w:t>
            </w:r>
          </w:p>
        </w:tc>
        <w:tc>
          <w:tcPr>
            <w:tcW w:w="1134" w:type="dxa"/>
            <w:shd w:val="clear" w:color="auto" w:fill="86BC25" w:themeFill="accent1"/>
          </w:tcPr>
          <w:p w14:paraId="6D6F855E"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790BE2">
              <w:rPr>
                <w:rFonts w:asciiTheme="minorHAnsi" w:eastAsia="Times New Roman" w:hAnsiTheme="minorHAnsi" w:cs="Calibri"/>
                <w:b/>
                <w:color w:val="FFFFFF"/>
                <w:szCs w:val="18"/>
                <w:lang w:eastAsia="cs-CZ"/>
              </w:rPr>
              <w:t>%</w:t>
            </w:r>
          </w:p>
        </w:tc>
        <w:tc>
          <w:tcPr>
            <w:tcW w:w="1875" w:type="dxa"/>
            <w:gridSpan w:val="2"/>
            <w:shd w:val="clear" w:color="auto" w:fill="86BC25" w:themeFill="accent1"/>
          </w:tcPr>
          <w:p w14:paraId="6A5C6088"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790BE2">
              <w:rPr>
                <w:rFonts w:asciiTheme="minorHAnsi" w:eastAsia="Times New Roman" w:hAnsiTheme="minorHAnsi" w:cs="Calibri"/>
                <w:b/>
                <w:color w:val="FFFFFF"/>
                <w:szCs w:val="18"/>
                <w:lang w:eastAsia="cs-CZ"/>
              </w:rPr>
              <w:t>Kč</w:t>
            </w:r>
          </w:p>
        </w:tc>
        <w:tc>
          <w:tcPr>
            <w:tcW w:w="1270" w:type="dxa"/>
            <w:shd w:val="clear" w:color="auto" w:fill="86BC25" w:themeFill="accent1"/>
          </w:tcPr>
          <w:p w14:paraId="74F02522" w14:textId="77777777" w:rsidR="00B92790" w:rsidRPr="00790BE2"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790BE2">
              <w:rPr>
                <w:rFonts w:asciiTheme="minorHAnsi" w:eastAsia="Times New Roman" w:hAnsiTheme="minorHAnsi" w:cs="Calibri"/>
                <w:b/>
                <w:color w:val="FFFFFF"/>
                <w:szCs w:val="18"/>
                <w:lang w:eastAsia="cs-CZ"/>
              </w:rPr>
              <w:t>%</w:t>
            </w:r>
          </w:p>
        </w:tc>
      </w:tr>
      <w:tr w:rsidR="00B92790" w:rsidRPr="006C494D" w14:paraId="30000CAB"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14:paraId="55C70E0E"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Aplikace</w:t>
            </w:r>
          </w:p>
        </w:tc>
        <w:tc>
          <w:tcPr>
            <w:tcW w:w="2126" w:type="dxa"/>
          </w:tcPr>
          <w:p w14:paraId="50731656"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 xml:space="preserve">10 680 151 706 </w:t>
            </w:r>
          </w:p>
        </w:tc>
        <w:tc>
          <w:tcPr>
            <w:tcW w:w="1843" w:type="dxa"/>
            <w:hideMark/>
          </w:tcPr>
          <w:p w14:paraId="6A2CC69E"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5 977 015 708</w:t>
            </w:r>
          </w:p>
        </w:tc>
        <w:tc>
          <w:tcPr>
            <w:tcW w:w="1134" w:type="dxa"/>
          </w:tcPr>
          <w:p w14:paraId="52CC9262"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55,96 %</w:t>
            </w:r>
          </w:p>
        </w:tc>
        <w:tc>
          <w:tcPr>
            <w:tcW w:w="1875" w:type="dxa"/>
            <w:gridSpan w:val="2"/>
            <w:hideMark/>
          </w:tcPr>
          <w:p w14:paraId="0D18A487"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1 251 878 708</w:t>
            </w:r>
          </w:p>
        </w:tc>
        <w:tc>
          <w:tcPr>
            <w:tcW w:w="1270" w:type="dxa"/>
          </w:tcPr>
          <w:p w14:paraId="056C8A3D"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11,72 %</w:t>
            </w:r>
          </w:p>
        </w:tc>
      </w:tr>
      <w:tr w:rsidR="00B92790" w:rsidRPr="006C494D" w14:paraId="1C4CF123"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14:paraId="0CF2D30B"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Inovace</w:t>
            </w:r>
          </w:p>
        </w:tc>
        <w:tc>
          <w:tcPr>
            <w:tcW w:w="2126" w:type="dxa"/>
          </w:tcPr>
          <w:p w14:paraId="5A96F515"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10 791 773 952</w:t>
            </w:r>
          </w:p>
        </w:tc>
        <w:tc>
          <w:tcPr>
            <w:tcW w:w="1843" w:type="dxa"/>
            <w:hideMark/>
          </w:tcPr>
          <w:p w14:paraId="6C450749"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7 517 238 7</w:t>
            </w:r>
            <w:r>
              <w:rPr>
                <w:rFonts w:asciiTheme="minorHAnsi" w:eastAsia="Times New Roman" w:hAnsiTheme="minorHAnsi" w:cs="Calibri"/>
                <w:color w:val="000000"/>
                <w:szCs w:val="18"/>
                <w:lang w:eastAsia="cs-CZ"/>
              </w:rPr>
              <w:t>50</w:t>
            </w:r>
          </w:p>
        </w:tc>
        <w:tc>
          <w:tcPr>
            <w:tcW w:w="1134" w:type="dxa"/>
          </w:tcPr>
          <w:p w14:paraId="2F356180"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69,66 %</w:t>
            </w:r>
          </w:p>
        </w:tc>
        <w:tc>
          <w:tcPr>
            <w:tcW w:w="1875" w:type="dxa"/>
            <w:gridSpan w:val="2"/>
            <w:hideMark/>
          </w:tcPr>
          <w:p w14:paraId="2DEA2738"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2 312 060 3</w:t>
            </w:r>
            <w:r>
              <w:rPr>
                <w:rFonts w:asciiTheme="minorHAnsi" w:eastAsia="Times New Roman" w:hAnsiTheme="minorHAnsi" w:cs="Calibri"/>
                <w:color w:val="000000"/>
                <w:szCs w:val="18"/>
                <w:lang w:eastAsia="cs-CZ"/>
              </w:rPr>
              <w:t>90</w:t>
            </w:r>
          </w:p>
        </w:tc>
        <w:tc>
          <w:tcPr>
            <w:tcW w:w="1270" w:type="dxa"/>
          </w:tcPr>
          <w:p w14:paraId="0AEF6045"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21,42 %</w:t>
            </w:r>
          </w:p>
        </w:tc>
      </w:tr>
      <w:tr w:rsidR="00B92790" w:rsidRPr="006C494D" w14:paraId="2CCA2AEF"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14:paraId="4ECB9CC9"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Potenciál</w:t>
            </w:r>
          </w:p>
        </w:tc>
        <w:tc>
          <w:tcPr>
            <w:tcW w:w="2126" w:type="dxa"/>
          </w:tcPr>
          <w:p w14:paraId="744AB963"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6 031 663 002</w:t>
            </w:r>
          </w:p>
        </w:tc>
        <w:tc>
          <w:tcPr>
            <w:tcW w:w="1843" w:type="dxa"/>
            <w:hideMark/>
          </w:tcPr>
          <w:p w14:paraId="71B6FA28"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4 355 422 931</w:t>
            </w:r>
          </w:p>
        </w:tc>
        <w:tc>
          <w:tcPr>
            <w:tcW w:w="1134" w:type="dxa"/>
          </w:tcPr>
          <w:p w14:paraId="13A7BFA7"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72,21 %</w:t>
            </w:r>
          </w:p>
        </w:tc>
        <w:tc>
          <w:tcPr>
            <w:tcW w:w="1875" w:type="dxa"/>
            <w:gridSpan w:val="2"/>
            <w:hideMark/>
          </w:tcPr>
          <w:p w14:paraId="25702B88"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1 488 928 671</w:t>
            </w:r>
          </w:p>
        </w:tc>
        <w:tc>
          <w:tcPr>
            <w:tcW w:w="1270" w:type="dxa"/>
          </w:tcPr>
          <w:p w14:paraId="5B42CD48"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24,69 %</w:t>
            </w:r>
          </w:p>
        </w:tc>
      </w:tr>
      <w:tr w:rsidR="00B92790" w:rsidRPr="006C494D" w14:paraId="4BF3836D" w14:textId="77777777" w:rsidTr="005715E6">
        <w:trPr>
          <w:cnfStyle w:val="010000000000" w:firstRow="0" w:lastRow="1" w:firstColumn="0" w:lastColumn="0" w:oddVBand="0" w:evenVBand="0" w:oddHBand="0" w:evenHBand="0" w:firstRowFirstColumn="0" w:firstRowLastColumn="0" w:lastRowFirstColumn="0" w:lastRowLastColumn="0"/>
          <w:trHeight w:val="300"/>
        </w:trPr>
        <w:tc>
          <w:tcPr>
            <w:cnfStyle w:val="001000000001" w:firstRow="0" w:lastRow="0" w:firstColumn="1" w:lastColumn="0" w:oddVBand="0" w:evenVBand="0" w:oddHBand="0" w:evenHBand="0" w:firstRowFirstColumn="0" w:firstRowLastColumn="0" w:lastRowFirstColumn="1" w:lastRowLastColumn="0"/>
            <w:tcW w:w="1526" w:type="dxa"/>
            <w:tcBorders>
              <w:top w:val="none" w:sz="0" w:space="0" w:color="auto"/>
            </w:tcBorders>
            <w:shd w:val="clear" w:color="auto" w:fill="E7F5CF" w:themeFill="accent1" w:themeFillTint="33"/>
          </w:tcPr>
          <w:p w14:paraId="62DDDC41" w14:textId="77777777" w:rsidR="00B92790" w:rsidRPr="00C865F1" w:rsidRDefault="00B92790" w:rsidP="00B92790">
            <w:pPr>
              <w:spacing w:after="0" w:line="240" w:lineRule="auto"/>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Celkem</w:t>
            </w:r>
          </w:p>
        </w:tc>
        <w:tc>
          <w:tcPr>
            <w:tcW w:w="2126" w:type="dxa"/>
            <w:tcBorders>
              <w:top w:val="none" w:sz="0" w:space="0" w:color="auto"/>
            </w:tcBorders>
            <w:shd w:val="clear" w:color="auto" w:fill="E7F5CF" w:themeFill="accent1" w:themeFillTint="33"/>
          </w:tcPr>
          <w:p w14:paraId="745783C0"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27 503 588 659</w:t>
            </w:r>
          </w:p>
        </w:tc>
        <w:tc>
          <w:tcPr>
            <w:tcW w:w="1843" w:type="dxa"/>
            <w:tcBorders>
              <w:top w:val="none" w:sz="0" w:space="0" w:color="auto"/>
            </w:tcBorders>
            <w:shd w:val="clear" w:color="auto" w:fill="E7F5CF" w:themeFill="accent1" w:themeFillTint="33"/>
          </w:tcPr>
          <w:p w14:paraId="5C664A4B"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17 849 677 38</w:t>
            </w:r>
            <w:r>
              <w:rPr>
                <w:rFonts w:asciiTheme="minorHAnsi" w:eastAsia="Times New Roman" w:hAnsiTheme="minorHAnsi" w:cs="Calibri"/>
                <w:color w:val="000000"/>
                <w:szCs w:val="18"/>
                <w:lang w:eastAsia="cs-CZ"/>
              </w:rPr>
              <w:t>9</w:t>
            </w:r>
          </w:p>
        </w:tc>
        <w:tc>
          <w:tcPr>
            <w:tcW w:w="1134" w:type="dxa"/>
            <w:tcBorders>
              <w:top w:val="none" w:sz="0" w:space="0" w:color="auto"/>
            </w:tcBorders>
            <w:shd w:val="clear" w:color="auto" w:fill="E7F5CF" w:themeFill="accent1" w:themeFillTint="33"/>
          </w:tcPr>
          <w:p w14:paraId="5B3D0EAA"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64,90 %</w:t>
            </w:r>
          </w:p>
        </w:tc>
        <w:tc>
          <w:tcPr>
            <w:tcW w:w="1875" w:type="dxa"/>
            <w:gridSpan w:val="2"/>
            <w:tcBorders>
              <w:top w:val="none" w:sz="0" w:space="0" w:color="auto"/>
            </w:tcBorders>
            <w:shd w:val="clear" w:color="auto" w:fill="E7F5CF" w:themeFill="accent1" w:themeFillTint="33"/>
          </w:tcPr>
          <w:p w14:paraId="50686D6B"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5 052 867 769</w:t>
            </w:r>
          </w:p>
        </w:tc>
        <w:tc>
          <w:tcPr>
            <w:tcW w:w="1270" w:type="dxa"/>
            <w:tcBorders>
              <w:top w:val="none" w:sz="0" w:space="0" w:color="auto"/>
            </w:tcBorders>
            <w:shd w:val="clear" w:color="auto" w:fill="E7F5CF" w:themeFill="accent1" w:themeFillTint="33"/>
          </w:tcPr>
          <w:p w14:paraId="513A7DA8"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18,37 %</w:t>
            </w:r>
          </w:p>
        </w:tc>
      </w:tr>
    </w:tbl>
    <w:p w14:paraId="5805CDEE" w14:textId="77777777" w:rsidR="00B92790" w:rsidRDefault="00B92790" w:rsidP="00B92790">
      <w:pPr>
        <w:jc w:val="both"/>
      </w:pPr>
    </w:p>
    <w:p w14:paraId="71B9FB6D" w14:textId="77777777" w:rsidR="00B92790" w:rsidRDefault="00B92790" w:rsidP="00B92790">
      <w:pPr>
        <w:jc w:val="both"/>
      </w:pPr>
      <w:r>
        <w:t>Zároveň však u programu Aplikace je vyšší počet ve fázi hodnocení projektových žádostí. Aktuálně jsou hodnoceny projekty v hodnotě 5,5 mld. Kč, což odpovídá 51,90 % celkové alokace programu. Významná část alokace je u hodnocených projektů i v programu Inovace (25,50 %).</w:t>
      </w:r>
    </w:p>
    <w:p w14:paraId="06EF67E2" w14:textId="5AF99AC7"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24</w:t>
      </w:r>
      <w:r>
        <w:fldChar w:fldCharType="end"/>
      </w:r>
      <w:r>
        <w:t xml:space="preserve"> - Alokace u projektů ve fázi hodnocení</w:t>
      </w:r>
    </w:p>
    <w:tbl>
      <w:tblPr>
        <w:tblStyle w:val="ListTable3-Accent11"/>
        <w:tblW w:w="4946" w:type="pct"/>
        <w:tblBorders>
          <w:left w:val="none" w:sz="0" w:space="0" w:color="auto"/>
          <w:right w:val="none" w:sz="0" w:space="0" w:color="auto"/>
          <w:insideH w:val="single" w:sz="4" w:space="0" w:color="86BC25" w:themeColor="accent1"/>
        </w:tblBorders>
        <w:tblLook w:val="06E0" w:firstRow="1" w:lastRow="1" w:firstColumn="1" w:lastColumn="0" w:noHBand="1" w:noVBand="1"/>
      </w:tblPr>
      <w:tblGrid>
        <w:gridCol w:w="2154"/>
        <w:gridCol w:w="1835"/>
        <w:gridCol w:w="2910"/>
        <w:gridCol w:w="2635"/>
      </w:tblGrid>
      <w:tr w:rsidR="00B92790" w:rsidRPr="006C494D" w14:paraId="6535C8E8" w14:textId="77777777" w:rsidTr="005715E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29" w:type="pct"/>
            <w:vMerge w:val="restart"/>
            <w:hideMark/>
          </w:tcPr>
          <w:p w14:paraId="2970F024" w14:textId="77777777" w:rsidR="00B92790" w:rsidRPr="00C865F1" w:rsidRDefault="00B92790" w:rsidP="00B92790">
            <w:pPr>
              <w:spacing w:after="0" w:line="240" w:lineRule="auto"/>
              <w:rPr>
                <w:rFonts w:asciiTheme="minorHAnsi" w:eastAsia="Times New Roman" w:hAnsiTheme="minorHAnsi" w:cs="Times New Roman"/>
                <w:color w:val="FFFFFF"/>
                <w:szCs w:val="18"/>
                <w:lang w:eastAsia="cs-CZ"/>
              </w:rPr>
            </w:pPr>
            <w:r w:rsidRPr="00C865F1">
              <w:rPr>
                <w:rFonts w:asciiTheme="minorHAnsi" w:eastAsia="Times New Roman" w:hAnsiTheme="minorHAnsi" w:cs="Calibri"/>
                <w:color w:val="FFFFFF"/>
                <w:szCs w:val="18"/>
                <w:lang w:eastAsia="cs-CZ"/>
              </w:rPr>
              <w:t>Program podpory</w:t>
            </w:r>
          </w:p>
        </w:tc>
        <w:tc>
          <w:tcPr>
            <w:tcW w:w="962" w:type="pct"/>
          </w:tcPr>
          <w:p w14:paraId="6CB960E7" w14:textId="77777777" w:rsidR="00B92790" w:rsidRPr="00C865F1"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sidRPr="00C865F1">
              <w:rPr>
                <w:rFonts w:asciiTheme="minorHAnsi" w:eastAsia="Times New Roman" w:hAnsiTheme="minorHAnsi" w:cs="Calibri"/>
                <w:color w:val="FFFFFF"/>
                <w:szCs w:val="18"/>
                <w:lang w:eastAsia="cs-CZ"/>
              </w:rPr>
              <w:t>Alokace</w:t>
            </w:r>
          </w:p>
        </w:tc>
        <w:tc>
          <w:tcPr>
            <w:tcW w:w="2908" w:type="pct"/>
            <w:gridSpan w:val="2"/>
            <w:hideMark/>
          </w:tcPr>
          <w:p w14:paraId="1EC7773B" w14:textId="77777777" w:rsidR="00B92790" w:rsidRPr="00C865F1"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Pr>
                <w:rFonts w:asciiTheme="minorHAnsi" w:eastAsia="Times New Roman" w:hAnsiTheme="minorHAnsi" w:cs="Calibri"/>
                <w:color w:val="FFFFFF"/>
                <w:szCs w:val="18"/>
                <w:lang w:eastAsia="cs-CZ"/>
              </w:rPr>
              <w:t xml:space="preserve">             Žádosti v hodnocení</w:t>
            </w:r>
          </w:p>
        </w:tc>
      </w:tr>
      <w:tr w:rsidR="00B92790" w:rsidRPr="000D7BBE" w14:paraId="0AD3BDF9"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129" w:type="pct"/>
            <w:vMerge/>
            <w:shd w:val="clear" w:color="auto" w:fill="86BC25" w:themeFill="accent1"/>
          </w:tcPr>
          <w:p w14:paraId="5B694824" w14:textId="77777777" w:rsidR="00B92790" w:rsidRPr="000D7BBE" w:rsidRDefault="00B92790" w:rsidP="00B92790">
            <w:pPr>
              <w:spacing w:after="0" w:line="240" w:lineRule="auto"/>
              <w:jc w:val="center"/>
              <w:rPr>
                <w:rFonts w:asciiTheme="minorHAnsi" w:eastAsia="Times New Roman" w:hAnsiTheme="minorHAnsi" w:cs="Calibri"/>
                <w:b w:val="0"/>
                <w:color w:val="FFFFFF"/>
                <w:szCs w:val="18"/>
                <w:lang w:eastAsia="cs-CZ"/>
              </w:rPr>
            </w:pPr>
          </w:p>
        </w:tc>
        <w:tc>
          <w:tcPr>
            <w:tcW w:w="962" w:type="pct"/>
            <w:shd w:val="clear" w:color="auto" w:fill="86BC25" w:themeFill="accent1"/>
          </w:tcPr>
          <w:p w14:paraId="71018170" w14:textId="77777777" w:rsidR="00B92790" w:rsidRPr="000D7BBE"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0D7BBE">
              <w:rPr>
                <w:rFonts w:asciiTheme="minorHAnsi" w:eastAsia="Times New Roman" w:hAnsiTheme="minorHAnsi" w:cs="Calibri"/>
                <w:b/>
                <w:color w:val="FFFFFF"/>
                <w:szCs w:val="18"/>
                <w:lang w:eastAsia="cs-CZ"/>
              </w:rPr>
              <w:t>Kč</w:t>
            </w:r>
          </w:p>
        </w:tc>
        <w:tc>
          <w:tcPr>
            <w:tcW w:w="1526" w:type="pct"/>
            <w:shd w:val="clear" w:color="auto" w:fill="86BC25" w:themeFill="accent1"/>
          </w:tcPr>
          <w:p w14:paraId="61CFA943" w14:textId="77777777" w:rsidR="00B92790" w:rsidRPr="000D7BBE"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Pr>
                <w:rFonts w:asciiTheme="minorHAnsi" w:eastAsia="Times New Roman" w:hAnsiTheme="minorHAnsi" w:cs="Calibri"/>
                <w:b/>
                <w:color w:val="FFFFFF"/>
                <w:szCs w:val="18"/>
                <w:lang w:eastAsia="cs-CZ"/>
              </w:rPr>
              <w:t xml:space="preserve">                     </w:t>
            </w:r>
            <w:r w:rsidRPr="000D7BBE">
              <w:rPr>
                <w:rFonts w:asciiTheme="minorHAnsi" w:eastAsia="Times New Roman" w:hAnsiTheme="minorHAnsi" w:cs="Calibri"/>
                <w:b/>
                <w:color w:val="FFFFFF"/>
                <w:szCs w:val="18"/>
                <w:lang w:eastAsia="cs-CZ"/>
              </w:rPr>
              <w:t>Kč</w:t>
            </w:r>
          </w:p>
        </w:tc>
        <w:tc>
          <w:tcPr>
            <w:tcW w:w="1382" w:type="pct"/>
            <w:shd w:val="clear" w:color="auto" w:fill="86BC25" w:themeFill="accent1"/>
          </w:tcPr>
          <w:p w14:paraId="769D47AD" w14:textId="77777777" w:rsidR="00B92790" w:rsidRPr="000D7BBE"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FFFFFF"/>
                <w:szCs w:val="18"/>
                <w:lang w:eastAsia="cs-CZ"/>
              </w:rPr>
            </w:pPr>
            <w:r w:rsidRPr="000D7BBE">
              <w:rPr>
                <w:rFonts w:asciiTheme="minorHAnsi" w:eastAsia="Times New Roman" w:hAnsiTheme="minorHAnsi" w:cs="Calibri"/>
                <w:b/>
                <w:color w:val="FFFFFF"/>
                <w:szCs w:val="18"/>
                <w:lang w:eastAsia="cs-CZ"/>
              </w:rPr>
              <w:t>podíl na celkové</w:t>
            </w:r>
            <w:r>
              <w:rPr>
                <w:rFonts w:asciiTheme="minorHAnsi" w:eastAsia="Times New Roman" w:hAnsiTheme="minorHAnsi" w:cs="Calibri"/>
                <w:b/>
                <w:color w:val="FFFFFF"/>
                <w:szCs w:val="18"/>
                <w:lang w:eastAsia="cs-CZ"/>
              </w:rPr>
              <w:br/>
            </w:r>
            <w:r w:rsidRPr="000D7BBE">
              <w:rPr>
                <w:rFonts w:asciiTheme="minorHAnsi" w:eastAsia="Times New Roman" w:hAnsiTheme="minorHAnsi" w:cs="Calibri"/>
                <w:b/>
                <w:color w:val="FFFFFF"/>
                <w:szCs w:val="18"/>
                <w:lang w:eastAsia="cs-CZ"/>
              </w:rPr>
              <w:t xml:space="preserve"> alokaci</w:t>
            </w:r>
          </w:p>
        </w:tc>
      </w:tr>
      <w:tr w:rsidR="00B92790" w:rsidRPr="006C494D" w14:paraId="05BA0D2C"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129" w:type="pct"/>
            <w:hideMark/>
          </w:tcPr>
          <w:p w14:paraId="782BB253"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Aplikace</w:t>
            </w:r>
          </w:p>
        </w:tc>
        <w:tc>
          <w:tcPr>
            <w:tcW w:w="962" w:type="pct"/>
          </w:tcPr>
          <w:p w14:paraId="3F65152F"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 xml:space="preserve">10 680 151 706 </w:t>
            </w:r>
          </w:p>
        </w:tc>
        <w:tc>
          <w:tcPr>
            <w:tcW w:w="1526" w:type="pct"/>
            <w:hideMark/>
          </w:tcPr>
          <w:p w14:paraId="23EA8FCE"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251F32">
              <w:t>5 543 335 00</w:t>
            </w:r>
            <w:r>
              <w:t>2</w:t>
            </w:r>
          </w:p>
        </w:tc>
        <w:tc>
          <w:tcPr>
            <w:tcW w:w="1382" w:type="pct"/>
          </w:tcPr>
          <w:p w14:paraId="789BA29B"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51</w:t>
            </w:r>
            <w:r w:rsidRPr="00C865F1">
              <w:rPr>
                <w:rFonts w:asciiTheme="minorHAnsi" w:eastAsia="Times New Roman" w:hAnsiTheme="minorHAnsi" w:cs="Calibri"/>
                <w:color w:val="000000"/>
                <w:szCs w:val="18"/>
                <w:lang w:eastAsia="cs-CZ"/>
              </w:rPr>
              <w:t>,</w:t>
            </w:r>
            <w:r>
              <w:rPr>
                <w:rFonts w:asciiTheme="minorHAnsi" w:eastAsia="Times New Roman" w:hAnsiTheme="minorHAnsi" w:cs="Calibri"/>
                <w:color w:val="000000"/>
                <w:szCs w:val="18"/>
                <w:lang w:eastAsia="cs-CZ"/>
              </w:rPr>
              <w:t>90</w:t>
            </w:r>
            <w:r w:rsidRPr="00C865F1">
              <w:rPr>
                <w:rFonts w:asciiTheme="minorHAnsi" w:eastAsia="Times New Roman" w:hAnsiTheme="minorHAnsi" w:cs="Calibri"/>
                <w:color w:val="000000"/>
                <w:szCs w:val="18"/>
                <w:lang w:eastAsia="cs-CZ"/>
              </w:rPr>
              <w:t xml:space="preserve"> %</w:t>
            </w:r>
          </w:p>
        </w:tc>
      </w:tr>
      <w:tr w:rsidR="00B92790" w:rsidRPr="006C494D" w14:paraId="553660D2"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129" w:type="pct"/>
            <w:hideMark/>
          </w:tcPr>
          <w:p w14:paraId="4D980403"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Inovace</w:t>
            </w:r>
          </w:p>
        </w:tc>
        <w:tc>
          <w:tcPr>
            <w:tcW w:w="962" w:type="pct"/>
          </w:tcPr>
          <w:p w14:paraId="5BDEB550"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10 791 773 952</w:t>
            </w:r>
          </w:p>
        </w:tc>
        <w:tc>
          <w:tcPr>
            <w:tcW w:w="1526" w:type="pct"/>
            <w:hideMark/>
          </w:tcPr>
          <w:p w14:paraId="09DEB02F"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251F32">
              <w:t>2 751 734 643</w:t>
            </w:r>
          </w:p>
        </w:tc>
        <w:tc>
          <w:tcPr>
            <w:tcW w:w="1382" w:type="pct"/>
          </w:tcPr>
          <w:p w14:paraId="3F19A0B0"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25</w:t>
            </w:r>
            <w:r w:rsidRPr="00C865F1">
              <w:rPr>
                <w:rFonts w:asciiTheme="minorHAnsi" w:eastAsia="Times New Roman" w:hAnsiTheme="minorHAnsi" w:cs="Calibri"/>
                <w:color w:val="000000"/>
                <w:szCs w:val="18"/>
                <w:lang w:eastAsia="cs-CZ"/>
              </w:rPr>
              <w:t>,</w:t>
            </w:r>
            <w:r>
              <w:rPr>
                <w:rFonts w:asciiTheme="minorHAnsi" w:eastAsia="Times New Roman" w:hAnsiTheme="minorHAnsi" w:cs="Calibri"/>
                <w:color w:val="000000"/>
                <w:szCs w:val="18"/>
                <w:lang w:eastAsia="cs-CZ"/>
              </w:rPr>
              <w:t>50</w:t>
            </w:r>
            <w:r w:rsidRPr="00C865F1">
              <w:rPr>
                <w:rFonts w:asciiTheme="minorHAnsi" w:eastAsia="Times New Roman" w:hAnsiTheme="minorHAnsi" w:cs="Calibri"/>
                <w:color w:val="000000"/>
                <w:szCs w:val="18"/>
                <w:lang w:eastAsia="cs-CZ"/>
              </w:rPr>
              <w:t xml:space="preserve"> %</w:t>
            </w:r>
          </w:p>
        </w:tc>
      </w:tr>
      <w:tr w:rsidR="00B92790" w:rsidRPr="006C494D" w14:paraId="4C69C784"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129" w:type="pct"/>
            <w:hideMark/>
          </w:tcPr>
          <w:p w14:paraId="222D2CCF" w14:textId="77777777" w:rsidR="00B92790" w:rsidRPr="00C865F1" w:rsidRDefault="00B92790" w:rsidP="00B92790">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Potenciál</w:t>
            </w:r>
          </w:p>
        </w:tc>
        <w:tc>
          <w:tcPr>
            <w:tcW w:w="962" w:type="pct"/>
          </w:tcPr>
          <w:p w14:paraId="3A1CD6D8"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6 031 663 002</w:t>
            </w:r>
          </w:p>
        </w:tc>
        <w:tc>
          <w:tcPr>
            <w:tcW w:w="1526" w:type="pct"/>
            <w:hideMark/>
          </w:tcPr>
          <w:p w14:paraId="7F6AE78B"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251F32">
              <w:t>440 088 781</w:t>
            </w:r>
          </w:p>
        </w:tc>
        <w:tc>
          <w:tcPr>
            <w:tcW w:w="1382" w:type="pct"/>
          </w:tcPr>
          <w:p w14:paraId="4341BFD9" w14:textId="77777777" w:rsidR="00B92790" w:rsidRPr="00C865F1"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7</w:t>
            </w:r>
            <w:r w:rsidRPr="00C865F1">
              <w:rPr>
                <w:rFonts w:asciiTheme="minorHAnsi" w:eastAsia="Times New Roman" w:hAnsiTheme="minorHAnsi" w:cs="Calibri"/>
                <w:color w:val="000000"/>
                <w:szCs w:val="18"/>
                <w:lang w:eastAsia="cs-CZ"/>
              </w:rPr>
              <w:t>,</w:t>
            </w:r>
            <w:r>
              <w:rPr>
                <w:rFonts w:asciiTheme="minorHAnsi" w:eastAsia="Times New Roman" w:hAnsiTheme="minorHAnsi" w:cs="Calibri"/>
                <w:color w:val="000000"/>
                <w:szCs w:val="18"/>
                <w:lang w:eastAsia="cs-CZ"/>
              </w:rPr>
              <w:t>30</w:t>
            </w:r>
            <w:r w:rsidRPr="00C865F1">
              <w:rPr>
                <w:rFonts w:asciiTheme="minorHAnsi" w:eastAsia="Times New Roman" w:hAnsiTheme="minorHAnsi" w:cs="Calibri"/>
                <w:color w:val="000000"/>
                <w:szCs w:val="18"/>
                <w:lang w:eastAsia="cs-CZ"/>
              </w:rPr>
              <w:t xml:space="preserve"> %</w:t>
            </w:r>
          </w:p>
        </w:tc>
      </w:tr>
      <w:tr w:rsidR="00B92790" w:rsidRPr="006C494D" w14:paraId="238EF3F2" w14:textId="77777777" w:rsidTr="005715E6">
        <w:trPr>
          <w:cnfStyle w:val="010000000000" w:firstRow="0" w:lastRow="1" w:firstColumn="0" w:lastColumn="0" w:oddVBand="0" w:evenVBand="0" w:oddHBand="0" w:evenHBand="0" w:firstRowFirstColumn="0" w:firstRowLastColumn="0" w:lastRowFirstColumn="0" w:lastRowLastColumn="0"/>
          <w:trHeight w:val="300"/>
        </w:trPr>
        <w:tc>
          <w:tcPr>
            <w:cnfStyle w:val="001000000001" w:firstRow="0" w:lastRow="0" w:firstColumn="1" w:lastColumn="0" w:oddVBand="0" w:evenVBand="0" w:oddHBand="0" w:evenHBand="0" w:firstRowFirstColumn="0" w:firstRowLastColumn="0" w:lastRowFirstColumn="1" w:lastRowLastColumn="0"/>
            <w:tcW w:w="1129" w:type="pct"/>
            <w:shd w:val="clear" w:color="auto" w:fill="E7F5CF" w:themeFill="accent1" w:themeFillTint="33"/>
          </w:tcPr>
          <w:p w14:paraId="1117EB12" w14:textId="77777777" w:rsidR="00B92790" w:rsidRPr="00C865F1" w:rsidRDefault="00B92790" w:rsidP="00B92790">
            <w:pPr>
              <w:spacing w:after="0" w:line="240" w:lineRule="auto"/>
              <w:rPr>
                <w:rFonts w:asciiTheme="minorHAnsi" w:eastAsia="Times New Roman" w:hAnsiTheme="minorHAnsi" w:cs="Calibri"/>
                <w:bCs w:val="0"/>
                <w:color w:val="000000"/>
                <w:szCs w:val="18"/>
                <w:lang w:eastAsia="cs-CZ"/>
              </w:rPr>
            </w:pPr>
            <w:r w:rsidRPr="00C865F1">
              <w:rPr>
                <w:rFonts w:asciiTheme="minorHAnsi" w:eastAsia="Times New Roman" w:hAnsiTheme="minorHAnsi" w:cs="Calibri"/>
                <w:color w:val="000000"/>
                <w:szCs w:val="18"/>
                <w:lang w:eastAsia="cs-CZ"/>
              </w:rPr>
              <w:t>Celkem</w:t>
            </w:r>
          </w:p>
        </w:tc>
        <w:tc>
          <w:tcPr>
            <w:tcW w:w="962" w:type="pct"/>
            <w:shd w:val="clear" w:color="auto" w:fill="E7F5CF" w:themeFill="accent1" w:themeFillTint="33"/>
          </w:tcPr>
          <w:p w14:paraId="5DA1DC64"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27 503 588 659</w:t>
            </w:r>
          </w:p>
        </w:tc>
        <w:tc>
          <w:tcPr>
            <w:tcW w:w="1526" w:type="pct"/>
            <w:shd w:val="clear" w:color="auto" w:fill="E7F5CF" w:themeFill="accent1" w:themeFillTint="33"/>
          </w:tcPr>
          <w:p w14:paraId="2590D3C7"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Pr>
                <w:rFonts w:asciiTheme="minorHAnsi" w:eastAsia="Times New Roman" w:hAnsiTheme="minorHAnsi" w:cs="Calibri"/>
                <w:color w:val="000000"/>
                <w:szCs w:val="18"/>
                <w:lang w:eastAsia="cs-CZ"/>
              </w:rPr>
              <w:t>8 735 158</w:t>
            </w:r>
            <w:r w:rsidRPr="00C865F1">
              <w:rPr>
                <w:rFonts w:asciiTheme="minorHAnsi" w:eastAsia="Times New Roman" w:hAnsiTheme="minorHAnsi" w:cs="Calibri"/>
                <w:color w:val="000000"/>
                <w:szCs w:val="18"/>
                <w:lang w:eastAsia="cs-CZ"/>
              </w:rPr>
              <w:t xml:space="preserve"> </w:t>
            </w:r>
            <w:r>
              <w:rPr>
                <w:rFonts w:asciiTheme="minorHAnsi" w:eastAsia="Times New Roman" w:hAnsiTheme="minorHAnsi" w:cs="Calibri"/>
                <w:color w:val="000000"/>
                <w:szCs w:val="18"/>
                <w:lang w:eastAsia="cs-CZ"/>
              </w:rPr>
              <w:t>426</w:t>
            </w:r>
          </w:p>
        </w:tc>
        <w:tc>
          <w:tcPr>
            <w:tcW w:w="1382" w:type="pct"/>
            <w:shd w:val="clear" w:color="auto" w:fill="E7F5CF" w:themeFill="accent1" w:themeFillTint="33"/>
          </w:tcPr>
          <w:p w14:paraId="40193EE7" w14:textId="77777777" w:rsidR="00B92790" w:rsidRPr="00C865F1"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Calibri"/>
                <w:bCs w:val="0"/>
                <w:color w:val="000000"/>
                <w:szCs w:val="18"/>
                <w:lang w:eastAsia="cs-CZ"/>
              </w:rPr>
            </w:pPr>
            <w:r>
              <w:rPr>
                <w:rFonts w:asciiTheme="minorHAnsi" w:eastAsia="Times New Roman" w:hAnsiTheme="minorHAnsi" w:cs="Calibri"/>
                <w:color w:val="000000"/>
                <w:szCs w:val="18"/>
                <w:lang w:eastAsia="cs-CZ"/>
              </w:rPr>
              <w:t>31</w:t>
            </w:r>
            <w:r w:rsidRPr="00C865F1">
              <w:rPr>
                <w:rFonts w:asciiTheme="minorHAnsi" w:eastAsia="Times New Roman" w:hAnsiTheme="minorHAnsi" w:cs="Calibri"/>
                <w:color w:val="000000"/>
                <w:szCs w:val="18"/>
                <w:lang w:eastAsia="cs-CZ"/>
              </w:rPr>
              <w:t>,</w:t>
            </w:r>
            <w:r>
              <w:rPr>
                <w:rFonts w:asciiTheme="minorHAnsi" w:eastAsia="Times New Roman" w:hAnsiTheme="minorHAnsi" w:cs="Calibri"/>
                <w:color w:val="000000"/>
                <w:szCs w:val="18"/>
                <w:lang w:eastAsia="cs-CZ"/>
              </w:rPr>
              <w:t>76</w:t>
            </w:r>
            <w:r w:rsidRPr="00C865F1">
              <w:rPr>
                <w:rFonts w:asciiTheme="minorHAnsi" w:eastAsia="Times New Roman" w:hAnsiTheme="minorHAnsi" w:cs="Calibri"/>
                <w:color w:val="000000"/>
                <w:szCs w:val="18"/>
                <w:lang w:eastAsia="cs-CZ"/>
              </w:rPr>
              <w:t xml:space="preserve"> %</w:t>
            </w:r>
          </w:p>
        </w:tc>
      </w:tr>
    </w:tbl>
    <w:p w14:paraId="3E313E17" w14:textId="77777777" w:rsidR="00B92790" w:rsidRDefault="00B92790" w:rsidP="00B92790">
      <w:pPr>
        <w:jc w:val="both"/>
      </w:pPr>
    </w:p>
    <w:p w14:paraId="0227D485" w14:textId="77777777" w:rsidR="00B92790" w:rsidRDefault="00B92790" w:rsidP="00B92790">
      <w:pPr>
        <w:jc w:val="both"/>
      </w:pPr>
      <w:r>
        <w:t xml:space="preserve">Jak již bylo uvedeno, důvodem relativně nízkého objemu proplacených prostředků na úrovni 18,37 </w:t>
      </w:r>
      <w:r w:rsidRPr="0063122F">
        <w:t>%</w:t>
      </w:r>
      <w:r>
        <w:t xml:space="preserve"> celkové alokace SC 1.1 je především </w:t>
      </w:r>
      <w:r w:rsidRPr="00790BE2">
        <w:rPr>
          <w:b/>
        </w:rPr>
        <w:t>nízký počet ukončených projektů</w:t>
      </w:r>
      <w:r>
        <w:t>. Při bližším pohledu je zřejmé, že jsou proplaceny především projekty z prvních výzev programů Inovace (63,70 %) a Potenciál (77,93 %), viz následující tabulka.</w:t>
      </w:r>
    </w:p>
    <w:p w14:paraId="4D10B5D4" w14:textId="553C4096" w:rsidR="00B92790" w:rsidRDefault="00B92790" w:rsidP="00B92790">
      <w:pPr>
        <w:pStyle w:val="Caption"/>
        <w:keepLines/>
      </w:pPr>
      <w:r>
        <w:t xml:space="preserve">Tabulka </w:t>
      </w:r>
      <w:r>
        <w:fldChar w:fldCharType="begin"/>
      </w:r>
      <w:r>
        <w:instrText xml:space="preserve"> SEQ Tabulka \* ARABIC </w:instrText>
      </w:r>
      <w:r>
        <w:fldChar w:fldCharType="separate"/>
      </w:r>
      <w:r w:rsidR="00F77CAE">
        <w:rPr>
          <w:noProof/>
        </w:rPr>
        <w:t>25</w:t>
      </w:r>
      <w:r>
        <w:fldChar w:fldCharType="end"/>
      </w:r>
      <w:r>
        <w:t xml:space="preserve"> - Alokace podle výzev</w:t>
      </w:r>
    </w:p>
    <w:tbl>
      <w:tblPr>
        <w:tblStyle w:val="ListTable3-Accent11"/>
        <w:tblW w:w="0" w:type="auto"/>
        <w:tblLayout w:type="fixed"/>
        <w:tblLook w:val="04A0" w:firstRow="1" w:lastRow="0" w:firstColumn="1" w:lastColumn="0" w:noHBand="0" w:noVBand="1"/>
      </w:tblPr>
      <w:tblGrid>
        <w:gridCol w:w="1668"/>
        <w:gridCol w:w="1134"/>
        <w:gridCol w:w="708"/>
        <w:gridCol w:w="993"/>
        <w:gridCol w:w="992"/>
        <w:gridCol w:w="850"/>
        <w:gridCol w:w="886"/>
        <w:gridCol w:w="674"/>
        <w:gridCol w:w="992"/>
        <w:gridCol w:w="957"/>
      </w:tblGrid>
      <w:tr w:rsidR="00B92790" w:rsidRPr="00470A25" w14:paraId="2D655BE7"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68" w:type="dxa"/>
            <w:tcBorders>
              <w:top w:val="single" w:sz="4" w:space="0" w:color="86BC25" w:themeColor="accent1"/>
              <w:left w:val="nil"/>
            </w:tcBorders>
          </w:tcPr>
          <w:p w14:paraId="151C52BF" w14:textId="77777777" w:rsidR="00B92790" w:rsidRPr="00470A25" w:rsidRDefault="00B92790" w:rsidP="00B92790">
            <w:pPr>
              <w:keepNext/>
              <w:keepLines/>
              <w:spacing w:after="0" w:line="240" w:lineRule="auto"/>
              <w:rPr>
                <w:rFonts w:asciiTheme="minorHAnsi" w:eastAsia="Times New Roman" w:hAnsiTheme="minorHAnsi" w:cs="Calibri"/>
                <w:color w:val="FFFFFF"/>
                <w:szCs w:val="18"/>
                <w:lang w:eastAsia="cs-CZ"/>
              </w:rPr>
            </w:pPr>
            <w:r w:rsidRPr="00470A25">
              <w:rPr>
                <w:rFonts w:asciiTheme="minorHAnsi" w:eastAsia="Times New Roman" w:hAnsiTheme="minorHAnsi" w:cs="Calibri"/>
                <w:color w:val="FFFFFF"/>
                <w:szCs w:val="18"/>
                <w:lang w:eastAsia="cs-CZ"/>
              </w:rPr>
              <w:t>Program podpory</w:t>
            </w:r>
          </w:p>
        </w:tc>
        <w:tc>
          <w:tcPr>
            <w:tcW w:w="6237" w:type="dxa"/>
            <w:gridSpan w:val="7"/>
            <w:tcBorders>
              <w:top w:val="single" w:sz="4" w:space="0" w:color="86BC25" w:themeColor="accent1"/>
            </w:tcBorders>
          </w:tcPr>
          <w:p w14:paraId="7A9F33DD" w14:textId="77777777" w:rsidR="00B92790" w:rsidRPr="00470A25" w:rsidRDefault="00B92790" w:rsidP="00B92790">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sidRPr="00470A25">
              <w:rPr>
                <w:rFonts w:asciiTheme="minorHAnsi" w:eastAsia="Times New Roman" w:hAnsiTheme="minorHAnsi" w:cs="Calibri"/>
                <w:color w:val="FFFFFF"/>
                <w:szCs w:val="18"/>
                <w:lang w:eastAsia="cs-CZ"/>
              </w:rPr>
              <w:t>Výzva</w:t>
            </w:r>
          </w:p>
        </w:tc>
        <w:tc>
          <w:tcPr>
            <w:tcW w:w="1949" w:type="dxa"/>
            <w:gridSpan w:val="2"/>
            <w:tcBorders>
              <w:top w:val="single" w:sz="4" w:space="0" w:color="86BC25" w:themeColor="accent1"/>
              <w:right w:val="nil"/>
            </w:tcBorders>
            <w:noWrap/>
          </w:tcPr>
          <w:p w14:paraId="48959441" w14:textId="77777777" w:rsidR="00B92790" w:rsidRPr="00470A25" w:rsidRDefault="00B92790" w:rsidP="00B92790">
            <w:pPr>
              <w:keepNext/>
              <w:keepLine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Cs w:val="18"/>
                <w:lang w:eastAsia="cs-CZ"/>
              </w:rPr>
            </w:pPr>
            <w:r w:rsidRPr="00470A25">
              <w:rPr>
                <w:rFonts w:asciiTheme="minorHAnsi" w:eastAsia="Times New Roman" w:hAnsiTheme="minorHAnsi" w:cs="Calibri"/>
                <w:color w:val="FFFFFF"/>
                <w:szCs w:val="18"/>
                <w:lang w:eastAsia="cs-CZ"/>
              </w:rPr>
              <w:t>Celkem</w:t>
            </w:r>
          </w:p>
        </w:tc>
      </w:tr>
      <w:tr w:rsidR="00BC1A01" w:rsidRPr="00470A25" w14:paraId="78BB209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shd w:val="clear" w:color="auto" w:fill="86BC25" w:themeFill="accent1"/>
          </w:tcPr>
          <w:p w14:paraId="2483820A" w14:textId="77777777" w:rsidR="00B92790" w:rsidRPr="00470A25" w:rsidRDefault="00B92790" w:rsidP="00B92790">
            <w:pPr>
              <w:spacing w:after="0" w:line="240" w:lineRule="auto"/>
              <w:rPr>
                <w:rFonts w:asciiTheme="minorHAnsi" w:eastAsia="Times New Roman" w:hAnsiTheme="minorHAnsi" w:cs="Calibri"/>
                <w:color w:val="FFFFFF"/>
                <w:szCs w:val="18"/>
                <w:lang w:eastAsia="cs-CZ"/>
              </w:rPr>
            </w:pPr>
            <w:r w:rsidRPr="00470A25">
              <w:rPr>
                <w:rFonts w:asciiTheme="minorHAnsi" w:eastAsia="Times New Roman" w:hAnsiTheme="minorHAnsi" w:cs="Calibri"/>
                <w:color w:val="FFFFFF"/>
                <w:szCs w:val="18"/>
                <w:lang w:eastAsia="cs-CZ"/>
              </w:rPr>
              <w:t>Stav alokace</w:t>
            </w:r>
          </w:p>
          <w:p w14:paraId="64207A4B" w14:textId="77777777" w:rsidR="00B92790" w:rsidRPr="00470A25" w:rsidRDefault="00B92790" w:rsidP="00B92790">
            <w:pPr>
              <w:spacing w:after="0" w:line="240" w:lineRule="auto"/>
              <w:rPr>
                <w:rFonts w:asciiTheme="minorHAnsi" w:eastAsia="Times New Roman" w:hAnsiTheme="minorHAnsi" w:cs="Calibri"/>
                <w:color w:val="FFFFFF"/>
                <w:szCs w:val="18"/>
                <w:lang w:eastAsia="cs-CZ"/>
              </w:rPr>
            </w:pPr>
            <w:r w:rsidRPr="00470A25">
              <w:rPr>
                <w:rFonts w:asciiTheme="minorHAnsi" w:eastAsia="Times New Roman" w:hAnsiTheme="minorHAnsi" w:cs="Calibri"/>
                <w:color w:val="FFFFFF"/>
                <w:szCs w:val="18"/>
                <w:lang w:eastAsia="cs-CZ"/>
              </w:rPr>
              <w:t>(v mil. Kč)</w:t>
            </w:r>
          </w:p>
        </w:tc>
        <w:tc>
          <w:tcPr>
            <w:tcW w:w="1134" w:type="dxa"/>
            <w:shd w:val="clear" w:color="auto" w:fill="86BC25" w:themeFill="accent1"/>
          </w:tcPr>
          <w:p w14:paraId="4D008615"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I</w:t>
            </w:r>
          </w:p>
        </w:tc>
        <w:tc>
          <w:tcPr>
            <w:tcW w:w="708" w:type="dxa"/>
            <w:shd w:val="clear" w:color="auto" w:fill="86BC25" w:themeFill="accent1"/>
          </w:tcPr>
          <w:p w14:paraId="2824B09E"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II</w:t>
            </w:r>
          </w:p>
        </w:tc>
        <w:tc>
          <w:tcPr>
            <w:tcW w:w="993" w:type="dxa"/>
            <w:shd w:val="clear" w:color="auto" w:fill="86BC25" w:themeFill="accent1"/>
            <w:noWrap/>
            <w:hideMark/>
          </w:tcPr>
          <w:p w14:paraId="229860D6"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III</w:t>
            </w:r>
          </w:p>
        </w:tc>
        <w:tc>
          <w:tcPr>
            <w:tcW w:w="992" w:type="dxa"/>
            <w:shd w:val="clear" w:color="auto" w:fill="86BC25" w:themeFill="accent1"/>
            <w:noWrap/>
            <w:hideMark/>
          </w:tcPr>
          <w:p w14:paraId="4AC7B780"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IV</w:t>
            </w:r>
          </w:p>
        </w:tc>
        <w:tc>
          <w:tcPr>
            <w:tcW w:w="850" w:type="dxa"/>
            <w:shd w:val="clear" w:color="auto" w:fill="86BC25" w:themeFill="accent1"/>
          </w:tcPr>
          <w:p w14:paraId="6AD78775"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V</w:t>
            </w:r>
          </w:p>
        </w:tc>
        <w:tc>
          <w:tcPr>
            <w:tcW w:w="886" w:type="dxa"/>
            <w:shd w:val="clear" w:color="auto" w:fill="86BC25" w:themeFill="accent1"/>
            <w:noWrap/>
            <w:hideMark/>
          </w:tcPr>
          <w:p w14:paraId="69748B2A"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VI</w:t>
            </w:r>
          </w:p>
        </w:tc>
        <w:tc>
          <w:tcPr>
            <w:tcW w:w="674" w:type="dxa"/>
            <w:shd w:val="clear" w:color="auto" w:fill="86BC25" w:themeFill="accent1"/>
          </w:tcPr>
          <w:p w14:paraId="370BA73F"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ITI</w:t>
            </w:r>
          </w:p>
        </w:tc>
        <w:tc>
          <w:tcPr>
            <w:tcW w:w="992" w:type="dxa"/>
            <w:shd w:val="clear" w:color="auto" w:fill="86BC25" w:themeFill="accent1"/>
            <w:noWrap/>
            <w:hideMark/>
          </w:tcPr>
          <w:p w14:paraId="551BDF52"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(v mil. Kč)</w:t>
            </w:r>
          </w:p>
        </w:tc>
        <w:tc>
          <w:tcPr>
            <w:tcW w:w="957" w:type="dxa"/>
            <w:tcBorders>
              <w:right w:val="nil"/>
            </w:tcBorders>
            <w:shd w:val="clear" w:color="auto" w:fill="86BC25" w:themeFill="accent1"/>
          </w:tcPr>
          <w:p w14:paraId="295338EA" w14:textId="77777777" w:rsidR="00B92790" w:rsidRPr="00470A2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Cs w:val="18"/>
                <w:lang w:eastAsia="cs-CZ"/>
              </w:rPr>
            </w:pPr>
            <w:r w:rsidRPr="00470A25">
              <w:rPr>
                <w:rFonts w:asciiTheme="minorHAnsi" w:eastAsia="Times New Roman" w:hAnsiTheme="minorHAnsi" w:cs="Calibri"/>
                <w:b/>
                <w:color w:val="FFFFFF"/>
                <w:szCs w:val="18"/>
                <w:lang w:eastAsia="cs-CZ"/>
              </w:rPr>
              <w:t>v %</w:t>
            </w:r>
          </w:p>
        </w:tc>
      </w:tr>
      <w:tr w:rsidR="00BC1A01" w:rsidRPr="00470A25" w14:paraId="7B9CB9DC"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shd w:val="clear" w:color="auto" w:fill="E7F5CF" w:themeFill="accent1" w:themeFillTint="33"/>
          </w:tcPr>
          <w:p w14:paraId="3DDEAB9B" w14:textId="77777777" w:rsidR="00B92790" w:rsidRPr="00470A25" w:rsidRDefault="00B92790" w:rsidP="00B92790">
            <w:pPr>
              <w:spacing w:after="0" w:line="240" w:lineRule="auto"/>
              <w:rPr>
                <w:rFonts w:asciiTheme="minorHAnsi" w:eastAsia="Times New Roman" w:hAnsiTheme="minorHAnsi" w:cs="Calibri"/>
                <w:color w:val="000000"/>
                <w:szCs w:val="18"/>
                <w:lang w:eastAsia="cs-CZ"/>
              </w:rPr>
            </w:pPr>
            <w:r w:rsidRPr="00470A25">
              <w:rPr>
                <w:rFonts w:asciiTheme="minorHAnsi" w:eastAsia="Times New Roman" w:hAnsiTheme="minorHAnsi" w:cs="Calibri"/>
                <w:color w:val="000000"/>
                <w:szCs w:val="18"/>
                <w:lang w:eastAsia="cs-CZ"/>
              </w:rPr>
              <w:t>Aplikace</w:t>
            </w:r>
          </w:p>
        </w:tc>
        <w:tc>
          <w:tcPr>
            <w:tcW w:w="1134" w:type="dxa"/>
            <w:shd w:val="clear" w:color="auto" w:fill="E7F5CF" w:themeFill="accent1" w:themeFillTint="33"/>
          </w:tcPr>
          <w:p w14:paraId="226A364C"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708" w:type="dxa"/>
            <w:shd w:val="clear" w:color="auto" w:fill="E7F5CF" w:themeFill="accent1" w:themeFillTint="33"/>
          </w:tcPr>
          <w:p w14:paraId="5FB1C50B"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3" w:type="dxa"/>
            <w:shd w:val="clear" w:color="auto" w:fill="E7F5CF" w:themeFill="accent1" w:themeFillTint="33"/>
            <w:noWrap/>
          </w:tcPr>
          <w:p w14:paraId="41E1231E"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750D13DB"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850" w:type="dxa"/>
            <w:shd w:val="clear" w:color="auto" w:fill="E7F5CF" w:themeFill="accent1" w:themeFillTint="33"/>
          </w:tcPr>
          <w:p w14:paraId="11BFB039"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886" w:type="dxa"/>
            <w:shd w:val="clear" w:color="auto" w:fill="E7F5CF" w:themeFill="accent1" w:themeFillTint="33"/>
            <w:noWrap/>
          </w:tcPr>
          <w:p w14:paraId="01D83155"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674" w:type="dxa"/>
            <w:shd w:val="clear" w:color="auto" w:fill="E7F5CF" w:themeFill="accent1" w:themeFillTint="33"/>
          </w:tcPr>
          <w:p w14:paraId="5DE94D50"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5A47E22F"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57" w:type="dxa"/>
            <w:tcBorders>
              <w:right w:val="nil"/>
            </w:tcBorders>
            <w:shd w:val="clear" w:color="auto" w:fill="E7F5CF" w:themeFill="accent1" w:themeFillTint="33"/>
          </w:tcPr>
          <w:p w14:paraId="12BD1A0A" w14:textId="77777777" w:rsidR="00B92790" w:rsidRPr="00470A25" w:rsidRDefault="00B92790" w:rsidP="00B927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r>
      <w:tr w:rsidR="00B92790" w:rsidRPr="003149DA" w14:paraId="48200DC2"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46933105"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Alokace</w:t>
            </w:r>
          </w:p>
        </w:tc>
        <w:tc>
          <w:tcPr>
            <w:tcW w:w="1134" w:type="dxa"/>
          </w:tcPr>
          <w:p w14:paraId="17CC6FA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708" w:type="dxa"/>
          </w:tcPr>
          <w:p w14:paraId="18E3FD3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3" w:type="dxa"/>
            <w:noWrap/>
          </w:tcPr>
          <w:p w14:paraId="7D74D1A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059C153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850" w:type="dxa"/>
          </w:tcPr>
          <w:p w14:paraId="4FE6AA2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886" w:type="dxa"/>
            <w:noWrap/>
          </w:tcPr>
          <w:p w14:paraId="5F19BB4F"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674" w:type="dxa"/>
          </w:tcPr>
          <w:p w14:paraId="7933A12F"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4CBB7FF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10 680</w:t>
            </w:r>
          </w:p>
        </w:tc>
        <w:tc>
          <w:tcPr>
            <w:tcW w:w="957" w:type="dxa"/>
            <w:tcBorders>
              <w:right w:val="nil"/>
            </w:tcBorders>
          </w:tcPr>
          <w:p w14:paraId="5028CBD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100 %</w:t>
            </w:r>
          </w:p>
        </w:tc>
      </w:tr>
      <w:tr w:rsidR="00B92790" w:rsidRPr="003149DA" w14:paraId="085024D9"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10BC967C"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Vyhlášeno</w:t>
            </w:r>
          </w:p>
        </w:tc>
        <w:tc>
          <w:tcPr>
            <w:tcW w:w="1134" w:type="dxa"/>
          </w:tcPr>
          <w:p w14:paraId="2DE5BFB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4 000</w:t>
            </w:r>
          </w:p>
        </w:tc>
        <w:tc>
          <w:tcPr>
            <w:tcW w:w="708" w:type="dxa"/>
          </w:tcPr>
          <w:p w14:paraId="61F8401E"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40</w:t>
            </w:r>
          </w:p>
        </w:tc>
        <w:tc>
          <w:tcPr>
            <w:tcW w:w="993" w:type="dxa"/>
            <w:noWrap/>
          </w:tcPr>
          <w:p w14:paraId="0BC0B60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4 500</w:t>
            </w:r>
          </w:p>
        </w:tc>
        <w:tc>
          <w:tcPr>
            <w:tcW w:w="992" w:type="dxa"/>
            <w:noWrap/>
          </w:tcPr>
          <w:p w14:paraId="7B1449C3"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1 600</w:t>
            </w:r>
          </w:p>
        </w:tc>
        <w:tc>
          <w:tcPr>
            <w:tcW w:w="850" w:type="dxa"/>
          </w:tcPr>
          <w:p w14:paraId="545EBD8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400</w:t>
            </w:r>
          </w:p>
        </w:tc>
        <w:tc>
          <w:tcPr>
            <w:tcW w:w="886" w:type="dxa"/>
            <w:noWrap/>
          </w:tcPr>
          <w:p w14:paraId="51995E93"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1 600</w:t>
            </w:r>
          </w:p>
        </w:tc>
        <w:tc>
          <w:tcPr>
            <w:tcW w:w="674" w:type="dxa"/>
          </w:tcPr>
          <w:p w14:paraId="03CDFD48"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177</w:t>
            </w:r>
          </w:p>
        </w:tc>
        <w:tc>
          <w:tcPr>
            <w:tcW w:w="992" w:type="dxa"/>
            <w:noWrap/>
          </w:tcPr>
          <w:p w14:paraId="107A586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 xml:space="preserve">12 </w:t>
            </w:r>
            <w:r>
              <w:rPr>
                <w:rFonts w:asciiTheme="minorHAnsi" w:eastAsia="Times New Roman" w:hAnsiTheme="minorHAnsi" w:cs="Calibri"/>
                <w:color w:val="000000"/>
                <w:szCs w:val="18"/>
                <w:lang w:eastAsia="cs-CZ"/>
              </w:rPr>
              <w:t>317</w:t>
            </w:r>
          </w:p>
        </w:tc>
        <w:tc>
          <w:tcPr>
            <w:tcW w:w="957" w:type="dxa"/>
            <w:tcBorders>
              <w:right w:val="nil"/>
            </w:tcBorders>
          </w:tcPr>
          <w:p w14:paraId="409DFF1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w:t>
            </w:r>
            <w:r>
              <w:rPr>
                <w:rFonts w:asciiTheme="minorHAnsi" w:eastAsia="Times New Roman" w:hAnsiTheme="minorHAnsi" w:cs="Calibri"/>
                <w:color w:val="000000"/>
                <w:szCs w:val="18"/>
                <w:lang w:eastAsia="cs-CZ"/>
              </w:rPr>
              <w:t>15</w:t>
            </w:r>
            <w:r w:rsidRPr="00C6728C">
              <w:rPr>
                <w:rFonts w:asciiTheme="minorHAnsi" w:eastAsia="Times New Roman" w:hAnsiTheme="minorHAnsi" w:cs="Calibri"/>
                <w:color w:val="000000"/>
                <w:szCs w:val="18"/>
                <w:lang w:eastAsia="cs-CZ"/>
              </w:rPr>
              <w:t xml:space="preserve"> %</w:t>
            </w:r>
          </w:p>
        </w:tc>
      </w:tr>
      <w:tr w:rsidR="00B92790" w:rsidRPr="003149DA" w14:paraId="1B522A7C"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05A2463E"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Požadováno</w:t>
            </w:r>
          </w:p>
        </w:tc>
        <w:tc>
          <w:tcPr>
            <w:tcW w:w="1134" w:type="dxa"/>
          </w:tcPr>
          <w:p w14:paraId="3D6D6ED9"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9 581</w:t>
            </w:r>
          </w:p>
        </w:tc>
        <w:tc>
          <w:tcPr>
            <w:tcW w:w="708" w:type="dxa"/>
          </w:tcPr>
          <w:p w14:paraId="2A4248C2"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21</w:t>
            </w:r>
          </w:p>
        </w:tc>
        <w:tc>
          <w:tcPr>
            <w:tcW w:w="993" w:type="dxa"/>
            <w:noWrap/>
          </w:tcPr>
          <w:p w14:paraId="4BEE10B8"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3 700</w:t>
            </w:r>
          </w:p>
        </w:tc>
        <w:tc>
          <w:tcPr>
            <w:tcW w:w="992" w:type="dxa"/>
            <w:noWrap/>
          </w:tcPr>
          <w:p w14:paraId="07043F4F"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2 591</w:t>
            </w:r>
          </w:p>
        </w:tc>
        <w:tc>
          <w:tcPr>
            <w:tcW w:w="850" w:type="dxa"/>
          </w:tcPr>
          <w:p w14:paraId="48FD72B8"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85</w:t>
            </w:r>
          </w:p>
        </w:tc>
        <w:tc>
          <w:tcPr>
            <w:tcW w:w="886" w:type="dxa"/>
            <w:noWrap/>
          </w:tcPr>
          <w:p w14:paraId="3E26DF73"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4 517</w:t>
            </w:r>
          </w:p>
        </w:tc>
        <w:tc>
          <w:tcPr>
            <w:tcW w:w="674" w:type="dxa"/>
          </w:tcPr>
          <w:p w14:paraId="74571A1D"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111</w:t>
            </w:r>
          </w:p>
        </w:tc>
        <w:tc>
          <w:tcPr>
            <w:tcW w:w="992" w:type="dxa"/>
            <w:noWrap/>
          </w:tcPr>
          <w:p w14:paraId="4C91B47C"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20 607</w:t>
            </w:r>
          </w:p>
        </w:tc>
        <w:tc>
          <w:tcPr>
            <w:tcW w:w="957" w:type="dxa"/>
            <w:tcBorders>
              <w:right w:val="nil"/>
            </w:tcBorders>
          </w:tcPr>
          <w:p w14:paraId="0CC5CCE5"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19</w:t>
            </w:r>
            <w:r>
              <w:rPr>
                <w:rFonts w:asciiTheme="minorHAnsi" w:eastAsia="Times New Roman" w:hAnsiTheme="minorHAnsi" w:cs="Calibri"/>
                <w:color w:val="000000"/>
                <w:szCs w:val="18"/>
                <w:lang w:eastAsia="cs-CZ"/>
              </w:rPr>
              <w:t>3</w:t>
            </w:r>
            <w:r w:rsidRPr="003149DA">
              <w:rPr>
                <w:rFonts w:asciiTheme="minorHAnsi" w:eastAsia="Times New Roman" w:hAnsiTheme="minorHAnsi" w:cs="Calibri"/>
                <w:color w:val="000000"/>
                <w:szCs w:val="18"/>
                <w:lang w:eastAsia="cs-CZ"/>
              </w:rPr>
              <w:t xml:space="preserve"> %</w:t>
            </w:r>
          </w:p>
        </w:tc>
      </w:tr>
      <w:tr w:rsidR="00B92790" w:rsidRPr="003149DA" w14:paraId="4705C980"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3A34A0DA"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proofErr w:type="spellStart"/>
            <w:r w:rsidRPr="00470A25">
              <w:rPr>
                <w:rFonts w:asciiTheme="minorHAnsi" w:eastAsia="Times New Roman" w:hAnsiTheme="minorHAnsi" w:cs="Calibri"/>
                <w:b w:val="0"/>
                <w:color w:val="000000"/>
                <w:szCs w:val="18"/>
                <w:lang w:eastAsia="cs-CZ"/>
              </w:rPr>
              <w:t>Zazávazkováno</w:t>
            </w:r>
            <w:proofErr w:type="spellEnd"/>
          </w:p>
        </w:tc>
        <w:tc>
          <w:tcPr>
            <w:tcW w:w="1134" w:type="dxa"/>
          </w:tcPr>
          <w:p w14:paraId="100BA1D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3 627</w:t>
            </w:r>
          </w:p>
        </w:tc>
        <w:tc>
          <w:tcPr>
            <w:tcW w:w="708" w:type="dxa"/>
          </w:tcPr>
          <w:p w14:paraId="294B818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w:t>
            </w:r>
          </w:p>
        </w:tc>
        <w:tc>
          <w:tcPr>
            <w:tcW w:w="993" w:type="dxa"/>
            <w:noWrap/>
          </w:tcPr>
          <w:p w14:paraId="50B3FCA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1 913</w:t>
            </w:r>
          </w:p>
        </w:tc>
        <w:tc>
          <w:tcPr>
            <w:tcW w:w="992" w:type="dxa"/>
            <w:noWrap/>
          </w:tcPr>
          <w:p w14:paraId="23F0040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428</w:t>
            </w:r>
          </w:p>
        </w:tc>
        <w:tc>
          <w:tcPr>
            <w:tcW w:w="850" w:type="dxa"/>
          </w:tcPr>
          <w:p w14:paraId="49D87D2E"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11471D5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674" w:type="dxa"/>
          </w:tcPr>
          <w:p w14:paraId="703E2F7B"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1CB0727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5 978</w:t>
            </w:r>
          </w:p>
        </w:tc>
        <w:tc>
          <w:tcPr>
            <w:tcW w:w="957" w:type="dxa"/>
            <w:tcBorders>
              <w:right w:val="nil"/>
            </w:tcBorders>
          </w:tcPr>
          <w:p w14:paraId="38238DD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w:t>
            </w:r>
            <w:r>
              <w:rPr>
                <w:rFonts w:asciiTheme="minorHAnsi" w:eastAsia="Times New Roman" w:hAnsiTheme="minorHAnsi" w:cs="Calibri"/>
                <w:color w:val="000000"/>
                <w:szCs w:val="18"/>
                <w:lang w:eastAsia="cs-CZ"/>
              </w:rPr>
              <w:t>6</w:t>
            </w:r>
            <w:r w:rsidRPr="00C6728C">
              <w:rPr>
                <w:rFonts w:asciiTheme="minorHAnsi" w:eastAsia="Times New Roman" w:hAnsiTheme="minorHAnsi" w:cs="Calibri"/>
                <w:color w:val="000000"/>
                <w:szCs w:val="18"/>
                <w:lang w:eastAsia="cs-CZ"/>
              </w:rPr>
              <w:t xml:space="preserve"> %</w:t>
            </w:r>
          </w:p>
        </w:tc>
      </w:tr>
      <w:tr w:rsidR="00B92790" w:rsidRPr="003149DA" w14:paraId="559D821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440FFD28"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w:t>
            </w:r>
          </w:p>
        </w:tc>
        <w:tc>
          <w:tcPr>
            <w:tcW w:w="1134" w:type="dxa"/>
          </w:tcPr>
          <w:p w14:paraId="346FB03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1 055</w:t>
            </w:r>
          </w:p>
        </w:tc>
        <w:tc>
          <w:tcPr>
            <w:tcW w:w="708" w:type="dxa"/>
          </w:tcPr>
          <w:p w14:paraId="3BC7E8C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3</w:t>
            </w:r>
          </w:p>
        </w:tc>
        <w:tc>
          <w:tcPr>
            <w:tcW w:w="993" w:type="dxa"/>
            <w:noWrap/>
          </w:tcPr>
          <w:p w14:paraId="7F3ACA8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189</w:t>
            </w:r>
          </w:p>
        </w:tc>
        <w:tc>
          <w:tcPr>
            <w:tcW w:w="992" w:type="dxa"/>
            <w:noWrap/>
          </w:tcPr>
          <w:p w14:paraId="0D777C0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w:t>
            </w:r>
          </w:p>
        </w:tc>
        <w:tc>
          <w:tcPr>
            <w:tcW w:w="850" w:type="dxa"/>
          </w:tcPr>
          <w:p w14:paraId="3BDDBED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44EEC44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674" w:type="dxa"/>
          </w:tcPr>
          <w:p w14:paraId="16EBA10C"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688DFC0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1 251</w:t>
            </w:r>
          </w:p>
        </w:tc>
        <w:tc>
          <w:tcPr>
            <w:tcW w:w="957" w:type="dxa"/>
            <w:tcBorders>
              <w:right w:val="nil"/>
            </w:tcBorders>
          </w:tcPr>
          <w:p w14:paraId="2A09D0D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w:t>
            </w:r>
            <w:r>
              <w:rPr>
                <w:rFonts w:asciiTheme="minorHAnsi" w:eastAsia="Times New Roman" w:hAnsiTheme="minorHAnsi" w:cs="Calibri"/>
                <w:color w:val="000000"/>
                <w:szCs w:val="18"/>
                <w:lang w:eastAsia="cs-CZ"/>
              </w:rPr>
              <w:t>2</w:t>
            </w:r>
            <w:r w:rsidRPr="00C6728C">
              <w:rPr>
                <w:rFonts w:asciiTheme="minorHAnsi" w:eastAsia="Times New Roman" w:hAnsiTheme="minorHAnsi" w:cs="Calibri"/>
                <w:color w:val="000000"/>
                <w:szCs w:val="18"/>
                <w:lang w:eastAsia="cs-CZ"/>
              </w:rPr>
              <w:t xml:space="preserve"> %</w:t>
            </w:r>
          </w:p>
        </w:tc>
      </w:tr>
      <w:tr w:rsidR="00B92790" w:rsidRPr="003149DA" w14:paraId="57B4CE2C"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1694E98D"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 %</w:t>
            </w:r>
          </w:p>
        </w:tc>
        <w:tc>
          <w:tcPr>
            <w:tcW w:w="1134" w:type="dxa"/>
          </w:tcPr>
          <w:p w14:paraId="69D09259"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29 %</w:t>
            </w:r>
          </w:p>
        </w:tc>
        <w:tc>
          <w:tcPr>
            <w:tcW w:w="708" w:type="dxa"/>
          </w:tcPr>
          <w:p w14:paraId="018B4F2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30 %</w:t>
            </w:r>
          </w:p>
        </w:tc>
        <w:tc>
          <w:tcPr>
            <w:tcW w:w="993" w:type="dxa"/>
            <w:noWrap/>
          </w:tcPr>
          <w:p w14:paraId="58685772"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10</w:t>
            </w:r>
            <w:r w:rsidRPr="00C6728C">
              <w:rPr>
                <w:rFonts w:asciiTheme="minorHAnsi" w:eastAsia="Times New Roman" w:hAnsiTheme="minorHAnsi" w:cs="Calibri"/>
                <w:color w:val="000000"/>
                <w:szCs w:val="18"/>
                <w:lang w:eastAsia="cs-CZ"/>
              </w:rPr>
              <w:t xml:space="preserve"> %</w:t>
            </w:r>
          </w:p>
        </w:tc>
        <w:tc>
          <w:tcPr>
            <w:tcW w:w="992" w:type="dxa"/>
            <w:noWrap/>
          </w:tcPr>
          <w:p w14:paraId="35EF86C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w:t>
            </w:r>
            <w:r w:rsidRPr="00C6728C">
              <w:rPr>
                <w:rFonts w:asciiTheme="minorHAnsi" w:eastAsia="Times New Roman" w:hAnsiTheme="minorHAnsi" w:cs="Calibri"/>
                <w:color w:val="000000"/>
                <w:szCs w:val="18"/>
                <w:lang w:eastAsia="cs-CZ"/>
              </w:rPr>
              <w:t xml:space="preserve"> %</w:t>
            </w:r>
          </w:p>
        </w:tc>
        <w:tc>
          <w:tcPr>
            <w:tcW w:w="850" w:type="dxa"/>
          </w:tcPr>
          <w:p w14:paraId="411382B3"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886" w:type="dxa"/>
            <w:noWrap/>
          </w:tcPr>
          <w:p w14:paraId="2489DC2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674" w:type="dxa"/>
          </w:tcPr>
          <w:p w14:paraId="57CF96D0"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3149DA">
              <w:rPr>
                <w:rFonts w:asciiTheme="minorHAnsi" w:eastAsia="Times New Roman" w:hAnsiTheme="minorHAnsi" w:cs="Calibri"/>
                <w:color w:val="000000"/>
                <w:szCs w:val="18"/>
                <w:lang w:eastAsia="cs-CZ"/>
              </w:rPr>
              <w:t>0 %</w:t>
            </w:r>
          </w:p>
        </w:tc>
        <w:tc>
          <w:tcPr>
            <w:tcW w:w="992" w:type="dxa"/>
            <w:noWrap/>
          </w:tcPr>
          <w:p w14:paraId="51D990D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957" w:type="dxa"/>
            <w:tcBorders>
              <w:right w:val="nil"/>
            </w:tcBorders>
          </w:tcPr>
          <w:p w14:paraId="229560F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r>
      <w:tr w:rsidR="00BC1A01" w:rsidRPr="00470A25" w14:paraId="483A2EA6"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shd w:val="clear" w:color="auto" w:fill="E7F5CF" w:themeFill="accent1" w:themeFillTint="33"/>
          </w:tcPr>
          <w:p w14:paraId="4E5658E8" w14:textId="77777777" w:rsidR="00B92790" w:rsidRPr="00470A25" w:rsidRDefault="00B92790" w:rsidP="00B92790">
            <w:pPr>
              <w:spacing w:after="0" w:line="240" w:lineRule="auto"/>
              <w:rPr>
                <w:rFonts w:asciiTheme="minorHAnsi" w:eastAsia="Times New Roman" w:hAnsiTheme="minorHAnsi" w:cs="Calibri"/>
                <w:color w:val="000000"/>
                <w:szCs w:val="18"/>
                <w:lang w:eastAsia="cs-CZ"/>
              </w:rPr>
            </w:pPr>
            <w:r w:rsidRPr="00470A25">
              <w:rPr>
                <w:rFonts w:asciiTheme="minorHAnsi" w:eastAsia="Times New Roman" w:hAnsiTheme="minorHAnsi" w:cs="Calibri"/>
                <w:color w:val="000000"/>
                <w:szCs w:val="18"/>
                <w:lang w:eastAsia="cs-CZ"/>
              </w:rPr>
              <w:t>Inovace</w:t>
            </w:r>
          </w:p>
        </w:tc>
        <w:tc>
          <w:tcPr>
            <w:tcW w:w="1134" w:type="dxa"/>
            <w:shd w:val="clear" w:color="auto" w:fill="E7F5CF" w:themeFill="accent1" w:themeFillTint="33"/>
          </w:tcPr>
          <w:p w14:paraId="619D9DD6"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708" w:type="dxa"/>
            <w:shd w:val="clear" w:color="auto" w:fill="E7F5CF" w:themeFill="accent1" w:themeFillTint="33"/>
          </w:tcPr>
          <w:p w14:paraId="76BD079C"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3" w:type="dxa"/>
            <w:shd w:val="clear" w:color="auto" w:fill="E7F5CF" w:themeFill="accent1" w:themeFillTint="33"/>
            <w:noWrap/>
          </w:tcPr>
          <w:p w14:paraId="4CD9E8F4"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5ECAA717"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850" w:type="dxa"/>
            <w:shd w:val="clear" w:color="auto" w:fill="E7F5CF" w:themeFill="accent1" w:themeFillTint="33"/>
          </w:tcPr>
          <w:p w14:paraId="1F78FE04"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886" w:type="dxa"/>
            <w:shd w:val="clear" w:color="auto" w:fill="E7F5CF" w:themeFill="accent1" w:themeFillTint="33"/>
            <w:noWrap/>
          </w:tcPr>
          <w:p w14:paraId="7FB59F10"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674" w:type="dxa"/>
            <w:shd w:val="clear" w:color="auto" w:fill="E7F5CF" w:themeFill="accent1" w:themeFillTint="33"/>
          </w:tcPr>
          <w:p w14:paraId="75A4312E"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36FFA208"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c>
          <w:tcPr>
            <w:tcW w:w="957" w:type="dxa"/>
            <w:tcBorders>
              <w:right w:val="nil"/>
            </w:tcBorders>
            <w:shd w:val="clear" w:color="auto" w:fill="E7F5CF" w:themeFill="accent1" w:themeFillTint="33"/>
          </w:tcPr>
          <w:p w14:paraId="07F7CB2D" w14:textId="77777777" w:rsidR="00B92790" w:rsidRPr="00470A2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Cs w:val="18"/>
                <w:lang w:eastAsia="cs-CZ"/>
              </w:rPr>
            </w:pPr>
          </w:p>
        </w:tc>
      </w:tr>
      <w:tr w:rsidR="00B92790" w:rsidRPr="003149DA" w14:paraId="143C64F5"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7B1C8412"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Alokace</w:t>
            </w:r>
          </w:p>
        </w:tc>
        <w:tc>
          <w:tcPr>
            <w:tcW w:w="1134" w:type="dxa"/>
          </w:tcPr>
          <w:p w14:paraId="1003AAB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708" w:type="dxa"/>
          </w:tcPr>
          <w:p w14:paraId="77B8F1D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993" w:type="dxa"/>
            <w:noWrap/>
          </w:tcPr>
          <w:p w14:paraId="0D22AA43"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05EA883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850" w:type="dxa"/>
          </w:tcPr>
          <w:p w14:paraId="1178381E"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886" w:type="dxa"/>
            <w:noWrap/>
          </w:tcPr>
          <w:p w14:paraId="4C0D88B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674" w:type="dxa"/>
          </w:tcPr>
          <w:p w14:paraId="3E431964"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2F31F8A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10 792</w:t>
            </w:r>
          </w:p>
        </w:tc>
        <w:tc>
          <w:tcPr>
            <w:tcW w:w="957" w:type="dxa"/>
            <w:tcBorders>
              <w:right w:val="nil"/>
            </w:tcBorders>
          </w:tcPr>
          <w:p w14:paraId="2B1D0B0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100 %</w:t>
            </w:r>
          </w:p>
        </w:tc>
      </w:tr>
      <w:tr w:rsidR="00B92790" w:rsidRPr="003149DA" w14:paraId="02021485"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6BF9CFF0"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Vyhlášeno</w:t>
            </w:r>
          </w:p>
        </w:tc>
        <w:tc>
          <w:tcPr>
            <w:tcW w:w="1134" w:type="dxa"/>
          </w:tcPr>
          <w:p w14:paraId="69AB083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4 000</w:t>
            </w:r>
          </w:p>
        </w:tc>
        <w:tc>
          <w:tcPr>
            <w:tcW w:w="708" w:type="dxa"/>
          </w:tcPr>
          <w:p w14:paraId="61674B0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50</w:t>
            </w:r>
          </w:p>
        </w:tc>
        <w:tc>
          <w:tcPr>
            <w:tcW w:w="993" w:type="dxa"/>
            <w:noWrap/>
          </w:tcPr>
          <w:p w14:paraId="52B6EB1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5 500</w:t>
            </w:r>
          </w:p>
        </w:tc>
        <w:tc>
          <w:tcPr>
            <w:tcW w:w="992" w:type="dxa"/>
            <w:noWrap/>
          </w:tcPr>
          <w:p w14:paraId="4E66BCF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4 240</w:t>
            </w:r>
          </w:p>
        </w:tc>
        <w:tc>
          <w:tcPr>
            <w:tcW w:w="850" w:type="dxa"/>
          </w:tcPr>
          <w:p w14:paraId="566CD64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2 700</w:t>
            </w:r>
          </w:p>
        </w:tc>
        <w:tc>
          <w:tcPr>
            <w:tcW w:w="886" w:type="dxa"/>
            <w:noWrap/>
          </w:tcPr>
          <w:p w14:paraId="28654D9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50</w:t>
            </w:r>
          </w:p>
        </w:tc>
        <w:tc>
          <w:tcPr>
            <w:tcW w:w="674" w:type="dxa"/>
          </w:tcPr>
          <w:p w14:paraId="515F687C"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270</w:t>
            </w:r>
          </w:p>
        </w:tc>
        <w:tc>
          <w:tcPr>
            <w:tcW w:w="992" w:type="dxa"/>
            <w:noWrap/>
          </w:tcPr>
          <w:p w14:paraId="54383ED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 xml:space="preserve">16 </w:t>
            </w:r>
            <w:r>
              <w:rPr>
                <w:rFonts w:asciiTheme="minorHAnsi" w:eastAsia="Times New Roman" w:hAnsiTheme="minorHAnsi" w:cs="Calibri"/>
                <w:color w:val="000000"/>
                <w:szCs w:val="18"/>
                <w:lang w:eastAsia="cs-CZ"/>
              </w:rPr>
              <w:t>810</w:t>
            </w:r>
          </w:p>
        </w:tc>
        <w:tc>
          <w:tcPr>
            <w:tcW w:w="957" w:type="dxa"/>
            <w:tcBorders>
              <w:right w:val="nil"/>
            </w:tcBorders>
          </w:tcPr>
          <w:p w14:paraId="0CCF266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15</w:t>
            </w:r>
            <w:r>
              <w:rPr>
                <w:rFonts w:asciiTheme="minorHAnsi" w:eastAsia="Times New Roman" w:hAnsiTheme="minorHAnsi" w:cs="Calibri"/>
                <w:color w:val="000000"/>
                <w:szCs w:val="18"/>
                <w:lang w:eastAsia="cs-CZ"/>
              </w:rPr>
              <w:t>6</w:t>
            </w:r>
            <w:r w:rsidRPr="00C6728C">
              <w:rPr>
                <w:rFonts w:asciiTheme="minorHAnsi" w:eastAsia="Times New Roman" w:hAnsiTheme="minorHAnsi" w:cs="Calibri"/>
                <w:color w:val="000000"/>
                <w:szCs w:val="18"/>
                <w:lang w:eastAsia="cs-CZ"/>
              </w:rPr>
              <w:t xml:space="preserve"> %</w:t>
            </w:r>
          </w:p>
        </w:tc>
      </w:tr>
      <w:tr w:rsidR="00B92790" w:rsidRPr="003149DA" w14:paraId="61FD7119"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24D9DB87"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Požadováno</w:t>
            </w:r>
          </w:p>
        </w:tc>
        <w:tc>
          <w:tcPr>
            <w:tcW w:w="1134" w:type="dxa"/>
          </w:tcPr>
          <w:p w14:paraId="54C7A023"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9 395</w:t>
            </w:r>
          </w:p>
        </w:tc>
        <w:tc>
          <w:tcPr>
            <w:tcW w:w="708" w:type="dxa"/>
          </w:tcPr>
          <w:p w14:paraId="0957443F"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58</w:t>
            </w:r>
          </w:p>
        </w:tc>
        <w:tc>
          <w:tcPr>
            <w:tcW w:w="993" w:type="dxa"/>
            <w:noWrap/>
          </w:tcPr>
          <w:p w14:paraId="73E1DD15"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5 817</w:t>
            </w:r>
          </w:p>
        </w:tc>
        <w:tc>
          <w:tcPr>
            <w:tcW w:w="992" w:type="dxa"/>
            <w:noWrap/>
          </w:tcPr>
          <w:p w14:paraId="3AEB514F"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2 942</w:t>
            </w:r>
          </w:p>
        </w:tc>
        <w:tc>
          <w:tcPr>
            <w:tcW w:w="850" w:type="dxa"/>
          </w:tcPr>
          <w:p w14:paraId="709B2614"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2 973</w:t>
            </w:r>
          </w:p>
        </w:tc>
        <w:tc>
          <w:tcPr>
            <w:tcW w:w="886" w:type="dxa"/>
            <w:noWrap/>
          </w:tcPr>
          <w:p w14:paraId="0B10BA11"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13</w:t>
            </w:r>
          </w:p>
        </w:tc>
        <w:tc>
          <w:tcPr>
            <w:tcW w:w="674" w:type="dxa"/>
          </w:tcPr>
          <w:p w14:paraId="1BBEC7C3"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101</w:t>
            </w:r>
          </w:p>
        </w:tc>
        <w:tc>
          <w:tcPr>
            <w:tcW w:w="992" w:type="dxa"/>
            <w:noWrap/>
          </w:tcPr>
          <w:p w14:paraId="0102566A"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21 299</w:t>
            </w:r>
          </w:p>
        </w:tc>
        <w:tc>
          <w:tcPr>
            <w:tcW w:w="957" w:type="dxa"/>
            <w:tcBorders>
              <w:right w:val="nil"/>
            </w:tcBorders>
          </w:tcPr>
          <w:p w14:paraId="51B9DA6D"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197 %</w:t>
            </w:r>
          </w:p>
        </w:tc>
      </w:tr>
      <w:tr w:rsidR="00B92790" w:rsidRPr="003149DA" w14:paraId="3FB20DC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52E8A7CB"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proofErr w:type="spellStart"/>
            <w:r w:rsidRPr="00470A25">
              <w:rPr>
                <w:rFonts w:asciiTheme="minorHAnsi" w:eastAsia="Times New Roman" w:hAnsiTheme="minorHAnsi" w:cs="Calibri"/>
                <w:b w:val="0"/>
                <w:color w:val="000000"/>
                <w:szCs w:val="18"/>
                <w:lang w:eastAsia="cs-CZ"/>
              </w:rPr>
              <w:t>Zazávazkováno</w:t>
            </w:r>
            <w:proofErr w:type="spellEnd"/>
          </w:p>
        </w:tc>
        <w:tc>
          <w:tcPr>
            <w:tcW w:w="1134" w:type="dxa"/>
          </w:tcPr>
          <w:p w14:paraId="4279FD2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2 573</w:t>
            </w:r>
          </w:p>
        </w:tc>
        <w:tc>
          <w:tcPr>
            <w:tcW w:w="708" w:type="dxa"/>
          </w:tcPr>
          <w:p w14:paraId="5CF2667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47</w:t>
            </w:r>
          </w:p>
        </w:tc>
        <w:tc>
          <w:tcPr>
            <w:tcW w:w="993" w:type="dxa"/>
            <w:noWrap/>
          </w:tcPr>
          <w:p w14:paraId="5A50AE4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2 951</w:t>
            </w:r>
          </w:p>
        </w:tc>
        <w:tc>
          <w:tcPr>
            <w:tcW w:w="992" w:type="dxa"/>
            <w:noWrap/>
          </w:tcPr>
          <w:p w14:paraId="643AC09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1 938</w:t>
            </w:r>
          </w:p>
        </w:tc>
        <w:tc>
          <w:tcPr>
            <w:tcW w:w="850" w:type="dxa"/>
          </w:tcPr>
          <w:p w14:paraId="3CFB692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13FDC02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7</w:t>
            </w:r>
          </w:p>
        </w:tc>
        <w:tc>
          <w:tcPr>
            <w:tcW w:w="674" w:type="dxa"/>
          </w:tcPr>
          <w:p w14:paraId="08C180D9"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0278AEC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7 516</w:t>
            </w:r>
          </w:p>
        </w:tc>
        <w:tc>
          <w:tcPr>
            <w:tcW w:w="957" w:type="dxa"/>
            <w:tcBorders>
              <w:right w:val="nil"/>
            </w:tcBorders>
          </w:tcPr>
          <w:p w14:paraId="6AD670C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70</w:t>
            </w:r>
            <w:r w:rsidRPr="00C6728C">
              <w:rPr>
                <w:rFonts w:asciiTheme="minorHAnsi" w:eastAsia="Times New Roman" w:hAnsiTheme="minorHAnsi" w:cs="Calibri"/>
                <w:color w:val="000000"/>
                <w:szCs w:val="18"/>
                <w:lang w:eastAsia="cs-CZ"/>
              </w:rPr>
              <w:t xml:space="preserve"> %</w:t>
            </w:r>
          </w:p>
        </w:tc>
      </w:tr>
      <w:tr w:rsidR="00B92790" w:rsidRPr="003149DA" w14:paraId="44EF718D"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2CC7DA79"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w:t>
            </w:r>
          </w:p>
        </w:tc>
        <w:tc>
          <w:tcPr>
            <w:tcW w:w="1134" w:type="dxa"/>
          </w:tcPr>
          <w:p w14:paraId="0A15108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1 639</w:t>
            </w:r>
          </w:p>
        </w:tc>
        <w:tc>
          <w:tcPr>
            <w:tcW w:w="708" w:type="dxa"/>
          </w:tcPr>
          <w:p w14:paraId="6526CF5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7</w:t>
            </w:r>
          </w:p>
        </w:tc>
        <w:tc>
          <w:tcPr>
            <w:tcW w:w="993" w:type="dxa"/>
            <w:noWrap/>
          </w:tcPr>
          <w:p w14:paraId="1CED62C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569</w:t>
            </w:r>
          </w:p>
        </w:tc>
        <w:tc>
          <w:tcPr>
            <w:tcW w:w="992" w:type="dxa"/>
            <w:noWrap/>
          </w:tcPr>
          <w:p w14:paraId="59F4014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97</w:t>
            </w:r>
          </w:p>
        </w:tc>
        <w:tc>
          <w:tcPr>
            <w:tcW w:w="850" w:type="dxa"/>
          </w:tcPr>
          <w:p w14:paraId="00E2D4F9"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1910FA73"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674" w:type="dxa"/>
          </w:tcPr>
          <w:p w14:paraId="3B64C4C7"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23DDD1B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2 312</w:t>
            </w:r>
          </w:p>
        </w:tc>
        <w:tc>
          <w:tcPr>
            <w:tcW w:w="957" w:type="dxa"/>
            <w:tcBorders>
              <w:right w:val="nil"/>
            </w:tcBorders>
          </w:tcPr>
          <w:p w14:paraId="0FC2F2F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21 %</w:t>
            </w:r>
          </w:p>
        </w:tc>
      </w:tr>
      <w:tr w:rsidR="00B92790" w:rsidRPr="003149DA" w14:paraId="4365B93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30E4122E"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 %</w:t>
            </w:r>
          </w:p>
        </w:tc>
        <w:tc>
          <w:tcPr>
            <w:tcW w:w="1134" w:type="dxa"/>
          </w:tcPr>
          <w:p w14:paraId="389A2E0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6</w:t>
            </w:r>
            <w:r>
              <w:rPr>
                <w:rFonts w:asciiTheme="minorHAnsi" w:eastAsia="Times New Roman" w:hAnsiTheme="minorHAnsi" w:cs="Calibri"/>
                <w:color w:val="000000"/>
                <w:szCs w:val="18"/>
                <w:lang w:eastAsia="cs-CZ"/>
              </w:rPr>
              <w:t>4</w:t>
            </w:r>
            <w:r w:rsidRPr="00C6728C">
              <w:rPr>
                <w:rFonts w:asciiTheme="minorHAnsi" w:eastAsia="Times New Roman" w:hAnsiTheme="minorHAnsi" w:cs="Calibri"/>
                <w:color w:val="000000"/>
                <w:szCs w:val="18"/>
                <w:lang w:eastAsia="cs-CZ"/>
              </w:rPr>
              <w:t xml:space="preserve"> %</w:t>
            </w:r>
          </w:p>
        </w:tc>
        <w:tc>
          <w:tcPr>
            <w:tcW w:w="708" w:type="dxa"/>
          </w:tcPr>
          <w:p w14:paraId="0DE488A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w:t>
            </w:r>
            <w:r>
              <w:rPr>
                <w:rFonts w:asciiTheme="minorHAnsi" w:eastAsia="Times New Roman" w:hAnsiTheme="minorHAnsi" w:cs="Calibri"/>
                <w:color w:val="000000"/>
                <w:szCs w:val="18"/>
                <w:lang w:eastAsia="cs-CZ"/>
              </w:rPr>
              <w:t>5</w:t>
            </w:r>
            <w:r w:rsidRPr="00C6728C">
              <w:rPr>
                <w:rFonts w:asciiTheme="minorHAnsi" w:eastAsia="Times New Roman" w:hAnsiTheme="minorHAnsi" w:cs="Calibri"/>
                <w:color w:val="000000"/>
                <w:szCs w:val="18"/>
                <w:lang w:eastAsia="cs-CZ"/>
              </w:rPr>
              <w:t xml:space="preserve"> %</w:t>
            </w:r>
          </w:p>
        </w:tc>
        <w:tc>
          <w:tcPr>
            <w:tcW w:w="993" w:type="dxa"/>
            <w:noWrap/>
          </w:tcPr>
          <w:p w14:paraId="135C2F4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19 %</w:t>
            </w:r>
          </w:p>
        </w:tc>
        <w:tc>
          <w:tcPr>
            <w:tcW w:w="992" w:type="dxa"/>
            <w:noWrap/>
          </w:tcPr>
          <w:p w14:paraId="528EE69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5 %</w:t>
            </w:r>
          </w:p>
        </w:tc>
        <w:tc>
          <w:tcPr>
            <w:tcW w:w="850" w:type="dxa"/>
          </w:tcPr>
          <w:p w14:paraId="4F30743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886" w:type="dxa"/>
            <w:noWrap/>
          </w:tcPr>
          <w:p w14:paraId="10E626A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674" w:type="dxa"/>
          </w:tcPr>
          <w:p w14:paraId="6865F756"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0 %</w:t>
            </w:r>
          </w:p>
        </w:tc>
        <w:tc>
          <w:tcPr>
            <w:tcW w:w="992" w:type="dxa"/>
            <w:noWrap/>
          </w:tcPr>
          <w:p w14:paraId="2ACE853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57" w:type="dxa"/>
            <w:tcBorders>
              <w:right w:val="nil"/>
            </w:tcBorders>
          </w:tcPr>
          <w:p w14:paraId="4FD898A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r>
      <w:tr w:rsidR="00BC1A01" w:rsidRPr="00470A25" w14:paraId="7E7C1302"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shd w:val="clear" w:color="auto" w:fill="E7F5CF" w:themeFill="accent1" w:themeFillTint="33"/>
          </w:tcPr>
          <w:p w14:paraId="307FCF7F" w14:textId="77777777" w:rsidR="00B92790" w:rsidRPr="00470A25" w:rsidRDefault="00B92790" w:rsidP="00B92790">
            <w:pPr>
              <w:spacing w:after="0" w:line="240" w:lineRule="auto"/>
              <w:rPr>
                <w:rFonts w:asciiTheme="minorHAnsi" w:eastAsia="Times New Roman" w:hAnsiTheme="minorHAnsi" w:cs="Calibri"/>
                <w:color w:val="000000"/>
                <w:szCs w:val="18"/>
                <w:lang w:eastAsia="cs-CZ"/>
              </w:rPr>
            </w:pPr>
            <w:r w:rsidRPr="00470A25">
              <w:rPr>
                <w:rFonts w:asciiTheme="minorHAnsi" w:eastAsia="Times New Roman" w:hAnsiTheme="minorHAnsi" w:cs="Calibri"/>
                <w:color w:val="000000"/>
                <w:szCs w:val="18"/>
                <w:lang w:eastAsia="cs-CZ"/>
              </w:rPr>
              <w:t>Potenciál</w:t>
            </w:r>
          </w:p>
        </w:tc>
        <w:tc>
          <w:tcPr>
            <w:tcW w:w="1134" w:type="dxa"/>
            <w:shd w:val="clear" w:color="auto" w:fill="E7F5CF" w:themeFill="accent1" w:themeFillTint="33"/>
          </w:tcPr>
          <w:p w14:paraId="3248046B"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708" w:type="dxa"/>
            <w:shd w:val="clear" w:color="auto" w:fill="E7F5CF" w:themeFill="accent1" w:themeFillTint="33"/>
          </w:tcPr>
          <w:p w14:paraId="0FDE4914"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3" w:type="dxa"/>
            <w:shd w:val="clear" w:color="auto" w:fill="E7F5CF" w:themeFill="accent1" w:themeFillTint="33"/>
            <w:noWrap/>
          </w:tcPr>
          <w:p w14:paraId="5DA62D53"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4B25B7AC"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850" w:type="dxa"/>
            <w:shd w:val="clear" w:color="auto" w:fill="E7F5CF" w:themeFill="accent1" w:themeFillTint="33"/>
          </w:tcPr>
          <w:p w14:paraId="01041841"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886" w:type="dxa"/>
            <w:shd w:val="clear" w:color="auto" w:fill="E7F5CF" w:themeFill="accent1" w:themeFillTint="33"/>
            <w:noWrap/>
          </w:tcPr>
          <w:p w14:paraId="15233621"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674" w:type="dxa"/>
            <w:shd w:val="clear" w:color="auto" w:fill="E7F5CF" w:themeFill="accent1" w:themeFillTint="33"/>
          </w:tcPr>
          <w:p w14:paraId="02E05288"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92" w:type="dxa"/>
            <w:shd w:val="clear" w:color="auto" w:fill="E7F5CF" w:themeFill="accent1" w:themeFillTint="33"/>
            <w:noWrap/>
          </w:tcPr>
          <w:p w14:paraId="72CACF68"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c>
          <w:tcPr>
            <w:tcW w:w="957" w:type="dxa"/>
            <w:tcBorders>
              <w:right w:val="nil"/>
            </w:tcBorders>
            <w:shd w:val="clear" w:color="auto" w:fill="E7F5CF" w:themeFill="accent1" w:themeFillTint="33"/>
          </w:tcPr>
          <w:p w14:paraId="6983C07B" w14:textId="77777777" w:rsidR="00B92790" w:rsidRPr="00470A2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p>
        </w:tc>
      </w:tr>
      <w:tr w:rsidR="00B92790" w:rsidRPr="003149DA" w14:paraId="00FD44D0"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78F23C3E"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Alokace</w:t>
            </w:r>
          </w:p>
        </w:tc>
        <w:tc>
          <w:tcPr>
            <w:tcW w:w="1134" w:type="dxa"/>
          </w:tcPr>
          <w:p w14:paraId="7FFE14E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708" w:type="dxa"/>
          </w:tcPr>
          <w:p w14:paraId="5175B26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3" w:type="dxa"/>
            <w:noWrap/>
          </w:tcPr>
          <w:p w14:paraId="2B4AA97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6A54C22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850" w:type="dxa"/>
          </w:tcPr>
          <w:p w14:paraId="50A83BC9"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886" w:type="dxa"/>
            <w:noWrap/>
          </w:tcPr>
          <w:p w14:paraId="610A790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674" w:type="dxa"/>
          </w:tcPr>
          <w:p w14:paraId="69D176FA"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p>
        </w:tc>
        <w:tc>
          <w:tcPr>
            <w:tcW w:w="992" w:type="dxa"/>
            <w:noWrap/>
          </w:tcPr>
          <w:p w14:paraId="23CE3D9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6 032</w:t>
            </w:r>
          </w:p>
        </w:tc>
        <w:tc>
          <w:tcPr>
            <w:tcW w:w="957" w:type="dxa"/>
            <w:tcBorders>
              <w:right w:val="nil"/>
            </w:tcBorders>
          </w:tcPr>
          <w:p w14:paraId="3A1CE15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100 %</w:t>
            </w:r>
          </w:p>
        </w:tc>
      </w:tr>
      <w:tr w:rsidR="00B92790" w:rsidRPr="003149DA" w14:paraId="3E126C29"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0F458541"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Vyhlášeno</w:t>
            </w:r>
          </w:p>
        </w:tc>
        <w:tc>
          <w:tcPr>
            <w:tcW w:w="1134" w:type="dxa"/>
          </w:tcPr>
          <w:p w14:paraId="7915D019"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2 920</w:t>
            </w:r>
          </w:p>
        </w:tc>
        <w:tc>
          <w:tcPr>
            <w:tcW w:w="708" w:type="dxa"/>
          </w:tcPr>
          <w:p w14:paraId="54DD515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993" w:type="dxa"/>
            <w:noWrap/>
          </w:tcPr>
          <w:p w14:paraId="498681B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2 500</w:t>
            </w:r>
          </w:p>
        </w:tc>
        <w:tc>
          <w:tcPr>
            <w:tcW w:w="992" w:type="dxa"/>
            <w:noWrap/>
          </w:tcPr>
          <w:p w14:paraId="482C61F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1 500</w:t>
            </w:r>
          </w:p>
        </w:tc>
        <w:tc>
          <w:tcPr>
            <w:tcW w:w="850" w:type="dxa"/>
          </w:tcPr>
          <w:p w14:paraId="69B80C7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1 300</w:t>
            </w:r>
          </w:p>
        </w:tc>
        <w:tc>
          <w:tcPr>
            <w:tcW w:w="886" w:type="dxa"/>
            <w:noWrap/>
          </w:tcPr>
          <w:p w14:paraId="54C2033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671</w:t>
            </w:r>
          </w:p>
        </w:tc>
        <w:tc>
          <w:tcPr>
            <w:tcW w:w="674" w:type="dxa"/>
          </w:tcPr>
          <w:p w14:paraId="32036A92"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223</w:t>
            </w:r>
          </w:p>
        </w:tc>
        <w:tc>
          <w:tcPr>
            <w:tcW w:w="992" w:type="dxa"/>
            <w:noWrap/>
          </w:tcPr>
          <w:p w14:paraId="481C1EF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w:t>
            </w:r>
            <w:r w:rsidRPr="00C6728C">
              <w:rPr>
                <w:rFonts w:asciiTheme="minorHAnsi" w:eastAsia="Times New Roman" w:hAnsiTheme="minorHAnsi" w:cs="Calibri"/>
                <w:color w:val="000000"/>
                <w:szCs w:val="18"/>
                <w:lang w:eastAsia="cs-CZ"/>
              </w:rPr>
              <w:t xml:space="preserve"> </w:t>
            </w:r>
            <w:r>
              <w:rPr>
                <w:rFonts w:asciiTheme="minorHAnsi" w:eastAsia="Times New Roman" w:hAnsiTheme="minorHAnsi" w:cs="Calibri"/>
                <w:color w:val="000000"/>
                <w:szCs w:val="18"/>
                <w:lang w:eastAsia="cs-CZ"/>
              </w:rPr>
              <w:t>114</w:t>
            </w:r>
          </w:p>
        </w:tc>
        <w:tc>
          <w:tcPr>
            <w:tcW w:w="957" w:type="dxa"/>
            <w:tcBorders>
              <w:right w:val="nil"/>
            </w:tcBorders>
          </w:tcPr>
          <w:p w14:paraId="79DD6902"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w:t>
            </w:r>
            <w:r>
              <w:rPr>
                <w:rFonts w:asciiTheme="minorHAnsi" w:eastAsia="Times New Roman" w:hAnsiTheme="minorHAnsi" w:cs="Calibri"/>
                <w:color w:val="000000"/>
                <w:szCs w:val="18"/>
                <w:lang w:eastAsia="cs-CZ"/>
              </w:rPr>
              <w:t>51</w:t>
            </w:r>
            <w:r w:rsidRPr="00C6728C">
              <w:rPr>
                <w:rFonts w:asciiTheme="minorHAnsi" w:eastAsia="Times New Roman" w:hAnsiTheme="minorHAnsi" w:cs="Calibri"/>
                <w:color w:val="000000"/>
                <w:szCs w:val="18"/>
                <w:lang w:eastAsia="cs-CZ"/>
              </w:rPr>
              <w:t xml:space="preserve"> %</w:t>
            </w:r>
          </w:p>
        </w:tc>
      </w:tr>
      <w:tr w:rsidR="00B92790" w:rsidRPr="003149DA" w14:paraId="1AB91156"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63CC333D"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Požadováno</w:t>
            </w:r>
          </w:p>
        </w:tc>
        <w:tc>
          <w:tcPr>
            <w:tcW w:w="1134" w:type="dxa"/>
          </w:tcPr>
          <w:p w14:paraId="2BD69CE7"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6 793</w:t>
            </w:r>
          </w:p>
        </w:tc>
        <w:tc>
          <w:tcPr>
            <w:tcW w:w="708" w:type="dxa"/>
          </w:tcPr>
          <w:p w14:paraId="634E196A"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3" w:type="dxa"/>
            <w:noWrap/>
          </w:tcPr>
          <w:p w14:paraId="4631ECFF"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3 380</w:t>
            </w:r>
          </w:p>
        </w:tc>
        <w:tc>
          <w:tcPr>
            <w:tcW w:w="992" w:type="dxa"/>
            <w:noWrap/>
          </w:tcPr>
          <w:p w14:paraId="045DC549"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1 003</w:t>
            </w:r>
          </w:p>
        </w:tc>
        <w:tc>
          <w:tcPr>
            <w:tcW w:w="850" w:type="dxa"/>
          </w:tcPr>
          <w:p w14:paraId="1C664269"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275</w:t>
            </w:r>
          </w:p>
        </w:tc>
        <w:tc>
          <w:tcPr>
            <w:tcW w:w="886" w:type="dxa"/>
            <w:noWrap/>
          </w:tcPr>
          <w:p w14:paraId="1A0E7529"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449</w:t>
            </w:r>
          </w:p>
        </w:tc>
        <w:tc>
          <w:tcPr>
            <w:tcW w:w="674" w:type="dxa"/>
          </w:tcPr>
          <w:p w14:paraId="37B17685"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99</w:t>
            </w:r>
          </w:p>
        </w:tc>
        <w:tc>
          <w:tcPr>
            <w:tcW w:w="992" w:type="dxa"/>
            <w:noWrap/>
          </w:tcPr>
          <w:p w14:paraId="2E1C90E1"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11 999</w:t>
            </w:r>
          </w:p>
        </w:tc>
        <w:tc>
          <w:tcPr>
            <w:tcW w:w="957" w:type="dxa"/>
            <w:tcBorders>
              <w:right w:val="nil"/>
            </w:tcBorders>
          </w:tcPr>
          <w:p w14:paraId="18EEC2EF"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199 %</w:t>
            </w:r>
          </w:p>
        </w:tc>
      </w:tr>
      <w:tr w:rsidR="00B92790" w:rsidRPr="003149DA" w14:paraId="2A92AA24"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48DAC0CC"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proofErr w:type="spellStart"/>
            <w:r w:rsidRPr="00470A25">
              <w:rPr>
                <w:rFonts w:asciiTheme="minorHAnsi" w:eastAsia="Times New Roman" w:hAnsiTheme="minorHAnsi" w:cs="Calibri"/>
                <w:b w:val="0"/>
                <w:color w:val="000000"/>
                <w:szCs w:val="18"/>
                <w:lang w:eastAsia="cs-CZ"/>
              </w:rPr>
              <w:t>Zazávazkováno</w:t>
            </w:r>
            <w:proofErr w:type="spellEnd"/>
          </w:p>
        </w:tc>
        <w:tc>
          <w:tcPr>
            <w:tcW w:w="1134" w:type="dxa"/>
          </w:tcPr>
          <w:p w14:paraId="0B23209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1 459</w:t>
            </w:r>
          </w:p>
        </w:tc>
        <w:tc>
          <w:tcPr>
            <w:tcW w:w="708" w:type="dxa"/>
          </w:tcPr>
          <w:p w14:paraId="5DA4EE9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993" w:type="dxa"/>
            <w:noWrap/>
          </w:tcPr>
          <w:p w14:paraId="1B62964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1 839</w:t>
            </w:r>
          </w:p>
        </w:tc>
        <w:tc>
          <w:tcPr>
            <w:tcW w:w="992" w:type="dxa"/>
            <w:noWrap/>
          </w:tcPr>
          <w:p w14:paraId="302C508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669</w:t>
            </w:r>
          </w:p>
        </w:tc>
        <w:tc>
          <w:tcPr>
            <w:tcW w:w="850" w:type="dxa"/>
          </w:tcPr>
          <w:p w14:paraId="2F1A150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16A45F3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388</w:t>
            </w:r>
          </w:p>
        </w:tc>
        <w:tc>
          <w:tcPr>
            <w:tcW w:w="674" w:type="dxa"/>
          </w:tcPr>
          <w:p w14:paraId="3AE4AB80"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7194190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4 355</w:t>
            </w:r>
          </w:p>
        </w:tc>
        <w:tc>
          <w:tcPr>
            <w:tcW w:w="957" w:type="dxa"/>
            <w:tcBorders>
              <w:right w:val="nil"/>
            </w:tcBorders>
          </w:tcPr>
          <w:p w14:paraId="5990FEF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72 %</w:t>
            </w:r>
          </w:p>
        </w:tc>
      </w:tr>
      <w:tr w:rsidR="00B92790" w:rsidRPr="003149DA" w14:paraId="46FDEB02"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tcBorders>
          </w:tcPr>
          <w:p w14:paraId="57960171"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w:t>
            </w:r>
          </w:p>
        </w:tc>
        <w:tc>
          <w:tcPr>
            <w:tcW w:w="1134" w:type="dxa"/>
          </w:tcPr>
          <w:p w14:paraId="30C2282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1 137</w:t>
            </w:r>
          </w:p>
        </w:tc>
        <w:tc>
          <w:tcPr>
            <w:tcW w:w="708" w:type="dxa"/>
          </w:tcPr>
          <w:p w14:paraId="238AA99F"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993" w:type="dxa"/>
            <w:noWrap/>
          </w:tcPr>
          <w:p w14:paraId="199A099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343</w:t>
            </w:r>
          </w:p>
        </w:tc>
        <w:tc>
          <w:tcPr>
            <w:tcW w:w="992" w:type="dxa"/>
            <w:noWrap/>
          </w:tcPr>
          <w:p w14:paraId="456F7F2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9</w:t>
            </w:r>
          </w:p>
        </w:tc>
        <w:tc>
          <w:tcPr>
            <w:tcW w:w="850" w:type="dxa"/>
          </w:tcPr>
          <w:p w14:paraId="616D36E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886" w:type="dxa"/>
            <w:noWrap/>
          </w:tcPr>
          <w:p w14:paraId="35E0504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w:t>
            </w:r>
          </w:p>
        </w:tc>
        <w:tc>
          <w:tcPr>
            <w:tcW w:w="674" w:type="dxa"/>
          </w:tcPr>
          <w:p w14:paraId="79748024" w14:textId="77777777" w:rsidR="00B92790" w:rsidRPr="003149DA"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w:t>
            </w:r>
          </w:p>
        </w:tc>
        <w:tc>
          <w:tcPr>
            <w:tcW w:w="992" w:type="dxa"/>
            <w:noWrap/>
          </w:tcPr>
          <w:p w14:paraId="0564E8C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1 489</w:t>
            </w:r>
          </w:p>
        </w:tc>
        <w:tc>
          <w:tcPr>
            <w:tcW w:w="957" w:type="dxa"/>
            <w:tcBorders>
              <w:right w:val="nil"/>
            </w:tcBorders>
          </w:tcPr>
          <w:p w14:paraId="0B43E6E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2</w:t>
            </w:r>
            <w:r>
              <w:rPr>
                <w:rFonts w:asciiTheme="minorHAnsi" w:eastAsia="Times New Roman" w:hAnsiTheme="minorHAnsi" w:cs="Calibri"/>
                <w:color w:val="000000"/>
                <w:szCs w:val="18"/>
                <w:lang w:eastAsia="cs-CZ"/>
              </w:rPr>
              <w:t>5</w:t>
            </w:r>
            <w:r w:rsidRPr="00C6728C">
              <w:rPr>
                <w:rFonts w:asciiTheme="minorHAnsi" w:eastAsia="Times New Roman" w:hAnsiTheme="minorHAnsi" w:cs="Calibri"/>
                <w:color w:val="000000"/>
                <w:szCs w:val="18"/>
                <w:lang w:eastAsia="cs-CZ"/>
              </w:rPr>
              <w:t xml:space="preserve"> %</w:t>
            </w:r>
          </w:p>
        </w:tc>
      </w:tr>
      <w:tr w:rsidR="00B92790" w:rsidRPr="003149DA" w14:paraId="4E529513"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68" w:type="dxa"/>
            <w:tcBorders>
              <w:left w:val="nil"/>
              <w:bottom w:val="single" w:sz="4" w:space="0" w:color="86BC25" w:themeColor="accent1"/>
            </w:tcBorders>
          </w:tcPr>
          <w:p w14:paraId="162D8352" w14:textId="77777777" w:rsidR="00B92790" w:rsidRPr="00470A25" w:rsidRDefault="00B92790" w:rsidP="00B92790">
            <w:pPr>
              <w:spacing w:after="0" w:line="240" w:lineRule="auto"/>
              <w:rPr>
                <w:rFonts w:asciiTheme="minorHAnsi" w:eastAsia="Times New Roman" w:hAnsiTheme="minorHAnsi" w:cs="Calibri"/>
                <w:b w:val="0"/>
                <w:color w:val="000000"/>
                <w:szCs w:val="18"/>
                <w:lang w:eastAsia="cs-CZ"/>
              </w:rPr>
            </w:pPr>
            <w:r w:rsidRPr="00470A25">
              <w:rPr>
                <w:rFonts w:asciiTheme="minorHAnsi" w:eastAsia="Times New Roman" w:hAnsiTheme="minorHAnsi" w:cs="Calibri"/>
                <w:b w:val="0"/>
                <w:color w:val="000000"/>
                <w:szCs w:val="18"/>
                <w:lang w:eastAsia="cs-CZ"/>
              </w:rPr>
              <w:t>Proplaceno %</w:t>
            </w:r>
          </w:p>
        </w:tc>
        <w:tc>
          <w:tcPr>
            <w:tcW w:w="1134" w:type="dxa"/>
            <w:tcBorders>
              <w:bottom w:val="single" w:sz="4" w:space="0" w:color="86BC25" w:themeColor="accent1"/>
            </w:tcBorders>
          </w:tcPr>
          <w:p w14:paraId="6B13A13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7</w:t>
            </w:r>
            <w:r>
              <w:rPr>
                <w:rFonts w:asciiTheme="minorHAnsi" w:eastAsia="Times New Roman" w:hAnsiTheme="minorHAnsi" w:cs="Calibri"/>
                <w:color w:val="000000"/>
                <w:szCs w:val="18"/>
                <w:lang w:eastAsia="cs-CZ"/>
              </w:rPr>
              <w:t>8</w:t>
            </w:r>
            <w:r w:rsidRPr="00C6728C">
              <w:rPr>
                <w:rFonts w:asciiTheme="minorHAnsi" w:eastAsia="Times New Roman" w:hAnsiTheme="minorHAnsi" w:cs="Calibri"/>
                <w:color w:val="000000"/>
                <w:szCs w:val="18"/>
                <w:lang w:eastAsia="cs-CZ"/>
              </w:rPr>
              <w:t xml:space="preserve"> %</w:t>
            </w:r>
          </w:p>
        </w:tc>
        <w:tc>
          <w:tcPr>
            <w:tcW w:w="708" w:type="dxa"/>
            <w:tcBorders>
              <w:bottom w:val="single" w:sz="4" w:space="0" w:color="86BC25" w:themeColor="accent1"/>
            </w:tcBorders>
          </w:tcPr>
          <w:p w14:paraId="6B1D100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993" w:type="dxa"/>
            <w:tcBorders>
              <w:bottom w:val="single" w:sz="4" w:space="0" w:color="86BC25" w:themeColor="accent1"/>
            </w:tcBorders>
            <w:noWrap/>
          </w:tcPr>
          <w:p w14:paraId="54FBB96C"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w:t>
            </w:r>
            <w:r>
              <w:rPr>
                <w:rFonts w:asciiTheme="minorHAnsi" w:eastAsia="Times New Roman" w:hAnsiTheme="minorHAnsi" w:cs="Calibri"/>
                <w:color w:val="000000"/>
                <w:szCs w:val="18"/>
                <w:lang w:eastAsia="cs-CZ"/>
              </w:rPr>
              <w:t>9</w:t>
            </w:r>
            <w:r w:rsidRPr="00C6728C">
              <w:rPr>
                <w:rFonts w:asciiTheme="minorHAnsi" w:eastAsia="Times New Roman" w:hAnsiTheme="minorHAnsi" w:cs="Calibri"/>
                <w:color w:val="000000"/>
                <w:szCs w:val="18"/>
                <w:lang w:eastAsia="cs-CZ"/>
              </w:rPr>
              <w:t xml:space="preserve"> %</w:t>
            </w:r>
          </w:p>
        </w:tc>
        <w:tc>
          <w:tcPr>
            <w:tcW w:w="992" w:type="dxa"/>
            <w:tcBorders>
              <w:bottom w:val="single" w:sz="4" w:space="0" w:color="86BC25" w:themeColor="accent1"/>
            </w:tcBorders>
            <w:noWrap/>
          </w:tcPr>
          <w:p w14:paraId="580553F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1 %</w:t>
            </w:r>
          </w:p>
        </w:tc>
        <w:tc>
          <w:tcPr>
            <w:tcW w:w="850" w:type="dxa"/>
            <w:tcBorders>
              <w:bottom w:val="single" w:sz="4" w:space="0" w:color="86BC25" w:themeColor="accent1"/>
            </w:tcBorders>
          </w:tcPr>
          <w:p w14:paraId="5F728AC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886" w:type="dxa"/>
            <w:tcBorders>
              <w:bottom w:val="single" w:sz="4" w:space="0" w:color="86BC25" w:themeColor="accent1"/>
            </w:tcBorders>
            <w:noWrap/>
          </w:tcPr>
          <w:p w14:paraId="484418DE"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sidRPr="00C6728C">
              <w:rPr>
                <w:rFonts w:asciiTheme="minorHAnsi" w:eastAsia="Times New Roman" w:hAnsiTheme="minorHAnsi" w:cs="Calibri"/>
                <w:color w:val="000000"/>
                <w:szCs w:val="18"/>
                <w:lang w:eastAsia="cs-CZ"/>
              </w:rPr>
              <w:t>0 %</w:t>
            </w:r>
          </w:p>
        </w:tc>
        <w:tc>
          <w:tcPr>
            <w:tcW w:w="674" w:type="dxa"/>
            <w:tcBorders>
              <w:bottom w:val="single" w:sz="4" w:space="0" w:color="86BC25" w:themeColor="accent1"/>
            </w:tcBorders>
          </w:tcPr>
          <w:p w14:paraId="777AC52D" w14:textId="77777777" w:rsidR="00B92790" w:rsidRPr="003149DA"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0 %</w:t>
            </w:r>
          </w:p>
        </w:tc>
        <w:tc>
          <w:tcPr>
            <w:tcW w:w="992" w:type="dxa"/>
            <w:tcBorders>
              <w:bottom w:val="single" w:sz="4" w:space="0" w:color="86BC25" w:themeColor="accent1"/>
            </w:tcBorders>
            <w:noWrap/>
          </w:tcPr>
          <w:p w14:paraId="3BEB48F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c>
          <w:tcPr>
            <w:tcW w:w="957" w:type="dxa"/>
            <w:tcBorders>
              <w:bottom w:val="single" w:sz="4" w:space="0" w:color="86BC25" w:themeColor="accent1"/>
              <w:right w:val="nil"/>
            </w:tcBorders>
          </w:tcPr>
          <w:p w14:paraId="4C5AB15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p>
        </w:tc>
      </w:tr>
    </w:tbl>
    <w:p w14:paraId="512DC967" w14:textId="77777777" w:rsidR="00B92790" w:rsidRDefault="00B92790" w:rsidP="00B92790"/>
    <w:p w14:paraId="6494438A" w14:textId="77777777" w:rsidR="00B92790" w:rsidRDefault="00B92790" w:rsidP="00B92790">
      <w:pPr>
        <w:jc w:val="both"/>
      </w:pPr>
      <w:r>
        <w:t xml:space="preserve">U programů Inovace a Potenciál byly vyhlášeny výzvy v celkové hodnotě přibližně 150 % plánované alokace, u programu Aplikace to je méně – pouze 115 %. Tyto údaje jsou však pouze orientační, protože v průběhu období docházelo k navyšování jednotlivých alokací. Důležitější je poměr požadované alokace, která je odrazem zájmu žadatelů o program podpory a dále pak poměry </w:t>
      </w:r>
      <w:proofErr w:type="spellStart"/>
      <w:r>
        <w:t>zazávazkovaných</w:t>
      </w:r>
      <w:proofErr w:type="spellEnd"/>
      <w:r>
        <w:t xml:space="preserve"> a proplacených prostředků. Zájem žadatelů je u všech programů podpory dostatečný, v součtu požadovaná alokace odpovídá dvojnásobku vyhlášené alokace. Zároveň jsou ale patrné i dílčí nedostatky, resp. nezájem, na úrovni dílčích výzev. Např. ve výzvě V. programu Aplikace bylo požádáno pouze o 85 mil. Kč z dostupných 400 mil. Kč. Obdobně tomu bylo u výzev VI. programu Inovace (13 z 50 mil. Kč) a výzvy V. programu Potenciál (275 z 1 300 mil. Kč).</w:t>
      </w:r>
    </w:p>
    <w:p w14:paraId="26EFFE25" w14:textId="77777777" w:rsidR="00B92790" w:rsidRDefault="00B92790" w:rsidP="00B92790">
      <w:pPr>
        <w:jc w:val="both"/>
      </w:pPr>
      <w:r>
        <w:t xml:space="preserve">Ze zkušeností z předchozích programových období lze předpokládat, že nedojde k plnému vyčerpání </w:t>
      </w:r>
      <w:proofErr w:type="spellStart"/>
      <w:r>
        <w:t>zazávazkované</w:t>
      </w:r>
      <w:proofErr w:type="spellEnd"/>
      <w:r>
        <w:t xml:space="preserve"> alokace. Protože u části projektů dojde k jejich předčasnému ukončení, ať již ze strany příjemce nebo řídícího orgánu. Z dosud ukončených projektů je úspěšnost čerpání 88,71 %. Jinými slovy, 11,29 % </w:t>
      </w:r>
      <w:proofErr w:type="spellStart"/>
      <w:r>
        <w:t>zazávazkované</w:t>
      </w:r>
      <w:proofErr w:type="spellEnd"/>
      <w:r>
        <w:t xml:space="preserve"> alokace se nepodařilo vyčerpat. Údaje za jednotlivé programy jsou srovnatelné, nejlépe se daří příjemcům čerpat v programu Potenciál.</w:t>
      </w:r>
    </w:p>
    <w:p w14:paraId="5FF59254" w14:textId="77777777" w:rsidR="00B92790" w:rsidRDefault="00B92790" w:rsidP="00B92790">
      <w:pPr>
        <w:spacing w:after="0" w:line="240" w:lineRule="auto"/>
        <w:rPr>
          <w:iCs/>
          <w:color w:val="75787B" w:themeColor="accent6"/>
          <w:sz w:val="17"/>
          <w:szCs w:val="18"/>
        </w:rPr>
      </w:pPr>
      <w:r>
        <w:br w:type="page"/>
      </w:r>
    </w:p>
    <w:p w14:paraId="6AFB85E4" w14:textId="579101FA"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26</w:t>
      </w:r>
      <w:r>
        <w:fldChar w:fldCharType="end"/>
      </w:r>
      <w:r>
        <w:t xml:space="preserve"> - Skutečné čerpání ukončených projektů</w:t>
      </w:r>
    </w:p>
    <w:tbl>
      <w:tblPr>
        <w:tblStyle w:val="ListTable3-Accent11"/>
        <w:tblW w:w="5000" w:type="pct"/>
        <w:tblBorders>
          <w:left w:val="none" w:sz="0" w:space="0" w:color="auto"/>
          <w:right w:val="none" w:sz="0" w:space="0" w:color="auto"/>
          <w:insideH w:val="single" w:sz="4" w:space="0" w:color="86BC25" w:themeColor="accent1"/>
        </w:tblBorders>
        <w:tblLook w:val="06E0" w:firstRow="1" w:lastRow="1" w:firstColumn="1" w:lastColumn="0" w:noHBand="1" w:noVBand="1"/>
      </w:tblPr>
      <w:tblGrid>
        <w:gridCol w:w="2599"/>
        <w:gridCol w:w="3028"/>
        <w:gridCol w:w="2627"/>
        <w:gridCol w:w="1384"/>
      </w:tblGrid>
      <w:tr w:rsidR="00B92790" w:rsidRPr="00C63160" w14:paraId="237F5ED1" w14:textId="77777777" w:rsidTr="005715E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48" w:type="pct"/>
            <w:vMerge w:val="restart"/>
            <w:hideMark/>
          </w:tcPr>
          <w:p w14:paraId="4E4C72D0" w14:textId="77777777" w:rsidR="00B92790" w:rsidRPr="00C63160" w:rsidRDefault="00B92790" w:rsidP="00B92790">
            <w:pPr>
              <w:spacing w:after="0" w:line="240" w:lineRule="auto"/>
              <w:rPr>
                <w:rFonts w:asciiTheme="majorHAnsi" w:eastAsia="Times New Roman" w:hAnsiTheme="majorHAnsi" w:cs="Times New Roman"/>
                <w:color w:val="FFFFFF"/>
                <w:szCs w:val="18"/>
                <w:lang w:eastAsia="cs-CZ"/>
              </w:rPr>
            </w:pPr>
            <w:r w:rsidRPr="00C63160">
              <w:rPr>
                <w:rFonts w:asciiTheme="majorHAnsi" w:eastAsia="Times New Roman" w:hAnsiTheme="majorHAnsi" w:cs="Calibri"/>
                <w:color w:val="FFFFFF"/>
                <w:szCs w:val="18"/>
                <w:lang w:eastAsia="cs-CZ"/>
              </w:rPr>
              <w:t>Program podpory</w:t>
            </w:r>
          </w:p>
        </w:tc>
        <w:tc>
          <w:tcPr>
            <w:tcW w:w="1571" w:type="pct"/>
            <w:hideMark/>
          </w:tcPr>
          <w:p w14:paraId="65DD807C" w14:textId="77777777" w:rsidR="00B92790" w:rsidRPr="00C63160" w:rsidRDefault="00B92790" w:rsidP="00B9279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proofErr w:type="spellStart"/>
            <w:r w:rsidRPr="00C63160">
              <w:rPr>
                <w:rFonts w:asciiTheme="majorHAnsi" w:eastAsia="Times New Roman" w:hAnsiTheme="majorHAnsi" w:cs="Calibri"/>
                <w:color w:val="FFFFFF"/>
                <w:szCs w:val="18"/>
                <w:lang w:eastAsia="cs-CZ"/>
              </w:rPr>
              <w:t>Zazávazkováno</w:t>
            </w:r>
            <w:proofErr w:type="spellEnd"/>
          </w:p>
        </w:tc>
        <w:tc>
          <w:tcPr>
            <w:tcW w:w="2081" w:type="pct"/>
            <w:gridSpan w:val="2"/>
            <w:hideMark/>
          </w:tcPr>
          <w:p w14:paraId="7D96F69A" w14:textId="77777777" w:rsidR="00B92790" w:rsidRPr="00C63160" w:rsidRDefault="00B92790" w:rsidP="00B9279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C63160">
              <w:rPr>
                <w:rFonts w:asciiTheme="majorHAnsi" w:eastAsia="Times New Roman" w:hAnsiTheme="majorHAnsi" w:cs="Calibri"/>
                <w:color w:val="FFFFFF"/>
                <w:szCs w:val="18"/>
                <w:lang w:eastAsia="cs-CZ"/>
              </w:rPr>
              <w:t>Proplaceno</w:t>
            </w:r>
          </w:p>
        </w:tc>
      </w:tr>
      <w:tr w:rsidR="00B92790" w:rsidRPr="00C63160" w14:paraId="1D91F3B2" w14:textId="77777777" w:rsidTr="005715E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348" w:type="pct"/>
            <w:vMerge/>
          </w:tcPr>
          <w:p w14:paraId="68654EEA" w14:textId="77777777" w:rsidR="00B92790" w:rsidRPr="00C63160" w:rsidRDefault="00B92790" w:rsidP="00B92790">
            <w:pPr>
              <w:spacing w:after="0" w:line="240" w:lineRule="auto"/>
              <w:jc w:val="center"/>
              <w:rPr>
                <w:rFonts w:asciiTheme="majorHAnsi" w:eastAsia="Times New Roman" w:hAnsiTheme="majorHAnsi" w:cs="Calibri"/>
                <w:color w:val="FFFFFF"/>
                <w:szCs w:val="18"/>
                <w:lang w:eastAsia="cs-CZ"/>
              </w:rPr>
            </w:pPr>
          </w:p>
        </w:tc>
        <w:tc>
          <w:tcPr>
            <w:tcW w:w="1571" w:type="pct"/>
          </w:tcPr>
          <w:p w14:paraId="119162CB" w14:textId="77777777" w:rsidR="00B92790" w:rsidRPr="00C63160" w:rsidRDefault="00B92790" w:rsidP="00B9279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C63160">
              <w:rPr>
                <w:rFonts w:asciiTheme="majorHAnsi" w:eastAsia="Times New Roman" w:hAnsiTheme="majorHAnsi" w:cs="Calibri"/>
                <w:color w:val="FFFFFF"/>
                <w:szCs w:val="18"/>
                <w:lang w:eastAsia="cs-CZ"/>
              </w:rPr>
              <w:t>Kč</w:t>
            </w:r>
          </w:p>
        </w:tc>
        <w:tc>
          <w:tcPr>
            <w:tcW w:w="1363" w:type="pct"/>
          </w:tcPr>
          <w:p w14:paraId="1187BBEC" w14:textId="77777777" w:rsidR="00B92790" w:rsidRPr="00C63160" w:rsidRDefault="00B92790" w:rsidP="00B9279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C63160">
              <w:rPr>
                <w:rFonts w:asciiTheme="majorHAnsi" w:eastAsia="Times New Roman" w:hAnsiTheme="majorHAnsi" w:cs="Calibri"/>
                <w:color w:val="FFFFFF"/>
                <w:szCs w:val="18"/>
                <w:lang w:eastAsia="cs-CZ"/>
              </w:rPr>
              <w:t>Kč</w:t>
            </w:r>
          </w:p>
        </w:tc>
        <w:tc>
          <w:tcPr>
            <w:tcW w:w="718" w:type="pct"/>
          </w:tcPr>
          <w:p w14:paraId="1F410CBA" w14:textId="77777777" w:rsidR="00B92790" w:rsidRPr="00C63160" w:rsidRDefault="00B92790" w:rsidP="00B9279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Cs w:val="18"/>
                <w:lang w:eastAsia="cs-CZ"/>
              </w:rPr>
            </w:pPr>
            <w:r w:rsidRPr="00C63160">
              <w:rPr>
                <w:rFonts w:asciiTheme="majorHAnsi" w:eastAsia="Times New Roman" w:hAnsiTheme="majorHAnsi" w:cs="Calibri"/>
                <w:color w:val="FFFFFF"/>
                <w:szCs w:val="18"/>
                <w:lang w:eastAsia="cs-CZ"/>
              </w:rPr>
              <w:t>%</w:t>
            </w:r>
          </w:p>
        </w:tc>
      </w:tr>
      <w:tr w:rsidR="00B92790" w:rsidRPr="006C494D" w14:paraId="7B61BF9B"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348" w:type="pct"/>
            <w:hideMark/>
          </w:tcPr>
          <w:p w14:paraId="033EA904" w14:textId="77777777" w:rsidR="00B92790" w:rsidRPr="00C6728C" w:rsidRDefault="00B92790" w:rsidP="00B92790">
            <w:pPr>
              <w:spacing w:after="0" w:line="240" w:lineRule="auto"/>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Aplikace</w:t>
            </w:r>
          </w:p>
        </w:tc>
        <w:tc>
          <w:tcPr>
            <w:tcW w:w="1571" w:type="pct"/>
          </w:tcPr>
          <w:p w14:paraId="15E6BE8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41 335 85</w:t>
            </w:r>
            <w:r>
              <w:rPr>
                <w:rFonts w:asciiTheme="majorHAnsi" w:eastAsia="Times New Roman" w:hAnsiTheme="majorHAnsi" w:cs="Calibri"/>
                <w:color w:val="000000"/>
                <w:szCs w:val="18"/>
                <w:lang w:eastAsia="cs-CZ"/>
              </w:rPr>
              <w:t>4</w:t>
            </w:r>
            <w:r w:rsidRPr="00C6728C">
              <w:rPr>
                <w:rFonts w:asciiTheme="majorHAnsi" w:eastAsia="Times New Roman" w:hAnsiTheme="majorHAnsi" w:cs="Calibri"/>
                <w:color w:val="000000"/>
                <w:szCs w:val="18"/>
                <w:lang w:eastAsia="cs-CZ"/>
              </w:rPr>
              <w:t xml:space="preserve"> Kč</w:t>
            </w:r>
          </w:p>
        </w:tc>
        <w:tc>
          <w:tcPr>
            <w:tcW w:w="1363" w:type="pct"/>
            <w:hideMark/>
          </w:tcPr>
          <w:p w14:paraId="5027B36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35 307 2</w:t>
            </w:r>
            <w:r>
              <w:rPr>
                <w:rFonts w:asciiTheme="majorHAnsi" w:eastAsia="Times New Roman" w:hAnsiTheme="majorHAnsi" w:cs="Calibri"/>
                <w:color w:val="000000"/>
                <w:szCs w:val="18"/>
                <w:lang w:eastAsia="cs-CZ"/>
              </w:rPr>
              <w:t>50</w:t>
            </w:r>
            <w:r w:rsidRPr="00C6728C">
              <w:rPr>
                <w:rFonts w:asciiTheme="majorHAnsi" w:eastAsia="Times New Roman" w:hAnsiTheme="majorHAnsi" w:cs="Calibri"/>
                <w:color w:val="000000"/>
                <w:szCs w:val="18"/>
                <w:lang w:eastAsia="cs-CZ"/>
              </w:rPr>
              <w:t xml:space="preserve"> Kč</w:t>
            </w:r>
          </w:p>
        </w:tc>
        <w:tc>
          <w:tcPr>
            <w:tcW w:w="718" w:type="pct"/>
          </w:tcPr>
          <w:p w14:paraId="1E1A8B6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85,42 %</w:t>
            </w:r>
          </w:p>
        </w:tc>
      </w:tr>
      <w:tr w:rsidR="00B92790" w:rsidRPr="006C494D" w14:paraId="13B7C2DB"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348" w:type="pct"/>
            <w:hideMark/>
          </w:tcPr>
          <w:p w14:paraId="7000A66D" w14:textId="77777777" w:rsidR="00B92790" w:rsidRPr="00C6728C" w:rsidRDefault="00B92790" w:rsidP="00B92790">
            <w:pPr>
              <w:spacing w:after="0" w:line="240" w:lineRule="auto"/>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Inovace</w:t>
            </w:r>
          </w:p>
        </w:tc>
        <w:tc>
          <w:tcPr>
            <w:tcW w:w="1571" w:type="pct"/>
          </w:tcPr>
          <w:p w14:paraId="63FD8D0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1 877 223 92</w:t>
            </w:r>
            <w:r>
              <w:rPr>
                <w:rFonts w:asciiTheme="majorHAnsi" w:eastAsia="Times New Roman" w:hAnsiTheme="majorHAnsi" w:cs="Calibri"/>
                <w:color w:val="000000"/>
                <w:szCs w:val="18"/>
                <w:lang w:eastAsia="cs-CZ"/>
              </w:rPr>
              <w:t>3</w:t>
            </w:r>
            <w:r w:rsidRPr="00C6728C">
              <w:rPr>
                <w:rFonts w:asciiTheme="majorHAnsi" w:eastAsia="Times New Roman" w:hAnsiTheme="majorHAnsi" w:cs="Calibri"/>
                <w:color w:val="000000"/>
                <w:szCs w:val="18"/>
                <w:lang w:eastAsia="cs-CZ"/>
              </w:rPr>
              <w:t xml:space="preserve"> Kč</w:t>
            </w:r>
          </w:p>
        </w:tc>
        <w:tc>
          <w:tcPr>
            <w:tcW w:w="1363" w:type="pct"/>
            <w:hideMark/>
          </w:tcPr>
          <w:p w14:paraId="1117E88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1 628 731 431 Kč</w:t>
            </w:r>
          </w:p>
        </w:tc>
        <w:tc>
          <w:tcPr>
            <w:tcW w:w="718" w:type="pct"/>
          </w:tcPr>
          <w:p w14:paraId="5D40A2F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86,75 %</w:t>
            </w:r>
          </w:p>
        </w:tc>
      </w:tr>
      <w:tr w:rsidR="00B92790" w:rsidRPr="006C494D" w14:paraId="74C78ABB"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348" w:type="pct"/>
            <w:hideMark/>
          </w:tcPr>
          <w:p w14:paraId="0BBB1418" w14:textId="77777777" w:rsidR="00B92790" w:rsidRPr="00C6728C" w:rsidRDefault="00B92790" w:rsidP="00B92790">
            <w:pPr>
              <w:spacing w:after="0" w:line="240" w:lineRule="auto"/>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Potenciál</w:t>
            </w:r>
          </w:p>
        </w:tc>
        <w:tc>
          <w:tcPr>
            <w:tcW w:w="1571" w:type="pct"/>
          </w:tcPr>
          <w:p w14:paraId="22FE899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1 332 792 60</w:t>
            </w:r>
            <w:r>
              <w:rPr>
                <w:rFonts w:asciiTheme="majorHAnsi" w:eastAsia="Times New Roman" w:hAnsiTheme="majorHAnsi" w:cs="Calibri"/>
                <w:color w:val="000000"/>
                <w:szCs w:val="18"/>
                <w:lang w:eastAsia="cs-CZ"/>
              </w:rPr>
              <w:t>4</w:t>
            </w:r>
            <w:r w:rsidRPr="00C6728C">
              <w:rPr>
                <w:rFonts w:asciiTheme="majorHAnsi" w:eastAsia="Times New Roman" w:hAnsiTheme="majorHAnsi" w:cs="Calibri"/>
                <w:color w:val="000000"/>
                <w:szCs w:val="18"/>
                <w:lang w:eastAsia="cs-CZ"/>
              </w:rPr>
              <w:t xml:space="preserve"> Kč</w:t>
            </w:r>
          </w:p>
        </w:tc>
        <w:tc>
          <w:tcPr>
            <w:tcW w:w="1363" w:type="pct"/>
            <w:hideMark/>
          </w:tcPr>
          <w:p w14:paraId="19F1AB3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1 220 389 003 Kč</w:t>
            </w:r>
          </w:p>
        </w:tc>
        <w:tc>
          <w:tcPr>
            <w:tcW w:w="718" w:type="pct"/>
          </w:tcPr>
          <w:p w14:paraId="674247C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Cs w:val="18"/>
                <w:lang w:eastAsia="cs-CZ"/>
              </w:rPr>
            </w:pPr>
            <w:r w:rsidRPr="00C6728C">
              <w:rPr>
                <w:rFonts w:asciiTheme="majorHAnsi" w:eastAsia="Times New Roman" w:hAnsiTheme="majorHAnsi" w:cs="Calibri"/>
                <w:color w:val="000000"/>
                <w:szCs w:val="18"/>
                <w:lang w:eastAsia="cs-CZ"/>
              </w:rPr>
              <w:t>91,57 %</w:t>
            </w:r>
          </w:p>
        </w:tc>
      </w:tr>
      <w:tr w:rsidR="00B92790" w:rsidRPr="006C494D" w14:paraId="0C8CF5DE" w14:textId="77777777" w:rsidTr="005715E6">
        <w:trPr>
          <w:cnfStyle w:val="010000000000" w:firstRow="0" w:lastRow="1" w:firstColumn="0" w:lastColumn="0" w:oddVBand="0" w:evenVBand="0" w:oddHBand="0" w:evenHBand="0" w:firstRowFirstColumn="0" w:firstRowLastColumn="0" w:lastRowFirstColumn="0" w:lastRowLastColumn="0"/>
          <w:trHeight w:val="300"/>
        </w:trPr>
        <w:tc>
          <w:tcPr>
            <w:cnfStyle w:val="001000000001" w:firstRow="0" w:lastRow="0" w:firstColumn="1" w:lastColumn="0" w:oddVBand="0" w:evenVBand="0" w:oddHBand="0" w:evenHBand="0" w:firstRowFirstColumn="0" w:firstRowLastColumn="0" w:lastRowFirstColumn="1" w:lastRowLastColumn="0"/>
            <w:tcW w:w="1348" w:type="pct"/>
            <w:shd w:val="clear" w:color="auto" w:fill="E7F5CF" w:themeFill="accent1" w:themeFillTint="33"/>
          </w:tcPr>
          <w:p w14:paraId="26221D0C" w14:textId="77777777" w:rsidR="00B92790" w:rsidRPr="00C6728C" w:rsidRDefault="00B92790" w:rsidP="00B92790">
            <w:pPr>
              <w:spacing w:after="0" w:line="240" w:lineRule="auto"/>
              <w:rPr>
                <w:rFonts w:asciiTheme="majorHAnsi" w:eastAsia="Times New Roman" w:hAnsiTheme="majorHAnsi" w:cs="Calibri"/>
                <w:bCs w:val="0"/>
                <w:color w:val="000000"/>
                <w:szCs w:val="18"/>
                <w:lang w:eastAsia="cs-CZ"/>
              </w:rPr>
            </w:pPr>
            <w:r w:rsidRPr="00C6728C">
              <w:rPr>
                <w:rFonts w:asciiTheme="majorHAnsi" w:eastAsia="Times New Roman" w:hAnsiTheme="majorHAnsi" w:cs="Calibri"/>
                <w:color w:val="000000"/>
                <w:szCs w:val="18"/>
                <w:lang w:eastAsia="cs-CZ"/>
              </w:rPr>
              <w:t>Celkem</w:t>
            </w:r>
          </w:p>
        </w:tc>
        <w:tc>
          <w:tcPr>
            <w:tcW w:w="1571" w:type="pct"/>
            <w:shd w:val="clear" w:color="auto" w:fill="E7F5CF" w:themeFill="accent1" w:themeFillTint="33"/>
          </w:tcPr>
          <w:p w14:paraId="05C12B9B" w14:textId="77777777" w:rsidR="00B92790" w:rsidRPr="00C6728C"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Calibri"/>
                <w:bCs w:val="0"/>
                <w:color w:val="000000"/>
                <w:szCs w:val="18"/>
                <w:lang w:eastAsia="cs-CZ"/>
              </w:rPr>
            </w:pPr>
            <w:r w:rsidRPr="00C6728C">
              <w:rPr>
                <w:rFonts w:asciiTheme="majorHAnsi" w:eastAsia="Times New Roman" w:hAnsiTheme="majorHAnsi" w:cs="Calibri"/>
                <w:color w:val="000000"/>
                <w:szCs w:val="18"/>
                <w:lang w:eastAsia="cs-CZ"/>
              </w:rPr>
              <w:t>3 251 352 3</w:t>
            </w:r>
            <w:r>
              <w:rPr>
                <w:rFonts w:asciiTheme="majorHAnsi" w:eastAsia="Times New Roman" w:hAnsiTheme="majorHAnsi" w:cs="Calibri"/>
                <w:color w:val="000000"/>
                <w:szCs w:val="18"/>
                <w:lang w:eastAsia="cs-CZ"/>
              </w:rPr>
              <w:t>80</w:t>
            </w:r>
            <w:r w:rsidRPr="00C6728C">
              <w:rPr>
                <w:rFonts w:asciiTheme="majorHAnsi" w:eastAsia="Times New Roman" w:hAnsiTheme="majorHAnsi" w:cs="Calibri"/>
                <w:color w:val="000000"/>
                <w:szCs w:val="18"/>
                <w:lang w:eastAsia="cs-CZ"/>
              </w:rPr>
              <w:t xml:space="preserve"> Kč</w:t>
            </w:r>
          </w:p>
        </w:tc>
        <w:tc>
          <w:tcPr>
            <w:tcW w:w="1363" w:type="pct"/>
            <w:shd w:val="clear" w:color="auto" w:fill="E7F5CF" w:themeFill="accent1" w:themeFillTint="33"/>
          </w:tcPr>
          <w:p w14:paraId="5EB28F68" w14:textId="77777777" w:rsidR="00B92790" w:rsidRPr="00C6728C"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Calibri"/>
                <w:bCs w:val="0"/>
                <w:color w:val="000000"/>
                <w:szCs w:val="18"/>
                <w:lang w:eastAsia="cs-CZ"/>
              </w:rPr>
            </w:pPr>
            <w:r w:rsidRPr="00C6728C">
              <w:rPr>
                <w:rFonts w:asciiTheme="majorHAnsi" w:eastAsia="Times New Roman" w:hAnsiTheme="majorHAnsi" w:cs="Calibri"/>
                <w:color w:val="000000"/>
                <w:szCs w:val="18"/>
                <w:lang w:eastAsia="cs-CZ"/>
              </w:rPr>
              <w:t>2 884 427 68</w:t>
            </w:r>
            <w:r>
              <w:rPr>
                <w:rFonts w:asciiTheme="majorHAnsi" w:eastAsia="Times New Roman" w:hAnsiTheme="majorHAnsi" w:cs="Calibri"/>
                <w:color w:val="000000"/>
                <w:szCs w:val="18"/>
                <w:lang w:eastAsia="cs-CZ"/>
              </w:rPr>
              <w:t>4</w:t>
            </w:r>
            <w:r w:rsidRPr="00C6728C">
              <w:rPr>
                <w:rFonts w:asciiTheme="majorHAnsi" w:eastAsia="Times New Roman" w:hAnsiTheme="majorHAnsi" w:cs="Calibri"/>
                <w:color w:val="000000"/>
                <w:szCs w:val="18"/>
                <w:lang w:eastAsia="cs-CZ"/>
              </w:rPr>
              <w:t xml:space="preserve"> Kč</w:t>
            </w:r>
          </w:p>
        </w:tc>
        <w:tc>
          <w:tcPr>
            <w:tcW w:w="718" w:type="pct"/>
            <w:shd w:val="clear" w:color="auto" w:fill="E7F5CF" w:themeFill="accent1" w:themeFillTint="33"/>
          </w:tcPr>
          <w:p w14:paraId="0334682B" w14:textId="77777777" w:rsidR="00B92790" w:rsidRPr="00C6728C" w:rsidRDefault="00B92790" w:rsidP="00B92790">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Calibri"/>
                <w:bCs w:val="0"/>
                <w:color w:val="000000"/>
                <w:szCs w:val="18"/>
                <w:lang w:eastAsia="cs-CZ"/>
              </w:rPr>
            </w:pPr>
            <w:r w:rsidRPr="00C6728C">
              <w:rPr>
                <w:rFonts w:asciiTheme="majorHAnsi" w:eastAsia="Times New Roman" w:hAnsiTheme="majorHAnsi" w:cs="Calibri"/>
                <w:color w:val="000000"/>
                <w:szCs w:val="18"/>
                <w:lang w:eastAsia="cs-CZ"/>
              </w:rPr>
              <w:t>88,71 %</w:t>
            </w:r>
          </w:p>
        </w:tc>
      </w:tr>
    </w:tbl>
    <w:p w14:paraId="16C0FAA1" w14:textId="77777777" w:rsidR="00B92790" w:rsidRDefault="00B92790" w:rsidP="00B92790"/>
    <w:p w14:paraId="045BA6B5" w14:textId="77777777" w:rsidR="00B92790" w:rsidRPr="003B7110" w:rsidRDefault="00B92790" w:rsidP="00B92790">
      <w:pPr>
        <w:rPr>
          <w:b/>
        </w:rPr>
      </w:pPr>
      <w:r w:rsidRPr="003B7110">
        <w:rPr>
          <w:b/>
        </w:rPr>
        <w:t>Další informace</w:t>
      </w:r>
      <w:r>
        <w:rPr>
          <w:b/>
        </w:rPr>
        <w:t xml:space="preserve"> o </w:t>
      </w:r>
      <w:r w:rsidRPr="003B7110">
        <w:rPr>
          <w:b/>
        </w:rPr>
        <w:t>projektech</w:t>
      </w:r>
    </w:p>
    <w:p w14:paraId="4B172922" w14:textId="77777777" w:rsidR="00B92790" w:rsidRDefault="00B92790" w:rsidP="00B92790">
      <w:r>
        <w:t>Pro doplnění celkového obrazu čerpání jsou dále uvedeny některé vybrané statistiky z dat MS2014+.</w:t>
      </w:r>
    </w:p>
    <w:p w14:paraId="5291E876" w14:textId="77777777" w:rsidR="00B92790" w:rsidRDefault="00B92790" w:rsidP="00B92790">
      <w:pPr>
        <w:jc w:val="both"/>
      </w:pPr>
      <w:r>
        <w:t xml:space="preserve">Při pohledu na územní rozložení projektů podle jejich počtu a výše příspěvku EU je patrné, že největší počet projektů je realizován v Jihomoravském kraji, celkem 293 projektů. Stejně tak v tomto kraji je alokován největší objem finančních prostředků (3 mld. Kč). </w:t>
      </w:r>
    </w:p>
    <w:p w14:paraId="428FD6A0" w14:textId="0EE57EF2"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27</w:t>
      </w:r>
      <w:r>
        <w:fldChar w:fldCharType="end"/>
      </w:r>
      <w:r>
        <w:t xml:space="preserve"> - R</w:t>
      </w:r>
      <w:r w:rsidRPr="0054197E">
        <w:t>ozložení projektů</w:t>
      </w:r>
      <w:r>
        <w:t xml:space="preserve"> a příspěvku EU </w:t>
      </w:r>
      <w:r w:rsidRPr="0054197E">
        <w:t xml:space="preserve">podle </w:t>
      </w:r>
      <w:r>
        <w:t>území (v Kč, kraje ČR)</w:t>
      </w:r>
    </w:p>
    <w:tbl>
      <w:tblPr>
        <w:tblStyle w:val="ListTable3-Accent11"/>
        <w:tblW w:w="10276" w:type="dxa"/>
        <w:tblLayout w:type="fixed"/>
        <w:tblCellMar>
          <w:left w:w="0" w:type="dxa"/>
          <w:right w:w="0" w:type="dxa"/>
        </w:tblCellMar>
        <w:tblLook w:val="04A0" w:firstRow="1" w:lastRow="0" w:firstColumn="1" w:lastColumn="0" w:noHBand="0" w:noVBand="1"/>
      </w:tblPr>
      <w:tblGrid>
        <w:gridCol w:w="1674"/>
        <w:gridCol w:w="530"/>
        <w:gridCol w:w="1548"/>
        <w:gridCol w:w="530"/>
        <w:gridCol w:w="1548"/>
        <w:gridCol w:w="530"/>
        <w:gridCol w:w="1548"/>
        <w:gridCol w:w="667"/>
        <w:gridCol w:w="1701"/>
      </w:tblGrid>
      <w:tr w:rsidR="00B92790" w:rsidRPr="00116BA5" w14:paraId="2AE1C620"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74" w:type="dxa"/>
            <w:tcBorders>
              <w:top w:val="single" w:sz="4" w:space="0" w:color="86BC25" w:themeColor="accent1"/>
              <w:left w:val="nil"/>
            </w:tcBorders>
            <w:noWrap/>
          </w:tcPr>
          <w:p w14:paraId="23299736" w14:textId="77777777" w:rsidR="00B92790" w:rsidRPr="00116BA5" w:rsidRDefault="00B92790" w:rsidP="00B92790">
            <w:pPr>
              <w:spacing w:after="0" w:line="240" w:lineRule="auto"/>
              <w:rPr>
                <w:rFonts w:asciiTheme="majorHAnsi" w:eastAsia="Times New Roman" w:hAnsiTheme="majorHAnsi" w:cs="Times New Roman"/>
                <w:sz w:val="16"/>
                <w:szCs w:val="16"/>
                <w:lang w:eastAsia="cs-CZ"/>
              </w:rPr>
            </w:pPr>
          </w:p>
        </w:tc>
        <w:tc>
          <w:tcPr>
            <w:tcW w:w="2078" w:type="dxa"/>
            <w:gridSpan w:val="2"/>
            <w:tcBorders>
              <w:top w:val="single" w:sz="4" w:space="0" w:color="86BC25" w:themeColor="accent1"/>
            </w:tcBorders>
            <w:noWrap/>
          </w:tcPr>
          <w:p w14:paraId="0D9AB95A" w14:textId="77777777" w:rsidR="00B92790" w:rsidRPr="00116BA5"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Aplikace</w:t>
            </w:r>
          </w:p>
        </w:tc>
        <w:tc>
          <w:tcPr>
            <w:tcW w:w="2078" w:type="dxa"/>
            <w:gridSpan w:val="2"/>
            <w:tcBorders>
              <w:top w:val="single" w:sz="4" w:space="0" w:color="86BC25" w:themeColor="accent1"/>
            </w:tcBorders>
            <w:noWrap/>
          </w:tcPr>
          <w:p w14:paraId="03C57728" w14:textId="77777777" w:rsidR="00B92790" w:rsidRPr="00116BA5"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Inovace</w:t>
            </w:r>
          </w:p>
        </w:tc>
        <w:tc>
          <w:tcPr>
            <w:tcW w:w="2078" w:type="dxa"/>
            <w:gridSpan w:val="2"/>
            <w:tcBorders>
              <w:top w:val="single" w:sz="4" w:space="0" w:color="86BC25" w:themeColor="accent1"/>
            </w:tcBorders>
            <w:noWrap/>
          </w:tcPr>
          <w:p w14:paraId="4978FB9E" w14:textId="77777777" w:rsidR="00B92790" w:rsidRPr="00116BA5"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Potenciál</w:t>
            </w:r>
          </w:p>
        </w:tc>
        <w:tc>
          <w:tcPr>
            <w:tcW w:w="2368" w:type="dxa"/>
            <w:gridSpan w:val="2"/>
            <w:tcBorders>
              <w:top w:val="single" w:sz="4" w:space="0" w:color="86BC25" w:themeColor="accent1"/>
              <w:right w:val="nil"/>
            </w:tcBorders>
            <w:noWrap/>
          </w:tcPr>
          <w:p w14:paraId="4159BE2E" w14:textId="77777777" w:rsidR="00B92790" w:rsidRPr="00116BA5"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Celkem</w:t>
            </w:r>
          </w:p>
        </w:tc>
      </w:tr>
      <w:tr w:rsidR="00B92790" w:rsidRPr="00116BA5" w14:paraId="76BD0CCB"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shd w:val="clear" w:color="auto" w:fill="86BC25" w:themeFill="accent1"/>
            <w:noWrap/>
            <w:hideMark/>
          </w:tcPr>
          <w:p w14:paraId="327A842E" w14:textId="77777777" w:rsidR="00B92790" w:rsidRPr="00116BA5" w:rsidRDefault="00B92790" w:rsidP="00B92790">
            <w:pPr>
              <w:spacing w:after="0" w:line="240" w:lineRule="auto"/>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Kraj</w:t>
            </w:r>
          </w:p>
        </w:tc>
        <w:tc>
          <w:tcPr>
            <w:tcW w:w="530" w:type="dxa"/>
            <w:shd w:val="clear" w:color="auto" w:fill="86BC25" w:themeFill="accent1"/>
            <w:noWrap/>
            <w:hideMark/>
          </w:tcPr>
          <w:p w14:paraId="212DA849"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Počet</w:t>
            </w:r>
          </w:p>
        </w:tc>
        <w:tc>
          <w:tcPr>
            <w:tcW w:w="1548" w:type="dxa"/>
            <w:shd w:val="clear" w:color="auto" w:fill="86BC25" w:themeFill="accent1"/>
            <w:noWrap/>
            <w:hideMark/>
          </w:tcPr>
          <w:p w14:paraId="6F9DCE9C"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Příspěvek EU</w:t>
            </w:r>
          </w:p>
        </w:tc>
        <w:tc>
          <w:tcPr>
            <w:tcW w:w="530" w:type="dxa"/>
            <w:shd w:val="clear" w:color="auto" w:fill="86BC25" w:themeFill="accent1"/>
            <w:noWrap/>
            <w:hideMark/>
          </w:tcPr>
          <w:p w14:paraId="140C2B90"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Počet</w:t>
            </w:r>
          </w:p>
        </w:tc>
        <w:tc>
          <w:tcPr>
            <w:tcW w:w="1548" w:type="dxa"/>
            <w:shd w:val="clear" w:color="auto" w:fill="86BC25" w:themeFill="accent1"/>
            <w:noWrap/>
            <w:hideMark/>
          </w:tcPr>
          <w:p w14:paraId="31EFF494"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Příspěvek EU</w:t>
            </w:r>
          </w:p>
        </w:tc>
        <w:tc>
          <w:tcPr>
            <w:tcW w:w="530" w:type="dxa"/>
            <w:shd w:val="clear" w:color="auto" w:fill="86BC25" w:themeFill="accent1"/>
            <w:noWrap/>
            <w:hideMark/>
          </w:tcPr>
          <w:p w14:paraId="5D868D42"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Počet</w:t>
            </w:r>
          </w:p>
        </w:tc>
        <w:tc>
          <w:tcPr>
            <w:tcW w:w="1548" w:type="dxa"/>
            <w:shd w:val="clear" w:color="auto" w:fill="86BC25" w:themeFill="accent1"/>
            <w:noWrap/>
            <w:hideMark/>
          </w:tcPr>
          <w:p w14:paraId="0DE5FF5C"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Příspěvek EU</w:t>
            </w:r>
          </w:p>
        </w:tc>
        <w:tc>
          <w:tcPr>
            <w:tcW w:w="667" w:type="dxa"/>
            <w:shd w:val="clear" w:color="auto" w:fill="86BC25" w:themeFill="accent1"/>
            <w:noWrap/>
            <w:hideMark/>
          </w:tcPr>
          <w:p w14:paraId="4B8232DB"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Počet</w:t>
            </w:r>
          </w:p>
        </w:tc>
        <w:tc>
          <w:tcPr>
            <w:tcW w:w="1701" w:type="dxa"/>
            <w:tcBorders>
              <w:right w:val="nil"/>
            </w:tcBorders>
            <w:shd w:val="clear" w:color="auto" w:fill="86BC25" w:themeFill="accent1"/>
            <w:noWrap/>
            <w:hideMark/>
          </w:tcPr>
          <w:p w14:paraId="5CE5CB81" w14:textId="77777777" w:rsidR="00B92790" w:rsidRPr="00116BA5"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FFFFFF"/>
                <w:sz w:val="16"/>
                <w:szCs w:val="16"/>
                <w:lang w:eastAsia="cs-CZ"/>
              </w:rPr>
            </w:pPr>
            <w:r w:rsidRPr="00116BA5">
              <w:rPr>
                <w:rFonts w:asciiTheme="majorHAnsi" w:eastAsia="Times New Roman" w:hAnsiTheme="majorHAnsi" w:cs="Calibri"/>
                <w:b/>
                <w:color w:val="FFFFFF"/>
                <w:sz w:val="16"/>
                <w:szCs w:val="16"/>
                <w:lang w:eastAsia="cs-CZ"/>
              </w:rPr>
              <w:t>Příspěvek EU</w:t>
            </w:r>
          </w:p>
        </w:tc>
      </w:tr>
      <w:tr w:rsidR="00B92790" w:rsidRPr="00116BA5" w14:paraId="21A317F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4DA0CE64"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Jihočeský kraj</w:t>
            </w:r>
          </w:p>
        </w:tc>
        <w:tc>
          <w:tcPr>
            <w:tcW w:w="530" w:type="dxa"/>
            <w:noWrap/>
            <w:hideMark/>
          </w:tcPr>
          <w:p w14:paraId="2D1ABBE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w:t>
            </w:r>
            <w:r w:rsidR="005715E6">
              <w:rPr>
                <w:rFonts w:asciiTheme="majorHAnsi" w:eastAsia="Times New Roman" w:hAnsiTheme="majorHAnsi" w:cs="Calibri"/>
                <w:color w:val="000000"/>
                <w:sz w:val="16"/>
                <w:szCs w:val="16"/>
                <w:lang w:eastAsia="cs-CZ"/>
              </w:rPr>
              <w:t>7</w:t>
            </w:r>
          </w:p>
        </w:tc>
        <w:tc>
          <w:tcPr>
            <w:tcW w:w="1548" w:type="dxa"/>
            <w:noWrap/>
            <w:hideMark/>
          </w:tcPr>
          <w:p w14:paraId="75A7642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458 304 526</w:t>
            </w:r>
          </w:p>
        </w:tc>
        <w:tc>
          <w:tcPr>
            <w:tcW w:w="530" w:type="dxa"/>
            <w:noWrap/>
            <w:hideMark/>
          </w:tcPr>
          <w:p w14:paraId="31B956A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43</w:t>
            </w:r>
          </w:p>
        </w:tc>
        <w:tc>
          <w:tcPr>
            <w:tcW w:w="1548" w:type="dxa"/>
            <w:noWrap/>
            <w:hideMark/>
          </w:tcPr>
          <w:p w14:paraId="2E3EFB19"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517 456 334</w:t>
            </w:r>
          </w:p>
        </w:tc>
        <w:tc>
          <w:tcPr>
            <w:tcW w:w="530" w:type="dxa"/>
            <w:noWrap/>
            <w:hideMark/>
          </w:tcPr>
          <w:p w14:paraId="4133B62A"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w:t>
            </w:r>
          </w:p>
        </w:tc>
        <w:tc>
          <w:tcPr>
            <w:tcW w:w="1548" w:type="dxa"/>
            <w:noWrap/>
            <w:hideMark/>
          </w:tcPr>
          <w:p w14:paraId="77E0390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227 870 945</w:t>
            </w:r>
          </w:p>
        </w:tc>
        <w:tc>
          <w:tcPr>
            <w:tcW w:w="667" w:type="dxa"/>
            <w:noWrap/>
            <w:hideMark/>
          </w:tcPr>
          <w:p w14:paraId="6FF9B91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81</w:t>
            </w:r>
          </w:p>
        </w:tc>
        <w:tc>
          <w:tcPr>
            <w:tcW w:w="1701" w:type="dxa"/>
            <w:tcBorders>
              <w:right w:val="nil"/>
            </w:tcBorders>
            <w:noWrap/>
            <w:hideMark/>
          </w:tcPr>
          <w:p w14:paraId="5A3E432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1 203 631 805</w:t>
            </w:r>
          </w:p>
        </w:tc>
      </w:tr>
      <w:tr w:rsidR="00B92790" w:rsidRPr="00116BA5" w14:paraId="205B4F33"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08DC4989"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Jihomoravský kraj</w:t>
            </w:r>
          </w:p>
        </w:tc>
        <w:tc>
          <w:tcPr>
            <w:tcW w:w="530" w:type="dxa"/>
            <w:noWrap/>
            <w:hideMark/>
          </w:tcPr>
          <w:p w14:paraId="05FDD39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139</w:t>
            </w:r>
          </w:p>
        </w:tc>
        <w:tc>
          <w:tcPr>
            <w:tcW w:w="1548" w:type="dxa"/>
            <w:noWrap/>
            <w:hideMark/>
          </w:tcPr>
          <w:p w14:paraId="75AAA13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1 718 341 361</w:t>
            </w:r>
          </w:p>
        </w:tc>
        <w:tc>
          <w:tcPr>
            <w:tcW w:w="530" w:type="dxa"/>
            <w:noWrap/>
            <w:hideMark/>
          </w:tcPr>
          <w:p w14:paraId="2DF6B92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115</w:t>
            </w:r>
          </w:p>
        </w:tc>
        <w:tc>
          <w:tcPr>
            <w:tcW w:w="1548" w:type="dxa"/>
            <w:noWrap/>
            <w:hideMark/>
          </w:tcPr>
          <w:p w14:paraId="6D290938"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1 002 126 777</w:t>
            </w:r>
          </w:p>
        </w:tc>
        <w:tc>
          <w:tcPr>
            <w:tcW w:w="530" w:type="dxa"/>
            <w:noWrap/>
            <w:hideMark/>
          </w:tcPr>
          <w:p w14:paraId="5A53883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w:t>
            </w:r>
          </w:p>
        </w:tc>
        <w:tc>
          <w:tcPr>
            <w:tcW w:w="1548" w:type="dxa"/>
            <w:noWrap/>
            <w:hideMark/>
          </w:tcPr>
          <w:p w14:paraId="519D0B3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368 298 023</w:t>
            </w:r>
          </w:p>
        </w:tc>
        <w:tc>
          <w:tcPr>
            <w:tcW w:w="667" w:type="dxa"/>
            <w:noWrap/>
            <w:hideMark/>
          </w:tcPr>
          <w:p w14:paraId="10C4B63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293</w:t>
            </w:r>
          </w:p>
        </w:tc>
        <w:tc>
          <w:tcPr>
            <w:tcW w:w="1701" w:type="dxa"/>
            <w:tcBorders>
              <w:right w:val="nil"/>
            </w:tcBorders>
            <w:noWrap/>
            <w:hideMark/>
          </w:tcPr>
          <w:p w14:paraId="658E54E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3 088 766 161</w:t>
            </w:r>
          </w:p>
        </w:tc>
      </w:tr>
      <w:tr w:rsidR="00B92790" w:rsidRPr="00116BA5" w14:paraId="7E8625D5"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69FA1CFC"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Karlovarský kraj</w:t>
            </w:r>
          </w:p>
        </w:tc>
        <w:tc>
          <w:tcPr>
            <w:tcW w:w="530" w:type="dxa"/>
            <w:noWrap/>
            <w:hideMark/>
          </w:tcPr>
          <w:p w14:paraId="3B36D7F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w:t>
            </w:r>
          </w:p>
        </w:tc>
        <w:tc>
          <w:tcPr>
            <w:tcW w:w="1548" w:type="dxa"/>
            <w:noWrap/>
            <w:hideMark/>
          </w:tcPr>
          <w:p w14:paraId="4209336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126 599 089</w:t>
            </w:r>
          </w:p>
        </w:tc>
        <w:tc>
          <w:tcPr>
            <w:tcW w:w="530" w:type="dxa"/>
            <w:noWrap/>
            <w:hideMark/>
          </w:tcPr>
          <w:p w14:paraId="76066B48"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w:t>
            </w:r>
          </w:p>
        </w:tc>
        <w:tc>
          <w:tcPr>
            <w:tcW w:w="1548" w:type="dxa"/>
            <w:noWrap/>
            <w:hideMark/>
          </w:tcPr>
          <w:p w14:paraId="6F4E9A1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92 147 856</w:t>
            </w:r>
          </w:p>
        </w:tc>
        <w:tc>
          <w:tcPr>
            <w:tcW w:w="530" w:type="dxa"/>
            <w:noWrap/>
            <w:hideMark/>
          </w:tcPr>
          <w:p w14:paraId="35799A8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w:t>
            </w:r>
          </w:p>
        </w:tc>
        <w:tc>
          <w:tcPr>
            <w:tcW w:w="1548" w:type="dxa"/>
            <w:noWrap/>
            <w:hideMark/>
          </w:tcPr>
          <w:p w14:paraId="152AF05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16 351 464</w:t>
            </w:r>
          </w:p>
        </w:tc>
        <w:tc>
          <w:tcPr>
            <w:tcW w:w="667" w:type="dxa"/>
            <w:noWrap/>
            <w:hideMark/>
          </w:tcPr>
          <w:p w14:paraId="2B53CAC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w:t>
            </w:r>
          </w:p>
        </w:tc>
        <w:tc>
          <w:tcPr>
            <w:tcW w:w="1701" w:type="dxa"/>
            <w:tcBorders>
              <w:right w:val="nil"/>
            </w:tcBorders>
            <w:noWrap/>
            <w:hideMark/>
          </w:tcPr>
          <w:p w14:paraId="4897B1A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235 098 409</w:t>
            </w:r>
          </w:p>
        </w:tc>
      </w:tr>
      <w:tr w:rsidR="00B92790" w:rsidRPr="00116BA5" w14:paraId="0E0F715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7B664CFE"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Kraj Vysočina</w:t>
            </w:r>
          </w:p>
        </w:tc>
        <w:tc>
          <w:tcPr>
            <w:tcW w:w="530" w:type="dxa"/>
            <w:noWrap/>
            <w:hideMark/>
          </w:tcPr>
          <w:p w14:paraId="1EA4ACC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20</w:t>
            </w:r>
          </w:p>
        </w:tc>
        <w:tc>
          <w:tcPr>
            <w:tcW w:w="1548" w:type="dxa"/>
            <w:noWrap/>
            <w:hideMark/>
          </w:tcPr>
          <w:p w14:paraId="2E85158D"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203 353 169</w:t>
            </w:r>
          </w:p>
        </w:tc>
        <w:tc>
          <w:tcPr>
            <w:tcW w:w="530" w:type="dxa"/>
            <w:noWrap/>
            <w:hideMark/>
          </w:tcPr>
          <w:p w14:paraId="42989219"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41</w:t>
            </w:r>
          </w:p>
        </w:tc>
        <w:tc>
          <w:tcPr>
            <w:tcW w:w="1548" w:type="dxa"/>
            <w:noWrap/>
            <w:hideMark/>
          </w:tcPr>
          <w:p w14:paraId="722994AF"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348 361 096</w:t>
            </w:r>
          </w:p>
        </w:tc>
        <w:tc>
          <w:tcPr>
            <w:tcW w:w="530" w:type="dxa"/>
            <w:noWrap/>
            <w:hideMark/>
          </w:tcPr>
          <w:p w14:paraId="4039E1F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21</w:t>
            </w:r>
          </w:p>
        </w:tc>
        <w:tc>
          <w:tcPr>
            <w:tcW w:w="1548" w:type="dxa"/>
            <w:noWrap/>
            <w:hideMark/>
          </w:tcPr>
          <w:p w14:paraId="079F1CF3"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227 301 978</w:t>
            </w:r>
          </w:p>
        </w:tc>
        <w:tc>
          <w:tcPr>
            <w:tcW w:w="667" w:type="dxa"/>
            <w:noWrap/>
            <w:hideMark/>
          </w:tcPr>
          <w:p w14:paraId="7E2643A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82</w:t>
            </w:r>
          </w:p>
        </w:tc>
        <w:tc>
          <w:tcPr>
            <w:tcW w:w="1701" w:type="dxa"/>
            <w:tcBorders>
              <w:right w:val="nil"/>
            </w:tcBorders>
            <w:noWrap/>
            <w:hideMark/>
          </w:tcPr>
          <w:p w14:paraId="1CFF6D43"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779 016 243</w:t>
            </w:r>
          </w:p>
        </w:tc>
      </w:tr>
      <w:tr w:rsidR="00B92790" w:rsidRPr="00116BA5" w14:paraId="717F43D1"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017BF3D2"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Královéhradecký kraj</w:t>
            </w:r>
          </w:p>
        </w:tc>
        <w:tc>
          <w:tcPr>
            <w:tcW w:w="530" w:type="dxa"/>
            <w:noWrap/>
            <w:hideMark/>
          </w:tcPr>
          <w:p w14:paraId="0B45714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26</w:t>
            </w:r>
          </w:p>
        </w:tc>
        <w:tc>
          <w:tcPr>
            <w:tcW w:w="1548" w:type="dxa"/>
            <w:noWrap/>
            <w:hideMark/>
          </w:tcPr>
          <w:p w14:paraId="02171D7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349 386 676</w:t>
            </w:r>
          </w:p>
        </w:tc>
        <w:tc>
          <w:tcPr>
            <w:tcW w:w="530" w:type="dxa"/>
            <w:noWrap/>
            <w:hideMark/>
          </w:tcPr>
          <w:p w14:paraId="4BD22274"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50</w:t>
            </w:r>
          </w:p>
        </w:tc>
        <w:tc>
          <w:tcPr>
            <w:tcW w:w="1548" w:type="dxa"/>
            <w:noWrap/>
            <w:hideMark/>
          </w:tcPr>
          <w:p w14:paraId="5780918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487 935 398</w:t>
            </w:r>
          </w:p>
        </w:tc>
        <w:tc>
          <w:tcPr>
            <w:tcW w:w="530" w:type="dxa"/>
            <w:noWrap/>
            <w:hideMark/>
          </w:tcPr>
          <w:p w14:paraId="7A5B9E8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w:t>
            </w:r>
          </w:p>
        </w:tc>
        <w:tc>
          <w:tcPr>
            <w:tcW w:w="1548" w:type="dxa"/>
            <w:noWrap/>
            <w:hideMark/>
          </w:tcPr>
          <w:p w14:paraId="27DD09D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133 195 654</w:t>
            </w:r>
          </w:p>
        </w:tc>
        <w:tc>
          <w:tcPr>
            <w:tcW w:w="667" w:type="dxa"/>
            <w:noWrap/>
            <w:hideMark/>
          </w:tcPr>
          <w:p w14:paraId="65CE651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84</w:t>
            </w:r>
          </w:p>
        </w:tc>
        <w:tc>
          <w:tcPr>
            <w:tcW w:w="1701" w:type="dxa"/>
            <w:tcBorders>
              <w:right w:val="nil"/>
            </w:tcBorders>
            <w:noWrap/>
            <w:hideMark/>
          </w:tcPr>
          <w:p w14:paraId="3A08750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970 517 727</w:t>
            </w:r>
          </w:p>
        </w:tc>
      </w:tr>
      <w:tr w:rsidR="00B92790" w:rsidRPr="00116BA5" w14:paraId="4F617ED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3A59AFCC"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Liberecký kraj</w:t>
            </w:r>
          </w:p>
        </w:tc>
        <w:tc>
          <w:tcPr>
            <w:tcW w:w="530" w:type="dxa"/>
            <w:noWrap/>
            <w:hideMark/>
          </w:tcPr>
          <w:p w14:paraId="1DB9FD2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33</w:t>
            </w:r>
          </w:p>
        </w:tc>
        <w:tc>
          <w:tcPr>
            <w:tcW w:w="1548" w:type="dxa"/>
            <w:noWrap/>
            <w:hideMark/>
          </w:tcPr>
          <w:p w14:paraId="0331850F"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485 694 088</w:t>
            </w:r>
          </w:p>
        </w:tc>
        <w:tc>
          <w:tcPr>
            <w:tcW w:w="530" w:type="dxa"/>
            <w:noWrap/>
            <w:hideMark/>
          </w:tcPr>
          <w:p w14:paraId="1DCA334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45</w:t>
            </w:r>
          </w:p>
        </w:tc>
        <w:tc>
          <w:tcPr>
            <w:tcW w:w="1548" w:type="dxa"/>
            <w:noWrap/>
            <w:hideMark/>
          </w:tcPr>
          <w:p w14:paraId="711E897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456 028 694</w:t>
            </w:r>
          </w:p>
        </w:tc>
        <w:tc>
          <w:tcPr>
            <w:tcW w:w="530" w:type="dxa"/>
            <w:noWrap/>
            <w:hideMark/>
          </w:tcPr>
          <w:p w14:paraId="3B8D1E3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w:t>
            </w:r>
          </w:p>
        </w:tc>
        <w:tc>
          <w:tcPr>
            <w:tcW w:w="1548" w:type="dxa"/>
            <w:noWrap/>
            <w:hideMark/>
          </w:tcPr>
          <w:p w14:paraId="2FCDA2A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184 473 625</w:t>
            </w:r>
          </w:p>
        </w:tc>
        <w:tc>
          <w:tcPr>
            <w:tcW w:w="667" w:type="dxa"/>
            <w:noWrap/>
            <w:hideMark/>
          </w:tcPr>
          <w:p w14:paraId="7EE6167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89</w:t>
            </w:r>
          </w:p>
        </w:tc>
        <w:tc>
          <w:tcPr>
            <w:tcW w:w="1701" w:type="dxa"/>
            <w:tcBorders>
              <w:right w:val="nil"/>
            </w:tcBorders>
            <w:noWrap/>
            <w:hideMark/>
          </w:tcPr>
          <w:p w14:paraId="5BF7E03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1 126 196 407</w:t>
            </w:r>
          </w:p>
        </w:tc>
      </w:tr>
      <w:tr w:rsidR="00B92790" w:rsidRPr="00116BA5" w14:paraId="17E4748D"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6A4CB8CD"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Moravskoslezský kraj</w:t>
            </w:r>
          </w:p>
        </w:tc>
        <w:tc>
          <w:tcPr>
            <w:tcW w:w="530" w:type="dxa"/>
            <w:noWrap/>
            <w:hideMark/>
          </w:tcPr>
          <w:p w14:paraId="1C5A8C7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71</w:t>
            </w:r>
          </w:p>
        </w:tc>
        <w:tc>
          <w:tcPr>
            <w:tcW w:w="1548" w:type="dxa"/>
            <w:noWrap/>
            <w:hideMark/>
          </w:tcPr>
          <w:p w14:paraId="58CC15C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685 671 089</w:t>
            </w:r>
          </w:p>
        </w:tc>
        <w:tc>
          <w:tcPr>
            <w:tcW w:w="530" w:type="dxa"/>
            <w:noWrap/>
            <w:hideMark/>
          </w:tcPr>
          <w:p w14:paraId="286BB3D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79</w:t>
            </w:r>
          </w:p>
        </w:tc>
        <w:tc>
          <w:tcPr>
            <w:tcW w:w="1548" w:type="dxa"/>
            <w:noWrap/>
            <w:hideMark/>
          </w:tcPr>
          <w:p w14:paraId="46DEABA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566 738 918</w:t>
            </w:r>
          </w:p>
        </w:tc>
        <w:tc>
          <w:tcPr>
            <w:tcW w:w="530" w:type="dxa"/>
            <w:noWrap/>
            <w:hideMark/>
          </w:tcPr>
          <w:p w14:paraId="676AEA4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24</w:t>
            </w:r>
          </w:p>
        </w:tc>
        <w:tc>
          <w:tcPr>
            <w:tcW w:w="1548" w:type="dxa"/>
            <w:noWrap/>
            <w:hideMark/>
          </w:tcPr>
          <w:p w14:paraId="0BAA4E68"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452 533 721</w:t>
            </w:r>
          </w:p>
        </w:tc>
        <w:tc>
          <w:tcPr>
            <w:tcW w:w="667" w:type="dxa"/>
            <w:noWrap/>
            <w:hideMark/>
          </w:tcPr>
          <w:p w14:paraId="1F8EB07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174</w:t>
            </w:r>
          </w:p>
        </w:tc>
        <w:tc>
          <w:tcPr>
            <w:tcW w:w="1701" w:type="dxa"/>
            <w:tcBorders>
              <w:right w:val="nil"/>
            </w:tcBorders>
            <w:noWrap/>
            <w:hideMark/>
          </w:tcPr>
          <w:p w14:paraId="40159AE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1 704 943 729</w:t>
            </w:r>
          </w:p>
        </w:tc>
      </w:tr>
      <w:tr w:rsidR="00B92790" w:rsidRPr="00116BA5" w14:paraId="7FCAC22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3257F687"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Olomoucký kraj</w:t>
            </w:r>
          </w:p>
        </w:tc>
        <w:tc>
          <w:tcPr>
            <w:tcW w:w="530" w:type="dxa"/>
            <w:noWrap/>
            <w:hideMark/>
          </w:tcPr>
          <w:p w14:paraId="7399607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28</w:t>
            </w:r>
          </w:p>
        </w:tc>
        <w:tc>
          <w:tcPr>
            <w:tcW w:w="1548" w:type="dxa"/>
            <w:noWrap/>
            <w:hideMark/>
          </w:tcPr>
          <w:p w14:paraId="5E15F99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270 233 903</w:t>
            </w:r>
          </w:p>
        </w:tc>
        <w:tc>
          <w:tcPr>
            <w:tcW w:w="530" w:type="dxa"/>
            <w:noWrap/>
            <w:hideMark/>
          </w:tcPr>
          <w:p w14:paraId="0C14D938"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52</w:t>
            </w:r>
          </w:p>
        </w:tc>
        <w:tc>
          <w:tcPr>
            <w:tcW w:w="1548" w:type="dxa"/>
            <w:noWrap/>
            <w:hideMark/>
          </w:tcPr>
          <w:p w14:paraId="16DDF823"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605 438 600</w:t>
            </w:r>
          </w:p>
        </w:tc>
        <w:tc>
          <w:tcPr>
            <w:tcW w:w="530" w:type="dxa"/>
            <w:noWrap/>
            <w:hideMark/>
          </w:tcPr>
          <w:p w14:paraId="5C85126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22</w:t>
            </w:r>
          </w:p>
        </w:tc>
        <w:tc>
          <w:tcPr>
            <w:tcW w:w="1548" w:type="dxa"/>
            <w:noWrap/>
            <w:hideMark/>
          </w:tcPr>
          <w:p w14:paraId="7820FD3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392 827 233</w:t>
            </w:r>
          </w:p>
        </w:tc>
        <w:tc>
          <w:tcPr>
            <w:tcW w:w="667" w:type="dxa"/>
            <w:noWrap/>
            <w:hideMark/>
          </w:tcPr>
          <w:p w14:paraId="24A03A5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102</w:t>
            </w:r>
          </w:p>
        </w:tc>
        <w:tc>
          <w:tcPr>
            <w:tcW w:w="1701" w:type="dxa"/>
            <w:tcBorders>
              <w:right w:val="nil"/>
            </w:tcBorders>
            <w:noWrap/>
            <w:hideMark/>
          </w:tcPr>
          <w:p w14:paraId="31EA2CF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1 268 499 736</w:t>
            </w:r>
          </w:p>
        </w:tc>
      </w:tr>
      <w:tr w:rsidR="00B92790" w:rsidRPr="00116BA5" w14:paraId="68DE839D"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208789F8"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Pardubický kraj</w:t>
            </w:r>
          </w:p>
        </w:tc>
        <w:tc>
          <w:tcPr>
            <w:tcW w:w="530" w:type="dxa"/>
            <w:noWrap/>
            <w:hideMark/>
          </w:tcPr>
          <w:p w14:paraId="0AC4B84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16</w:t>
            </w:r>
          </w:p>
        </w:tc>
        <w:tc>
          <w:tcPr>
            <w:tcW w:w="1548" w:type="dxa"/>
            <w:noWrap/>
            <w:hideMark/>
          </w:tcPr>
          <w:p w14:paraId="37DF273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237 319 176</w:t>
            </w:r>
          </w:p>
        </w:tc>
        <w:tc>
          <w:tcPr>
            <w:tcW w:w="530" w:type="dxa"/>
            <w:noWrap/>
            <w:hideMark/>
          </w:tcPr>
          <w:p w14:paraId="06EFEFC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37</w:t>
            </w:r>
          </w:p>
        </w:tc>
        <w:tc>
          <w:tcPr>
            <w:tcW w:w="1548" w:type="dxa"/>
            <w:noWrap/>
            <w:hideMark/>
          </w:tcPr>
          <w:p w14:paraId="3DCF534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415 849 849</w:t>
            </w:r>
          </w:p>
        </w:tc>
        <w:tc>
          <w:tcPr>
            <w:tcW w:w="530" w:type="dxa"/>
            <w:noWrap/>
            <w:hideMark/>
          </w:tcPr>
          <w:p w14:paraId="55B9BEE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22</w:t>
            </w:r>
          </w:p>
        </w:tc>
        <w:tc>
          <w:tcPr>
            <w:tcW w:w="1548" w:type="dxa"/>
            <w:noWrap/>
            <w:hideMark/>
          </w:tcPr>
          <w:p w14:paraId="51DD7909"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335 284 991</w:t>
            </w:r>
          </w:p>
        </w:tc>
        <w:tc>
          <w:tcPr>
            <w:tcW w:w="667" w:type="dxa"/>
            <w:noWrap/>
            <w:hideMark/>
          </w:tcPr>
          <w:p w14:paraId="3879354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75</w:t>
            </w:r>
          </w:p>
        </w:tc>
        <w:tc>
          <w:tcPr>
            <w:tcW w:w="1701" w:type="dxa"/>
            <w:tcBorders>
              <w:right w:val="nil"/>
            </w:tcBorders>
            <w:noWrap/>
            <w:hideMark/>
          </w:tcPr>
          <w:p w14:paraId="1CFE751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988 454 016</w:t>
            </w:r>
          </w:p>
        </w:tc>
      </w:tr>
      <w:tr w:rsidR="00B92790" w:rsidRPr="00116BA5" w14:paraId="11847E51"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3B6C07D6"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Plzeňský kraj</w:t>
            </w:r>
          </w:p>
        </w:tc>
        <w:tc>
          <w:tcPr>
            <w:tcW w:w="530" w:type="dxa"/>
            <w:noWrap/>
            <w:hideMark/>
          </w:tcPr>
          <w:p w14:paraId="3A75628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30</w:t>
            </w:r>
          </w:p>
        </w:tc>
        <w:tc>
          <w:tcPr>
            <w:tcW w:w="1548" w:type="dxa"/>
            <w:noWrap/>
            <w:hideMark/>
          </w:tcPr>
          <w:p w14:paraId="4450A67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367 414 222</w:t>
            </w:r>
          </w:p>
        </w:tc>
        <w:tc>
          <w:tcPr>
            <w:tcW w:w="530" w:type="dxa"/>
            <w:noWrap/>
            <w:hideMark/>
          </w:tcPr>
          <w:p w14:paraId="650ECE2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40</w:t>
            </w:r>
          </w:p>
        </w:tc>
        <w:tc>
          <w:tcPr>
            <w:tcW w:w="1548" w:type="dxa"/>
            <w:noWrap/>
            <w:hideMark/>
          </w:tcPr>
          <w:p w14:paraId="0407FE2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377 718 659</w:t>
            </w:r>
          </w:p>
        </w:tc>
        <w:tc>
          <w:tcPr>
            <w:tcW w:w="530" w:type="dxa"/>
            <w:noWrap/>
            <w:hideMark/>
          </w:tcPr>
          <w:p w14:paraId="41AE9A7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w:t>
            </w:r>
          </w:p>
        </w:tc>
        <w:tc>
          <w:tcPr>
            <w:tcW w:w="1548" w:type="dxa"/>
            <w:noWrap/>
            <w:hideMark/>
          </w:tcPr>
          <w:p w14:paraId="62681E0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543 993 538</w:t>
            </w:r>
          </w:p>
        </w:tc>
        <w:tc>
          <w:tcPr>
            <w:tcW w:w="667" w:type="dxa"/>
            <w:noWrap/>
            <w:hideMark/>
          </w:tcPr>
          <w:p w14:paraId="4F54836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93</w:t>
            </w:r>
          </w:p>
        </w:tc>
        <w:tc>
          <w:tcPr>
            <w:tcW w:w="1701" w:type="dxa"/>
            <w:tcBorders>
              <w:right w:val="nil"/>
            </w:tcBorders>
            <w:noWrap/>
            <w:hideMark/>
          </w:tcPr>
          <w:p w14:paraId="7841DB3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1 289 126 418</w:t>
            </w:r>
          </w:p>
        </w:tc>
      </w:tr>
      <w:tr w:rsidR="00B92790" w:rsidRPr="00116BA5" w14:paraId="3663C72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22EEA419"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Středočeský kraj</w:t>
            </w:r>
          </w:p>
        </w:tc>
        <w:tc>
          <w:tcPr>
            <w:tcW w:w="530" w:type="dxa"/>
            <w:noWrap/>
            <w:hideMark/>
          </w:tcPr>
          <w:p w14:paraId="381A0F2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65</w:t>
            </w:r>
          </w:p>
        </w:tc>
        <w:tc>
          <w:tcPr>
            <w:tcW w:w="1548" w:type="dxa"/>
            <w:noWrap/>
            <w:hideMark/>
          </w:tcPr>
          <w:p w14:paraId="5AC4FEB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775 643 007</w:t>
            </w:r>
          </w:p>
        </w:tc>
        <w:tc>
          <w:tcPr>
            <w:tcW w:w="530" w:type="dxa"/>
            <w:noWrap/>
            <w:hideMark/>
          </w:tcPr>
          <w:p w14:paraId="526DD794"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87</w:t>
            </w:r>
          </w:p>
        </w:tc>
        <w:tc>
          <w:tcPr>
            <w:tcW w:w="1548" w:type="dxa"/>
            <w:noWrap/>
            <w:hideMark/>
          </w:tcPr>
          <w:p w14:paraId="5AF41BB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968 974 287</w:t>
            </w:r>
          </w:p>
        </w:tc>
        <w:tc>
          <w:tcPr>
            <w:tcW w:w="530" w:type="dxa"/>
            <w:noWrap/>
            <w:hideMark/>
          </w:tcPr>
          <w:p w14:paraId="61D7F1E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w:t>
            </w:r>
          </w:p>
        </w:tc>
        <w:tc>
          <w:tcPr>
            <w:tcW w:w="1548" w:type="dxa"/>
            <w:noWrap/>
            <w:hideMark/>
          </w:tcPr>
          <w:p w14:paraId="346719A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851 000 548</w:t>
            </w:r>
          </w:p>
        </w:tc>
        <w:tc>
          <w:tcPr>
            <w:tcW w:w="667" w:type="dxa"/>
            <w:noWrap/>
            <w:hideMark/>
          </w:tcPr>
          <w:p w14:paraId="724F2DF8"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191</w:t>
            </w:r>
          </w:p>
        </w:tc>
        <w:tc>
          <w:tcPr>
            <w:tcW w:w="1701" w:type="dxa"/>
            <w:tcBorders>
              <w:right w:val="nil"/>
            </w:tcBorders>
            <w:noWrap/>
            <w:hideMark/>
          </w:tcPr>
          <w:p w14:paraId="62A3864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2 595 617 842</w:t>
            </w:r>
          </w:p>
        </w:tc>
      </w:tr>
      <w:tr w:rsidR="00B92790" w:rsidRPr="00116BA5" w14:paraId="59E37920"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2CDD2B0B"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Ústecký kraj</w:t>
            </w:r>
          </w:p>
        </w:tc>
        <w:tc>
          <w:tcPr>
            <w:tcW w:w="530" w:type="dxa"/>
            <w:noWrap/>
            <w:hideMark/>
          </w:tcPr>
          <w:p w14:paraId="3BC91E1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w:t>
            </w:r>
          </w:p>
        </w:tc>
        <w:tc>
          <w:tcPr>
            <w:tcW w:w="1548" w:type="dxa"/>
            <w:noWrap/>
            <w:hideMark/>
          </w:tcPr>
          <w:p w14:paraId="2D940AB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119 463 815</w:t>
            </w:r>
          </w:p>
        </w:tc>
        <w:tc>
          <w:tcPr>
            <w:tcW w:w="530" w:type="dxa"/>
            <w:noWrap/>
            <w:hideMark/>
          </w:tcPr>
          <w:p w14:paraId="236B9DF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31</w:t>
            </w:r>
          </w:p>
        </w:tc>
        <w:tc>
          <w:tcPr>
            <w:tcW w:w="1548" w:type="dxa"/>
            <w:noWrap/>
            <w:hideMark/>
          </w:tcPr>
          <w:p w14:paraId="7298E3C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412 382 212</w:t>
            </w:r>
          </w:p>
        </w:tc>
        <w:tc>
          <w:tcPr>
            <w:tcW w:w="530" w:type="dxa"/>
            <w:noWrap/>
            <w:hideMark/>
          </w:tcPr>
          <w:p w14:paraId="6E662BB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w:t>
            </w:r>
          </w:p>
        </w:tc>
        <w:tc>
          <w:tcPr>
            <w:tcW w:w="1548" w:type="dxa"/>
            <w:noWrap/>
            <w:hideMark/>
          </w:tcPr>
          <w:p w14:paraId="60A80C2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130 992 669</w:t>
            </w:r>
          </w:p>
        </w:tc>
        <w:tc>
          <w:tcPr>
            <w:tcW w:w="667" w:type="dxa"/>
            <w:noWrap/>
            <w:hideMark/>
          </w:tcPr>
          <w:p w14:paraId="29E6498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55</w:t>
            </w:r>
          </w:p>
        </w:tc>
        <w:tc>
          <w:tcPr>
            <w:tcW w:w="1701" w:type="dxa"/>
            <w:tcBorders>
              <w:right w:val="nil"/>
            </w:tcBorders>
            <w:noWrap/>
            <w:hideMark/>
          </w:tcPr>
          <w:p w14:paraId="02A0477F"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662 838 696</w:t>
            </w:r>
          </w:p>
        </w:tc>
      </w:tr>
      <w:tr w:rsidR="00B92790" w:rsidRPr="00116BA5" w14:paraId="09E53E4D"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06AA9DFE"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Zlínský kraj</w:t>
            </w:r>
          </w:p>
        </w:tc>
        <w:tc>
          <w:tcPr>
            <w:tcW w:w="530" w:type="dxa"/>
            <w:noWrap/>
            <w:hideMark/>
          </w:tcPr>
          <w:p w14:paraId="5A7BC9D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25</w:t>
            </w:r>
          </w:p>
        </w:tc>
        <w:tc>
          <w:tcPr>
            <w:tcW w:w="1548" w:type="dxa"/>
            <w:noWrap/>
            <w:hideMark/>
          </w:tcPr>
          <w:p w14:paraId="59FA987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179 591 586</w:t>
            </w:r>
          </w:p>
        </w:tc>
        <w:tc>
          <w:tcPr>
            <w:tcW w:w="530" w:type="dxa"/>
            <w:noWrap/>
            <w:hideMark/>
          </w:tcPr>
          <w:p w14:paraId="7DB7EDE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101</w:t>
            </w:r>
          </w:p>
        </w:tc>
        <w:tc>
          <w:tcPr>
            <w:tcW w:w="1548" w:type="dxa"/>
            <w:noWrap/>
            <w:hideMark/>
          </w:tcPr>
          <w:p w14:paraId="142E037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1 266 080 071</w:t>
            </w:r>
          </w:p>
        </w:tc>
        <w:tc>
          <w:tcPr>
            <w:tcW w:w="530" w:type="dxa"/>
            <w:noWrap/>
            <w:hideMark/>
          </w:tcPr>
          <w:p w14:paraId="4446E82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w:t>
            </w:r>
          </w:p>
        </w:tc>
        <w:tc>
          <w:tcPr>
            <w:tcW w:w="1548" w:type="dxa"/>
            <w:noWrap/>
            <w:hideMark/>
          </w:tcPr>
          <w:p w14:paraId="6F44314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491 298 543</w:t>
            </w:r>
          </w:p>
        </w:tc>
        <w:tc>
          <w:tcPr>
            <w:tcW w:w="667" w:type="dxa"/>
            <w:noWrap/>
            <w:hideMark/>
          </w:tcPr>
          <w:p w14:paraId="26232AD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165</w:t>
            </w:r>
          </w:p>
        </w:tc>
        <w:tc>
          <w:tcPr>
            <w:tcW w:w="1701" w:type="dxa"/>
            <w:tcBorders>
              <w:right w:val="nil"/>
            </w:tcBorders>
            <w:noWrap/>
            <w:hideMark/>
          </w:tcPr>
          <w:p w14:paraId="2E30316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1 936 970 199</w:t>
            </w:r>
          </w:p>
        </w:tc>
      </w:tr>
      <w:tr w:rsidR="00B92790" w:rsidRPr="00116BA5" w14:paraId="52FBC12C"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4" w:type="dxa"/>
            <w:tcBorders>
              <w:left w:val="nil"/>
            </w:tcBorders>
            <w:noWrap/>
            <w:hideMark/>
          </w:tcPr>
          <w:p w14:paraId="3A93D4AF" w14:textId="77777777" w:rsidR="00B92790" w:rsidRPr="00116BA5" w:rsidRDefault="00B92790" w:rsidP="00B92790">
            <w:pPr>
              <w:spacing w:after="0" w:line="240" w:lineRule="auto"/>
              <w:rPr>
                <w:rFonts w:asciiTheme="majorHAnsi" w:eastAsia="Times New Roman" w:hAnsiTheme="majorHAnsi" w:cs="Calibri"/>
                <w:bCs w:val="0"/>
                <w:color w:val="000000"/>
                <w:sz w:val="16"/>
                <w:szCs w:val="16"/>
                <w:lang w:eastAsia="cs-CZ"/>
              </w:rPr>
            </w:pPr>
            <w:r w:rsidRPr="00116BA5">
              <w:rPr>
                <w:rFonts w:asciiTheme="majorHAnsi" w:eastAsia="Times New Roman" w:hAnsiTheme="majorHAnsi" w:cs="Calibri"/>
                <w:bCs w:val="0"/>
                <w:color w:val="000000"/>
                <w:sz w:val="16"/>
                <w:szCs w:val="16"/>
                <w:lang w:eastAsia="cs-CZ"/>
              </w:rPr>
              <w:t>Celkem</w:t>
            </w:r>
          </w:p>
        </w:tc>
        <w:tc>
          <w:tcPr>
            <w:tcW w:w="530" w:type="dxa"/>
            <w:noWrap/>
            <w:hideMark/>
          </w:tcPr>
          <w:p w14:paraId="545306B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503</w:t>
            </w:r>
          </w:p>
        </w:tc>
        <w:tc>
          <w:tcPr>
            <w:tcW w:w="1548" w:type="dxa"/>
            <w:noWrap/>
            <w:hideMark/>
          </w:tcPr>
          <w:p w14:paraId="10350C0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5 977 015 708</w:t>
            </w:r>
          </w:p>
        </w:tc>
        <w:tc>
          <w:tcPr>
            <w:tcW w:w="530" w:type="dxa"/>
            <w:noWrap/>
            <w:hideMark/>
          </w:tcPr>
          <w:p w14:paraId="5E1AF37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732</w:t>
            </w:r>
          </w:p>
        </w:tc>
        <w:tc>
          <w:tcPr>
            <w:tcW w:w="1548" w:type="dxa"/>
            <w:noWrap/>
            <w:hideMark/>
          </w:tcPr>
          <w:p w14:paraId="4AFBA37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7 517 238 750</w:t>
            </w:r>
          </w:p>
        </w:tc>
        <w:tc>
          <w:tcPr>
            <w:tcW w:w="530" w:type="dxa"/>
            <w:noWrap/>
            <w:hideMark/>
          </w:tcPr>
          <w:p w14:paraId="32BA76F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272</w:t>
            </w:r>
          </w:p>
        </w:tc>
        <w:tc>
          <w:tcPr>
            <w:tcW w:w="1548" w:type="dxa"/>
            <w:noWrap/>
            <w:hideMark/>
          </w:tcPr>
          <w:p w14:paraId="3672320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4 355 422 931</w:t>
            </w:r>
          </w:p>
        </w:tc>
        <w:tc>
          <w:tcPr>
            <w:tcW w:w="667" w:type="dxa"/>
            <w:noWrap/>
            <w:hideMark/>
          </w:tcPr>
          <w:p w14:paraId="55F50F2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1507</w:t>
            </w:r>
          </w:p>
        </w:tc>
        <w:tc>
          <w:tcPr>
            <w:tcW w:w="1701" w:type="dxa"/>
            <w:tcBorders>
              <w:right w:val="nil"/>
            </w:tcBorders>
            <w:noWrap/>
            <w:hideMark/>
          </w:tcPr>
          <w:p w14:paraId="35532D4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color w:val="000000"/>
                <w:sz w:val="16"/>
                <w:szCs w:val="16"/>
                <w:lang w:eastAsia="cs-CZ"/>
              </w:rPr>
            </w:pPr>
            <w:r w:rsidRPr="00116BA5">
              <w:rPr>
                <w:rFonts w:asciiTheme="majorHAnsi" w:eastAsia="Times New Roman" w:hAnsiTheme="majorHAnsi" w:cs="Calibri"/>
                <w:b/>
                <w:color w:val="000000"/>
                <w:sz w:val="16"/>
                <w:szCs w:val="16"/>
                <w:lang w:eastAsia="cs-CZ"/>
              </w:rPr>
              <w:t>17 849 677 389</w:t>
            </w:r>
          </w:p>
        </w:tc>
      </w:tr>
    </w:tbl>
    <w:p w14:paraId="1F2E956B" w14:textId="77777777" w:rsidR="00B92790" w:rsidRDefault="00B92790" w:rsidP="00B92790"/>
    <w:p w14:paraId="5926FAF1" w14:textId="77777777" w:rsidR="00B92790" w:rsidRDefault="00B92790" w:rsidP="00B92790">
      <w:pPr>
        <w:jc w:val="both"/>
      </w:pPr>
      <w:r>
        <w:t>Dalším pohledem na projekty je ve vztahu k velikosti podniku příjemce. Ten mimo jiné určuje i způsobilost žadatele v jednotlivých výzvách. Oproti předchozím programovým obdobím v OP PIK došlo k většímu omezení velkých podniků (dále jen „VP“). I tak jsou VP v SC 1.1 největším příjemcem podpory (34,23 % celkového příspěvku EU). Ve srovnatelné výši jsou dotovány podniky střední velikosti (34,05 %). Podíl těchto dvou typů je nejvyšší v programu Potenciál, kde mají dohromady přes 80 % finanční podpory. Oproti tomu v Aplikacích mají největší podíl malé podniky, spolu s mikropodniky čerpají 40 % podpory.</w:t>
      </w:r>
    </w:p>
    <w:p w14:paraId="4775DDEC" w14:textId="77777777" w:rsidR="00B92790" w:rsidRDefault="00B92790" w:rsidP="00B92790">
      <w:pPr>
        <w:spacing w:after="0" w:line="240" w:lineRule="auto"/>
        <w:rPr>
          <w:iCs/>
          <w:color w:val="75787B" w:themeColor="accent6"/>
          <w:sz w:val="17"/>
          <w:szCs w:val="18"/>
        </w:rPr>
      </w:pPr>
      <w:r>
        <w:br w:type="page"/>
      </w:r>
    </w:p>
    <w:p w14:paraId="0FCF6F91" w14:textId="7862EE2F"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28</w:t>
      </w:r>
      <w:r>
        <w:fldChar w:fldCharType="end"/>
      </w:r>
      <w:r>
        <w:t xml:space="preserve"> - R</w:t>
      </w:r>
      <w:r w:rsidRPr="007134D4">
        <w:t>ozložení projektů</w:t>
      </w:r>
      <w:r>
        <w:t xml:space="preserve"> a příspěvku EU</w:t>
      </w:r>
      <w:r w:rsidRPr="007134D4">
        <w:t xml:space="preserve"> podle </w:t>
      </w:r>
      <w:r>
        <w:t>velikosti podniku</w:t>
      </w:r>
    </w:p>
    <w:tbl>
      <w:tblPr>
        <w:tblStyle w:val="ListTable3-Accent11"/>
        <w:tblW w:w="5313" w:type="pct"/>
        <w:tblLayout w:type="fixed"/>
        <w:tblLook w:val="04A0" w:firstRow="1" w:lastRow="0" w:firstColumn="1" w:lastColumn="0" w:noHBand="0" w:noVBand="1"/>
      </w:tblPr>
      <w:tblGrid>
        <w:gridCol w:w="1359"/>
        <w:gridCol w:w="1110"/>
        <w:gridCol w:w="1112"/>
        <w:gridCol w:w="1110"/>
        <w:gridCol w:w="1112"/>
        <w:gridCol w:w="1110"/>
        <w:gridCol w:w="1112"/>
        <w:gridCol w:w="1110"/>
        <w:gridCol w:w="1106"/>
      </w:tblGrid>
      <w:tr w:rsidR="00B92790" w:rsidRPr="00D12EFD" w14:paraId="0ACD0D6F"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63" w:type="pct"/>
            <w:tcBorders>
              <w:top w:val="single" w:sz="4" w:space="0" w:color="86BC25" w:themeColor="accent1"/>
              <w:left w:val="nil"/>
            </w:tcBorders>
            <w:noWrap/>
            <w:hideMark/>
          </w:tcPr>
          <w:p w14:paraId="23F7D66F" w14:textId="77777777" w:rsidR="00B92790" w:rsidRPr="00D12EFD" w:rsidRDefault="00B92790" w:rsidP="00B92790">
            <w:pPr>
              <w:spacing w:after="0" w:line="240" w:lineRule="auto"/>
              <w:rPr>
                <w:rFonts w:asciiTheme="minorHAnsi" w:eastAsia="Times New Roman" w:hAnsiTheme="minorHAnsi" w:cs="Times New Roman"/>
                <w:sz w:val="16"/>
                <w:szCs w:val="16"/>
                <w:lang w:eastAsia="cs-CZ"/>
              </w:rPr>
            </w:pPr>
          </w:p>
        </w:tc>
        <w:tc>
          <w:tcPr>
            <w:tcW w:w="1085" w:type="pct"/>
            <w:gridSpan w:val="2"/>
            <w:tcBorders>
              <w:top w:val="single" w:sz="4" w:space="0" w:color="86BC25" w:themeColor="accent1"/>
            </w:tcBorders>
            <w:noWrap/>
            <w:hideMark/>
          </w:tcPr>
          <w:p w14:paraId="75EA221C" w14:textId="77777777" w:rsidR="00B92790" w:rsidRPr="00D12EFD"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D12EFD">
              <w:rPr>
                <w:rFonts w:asciiTheme="minorHAnsi" w:eastAsia="Times New Roman" w:hAnsiTheme="minorHAnsi" w:cs="Calibri"/>
                <w:color w:val="FFFFFF"/>
                <w:sz w:val="16"/>
                <w:szCs w:val="16"/>
                <w:lang w:eastAsia="cs-CZ"/>
              </w:rPr>
              <w:t>Aplikace</w:t>
            </w:r>
          </w:p>
        </w:tc>
        <w:tc>
          <w:tcPr>
            <w:tcW w:w="1085" w:type="pct"/>
            <w:gridSpan w:val="2"/>
            <w:tcBorders>
              <w:top w:val="single" w:sz="4" w:space="0" w:color="86BC25" w:themeColor="accent1"/>
            </w:tcBorders>
            <w:noWrap/>
            <w:hideMark/>
          </w:tcPr>
          <w:p w14:paraId="322B7872" w14:textId="77777777" w:rsidR="00B92790" w:rsidRPr="00D12EFD"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D12EFD">
              <w:rPr>
                <w:rFonts w:asciiTheme="minorHAnsi" w:eastAsia="Times New Roman" w:hAnsiTheme="minorHAnsi" w:cs="Calibri"/>
                <w:color w:val="FFFFFF"/>
                <w:sz w:val="16"/>
                <w:szCs w:val="16"/>
                <w:lang w:eastAsia="cs-CZ"/>
              </w:rPr>
              <w:t>Inovace</w:t>
            </w:r>
          </w:p>
        </w:tc>
        <w:tc>
          <w:tcPr>
            <w:tcW w:w="1085" w:type="pct"/>
            <w:gridSpan w:val="2"/>
            <w:tcBorders>
              <w:top w:val="single" w:sz="4" w:space="0" w:color="86BC25" w:themeColor="accent1"/>
            </w:tcBorders>
            <w:noWrap/>
            <w:hideMark/>
          </w:tcPr>
          <w:p w14:paraId="48B87306" w14:textId="77777777" w:rsidR="00B92790" w:rsidRPr="00D12EFD"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D12EFD">
              <w:rPr>
                <w:rFonts w:asciiTheme="minorHAnsi" w:eastAsia="Times New Roman" w:hAnsiTheme="minorHAnsi" w:cs="Calibri"/>
                <w:color w:val="FFFFFF"/>
                <w:sz w:val="16"/>
                <w:szCs w:val="16"/>
                <w:lang w:eastAsia="cs-CZ"/>
              </w:rPr>
              <w:t>Potenciál</w:t>
            </w:r>
          </w:p>
        </w:tc>
        <w:tc>
          <w:tcPr>
            <w:tcW w:w="1083" w:type="pct"/>
            <w:gridSpan w:val="2"/>
            <w:tcBorders>
              <w:top w:val="single" w:sz="4" w:space="0" w:color="86BC25" w:themeColor="accent1"/>
              <w:right w:val="nil"/>
            </w:tcBorders>
            <w:noWrap/>
          </w:tcPr>
          <w:p w14:paraId="67217D33" w14:textId="77777777" w:rsidR="00B92790" w:rsidRPr="00D12EFD" w:rsidRDefault="00B92790" w:rsidP="00B9279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D12EFD">
              <w:rPr>
                <w:rFonts w:asciiTheme="minorHAnsi" w:eastAsia="Times New Roman" w:hAnsiTheme="minorHAnsi" w:cs="Calibri"/>
                <w:color w:val="FFFFFF"/>
                <w:sz w:val="16"/>
                <w:szCs w:val="16"/>
                <w:lang w:eastAsia="cs-CZ"/>
              </w:rPr>
              <w:t>Celkem</w:t>
            </w:r>
          </w:p>
        </w:tc>
      </w:tr>
      <w:tr w:rsidR="00B92790" w:rsidRPr="002E57BB" w14:paraId="77B18DC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shd w:val="clear" w:color="auto" w:fill="86BC25" w:themeFill="accent1"/>
            <w:noWrap/>
            <w:hideMark/>
          </w:tcPr>
          <w:p w14:paraId="7789111F" w14:textId="77777777" w:rsidR="00B92790" w:rsidRPr="00C6728C" w:rsidRDefault="00B92790" w:rsidP="00B92790">
            <w:pPr>
              <w:spacing w:after="0" w:line="240" w:lineRule="auto"/>
              <w:rPr>
                <w:rFonts w:asciiTheme="minorHAnsi" w:eastAsia="Times New Roman" w:hAnsiTheme="minorHAnsi" w:cs="Calibri"/>
                <w:b w:val="0"/>
                <w:color w:val="FFFFFF"/>
                <w:sz w:val="16"/>
                <w:szCs w:val="16"/>
                <w:lang w:eastAsia="cs-CZ"/>
              </w:rPr>
            </w:pPr>
          </w:p>
        </w:tc>
        <w:tc>
          <w:tcPr>
            <w:tcW w:w="542" w:type="pct"/>
            <w:shd w:val="clear" w:color="auto" w:fill="86BC25" w:themeFill="accent1"/>
            <w:noWrap/>
            <w:hideMark/>
          </w:tcPr>
          <w:p w14:paraId="6062BC22"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Počet projektů</w:t>
            </w:r>
          </w:p>
        </w:tc>
        <w:tc>
          <w:tcPr>
            <w:tcW w:w="543" w:type="pct"/>
            <w:shd w:val="clear" w:color="auto" w:fill="86BC25" w:themeFill="accent1"/>
            <w:noWrap/>
            <w:hideMark/>
          </w:tcPr>
          <w:p w14:paraId="46D85784"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Příspěvek EU</w:t>
            </w:r>
          </w:p>
        </w:tc>
        <w:tc>
          <w:tcPr>
            <w:tcW w:w="542" w:type="pct"/>
            <w:shd w:val="clear" w:color="auto" w:fill="86BC25" w:themeFill="accent1"/>
            <w:noWrap/>
            <w:hideMark/>
          </w:tcPr>
          <w:p w14:paraId="74A243C2"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Počet projektů</w:t>
            </w:r>
          </w:p>
        </w:tc>
        <w:tc>
          <w:tcPr>
            <w:tcW w:w="543" w:type="pct"/>
            <w:shd w:val="clear" w:color="auto" w:fill="86BC25" w:themeFill="accent1"/>
            <w:noWrap/>
            <w:hideMark/>
          </w:tcPr>
          <w:p w14:paraId="100E5D65"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Příspěvek EU</w:t>
            </w:r>
          </w:p>
        </w:tc>
        <w:tc>
          <w:tcPr>
            <w:tcW w:w="542" w:type="pct"/>
            <w:shd w:val="clear" w:color="auto" w:fill="86BC25" w:themeFill="accent1"/>
            <w:noWrap/>
            <w:hideMark/>
          </w:tcPr>
          <w:p w14:paraId="12219F2C"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Počet projektů</w:t>
            </w:r>
          </w:p>
        </w:tc>
        <w:tc>
          <w:tcPr>
            <w:tcW w:w="543" w:type="pct"/>
            <w:shd w:val="clear" w:color="auto" w:fill="86BC25" w:themeFill="accent1"/>
            <w:noWrap/>
            <w:hideMark/>
          </w:tcPr>
          <w:p w14:paraId="2EE4064B"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Příspěvek EU</w:t>
            </w:r>
          </w:p>
        </w:tc>
        <w:tc>
          <w:tcPr>
            <w:tcW w:w="542" w:type="pct"/>
            <w:shd w:val="clear" w:color="auto" w:fill="86BC25" w:themeFill="accent1"/>
          </w:tcPr>
          <w:p w14:paraId="7CD244A2"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Počet projektů</w:t>
            </w:r>
          </w:p>
        </w:tc>
        <w:tc>
          <w:tcPr>
            <w:tcW w:w="541" w:type="pct"/>
            <w:tcBorders>
              <w:right w:val="nil"/>
            </w:tcBorders>
            <w:shd w:val="clear" w:color="auto" w:fill="86BC25" w:themeFill="accent1"/>
            <w:noWrap/>
            <w:hideMark/>
          </w:tcPr>
          <w:p w14:paraId="299FEF71" w14:textId="77777777" w:rsidR="00B92790" w:rsidRPr="00C6728C" w:rsidRDefault="00B92790" w:rsidP="00B927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FFFFFF"/>
                <w:sz w:val="16"/>
                <w:szCs w:val="16"/>
                <w:lang w:eastAsia="cs-CZ"/>
              </w:rPr>
            </w:pPr>
            <w:r w:rsidRPr="00C6728C">
              <w:rPr>
                <w:rFonts w:asciiTheme="minorHAnsi" w:eastAsia="Times New Roman" w:hAnsiTheme="minorHAnsi" w:cs="Calibri"/>
                <w:b/>
                <w:color w:val="FFFFFF"/>
                <w:sz w:val="16"/>
                <w:szCs w:val="16"/>
                <w:lang w:eastAsia="cs-CZ"/>
              </w:rPr>
              <w:t>Příspěvek EU</w:t>
            </w:r>
          </w:p>
        </w:tc>
      </w:tr>
      <w:tr w:rsidR="00B92790" w:rsidRPr="002E57BB" w14:paraId="48E9C2B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7199E3CF"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Mikropodnik</w:t>
            </w:r>
          </w:p>
        </w:tc>
        <w:tc>
          <w:tcPr>
            <w:tcW w:w="542" w:type="pct"/>
            <w:noWrap/>
            <w:hideMark/>
          </w:tcPr>
          <w:p w14:paraId="37C5839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11,53 %</w:t>
            </w:r>
          </w:p>
        </w:tc>
        <w:tc>
          <w:tcPr>
            <w:tcW w:w="543" w:type="pct"/>
            <w:noWrap/>
            <w:hideMark/>
          </w:tcPr>
          <w:p w14:paraId="2F5640C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9,59 %</w:t>
            </w:r>
          </w:p>
        </w:tc>
        <w:tc>
          <w:tcPr>
            <w:tcW w:w="542" w:type="pct"/>
            <w:noWrap/>
            <w:hideMark/>
          </w:tcPr>
          <w:p w14:paraId="1AFEDA1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10,93 %</w:t>
            </w:r>
          </w:p>
        </w:tc>
        <w:tc>
          <w:tcPr>
            <w:tcW w:w="543" w:type="pct"/>
            <w:noWrap/>
            <w:hideMark/>
          </w:tcPr>
          <w:p w14:paraId="3E029EF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1,61 %</w:t>
            </w:r>
          </w:p>
        </w:tc>
        <w:tc>
          <w:tcPr>
            <w:tcW w:w="542" w:type="pct"/>
            <w:noWrap/>
            <w:hideMark/>
          </w:tcPr>
          <w:p w14:paraId="0599636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5,15 %</w:t>
            </w:r>
          </w:p>
        </w:tc>
        <w:tc>
          <w:tcPr>
            <w:tcW w:w="543" w:type="pct"/>
            <w:noWrap/>
            <w:hideMark/>
          </w:tcPr>
          <w:p w14:paraId="6887B2B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2,76 %</w:t>
            </w:r>
          </w:p>
        </w:tc>
        <w:tc>
          <w:tcPr>
            <w:tcW w:w="542" w:type="pct"/>
            <w:noWrap/>
            <w:hideMark/>
          </w:tcPr>
          <w:p w14:paraId="38E1300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10,09 %</w:t>
            </w:r>
          </w:p>
        </w:tc>
        <w:tc>
          <w:tcPr>
            <w:tcW w:w="541" w:type="pct"/>
            <w:tcBorders>
              <w:right w:val="nil"/>
            </w:tcBorders>
            <w:noWrap/>
            <w:hideMark/>
          </w:tcPr>
          <w:p w14:paraId="31FCC3A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4,56 %</w:t>
            </w:r>
          </w:p>
        </w:tc>
      </w:tr>
      <w:tr w:rsidR="00B92790" w:rsidRPr="002E57BB" w14:paraId="3000162B"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4ADFCE68"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Malý podnik</w:t>
            </w:r>
          </w:p>
        </w:tc>
        <w:tc>
          <w:tcPr>
            <w:tcW w:w="542" w:type="pct"/>
            <w:noWrap/>
            <w:hideMark/>
          </w:tcPr>
          <w:p w14:paraId="06FE432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32,41 %</w:t>
            </w:r>
          </w:p>
        </w:tc>
        <w:tc>
          <w:tcPr>
            <w:tcW w:w="543" w:type="pct"/>
            <w:noWrap/>
            <w:hideMark/>
          </w:tcPr>
          <w:p w14:paraId="6362DAB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30,57 %</w:t>
            </w:r>
          </w:p>
        </w:tc>
        <w:tc>
          <w:tcPr>
            <w:tcW w:w="542" w:type="pct"/>
            <w:noWrap/>
            <w:hideMark/>
          </w:tcPr>
          <w:p w14:paraId="626CF35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36,48 %</w:t>
            </w:r>
          </w:p>
        </w:tc>
        <w:tc>
          <w:tcPr>
            <w:tcW w:w="543" w:type="pct"/>
            <w:noWrap/>
            <w:hideMark/>
          </w:tcPr>
          <w:p w14:paraId="08BF790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24,48 %</w:t>
            </w:r>
          </w:p>
        </w:tc>
        <w:tc>
          <w:tcPr>
            <w:tcW w:w="542" w:type="pct"/>
            <w:noWrap/>
            <w:hideMark/>
          </w:tcPr>
          <w:p w14:paraId="34925B5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24,63 %</w:t>
            </w:r>
          </w:p>
        </w:tc>
        <w:tc>
          <w:tcPr>
            <w:tcW w:w="543" w:type="pct"/>
            <w:noWrap/>
            <w:hideMark/>
          </w:tcPr>
          <w:p w14:paraId="6DC68D4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12,11 %</w:t>
            </w:r>
          </w:p>
        </w:tc>
        <w:tc>
          <w:tcPr>
            <w:tcW w:w="542" w:type="pct"/>
            <w:noWrap/>
            <w:hideMark/>
          </w:tcPr>
          <w:p w14:paraId="75273FA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32,98 %</w:t>
            </w:r>
          </w:p>
        </w:tc>
        <w:tc>
          <w:tcPr>
            <w:tcW w:w="541" w:type="pct"/>
            <w:tcBorders>
              <w:right w:val="nil"/>
            </w:tcBorders>
            <w:noWrap/>
            <w:hideMark/>
          </w:tcPr>
          <w:p w14:paraId="7DC2A9F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23,50 %</w:t>
            </w:r>
          </w:p>
        </w:tc>
      </w:tr>
      <w:tr w:rsidR="00B92790" w:rsidRPr="002E57BB" w14:paraId="4A9494B1"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0E5F3F93"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Střední podnik</w:t>
            </w:r>
          </w:p>
        </w:tc>
        <w:tc>
          <w:tcPr>
            <w:tcW w:w="542" w:type="pct"/>
            <w:noWrap/>
            <w:hideMark/>
          </w:tcPr>
          <w:p w14:paraId="7716969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27,83 %</w:t>
            </w:r>
          </w:p>
        </w:tc>
        <w:tc>
          <w:tcPr>
            <w:tcW w:w="543" w:type="pct"/>
            <w:noWrap/>
            <w:hideMark/>
          </w:tcPr>
          <w:p w14:paraId="389CBEF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27,20 %</w:t>
            </w:r>
          </w:p>
        </w:tc>
        <w:tc>
          <w:tcPr>
            <w:tcW w:w="542" w:type="pct"/>
            <w:noWrap/>
            <w:hideMark/>
          </w:tcPr>
          <w:p w14:paraId="7056803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31,97 %</w:t>
            </w:r>
          </w:p>
        </w:tc>
        <w:tc>
          <w:tcPr>
            <w:tcW w:w="543" w:type="pct"/>
            <w:noWrap/>
            <w:hideMark/>
          </w:tcPr>
          <w:p w14:paraId="41819532"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36,96 %</w:t>
            </w:r>
          </w:p>
        </w:tc>
        <w:tc>
          <w:tcPr>
            <w:tcW w:w="542" w:type="pct"/>
            <w:noWrap/>
            <w:hideMark/>
          </w:tcPr>
          <w:p w14:paraId="2345897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39,34 %</w:t>
            </w:r>
          </w:p>
        </w:tc>
        <w:tc>
          <w:tcPr>
            <w:tcW w:w="543" w:type="pct"/>
            <w:noWrap/>
            <w:hideMark/>
          </w:tcPr>
          <w:p w14:paraId="3DB85095"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38,42 %</w:t>
            </w:r>
          </w:p>
        </w:tc>
        <w:tc>
          <w:tcPr>
            <w:tcW w:w="542" w:type="pct"/>
            <w:noWrap/>
            <w:hideMark/>
          </w:tcPr>
          <w:p w14:paraId="62F84B9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31,92 %</w:t>
            </w:r>
          </w:p>
        </w:tc>
        <w:tc>
          <w:tcPr>
            <w:tcW w:w="541" w:type="pct"/>
            <w:tcBorders>
              <w:right w:val="nil"/>
            </w:tcBorders>
            <w:noWrap/>
            <w:hideMark/>
          </w:tcPr>
          <w:p w14:paraId="6A794D3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34,05 %</w:t>
            </w:r>
          </w:p>
        </w:tc>
      </w:tr>
      <w:tr w:rsidR="00B92790" w:rsidRPr="002E57BB" w14:paraId="1B0971C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41193659"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Velký podnik</w:t>
            </w:r>
          </w:p>
        </w:tc>
        <w:tc>
          <w:tcPr>
            <w:tcW w:w="542" w:type="pct"/>
            <w:noWrap/>
            <w:hideMark/>
          </w:tcPr>
          <w:p w14:paraId="7F46CB5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20,08 %</w:t>
            </w:r>
          </w:p>
        </w:tc>
        <w:tc>
          <w:tcPr>
            <w:tcW w:w="543" w:type="pct"/>
            <w:noWrap/>
            <w:hideMark/>
          </w:tcPr>
          <w:p w14:paraId="59F3049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25,36 %</w:t>
            </w:r>
          </w:p>
        </w:tc>
        <w:tc>
          <w:tcPr>
            <w:tcW w:w="542" w:type="pct"/>
            <w:noWrap/>
            <w:hideMark/>
          </w:tcPr>
          <w:p w14:paraId="5B03319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19,67 %</w:t>
            </w:r>
          </w:p>
        </w:tc>
        <w:tc>
          <w:tcPr>
            <w:tcW w:w="543" w:type="pct"/>
            <w:noWrap/>
            <w:hideMark/>
          </w:tcPr>
          <w:p w14:paraId="2491BAC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36,62 %</w:t>
            </w:r>
          </w:p>
        </w:tc>
        <w:tc>
          <w:tcPr>
            <w:tcW w:w="542" w:type="pct"/>
            <w:noWrap/>
            <w:hideMark/>
          </w:tcPr>
          <w:p w14:paraId="05B65C9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26,47 %</w:t>
            </w:r>
          </w:p>
        </w:tc>
        <w:tc>
          <w:tcPr>
            <w:tcW w:w="543" w:type="pct"/>
            <w:noWrap/>
            <w:hideMark/>
          </w:tcPr>
          <w:p w14:paraId="400B354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42,28 %</w:t>
            </w:r>
          </w:p>
        </w:tc>
        <w:tc>
          <w:tcPr>
            <w:tcW w:w="542" w:type="pct"/>
            <w:noWrap/>
            <w:hideMark/>
          </w:tcPr>
          <w:p w14:paraId="090864A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21,04 %</w:t>
            </w:r>
          </w:p>
        </w:tc>
        <w:tc>
          <w:tcPr>
            <w:tcW w:w="541" w:type="pct"/>
            <w:tcBorders>
              <w:right w:val="nil"/>
            </w:tcBorders>
            <w:noWrap/>
            <w:hideMark/>
          </w:tcPr>
          <w:p w14:paraId="220AFFF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34,23 %</w:t>
            </w:r>
          </w:p>
        </w:tc>
      </w:tr>
      <w:tr w:rsidR="00B92790" w:rsidRPr="002E57BB" w14:paraId="2B5CD29E"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545EC618"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Nerelevantní</w:t>
            </w:r>
          </w:p>
        </w:tc>
        <w:tc>
          <w:tcPr>
            <w:tcW w:w="542" w:type="pct"/>
            <w:noWrap/>
            <w:hideMark/>
          </w:tcPr>
          <w:p w14:paraId="52E268A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2,58 %</w:t>
            </w:r>
          </w:p>
        </w:tc>
        <w:tc>
          <w:tcPr>
            <w:tcW w:w="543" w:type="pct"/>
            <w:noWrap/>
            <w:hideMark/>
          </w:tcPr>
          <w:p w14:paraId="52D591A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2,09 %</w:t>
            </w:r>
          </w:p>
        </w:tc>
        <w:tc>
          <w:tcPr>
            <w:tcW w:w="542" w:type="pct"/>
            <w:noWrap/>
            <w:hideMark/>
          </w:tcPr>
          <w:p w14:paraId="66419C5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0,41 %</w:t>
            </w:r>
          </w:p>
        </w:tc>
        <w:tc>
          <w:tcPr>
            <w:tcW w:w="543" w:type="pct"/>
            <w:noWrap/>
            <w:hideMark/>
          </w:tcPr>
          <w:p w14:paraId="7E17AC4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0,05 %</w:t>
            </w:r>
          </w:p>
        </w:tc>
        <w:tc>
          <w:tcPr>
            <w:tcW w:w="542" w:type="pct"/>
            <w:noWrap/>
            <w:hideMark/>
          </w:tcPr>
          <w:p w14:paraId="6D39884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2,94 %</w:t>
            </w:r>
          </w:p>
        </w:tc>
        <w:tc>
          <w:tcPr>
            <w:tcW w:w="543" w:type="pct"/>
            <w:noWrap/>
            <w:hideMark/>
          </w:tcPr>
          <w:p w14:paraId="532E975C"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2,17 %</w:t>
            </w:r>
          </w:p>
        </w:tc>
        <w:tc>
          <w:tcPr>
            <w:tcW w:w="542" w:type="pct"/>
            <w:noWrap/>
            <w:hideMark/>
          </w:tcPr>
          <w:p w14:paraId="3D7196D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1,59 %</w:t>
            </w:r>
          </w:p>
        </w:tc>
        <w:tc>
          <w:tcPr>
            <w:tcW w:w="541" w:type="pct"/>
            <w:tcBorders>
              <w:right w:val="nil"/>
            </w:tcBorders>
            <w:noWrap/>
            <w:hideMark/>
          </w:tcPr>
          <w:p w14:paraId="49B47798"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1,25 %</w:t>
            </w:r>
          </w:p>
        </w:tc>
      </w:tr>
      <w:tr w:rsidR="00B92790" w:rsidRPr="002E57BB" w14:paraId="648A4B6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3" w:type="pct"/>
            <w:tcBorders>
              <w:left w:val="nil"/>
            </w:tcBorders>
            <w:noWrap/>
            <w:hideMark/>
          </w:tcPr>
          <w:p w14:paraId="2308CD6B" w14:textId="77777777" w:rsidR="00B92790" w:rsidRPr="00D12EFD" w:rsidRDefault="00B92790" w:rsidP="00B92790">
            <w:pPr>
              <w:spacing w:after="0" w:line="240" w:lineRule="auto"/>
              <w:rPr>
                <w:rFonts w:asciiTheme="minorHAnsi" w:eastAsia="Times New Roman" w:hAnsiTheme="minorHAnsi" w:cs="Calibri"/>
                <w:b w:val="0"/>
                <w:color w:val="000000"/>
                <w:sz w:val="16"/>
                <w:szCs w:val="16"/>
                <w:lang w:eastAsia="cs-CZ"/>
              </w:rPr>
            </w:pPr>
            <w:r w:rsidRPr="00D12EFD">
              <w:rPr>
                <w:rFonts w:asciiTheme="minorHAnsi" w:eastAsia="Times New Roman" w:hAnsiTheme="minorHAnsi" w:cs="Calibri"/>
                <w:b w:val="0"/>
                <w:color w:val="000000"/>
                <w:sz w:val="16"/>
                <w:szCs w:val="16"/>
                <w:lang w:eastAsia="cs-CZ"/>
              </w:rPr>
              <w:t>Neurčeno</w:t>
            </w:r>
          </w:p>
        </w:tc>
        <w:tc>
          <w:tcPr>
            <w:tcW w:w="542" w:type="pct"/>
            <w:noWrap/>
            <w:hideMark/>
          </w:tcPr>
          <w:p w14:paraId="23BD496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5,57 %</w:t>
            </w:r>
          </w:p>
        </w:tc>
        <w:tc>
          <w:tcPr>
            <w:tcW w:w="543" w:type="pct"/>
            <w:noWrap/>
            <w:hideMark/>
          </w:tcPr>
          <w:p w14:paraId="2FB6C659"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5,19 %</w:t>
            </w:r>
          </w:p>
        </w:tc>
        <w:tc>
          <w:tcPr>
            <w:tcW w:w="542" w:type="pct"/>
            <w:noWrap/>
            <w:hideMark/>
          </w:tcPr>
          <w:p w14:paraId="11E3FF7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0,55 %</w:t>
            </w:r>
          </w:p>
        </w:tc>
        <w:tc>
          <w:tcPr>
            <w:tcW w:w="543" w:type="pct"/>
            <w:noWrap/>
            <w:hideMark/>
          </w:tcPr>
          <w:p w14:paraId="72CBC4A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0,29 %</w:t>
            </w:r>
          </w:p>
        </w:tc>
        <w:tc>
          <w:tcPr>
            <w:tcW w:w="542" w:type="pct"/>
            <w:noWrap/>
            <w:hideMark/>
          </w:tcPr>
          <w:p w14:paraId="0E452241"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1,47 %</w:t>
            </w:r>
          </w:p>
        </w:tc>
        <w:tc>
          <w:tcPr>
            <w:tcW w:w="543" w:type="pct"/>
            <w:noWrap/>
            <w:hideMark/>
          </w:tcPr>
          <w:p w14:paraId="0D3FBF6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2,26 %</w:t>
            </w:r>
          </w:p>
        </w:tc>
        <w:tc>
          <w:tcPr>
            <w:tcW w:w="542" w:type="pct"/>
            <w:noWrap/>
            <w:hideMark/>
          </w:tcPr>
          <w:p w14:paraId="619E973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2,39 %</w:t>
            </w:r>
          </w:p>
        </w:tc>
        <w:tc>
          <w:tcPr>
            <w:tcW w:w="541" w:type="pct"/>
            <w:tcBorders>
              <w:right w:val="nil"/>
            </w:tcBorders>
            <w:noWrap/>
            <w:hideMark/>
          </w:tcPr>
          <w:p w14:paraId="1C1B75F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2,41 %</w:t>
            </w:r>
          </w:p>
        </w:tc>
      </w:tr>
    </w:tbl>
    <w:p w14:paraId="287C1FEA" w14:textId="77777777" w:rsidR="00B92790" w:rsidRDefault="00B92790" w:rsidP="00B92790"/>
    <w:p w14:paraId="3CE117E5" w14:textId="77777777" w:rsidR="00B92790" w:rsidRDefault="00B92790" w:rsidP="00B92790">
      <w:pPr>
        <w:jc w:val="both"/>
      </w:pPr>
      <w:r>
        <w:t>Z hlediska zaměření činnosti projektů dle klasifikace CZ-NACE je nejvíce investic směřováno do zpracovatelského průmyslu. Je to celkem 70 % veškeré finanční podpory SC 1.1. V jednotlivých programech je podíl ještě výraznější – v programu Inovace je to celých 93,08 %. V samostatné tabulce je proto uvedeno detailnější členění zpracovatelského průmyslu na jednotlivá odvětví (oddíly CZ- NACE). V tomto členění je rozložení již vyrovnané, nejvýznamnější oblasti tvoří výroba strojů a výroba kovových konstrukcí, které dohromady představují téměř dvě pětiny odvětví.</w:t>
      </w:r>
    </w:p>
    <w:p w14:paraId="225E7566" w14:textId="77777777" w:rsidR="00B92790" w:rsidRPr="005A27E9" w:rsidRDefault="00B92790" w:rsidP="00B92790">
      <w:pPr>
        <w:jc w:val="both"/>
        <w:rPr>
          <w:i/>
        </w:rPr>
      </w:pPr>
      <w:r>
        <w:rPr>
          <w:i/>
        </w:rPr>
        <w:t>Metodická poznámka: Poskytnutá data z MS2014+ nerozlišují dílčí členění příspěvku EU v případě, že projekt je realizován ve více oblastech činností podle klasifikace CZ-NACE. U takových projektů byl příspěvek EU započítán pro každou uvedenou oblast CZ-NACE a výsledné hodnoty jsou uváděny v procentech pouze jako relativní. Uvedené hodnoty jsou proto orientační.</w:t>
      </w:r>
    </w:p>
    <w:p w14:paraId="1CCA8F4A" w14:textId="61C45C81"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29</w:t>
      </w:r>
      <w:r>
        <w:fldChar w:fldCharType="end"/>
      </w:r>
      <w:r>
        <w:t xml:space="preserve"> - Rozložení příspěvku EU podle sekce CZ-NACE</w:t>
      </w:r>
    </w:p>
    <w:tbl>
      <w:tblPr>
        <w:tblStyle w:val="ListTable3-Accent11"/>
        <w:tblW w:w="5000" w:type="pct"/>
        <w:tblBorders>
          <w:left w:val="none" w:sz="0" w:space="0" w:color="auto"/>
          <w:right w:val="none" w:sz="0" w:space="0" w:color="auto"/>
          <w:insideH w:val="single" w:sz="4" w:space="0" w:color="86BC25" w:themeColor="accent1"/>
        </w:tblBorders>
        <w:tblCellMar>
          <w:left w:w="57" w:type="dxa"/>
          <w:right w:w="57" w:type="dxa"/>
        </w:tblCellMar>
        <w:tblLook w:val="04A0" w:firstRow="1" w:lastRow="0" w:firstColumn="1" w:lastColumn="0" w:noHBand="0" w:noVBand="1"/>
      </w:tblPr>
      <w:tblGrid>
        <w:gridCol w:w="6173"/>
        <w:gridCol w:w="875"/>
        <w:gridCol w:w="837"/>
        <w:gridCol w:w="945"/>
        <w:gridCol w:w="808"/>
      </w:tblGrid>
      <w:tr w:rsidR="00B92790" w:rsidRPr="002E57BB" w14:paraId="0B75AF36" w14:textId="77777777" w:rsidTr="00B9279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07" w:type="pct"/>
            <w:noWrap/>
            <w:hideMark/>
          </w:tcPr>
          <w:p w14:paraId="21E7DD6E" w14:textId="77777777" w:rsidR="00B92790" w:rsidRPr="00C6728C" w:rsidRDefault="00B92790" w:rsidP="00B92790">
            <w:pPr>
              <w:spacing w:after="0" w:line="240" w:lineRule="auto"/>
              <w:rPr>
                <w:rFonts w:asciiTheme="minorHAnsi" w:eastAsia="Times New Roman" w:hAnsiTheme="minorHAnsi" w:cs="Calibri"/>
                <w:color w:val="FFFFFF"/>
                <w:sz w:val="16"/>
                <w:szCs w:val="16"/>
                <w:lang w:eastAsia="cs-CZ"/>
              </w:rPr>
            </w:pPr>
            <w:r w:rsidRPr="00C6728C">
              <w:rPr>
                <w:rFonts w:asciiTheme="minorHAnsi" w:eastAsia="Times New Roman" w:hAnsiTheme="minorHAnsi" w:cs="Calibri"/>
                <w:color w:val="FFFFFF"/>
                <w:sz w:val="16"/>
                <w:szCs w:val="16"/>
                <w:lang w:eastAsia="cs-CZ"/>
              </w:rPr>
              <w:t>Sekce klasifikace CZ-NACE</w:t>
            </w:r>
          </w:p>
        </w:tc>
        <w:tc>
          <w:tcPr>
            <w:tcW w:w="453" w:type="pct"/>
            <w:noWrap/>
            <w:hideMark/>
          </w:tcPr>
          <w:p w14:paraId="57268CBE" w14:textId="77777777" w:rsidR="00B92790" w:rsidRPr="00C6728C"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C6728C">
              <w:rPr>
                <w:rFonts w:asciiTheme="minorHAnsi" w:eastAsia="Times New Roman" w:hAnsiTheme="minorHAnsi" w:cs="Calibri"/>
                <w:color w:val="FFFFFF"/>
                <w:sz w:val="16"/>
                <w:szCs w:val="16"/>
                <w:lang w:eastAsia="cs-CZ"/>
              </w:rPr>
              <w:t>Aplikace</w:t>
            </w:r>
          </w:p>
        </w:tc>
        <w:tc>
          <w:tcPr>
            <w:tcW w:w="433" w:type="pct"/>
            <w:noWrap/>
            <w:hideMark/>
          </w:tcPr>
          <w:p w14:paraId="7CF22F4F" w14:textId="77777777" w:rsidR="00B92790" w:rsidRPr="00C6728C"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C6728C">
              <w:rPr>
                <w:rFonts w:asciiTheme="minorHAnsi" w:eastAsia="Times New Roman" w:hAnsiTheme="minorHAnsi" w:cs="Calibri"/>
                <w:color w:val="FFFFFF"/>
                <w:sz w:val="16"/>
                <w:szCs w:val="16"/>
                <w:lang w:eastAsia="cs-CZ"/>
              </w:rPr>
              <w:t>Inovace</w:t>
            </w:r>
          </w:p>
        </w:tc>
        <w:tc>
          <w:tcPr>
            <w:tcW w:w="489" w:type="pct"/>
            <w:noWrap/>
            <w:hideMark/>
          </w:tcPr>
          <w:p w14:paraId="720DE52E" w14:textId="77777777" w:rsidR="00B92790" w:rsidRPr="00C6728C"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C6728C">
              <w:rPr>
                <w:rFonts w:asciiTheme="minorHAnsi" w:eastAsia="Times New Roman" w:hAnsiTheme="minorHAnsi" w:cs="Calibri"/>
                <w:color w:val="FFFFFF"/>
                <w:sz w:val="16"/>
                <w:szCs w:val="16"/>
                <w:lang w:eastAsia="cs-CZ"/>
              </w:rPr>
              <w:t>Potenciál</w:t>
            </w:r>
          </w:p>
        </w:tc>
        <w:tc>
          <w:tcPr>
            <w:tcW w:w="418" w:type="pct"/>
            <w:noWrap/>
            <w:hideMark/>
          </w:tcPr>
          <w:p w14:paraId="1A1DFCBD" w14:textId="77777777" w:rsidR="00B92790" w:rsidRPr="00C6728C"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sz w:val="16"/>
                <w:szCs w:val="16"/>
                <w:lang w:eastAsia="cs-CZ"/>
              </w:rPr>
            </w:pPr>
            <w:r w:rsidRPr="00C6728C">
              <w:rPr>
                <w:rFonts w:asciiTheme="minorHAnsi" w:eastAsia="Times New Roman" w:hAnsiTheme="minorHAnsi" w:cs="Calibri"/>
                <w:color w:val="FFFFFF"/>
                <w:sz w:val="16"/>
                <w:szCs w:val="16"/>
                <w:lang w:eastAsia="cs-CZ"/>
              </w:rPr>
              <w:t>Celkem</w:t>
            </w:r>
          </w:p>
        </w:tc>
      </w:tr>
      <w:tr w:rsidR="00B92790" w:rsidRPr="002E57BB" w14:paraId="2CAD07FB"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3CCF6835"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A - Zemědělství, lesnictví, rybářství</w:t>
            </w:r>
          </w:p>
        </w:tc>
        <w:tc>
          <w:tcPr>
            <w:tcW w:w="453" w:type="pct"/>
            <w:noWrap/>
            <w:hideMark/>
          </w:tcPr>
          <w:p w14:paraId="7BDD9EE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0,50 %</w:t>
            </w:r>
          </w:p>
        </w:tc>
        <w:tc>
          <w:tcPr>
            <w:tcW w:w="433" w:type="pct"/>
            <w:noWrap/>
            <w:hideMark/>
          </w:tcPr>
          <w:p w14:paraId="0026FCF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0,01 %</w:t>
            </w:r>
          </w:p>
        </w:tc>
        <w:tc>
          <w:tcPr>
            <w:tcW w:w="489" w:type="pct"/>
            <w:noWrap/>
            <w:hideMark/>
          </w:tcPr>
          <w:p w14:paraId="72C31D71"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424D5B1C"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0,24 %</w:t>
            </w:r>
          </w:p>
        </w:tc>
      </w:tr>
      <w:tr w:rsidR="00B92790" w:rsidRPr="002E57BB" w14:paraId="0017EC9C"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0517F49D"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C - Zpracovatelský průmysl</w:t>
            </w:r>
          </w:p>
        </w:tc>
        <w:tc>
          <w:tcPr>
            <w:tcW w:w="453" w:type="pct"/>
            <w:noWrap/>
            <w:hideMark/>
          </w:tcPr>
          <w:p w14:paraId="030FE90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49,49 %</w:t>
            </w:r>
          </w:p>
        </w:tc>
        <w:tc>
          <w:tcPr>
            <w:tcW w:w="433" w:type="pct"/>
            <w:noWrap/>
            <w:hideMark/>
          </w:tcPr>
          <w:p w14:paraId="146A8729"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93,08 %</w:t>
            </w:r>
          </w:p>
        </w:tc>
        <w:tc>
          <w:tcPr>
            <w:tcW w:w="489" w:type="pct"/>
            <w:noWrap/>
            <w:hideMark/>
          </w:tcPr>
          <w:p w14:paraId="55CFE16C"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74,74 %</w:t>
            </w:r>
          </w:p>
        </w:tc>
        <w:tc>
          <w:tcPr>
            <w:tcW w:w="418" w:type="pct"/>
            <w:noWrap/>
            <w:hideMark/>
          </w:tcPr>
          <w:p w14:paraId="2307DF8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69,68 %</w:t>
            </w:r>
          </w:p>
        </w:tc>
      </w:tr>
      <w:tr w:rsidR="00B92790" w:rsidRPr="002E57BB" w14:paraId="3D45F8B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30DCBB9E"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D - Výroba</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rozvod elektřiny, plynu, tepla</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klimatizovaného vzduchu</w:t>
            </w:r>
          </w:p>
        </w:tc>
        <w:tc>
          <w:tcPr>
            <w:tcW w:w="453" w:type="pct"/>
            <w:noWrap/>
            <w:hideMark/>
          </w:tcPr>
          <w:p w14:paraId="1F1676E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3,55 %</w:t>
            </w:r>
          </w:p>
        </w:tc>
        <w:tc>
          <w:tcPr>
            <w:tcW w:w="433" w:type="pct"/>
            <w:noWrap/>
            <w:hideMark/>
          </w:tcPr>
          <w:p w14:paraId="3BDCC04E"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89" w:type="pct"/>
            <w:noWrap/>
            <w:hideMark/>
          </w:tcPr>
          <w:p w14:paraId="1ECA4D4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52024CB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1,65 %</w:t>
            </w:r>
          </w:p>
        </w:tc>
      </w:tr>
      <w:tr w:rsidR="00B92790" w:rsidRPr="002E57BB" w14:paraId="1D5F3070"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4063AECB"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 xml:space="preserve">E - Zásobování vodou; činnosti související s odpadními vodami, </w:t>
            </w:r>
            <w:r>
              <w:rPr>
                <w:rFonts w:asciiTheme="minorHAnsi" w:eastAsia="Times New Roman" w:hAnsiTheme="minorHAnsi" w:cs="Calibri"/>
                <w:b w:val="0"/>
                <w:color w:val="000000"/>
                <w:sz w:val="16"/>
                <w:szCs w:val="16"/>
                <w:lang w:eastAsia="cs-CZ"/>
              </w:rPr>
              <w:br/>
            </w:r>
            <w:r w:rsidRPr="00747380">
              <w:rPr>
                <w:rFonts w:asciiTheme="minorHAnsi" w:eastAsia="Times New Roman" w:hAnsiTheme="minorHAnsi" w:cs="Calibri"/>
                <w:b w:val="0"/>
                <w:color w:val="000000"/>
                <w:sz w:val="16"/>
                <w:szCs w:val="16"/>
                <w:lang w:eastAsia="cs-CZ"/>
              </w:rPr>
              <w:t>odpady</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sanacemi</w:t>
            </w:r>
          </w:p>
        </w:tc>
        <w:tc>
          <w:tcPr>
            <w:tcW w:w="453" w:type="pct"/>
            <w:noWrap/>
            <w:hideMark/>
          </w:tcPr>
          <w:p w14:paraId="4B35769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1,16 %</w:t>
            </w:r>
          </w:p>
        </w:tc>
        <w:tc>
          <w:tcPr>
            <w:tcW w:w="433" w:type="pct"/>
            <w:noWrap/>
            <w:hideMark/>
          </w:tcPr>
          <w:p w14:paraId="5D1263D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0,10 %</w:t>
            </w:r>
          </w:p>
        </w:tc>
        <w:tc>
          <w:tcPr>
            <w:tcW w:w="489" w:type="pct"/>
            <w:noWrap/>
            <w:hideMark/>
          </w:tcPr>
          <w:p w14:paraId="258C9CF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0,77 %</w:t>
            </w:r>
          </w:p>
        </w:tc>
        <w:tc>
          <w:tcPr>
            <w:tcW w:w="418" w:type="pct"/>
            <w:noWrap/>
            <w:hideMark/>
          </w:tcPr>
          <w:p w14:paraId="1E6ED7F2"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0,71 %</w:t>
            </w:r>
          </w:p>
        </w:tc>
      </w:tr>
      <w:tr w:rsidR="00B92790" w:rsidRPr="002E57BB" w14:paraId="40C87BD7"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67D20423"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F  Stavebnictví</w:t>
            </w:r>
          </w:p>
        </w:tc>
        <w:tc>
          <w:tcPr>
            <w:tcW w:w="453" w:type="pct"/>
            <w:noWrap/>
            <w:hideMark/>
          </w:tcPr>
          <w:p w14:paraId="7EF5AF8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0,99 %</w:t>
            </w:r>
          </w:p>
        </w:tc>
        <w:tc>
          <w:tcPr>
            <w:tcW w:w="433" w:type="pct"/>
            <w:noWrap/>
            <w:hideMark/>
          </w:tcPr>
          <w:p w14:paraId="325C58D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0,02 %</w:t>
            </w:r>
          </w:p>
        </w:tc>
        <w:tc>
          <w:tcPr>
            <w:tcW w:w="489" w:type="pct"/>
            <w:noWrap/>
            <w:hideMark/>
          </w:tcPr>
          <w:p w14:paraId="1BC9E96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2C0B18F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0,47 %</w:t>
            </w:r>
          </w:p>
        </w:tc>
      </w:tr>
      <w:tr w:rsidR="00B92790" w:rsidRPr="002E57BB" w14:paraId="151CFEE6"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6643B9F9"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G - Velkoobchod</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maloobchod; opravy</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údržba motorových vozidel</w:t>
            </w:r>
          </w:p>
        </w:tc>
        <w:tc>
          <w:tcPr>
            <w:tcW w:w="453" w:type="pct"/>
            <w:noWrap/>
            <w:hideMark/>
          </w:tcPr>
          <w:p w14:paraId="4F42819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0,07 %</w:t>
            </w:r>
          </w:p>
        </w:tc>
        <w:tc>
          <w:tcPr>
            <w:tcW w:w="433" w:type="pct"/>
            <w:noWrap/>
            <w:hideMark/>
          </w:tcPr>
          <w:p w14:paraId="45733D0D"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0,07 %</w:t>
            </w:r>
          </w:p>
        </w:tc>
        <w:tc>
          <w:tcPr>
            <w:tcW w:w="489" w:type="pct"/>
            <w:noWrap/>
            <w:hideMark/>
          </w:tcPr>
          <w:p w14:paraId="70F9ED7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3F17F4F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0,06 %</w:t>
            </w:r>
          </w:p>
        </w:tc>
      </w:tr>
      <w:tr w:rsidR="00B92790" w:rsidRPr="002E57BB" w14:paraId="607B2200"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146B7142"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J - Informační</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komunikační činnosti</w:t>
            </w:r>
          </w:p>
        </w:tc>
        <w:tc>
          <w:tcPr>
            <w:tcW w:w="453" w:type="pct"/>
            <w:noWrap/>
            <w:hideMark/>
          </w:tcPr>
          <w:p w14:paraId="78E4B130"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9,11 %</w:t>
            </w:r>
          </w:p>
        </w:tc>
        <w:tc>
          <w:tcPr>
            <w:tcW w:w="433" w:type="pct"/>
            <w:noWrap/>
            <w:hideMark/>
          </w:tcPr>
          <w:p w14:paraId="786E71D3"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0,57 %</w:t>
            </w:r>
          </w:p>
        </w:tc>
        <w:tc>
          <w:tcPr>
            <w:tcW w:w="489" w:type="pct"/>
            <w:noWrap/>
            <w:hideMark/>
          </w:tcPr>
          <w:p w14:paraId="4011A15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7F685468"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4,44 %</w:t>
            </w:r>
          </w:p>
        </w:tc>
      </w:tr>
      <w:tr w:rsidR="00B92790" w:rsidRPr="002E57BB" w14:paraId="75F2C899"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6ED43C87"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M - Profesní, vědecké</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technické činnosti</w:t>
            </w:r>
          </w:p>
        </w:tc>
        <w:tc>
          <w:tcPr>
            <w:tcW w:w="453" w:type="pct"/>
            <w:noWrap/>
            <w:hideMark/>
          </w:tcPr>
          <w:p w14:paraId="5F2301C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33,80 %</w:t>
            </w:r>
          </w:p>
        </w:tc>
        <w:tc>
          <w:tcPr>
            <w:tcW w:w="433" w:type="pct"/>
            <w:noWrap/>
            <w:hideMark/>
          </w:tcPr>
          <w:p w14:paraId="5D07F726"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0,43 %</w:t>
            </w:r>
          </w:p>
        </w:tc>
        <w:tc>
          <w:tcPr>
            <w:tcW w:w="489" w:type="pct"/>
            <w:noWrap/>
            <w:hideMark/>
          </w:tcPr>
          <w:p w14:paraId="15A14E1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683C8CC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15,87 %</w:t>
            </w:r>
          </w:p>
        </w:tc>
      </w:tr>
      <w:tr w:rsidR="00B92790" w:rsidRPr="002E57BB" w14:paraId="1C4A6FC1"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7E0688E5"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N - Administrativní</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podpůrné činnosti</w:t>
            </w:r>
          </w:p>
        </w:tc>
        <w:tc>
          <w:tcPr>
            <w:tcW w:w="453" w:type="pct"/>
            <w:noWrap/>
            <w:hideMark/>
          </w:tcPr>
          <w:p w14:paraId="5BBEA802"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0,09 %</w:t>
            </w:r>
          </w:p>
        </w:tc>
        <w:tc>
          <w:tcPr>
            <w:tcW w:w="433" w:type="pct"/>
            <w:noWrap/>
            <w:hideMark/>
          </w:tcPr>
          <w:p w14:paraId="3C404771"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89" w:type="pct"/>
            <w:noWrap/>
            <w:hideMark/>
          </w:tcPr>
          <w:p w14:paraId="0901976A"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1D1A7D6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0,04 %</w:t>
            </w:r>
          </w:p>
        </w:tc>
      </w:tr>
      <w:tr w:rsidR="00B92790" w:rsidRPr="002E57BB" w14:paraId="72BBF7CA"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6EADF895"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Neuvedeno</w:t>
            </w:r>
          </w:p>
        </w:tc>
        <w:tc>
          <w:tcPr>
            <w:tcW w:w="453" w:type="pct"/>
            <w:noWrap/>
            <w:hideMark/>
          </w:tcPr>
          <w:p w14:paraId="2326522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0,72 %</w:t>
            </w:r>
          </w:p>
        </w:tc>
        <w:tc>
          <w:tcPr>
            <w:tcW w:w="433" w:type="pct"/>
            <w:noWrap/>
            <w:hideMark/>
          </w:tcPr>
          <w:p w14:paraId="102B97D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5,72 %</w:t>
            </w:r>
          </w:p>
        </w:tc>
        <w:tc>
          <w:tcPr>
            <w:tcW w:w="489" w:type="pct"/>
            <w:noWrap/>
            <w:hideMark/>
          </w:tcPr>
          <w:p w14:paraId="736CC082"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24,48 %</w:t>
            </w:r>
          </w:p>
        </w:tc>
        <w:tc>
          <w:tcPr>
            <w:tcW w:w="418" w:type="pct"/>
            <w:noWrap/>
            <w:hideMark/>
          </w:tcPr>
          <w:p w14:paraId="2E223E47"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6,60 %</w:t>
            </w:r>
          </w:p>
        </w:tc>
      </w:tr>
      <w:tr w:rsidR="00B92790" w:rsidRPr="002E57BB" w14:paraId="277E6AA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301E03F5"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P</w:t>
            </w:r>
            <w:r>
              <w:rPr>
                <w:rFonts w:asciiTheme="minorHAnsi" w:eastAsia="Times New Roman" w:hAnsiTheme="minorHAnsi" w:cs="Calibri"/>
                <w:b w:val="0"/>
                <w:color w:val="000000"/>
                <w:sz w:val="16"/>
                <w:szCs w:val="16"/>
                <w:lang w:eastAsia="cs-CZ"/>
              </w:rPr>
              <w:t xml:space="preserve"> - </w:t>
            </w:r>
            <w:r w:rsidRPr="00747380">
              <w:rPr>
                <w:rFonts w:asciiTheme="minorHAnsi" w:eastAsia="Times New Roman" w:hAnsiTheme="minorHAnsi" w:cs="Calibri"/>
                <w:b w:val="0"/>
                <w:color w:val="000000"/>
                <w:sz w:val="16"/>
                <w:szCs w:val="16"/>
                <w:lang w:eastAsia="cs-CZ"/>
              </w:rPr>
              <w:t>Vzdělávání</w:t>
            </w:r>
          </w:p>
        </w:tc>
        <w:tc>
          <w:tcPr>
            <w:tcW w:w="453" w:type="pct"/>
            <w:noWrap/>
            <w:hideMark/>
          </w:tcPr>
          <w:p w14:paraId="0A8AA659"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0,47 %</w:t>
            </w:r>
          </w:p>
        </w:tc>
        <w:tc>
          <w:tcPr>
            <w:tcW w:w="433" w:type="pct"/>
            <w:noWrap/>
            <w:hideMark/>
          </w:tcPr>
          <w:p w14:paraId="041C5DBB"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0,01 %</w:t>
            </w:r>
          </w:p>
        </w:tc>
        <w:tc>
          <w:tcPr>
            <w:tcW w:w="489" w:type="pct"/>
            <w:noWrap/>
            <w:hideMark/>
          </w:tcPr>
          <w:p w14:paraId="4F4487A7"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1314FEC4"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0,22 %</w:t>
            </w:r>
          </w:p>
        </w:tc>
      </w:tr>
      <w:tr w:rsidR="00B92790" w:rsidRPr="002E57BB" w14:paraId="4D11364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37CEBDD8"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Q - Zdravotní</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sociální péče</w:t>
            </w:r>
          </w:p>
        </w:tc>
        <w:tc>
          <w:tcPr>
            <w:tcW w:w="453" w:type="pct"/>
            <w:noWrap/>
            <w:hideMark/>
          </w:tcPr>
          <w:p w14:paraId="1155E941"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0,05 %</w:t>
            </w:r>
          </w:p>
        </w:tc>
        <w:tc>
          <w:tcPr>
            <w:tcW w:w="433" w:type="pct"/>
            <w:noWrap/>
            <w:hideMark/>
          </w:tcPr>
          <w:p w14:paraId="27E217AA"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89" w:type="pct"/>
            <w:noWrap/>
            <w:hideMark/>
          </w:tcPr>
          <w:p w14:paraId="27B29F50"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0A968FA4"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0,02 %</w:t>
            </w:r>
          </w:p>
        </w:tc>
      </w:tr>
      <w:tr w:rsidR="00B92790" w:rsidRPr="002E57BB" w14:paraId="78E58BE3"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07" w:type="pct"/>
            <w:noWrap/>
            <w:hideMark/>
          </w:tcPr>
          <w:p w14:paraId="285D433A" w14:textId="77777777" w:rsidR="00B92790" w:rsidRPr="00747380" w:rsidRDefault="00B92790" w:rsidP="00B92790">
            <w:pPr>
              <w:spacing w:after="0" w:line="240" w:lineRule="auto"/>
              <w:rPr>
                <w:rFonts w:asciiTheme="minorHAnsi" w:eastAsia="Times New Roman" w:hAnsiTheme="minorHAnsi" w:cs="Calibri"/>
                <w:b w:val="0"/>
                <w:color w:val="000000"/>
                <w:sz w:val="16"/>
                <w:szCs w:val="16"/>
                <w:lang w:eastAsia="cs-CZ"/>
              </w:rPr>
            </w:pPr>
            <w:r w:rsidRPr="00747380">
              <w:rPr>
                <w:rFonts w:asciiTheme="minorHAnsi" w:eastAsia="Times New Roman" w:hAnsiTheme="minorHAnsi" w:cs="Calibri"/>
                <w:b w:val="0"/>
                <w:color w:val="000000"/>
                <w:sz w:val="16"/>
                <w:szCs w:val="16"/>
                <w:lang w:eastAsia="cs-CZ"/>
              </w:rPr>
              <w:t>R - Kulturní, zábavní</w:t>
            </w:r>
            <w:r>
              <w:rPr>
                <w:rFonts w:asciiTheme="minorHAnsi" w:eastAsia="Times New Roman" w:hAnsiTheme="minorHAnsi" w:cs="Calibri"/>
                <w:b w:val="0"/>
                <w:color w:val="000000"/>
                <w:sz w:val="16"/>
                <w:szCs w:val="16"/>
                <w:lang w:eastAsia="cs-CZ"/>
              </w:rPr>
              <w:t xml:space="preserve"> a </w:t>
            </w:r>
            <w:r w:rsidRPr="00747380">
              <w:rPr>
                <w:rFonts w:asciiTheme="minorHAnsi" w:eastAsia="Times New Roman" w:hAnsiTheme="minorHAnsi" w:cs="Calibri"/>
                <w:b w:val="0"/>
                <w:color w:val="000000"/>
                <w:sz w:val="16"/>
                <w:szCs w:val="16"/>
                <w:lang w:eastAsia="cs-CZ"/>
              </w:rPr>
              <w:t>rekreační činnosti</w:t>
            </w:r>
          </w:p>
        </w:tc>
        <w:tc>
          <w:tcPr>
            <w:tcW w:w="453" w:type="pct"/>
            <w:noWrap/>
            <w:hideMark/>
          </w:tcPr>
          <w:p w14:paraId="1CE8C956"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33" w:type="pct"/>
            <w:noWrap/>
            <w:hideMark/>
          </w:tcPr>
          <w:p w14:paraId="2980A3B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89" w:type="pct"/>
            <w:noWrap/>
            <w:hideMark/>
          </w:tcPr>
          <w:p w14:paraId="471645AD"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c>
          <w:tcPr>
            <w:tcW w:w="418" w:type="pct"/>
            <w:noWrap/>
            <w:hideMark/>
          </w:tcPr>
          <w:p w14:paraId="3C7BEAA5" w14:textId="77777777" w:rsidR="00B92790" w:rsidRPr="00C6728C"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6"/>
                <w:szCs w:val="16"/>
                <w:lang w:eastAsia="cs-CZ"/>
              </w:rPr>
            </w:pPr>
            <w:r w:rsidRPr="00C6728C">
              <w:rPr>
                <w:rFonts w:asciiTheme="minorHAnsi" w:eastAsia="Times New Roman" w:hAnsiTheme="minorHAnsi" w:cs="Calibri"/>
                <w:color w:val="000000"/>
                <w:sz w:val="16"/>
                <w:szCs w:val="16"/>
                <w:lang w:eastAsia="cs-CZ"/>
              </w:rPr>
              <w:t>0,00 %</w:t>
            </w:r>
          </w:p>
        </w:tc>
      </w:tr>
      <w:tr w:rsidR="00B92790" w:rsidRPr="002E57BB" w14:paraId="4B67C321"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207" w:type="pct"/>
            <w:shd w:val="clear" w:color="auto" w:fill="E7F5CF" w:themeFill="accent1" w:themeFillTint="33"/>
            <w:noWrap/>
            <w:hideMark/>
          </w:tcPr>
          <w:p w14:paraId="19347C67" w14:textId="77777777" w:rsidR="00B92790" w:rsidRPr="00747380" w:rsidRDefault="00B92790" w:rsidP="00B92790">
            <w:pPr>
              <w:spacing w:after="0" w:line="240" w:lineRule="auto"/>
              <w:rPr>
                <w:rFonts w:asciiTheme="minorHAnsi" w:eastAsia="Times New Roman" w:hAnsiTheme="minorHAnsi" w:cs="Calibri"/>
                <w:bCs w:val="0"/>
                <w:color w:val="000000"/>
                <w:sz w:val="16"/>
                <w:szCs w:val="16"/>
                <w:lang w:eastAsia="cs-CZ"/>
              </w:rPr>
            </w:pPr>
            <w:r w:rsidRPr="00747380">
              <w:rPr>
                <w:rFonts w:asciiTheme="minorHAnsi" w:eastAsia="Times New Roman" w:hAnsiTheme="minorHAnsi" w:cs="Calibri"/>
                <w:bCs w:val="0"/>
                <w:color w:val="000000"/>
                <w:sz w:val="16"/>
                <w:szCs w:val="16"/>
                <w:lang w:eastAsia="cs-CZ"/>
              </w:rPr>
              <w:t>Celkem</w:t>
            </w:r>
          </w:p>
        </w:tc>
        <w:tc>
          <w:tcPr>
            <w:tcW w:w="453" w:type="pct"/>
            <w:shd w:val="clear" w:color="auto" w:fill="E7F5CF" w:themeFill="accent1" w:themeFillTint="33"/>
            <w:noWrap/>
            <w:hideMark/>
          </w:tcPr>
          <w:p w14:paraId="0D95357E"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cs-CZ"/>
              </w:rPr>
            </w:pPr>
            <w:r w:rsidRPr="00C6728C">
              <w:rPr>
                <w:rFonts w:asciiTheme="minorHAnsi" w:eastAsia="Times New Roman" w:hAnsiTheme="minorHAnsi" w:cs="Calibri"/>
                <w:b/>
                <w:bCs/>
                <w:color w:val="000000"/>
                <w:sz w:val="16"/>
                <w:szCs w:val="16"/>
                <w:lang w:eastAsia="cs-CZ"/>
              </w:rPr>
              <w:t>100 %</w:t>
            </w:r>
          </w:p>
        </w:tc>
        <w:tc>
          <w:tcPr>
            <w:tcW w:w="433" w:type="pct"/>
            <w:shd w:val="clear" w:color="auto" w:fill="E7F5CF" w:themeFill="accent1" w:themeFillTint="33"/>
            <w:noWrap/>
            <w:hideMark/>
          </w:tcPr>
          <w:p w14:paraId="3031CD7C"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cs-CZ"/>
              </w:rPr>
            </w:pPr>
            <w:r w:rsidRPr="00C6728C">
              <w:rPr>
                <w:rFonts w:asciiTheme="minorHAnsi" w:eastAsia="Times New Roman" w:hAnsiTheme="minorHAnsi" w:cs="Calibri"/>
                <w:b/>
                <w:bCs/>
                <w:color w:val="000000"/>
                <w:sz w:val="16"/>
                <w:szCs w:val="16"/>
                <w:lang w:eastAsia="cs-CZ"/>
              </w:rPr>
              <w:t>100 %</w:t>
            </w:r>
          </w:p>
        </w:tc>
        <w:tc>
          <w:tcPr>
            <w:tcW w:w="489" w:type="pct"/>
            <w:shd w:val="clear" w:color="auto" w:fill="E7F5CF" w:themeFill="accent1" w:themeFillTint="33"/>
            <w:noWrap/>
            <w:hideMark/>
          </w:tcPr>
          <w:p w14:paraId="01A4D60F"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cs-CZ"/>
              </w:rPr>
            </w:pPr>
            <w:r w:rsidRPr="00C6728C">
              <w:rPr>
                <w:rFonts w:asciiTheme="minorHAnsi" w:eastAsia="Times New Roman" w:hAnsiTheme="minorHAnsi" w:cs="Calibri"/>
                <w:b/>
                <w:bCs/>
                <w:color w:val="000000"/>
                <w:sz w:val="16"/>
                <w:szCs w:val="16"/>
                <w:lang w:eastAsia="cs-CZ"/>
              </w:rPr>
              <w:t>100 %</w:t>
            </w:r>
          </w:p>
        </w:tc>
        <w:tc>
          <w:tcPr>
            <w:tcW w:w="418" w:type="pct"/>
            <w:shd w:val="clear" w:color="auto" w:fill="E7F5CF" w:themeFill="accent1" w:themeFillTint="33"/>
            <w:noWrap/>
            <w:hideMark/>
          </w:tcPr>
          <w:p w14:paraId="2BB49FEB" w14:textId="77777777" w:rsidR="00B92790" w:rsidRPr="00C6728C"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sz w:val="16"/>
                <w:szCs w:val="16"/>
                <w:lang w:eastAsia="cs-CZ"/>
              </w:rPr>
            </w:pPr>
            <w:r w:rsidRPr="00C6728C">
              <w:rPr>
                <w:rFonts w:asciiTheme="minorHAnsi" w:eastAsia="Times New Roman" w:hAnsiTheme="minorHAnsi" w:cs="Calibri"/>
                <w:b/>
                <w:bCs/>
                <w:color w:val="000000"/>
                <w:sz w:val="16"/>
                <w:szCs w:val="16"/>
                <w:lang w:eastAsia="cs-CZ"/>
              </w:rPr>
              <w:t>100 %</w:t>
            </w:r>
          </w:p>
        </w:tc>
      </w:tr>
    </w:tbl>
    <w:p w14:paraId="66B59646" w14:textId="77777777" w:rsidR="00B92790" w:rsidRDefault="00B92790" w:rsidP="00B92790"/>
    <w:p w14:paraId="5F52F64F" w14:textId="77777777" w:rsidR="00B92790" w:rsidRDefault="00B92790" w:rsidP="00B92790">
      <w:pPr>
        <w:spacing w:after="0" w:line="240" w:lineRule="auto"/>
        <w:rPr>
          <w:iCs/>
          <w:color w:val="75787B" w:themeColor="accent6"/>
          <w:sz w:val="17"/>
          <w:szCs w:val="18"/>
        </w:rPr>
      </w:pPr>
      <w:r>
        <w:br w:type="page"/>
      </w:r>
    </w:p>
    <w:p w14:paraId="0CC030B6" w14:textId="771EAC73" w:rsidR="00B92790" w:rsidRDefault="00B92790" w:rsidP="00B92790">
      <w:pPr>
        <w:pStyle w:val="Caption"/>
      </w:pPr>
      <w:r>
        <w:t xml:space="preserve">Tabulka </w:t>
      </w:r>
      <w:r>
        <w:fldChar w:fldCharType="begin"/>
      </w:r>
      <w:r>
        <w:instrText xml:space="preserve"> SEQ Tabulka \* ARABIC </w:instrText>
      </w:r>
      <w:r>
        <w:fldChar w:fldCharType="separate"/>
      </w:r>
      <w:r w:rsidR="00F77CAE">
        <w:rPr>
          <w:noProof/>
        </w:rPr>
        <w:t>30</w:t>
      </w:r>
      <w:r>
        <w:fldChar w:fldCharType="end"/>
      </w:r>
      <w:r>
        <w:t xml:space="preserve"> - </w:t>
      </w:r>
      <w:r w:rsidRPr="004B130F">
        <w:t xml:space="preserve">Rozložení příspěvku EU </w:t>
      </w:r>
      <w:r>
        <w:t>ve zpracovatelském průmyslu</w:t>
      </w:r>
    </w:p>
    <w:tbl>
      <w:tblPr>
        <w:tblStyle w:val="ListTable3-Accent11"/>
        <w:tblW w:w="503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5875"/>
        <w:gridCol w:w="977"/>
        <w:gridCol w:w="939"/>
        <w:gridCol w:w="1047"/>
        <w:gridCol w:w="910"/>
      </w:tblGrid>
      <w:tr w:rsidR="00B92790" w:rsidRPr="00116BA5" w14:paraId="390FBA07" w14:textId="77777777" w:rsidTr="00B9279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470" w:type="pct"/>
            <w:noWrap/>
            <w:hideMark/>
          </w:tcPr>
          <w:p w14:paraId="44195AD5" w14:textId="77777777" w:rsidR="00B92790" w:rsidRPr="00116BA5" w:rsidRDefault="00B92790" w:rsidP="00B92790">
            <w:pPr>
              <w:spacing w:after="0" w:line="240" w:lineRule="auto"/>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Oddíl klasifikace CZ-NACE</w:t>
            </w:r>
          </w:p>
        </w:tc>
        <w:tc>
          <w:tcPr>
            <w:tcW w:w="384" w:type="pct"/>
            <w:noWrap/>
            <w:hideMark/>
          </w:tcPr>
          <w:p w14:paraId="1BBE775F" w14:textId="77777777" w:rsidR="00B92790" w:rsidRPr="00116BA5"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Aplikace</w:t>
            </w:r>
          </w:p>
        </w:tc>
        <w:tc>
          <w:tcPr>
            <w:tcW w:w="365" w:type="pct"/>
            <w:noWrap/>
            <w:hideMark/>
          </w:tcPr>
          <w:p w14:paraId="74F630C1" w14:textId="77777777" w:rsidR="00B92790" w:rsidRPr="00116BA5"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Inovace</w:t>
            </w:r>
          </w:p>
        </w:tc>
        <w:tc>
          <w:tcPr>
            <w:tcW w:w="415" w:type="pct"/>
            <w:noWrap/>
            <w:hideMark/>
          </w:tcPr>
          <w:p w14:paraId="23B953A0" w14:textId="77777777" w:rsidR="00B92790" w:rsidRPr="00116BA5"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Potenciál</w:t>
            </w:r>
          </w:p>
        </w:tc>
        <w:tc>
          <w:tcPr>
            <w:tcW w:w="365" w:type="pct"/>
            <w:noWrap/>
            <w:hideMark/>
          </w:tcPr>
          <w:p w14:paraId="17C9F02D" w14:textId="77777777" w:rsidR="00B92790" w:rsidRPr="00116BA5" w:rsidRDefault="00B92790" w:rsidP="00B92790">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sz w:val="16"/>
                <w:szCs w:val="16"/>
                <w:lang w:eastAsia="cs-CZ"/>
              </w:rPr>
            </w:pPr>
            <w:r w:rsidRPr="00116BA5">
              <w:rPr>
                <w:rFonts w:asciiTheme="majorHAnsi" w:eastAsia="Times New Roman" w:hAnsiTheme="majorHAnsi" w:cs="Calibri"/>
                <w:color w:val="FFFFFF"/>
                <w:sz w:val="16"/>
                <w:szCs w:val="16"/>
                <w:lang w:eastAsia="cs-CZ"/>
              </w:rPr>
              <w:t>Celkem</w:t>
            </w:r>
          </w:p>
        </w:tc>
      </w:tr>
      <w:tr w:rsidR="00B92790" w:rsidRPr="00116BA5" w14:paraId="73A2B7BD"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2B60638E"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10 - Výroba potravinářských výrobků</w:t>
            </w:r>
          </w:p>
        </w:tc>
        <w:tc>
          <w:tcPr>
            <w:tcW w:w="384" w:type="pct"/>
            <w:noWrap/>
            <w:hideMark/>
          </w:tcPr>
          <w:p w14:paraId="2BD7FD3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1,09 %</w:t>
            </w:r>
          </w:p>
        </w:tc>
        <w:tc>
          <w:tcPr>
            <w:tcW w:w="365" w:type="pct"/>
            <w:noWrap/>
            <w:hideMark/>
          </w:tcPr>
          <w:p w14:paraId="181A6E38"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3,36 %</w:t>
            </w:r>
          </w:p>
        </w:tc>
        <w:tc>
          <w:tcPr>
            <w:tcW w:w="415" w:type="pct"/>
            <w:noWrap/>
            <w:hideMark/>
          </w:tcPr>
          <w:p w14:paraId="49030D2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1,37 %</w:t>
            </w:r>
          </w:p>
        </w:tc>
        <w:tc>
          <w:tcPr>
            <w:tcW w:w="365" w:type="pct"/>
            <w:noWrap/>
            <w:hideMark/>
          </w:tcPr>
          <w:p w14:paraId="151C242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2,25 %</w:t>
            </w:r>
          </w:p>
        </w:tc>
      </w:tr>
      <w:tr w:rsidR="00B92790" w:rsidRPr="00116BA5" w14:paraId="53FE68A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446FBEE0"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11 - Výroba nápojů</w:t>
            </w:r>
          </w:p>
        </w:tc>
        <w:tc>
          <w:tcPr>
            <w:tcW w:w="384" w:type="pct"/>
            <w:noWrap/>
            <w:hideMark/>
          </w:tcPr>
          <w:p w14:paraId="0DFA82E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0,49 %</w:t>
            </w:r>
          </w:p>
        </w:tc>
        <w:tc>
          <w:tcPr>
            <w:tcW w:w="365" w:type="pct"/>
            <w:noWrap/>
            <w:hideMark/>
          </w:tcPr>
          <w:p w14:paraId="5E7C7E2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0,09 %</w:t>
            </w:r>
          </w:p>
        </w:tc>
        <w:tc>
          <w:tcPr>
            <w:tcW w:w="415" w:type="pct"/>
            <w:noWrap/>
            <w:hideMark/>
          </w:tcPr>
          <w:p w14:paraId="68FFAA4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3333598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0,21 %</w:t>
            </w:r>
          </w:p>
        </w:tc>
      </w:tr>
      <w:tr w:rsidR="00B92790" w:rsidRPr="00116BA5" w14:paraId="7ED0FCD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6202D6D7"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13 - Výroba textilií</w:t>
            </w:r>
          </w:p>
        </w:tc>
        <w:tc>
          <w:tcPr>
            <w:tcW w:w="384" w:type="pct"/>
            <w:noWrap/>
            <w:hideMark/>
          </w:tcPr>
          <w:p w14:paraId="21F8EB1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3,16 %</w:t>
            </w:r>
          </w:p>
        </w:tc>
        <w:tc>
          <w:tcPr>
            <w:tcW w:w="365" w:type="pct"/>
            <w:noWrap/>
            <w:hideMark/>
          </w:tcPr>
          <w:p w14:paraId="655ED9C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3,12 %</w:t>
            </w:r>
          </w:p>
        </w:tc>
        <w:tc>
          <w:tcPr>
            <w:tcW w:w="415" w:type="pct"/>
            <w:noWrap/>
            <w:hideMark/>
          </w:tcPr>
          <w:p w14:paraId="02D5384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2,35 %</w:t>
            </w:r>
          </w:p>
        </w:tc>
        <w:tc>
          <w:tcPr>
            <w:tcW w:w="365" w:type="pct"/>
            <w:noWrap/>
            <w:hideMark/>
          </w:tcPr>
          <w:p w14:paraId="48DDC4B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2,99 %</w:t>
            </w:r>
          </w:p>
        </w:tc>
      </w:tr>
      <w:tr w:rsidR="00B92790" w:rsidRPr="00116BA5" w14:paraId="36A23AF7"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3280E32E"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14 - Výroba oděvů</w:t>
            </w:r>
          </w:p>
        </w:tc>
        <w:tc>
          <w:tcPr>
            <w:tcW w:w="384" w:type="pct"/>
            <w:noWrap/>
            <w:hideMark/>
          </w:tcPr>
          <w:p w14:paraId="1598272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0,62 %</w:t>
            </w:r>
          </w:p>
        </w:tc>
        <w:tc>
          <w:tcPr>
            <w:tcW w:w="365" w:type="pct"/>
            <w:noWrap/>
            <w:hideMark/>
          </w:tcPr>
          <w:p w14:paraId="09234CB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0,17 %</w:t>
            </w:r>
          </w:p>
        </w:tc>
        <w:tc>
          <w:tcPr>
            <w:tcW w:w="415" w:type="pct"/>
            <w:noWrap/>
            <w:hideMark/>
          </w:tcPr>
          <w:p w14:paraId="2A43469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0,07 %</w:t>
            </w:r>
          </w:p>
        </w:tc>
        <w:tc>
          <w:tcPr>
            <w:tcW w:w="365" w:type="pct"/>
            <w:noWrap/>
            <w:hideMark/>
          </w:tcPr>
          <w:p w14:paraId="71F7486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0,30 %</w:t>
            </w:r>
          </w:p>
        </w:tc>
      </w:tr>
      <w:tr w:rsidR="00B92790" w:rsidRPr="00116BA5" w14:paraId="2B819A66"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08BCE695"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15 - Výroba usní a souvisejících výrobků</w:t>
            </w:r>
          </w:p>
        </w:tc>
        <w:tc>
          <w:tcPr>
            <w:tcW w:w="384" w:type="pct"/>
            <w:noWrap/>
            <w:hideMark/>
          </w:tcPr>
          <w:p w14:paraId="51E6953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15F7CDA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0,07 %</w:t>
            </w:r>
          </w:p>
        </w:tc>
        <w:tc>
          <w:tcPr>
            <w:tcW w:w="415" w:type="pct"/>
            <w:noWrap/>
            <w:hideMark/>
          </w:tcPr>
          <w:p w14:paraId="5E98611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0,21 %</w:t>
            </w:r>
          </w:p>
        </w:tc>
        <w:tc>
          <w:tcPr>
            <w:tcW w:w="365" w:type="pct"/>
            <w:noWrap/>
            <w:hideMark/>
          </w:tcPr>
          <w:p w14:paraId="16D2AE9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0,07 %</w:t>
            </w:r>
          </w:p>
        </w:tc>
      </w:tr>
      <w:tr w:rsidR="00B92790" w:rsidRPr="00116BA5" w14:paraId="31400B62"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260CFAF8"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16 - Zpracování dřeva</w:t>
            </w:r>
          </w:p>
        </w:tc>
        <w:tc>
          <w:tcPr>
            <w:tcW w:w="384" w:type="pct"/>
            <w:noWrap/>
            <w:hideMark/>
          </w:tcPr>
          <w:p w14:paraId="5B04D39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0,24 %</w:t>
            </w:r>
          </w:p>
        </w:tc>
        <w:tc>
          <w:tcPr>
            <w:tcW w:w="365" w:type="pct"/>
            <w:noWrap/>
            <w:hideMark/>
          </w:tcPr>
          <w:p w14:paraId="6336E78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1,35 %</w:t>
            </w:r>
          </w:p>
        </w:tc>
        <w:tc>
          <w:tcPr>
            <w:tcW w:w="415" w:type="pct"/>
            <w:noWrap/>
            <w:hideMark/>
          </w:tcPr>
          <w:p w14:paraId="4C5C25EA"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1,04 %</w:t>
            </w:r>
          </w:p>
        </w:tc>
        <w:tc>
          <w:tcPr>
            <w:tcW w:w="365" w:type="pct"/>
            <w:noWrap/>
            <w:hideMark/>
          </w:tcPr>
          <w:p w14:paraId="06276AF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0,93 %</w:t>
            </w:r>
          </w:p>
        </w:tc>
      </w:tr>
      <w:tr w:rsidR="00B92790" w:rsidRPr="00116BA5" w14:paraId="079B0DD4"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01016D2C"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17 - Výroba papíru a výrobků z papíru</w:t>
            </w:r>
          </w:p>
        </w:tc>
        <w:tc>
          <w:tcPr>
            <w:tcW w:w="384" w:type="pct"/>
            <w:noWrap/>
            <w:hideMark/>
          </w:tcPr>
          <w:p w14:paraId="2EC5D7C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0,14 %</w:t>
            </w:r>
          </w:p>
        </w:tc>
        <w:tc>
          <w:tcPr>
            <w:tcW w:w="365" w:type="pct"/>
            <w:noWrap/>
            <w:hideMark/>
          </w:tcPr>
          <w:p w14:paraId="76F48A65"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1,48 %</w:t>
            </w:r>
          </w:p>
        </w:tc>
        <w:tc>
          <w:tcPr>
            <w:tcW w:w="415" w:type="pct"/>
            <w:noWrap/>
            <w:hideMark/>
          </w:tcPr>
          <w:p w14:paraId="1E6E2F8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04212BD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0,77 %</w:t>
            </w:r>
          </w:p>
        </w:tc>
      </w:tr>
      <w:tr w:rsidR="00B92790" w:rsidRPr="00116BA5" w14:paraId="040FDFA1"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626E3F20"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18 - Tisk a rozmnožování nahraných nosičů</w:t>
            </w:r>
          </w:p>
        </w:tc>
        <w:tc>
          <w:tcPr>
            <w:tcW w:w="384" w:type="pct"/>
            <w:noWrap/>
            <w:hideMark/>
          </w:tcPr>
          <w:p w14:paraId="3A78A8E9"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0,56 %</w:t>
            </w:r>
          </w:p>
        </w:tc>
        <w:tc>
          <w:tcPr>
            <w:tcW w:w="365" w:type="pct"/>
            <w:noWrap/>
            <w:hideMark/>
          </w:tcPr>
          <w:p w14:paraId="41F4B6E8"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1,26 %</w:t>
            </w:r>
          </w:p>
        </w:tc>
        <w:tc>
          <w:tcPr>
            <w:tcW w:w="415" w:type="pct"/>
            <w:noWrap/>
            <w:hideMark/>
          </w:tcPr>
          <w:p w14:paraId="6419A7F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1,04 %</w:t>
            </w:r>
          </w:p>
        </w:tc>
        <w:tc>
          <w:tcPr>
            <w:tcW w:w="365" w:type="pct"/>
            <w:noWrap/>
            <w:hideMark/>
          </w:tcPr>
          <w:p w14:paraId="474D85B9"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0,99 %</w:t>
            </w:r>
          </w:p>
        </w:tc>
      </w:tr>
      <w:tr w:rsidR="00B92790" w:rsidRPr="00116BA5" w14:paraId="2DB664C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7002D9A9"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19 - Výroba koksu a rafinovaných ropných produktů</w:t>
            </w:r>
          </w:p>
        </w:tc>
        <w:tc>
          <w:tcPr>
            <w:tcW w:w="384" w:type="pct"/>
            <w:noWrap/>
            <w:hideMark/>
          </w:tcPr>
          <w:p w14:paraId="38650EBF"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17F3940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0,11 %</w:t>
            </w:r>
          </w:p>
        </w:tc>
        <w:tc>
          <w:tcPr>
            <w:tcW w:w="415" w:type="pct"/>
            <w:noWrap/>
            <w:hideMark/>
          </w:tcPr>
          <w:p w14:paraId="76826D7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04AE4C6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0,06 %</w:t>
            </w:r>
          </w:p>
        </w:tc>
      </w:tr>
      <w:tr w:rsidR="00B92790" w:rsidRPr="00116BA5" w14:paraId="6F8E0ADF"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49454A89"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20 - Výroba chemických látek a chemických přípravků</w:t>
            </w:r>
          </w:p>
        </w:tc>
        <w:tc>
          <w:tcPr>
            <w:tcW w:w="384" w:type="pct"/>
            <w:noWrap/>
            <w:hideMark/>
          </w:tcPr>
          <w:p w14:paraId="0249499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5,64 %</w:t>
            </w:r>
          </w:p>
        </w:tc>
        <w:tc>
          <w:tcPr>
            <w:tcW w:w="365" w:type="pct"/>
            <w:noWrap/>
            <w:hideMark/>
          </w:tcPr>
          <w:p w14:paraId="50997EF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3,09 %</w:t>
            </w:r>
          </w:p>
        </w:tc>
        <w:tc>
          <w:tcPr>
            <w:tcW w:w="415" w:type="pct"/>
            <w:noWrap/>
            <w:hideMark/>
          </w:tcPr>
          <w:p w14:paraId="2BA9E59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5,15 %</w:t>
            </w:r>
          </w:p>
        </w:tc>
        <w:tc>
          <w:tcPr>
            <w:tcW w:w="365" w:type="pct"/>
            <w:noWrap/>
            <w:hideMark/>
          </w:tcPr>
          <w:p w14:paraId="2FDA94D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4,31 %</w:t>
            </w:r>
          </w:p>
        </w:tc>
      </w:tr>
      <w:tr w:rsidR="00B92790" w:rsidRPr="00116BA5" w14:paraId="4AF62139"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37440160"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 xml:space="preserve">21 - Výroba základních farmaceutických výrobků </w:t>
            </w:r>
            <w:r>
              <w:rPr>
                <w:rFonts w:asciiTheme="majorHAnsi" w:eastAsia="Times New Roman" w:hAnsiTheme="majorHAnsi" w:cs="Calibri"/>
                <w:b w:val="0"/>
                <w:color w:val="000000"/>
                <w:sz w:val="16"/>
                <w:szCs w:val="16"/>
                <w:lang w:eastAsia="cs-CZ"/>
              </w:rPr>
              <w:br/>
            </w:r>
            <w:r w:rsidRPr="00116BA5">
              <w:rPr>
                <w:rFonts w:asciiTheme="majorHAnsi" w:eastAsia="Times New Roman" w:hAnsiTheme="majorHAnsi" w:cs="Calibri"/>
                <w:b w:val="0"/>
                <w:color w:val="000000"/>
                <w:sz w:val="16"/>
                <w:szCs w:val="16"/>
                <w:lang w:eastAsia="cs-CZ"/>
              </w:rPr>
              <w:t>a farmaceutických přípravků</w:t>
            </w:r>
          </w:p>
        </w:tc>
        <w:tc>
          <w:tcPr>
            <w:tcW w:w="384" w:type="pct"/>
            <w:noWrap/>
            <w:hideMark/>
          </w:tcPr>
          <w:p w14:paraId="46F59D29"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3,95 %</w:t>
            </w:r>
          </w:p>
        </w:tc>
        <w:tc>
          <w:tcPr>
            <w:tcW w:w="365" w:type="pct"/>
            <w:noWrap/>
            <w:hideMark/>
          </w:tcPr>
          <w:p w14:paraId="579B0D34"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0,42 %</w:t>
            </w:r>
          </w:p>
        </w:tc>
        <w:tc>
          <w:tcPr>
            <w:tcW w:w="415" w:type="pct"/>
            <w:noWrap/>
            <w:hideMark/>
          </w:tcPr>
          <w:p w14:paraId="72565F8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4,46 %</w:t>
            </w:r>
          </w:p>
        </w:tc>
        <w:tc>
          <w:tcPr>
            <w:tcW w:w="365" w:type="pct"/>
            <w:noWrap/>
            <w:hideMark/>
          </w:tcPr>
          <w:p w14:paraId="769B9D8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2,33 %</w:t>
            </w:r>
          </w:p>
        </w:tc>
      </w:tr>
      <w:tr w:rsidR="00B92790" w:rsidRPr="00116BA5" w14:paraId="77B9CD64"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5F656CEF"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22 - Výroba pryžových a plastových výrobků</w:t>
            </w:r>
          </w:p>
        </w:tc>
        <w:tc>
          <w:tcPr>
            <w:tcW w:w="384" w:type="pct"/>
            <w:noWrap/>
            <w:hideMark/>
          </w:tcPr>
          <w:p w14:paraId="5110F5D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1,93 %</w:t>
            </w:r>
          </w:p>
        </w:tc>
        <w:tc>
          <w:tcPr>
            <w:tcW w:w="365" w:type="pct"/>
            <w:noWrap/>
            <w:hideMark/>
          </w:tcPr>
          <w:p w14:paraId="12B55F2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7,27 %</w:t>
            </w:r>
          </w:p>
        </w:tc>
        <w:tc>
          <w:tcPr>
            <w:tcW w:w="415" w:type="pct"/>
            <w:noWrap/>
            <w:hideMark/>
          </w:tcPr>
          <w:p w14:paraId="53112227"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4,67 %</w:t>
            </w:r>
          </w:p>
        </w:tc>
        <w:tc>
          <w:tcPr>
            <w:tcW w:w="365" w:type="pct"/>
            <w:noWrap/>
            <w:hideMark/>
          </w:tcPr>
          <w:p w14:paraId="5358261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5,03 %</w:t>
            </w:r>
          </w:p>
        </w:tc>
      </w:tr>
      <w:tr w:rsidR="00B92790" w:rsidRPr="00116BA5" w14:paraId="3ECDB02E"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2E096665"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23 - Výroba ostatních nekovových minerálních výrobků</w:t>
            </w:r>
          </w:p>
        </w:tc>
        <w:tc>
          <w:tcPr>
            <w:tcW w:w="384" w:type="pct"/>
            <w:noWrap/>
            <w:hideMark/>
          </w:tcPr>
          <w:p w14:paraId="39AA0E4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2,60 %</w:t>
            </w:r>
          </w:p>
        </w:tc>
        <w:tc>
          <w:tcPr>
            <w:tcW w:w="365" w:type="pct"/>
            <w:noWrap/>
            <w:hideMark/>
          </w:tcPr>
          <w:p w14:paraId="4BF28E9D"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6,53 %</w:t>
            </w:r>
          </w:p>
        </w:tc>
        <w:tc>
          <w:tcPr>
            <w:tcW w:w="415" w:type="pct"/>
            <w:noWrap/>
            <w:hideMark/>
          </w:tcPr>
          <w:p w14:paraId="3355E83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0,54 %</w:t>
            </w:r>
          </w:p>
        </w:tc>
        <w:tc>
          <w:tcPr>
            <w:tcW w:w="365" w:type="pct"/>
            <w:noWrap/>
            <w:hideMark/>
          </w:tcPr>
          <w:p w14:paraId="01B95A6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4,14 %</w:t>
            </w:r>
          </w:p>
        </w:tc>
      </w:tr>
      <w:tr w:rsidR="00B92790" w:rsidRPr="00116BA5" w14:paraId="05A2FD9E"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73ECA63B"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24 - Výroba základních kovů, hutní zpracování kovů; slévárenství</w:t>
            </w:r>
          </w:p>
        </w:tc>
        <w:tc>
          <w:tcPr>
            <w:tcW w:w="384" w:type="pct"/>
            <w:noWrap/>
            <w:hideMark/>
          </w:tcPr>
          <w:p w14:paraId="58B22E4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1,95 %</w:t>
            </w:r>
          </w:p>
        </w:tc>
        <w:tc>
          <w:tcPr>
            <w:tcW w:w="365" w:type="pct"/>
            <w:noWrap/>
            <w:hideMark/>
          </w:tcPr>
          <w:p w14:paraId="46A5412A"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3,72 %</w:t>
            </w:r>
          </w:p>
        </w:tc>
        <w:tc>
          <w:tcPr>
            <w:tcW w:w="415" w:type="pct"/>
            <w:noWrap/>
            <w:hideMark/>
          </w:tcPr>
          <w:p w14:paraId="4CC1C20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2,57 %</w:t>
            </w:r>
          </w:p>
        </w:tc>
        <w:tc>
          <w:tcPr>
            <w:tcW w:w="365" w:type="pct"/>
            <w:noWrap/>
            <w:hideMark/>
          </w:tcPr>
          <w:p w14:paraId="403D2AE2"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2,93 %</w:t>
            </w:r>
          </w:p>
        </w:tc>
      </w:tr>
      <w:tr w:rsidR="00B92790" w:rsidRPr="00116BA5" w14:paraId="18FF085A"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58E83DE2"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 xml:space="preserve">25 - Výroba kovových konstrukcí a kovodělných výrobků, </w:t>
            </w:r>
            <w:r>
              <w:rPr>
                <w:rFonts w:asciiTheme="majorHAnsi" w:eastAsia="Times New Roman" w:hAnsiTheme="majorHAnsi" w:cs="Calibri"/>
                <w:b w:val="0"/>
                <w:color w:val="000000"/>
                <w:sz w:val="16"/>
                <w:szCs w:val="16"/>
                <w:lang w:eastAsia="cs-CZ"/>
              </w:rPr>
              <w:br/>
            </w:r>
            <w:r w:rsidRPr="00116BA5">
              <w:rPr>
                <w:rFonts w:asciiTheme="majorHAnsi" w:eastAsia="Times New Roman" w:hAnsiTheme="majorHAnsi" w:cs="Calibri"/>
                <w:b w:val="0"/>
                <w:color w:val="000000"/>
                <w:sz w:val="16"/>
                <w:szCs w:val="16"/>
                <w:lang w:eastAsia="cs-CZ"/>
              </w:rPr>
              <w:t>kromě strojů a zařízení</w:t>
            </w:r>
          </w:p>
        </w:tc>
        <w:tc>
          <w:tcPr>
            <w:tcW w:w="384" w:type="pct"/>
            <w:noWrap/>
            <w:hideMark/>
          </w:tcPr>
          <w:p w14:paraId="609AFCBD"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8,94 %</w:t>
            </w:r>
          </w:p>
        </w:tc>
        <w:tc>
          <w:tcPr>
            <w:tcW w:w="365" w:type="pct"/>
            <w:noWrap/>
            <w:hideMark/>
          </w:tcPr>
          <w:p w14:paraId="34DEBF3E"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28,79 %</w:t>
            </w:r>
          </w:p>
        </w:tc>
        <w:tc>
          <w:tcPr>
            <w:tcW w:w="415" w:type="pct"/>
            <w:noWrap/>
            <w:hideMark/>
          </w:tcPr>
          <w:p w14:paraId="605B8C88"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11,68 %</w:t>
            </w:r>
          </w:p>
        </w:tc>
        <w:tc>
          <w:tcPr>
            <w:tcW w:w="365" w:type="pct"/>
            <w:noWrap/>
            <w:hideMark/>
          </w:tcPr>
          <w:p w14:paraId="332B2389"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19,10 %</w:t>
            </w:r>
          </w:p>
        </w:tc>
      </w:tr>
      <w:tr w:rsidR="00B92790" w:rsidRPr="00116BA5" w14:paraId="25360DB5"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0AF02669"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26 - Výroba počítačů, elektronických a optických přístrojů a zařízení</w:t>
            </w:r>
          </w:p>
        </w:tc>
        <w:tc>
          <w:tcPr>
            <w:tcW w:w="384" w:type="pct"/>
            <w:noWrap/>
            <w:hideMark/>
          </w:tcPr>
          <w:p w14:paraId="39FE491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12,27 %</w:t>
            </w:r>
          </w:p>
        </w:tc>
        <w:tc>
          <w:tcPr>
            <w:tcW w:w="365" w:type="pct"/>
            <w:noWrap/>
            <w:hideMark/>
          </w:tcPr>
          <w:p w14:paraId="6B469AA5"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4,20 %</w:t>
            </w:r>
          </w:p>
        </w:tc>
        <w:tc>
          <w:tcPr>
            <w:tcW w:w="415" w:type="pct"/>
            <w:noWrap/>
            <w:hideMark/>
          </w:tcPr>
          <w:p w14:paraId="0EA79AF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8,27 %</w:t>
            </w:r>
          </w:p>
        </w:tc>
        <w:tc>
          <w:tcPr>
            <w:tcW w:w="365" w:type="pct"/>
            <w:noWrap/>
            <w:hideMark/>
          </w:tcPr>
          <w:p w14:paraId="4EF196E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7,61 %</w:t>
            </w:r>
          </w:p>
        </w:tc>
      </w:tr>
      <w:tr w:rsidR="00B92790" w:rsidRPr="00116BA5" w14:paraId="3DA009D6"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25B895AC"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27 - Výroba elektrických zařízení</w:t>
            </w:r>
          </w:p>
        </w:tc>
        <w:tc>
          <w:tcPr>
            <w:tcW w:w="384" w:type="pct"/>
            <w:noWrap/>
            <w:hideMark/>
          </w:tcPr>
          <w:p w14:paraId="3552B4D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10,35 %</w:t>
            </w:r>
          </w:p>
        </w:tc>
        <w:tc>
          <w:tcPr>
            <w:tcW w:w="365" w:type="pct"/>
            <w:noWrap/>
            <w:hideMark/>
          </w:tcPr>
          <w:p w14:paraId="40EF546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5,48 %</w:t>
            </w:r>
          </w:p>
        </w:tc>
        <w:tc>
          <w:tcPr>
            <w:tcW w:w="415" w:type="pct"/>
            <w:noWrap/>
            <w:hideMark/>
          </w:tcPr>
          <w:p w14:paraId="38868A4D"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5,91 %</w:t>
            </w:r>
          </w:p>
        </w:tc>
        <w:tc>
          <w:tcPr>
            <w:tcW w:w="365" w:type="pct"/>
            <w:noWrap/>
            <w:hideMark/>
          </w:tcPr>
          <w:p w14:paraId="1C74885D"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7,17 %</w:t>
            </w:r>
          </w:p>
        </w:tc>
      </w:tr>
      <w:tr w:rsidR="00B92790" w:rsidRPr="00116BA5" w14:paraId="54DF4EDA"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3FA63D78"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28 - Výroba strojů a zařízení j. n.</w:t>
            </w:r>
          </w:p>
        </w:tc>
        <w:tc>
          <w:tcPr>
            <w:tcW w:w="384" w:type="pct"/>
            <w:noWrap/>
            <w:hideMark/>
          </w:tcPr>
          <w:p w14:paraId="6790FF8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29,33 %</w:t>
            </w:r>
          </w:p>
        </w:tc>
        <w:tc>
          <w:tcPr>
            <w:tcW w:w="365" w:type="pct"/>
            <w:noWrap/>
            <w:hideMark/>
          </w:tcPr>
          <w:p w14:paraId="40A8D80E"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12,61 %</w:t>
            </w:r>
          </w:p>
        </w:tc>
        <w:tc>
          <w:tcPr>
            <w:tcW w:w="415" w:type="pct"/>
            <w:noWrap/>
            <w:hideMark/>
          </w:tcPr>
          <w:p w14:paraId="2875796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25,88 %</w:t>
            </w:r>
          </w:p>
        </w:tc>
        <w:tc>
          <w:tcPr>
            <w:tcW w:w="365" w:type="pct"/>
            <w:noWrap/>
            <w:hideMark/>
          </w:tcPr>
          <w:p w14:paraId="3DBE9EC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20,56 %</w:t>
            </w:r>
          </w:p>
        </w:tc>
      </w:tr>
      <w:tr w:rsidR="00B92790" w:rsidRPr="00116BA5" w14:paraId="1DD28438"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15E0F15E"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29 - Výroba motorových vozidel (kromě motocyklů), přívěsů a návěsů</w:t>
            </w:r>
          </w:p>
        </w:tc>
        <w:tc>
          <w:tcPr>
            <w:tcW w:w="384" w:type="pct"/>
            <w:noWrap/>
            <w:hideMark/>
          </w:tcPr>
          <w:p w14:paraId="7198536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3,97 %</w:t>
            </w:r>
          </w:p>
        </w:tc>
        <w:tc>
          <w:tcPr>
            <w:tcW w:w="365" w:type="pct"/>
            <w:noWrap/>
            <w:hideMark/>
          </w:tcPr>
          <w:p w14:paraId="7BC46F5B"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11,61 %</w:t>
            </w:r>
          </w:p>
        </w:tc>
        <w:tc>
          <w:tcPr>
            <w:tcW w:w="415" w:type="pct"/>
            <w:noWrap/>
            <w:hideMark/>
          </w:tcPr>
          <w:p w14:paraId="39F0E747"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13,56 %</w:t>
            </w:r>
          </w:p>
        </w:tc>
        <w:tc>
          <w:tcPr>
            <w:tcW w:w="365" w:type="pct"/>
            <w:noWrap/>
            <w:hideMark/>
          </w:tcPr>
          <w:p w14:paraId="69E553F3"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9,44 %</w:t>
            </w:r>
          </w:p>
        </w:tc>
      </w:tr>
      <w:tr w:rsidR="00B92790" w:rsidRPr="00116BA5" w14:paraId="2B2551EC"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3027243F"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30 - Výroba ostatních dopravních prostředků a zařízení</w:t>
            </w:r>
          </w:p>
        </w:tc>
        <w:tc>
          <w:tcPr>
            <w:tcW w:w="384" w:type="pct"/>
            <w:noWrap/>
            <w:hideMark/>
          </w:tcPr>
          <w:p w14:paraId="68A65ECC"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5,45 %</w:t>
            </w:r>
          </w:p>
        </w:tc>
        <w:tc>
          <w:tcPr>
            <w:tcW w:w="365" w:type="pct"/>
            <w:noWrap/>
            <w:hideMark/>
          </w:tcPr>
          <w:p w14:paraId="518FB71D"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1,07 %</w:t>
            </w:r>
          </w:p>
        </w:tc>
        <w:tc>
          <w:tcPr>
            <w:tcW w:w="415" w:type="pct"/>
            <w:noWrap/>
            <w:hideMark/>
          </w:tcPr>
          <w:p w14:paraId="1170A8C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4,69 %</w:t>
            </w:r>
          </w:p>
        </w:tc>
        <w:tc>
          <w:tcPr>
            <w:tcW w:w="365" w:type="pct"/>
            <w:noWrap/>
            <w:hideMark/>
          </w:tcPr>
          <w:p w14:paraId="2A08B570"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3,18 %</w:t>
            </w:r>
          </w:p>
        </w:tc>
      </w:tr>
      <w:tr w:rsidR="00B92790" w:rsidRPr="00116BA5" w14:paraId="7EB47605"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51C4821B"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31 - Výroba nábytku</w:t>
            </w:r>
          </w:p>
        </w:tc>
        <w:tc>
          <w:tcPr>
            <w:tcW w:w="384" w:type="pct"/>
            <w:noWrap/>
            <w:hideMark/>
          </w:tcPr>
          <w:p w14:paraId="7AC02890"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0,09 %</w:t>
            </w:r>
          </w:p>
        </w:tc>
        <w:tc>
          <w:tcPr>
            <w:tcW w:w="365" w:type="pct"/>
            <w:noWrap/>
            <w:hideMark/>
          </w:tcPr>
          <w:p w14:paraId="38E1059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2,10 %</w:t>
            </w:r>
          </w:p>
        </w:tc>
        <w:tc>
          <w:tcPr>
            <w:tcW w:w="415" w:type="pct"/>
            <w:noWrap/>
            <w:hideMark/>
          </w:tcPr>
          <w:p w14:paraId="2BA02D46"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0,08 %</w:t>
            </w:r>
          </w:p>
        </w:tc>
        <w:tc>
          <w:tcPr>
            <w:tcW w:w="365" w:type="pct"/>
            <w:noWrap/>
            <w:hideMark/>
          </w:tcPr>
          <w:p w14:paraId="3AF5B1D8"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1,07 %</w:t>
            </w:r>
          </w:p>
        </w:tc>
      </w:tr>
      <w:tr w:rsidR="00B92790" w:rsidRPr="00116BA5" w14:paraId="69D41C64"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6C2093C0"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32 - Ostatní zpracovatelský průmysl</w:t>
            </w:r>
          </w:p>
        </w:tc>
        <w:tc>
          <w:tcPr>
            <w:tcW w:w="384" w:type="pct"/>
            <w:noWrap/>
            <w:hideMark/>
          </w:tcPr>
          <w:p w14:paraId="38D1295B"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2,96 %</w:t>
            </w:r>
          </w:p>
        </w:tc>
        <w:tc>
          <w:tcPr>
            <w:tcW w:w="365" w:type="pct"/>
            <w:noWrap/>
            <w:hideMark/>
          </w:tcPr>
          <w:p w14:paraId="4B2C6498"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1,94 %</w:t>
            </w:r>
          </w:p>
        </w:tc>
        <w:tc>
          <w:tcPr>
            <w:tcW w:w="415" w:type="pct"/>
            <w:noWrap/>
            <w:hideMark/>
          </w:tcPr>
          <w:p w14:paraId="011C0193"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4,31 %</w:t>
            </w:r>
          </w:p>
        </w:tc>
        <w:tc>
          <w:tcPr>
            <w:tcW w:w="365" w:type="pct"/>
            <w:noWrap/>
            <w:hideMark/>
          </w:tcPr>
          <w:p w14:paraId="2A751C86"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2,71 %</w:t>
            </w:r>
          </w:p>
        </w:tc>
      </w:tr>
      <w:tr w:rsidR="00B92790" w:rsidRPr="00116BA5" w14:paraId="0BD6FCFF" w14:textId="77777777" w:rsidTr="00B927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09521A43"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33 - Opravy a instalace strojů a zařízení</w:t>
            </w:r>
          </w:p>
        </w:tc>
        <w:tc>
          <w:tcPr>
            <w:tcW w:w="384" w:type="pct"/>
            <w:noWrap/>
            <w:hideMark/>
          </w:tcPr>
          <w:p w14:paraId="2DC623C1"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3,84 %</w:t>
            </w:r>
          </w:p>
        </w:tc>
        <w:tc>
          <w:tcPr>
            <w:tcW w:w="365" w:type="pct"/>
            <w:noWrap/>
            <w:hideMark/>
          </w:tcPr>
          <w:p w14:paraId="25566B6C"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0,11 %</w:t>
            </w:r>
          </w:p>
        </w:tc>
        <w:tc>
          <w:tcPr>
            <w:tcW w:w="415" w:type="pct"/>
            <w:noWrap/>
            <w:hideMark/>
          </w:tcPr>
          <w:p w14:paraId="7F63CC92"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2,14 %</w:t>
            </w:r>
          </w:p>
        </w:tc>
        <w:tc>
          <w:tcPr>
            <w:tcW w:w="365" w:type="pct"/>
            <w:noWrap/>
            <w:hideMark/>
          </w:tcPr>
          <w:p w14:paraId="32AC020A" w14:textId="77777777" w:rsidR="00B92790" w:rsidRPr="00116BA5" w:rsidRDefault="00B92790" w:rsidP="00B92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1,72 %</w:t>
            </w:r>
          </w:p>
        </w:tc>
      </w:tr>
      <w:tr w:rsidR="00B92790" w:rsidRPr="00116BA5" w14:paraId="6134F098" w14:textId="77777777" w:rsidTr="00B92790">
        <w:trPr>
          <w:trHeight w:val="300"/>
        </w:trPr>
        <w:tc>
          <w:tcPr>
            <w:cnfStyle w:val="001000000000" w:firstRow="0" w:lastRow="0" w:firstColumn="1" w:lastColumn="0" w:oddVBand="0" w:evenVBand="0" w:oddHBand="0" w:evenHBand="0" w:firstRowFirstColumn="0" w:firstRowLastColumn="0" w:lastRowFirstColumn="0" w:lastRowLastColumn="0"/>
            <w:tcW w:w="3470" w:type="pct"/>
            <w:noWrap/>
            <w:hideMark/>
          </w:tcPr>
          <w:p w14:paraId="51B4816D" w14:textId="77777777" w:rsidR="00B92790" w:rsidRPr="00116BA5" w:rsidRDefault="00B92790" w:rsidP="00B92790">
            <w:pPr>
              <w:spacing w:after="0" w:line="240" w:lineRule="auto"/>
              <w:rPr>
                <w:rFonts w:asciiTheme="majorHAnsi" w:eastAsia="Times New Roman" w:hAnsiTheme="majorHAnsi" w:cs="Calibri"/>
                <w:b w:val="0"/>
                <w:color w:val="000000"/>
                <w:sz w:val="16"/>
                <w:szCs w:val="16"/>
                <w:lang w:eastAsia="cs-CZ"/>
              </w:rPr>
            </w:pPr>
            <w:r w:rsidRPr="00116BA5">
              <w:rPr>
                <w:rFonts w:asciiTheme="majorHAnsi" w:eastAsia="Times New Roman" w:hAnsiTheme="majorHAnsi" w:cs="Calibri"/>
                <w:b w:val="0"/>
                <w:color w:val="000000"/>
                <w:sz w:val="16"/>
                <w:szCs w:val="16"/>
                <w:lang w:eastAsia="cs-CZ"/>
              </w:rPr>
              <w:t>C - Zpracovatelský průmysl</w:t>
            </w:r>
          </w:p>
        </w:tc>
        <w:tc>
          <w:tcPr>
            <w:tcW w:w="384" w:type="pct"/>
            <w:noWrap/>
            <w:hideMark/>
          </w:tcPr>
          <w:p w14:paraId="14D614AF"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0,41 %</w:t>
            </w:r>
          </w:p>
        </w:tc>
        <w:tc>
          <w:tcPr>
            <w:tcW w:w="365" w:type="pct"/>
            <w:noWrap/>
            <w:hideMark/>
          </w:tcPr>
          <w:p w14:paraId="73E42821"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0,04 %</w:t>
            </w:r>
          </w:p>
        </w:tc>
        <w:tc>
          <w:tcPr>
            <w:tcW w:w="415" w:type="pct"/>
            <w:noWrap/>
            <w:hideMark/>
          </w:tcPr>
          <w:p w14:paraId="12E480CA"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0,00 %</w:t>
            </w:r>
          </w:p>
        </w:tc>
        <w:tc>
          <w:tcPr>
            <w:tcW w:w="365" w:type="pct"/>
            <w:noWrap/>
            <w:hideMark/>
          </w:tcPr>
          <w:p w14:paraId="632D702A" w14:textId="77777777" w:rsidR="00B92790" w:rsidRPr="00116BA5" w:rsidRDefault="00B92790" w:rsidP="00B9279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cs-CZ"/>
              </w:rPr>
            </w:pPr>
            <w:r w:rsidRPr="00116BA5">
              <w:rPr>
                <w:rFonts w:asciiTheme="majorHAnsi" w:eastAsia="Times New Roman" w:hAnsiTheme="majorHAnsi" w:cs="Calibri"/>
                <w:color w:val="000000"/>
                <w:sz w:val="16"/>
                <w:szCs w:val="16"/>
                <w:lang w:eastAsia="cs-CZ"/>
              </w:rPr>
              <w:t>0,15 %</w:t>
            </w:r>
          </w:p>
        </w:tc>
      </w:tr>
    </w:tbl>
    <w:p w14:paraId="46FEE24B" w14:textId="77777777" w:rsidR="00B92790" w:rsidRDefault="00B92790" w:rsidP="00B92790"/>
    <w:p w14:paraId="3B3C2060" w14:textId="77777777" w:rsidR="00494DC6" w:rsidRPr="00AC1B2F" w:rsidRDefault="00494DC6" w:rsidP="00AC1B2F">
      <w:pPr>
        <w:pStyle w:val="Bntext"/>
        <w:spacing w:after="240"/>
        <w:rPr>
          <w:rFonts w:asciiTheme="majorHAnsi" w:hAnsiTheme="majorHAnsi"/>
          <w:b/>
          <w:color w:val="62B5E5"/>
          <w:sz w:val="18"/>
          <w:szCs w:val="18"/>
        </w:rPr>
      </w:pPr>
      <w:bookmarkStart w:id="100" w:name="_Toc3566733"/>
      <w:bookmarkStart w:id="101" w:name="_Toc8825233"/>
      <w:r w:rsidRPr="00AC1B2F">
        <w:rPr>
          <w:rFonts w:asciiTheme="majorHAnsi" w:hAnsiTheme="majorHAnsi"/>
          <w:b/>
          <w:color w:val="62B5E5"/>
          <w:sz w:val="18"/>
          <w:szCs w:val="18"/>
        </w:rPr>
        <w:t>Shrnutí zjištění z analýzy dat a dokumentů</w:t>
      </w:r>
      <w:bookmarkEnd w:id="100"/>
      <w:bookmarkEnd w:id="101"/>
    </w:p>
    <w:p w14:paraId="0CB2E782" w14:textId="77777777" w:rsidR="00494DC6" w:rsidRDefault="00494DC6" w:rsidP="00494DC6">
      <w:pPr>
        <w:jc w:val="both"/>
      </w:pPr>
      <w:r>
        <w:t xml:space="preserve">V rámci analýzy sekundárních zdrojů dat a dokumentů Dodavatel zanalyzoval především dokumenty poskytnuté Zadavatelem a související makroekonomické analýzy a statistiky popisující inovační výkonnost podniků a úspěšnost českých podniků při uvádění produktů na tuzemský nebo zahraniční trh. Předmětem analýzy byly také nově vydané dokumenty, včetně kontrolního závěru NKÚ z Kontrolní akce 18/06: </w:t>
      </w:r>
      <w:r w:rsidRPr="00260C93">
        <w:rPr>
          <w:i/>
        </w:rPr>
        <w:t>Podpora rozvoje výzkumu</w:t>
      </w:r>
      <w:r>
        <w:rPr>
          <w:i/>
        </w:rPr>
        <w:t xml:space="preserve"> a </w:t>
      </w:r>
      <w:r w:rsidRPr="00260C93">
        <w:rPr>
          <w:i/>
        </w:rPr>
        <w:t>vývoje pro inovace poskytovaná</w:t>
      </w:r>
      <w:r>
        <w:rPr>
          <w:i/>
        </w:rPr>
        <w:t xml:space="preserve"> z </w:t>
      </w:r>
      <w:r w:rsidRPr="00260C93">
        <w:rPr>
          <w:i/>
        </w:rPr>
        <w:t>operačního programu Podnikání</w:t>
      </w:r>
      <w:r>
        <w:rPr>
          <w:i/>
        </w:rPr>
        <w:t xml:space="preserve"> a </w:t>
      </w:r>
      <w:r w:rsidRPr="00260C93">
        <w:rPr>
          <w:i/>
        </w:rPr>
        <w:t>inovace pro konkurenceschopnost</w:t>
      </w:r>
      <w:r>
        <w:t xml:space="preserve">. Výroční zpráva OP PIK za rok 2018 dosud nebyla zveřejněna. Následující kapitola obsahuje shrnutí zjištění z analýzy vybraných sekundárních zdrojů dat. Další dostupné dokumenty bude Dodavatel dále analyzovat i v další fázi evaluace. </w:t>
      </w:r>
    </w:p>
    <w:p w14:paraId="46681788" w14:textId="77777777" w:rsidR="00494DC6" w:rsidRDefault="00494DC6" w:rsidP="00494DC6">
      <w:pPr>
        <w:rPr>
          <w:b/>
        </w:rPr>
      </w:pPr>
      <w:r>
        <w:rPr>
          <w:b/>
        </w:rPr>
        <w:t>Analyzované sekundární zdroje dat</w:t>
      </w:r>
    </w:p>
    <w:p w14:paraId="225B83D1" w14:textId="77777777" w:rsidR="00494DC6" w:rsidRPr="0006675B" w:rsidRDefault="00235CC3" w:rsidP="00494DC6">
      <w:r>
        <w:t>Pro účely této evaluace byly</w:t>
      </w:r>
      <w:r w:rsidR="00494DC6">
        <w:t xml:space="preserve"> </w:t>
      </w:r>
      <w:r w:rsidR="00494DC6" w:rsidRPr="0006675B">
        <w:t>analyzovány následující dokumenty:</w:t>
      </w:r>
    </w:p>
    <w:p w14:paraId="2BDCA060" w14:textId="77777777" w:rsidR="00494DC6" w:rsidRDefault="00494DC6" w:rsidP="00494DC6">
      <w:pPr>
        <w:pStyle w:val="BodyText1"/>
        <w:numPr>
          <w:ilvl w:val="0"/>
          <w:numId w:val="47"/>
        </w:numPr>
        <w:spacing w:after="120"/>
        <w:jc w:val="both"/>
        <w:rPr>
          <w:rFonts w:asciiTheme="majorHAnsi" w:hAnsiTheme="majorHAnsi" w:cstheme="minorBidi"/>
          <w:color w:val="00000A"/>
          <w:szCs w:val="22"/>
        </w:rPr>
      </w:pPr>
      <w:r w:rsidRPr="0006675B">
        <w:rPr>
          <w:rFonts w:asciiTheme="majorHAnsi" w:hAnsiTheme="majorHAnsi" w:cstheme="minorBidi"/>
          <w:color w:val="00000A"/>
          <w:szCs w:val="22"/>
        </w:rPr>
        <w:t>Analýza absorpční kapacity první skupiny výzev OP PIK pro rok 2015 – průzkum zájmu žadatelů</w:t>
      </w:r>
    </w:p>
    <w:p w14:paraId="4A01463C" w14:textId="77777777" w:rsidR="00494DC6" w:rsidRDefault="00494DC6" w:rsidP="00494DC6">
      <w:pPr>
        <w:pStyle w:val="BodyText1"/>
        <w:numPr>
          <w:ilvl w:val="0"/>
          <w:numId w:val="47"/>
        </w:numPr>
        <w:spacing w:after="120"/>
        <w:jc w:val="both"/>
        <w:rPr>
          <w:rFonts w:asciiTheme="majorHAnsi" w:hAnsiTheme="majorHAnsi" w:cstheme="minorBidi"/>
          <w:color w:val="00000A"/>
          <w:szCs w:val="22"/>
        </w:rPr>
      </w:pPr>
      <w:r w:rsidRPr="0006675B">
        <w:rPr>
          <w:rFonts w:asciiTheme="majorHAnsi" w:hAnsiTheme="majorHAnsi" w:cstheme="minorBidi"/>
          <w:color w:val="00000A"/>
          <w:szCs w:val="22"/>
        </w:rPr>
        <w:t>Analýza absorpční kapacity</w:t>
      </w:r>
      <w:r>
        <w:rPr>
          <w:rFonts w:asciiTheme="majorHAnsi" w:hAnsiTheme="majorHAnsi" w:cstheme="minorBidi"/>
          <w:color w:val="00000A"/>
          <w:szCs w:val="22"/>
        </w:rPr>
        <w:t xml:space="preserve"> a </w:t>
      </w:r>
      <w:r w:rsidRPr="0006675B">
        <w:rPr>
          <w:rFonts w:asciiTheme="majorHAnsi" w:hAnsiTheme="majorHAnsi" w:cstheme="minorBidi"/>
          <w:color w:val="00000A"/>
          <w:szCs w:val="22"/>
        </w:rPr>
        <w:t>návrh cílových hodnot indikátorů Operačního programu podnikání</w:t>
      </w:r>
      <w:r>
        <w:rPr>
          <w:rFonts w:asciiTheme="majorHAnsi" w:hAnsiTheme="majorHAnsi" w:cstheme="minorBidi"/>
          <w:color w:val="00000A"/>
          <w:szCs w:val="22"/>
        </w:rPr>
        <w:t xml:space="preserve"> a </w:t>
      </w:r>
      <w:r w:rsidRPr="0006675B">
        <w:rPr>
          <w:rFonts w:asciiTheme="majorHAnsi" w:hAnsiTheme="majorHAnsi" w:cstheme="minorBidi"/>
          <w:color w:val="00000A"/>
          <w:szCs w:val="22"/>
        </w:rPr>
        <w:t>inovace pro konkurenceschopnost 2014-2020</w:t>
      </w:r>
    </w:p>
    <w:p w14:paraId="2DF050F4" w14:textId="77777777" w:rsidR="00494DC6" w:rsidRDefault="00494DC6" w:rsidP="00494DC6">
      <w:pPr>
        <w:pStyle w:val="BodyText1"/>
        <w:numPr>
          <w:ilvl w:val="0"/>
          <w:numId w:val="47"/>
        </w:numPr>
        <w:spacing w:after="120"/>
        <w:jc w:val="both"/>
        <w:rPr>
          <w:rFonts w:asciiTheme="majorHAnsi" w:hAnsiTheme="majorHAnsi" w:cstheme="minorBidi"/>
          <w:color w:val="00000A"/>
          <w:szCs w:val="22"/>
        </w:rPr>
      </w:pPr>
      <w:r w:rsidRPr="0006675B">
        <w:rPr>
          <w:rFonts w:asciiTheme="majorHAnsi" w:hAnsiTheme="majorHAnsi" w:cstheme="minorBidi"/>
          <w:color w:val="00000A"/>
          <w:szCs w:val="22"/>
        </w:rPr>
        <w:t>Analýza indikátorů výsledku Operačního programu Podnikání</w:t>
      </w:r>
      <w:r>
        <w:rPr>
          <w:rFonts w:asciiTheme="majorHAnsi" w:hAnsiTheme="majorHAnsi" w:cstheme="minorBidi"/>
          <w:color w:val="00000A"/>
          <w:szCs w:val="22"/>
        </w:rPr>
        <w:t xml:space="preserve"> a </w:t>
      </w:r>
      <w:r w:rsidRPr="0006675B">
        <w:rPr>
          <w:rFonts w:asciiTheme="majorHAnsi" w:hAnsiTheme="majorHAnsi" w:cstheme="minorBidi"/>
          <w:color w:val="00000A"/>
          <w:szCs w:val="22"/>
        </w:rPr>
        <w:t>inovace pro konkurenceschopnost 2014 – 2020 (OP PIK)</w:t>
      </w:r>
    </w:p>
    <w:p w14:paraId="775E5C5B" w14:textId="77777777" w:rsidR="00235CC3" w:rsidRDefault="00235CC3" w:rsidP="00494DC6">
      <w:pPr>
        <w:pStyle w:val="BodyText1"/>
        <w:numPr>
          <w:ilvl w:val="0"/>
          <w:numId w:val="47"/>
        </w:numPr>
        <w:spacing w:after="120"/>
        <w:jc w:val="both"/>
        <w:rPr>
          <w:rFonts w:asciiTheme="majorHAnsi" w:hAnsiTheme="majorHAnsi" w:cstheme="minorBidi"/>
          <w:color w:val="00000A"/>
          <w:szCs w:val="22"/>
        </w:rPr>
      </w:pPr>
      <w:r>
        <w:rPr>
          <w:rFonts w:asciiTheme="majorHAnsi" w:hAnsiTheme="majorHAnsi" w:cstheme="minorBidi"/>
          <w:color w:val="00000A"/>
          <w:szCs w:val="22"/>
        </w:rPr>
        <w:t>Analýzy a data Technologické agentury ČR:</w:t>
      </w:r>
    </w:p>
    <w:p w14:paraId="7A0A0657" w14:textId="77777777" w:rsidR="00235CC3" w:rsidRDefault="00235CC3" w:rsidP="0063122F">
      <w:pPr>
        <w:pStyle w:val="BodyText1"/>
        <w:numPr>
          <w:ilvl w:val="1"/>
          <w:numId w:val="47"/>
        </w:numPr>
        <w:spacing w:after="120"/>
        <w:jc w:val="both"/>
        <w:rPr>
          <w:rFonts w:asciiTheme="majorHAnsi" w:hAnsiTheme="majorHAnsi" w:cstheme="minorBidi"/>
          <w:color w:val="00000A"/>
          <w:szCs w:val="22"/>
        </w:rPr>
      </w:pPr>
      <w:r>
        <w:rPr>
          <w:rFonts w:asciiTheme="majorHAnsi" w:hAnsiTheme="majorHAnsi" w:cstheme="minorBidi"/>
          <w:color w:val="00000A"/>
          <w:szCs w:val="22"/>
        </w:rPr>
        <w:t xml:space="preserve">Mapování inovačních kapacit ČR (INKA 2015 a 2018) </w:t>
      </w:r>
    </w:p>
    <w:p w14:paraId="6DA23E66" w14:textId="77777777" w:rsidR="00235CC3" w:rsidRDefault="00235CC3" w:rsidP="0063122F">
      <w:pPr>
        <w:pStyle w:val="BodyText1"/>
        <w:numPr>
          <w:ilvl w:val="1"/>
          <w:numId w:val="47"/>
        </w:numPr>
        <w:spacing w:after="120"/>
        <w:jc w:val="both"/>
        <w:rPr>
          <w:rFonts w:asciiTheme="majorHAnsi" w:hAnsiTheme="majorHAnsi" w:cstheme="minorBidi"/>
          <w:color w:val="00000A"/>
          <w:szCs w:val="22"/>
        </w:rPr>
      </w:pPr>
      <w:proofErr w:type="spellStart"/>
      <w:r>
        <w:rPr>
          <w:rFonts w:asciiTheme="majorHAnsi" w:hAnsiTheme="majorHAnsi" w:cstheme="minorBidi"/>
          <w:color w:val="00000A"/>
          <w:szCs w:val="22"/>
        </w:rPr>
        <w:t>INKAviz</w:t>
      </w:r>
      <w:proofErr w:type="spellEnd"/>
    </w:p>
    <w:p w14:paraId="0440C692" w14:textId="77777777" w:rsidR="00235CC3" w:rsidRDefault="00235CC3" w:rsidP="0063122F">
      <w:pPr>
        <w:pStyle w:val="BodyText1"/>
        <w:numPr>
          <w:ilvl w:val="1"/>
          <w:numId w:val="47"/>
        </w:numPr>
        <w:spacing w:after="120"/>
        <w:jc w:val="both"/>
        <w:rPr>
          <w:rFonts w:asciiTheme="majorHAnsi" w:hAnsiTheme="majorHAnsi" w:cstheme="minorBidi"/>
          <w:color w:val="00000A"/>
          <w:szCs w:val="22"/>
        </w:rPr>
      </w:pPr>
      <w:r>
        <w:rPr>
          <w:rFonts w:asciiTheme="majorHAnsi" w:hAnsiTheme="majorHAnsi" w:cstheme="minorBidi"/>
          <w:color w:val="00000A"/>
          <w:szCs w:val="22"/>
        </w:rPr>
        <w:t xml:space="preserve">STARFOS - </w:t>
      </w:r>
      <w:r w:rsidRPr="00235CC3">
        <w:rPr>
          <w:rFonts w:asciiTheme="majorHAnsi" w:hAnsiTheme="majorHAnsi" w:cstheme="minorBidi"/>
          <w:color w:val="00000A"/>
          <w:szCs w:val="22"/>
        </w:rPr>
        <w:t>vyhledávač projektů a výsledků z oblasti výzkumu, experimentálního vývoje a inovací, které byly podpořeny z veřejných prostředků České republiky.</w:t>
      </w:r>
    </w:p>
    <w:p w14:paraId="440E77BA" w14:textId="77777777" w:rsidR="00235CC3" w:rsidRDefault="00235CC3" w:rsidP="0063122F">
      <w:pPr>
        <w:pStyle w:val="BodyText1"/>
        <w:numPr>
          <w:ilvl w:val="1"/>
          <w:numId w:val="47"/>
        </w:numPr>
        <w:spacing w:after="120"/>
        <w:jc w:val="both"/>
        <w:rPr>
          <w:rFonts w:asciiTheme="majorHAnsi" w:hAnsiTheme="majorHAnsi" w:cstheme="minorBidi"/>
          <w:color w:val="00000A"/>
          <w:szCs w:val="22"/>
        </w:rPr>
      </w:pPr>
      <w:r>
        <w:rPr>
          <w:rFonts w:asciiTheme="majorHAnsi" w:hAnsiTheme="majorHAnsi" w:cstheme="minorBidi"/>
          <w:color w:val="00000A"/>
          <w:szCs w:val="22"/>
        </w:rPr>
        <w:t>TAČR v datech</w:t>
      </w:r>
    </w:p>
    <w:p w14:paraId="7A13E63F" w14:textId="77777777" w:rsidR="00494DC6" w:rsidRPr="0006675B" w:rsidRDefault="00494DC6" w:rsidP="00494DC6">
      <w:pPr>
        <w:pStyle w:val="BodyText1"/>
        <w:numPr>
          <w:ilvl w:val="0"/>
          <w:numId w:val="47"/>
        </w:numPr>
        <w:spacing w:after="120"/>
        <w:jc w:val="both"/>
        <w:rPr>
          <w:rFonts w:asciiTheme="majorHAnsi" w:hAnsiTheme="majorHAnsi" w:cstheme="minorBidi"/>
          <w:color w:val="00000A"/>
          <w:szCs w:val="22"/>
        </w:rPr>
      </w:pPr>
      <w:r w:rsidRPr="0006675B">
        <w:rPr>
          <w:rFonts w:asciiTheme="majorHAnsi" w:hAnsiTheme="majorHAnsi" w:cstheme="minorBidi"/>
          <w:color w:val="00000A"/>
          <w:szCs w:val="22"/>
        </w:rPr>
        <w:t>Dokumenty</w:t>
      </w:r>
      <w:r>
        <w:rPr>
          <w:rFonts w:asciiTheme="majorHAnsi" w:hAnsiTheme="majorHAnsi" w:cstheme="minorBidi"/>
          <w:color w:val="00000A"/>
          <w:szCs w:val="22"/>
        </w:rPr>
        <w:t xml:space="preserve"> k </w:t>
      </w:r>
      <w:r w:rsidRPr="0006675B">
        <w:rPr>
          <w:rFonts w:asciiTheme="majorHAnsi" w:hAnsiTheme="majorHAnsi" w:cstheme="minorBidi"/>
          <w:color w:val="00000A"/>
          <w:szCs w:val="22"/>
        </w:rPr>
        <w:t>RIS3 strategii</w:t>
      </w:r>
    </w:p>
    <w:p w14:paraId="6874EA42" w14:textId="77777777" w:rsidR="00494DC6" w:rsidRDefault="00494DC6" w:rsidP="00494DC6">
      <w:pPr>
        <w:pStyle w:val="BodyText1"/>
        <w:numPr>
          <w:ilvl w:val="0"/>
          <w:numId w:val="47"/>
        </w:numPr>
        <w:spacing w:after="120"/>
        <w:jc w:val="both"/>
        <w:rPr>
          <w:rFonts w:asciiTheme="majorHAnsi" w:hAnsiTheme="majorHAnsi" w:cstheme="minorBidi"/>
          <w:color w:val="00000A"/>
          <w:szCs w:val="22"/>
        </w:rPr>
      </w:pPr>
      <w:r w:rsidRPr="0006675B">
        <w:rPr>
          <w:rFonts w:asciiTheme="majorHAnsi" w:hAnsiTheme="majorHAnsi" w:cstheme="minorBidi"/>
          <w:color w:val="00000A"/>
          <w:szCs w:val="22"/>
        </w:rPr>
        <w:t>Kontrolní závěr NKÚ</w:t>
      </w:r>
      <w:r>
        <w:rPr>
          <w:rFonts w:asciiTheme="majorHAnsi" w:hAnsiTheme="majorHAnsi" w:cstheme="minorBidi"/>
          <w:color w:val="00000A"/>
          <w:szCs w:val="22"/>
        </w:rPr>
        <w:t xml:space="preserve"> z </w:t>
      </w:r>
      <w:r w:rsidRPr="0006675B">
        <w:rPr>
          <w:rFonts w:asciiTheme="majorHAnsi" w:hAnsiTheme="majorHAnsi" w:cstheme="minorBidi"/>
          <w:color w:val="00000A"/>
          <w:szCs w:val="22"/>
        </w:rPr>
        <w:t>Kontrolní akce 18/06: Podpora rozvoje výzkumu</w:t>
      </w:r>
      <w:r>
        <w:rPr>
          <w:rFonts w:asciiTheme="majorHAnsi" w:hAnsiTheme="majorHAnsi" w:cstheme="minorBidi"/>
          <w:color w:val="00000A"/>
          <w:szCs w:val="22"/>
        </w:rPr>
        <w:t xml:space="preserve"> a </w:t>
      </w:r>
      <w:r w:rsidRPr="0006675B">
        <w:rPr>
          <w:rFonts w:asciiTheme="majorHAnsi" w:hAnsiTheme="majorHAnsi" w:cstheme="minorBidi"/>
          <w:color w:val="00000A"/>
          <w:szCs w:val="22"/>
        </w:rPr>
        <w:t>vývoje pro inovace poskytovaná</w:t>
      </w:r>
      <w:r>
        <w:rPr>
          <w:rFonts w:asciiTheme="majorHAnsi" w:hAnsiTheme="majorHAnsi" w:cstheme="minorBidi"/>
          <w:color w:val="00000A"/>
          <w:szCs w:val="22"/>
        </w:rPr>
        <w:t xml:space="preserve"> z </w:t>
      </w:r>
      <w:r w:rsidRPr="0006675B">
        <w:rPr>
          <w:rFonts w:asciiTheme="majorHAnsi" w:hAnsiTheme="majorHAnsi" w:cstheme="minorBidi"/>
          <w:color w:val="00000A"/>
          <w:szCs w:val="22"/>
        </w:rPr>
        <w:t>operačního programu Podnikání</w:t>
      </w:r>
      <w:r>
        <w:rPr>
          <w:rFonts w:asciiTheme="majorHAnsi" w:hAnsiTheme="majorHAnsi" w:cstheme="minorBidi"/>
          <w:color w:val="00000A"/>
          <w:szCs w:val="22"/>
        </w:rPr>
        <w:t xml:space="preserve"> a </w:t>
      </w:r>
      <w:r w:rsidRPr="0006675B">
        <w:rPr>
          <w:rFonts w:asciiTheme="majorHAnsi" w:hAnsiTheme="majorHAnsi" w:cstheme="minorBidi"/>
          <w:color w:val="00000A"/>
          <w:szCs w:val="22"/>
        </w:rPr>
        <w:t>inovace pro konkurenceschopnost</w:t>
      </w:r>
    </w:p>
    <w:p w14:paraId="684BCB0D" w14:textId="77777777" w:rsidR="00494DC6" w:rsidRDefault="00494DC6" w:rsidP="00494DC6">
      <w:pPr>
        <w:rPr>
          <w:b/>
        </w:rPr>
      </w:pPr>
    </w:p>
    <w:p w14:paraId="3EB9B333" w14:textId="77777777" w:rsidR="00494DC6" w:rsidRPr="007070E2" w:rsidRDefault="00494DC6" w:rsidP="00494DC6">
      <w:pPr>
        <w:rPr>
          <w:b/>
        </w:rPr>
      </w:pPr>
      <w:r w:rsidRPr="007070E2">
        <w:rPr>
          <w:b/>
        </w:rPr>
        <w:t>Analýza absorpční kapacity první skupiny výzev OP PIK pro rok 2015 – průzkum zájmu žadatelů</w:t>
      </w:r>
    </w:p>
    <w:p w14:paraId="751C8091" w14:textId="77777777" w:rsidR="00494DC6" w:rsidRDefault="00494DC6" w:rsidP="00494DC6">
      <w:r>
        <w:t xml:space="preserve">Zpracovatel: </w:t>
      </w:r>
      <w:proofErr w:type="spellStart"/>
      <w:r>
        <w:t>eNovation</w:t>
      </w:r>
      <w:proofErr w:type="spellEnd"/>
      <w:r>
        <w:t>, s.r.o.</w:t>
      </w:r>
    </w:p>
    <w:p w14:paraId="617D4118" w14:textId="77777777" w:rsidR="00494DC6" w:rsidRDefault="00494DC6" w:rsidP="00494DC6">
      <w:pPr>
        <w:jc w:val="both"/>
      </w:pPr>
      <w:r>
        <w:t>Ú</w:t>
      </w:r>
      <w:r w:rsidRPr="003D2EDC">
        <w:t xml:space="preserve">čelem </w:t>
      </w:r>
      <w:r>
        <w:t>analýzy bylo</w:t>
      </w:r>
      <w:r w:rsidRPr="003D2EDC">
        <w:t xml:space="preserve"> získat na základě dotazování potenciálních žadatelů</w:t>
      </w:r>
      <w:r>
        <w:t xml:space="preserve"> a </w:t>
      </w:r>
      <w:r w:rsidRPr="003D2EDC">
        <w:t>příjemců podpory informace</w:t>
      </w:r>
      <w:r>
        <w:t xml:space="preserve"> o </w:t>
      </w:r>
      <w:r w:rsidRPr="003D2EDC">
        <w:t>časovém</w:t>
      </w:r>
      <w:r>
        <w:t xml:space="preserve"> a </w:t>
      </w:r>
      <w:r w:rsidRPr="003D2EDC">
        <w:t>finančním rozsahu jimi plánovaných projektů</w:t>
      </w:r>
      <w:r>
        <w:t xml:space="preserve"> a </w:t>
      </w:r>
      <w:r w:rsidRPr="003D2EDC">
        <w:t>identifikovat programy OP PIK</w:t>
      </w:r>
      <w:r>
        <w:t xml:space="preserve"> z </w:t>
      </w:r>
      <w:r w:rsidRPr="003D2EDC">
        <w:t>hlediska zájmu ze strany žadatelů</w:t>
      </w:r>
      <w:r>
        <w:t xml:space="preserve"> a </w:t>
      </w:r>
      <w:r w:rsidRPr="003D2EDC">
        <w:t>příjemců ve vazbě na první výzvy OP PIK pro rok 2015.</w:t>
      </w:r>
    </w:p>
    <w:p w14:paraId="1D3730D4" w14:textId="77777777" w:rsidR="00494DC6" w:rsidRDefault="00494DC6" w:rsidP="00494DC6">
      <w:pPr>
        <w:jc w:val="both"/>
      </w:pPr>
      <w:r w:rsidRPr="00484CED">
        <w:t>Na základě dotazníkového šetření, rozhovorů se zástupci Řídícího orgánu, zkušeností</w:t>
      </w:r>
      <w:r>
        <w:t xml:space="preserve"> zpracovatele a </w:t>
      </w:r>
      <w:r w:rsidRPr="00484CED">
        <w:t xml:space="preserve">reálného zájmu klientů APEF </w:t>
      </w:r>
      <w:r>
        <w:t xml:space="preserve">zpracovatel </w:t>
      </w:r>
      <w:r w:rsidRPr="00484CED">
        <w:t>odhad</w:t>
      </w:r>
      <w:r>
        <w:t>l</w:t>
      </w:r>
      <w:r w:rsidRPr="00484CED">
        <w:t xml:space="preserve"> absorpční kapacitu za jednotlivé programy pro první výzvy</w:t>
      </w:r>
      <w:r>
        <w:t>. V následující tabulce je provedeno srovnání se skutečností.</w:t>
      </w:r>
    </w:p>
    <w:p w14:paraId="6958F933" w14:textId="09487AFC" w:rsidR="00494DC6" w:rsidRDefault="00494DC6" w:rsidP="00494DC6">
      <w:pPr>
        <w:pStyle w:val="Caption"/>
      </w:pPr>
      <w:r>
        <w:t xml:space="preserve">Tabulka </w:t>
      </w:r>
      <w:r>
        <w:fldChar w:fldCharType="begin"/>
      </w:r>
      <w:r>
        <w:instrText xml:space="preserve"> SEQ Tabulka \* ARABIC </w:instrText>
      </w:r>
      <w:r>
        <w:fldChar w:fldCharType="separate"/>
      </w:r>
      <w:r w:rsidR="00F77CAE">
        <w:rPr>
          <w:noProof/>
        </w:rPr>
        <w:t>31</w:t>
      </w:r>
      <w:r>
        <w:fldChar w:fldCharType="end"/>
      </w:r>
      <w:r>
        <w:t xml:space="preserve"> - Porovnání odhadu a skutečnosti alokace prvních výzev (v mil. Kč)</w:t>
      </w:r>
    </w:p>
    <w:tbl>
      <w:tblPr>
        <w:tblStyle w:val="ListTable3-Accent11"/>
        <w:tblW w:w="5000" w:type="pct"/>
        <w:tblLook w:val="04A0" w:firstRow="1" w:lastRow="0" w:firstColumn="1" w:lastColumn="0" w:noHBand="0" w:noVBand="1"/>
      </w:tblPr>
      <w:tblGrid>
        <w:gridCol w:w="2454"/>
        <w:gridCol w:w="2478"/>
        <w:gridCol w:w="1594"/>
        <w:gridCol w:w="1350"/>
        <w:gridCol w:w="1752"/>
      </w:tblGrid>
      <w:tr w:rsidR="00494DC6" w:rsidRPr="004C31D7" w14:paraId="1AF17EFF" w14:textId="77777777" w:rsidTr="005715E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74" w:type="pct"/>
            <w:hideMark/>
          </w:tcPr>
          <w:p w14:paraId="155CFE9C" w14:textId="77777777" w:rsidR="00494DC6" w:rsidRPr="00B031D8" w:rsidRDefault="00494DC6" w:rsidP="00CF7F88">
            <w:pPr>
              <w:spacing w:after="0" w:line="240" w:lineRule="auto"/>
              <w:ind w:left="-10"/>
              <w:jc w:val="center"/>
              <w:rPr>
                <w:rFonts w:asciiTheme="minorHAnsi" w:eastAsia="Times New Roman" w:hAnsiTheme="minorHAnsi" w:cs="Calibri"/>
                <w:b w:val="0"/>
                <w:color w:val="FFFFFF"/>
                <w:szCs w:val="18"/>
                <w:lang w:eastAsia="cs-CZ"/>
              </w:rPr>
            </w:pPr>
            <w:r w:rsidRPr="00B031D8">
              <w:rPr>
                <w:rFonts w:asciiTheme="minorHAnsi" w:eastAsia="Times New Roman" w:hAnsiTheme="minorHAnsi" w:cs="Calibri"/>
                <w:b w:val="0"/>
                <w:color w:val="FFFFFF"/>
                <w:szCs w:val="18"/>
                <w:lang w:eastAsia="cs-CZ"/>
              </w:rPr>
              <w:t>Program podpory</w:t>
            </w:r>
          </w:p>
        </w:tc>
        <w:tc>
          <w:tcPr>
            <w:tcW w:w="1287" w:type="pct"/>
            <w:noWrap/>
            <w:hideMark/>
          </w:tcPr>
          <w:p w14:paraId="2BA05B6C" w14:textId="77777777" w:rsidR="00494DC6" w:rsidRPr="00B031D8" w:rsidRDefault="00494DC6" w:rsidP="00CF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Pr>
                <w:rFonts w:asciiTheme="minorHAnsi" w:eastAsia="Times New Roman" w:hAnsiTheme="minorHAnsi" w:cs="Calibri"/>
                <w:b w:val="0"/>
                <w:color w:val="FFFFFF"/>
                <w:szCs w:val="18"/>
                <w:lang w:eastAsia="cs-CZ"/>
              </w:rPr>
              <w:t xml:space="preserve">Navrhovaná </w:t>
            </w:r>
            <w:r>
              <w:rPr>
                <w:rFonts w:asciiTheme="minorHAnsi" w:eastAsia="Times New Roman" w:hAnsiTheme="minorHAnsi" w:cs="Calibri"/>
                <w:b w:val="0"/>
                <w:color w:val="FFFFFF"/>
                <w:szCs w:val="18"/>
                <w:lang w:eastAsia="cs-CZ"/>
              </w:rPr>
              <w:br/>
              <w:t>absorpční  kapacita</w:t>
            </w:r>
          </w:p>
        </w:tc>
        <w:tc>
          <w:tcPr>
            <w:tcW w:w="828" w:type="pct"/>
            <w:noWrap/>
            <w:hideMark/>
          </w:tcPr>
          <w:p w14:paraId="41E01347" w14:textId="77777777" w:rsidR="00494DC6" w:rsidRPr="00B031D8" w:rsidRDefault="00494DC6" w:rsidP="00CF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Pr>
                <w:rFonts w:asciiTheme="minorHAnsi" w:eastAsia="Times New Roman" w:hAnsiTheme="minorHAnsi" w:cs="Calibri"/>
                <w:b w:val="0"/>
                <w:color w:val="FFFFFF"/>
                <w:szCs w:val="18"/>
                <w:lang w:eastAsia="cs-CZ"/>
              </w:rPr>
              <w:t xml:space="preserve">Vyhlášená </w:t>
            </w:r>
            <w:r>
              <w:rPr>
                <w:rFonts w:asciiTheme="minorHAnsi" w:eastAsia="Times New Roman" w:hAnsiTheme="minorHAnsi" w:cs="Calibri"/>
                <w:b w:val="0"/>
                <w:color w:val="FFFFFF"/>
                <w:szCs w:val="18"/>
                <w:lang w:eastAsia="cs-CZ"/>
              </w:rPr>
              <w:br/>
              <w:t>alokace</w:t>
            </w:r>
          </w:p>
        </w:tc>
        <w:tc>
          <w:tcPr>
            <w:tcW w:w="701" w:type="pct"/>
          </w:tcPr>
          <w:p w14:paraId="4C506ADA" w14:textId="77777777" w:rsidR="00494DC6" w:rsidRDefault="00494DC6" w:rsidP="00CF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Pr>
                <w:rFonts w:asciiTheme="minorHAnsi" w:eastAsia="Times New Roman" w:hAnsiTheme="minorHAnsi" w:cs="Calibri"/>
                <w:b w:val="0"/>
                <w:color w:val="FFFFFF"/>
                <w:szCs w:val="18"/>
                <w:lang w:eastAsia="cs-CZ"/>
              </w:rPr>
              <w:t>Podané žádosti</w:t>
            </w:r>
          </w:p>
        </w:tc>
        <w:tc>
          <w:tcPr>
            <w:tcW w:w="910" w:type="pct"/>
          </w:tcPr>
          <w:p w14:paraId="442001CA" w14:textId="77777777" w:rsidR="00494DC6" w:rsidRDefault="00494DC6" w:rsidP="00CF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color w:val="FFFFFF"/>
                <w:szCs w:val="18"/>
                <w:lang w:eastAsia="cs-CZ"/>
              </w:rPr>
            </w:pPr>
            <w:r>
              <w:rPr>
                <w:rFonts w:asciiTheme="minorHAnsi" w:eastAsia="Times New Roman" w:hAnsiTheme="minorHAnsi" w:cs="Calibri"/>
                <w:b w:val="0"/>
                <w:color w:val="FFFFFF"/>
                <w:szCs w:val="18"/>
                <w:lang w:eastAsia="cs-CZ"/>
              </w:rPr>
              <w:t>Schválené žádosti</w:t>
            </w:r>
          </w:p>
        </w:tc>
      </w:tr>
      <w:tr w:rsidR="00494DC6" w:rsidRPr="006C494D" w14:paraId="4565B7D3" w14:textId="77777777" w:rsidTr="00571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4" w:type="pct"/>
            <w:hideMark/>
          </w:tcPr>
          <w:p w14:paraId="3DA1C398" w14:textId="77777777" w:rsidR="00494DC6" w:rsidRPr="00C865F1" w:rsidRDefault="00494DC6" w:rsidP="00CF7F88">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Aplikace</w:t>
            </w:r>
          </w:p>
        </w:tc>
        <w:tc>
          <w:tcPr>
            <w:tcW w:w="1287" w:type="pct"/>
            <w:noWrap/>
            <w:hideMark/>
          </w:tcPr>
          <w:p w14:paraId="01D97896"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1 500</w:t>
            </w:r>
          </w:p>
        </w:tc>
        <w:tc>
          <w:tcPr>
            <w:tcW w:w="828" w:type="pct"/>
            <w:noWrap/>
          </w:tcPr>
          <w:p w14:paraId="0EF3C838"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4 000</w:t>
            </w:r>
          </w:p>
        </w:tc>
        <w:tc>
          <w:tcPr>
            <w:tcW w:w="701" w:type="pct"/>
          </w:tcPr>
          <w:p w14:paraId="3954C8E4"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9 581</w:t>
            </w:r>
          </w:p>
        </w:tc>
        <w:tc>
          <w:tcPr>
            <w:tcW w:w="910" w:type="pct"/>
          </w:tcPr>
          <w:p w14:paraId="04AB9452"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3 627</w:t>
            </w:r>
          </w:p>
        </w:tc>
      </w:tr>
      <w:tr w:rsidR="00494DC6" w:rsidRPr="006C494D" w14:paraId="23E7946D" w14:textId="77777777" w:rsidTr="005715E6">
        <w:trPr>
          <w:trHeight w:val="300"/>
        </w:trPr>
        <w:tc>
          <w:tcPr>
            <w:cnfStyle w:val="001000000000" w:firstRow="0" w:lastRow="0" w:firstColumn="1" w:lastColumn="0" w:oddVBand="0" w:evenVBand="0" w:oddHBand="0" w:evenHBand="0" w:firstRowFirstColumn="0" w:firstRowLastColumn="0" w:lastRowFirstColumn="0" w:lastRowLastColumn="0"/>
            <w:tcW w:w="1274" w:type="pct"/>
          </w:tcPr>
          <w:p w14:paraId="6A49EFAB" w14:textId="77777777" w:rsidR="00494DC6" w:rsidRPr="00C865F1" w:rsidRDefault="00494DC6" w:rsidP="00CF7F88">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Inovace</w:t>
            </w:r>
          </w:p>
        </w:tc>
        <w:tc>
          <w:tcPr>
            <w:tcW w:w="1287" w:type="pct"/>
            <w:noWrap/>
          </w:tcPr>
          <w:p w14:paraId="317C610B" w14:textId="77777777" w:rsidR="00494DC6" w:rsidRPr="00C865F1"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5 500</w:t>
            </w:r>
          </w:p>
        </w:tc>
        <w:tc>
          <w:tcPr>
            <w:tcW w:w="828" w:type="pct"/>
            <w:noWrap/>
          </w:tcPr>
          <w:p w14:paraId="0BA3A862" w14:textId="77777777" w:rsidR="00494DC6" w:rsidRPr="00C865F1"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4 000</w:t>
            </w:r>
          </w:p>
        </w:tc>
        <w:tc>
          <w:tcPr>
            <w:tcW w:w="701" w:type="pct"/>
          </w:tcPr>
          <w:p w14:paraId="207F72B9" w14:textId="77777777" w:rsidR="00494DC6" w:rsidRPr="00C865F1"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9 395</w:t>
            </w:r>
          </w:p>
        </w:tc>
        <w:tc>
          <w:tcPr>
            <w:tcW w:w="910" w:type="pct"/>
          </w:tcPr>
          <w:p w14:paraId="5460E2BF" w14:textId="77777777" w:rsidR="00494DC6" w:rsidRPr="00C865F1"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2 573</w:t>
            </w:r>
          </w:p>
        </w:tc>
      </w:tr>
      <w:tr w:rsidR="00494DC6" w:rsidRPr="006C494D" w14:paraId="3B7D8B88" w14:textId="77777777" w:rsidTr="00571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4" w:type="pct"/>
            <w:hideMark/>
          </w:tcPr>
          <w:p w14:paraId="0635E7AD" w14:textId="77777777" w:rsidR="00494DC6" w:rsidRPr="00C865F1" w:rsidRDefault="00494DC6" w:rsidP="00CF7F88">
            <w:pPr>
              <w:spacing w:after="0" w:line="240" w:lineRule="auto"/>
              <w:rPr>
                <w:rFonts w:asciiTheme="minorHAnsi" w:eastAsia="Times New Roman" w:hAnsiTheme="minorHAnsi" w:cs="Calibri"/>
                <w:color w:val="000000"/>
                <w:szCs w:val="18"/>
                <w:lang w:eastAsia="cs-CZ"/>
              </w:rPr>
            </w:pPr>
            <w:r w:rsidRPr="00C865F1">
              <w:rPr>
                <w:rFonts w:asciiTheme="minorHAnsi" w:eastAsia="Times New Roman" w:hAnsiTheme="minorHAnsi" w:cs="Calibri"/>
                <w:color w:val="000000"/>
                <w:szCs w:val="18"/>
                <w:lang w:eastAsia="cs-CZ"/>
              </w:rPr>
              <w:t>Potenciál</w:t>
            </w:r>
          </w:p>
        </w:tc>
        <w:tc>
          <w:tcPr>
            <w:tcW w:w="1287" w:type="pct"/>
            <w:noWrap/>
            <w:hideMark/>
          </w:tcPr>
          <w:p w14:paraId="5D0595A9"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2 000</w:t>
            </w:r>
          </w:p>
        </w:tc>
        <w:tc>
          <w:tcPr>
            <w:tcW w:w="828" w:type="pct"/>
            <w:noWrap/>
          </w:tcPr>
          <w:p w14:paraId="3A4B6EFA"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2 920</w:t>
            </w:r>
          </w:p>
        </w:tc>
        <w:tc>
          <w:tcPr>
            <w:tcW w:w="701" w:type="pct"/>
          </w:tcPr>
          <w:p w14:paraId="7AED4CF3"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6 793</w:t>
            </w:r>
          </w:p>
        </w:tc>
        <w:tc>
          <w:tcPr>
            <w:tcW w:w="910" w:type="pct"/>
          </w:tcPr>
          <w:p w14:paraId="7CAE0833" w14:textId="77777777" w:rsidR="00494DC6" w:rsidRPr="00C865F1" w:rsidRDefault="00494DC6" w:rsidP="00CF7F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Cs w:val="18"/>
                <w:lang w:eastAsia="cs-CZ"/>
              </w:rPr>
            </w:pPr>
            <w:r>
              <w:rPr>
                <w:rFonts w:asciiTheme="minorHAnsi" w:eastAsia="Times New Roman" w:hAnsiTheme="minorHAnsi" w:cs="Calibri"/>
                <w:color w:val="000000"/>
                <w:szCs w:val="18"/>
                <w:lang w:eastAsia="cs-CZ"/>
              </w:rPr>
              <w:t>1 459</w:t>
            </w:r>
          </w:p>
        </w:tc>
      </w:tr>
      <w:tr w:rsidR="00494DC6" w:rsidRPr="005715E6" w14:paraId="23F560D6" w14:textId="77777777" w:rsidTr="005715E6">
        <w:trPr>
          <w:trHeight w:val="177"/>
        </w:trPr>
        <w:tc>
          <w:tcPr>
            <w:cnfStyle w:val="001000000000" w:firstRow="0" w:lastRow="0" w:firstColumn="1" w:lastColumn="0" w:oddVBand="0" w:evenVBand="0" w:oddHBand="0" w:evenHBand="0" w:firstRowFirstColumn="0" w:firstRowLastColumn="0" w:lastRowFirstColumn="0" w:lastRowLastColumn="0"/>
            <w:tcW w:w="1274" w:type="pct"/>
          </w:tcPr>
          <w:p w14:paraId="5A5EB5C0" w14:textId="77777777" w:rsidR="00494DC6" w:rsidRPr="005715E6" w:rsidRDefault="00494DC6" w:rsidP="00CF7F88">
            <w:pPr>
              <w:spacing w:after="0" w:line="240" w:lineRule="auto"/>
              <w:rPr>
                <w:rFonts w:asciiTheme="minorHAnsi" w:eastAsia="Times New Roman" w:hAnsiTheme="minorHAnsi" w:cs="Calibri"/>
                <w:color w:val="000000"/>
                <w:szCs w:val="18"/>
                <w:lang w:eastAsia="cs-CZ"/>
              </w:rPr>
            </w:pPr>
            <w:r w:rsidRPr="005715E6">
              <w:rPr>
                <w:rFonts w:asciiTheme="minorHAnsi" w:eastAsia="Times New Roman" w:hAnsiTheme="minorHAnsi" w:cs="Calibri"/>
                <w:color w:val="000000"/>
                <w:szCs w:val="18"/>
                <w:lang w:eastAsia="cs-CZ"/>
              </w:rPr>
              <w:t>Celkem</w:t>
            </w:r>
          </w:p>
        </w:tc>
        <w:tc>
          <w:tcPr>
            <w:tcW w:w="1287" w:type="pct"/>
            <w:noWrap/>
          </w:tcPr>
          <w:p w14:paraId="7E6F5C51" w14:textId="77777777" w:rsidR="00494DC6" w:rsidRPr="005715E6"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5715E6">
              <w:rPr>
                <w:rFonts w:asciiTheme="minorHAnsi" w:eastAsia="Times New Roman" w:hAnsiTheme="minorHAnsi" w:cs="Calibri"/>
                <w:b/>
                <w:color w:val="000000"/>
                <w:szCs w:val="18"/>
                <w:lang w:eastAsia="cs-CZ"/>
              </w:rPr>
              <w:t xml:space="preserve">9 000 </w:t>
            </w:r>
          </w:p>
        </w:tc>
        <w:tc>
          <w:tcPr>
            <w:tcW w:w="828" w:type="pct"/>
            <w:noWrap/>
          </w:tcPr>
          <w:p w14:paraId="113579E7" w14:textId="77777777" w:rsidR="00494DC6" w:rsidRPr="005715E6"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5715E6">
              <w:rPr>
                <w:rFonts w:asciiTheme="minorHAnsi" w:eastAsia="Times New Roman" w:hAnsiTheme="minorHAnsi" w:cs="Calibri"/>
                <w:b/>
                <w:color w:val="000000"/>
                <w:szCs w:val="18"/>
                <w:lang w:eastAsia="cs-CZ"/>
              </w:rPr>
              <w:t>10 920</w:t>
            </w:r>
          </w:p>
        </w:tc>
        <w:tc>
          <w:tcPr>
            <w:tcW w:w="701" w:type="pct"/>
          </w:tcPr>
          <w:p w14:paraId="4B924ABD" w14:textId="77777777" w:rsidR="00494DC6" w:rsidRPr="005715E6"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5715E6">
              <w:rPr>
                <w:rFonts w:asciiTheme="minorHAnsi" w:eastAsia="Times New Roman" w:hAnsiTheme="minorHAnsi" w:cs="Calibri"/>
                <w:b/>
                <w:color w:val="000000"/>
                <w:szCs w:val="18"/>
                <w:lang w:eastAsia="cs-CZ"/>
              </w:rPr>
              <w:t>25 769</w:t>
            </w:r>
          </w:p>
        </w:tc>
        <w:tc>
          <w:tcPr>
            <w:tcW w:w="910" w:type="pct"/>
          </w:tcPr>
          <w:p w14:paraId="464A1ADD" w14:textId="77777777" w:rsidR="00494DC6" w:rsidRPr="005715E6" w:rsidRDefault="00494DC6" w:rsidP="00CF7F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Cs w:val="18"/>
                <w:lang w:eastAsia="cs-CZ"/>
              </w:rPr>
            </w:pPr>
            <w:r w:rsidRPr="005715E6">
              <w:rPr>
                <w:rFonts w:asciiTheme="minorHAnsi" w:eastAsia="Times New Roman" w:hAnsiTheme="minorHAnsi" w:cs="Calibri"/>
                <w:b/>
                <w:color w:val="000000"/>
                <w:szCs w:val="18"/>
                <w:lang w:eastAsia="cs-CZ"/>
              </w:rPr>
              <w:t>7 659</w:t>
            </w:r>
          </w:p>
        </w:tc>
      </w:tr>
    </w:tbl>
    <w:p w14:paraId="1790AF56" w14:textId="77777777" w:rsidR="00494DC6" w:rsidRDefault="00494DC6" w:rsidP="00494DC6">
      <w:pPr>
        <w:spacing w:after="0"/>
      </w:pPr>
    </w:p>
    <w:p w14:paraId="24A3358F" w14:textId="77777777" w:rsidR="00494DC6" w:rsidRDefault="00494DC6" w:rsidP="00494DC6">
      <w:pPr>
        <w:jc w:val="both"/>
      </w:pPr>
      <w:r>
        <w:t>Z uvedeného vyplývá, že celková absorpční kapacita byla odhadnuta poměrně přesně. Nesoulad mezi navrhovanou absorpční kapacitou a objemem schválených žádostí v programech Aplikace a Inovace mohl být do velké míry dán inovativností samotného programu Aplikace, u kterého bylo obtížné odhadnout zájem bez předchozí zkušenosti s programem. Data nicméně potvrzují atraktivnost programu Aplikace, který byl i přes svou poměrně vysokou administrativní náročnost velmi oblíbeným programem podpory.</w:t>
      </w:r>
    </w:p>
    <w:p w14:paraId="244A7516" w14:textId="77777777" w:rsidR="00494DC6" w:rsidRDefault="00494DC6" w:rsidP="00494DC6">
      <w:pPr>
        <w:spacing w:after="0"/>
        <w:jc w:val="both"/>
      </w:pPr>
    </w:p>
    <w:p w14:paraId="577A8111" w14:textId="77777777" w:rsidR="00494DC6" w:rsidRPr="007070E2" w:rsidRDefault="00494DC6" w:rsidP="00494DC6">
      <w:pPr>
        <w:jc w:val="both"/>
        <w:rPr>
          <w:b/>
        </w:rPr>
      </w:pPr>
      <w:r w:rsidRPr="007070E2">
        <w:rPr>
          <w:b/>
        </w:rPr>
        <w:t>Analýza absorpční kapacity</w:t>
      </w:r>
      <w:r>
        <w:rPr>
          <w:b/>
        </w:rPr>
        <w:t xml:space="preserve"> a </w:t>
      </w:r>
      <w:r w:rsidRPr="007070E2">
        <w:rPr>
          <w:b/>
        </w:rPr>
        <w:t>návrh cílových hodnot indikátorů Operačního programu podnikání</w:t>
      </w:r>
      <w:r>
        <w:rPr>
          <w:b/>
        </w:rPr>
        <w:t xml:space="preserve"> a </w:t>
      </w:r>
      <w:r w:rsidRPr="007070E2">
        <w:rPr>
          <w:b/>
        </w:rPr>
        <w:t>inovace pro konkurenceschopnost 2014-2020</w:t>
      </w:r>
    </w:p>
    <w:p w14:paraId="11B64C3C" w14:textId="77777777" w:rsidR="00494DC6" w:rsidRDefault="00494DC6" w:rsidP="00494DC6">
      <w:r>
        <w:t xml:space="preserve">Zpracovatel: </w:t>
      </w:r>
      <w:proofErr w:type="spellStart"/>
      <w:r w:rsidRPr="0074471E">
        <w:t>HaskoningDHV</w:t>
      </w:r>
      <w:proofErr w:type="spellEnd"/>
      <w:r w:rsidRPr="0074471E">
        <w:t xml:space="preserve"> Czech Republic, spol. s r. o.</w:t>
      </w:r>
    </w:p>
    <w:p w14:paraId="19975238" w14:textId="77777777" w:rsidR="00494DC6" w:rsidRDefault="00494DC6" w:rsidP="00494DC6">
      <w:pPr>
        <w:jc w:val="both"/>
      </w:pPr>
      <w:r w:rsidRPr="00463536">
        <w:t>Hlavním cíl</w:t>
      </w:r>
      <w:r>
        <w:t>em</w:t>
      </w:r>
      <w:r w:rsidRPr="00463536">
        <w:t xml:space="preserve"> této zakázky</w:t>
      </w:r>
      <w:r>
        <w:t xml:space="preserve"> zpracované ke dni 14. 2. 2014</w:t>
      </w:r>
      <w:r w:rsidRPr="00463536">
        <w:t xml:space="preserve"> bylo</w:t>
      </w:r>
      <w:r>
        <w:t>:</w:t>
      </w:r>
    </w:p>
    <w:p w14:paraId="5D39FF91" w14:textId="77777777" w:rsidR="00494DC6" w:rsidRDefault="00494DC6" w:rsidP="00494DC6">
      <w:pPr>
        <w:pStyle w:val="ListParagraph"/>
        <w:numPr>
          <w:ilvl w:val="4"/>
          <w:numId w:val="49"/>
        </w:numPr>
        <w:spacing w:after="120"/>
        <w:ind w:left="567" w:hanging="357"/>
        <w:contextualSpacing w:val="0"/>
        <w:jc w:val="both"/>
      </w:pPr>
      <w:r>
        <w:t>Z</w:t>
      </w:r>
      <w:r w:rsidRPr="00463536">
        <w:t xml:space="preserve">pracování </w:t>
      </w:r>
      <w:r w:rsidRPr="007070E2">
        <w:rPr>
          <w:b/>
        </w:rPr>
        <w:t>analýzy absorpční kapacity OP PIK,</w:t>
      </w:r>
      <w:r w:rsidRPr="00463536">
        <w:t xml:space="preserve"> </w:t>
      </w:r>
      <w:r w:rsidRPr="007070E2">
        <w:rPr>
          <w:b/>
        </w:rPr>
        <w:t>návrhy finančních alokací</w:t>
      </w:r>
      <w:r w:rsidRPr="00463536">
        <w:t xml:space="preserve"> na jednotlivé prioritní osy</w:t>
      </w:r>
      <w:r>
        <w:t xml:space="preserve"> a </w:t>
      </w:r>
      <w:r w:rsidRPr="00463536">
        <w:t>specifické cíle programu, včetně zdůvodnění těchto návrhů</w:t>
      </w:r>
      <w:r>
        <w:t xml:space="preserve"> a </w:t>
      </w:r>
      <w:r w:rsidRPr="00463536">
        <w:t>identifikace oblastí s</w:t>
      </w:r>
      <w:r>
        <w:t> </w:t>
      </w:r>
      <w:r w:rsidRPr="00463536">
        <w:t>potenciální nízkou absorpční kapacitou</w:t>
      </w:r>
      <w:r>
        <w:t xml:space="preserve"> a </w:t>
      </w:r>
      <w:r w:rsidRPr="00463536">
        <w:t>návrhů řešení</w:t>
      </w:r>
      <w:r w:rsidR="00AE0799">
        <w:t>.</w:t>
      </w:r>
    </w:p>
    <w:p w14:paraId="150E339F" w14:textId="77777777" w:rsidR="00494DC6" w:rsidRDefault="00494DC6" w:rsidP="00494DC6">
      <w:pPr>
        <w:pStyle w:val="ListParagraph"/>
        <w:numPr>
          <w:ilvl w:val="4"/>
          <w:numId w:val="49"/>
        </w:numPr>
        <w:spacing w:after="120"/>
        <w:ind w:left="567" w:hanging="357"/>
        <w:contextualSpacing w:val="0"/>
        <w:jc w:val="both"/>
      </w:pPr>
      <w:r>
        <w:t>Z</w:t>
      </w:r>
      <w:r w:rsidRPr="00463536">
        <w:t xml:space="preserve">pracování </w:t>
      </w:r>
      <w:r w:rsidRPr="007070E2">
        <w:rPr>
          <w:b/>
        </w:rPr>
        <w:t>návrhu nastavení cílových hodnot indikátorů</w:t>
      </w:r>
      <w:r>
        <w:rPr>
          <w:b/>
        </w:rPr>
        <w:t xml:space="preserve"> a </w:t>
      </w:r>
      <w:r w:rsidRPr="007070E2">
        <w:rPr>
          <w:b/>
        </w:rPr>
        <w:t>milníků OP PIK</w:t>
      </w:r>
      <w:r w:rsidRPr="00463536">
        <w:t xml:space="preserve"> (tj. indikátorů</w:t>
      </w:r>
      <w:r>
        <w:t xml:space="preserve"> a </w:t>
      </w:r>
      <w:r w:rsidRPr="00463536">
        <w:t>milníků vykazovaných v rámci programového dokumentu)</w:t>
      </w:r>
      <w:r>
        <w:t xml:space="preserve"> z </w:t>
      </w:r>
      <w:r w:rsidRPr="00463536">
        <w:t>hlediska jejich návaznosti na prioritní osy</w:t>
      </w:r>
      <w:r>
        <w:t xml:space="preserve"> a </w:t>
      </w:r>
      <w:r w:rsidRPr="00463536">
        <w:t>jednotlivé specifické cíle</w:t>
      </w:r>
      <w:r>
        <w:t xml:space="preserve"> a </w:t>
      </w:r>
      <w:r w:rsidRPr="00463536">
        <w:t>ve vazbě na indikátorovou soustavu navrženou pro tento program.</w:t>
      </w:r>
      <w:r>
        <w:t xml:space="preserve"> </w:t>
      </w:r>
    </w:p>
    <w:p w14:paraId="5CDF1B59" w14:textId="77777777" w:rsidR="00494DC6" w:rsidRDefault="00494DC6" w:rsidP="00494DC6">
      <w:pPr>
        <w:jc w:val="both"/>
      </w:pPr>
      <w:r w:rsidRPr="00463536">
        <w:t>K absorpční kapacitě</w:t>
      </w:r>
      <w:r>
        <w:t xml:space="preserve"> a </w:t>
      </w:r>
      <w:r w:rsidRPr="00463536">
        <w:t xml:space="preserve">rozdělení finančních alokací </w:t>
      </w:r>
      <w:r>
        <w:t>zpracovatel uvedl</w:t>
      </w:r>
      <w:r w:rsidRPr="00463536">
        <w:t xml:space="preserve">, že na základě provedených analýz </w:t>
      </w:r>
      <w:r w:rsidRPr="007070E2">
        <w:rPr>
          <w:b/>
        </w:rPr>
        <w:t>nebyl identifikován ve stávající struktuře PO</w:t>
      </w:r>
      <w:r>
        <w:rPr>
          <w:b/>
        </w:rPr>
        <w:t xml:space="preserve"> a </w:t>
      </w:r>
      <w:r w:rsidRPr="007070E2">
        <w:rPr>
          <w:b/>
        </w:rPr>
        <w:t>SC OP PIK žádný SC, jehož realizace by nebyla smysluplná při dané výši alokovaných finančních prostředků.</w:t>
      </w:r>
    </w:p>
    <w:p w14:paraId="76291532" w14:textId="77777777" w:rsidR="00494DC6" w:rsidRDefault="00494DC6" w:rsidP="00494DC6">
      <w:pPr>
        <w:jc w:val="both"/>
      </w:pPr>
      <w:r w:rsidRPr="006845FE">
        <w:t>Cílové hodnoty monitorovacích indikátorů byly kvantifikovány</w:t>
      </w:r>
      <w:r>
        <w:t xml:space="preserve"> u </w:t>
      </w:r>
      <w:r w:rsidRPr="006845FE">
        <w:t>stanovených indikátorů</w:t>
      </w:r>
      <w:r>
        <w:t xml:space="preserve"> u </w:t>
      </w:r>
      <w:r w:rsidRPr="006845FE">
        <w:t>jednotlivých specifických cílů OP PIK,</w:t>
      </w:r>
      <w:r>
        <w:t xml:space="preserve"> a </w:t>
      </w:r>
      <w:r w:rsidRPr="006845FE">
        <w:t>to všude tam, kde to na základě dostupných informací bylo aktuálně možné. Hodnoty byly stanoveny pro navrhované alokace jednotlivých specifických cílů v souladu s aktuálními informacemi</w:t>
      </w:r>
      <w:r>
        <w:t xml:space="preserve"> k </w:t>
      </w:r>
      <w:r w:rsidRPr="006845FE">
        <w:t>souhrnné alokaci pro OP PIK.</w:t>
      </w:r>
    </w:p>
    <w:p w14:paraId="211F26A3" w14:textId="77777777" w:rsidR="00494DC6" w:rsidRDefault="00494DC6" w:rsidP="00494DC6">
      <w:pPr>
        <w:jc w:val="both"/>
      </w:pPr>
      <w:r>
        <w:t xml:space="preserve">Porovnání navrhovaných, skutečných a dosažených hodnot indikátorů uvádí následující tabulka. Navrhovaná hodnota je uváděna ve dvou variantách - </w:t>
      </w:r>
      <w:r w:rsidRPr="00A93C78">
        <w:t xml:space="preserve">pro případ přesunu finančních prostředků na navýšení alokace dle požadavků </w:t>
      </w:r>
      <w:r>
        <w:t xml:space="preserve">při přípravě OP </w:t>
      </w:r>
      <w:r w:rsidRPr="00A93C78">
        <w:t>pro PO3</w:t>
      </w:r>
      <w:r>
        <w:t xml:space="preserve"> a </w:t>
      </w:r>
      <w:r w:rsidRPr="00A93C78">
        <w:t>PO4</w:t>
      </w:r>
      <w:r>
        <w:t xml:space="preserve">. Hodnoty byly zpřesněny navazující analýzou </w:t>
      </w:r>
      <w:r>
        <w:br/>
        <w:t>(31. 10. 2014).</w:t>
      </w:r>
    </w:p>
    <w:p w14:paraId="4319FE47" w14:textId="5BFDC46C" w:rsidR="00494DC6" w:rsidRDefault="00494DC6" w:rsidP="00494DC6">
      <w:pPr>
        <w:pStyle w:val="Caption"/>
      </w:pPr>
      <w:r>
        <w:t xml:space="preserve">Tabulka </w:t>
      </w:r>
      <w:r>
        <w:fldChar w:fldCharType="begin"/>
      </w:r>
      <w:r>
        <w:instrText xml:space="preserve"> SEQ Tabulka \* ARABIC </w:instrText>
      </w:r>
      <w:r>
        <w:fldChar w:fldCharType="separate"/>
      </w:r>
      <w:r w:rsidR="00F77CAE">
        <w:rPr>
          <w:noProof/>
        </w:rPr>
        <w:t>32</w:t>
      </w:r>
      <w:r>
        <w:fldChar w:fldCharType="end"/>
      </w:r>
      <w:r>
        <w:t xml:space="preserve"> - Srovnání návrhu hodnot indikátorů a skutečnosti (k 8. 1. 2019)</w:t>
      </w:r>
    </w:p>
    <w:tbl>
      <w:tblPr>
        <w:tblStyle w:val="TableGrid"/>
        <w:tblW w:w="5114" w:type="pct"/>
        <w:tblBorders>
          <w:insideH w:val="single" w:sz="2" w:space="0" w:color="86BC25" w:themeColor="accent1"/>
        </w:tblBorders>
        <w:tblLayout w:type="fixed"/>
        <w:tblLook w:val="04A0" w:firstRow="1" w:lastRow="0" w:firstColumn="1" w:lastColumn="0" w:noHBand="0" w:noVBand="1"/>
      </w:tblPr>
      <w:tblGrid>
        <w:gridCol w:w="849"/>
        <w:gridCol w:w="4905"/>
        <w:gridCol w:w="1142"/>
        <w:gridCol w:w="988"/>
        <w:gridCol w:w="988"/>
        <w:gridCol w:w="986"/>
      </w:tblGrid>
      <w:tr w:rsidR="00494DC6" w:rsidRPr="00420197" w14:paraId="09F5EC70" w14:textId="77777777" w:rsidTr="00CF7F88">
        <w:trPr>
          <w:cnfStyle w:val="100000000000" w:firstRow="1" w:lastRow="0" w:firstColumn="0" w:lastColumn="0" w:oddVBand="0" w:evenVBand="0" w:oddHBand="0" w:evenHBand="0" w:firstRowFirstColumn="0" w:firstRowLastColumn="0" w:lastRowFirstColumn="0" w:lastRowLastColumn="0"/>
          <w:trHeight w:val="540"/>
          <w:tblHeader/>
        </w:trPr>
        <w:tc>
          <w:tcPr>
            <w:tcW w:w="431" w:type="pct"/>
            <w:shd w:val="clear" w:color="auto" w:fill="86BC25" w:themeFill="accent1"/>
            <w:noWrap/>
            <w:vAlign w:val="center"/>
            <w:hideMark/>
          </w:tcPr>
          <w:p w14:paraId="573CB312"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Kód NČI 2014+</w:t>
            </w:r>
          </w:p>
        </w:tc>
        <w:tc>
          <w:tcPr>
            <w:tcW w:w="2488" w:type="pct"/>
            <w:shd w:val="clear" w:color="auto" w:fill="86BC25" w:themeFill="accent1"/>
            <w:noWrap/>
            <w:vAlign w:val="center"/>
            <w:hideMark/>
          </w:tcPr>
          <w:p w14:paraId="4EAEAC1B"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Název indikátoru</w:t>
            </w:r>
          </w:p>
        </w:tc>
        <w:tc>
          <w:tcPr>
            <w:tcW w:w="579" w:type="pct"/>
            <w:shd w:val="clear" w:color="auto" w:fill="86BC25" w:themeFill="accent1"/>
            <w:noWrap/>
            <w:vAlign w:val="center"/>
            <w:hideMark/>
          </w:tcPr>
          <w:p w14:paraId="1E0D573C"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Návrh</w:t>
            </w:r>
          </w:p>
        </w:tc>
        <w:tc>
          <w:tcPr>
            <w:tcW w:w="501" w:type="pct"/>
            <w:shd w:val="clear" w:color="auto" w:fill="86BC25" w:themeFill="accent1"/>
            <w:noWrap/>
            <w:vAlign w:val="center"/>
            <w:hideMark/>
          </w:tcPr>
          <w:p w14:paraId="00D860F5"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Skutečná hodnota</w:t>
            </w:r>
          </w:p>
        </w:tc>
        <w:tc>
          <w:tcPr>
            <w:tcW w:w="501" w:type="pct"/>
            <w:shd w:val="clear" w:color="auto" w:fill="86BC25" w:themeFill="accent1"/>
            <w:vAlign w:val="center"/>
          </w:tcPr>
          <w:p w14:paraId="080C4769" w14:textId="77777777" w:rsidR="00494DC6" w:rsidRPr="00420197" w:rsidRDefault="00494DC6" w:rsidP="00CF7F88">
            <w:pPr>
              <w:spacing w:after="0"/>
              <w:jc w:val="center"/>
              <w:rPr>
                <w:rFonts w:asciiTheme="majorHAnsi" w:hAnsiTheme="majorHAnsi"/>
                <w:b/>
                <w:bCs/>
                <w:color w:val="FFFFFF"/>
                <w:sz w:val="16"/>
                <w:szCs w:val="16"/>
              </w:rPr>
            </w:pPr>
            <w:proofErr w:type="spellStart"/>
            <w:r w:rsidRPr="00420197">
              <w:rPr>
                <w:rFonts w:asciiTheme="majorHAnsi" w:hAnsiTheme="majorHAnsi"/>
                <w:b/>
                <w:bCs/>
                <w:color w:val="FFFFFF"/>
                <w:sz w:val="16"/>
                <w:szCs w:val="16"/>
              </w:rPr>
              <w:t>Zazávazkovaná</w:t>
            </w:r>
            <w:proofErr w:type="spellEnd"/>
          </w:p>
        </w:tc>
        <w:tc>
          <w:tcPr>
            <w:tcW w:w="500" w:type="pct"/>
            <w:shd w:val="clear" w:color="auto" w:fill="86BC25" w:themeFill="accent1"/>
            <w:vAlign w:val="center"/>
          </w:tcPr>
          <w:p w14:paraId="5A1C47A8" w14:textId="77777777" w:rsidR="00494DC6" w:rsidRPr="00420197" w:rsidRDefault="00494DC6" w:rsidP="00CF7F88">
            <w:pPr>
              <w:spacing w:after="0"/>
              <w:jc w:val="center"/>
              <w:rPr>
                <w:rFonts w:asciiTheme="majorHAnsi" w:hAnsiTheme="majorHAnsi"/>
                <w:b/>
                <w:bCs/>
                <w:color w:val="FFFFFF"/>
                <w:sz w:val="16"/>
                <w:szCs w:val="16"/>
              </w:rPr>
            </w:pPr>
            <w:r w:rsidRPr="00420197">
              <w:rPr>
                <w:rFonts w:asciiTheme="majorHAnsi" w:hAnsiTheme="majorHAnsi"/>
                <w:b/>
                <w:bCs/>
                <w:color w:val="FFFFFF"/>
                <w:sz w:val="16"/>
                <w:szCs w:val="16"/>
              </w:rPr>
              <w:t>Dosažená</w:t>
            </w:r>
          </w:p>
        </w:tc>
      </w:tr>
      <w:tr w:rsidR="00494DC6" w:rsidRPr="00420197" w14:paraId="2108CADD" w14:textId="77777777" w:rsidTr="00CF7F88">
        <w:trPr>
          <w:trHeight w:val="300"/>
        </w:trPr>
        <w:tc>
          <w:tcPr>
            <w:tcW w:w="431" w:type="pct"/>
            <w:shd w:val="clear" w:color="auto" w:fill="auto"/>
            <w:noWrap/>
            <w:hideMark/>
          </w:tcPr>
          <w:p w14:paraId="3A7C2BCD"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10000</w:t>
            </w:r>
          </w:p>
        </w:tc>
        <w:tc>
          <w:tcPr>
            <w:tcW w:w="2488" w:type="pct"/>
            <w:shd w:val="clear" w:color="auto" w:fill="auto"/>
            <w:noWrap/>
            <w:hideMark/>
          </w:tcPr>
          <w:p w14:paraId="48A92A4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pobírajících podporu</w:t>
            </w:r>
          </w:p>
        </w:tc>
        <w:tc>
          <w:tcPr>
            <w:tcW w:w="579" w:type="pct"/>
            <w:shd w:val="clear" w:color="auto" w:fill="auto"/>
            <w:noWrap/>
          </w:tcPr>
          <w:p w14:paraId="1CC767E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2500 / 2000</w:t>
            </w:r>
          </w:p>
        </w:tc>
        <w:tc>
          <w:tcPr>
            <w:tcW w:w="501" w:type="pct"/>
            <w:shd w:val="clear" w:color="auto" w:fill="auto"/>
            <w:noWrap/>
          </w:tcPr>
          <w:p w14:paraId="28E972F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1400</w:t>
            </w:r>
          </w:p>
        </w:tc>
        <w:tc>
          <w:tcPr>
            <w:tcW w:w="501" w:type="pct"/>
          </w:tcPr>
          <w:p w14:paraId="1EEC3F1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1142</w:t>
            </w:r>
          </w:p>
        </w:tc>
        <w:tc>
          <w:tcPr>
            <w:tcW w:w="500" w:type="pct"/>
          </w:tcPr>
          <w:p w14:paraId="683DAC5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317</w:t>
            </w:r>
          </w:p>
        </w:tc>
      </w:tr>
      <w:tr w:rsidR="00494DC6" w:rsidRPr="00420197" w14:paraId="04090573" w14:textId="77777777" w:rsidTr="00CF7F88">
        <w:trPr>
          <w:trHeight w:val="300"/>
        </w:trPr>
        <w:tc>
          <w:tcPr>
            <w:tcW w:w="431" w:type="pct"/>
            <w:shd w:val="clear" w:color="auto" w:fill="auto"/>
            <w:noWrap/>
            <w:hideMark/>
          </w:tcPr>
          <w:p w14:paraId="695B4A89"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10102</w:t>
            </w:r>
          </w:p>
        </w:tc>
        <w:tc>
          <w:tcPr>
            <w:tcW w:w="2488" w:type="pct"/>
            <w:shd w:val="clear" w:color="auto" w:fill="auto"/>
            <w:noWrap/>
            <w:hideMark/>
          </w:tcPr>
          <w:p w14:paraId="6E476A3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pobírajících granty</w:t>
            </w:r>
          </w:p>
        </w:tc>
        <w:tc>
          <w:tcPr>
            <w:tcW w:w="579" w:type="pct"/>
            <w:shd w:val="clear" w:color="auto" w:fill="auto"/>
            <w:noWrap/>
          </w:tcPr>
          <w:p w14:paraId="44C1E6B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2500 / 2000</w:t>
            </w:r>
          </w:p>
        </w:tc>
        <w:tc>
          <w:tcPr>
            <w:tcW w:w="501" w:type="pct"/>
            <w:shd w:val="clear" w:color="auto" w:fill="auto"/>
            <w:noWrap/>
          </w:tcPr>
          <w:p w14:paraId="5DBDD420"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1400</w:t>
            </w:r>
          </w:p>
        </w:tc>
        <w:tc>
          <w:tcPr>
            <w:tcW w:w="501" w:type="pct"/>
          </w:tcPr>
          <w:p w14:paraId="567FA5F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1142</w:t>
            </w:r>
          </w:p>
        </w:tc>
        <w:tc>
          <w:tcPr>
            <w:tcW w:w="500" w:type="pct"/>
          </w:tcPr>
          <w:p w14:paraId="7A0DF1F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317</w:t>
            </w:r>
          </w:p>
        </w:tc>
      </w:tr>
      <w:tr w:rsidR="00494DC6" w:rsidRPr="00420197" w14:paraId="7B8B01F2" w14:textId="77777777" w:rsidTr="00CF7F88">
        <w:trPr>
          <w:trHeight w:val="300"/>
        </w:trPr>
        <w:tc>
          <w:tcPr>
            <w:tcW w:w="431" w:type="pct"/>
            <w:shd w:val="clear" w:color="auto" w:fill="auto"/>
            <w:noWrap/>
            <w:hideMark/>
          </w:tcPr>
          <w:p w14:paraId="6922C98B"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10300</w:t>
            </w:r>
          </w:p>
        </w:tc>
        <w:tc>
          <w:tcPr>
            <w:tcW w:w="2488" w:type="pct"/>
            <w:shd w:val="clear" w:color="auto" w:fill="auto"/>
            <w:noWrap/>
            <w:hideMark/>
          </w:tcPr>
          <w:p w14:paraId="769ABF3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Soukromé investice odpovídající veřejné podpoře podniků (granty) (mil. EUR)</w:t>
            </w:r>
          </w:p>
        </w:tc>
        <w:tc>
          <w:tcPr>
            <w:tcW w:w="579" w:type="pct"/>
            <w:shd w:val="clear" w:color="auto" w:fill="auto"/>
            <w:noWrap/>
          </w:tcPr>
          <w:p w14:paraId="29A7C75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1851 / 1440</w:t>
            </w:r>
          </w:p>
        </w:tc>
        <w:tc>
          <w:tcPr>
            <w:tcW w:w="501" w:type="pct"/>
            <w:shd w:val="clear" w:color="auto" w:fill="auto"/>
            <w:noWrap/>
          </w:tcPr>
          <w:p w14:paraId="24979E1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3 440</w:t>
            </w:r>
          </w:p>
        </w:tc>
        <w:tc>
          <w:tcPr>
            <w:tcW w:w="501" w:type="pct"/>
          </w:tcPr>
          <w:p w14:paraId="67989C6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c>
          <w:tcPr>
            <w:tcW w:w="500" w:type="pct"/>
          </w:tcPr>
          <w:p w14:paraId="64B47F7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r>
      <w:tr w:rsidR="00494DC6" w:rsidRPr="00420197" w14:paraId="50F4458B" w14:textId="77777777" w:rsidTr="00CF7F88">
        <w:trPr>
          <w:trHeight w:val="300"/>
        </w:trPr>
        <w:tc>
          <w:tcPr>
            <w:tcW w:w="431" w:type="pct"/>
            <w:shd w:val="clear" w:color="auto" w:fill="auto"/>
            <w:noWrap/>
            <w:hideMark/>
          </w:tcPr>
          <w:p w14:paraId="1ED69B93"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20000</w:t>
            </w:r>
          </w:p>
        </w:tc>
        <w:tc>
          <w:tcPr>
            <w:tcW w:w="2488" w:type="pct"/>
            <w:shd w:val="clear" w:color="auto" w:fill="auto"/>
            <w:noWrap/>
            <w:hideMark/>
          </w:tcPr>
          <w:p w14:paraId="2A1B1738"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spolupracujících s výzkumnými institucemi</w:t>
            </w:r>
          </w:p>
        </w:tc>
        <w:tc>
          <w:tcPr>
            <w:tcW w:w="579" w:type="pct"/>
            <w:shd w:val="clear" w:color="auto" w:fill="auto"/>
            <w:noWrap/>
          </w:tcPr>
          <w:p w14:paraId="6C56776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2900 / 2500</w:t>
            </w:r>
          </w:p>
        </w:tc>
        <w:tc>
          <w:tcPr>
            <w:tcW w:w="501" w:type="pct"/>
            <w:shd w:val="clear" w:color="auto" w:fill="auto"/>
            <w:noWrap/>
          </w:tcPr>
          <w:p w14:paraId="4C2F0C1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1" w:type="pct"/>
          </w:tcPr>
          <w:p w14:paraId="43EEF92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231</w:t>
            </w:r>
          </w:p>
        </w:tc>
        <w:tc>
          <w:tcPr>
            <w:tcW w:w="500" w:type="pct"/>
          </w:tcPr>
          <w:p w14:paraId="41D985F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105</w:t>
            </w:r>
          </w:p>
        </w:tc>
      </w:tr>
      <w:tr w:rsidR="00494DC6" w:rsidRPr="00420197" w14:paraId="71FD4E87" w14:textId="77777777" w:rsidTr="00CF7F88">
        <w:trPr>
          <w:trHeight w:val="300"/>
        </w:trPr>
        <w:tc>
          <w:tcPr>
            <w:tcW w:w="431" w:type="pct"/>
            <w:shd w:val="clear" w:color="auto" w:fill="auto"/>
            <w:noWrap/>
            <w:hideMark/>
          </w:tcPr>
          <w:p w14:paraId="461CBAEA"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20101</w:t>
            </w:r>
          </w:p>
        </w:tc>
        <w:tc>
          <w:tcPr>
            <w:tcW w:w="2488" w:type="pct"/>
            <w:shd w:val="clear" w:color="auto" w:fill="auto"/>
            <w:noWrap/>
            <w:hideMark/>
          </w:tcPr>
          <w:p w14:paraId="573B7F8B"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výzkumných organizací spolupracujících s firmami</w:t>
            </w:r>
          </w:p>
        </w:tc>
        <w:tc>
          <w:tcPr>
            <w:tcW w:w="579" w:type="pct"/>
            <w:shd w:val="clear" w:color="auto" w:fill="auto"/>
            <w:noWrap/>
          </w:tcPr>
          <w:p w14:paraId="2098DDDA"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383AC5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w:t>
            </w:r>
          </w:p>
        </w:tc>
        <w:tc>
          <w:tcPr>
            <w:tcW w:w="501" w:type="pct"/>
          </w:tcPr>
          <w:p w14:paraId="0D767B24"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w:t>
            </w:r>
          </w:p>
        </w:tc>
        <w:tc>
          <w:tcPr>
            <w:tcW w:w="500" w:type="pct"/>
          </w:tcPr>
          <w:p w14:paraId="155ED42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w:t>
            </w:r>
          </w:p>
        </w:tc>
      </w:tr>
      <w:tr w:rsidR="00494DC6" w:rsidRPr="00420197" w14:paraId="2EC125AC" w14:textId="77777777" w:rsidTr="00CF7F88">
        <w:trPr>
          <w:trHeight w:val="300"/>
        </w:trPr>
        <w:tc>
          <w:tcPr>
            <w:tcW w:w="431" w:type="pct"/>
            <w:shd w:val="clear" w:color="auto" w:fill="auto"/>
            <w:noWrap/>
            <w:hideMark/>
          </w:tcPr>
          <w:p w14:paraId="1DBA8F0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20400</w:t>
            </w:r>
          </w:p>
        </w:tc>
        <w:tc>
          <w:tcPr>
            <w:tcW w:w="2488" w:type="pct"/>
            <w:shd w:val="clear" w:color="auto" w:fill="auto"/>
            <w:noWrap/>
            <w:hideMark/>
          </w:tcPr>
          <w:p w14:paraId="190CB384"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výzkumných pracovníků v podporovaných subjektech</w:t>
            </w:r>
          </w:p>
        </w:tc>
        <w:tc>
          <w:tcPr>
            <w:tcW w:w="579" w:type="pct"/>
            <w:shd w:val="clear" w:color="auto" w:fill="auto"/>
            <w:noWrap/>
          </w:tcPr>
          <w:p w14:paraId="174F917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4100 / 3200</w:t>
            </w:r>
          </w:p>
        </w:tc>
        <w:tc>
          <w:tcPr>
            <w:tcW w:w="501" w:type="pct"/>
            <w:shd w:val="clear" w:color="auto" w:fill="auto"/>
            <w:noWrap/>
          </w:tcPr>
          <w:p w14:paraId="628D4DA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3200</w:t>
            </w:r>
          </w:p>
        </w:tc>
        <w:tc>
          <w:tcPr>
            <w:tcW w:w="501" w:type="pct"/>
          </w:tcPr>
          <w:p w14:paraId="61E84F4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480,5</w:t>
            </w:r>
          </w:p>
        </w:tc>
        <w:tc>
          <w:tcPr>
            <w:tcW w:w="500" w:type="pct"/>
          </w:tcPr>
          <w:p w14:paraId="2835B08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361,05</w:t>
            </w:r>
          </w:p>
        </w:tc>
      </w:tr>
      <w:tr w:rsidR="00494DC6" w:rsidRPr="00420197" w14:paraId="3AF5EFE4" w14:textId="77777777" w:rsidTr="00CF7F88">
        <w:trPr>
          <w:trHeight w:val="300"/>
        </w:trPr>
        <w:tc>
          <w:tcPr>
            <w:tcW w:w="431" w:type="pct"/>
            <w:shd w:val="clear" w:color="auto" w:fill="auto"/>
            <w:noWrap/>
            <w:hideMark/>
          </w:tcPr>
          <w:p w14:paraId="42CF0509"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20702</w:t>
            </w:r>
          </w:p>
        </w:tc>
        <w:tc>
          <w:tcPr>
            <w:tcW w:w="2488" w:type="pct"/>
            <w:shd w:val="clear" w:color="auto" w:fill="auto"/>
            <w:noWrap/>
            <w:hideMark/>
          </w:tcPr>
          <w:p w14:paraId="1B010409"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 xml:space="preserve">Počet nově vytvořených pracovních míst, zaměstnanci </w:t>
            </w:r>
            <w:proofErr w:type="spellStart"/>
            <w:r w:rsidRPr="00420197">
              <w:rPr>
                <w:rFonts w:asciiTheme="majorHAnsi" w:hAnsiTheme="majorHAnsi"/>
                <w:sz w:val="16"/>
                <w:szCs w:val="16"/>
              </w:rPr>
              <w:t>VaV</w:t>
            </w:r>
            <w:proofErr w:type="spellEnd"/>
            <w:r w:rsidRPr="00420197">
              <w:rPr>
                <w:rFonts w:asciiTheme="majorHAnsi" w:hAnsiTheme="majorHAnsi"/>
                <w:sz w:val="16"/>
                <w:szCs w:val="16"/>
              </w:rPr>
              <w:t xml:space="preserve"> – ženy</w:t>
            </w:r>
          </w:p>
        </w:tc>
        <w:tc>
          <w:tcPr>
            <w:tcW w:w="579" w:type="pct"/>
            <w:shd w:val="clear" w:color="auto" w:fill="auto"/>
            <w:noWrap/>
          </w:tcPr>
          <w:p w14:paraId="110497FA"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784708F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570</w:t>
            </w:r>
          </w:p>
        </w:tc>
        <w:tc>
          <w:tcPr>
            <w:tcW w:w="501" w:type="pct"/>
          </w:tcPr>
          <w:p w14:paraId="582FDFF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57,5</w:t>
            </w:r>
          </w:p>
        </w:tc>
        <w:tc>
          <w:tcPr>
            <w:tcW w:w="500" w:type="pct"/>
          </w:tcPr>
          <w:p w14:paraId="3FAF164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59,25</w:t>
            </w:r>
          </w:p>
        </w:tc>
      </w:tr>
      <w:tr w:rsidR="00494DC6" w:rsidRPr="00420197" w14:paraId="2E1C8A1C" w14:textId="77777777" w:rsidTr="00CF7F88">
        <w:trPr>
          <w:trHeight w:val="300"/>
        </w:trPr>
        <w:tc>
          <w:tcPr>
            <w:tcW w:w="431" w:type="pct"/>
            <w:shd w:val="clear" w:color="auto" w:fill="auto"/>
            <w:noWrap/>
            <w:hideMark/>
          </w:tcPr>
          <w:p w14:paraId="0800D8B8"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20900</w:t>
            </w:r>
          </w:p>
        </w:tc>
        <w:tc>
          <w:tcPr>
            <w:tcW w:w="2488" w:type="pct"/>
            <w:shd w:val="clear" w:color="auto" w:fill="auto"/>
            <w:noWrap/>
            <w:hideMark/>
          </w:tcPr>
          <w:p w14:paraId="2386CAF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Soukromé investice v projektech s veřejnou podporou v oblasti inovací nebo výzkumu a vývoje</w:t>
            </w:r>
          </w:p>
        </w:tc>
        <w:tc>
          <w:tcPr>
            <w:tcW w:w="579" w:type="pct"/>
            <w:shd w:val="clear" w:color="auto" w:fill="auto"/>
            <w:noWrap/>
          </w:tcPr>
          <w:p w14:paraId="0525EB9C"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1ACC6CC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3 440 000 000</w:t>
            </w:r>
          </w:p>
        </w:tc>
        <w:tc>
          <w:tcPr>
            <w:tcW w:w="501" w:type="pct"/>
          </w:tcPr>
          <w:p w14:paraId="2F75F57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c>
          <w:tcPr>
            <w:tcW w:w="500" w:type="pct"/>
          </w:tcPr>
          <w:p w14:paraId="5B56DB0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r>
      <w:tr w:rsidR="00494DC6" w:rsidRPr="00420197" w14:paraId="704F09E6" w14:textId="77777777" w:rsidTr="00CF7F88">
        <w:trPr>
          <w:trHeight w:val="300"/>
        </w:trPr>
        <w:tc>
          <w:tcPr>
            <w:tcW w:w="431" w:type="pct"/>
            <w:shd w:val="clear" w:color="auto" w:fill="auto"/>
            <w:noWrap/>
            <w:hideMark/>
          </w:tcPr>
          <w:p w14:paraId="17EB185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21010</w:t>
            </w:r>
          </w:p>
        </w:tc>
        <w:tc>
          <w:tcPr>
            <w:tcW w:w="2488" w:type="pct"/>
            <w:shd w:val="clear" w:color="auto" w:fill="auto"/>
            <w:noWrap/>
            <w:hideMark/>
          </w:tcPr>
          <w:p w14:paraId="31124023"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 xml:space="preserve">Podnikové výdaje na </w:t>
            </w:r>
            <w:proofErr w:type="spellStart"/>
            <w:r w:rsidRPr="00420197">
              <w:rPr>
                <w:rFonts w:asciiTheme="majorHAnsi" w:hAnsiTheme="majorHAnsi"/>
                <w:sz w:val="16"/>
                <w:szCs w:val="16"/>
              </w:rPr>
              <w:t>VaV</w:t>
            </w:r>
            <w:proofErr w:type="spellEnd"/>
            <w:r w:rsidRPr="00420197">
              <w:rPr>
                <w:rFonts w:asciiTheme="majorHAnsi" w:hAnsiTheme="majorHAnsi"/>
                <w:sz w:val="16"/>
                <w:szCs w:val="16"/>
              </w:rPr>
              <w:t xml:space="preserve"> v podnikatelském sektoru jako % HDP - regiony ČR (mimo hl. m. Praha)</w:t>
            </w:r>
          </w:p>
        </w:tc>
        <w:tc>
          <w:tcPr>
            <w:tcW w:w="579" w:type="pct"/>
            <w:shd w:val="clear" w:color="auto" w:fill="auto"/>
            <w:noWrap/>
          </w:tcPr>
          <w:p w14:paraId="243359D4"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6109EF0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0,62-0,8</w:t>
            </w:r>
          </w:p>
        </w:tc>
        <w:tc>
          <w:tcPr>
            <w:tcW w:w="501" w:type="pct"/>
          </w:tcPr>
          <w:p w14:paraId="5524F28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057839D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0,76</w:t>
            </w:r>
          </w:p>
        </w:tc>
      </w:tr>
      <w:tr w:rsidR="00494DC6" w:rsidRPr="00420197" w14:paraId="6EC9332C" w14:textId="77777777" w:rsidTr="00CF7F88">
        <w:trPr>
          <w:trHeight w:val="300"/>
        </w:trPr>
        <w:tc>
          <w:tcPr>
            <w:tcW w:w="431" w:type="pct"/>
            <w:shd w:val="clear" w:color="auto" w:fill="auto"/>
            <w:noWrap/>
            <w:hideMark/>
          </w:tcPr>
          <w:p w14:paraId="233BA9E1"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21200</w:t>
            </w:r>
          </w:p>
        </w:tc>
        <w:tc>
          <w:tcPr>
            <w:tcW w:w="2488" w:type="pct"/>
            <w:shd w:val="clear" w:color="auto" w:fill="auto"/>
            <w:noWrap/>
            <w:hideMark/>
          </w:tcPr>
          <w:p w14:paraId="42F0D0D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které dostávají podporu pro účely uvádění nových výrobků na trh</w:t>
            </w:r>
          </w:p>
        </w:tc>
        <w:tc>
          <w:tcPr>
            <w:tcW w:w="579" w:type="pct"/>
            <w:shd w:val="clear" w:color="auto" w:fill="auto"/>
            <w:noWrap/>
          </w:tcPr>
          <w:p w14:paraId="2B879E9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 / 210</w:t>
            </w:r>
          </w:p>
        </w:tc>
        <w:tc>
          <w:tcPr>
            <w:tcW w:w="501" w:type="pct"/>
            <w:shd w:val="clear" w:color="auto" w:fill="auto"/>
            <w:noWrap/>
          </w:tcPr>
          <w:p w14:paraId="0CDCF230"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222</w:t>
            </w:r>
          </w:p>
        </w:tc>
        <w:tc>
          <w:tcPr>
            <w:tcW w:w="501" w:type="pct"/>
          </w:tcPr>
          <w:p w14:paraId="1343C64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0" w:type="pct"/>
          </w:tcPr>
          <w:p w14:paraId="2A1B278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174</w:t>
            </w:r>
          </w:p>
        </w:tc>
      </w:tr>
      <w:tr w:rsidR="00494DC6" w:rsidRPr="00420197" w14:paraId="334CB52B" w14:textId="77777777" w:rsidTr="00CF7F88">
        <w:trPr>
          <w:trHeight w:val="300"/>
        </w:trPr>
        <w:tc>
          <w:tcPr>
            <w:tcW w:w="431" w:type="pct"/>
            <w:shd w:val="clear" w:color="auto" w:fill="auto"/>
            <w:noWrap/>
            <w:hideMark/>
          </w:tcPr>
          <w:p w14:paraId="37BD0EDA"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21301</w:t>
            </w:r>
          </w:p>
        </w:tc>
        <w:tc>
          <w:tcPr>
            <w:tcW w:w="2488" w:type="pct"/>
            <w:shd w:val="clear" w:color="auto" w:fill="auto"/>
            <w:noWrap/>
            <w:hideMark/>
          </w:tcPr>
          <w:p w14:paraId="6AEFA26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které dostávají podporu pro účely zavádění výrobků nových pro podnik</w:t>
            </w:r>
          </w:p>
        </w:tc>
        <w:tc>
          <w:tcPr>
            <w:tcW w:w="579" w:type="pct"/>
            <w:shd w:val="clear" w:color="auto" w:fill="auto"/>
            <w:noWrap/>
          </w:tcPr>
          <w:p w14:paraId="06352D4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 / 450</w:t>
            </w:r>
          </w:p>
        </w:tc>
        <w:tc>
          <w:tcPr>
            <w:tcW w:w="501" w:type="pct"/>
            <w:shd w:val="clear" w:color="auto" w:fill="auto"/>
            <w:noWrap/>
          </w:tcPr>
          <w:p w14:paraId="4116753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475</w:t>
            </w:r>
          </w:p>
        </w:tc>
        <w:tc>
          <w:tcPr>
            <w:tcW w:w="501" w:type="pct"/>
          </w:tcPr>
          <w:p w14:paraId="159BFEA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93</w:t>
            </w:r>
          </w:p>
        </w:tc>
        <w:tc>
          <w:tcPr>
            <w:tcW w:w="500" w:type="pct"/>
          </w:tcPr>
          <w:p w14:paraId="1C84F23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35</w:t>
            </w:r>
          </w:p>
        </w:tc>
      </w:tr>
      <w:tr w:rsidR="00494DC6" w:rsidRPr="00420197" w14:paraId="6A2D1D4C" w14:textId="77777777" w:rsidTr="00CF7F88">
        <w:trPr>
          <w:trHeight w:val="300"/>
        </w:trPr>
        <w:tc>
          <w:tcPr>
            <w:tcW w:w="431" w:type="pct"/>
            <w:shd w:val="clear" w:color="auto" w:fill="auto"/>
            <w:noWrap/>
            <w:hideMark/>
          </w:tcPr>
          <w:p w14:paraId="20CF0B43"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21410</w:t>
            </w:r>
          </w:p>
        </w:tc>
        <w:tc>
          <w:tcPr>
            <w:tcW w:w="2488" w:type="pct"/>
            <w:shd w:val="clear" w:color="auto" w:fill="auto"/>
            <w:noWrap/>
            <w:hideMark/>
          </w:tcPr>
          <w:p w14:paraId="41EFDE9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Tržby podpořených podniků v důsledku zavedené inovace</w:t>
            </w:r>
          </w:p>
        </w:tc>
        <w:tc>
          <w:tcPr>
            <w:tcW w:w="579" w:type="pct"/>
            <w:shd w:val="clear" w:color="auto" w:fill="auto"/>
            <w:noWrap/>
          </w:tcPr>
          <w:p w14:paraId="2A3BD54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724 500 / 563 800 tis. Kč</w:t>
            </w:r>
          </w:p>
        </w:tc>
        <w:tc>
          <w:tcPr>
            <w:tcW w:w="501" w:type="pct"/>
            <w:shd w:val="clear" w:color="auto" w:fill="auto"/>
            <w:noWrap/>
          </w:tcPr>
          <w:p w14:paraId="5471A6A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723 978 mil. Kč</w:t>
            </w:r>
          </w:p>
        </w:tc>
        <w:tc>
          <w:tcPr>
            <w:tcW w:w="501" w:type="pct"/>
          </w:tcPr>
          <w:p w14:paraId="27137F2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3200F7B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r>
      <w:tr w:rsidR="00494DC6" w:rsidRPr="00420197" w14:paraId="3106A9B2" w14:textId="77777777" w:rsidTr="00CF7F88">
        <w:trPr>
          <w:trHeight w:val="300"/>
        </w:trPr>
        <w:tc>
          <w:tcPr>
            <w:tcW w:w="431" w:type="pct"/>
            <w:shd w:val="clear" w:color="auto" w:fill="auto"/>
            <w:noWrap/>
            <w:hideMark/>
          </w:tcPr>
          <w:p w14:paraId="5FC9CE5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21411</w:t>
            </w:r>
          </w:p>
        </w:tc>
        <w:tc>
          <w:tcPr>
            <w:tcW w:w="2488" w:type="pct"/>
            <w:shd w:val="clear" w:color="auto" w:fill="auto"/>
            <w:noWrap/>
            <w:hideMark/>
          </w:tcPr>
          <w:p w14:paraId="5BFCCDD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Tržby z inovované produkce jako % celkových tržeb podniků s produktovou inovací</w:t>
            </w:r>
          </w:p>
        </w:tc>
        <w:tc>
          <w:tcPr>
            <w:tcW w:w="579" w:type="pct"/>
            <w:shd w:val="clear" w:color="auto" w:fill="auto"/>
            <w:noWrap/>
          </w:tcPr>
          <w:p w14:paraId="0C72B2B1"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73DD92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29,8-31</w:t>
            </w:r>
          </w:p>
        </w:tc>
        <w:tc>
          <w:tcPr>
            <w:tcW w:w="501" w:type="pct"/>
          </w:tcPr>
          <w:p w14:paraId="0ABFED5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000092A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27,4</w:t>
            </w:r>
          </w:p>
        </w:tc>
      </w:tr>
      <w:tr w:rsidR="00494DC6" w:rsidRPr="00420197" w14:paraId="5AF5284D" w14:textId="77777777" w:rsidTr="00CF7F88">
        <w:trPr>
          <w:trHeight w:val="300"/>
        </w:trPr>
        <w:tc>
          <w:tcPr>
            <w:tcW w:w="431" w:type="pct"/>
            <w:shd w:val="clear" w:color="auto" w:fill="auto"/>
            <w:noWrap/>
            <w:hideMark/>
          </w:tcPr>
          <w:p w14:paraId="67A8DEC4"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21610</w:t>
            </w:r>
          </w:p>
        </w:tc>
        <w:tc>
          <w:tcPr>
            <w:tcW w:w="2488" w:type="pct"/>
            <w:shd w:val="clear" w:color="auto" w:fill="auto"/>
            <w:noWrap/>
            <w:hideMark/>
          </w:tcPr>
          <w:p w14:paraId="5476E94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přihlášených výsledků aplikovaného výzkumu</w:t>
            </w:r>
          </w:p>
        </w:tc>
        <w:tc>
          <w:tcPr>
            <w:tcW w:w="579" w:type="pct"/>
            <w:shd w:val="clear" w:color="auto" w:fill="auto"/>
            <w:noWrap/>
          </w:tcPr>
          <w:p w14:paraId="70E148F3"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0DB8768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2500</w:t>
            </w:r>
          </w:p>
        </w:tc>
        <w:tc>
          <w:tcPr>
            <w:tcW w:w="501" w:type="pct"/>
          </w:tcPr>
          <w:p w14:paraId="78A81AB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1561</w:t>
            </w:r>
          </w:p>
        </w:tc>
        <w:tc>
          <w:tcPr>
            <w:tcW w:w="500" w:type="pct"/>
          </w:tcPr>
          <w:p w14:paraId="6416D4F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143</w:t>
            </w:r>
          </w:p>
        </w:tc>
      </w:tr>
      <w:tr w:rsidR="00494DC6" w:rsidRPr="00420197" w14:paraId="567063CA" w14:textId="77777777" w:rsidTr="00CF7F88">
        <w:trPr>
          <w:trHeight w:val="300"/>
        </w:trPr>
        <w:tc>
          <w:tcPr>
            <w:tcW w:w="431" w:type="pct"/>
            <w:shd w:val="clear" w:color="auto" w:fill="auto"/>
            <w:noWrap/>
            <w:hideMark/>
          </w:tcPr>
          <w:p w14:paraId="0A17F5A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22002</w:t>
            </w:r>
          </w:p>
        </w:tc>
        <w:tc>
          <w:tcPr>
            <w:tcW w:w="2488" w:type="pct"/>
            <w:shd w:val="clear" w:color="auto" w:fill="auto"/>
            <w:noWrap/>
            <w:hideMark/>
          </w:tcPr>
          <w:p w14:paraId="5436EB4B"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udělených patentů a dalších práv ochrany průmyslového vlastnictví</w:t>
            </w:r>
          </w:p>
        </w:tc>
        <w:tc>
          <w:tcPr>
            <w:tcW w:w="579" w:type="pct"/>
            <w:shd w:val="clear" w:color="auto" w:fill="auto"/>
            <w:noWrap/>
          </w:tcPr>
          <w:p w14:paraId="59ED72D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700 / 600</w:t>
            </w:r>
          </w:p>
        </w:tc>
        <w:tc>
          <w:tcPr>
            <w:tcW w:w="501" w:type="pct"/>
            <w:shd w:val="clear" w:color="auto" w:fill="auto"/>
            <w:noWrap/>
          </w:tcPr>
          <w:p w14:paraId="055C613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700</w:t>
            </w:r>
          </w:p>
        </w:tc>
        <w:tc>
          <w:tcPr>
            <w:tcW w:w="501" w:type="pct"/>
          </w:tcPr>
          <w:p w14:paraId="440AB8D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422</w:t>
            </w:r>
          </w:p>
        </w:tc>
        <w:tc>
          <w:tcPr>
            <w:tcW w:w="500" w:type="pct"/>
          </w:tcPr>
          <w:p w14:paraId="6A62414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111</w:t>
            </w:r>
          </w:p>
        </w:tc>
      </w:tr>
      <w:tr w:rsidR="00494DC6" w:rsidRPr="00420197" w14:paraId="0D469DC3" w14:textId="77777777" w:rsidTr="00CF7F88">
        <w:trPr>
          <w:trHeight w:val="300"/>
        </w:trPr>
        <w:tc>
          <w:tcPr>
            <w:tcW w:w="431" w:type="pct"/>
            <w:shd w:val="clear" w:color="auto" w:fill="auto"/>
            <w:noWrap/>
            <w:hideMark/>
          </w:tcPr>
          <w:p w14:paraId="30B1326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22003</w:t>
            </w:r>
          </w:p>
        </w:tc>
        <w:tc>
          <w:tcPr>
            <w:tcW w:w="2488" w:type="pct"/>
            <w:shd w:val="clear" w:color="auto" w:fill="auto"/>
            <w:noWrap/>
            <w:hideMark/>
          </w:tcPr>
          <w:p w14:paraId="18E729C1"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udělených patentů a dalších práv ochrany průmyslového vlastnictví - z toho v zahraničí</w:t>
            </w:r>
          </w:p>
        </w:tc>
        <w:tc>
          <w:tcPr>
            <w:tcW w:w="579" w:type="pct"/>
            <w:shd w:val="clear" w:color="auto" w:fill="auto"/>
            <w:noWrap/>
          </w:tcPr>
          <w:p w14:paraId="77399B84"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780FFEF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600</w:t>
            </w:r>
          </w:p>
        </w:tc>
        <w:tc>
          <w:tcPr>
            <w:tcW w:w="501" w:type="pct"/>
          </w:tcPr>
          <w:p w14:paraId="18B4B4F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326</w:t>
            </w:r>
          </w:p>
        </w:tc>
        <w:tc>
          <w:tcPr>
            <w:tcW w:w="500" w:type="pct"/>
          </w:tcPr>
          <w:p w14:paraId="678FA8A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91</w:t>
            </w:r>
          </w:p>
        </w:tc>
      </w:tr>
      <w:tr w:rsidR="00494DC6" w:rsidRPr="00420197" w14:paraId="5B8B5B0E" w14:textId="77777777" w:rsidTr="00CF7F88">
        <w:trPr>
          <w:trHeight w:val="300"/>
        </w:trPr>
        <w:tc>
          <w:tcPr>
            <w:tcW w:w="431" w:type="pct"/>
            <w:shd w:val="clear" w:color="auto" w:fill="auto"/>
            <w:noWrap/>
            <w:hideMark/>
          </w:tcPr>
          <w:p w14:paraId="691EFC0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22100</w:t>
            </w:r>
          </w:p>
        </w:tc>
        <w:tc>
          <w:tcPr>
            <w:tcW w:w="2488" w:type="pct"/>
            <w:shd w:val="clear" w:color="auto" w:fill="auto"/>
            <w:noWrap/>
            <w:hideMark/>
          </w:tcPr>
          <w:p w14:paraId="64B8AA7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přihlášek na ochranu práv průmyslového vlastnictví</w:t>
            </w:r>
          </w:p>
        </w:tc>
        <w:tc>
          <w:tcPr>
            <w:tcW w:w="579" w:type="pct"/>
            <w:shd w:val="clear" w:color="auto" w:fill="auto"/>
            <w:noWrap/>
          </w:tcPr>
          <w:p w14:paraId="1B7030A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800 / 700</w:t>
            </w:r>
          </w:p>
        </w:tc>
        <w:tc>
          <w:tcPr>
            <w:tcW w:w="501" w:type="pct"/>
            <w:shd w:val="clear" w:color="auto" w:fill="auto"/>
            <w:noWrap/>
          </w:tcPr>
          <w:p w14:paraId="3A06806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600</w:t>
            </w:r>
          </w:p>
        </w:tc>
        <w:tc>
          <w:tcPr>
            <w:tcW w:w="501" w:type="pct"/>
          </w:tcPr>
          <w:p w14:paraId="2679E40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126</w:t>
            </w:r>
          </w:p>
        </w:tc>
        <w:tc>
          <w:tcPr>
            <w:tcW w:w="500" w:type="pct"/>
          </w:tcPr>
          <w:p w14:paraId="2D2E129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40</w:t>
            </w:r>
          </w:p>
        </w:tc>
      </w:tr>
      <w:tr w:rsidR="00494DC6" w:rsidRPr="00420197" w14:paraId="1A3E341B" w14:textId="77777777" w:rsidTr="00CF7F88">
        <w:trPr>
          <w:trHeight w:val="300"/>
        </w:trPr>
        <w:tc>
          <w:tcPr>
            <w:tcW w:w="431" w:type="pct"/>
            <w:shd w:val="clear" w:color="auto" w:fill="auto"/>
            <w:noWrap/>
            <w:hideMark/>
          </w:tcPr>
          <w:p w14:paraId="0C31172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22101</w:t>
            </w:r>
          </w:p>
        </w:tc>
        <w:tc>
          <w:tcPr>
            <w:tcW w:w="2488" w:type="pct"/>
            <w:shd w:val="clear" w:color="auto" w:fill="auto"/>
            <w:noWrap/>
            <w:hideMark/>
          </w:tcPr>
          <w:p w14:paraId="52512E2B"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přihlášek na ochranu práv průmyslového vlastnictví - z toho v zahraničí</w:t>
            </w:r>
          </w:p>
        </w:tc>
        <w:tc>
          <w:tcPr>
            <w:tcW w:w="579" w:type="pct"/>
            <w:shd w:val="clear" w:color="auto" w:fill="auto"/>
            <w:noWrap/>
          </w:tcPr>
          <w:p w14:paraId="0F651804"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3457169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1" w:type="pct"/>
          </w:tcPr>
          <w:p w14:paraId="0C0B519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92</w:t>
            </w:r>
          </w:p>
        </w:tc>
        <w:tc>
          <w:tcPr>
            <w:tcW w:w="500" w:type="pct"/>
          </w:tcPr>
          <w:p w14:paraId="2946BFF0"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w:t>
            </w:r>
          </w:p>
        </w:tc>
      </w:tr>
      <w:tr w:rsidR="00494DC6" w:rsidRPr="00420197" w14:paraId="20A847E8" w14:textId="77777777" w:rsidTr="00CF7F88">
        <w:trPr>
          <w:trHeight w:val="315"/>
        </w:trPr>
        <w:tc>
          <w:tcPr>
            <w:tcW w:w="431" w:type="pct"/>
            <w:shd w:val="clear" w:color="auto" w:fill="auto"/>
            <w:noWrap/>
            <w:hideMark/>
          </w:tcPr>
          <w:p w14:paraId="5F61A21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22501</w:t>
            </w:r>
          </w:p>
        </w:tc>
        <w:tc>
          <w:tcPr>
            <w:tcW w:w="2488" w:type="pct"/>
            <w:shd w:val="clear" w:color="auto" w:fill="auto"/>
            <w:noWrap/>
            <w:hideMark/>
          </w:tcPr>
          <w:p w14:paraId="3F93FB43"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zavedených inovací</w:t>
            </w:r>
          </w:p>
        </w:tc>
        <w:tc>
          <w:tcPr>
            <w:tcW w:w="579" w:type="pct"/>
            <w:shd w:val="clear" w:color="auto" w:fill="auto"/>
            <w:noWrap/>
          </w:tcPr>
          <w:p w14:paraId="2B1B07F1"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470C70C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1800</w:t>
            </w:r>
          </w:p>
        </w:tc>
        <w:tc>
          <w:tcPr>
            <w:tcW w:w="501" w:type="pct"/>
          </w:tcPr>
          <w:p w14:paraId="434F8664"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1611</w:t>
            </w:r>
          </w:p>
        </w:tc>
        <w:tc>
          <w:tcPr>
            <w:tcW w:w="500" w:type="pct"/>
          </w:tcPr>
          <w:p w14:paraId="5CE38D1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580</w:t>
            </w:r>
          </w:p>
        </w:tc>
      </w:tr>
      <w:tr w:rsidR="00494DC6" w:rsidRPr="00420197" w14:paraId="5267D4C7" w14:textId="77777777" w:rsidTr="00CF7F88">
        <w:trPr>
          <w:trHeight w:val="315"/>
        </w:trPr>
        <w:tc>
          <w:tcPr>
            <w:tcW w:w="431" w:type="pct"/>
            <w:tcBorders>
              <w:top w:val="single" w:sz="2" w:space="0" w:color="86BC25" w:themeColor="accent1"/>
              <w:bottom w:val="single" w:sz="2" w:space="0" w:color="86BC25" w:themeColor="accent1"/>
            </w:tcBorders>
            <w:shd w:val="clear" w:color="auto" w:fill="auto"/>
            <w:noWrap/>
            <w:hideMark/>
          </w:tcPr>
          <w:p w14:paraId="72DB4A9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24102</w:t>
            </w:r>
          </w:p>
        </w:tc>
        <w:tc>
          <w:tcPr>
            <w:tcW w:w="2488" w:type="pct"/>
            <w:tcBorders>
              <w:top w:val="single" w:sz="2" w:space="0" w:color="86BC25" w:themeColor="accent1"/>
              <w:bottom w:val="single" w:sz="2" w:space="0" w:color="86BC25" w:themeColor="accent1"/>
            </w:tcBorders>
            <w:shd w:val="clear" w:color="auto" w:fill="auto"/>
            <w:noWrap/>
            <w:hideMark/>
          </w:tcPr>
          <w:p w14:paraId="61CAB091"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rozšířených či modernizovaných výzkumných pracovišť podniků</w:t>
            </w:r>
          </w:p>
        </w:tc>
        <w:tc>
          <w:tcPr>
            <w:tcW w:w="579" w:type="pct"/>
            <w:tcBorders>
              <w:top w:val="single" w:sz="2" w:space="0" w:color="86BC25" w:themeColor="accent1"/>
              <w:bottom w:val="single" w:sz="2" w:space="0" w:color="86BC25" w:themeColor="accent1"/>
            </w:tcBorders>
            <w:shd w:val="clear" w:color="auto" w:fill="auto"/>
            <w:noWrap/>
          </w:tcPr>
          <w:p w14:paraId="37E49FCA" w14:textId="77777777" w:rsidR="00494DC6" w:rsidRPr="00420197" w:rsidRDefault="00494DC6" w:rsidP="00CF7F88">
            <w:pPr>
              <w:spacing w:after="0"/>
              <w:jc w:val="center"/>
              <w:rPr>
                <w:rFonts w:asciiTheme="majorHAnsi" w:hAnsiTheme="majorHAnsi"/>
                <w:sz w:val="16"/>
                <w:szCs w:val="16"/>
              </w:rPr>
            </w:pPr>
          </w:p>
        </w:tc>
        <w:tc>
          <w:tcPr>
            <w:tcW w:w="501" w:type="pct"/>
            <w:tcBorders>
              <w:top w:val="single" w:sz="2" w:space="0" w:color="86BC25" w:themeColor="accent1"/>
              <w:bottom w:val="single" w:sz="2" w:space="0" w:color="86BC25" w:themeColor="accent1"/>
            </w:tcBorders>
            <w:shd w:val="clear" w:color="auto" w:fill="auto"/>
            <w:noWrap/>
          </w:tcPr>
          <w:p w14:paraId="58D2DE8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380</w:t>
            </w:r>
          </w:p>
        </w:tc>
        <w:tc>
          <w:tcPr>
            <w:tcW w:w="501" w:type="pct"/>
            <w:tcBorders>
              <w:top w:val="single" w:sz="2" w:space="0" w:color="86BC25" w:themeColor="accent1"/>
              <w:bottom w:val="single" w:sz="2" w:space="0" w:color="86BC25" w:themeColor="accent1"/>
            </w:tcBorders>
          </w:tcPr>
          <w:p w14:paraId="2CB09CB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299</w:t>
            </w:r>
          </w:p>
        </w:tc>
        <w:tc>
          <w:tcPr>
            <w:tcW w:w="500" w:type="pct"/>
            <w:tcBorders>
              <w:top w:val="single" w:sz="2" w:space="0" w:color="86BC25" w:themeColor="accent1"/>
              <w:bottom w:val="single" w:sz="2" w:space="0" w:color="86BC25" w:themeColor="accent1"/>
            </w:tcBorders>
          </w:tcPr>
          <w:p w14:paraId="0E78FBF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107</w:t>
            </w:r>
          </w:p>
        </w:tc>
      </w:tr>
    </w:tbl>
    <w:p w14:paraId="745AB526" w14:textId="77777777" w:rsidR="00494DC6" w:rsidRDefault="00494DC6" w:rsidP="00494DC6">
      <w:pPr>
        <w:jc w:val="both"/>
      </w:pPr>
    </w:p>
    <w:p w14:paraId="56E4715C" w14:textId="77777777" w:rsidR="00494DC6" w:rsidRPr="007070E2" w:rsidRDefault="00494DC6" w:rsidP="00494DC6">
      <w:pPr>
        <w:rPr>
          <w:b/>
        </w:rPr>
      </w:pPr>
      <w:r w:rsidRPr="007070E2">
        <w:rPr>
          <w:b/>
        </w:rPr>
        <w:t>Analýza indikátorů výsledku Operačního programu Podnikání</w:t>
      </w:r>
      <w:r>
        <w:rPr>
          <w:b/>
        </w:rPr>
        <w:t xml:space="preserve"> a </w:t>
      </w:r>
      <w:r w:rsidRPr="007070E2">
        <w:rPr>
          <w:b/>
        </w:rPr>
        <w:t>inovace pro konkurenceschopnost 2014 – 2020 (OP PIK)</w:t>
      </w:r>
    </w:p>
    <w:p w14:paraId="14DDA852" w14:textId="77777777" w:rsidR="00494DC6" w:rsidRDefault="00494DC6" w:rsidP="00494DC6">
      <w:pPr>
        <w:jc w:val="both"/>
      </w:pPr>
      <w:r>
        <w:t xml:space="preserve">Zpracovatel: </w:t>
      </w:r>
      <w:proofErr w:type="spellStart"/>
      <w:r w:rsidRPr="00C431E8">
        <w:t>HaskoningDHV</w:t>
      </w:r>
      <w:proofErr w:type="spellEnd"/>
      <w:r w:rsidRPr="00C431E8">
        <w:t xml:space="preserve"> Czech Republic, spol. s r. o.</w:t>
      </w:r>
    </w:p>
    <w:p w14:paraId="168F19B9" w14:textId="77777777" w:rsidR="00494DC6" w:rsidRDefault="00494DC6" w:rsidP="00494DC6">
      <w:pPr>
        <w:spacing w:after="120"/>
        <w:jc w:val="both"/>
      </w:pPr>
      <w:r>
        <w:t>Hlavním cílem této zakázky bylo:</w:t>
      </w:r>
    </w:p>
    <w:p w14:paraId="0ADA9013" w14:textId="77777777" w:rsidR="00494DC6" w:rsidRDefault="00494DC6" w:rsidP="00494DC6">
      <w:pPr>
        <w:pStyle w:val="ListParagraph"/>
        <w:numPr>
          <w:ilvl w:val="7"/>
          <w:numId w:val="2"/>
        </w:numPr>
        <w:spacing w:after="120"/>
        <w:ind w:left="567" w:hanging="357"/>
        <w:contextualSpacing w:val="0"/>
        <w:jc w:val="both"/>
      </w:pPr>
      <w:r w:rsidRPr="007070E2">
        <w:rPr>
          <w:b/>
        </w:rPr>
        <w:t>Posouzení indikátorů výsledku</w:t>
      </w:r>
      <w:r>
        <w:t xml:space="preserve"> navrhovaných v aktuální verzi OP PIK, příp. vlastní návrh indikátorů výsledku, mj. ve spolupráci (formou konzultací) s ex-ante hodnotitelem OP PIK</w:t>
      </w:r>
      <w:r w:rsidR="00AE0799">
        <w:t>.</w:t>
      </w:r>
    </w:p>
    <w:p w14:paraId="7DD5CF69" w14:textId="77777777" w:rsidR="00494DC6" w:rsidRDefault="00494DC6" w:rsidP="00494DC6">
      <w:pPr>
        <w:pStyle w:val="ListParagraph"/>
        <w:numPr>
          <w:ilvl w:val="7"/>
          <w:numId w:val="2"/>
        </w:numPr>
        <w:spacing w:after="120"/>
        <w:ind w:left="567" w:hanging="357"/>
        <w:contextualSpacing w:val="0"/>
        <w:jc w:val="both"/>
      </w:pPr>
      <w:r w:rsidRPr="007070E2">
        <w:rPr>
          <w:b/>
        </w:rPr>
        <w:t>Stanovení výchozích</w:t>
      </w:r>
      <w:r>
        <w:rPr>
          <w:b/>
        </w:rPr>
        <w:t xml:space="preserve"> a </w:t>
      </w:r>
      <w:r w:rsidRPr="007070E2">
        <w:rPr>
          <w:b/>
        </w:rPr>
        <w:t>cílových hodnot indikátorů výsledku</w:t>
      </w:r>
      <w:r>
        <w:t xml:space="preserve"> OP PIK</w:t>
      </w:r>
      <w:r w:rsidR="00AE0799">
        <w:t>.</w:t>
      </w:r>
    </w:p>
    <w:p w14:paraId="0E82FD49" w14:textId="77777777" w:rsidR="00494DC6" w:rsidRDefault="00494DC6" w:rsidP="00494DC6">
      <w:pPr>
        <w:pStyle w:val="ListParagraph"/>
        <w:numPr>
          <w:ilvl w:val="7"/>
          <w:numId w:val="2"/>
        </w:numPr>
        <w:spacing w:after="120"/>
        <w:ind w:left="567" w:hanging="357"/>
        <w:contextualSpacing w:val="0"/>
        <w:jc w:val="both"/>
      </w:pPr>
      <w:r w:rsidRPr="007070E2">
        <w:rPr>
          <w:b/>
        </w:rPr>
        <w:t>Stanovení cílových hodnot milníků (finančních ukazatelů)</w:t>
      </w:r>
      <w:r>
        <w:t xml:space="preserve"> dle pokynů EK k výkonnostnímu rámci operačních programů 2014-2020.</w:t>
      </w:r>
    </w:p>
    <w:p w14:paraId="523BA306" w14:textId="77777777" w:rsidR="00494DC6" w:rsidRDefault="00494DC6" w:rsidP="00494DC6">
      <w:pPr>
        <w:jc w:val="both"/>
      </w:pPr>
      <w:r>
        <w:t>Porovnání navrhovaných, skutečných a dosažených hodnot indikátorů uvádí následující tabulka.</w:t>
      </w:r>
    </w:p>
    <w:p w14:paraId="54E9FE49" w14:textId="0C5D9BAA" w:rsidR="00494DC6" w:rsidRDefault="00494DC6" w:rsidP="00494DC6">
      <w:pPr>
        <w:pStyle w:val="Caption"/>
      </w:pPr>
      <w:r>
        <w:t xml:space="preserve">Tabulka </w:t>
      </w:r>
      <w:r>
        <w:fldChar w:fldCharType="begin"/>
      </w:r>
      <w:r>
        <w:instrText xml:space="preserve"> SEQ Tabulka \* ARABIC </w:instrText>
      </w:r>
      <w:r>
        <w:fldChar w:fldCharType="separate"/>
      </w:r>
      <w:r w:rsidR="00F77CAE">
        <w:rPr>
          <w:noProof/>
        </w:rPr>
        <w:t>33</w:t>
      </w:r>
      <w:r>
        <w:fldChar w:fldCharType="end"/>
      </w:r>
      <w:r>
        <w:t xml:space="preserve">: </w:t>
      </w:r>
      <w:r w:rsidRPr="00D42619">
        <w:t>Srovnání návrhu hodnot indikátorů a skutečnosti (k 8. 1. 2019)</w:t>
      </w:r>
    </w:p>
    <w:tbl>
      <w:tblPr>
        <w:tblStyle w:val="TableGrid"/>
        <w:tblW w:w="5114" w:type="pct"/>
        <w:tblBorders>
          <w:insideH w:val="single" w:sz="2" w:space="0" w:color="86BC25" w:themeColor="accent1"/>
        </w:tblBorders>
        <w:tblLayout w:type="fixed"/>
        <w:tblLook w:val="04A0" w:firstRow="1" w:lastRow="0" w:firstColumn="1" w:lastColumn="0" w:noHBand="0" w:noVBand="1"/>
      </w:tblPr>
      <w:tblGrid>
        <w:gridCol w:w="849"/>
        <w:gridCol w:w="4905"/>
        <w:gridCol w:w="1142"/>
        <w:gridCol w:w="988"/>
        <w:gridCol w:w="988"/>
        <w:gridCol w:w="986"/>
      </w:tblGrid>
      <w:tr w:rsidR="00494DC6" w:rsidRPr="00420197" w14:paraId="4818D18F" w14:textId="77777777" w:rsidTr="00CF7F88">
        <w:trPr>
          <w:cnfStyle w:val="100000000000" w:firstRow="1" w:lastRow="0" w:firstColumn="0" w:lastColumn="0" w:oddVBand="0" w:evenVBand="0" w:oddHBand="0" w:evenHBand="0" w:firstRowFirstColumn="0" w:firstRowLastColumn="0" w:lastRowFirstColumn="0" w:lastRowLastColumn="0"/>
          <w:trHeight w:val="540"/>
          <w:tblHeader/>
        </w:trPr>
        <w:tc>
          <w:tcPr>
            <w:tcW w:w="431" w:type="pct"/>
            <w:shd w:val="clear" w:color="auto" w:fill="86BC25" w:themeFill="accent1"/>
            <w:noWrap/>
            <w:vAlign w:val="center"/>
            <w:hideMark/>
          </w:tcPr>
          <w:p w14:paraId="2FCD1FF2"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Kód NČI 2014+</w:t>
            </w:r>
          </w:p>
        </w:tc>
        <w:tc>
          <w:tcPr>
            <w:tcW w:w="2488" w:type="pct"/>
            <w:shd w:val="clear" w:color="auto" w:fill="86BC25" w:themeFill="accent1"/>
            <w:noWrap/>
            <w:vAlign w:val="center"/>
            <w:hideMark/>
          </w:tcPr>
          <w:p w14:paraId="6B4F5031"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Název indikátoru</w:t>
            </w:r>
          </w:p>
        </w:tc>
        <w:tc>
          <w:tcPr>
            <w:tcW w:w="579" w:type="pct"/>
            <w:shd w:val="clear" w:color="auto" w:fill="86BC25" w:themeFill="accent1"/>
            <w:noWrap/>
            <w:vAlign w:val="center"/>
            <w:hideMark/>
          </w:tcPr>
          <w:p w14:paraId="5CC45A5D"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Návrh</w:t>
            </w:r>
          </w:p>
        </w:tc>
        <w:tc>
          <w:tcPr>
            <w:tcW w:w="501" w:type="pct"/>
            <w:shd w:val="clear" w:color="auto" w:fill="86BC25" w:themeFill="accent1"/>
            <w:noWrap/>
            <w:vAlign w:val="center"/>
            <w:hideMark/>
          </w:tcPr>
          <w:p w14:paraId="73CB97A5" w14:textId="77777777" w:rsidR="00494DC6" w:rsidRPr="00420197" w:rsidRDefault="00494DC6" w:rsidP="00CF7F88">
            <w:pPr>
              <w:spacing w:after="0"/>
              <w:jc w:val="center"/>
              <w:rPr>
                <w:rFonts w:asciiTheme="majorHAnsi" w:hAnsiTheme="majorHAnsi"/>
                <w:b/>
                <w:color w:val="FFFFFF"/>
                <w:sz w:val="16"/>
                <w:szCs w:val="16"/>
              </w:rPr>
            </w:pPr>
            <w:r w:rsidRPr="00420197">
              <w:rPr>
                <w:rFonts w:asciiTheme="majorHAnsi" w:hAnsiTheme="majorHAnsi"/>
                <w:b/>
                <w:bCs/>
                <w:color w:val="FFFFFF"/>
                <w:sz w:val="16"/>
                <w:szCs w:val="16"/>
              </w:rPr>
              <w:t>Skutečná hodnota</w:t>
            </w:r>
          </w:p>
        </w:tc>
        <w:tc>
          <w:tcPr>
            <w:tcW w:w="501" w:type="pct"/>
            <w:shd w:val="clear" w:color="auto" w:fill="86BC25" w:themeFill="accent1"/>
            <w:vAlign w:val="center"/>
          </w:tcPr>
          <w:p w14:paraId="64858A6D" w14:textId="77777777" w:rsidR="00494DC6" w:rsidRPr="00420197" w:rsidRDefault="00494DC6" w:rsidP="00CF7F88">
            <w:pPr>
              <w:spacing w:after="0"/>
              <w:jc w:val="center"/>
              <w:rPr>
                <w:rFonts w:asciiTheme="majorHAnsi" w:hAnsiTheme="majorHAnsi"/>
                <w:b/>
                <w:bCs/>
                <w:color w:val="FFFFFF"/>
                <w:sz w:val="16"/>
                <w:szCs w:val="16"/>
              </w:rPr>
            </w:pPr>
            <w:proofErr w:type="spellStart"/>
            <w:r w:rsidRPr="00420197">
              <w:rPr>
                <w:rFonts w:asciiTheme="majorHAnsi" w:hAnsiTheme="majorHAnsi"/>
                <w:b/>
                <w:bCs/>
                <w:color w:val="FFFFFF"/>
                <w:sz w:val="16"/>
                <w:szCs w:val="16"/>
              </w:rPr>
              <w:t>Zazávazkovaná</w:t>
            </w:r>
            <w:proofErr w:type="spellEnd"/>
          </w:p>
        </w:tc>
        <w:tc>
          <w:tcPr>
            <w:tcW w:w="500" w:type="pct"/>
            <w:shd w:val="clear" w:color="auto" w:fill="86BC25" w:themeFill="accent1"/>
            <w:vAlign w:val="center"/>
          </w:tcPr>
          <w:p w14:paraId="721C709B" w14:textId="77777777" w:rsidR="00494DC6" w:rsidRPr="00420197" w:rsidRDefault="00494DC6" w:rsidP="00CF7F88">
            <w:pPr>
              <w:spacing w:after="0"/>
              <w:jc w:val="center"/>
              <w:rPr>
                <w:rFonts w:asciiTheme="majorHAnsi" w:hAnsiTheme="majorHAnsi"/>
                <w:b/>
                <w:bCs/>
                <w:color w:val="FFFFFF"/>
                <w:sz w:val="16"/>
                <w:szCs w:val="16"/>
              </w:rPr>
            </w:pPr>
            <w:r w:rsidRPr="00420197">
              <w:rPr>
                <w:rFonts w:asciiTheme="majorHAnsi" w:hAnsiTheme="majorHAnsi"/>
                <w:b/>
                <w:bCs/>
                <w:color w:val="FFFFFF"/>
                <w:sz w:val="16"/>
                <w:szCs w:val="16"/>
              </w:rPr>
              <w:t>Dosažená</w:t>
            </w:r>
          </w:p>
        </w:tc>
      </w:tr>
      <w:tr w:rsidR="00494DC6" w:rsidRPr="00420197" w14:paraId="142D6703" w14:textId="77777777" w:rsidTr="00CF7F88">
        <w:trPr>
          <w:trHeight w:val="300"/>
        </w:trPr>
        <w:tc>
          <w:tcPr>
            <w:tcW w:w="431" w:type="pct"/>
            <w:shd w:val="clear" w:color="auto" w:fill="auto"/>
            <w:noWrap/>
            <w:hideMark/>
          </w:tcPr>
          <w:p w14:paraId="7B2C4079"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10000</w:t>
            </w:r>
          </w:p>
        </w:tc>
        <w:tc>
          <w:tcPr>
            <w:tcW w:w="2488" w:type="pct"/>
            <w:shd w:val="clear" w:color="auto" w:fill="auto"/>
            <w:noWrap/>
            <w:hideMark/>
          </w:tcPr>
          <w:p w14:paraId="6BB266E1"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pobírajících podporu</w:t>
            </w:r>
          </w:p>
        </w:tc>
        <w:tc>
          <w:tcPr>
            <w:tcW w:w="579" w:type="pct"/>
            <w:shd w:val="clear" w:color="auto" w:fill="auto"/>
            <w:noWrap/>
          </w:tcPr>
          <w:p w14:paraId="3621A89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1800</w:t>
            </w:r>
          </w:p>
        </w:tc>
        <w:tc>
          <w:tcPr>
            <w:tcW w:w="501" w:type="pct"/>
            <w:shd w:val="clear" w:color="auto" w:fill="auto"/>
            <w:noWrap/>
          </w:tcPr>
          <w:p w14:paraId="444CB2F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1400</w:t>
            </w:r>
          </w:p>
        </w:tc>
        <w:tc>
          <w:tcPr>
            <w:tcW w:w="501" w:type="pct"/>
          </w:tcPr>
          <w:p w14:paraId="4D7B9ED4"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1142</w:t>
            </w:r>
          </w:p>
        </w:tc>
        <w:tc>
          <w:tcPr>
            <w:tcW w:w="500" w:type="pct"/>
          </w:tcPr>
          <w:p w14:paraId="1A88FBB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317</w:t>
            </w:r>
          </w:p>
        </w:tc>
      </w:tr>
      <w:tr w:rsidR="00494DC6" w:rsidRPr="00420197" w14:paraId="532FF6C4" w14:textId="77777777" w:rsidTr="00CF7F88">
        <w:trPr>
          <w:trHeight w:val="300"/>
        </w:trPr>
        <w:tc>
          <w:tcPr>
            <w:tcW w:w="431" w:type="pct"/>
            <w:shd w:val="clear" w:color="auto" w:fill="auto"/>
            <w:noWrap/>
            <w:hideMark/>
          </w:tcPr>
          <w:p w14:paraId="2CD5952A"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10102</w:t>
            </w:r>
          </w:p>
        </w:tc>
        <w:tc>
          <w:tcPr>
            <w:tcW w:w="2488" w:type="pct"/>
            <w:shd w:val="clear" w:color="auto" w:fill="auto"/>
            <w:noWrap/>
            <w:hideMark/>
          </w:tcPr>
          <w:p w14:paraId="18C8332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pobírajících granty</w:t>
            </w:r>
          </w:p>
        </w:tc>
        <w:tc>
          <w:tcPr>
            <w:tcW w:w="579" w:type="pct"/>
            <w:shd w:val="clear" w:color="auto" w:fill="auto"/>
            <w:noWrap/>
          </w:tcPr>
          <w:p w14:paraId="535EBF7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1800</w:t>
            </w:r>
          </w:p>
        </w:tc>
        <w:tc>
          <w:tcPr>
            <w:tcW w:w="501" w:type="pct"/>
            <w:shd w:val="clear" w:color="auto" w:fill="auto"/>
            <w:noWrap/>
          </w:tcPr>
          <w:p w14:paraId="74E4652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1400</w:t>
            </w:r>
          </w:p>
        </w:tc>
        <w:tc>
          <w:tcPr>
            <w:tcW w:w="501" w:type="pct"/>
          </w:tcPr>
          <w:p w14:paraId="7909DEC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1142</w:t>
            </w:r>
          </w:p>
        </w:tc>
        <w:tc>
          <w:tcPr>
            <w:tcW w:w="500" w:type="pct"/>
          </w:tcPr>
          <w:p w14:paraId="0AB4BFD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317</w:t>
            </w:r>
          </w:p>
        </w:tc>
      </w:tr>
      <w:tr w:rsidR="00494DC6" w:rsidRPr="00420197" w14:paraId="07991165" w14:textId="77777777" w:rsidTr="00CF7F88">
        <w:trPr>
          <w:trHeight w:val="300"/>
        </w:trPr>
        <w:tc>
          <w:tcPr>
            <w:tcW w:w="431" w:type="pct"/>
            <w:shd w:val="clear" w:color="auto" w:fill="auto"/>
            <w:noWrap/>
            <w:hideMark/>
          </w:tcPr>
          <w:p w14:paraId="721A935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10300</w:t>
            </w:r>
          </w:p>
        </w:tc>
        <w:tc>
          <w:tcPr>
            <w:tcW w:w="2488" w:type="pct"/>
            <w:shd w:val="clear" w:color="auto" w:fill="auto"/>
            <w:noWrap/>
            <w:hideMark/>
          </w:tcPr>
          <w:p w14:paraId="0094790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Soukromé investice odpovídající veřejné podpoře podniků (granty) (mil. EUR)</w:t>
            </w:r>
          </w:p>
        </w:tc>
        <w:tc>
          <w:tcPr>
            <w:tcW w:w="579" w:type="pct"/>
            <w:shd w:val="clear" w:color="auto" w:fill="auto"/>
            <w:noWrap/>
          </w:tcPr>
          <w:p w14:paraId="5AF2FEF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1440</w:t>
            </w:r>
          </w:p>
        </w:tc>
        <w:tc>
          <w:tcPr>
            <w:tcW w:w="501" w:type="pct"/>
            <w:shd w:val="clear" w:color="auto" w:fill="auto"/>
            <w:noWrap/>
          </w:tcPr>
          <w:p w14:paraId="372B4CC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3 440</w:t>
            </w:r>
          </w:p>
        </w:tc>
        <w:tc>
          <w:tcPr>
            <w:tcW w:w="501" w:type="pct"/>
          </w:tcPr>
          <w:p w14:paraId="132C47F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c>
          <w:tcPr>
            <w:tcW w:w="500" w:type="pct"/>
          </w:tcPr>
          <w:p w14:paraId="24D12C3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r>
      <w:tr w:rsidR="00494DC6" w:rsidRPr="00420197" w14:paraId="4A80DFD9" w14:textId="77777777" w:rsidTr="00CF7F88">
        <w:trPr>
          <w:trHeight w:val="300"/>
        </w:trPr>
        <w:tc>
          <w:tcPr>
            <w:tcW w:w="431" w:type="pct"/>
            <w:shd w:val="clear" w:color="auto" w:fill="auto"/>
            <w:noWrap/>
            <w:hideMark/>
          </w:tcPr>
          <w:p w14:paraId="163D0F0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20000</w:t>
            </w:r>
          </w:p>
        </w:tc>
        <w:tc>
          <w:tcPr>
            <w:tcW w:w="2488" w:type="pct"/>
            <w:shd w:val="clear" w:color="auto" w:fill="auto"/>
            <w:noWrap/>
            <w:hideMark/>
          </w:tcPr>
          <w:p w14:paraId="3F7585D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spolupracujících s výzkumnými institucemi</w:t>
            </w:r>
          </w:p>
        </w:tc>
        <w:tc>
          <w:tcPr>
            <w:tcW w:w="579" w:type="pct"/>
            <w:shd w:val="clear" w:color="auto" w:fill="auto"/>
            <w:noWrap/>
          </w:tcPr>
          <w:p w14:paraId="1A9D235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2500</w:t>
            </w:r>
          </w:p>
        </w:tc>
        <w:tc>
          <w:tcPr>
            <w:tcW w:w="501" w:type="pct"/>
            <w:shd w:val="clear" w:color="auto" w:fill="auto"/>
            <w:noWrap/>
          </w:tcPr>
          <w:p w14:paraId="1962637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1" w:type="pct"/>
          </w:tcPr>
          <w:p w14:paraId="6E8F1E1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231</w:t>
            </w:r>
          </w:p>
        </w:tc>
        <w:tc>
          <w:tcPr>
            <w:tcW w:w="500" w:type="pct"/>
          </w:tcPr>
          <w:p w14:paraId="0382C30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105</w:t>
            </w:r>
          </w:p>
        </w:tc>
      </w:tr>
      <w:tr w:rsidR="00494DC6" w:rsidRPr="00420197" w14:paraId="626216F6" w14:textId="77777777" w:rsidTr="00CF7F88">
        <w:trPr>
          <w:trHeight w:val="300"/>
        </w:trPr>
        <w:tc>
          <w:tcPr>
            <w:tcW w:w="431" w:type="pct"/>
            <w:shd w:val="clear" w:color="auto" w:fill="auto"/>
            <w:noWrap/>
            <w:hideMark/>
          </w:tcPr>
          <w:p w14:paraId="4D186EC8"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20101</w:t>
            </w:r>
          </w:p>
        </w:tc>
        <w:tc>
          <w:tcPr>
            <w:tcW w:w="2488" w:type="pct"/>
            <w:shd w:val="clear" w:color="auto" w:fill="auto"/>
            <w:noWrap/>
            <w:hideMark/>
          </w:tcPr>
          <w:p w14:paraId="3D5EDE86"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výzkumných organizací spolupracujících s firmami</w:t>
            </w:r>
          </w:p>
        </w:tc>
        <w:tc>
          <w:tcPr>
            <w:tcW w:w="579" w:type="pct"/>
            <w:shd w:val="clear" w:color="auto" w:fill="auto"/>
            <w:noWrap/>
          </w:tcPr>
          <w:p w14:paraId="7B8B9BC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w:t>
            </w:r>
          </w:p>
        </w:tc>
        <w:tc>
          <w:tcPr>
            <w:tcW w:w="501" w:type="pct"/>
            <w:shd w:val="clear" w:color="auto" w:fill="auto"/>
            <w:noWrap/>
          </w:tcPr>
          <w:p w14:paraId="35E45772"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w:t>
            </w:r>
          </w:p>
        </w:tc>
        <w:tc>
          <w:tcPr>
            <w:tcW w:w="501" w:type="pct"/>
          </w:tcPr>
          <w:p w14:paraId="13FB79C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w:t>
            </w:r>
          </w:p>
        </w:tc>
        <w:tc>
          <w:tcPr>
            <w:tcW w:w="500" w:type="pct"/>
          </w:tcPr>
          <w:p w14:paraId="317B4DB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w:t>
            </w:r>
          </w:p>
        </w:tc>
      </w:tr>
      <w:tr w:rsidR="00494DC6" w:rsidRPr="00420197" w14:paraId="1A47563B" w14:textId="77777777" w:rsidTr="00CF7F88">
        <w:trPr>
          <w:trHeight w:val="300"/>
        </w:trPr>
        <w:tc>
          <w:tcPr>
            <w:tcW w:w="431" w:type="pct"/>
            <w:shd w:val="clear" w:color="auto" w:fill="auto"/>
            <w:noWrap/>
            <w:hideMark/>
          </w:tcPr>
          <w:p w14:paraId="6817CA4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20400</w:t>
            </w:r>
          </w:p>
        </w:tc>
        <w:tc>
          <w:tcPr>
            <w:tcW w:w="2488" w:type="pct"/>
            <w:shd w:val="clear" w:color="auto" w:fill="auto"/>
            <w:noWrap/>
            <w:hideMark/>
          </w:tcPr>
          <w:p w14:paraId="73B73F9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výzkumných pracovníků v podporovaných subjektech</w:t>
            </w:r>
          </w:p>
        </w:tc>
        <w:tc>
          <w:tcPr>
            <w:tcW w:w="579" w:type="pct"/>
            <w:shd w:val="clear" w:color="auto" w:fill="auto"/>
            <w:noWrap/>
          </w:tcPr>
          <w:p w14:paraId="580F2FC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3200</w:t>
            </w:r>
          </w:p>
        </w:tc>
        <w:tc>
          <w:tcPr>
            <w:tcW w:w="501" w:type="pct"/>
            <w:shd w:val="clear" w:color="auto" w:fill="auto"/>
            <w:noWrap/>
          </w:tcPr>
          <w:p w14:paraId="59A836C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3200</w:t>
            </w:r>
          </w:p>
        </w:tc>
        <w:tc>
          <w:tcPr>
            <w:tcW w:w="501" w:type="pct"/>
          </w:tcPr>
          <w:p w14:paraId="2549B86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480,5</w:t>
            </w:r>
          </w:p>
        </w:tc>
        <w:tc>
          <w:tcPr>
            <w:tcW w:w="500" w:type="pct"/>
          </w:tcPr>
          <w:p w14:paraId="1833E79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361,05</w:t>
            </w:r>
          </w:p>
        </w:tc>
      </w:tr>
      <w:tr w:rsidR="00494DC6" w:rsidRPr="00420197" w14:paraId="696A2E9A" w14:textId="77777777" w:rsidTr="00CF7F88">
        <w:trPr>
          <w:trHeight w:val="300"/>
        </w:trPr>
        <w:tc>
          <w:tcPr>
            <w:tcW w:w="431" w:type="pct"/>
            <w:shd w:val="clear" w:color="auto" w:fill="auto"/>
            <w:noWrap/>
            <w:hideMark/>
          </w:tcPr>
          <w:p w14:paraId="3DC3E3E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20702</w:t>
            </w:r>
          </w:p>
        </w:tc>
        <w:tc>
          <w:tcPr>
            <w:tcW w:w="2488" w:type="pct"/>
            <w:shd w:val="clear" w:color="auto" w:fill="auto"/>
            <w:noWrap/>
            <w:hideMark/>
          </w:tcPr>
          <w:p w14:paraId="1F0A35C3"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 xml:space="preserve">Počet nově vytvořených pracovních míst, zaměstnanci </w:t>
            </w:r>
            <w:proofErr w:type="spellStart"/>
            <w:r w:rsidRPr="00420197">
              <w:rPr>
                <w:rFonts w:asciiTheme="majorHAnsi" w:hAnsiTheme="majorHAnsi"/>
                <w:sz w:val="16"/>
                <w:szCs w:val="16"/>
              </w:rPr>
              <w:t>VaV</w:t>
            </w:r>
            <w:proofErr w:type="spellEnd"/>
            <w:r w:rsidRPr="00420197">
              <w:rPr>
                <w:rFonts w:asciiTheme="majorHAnsi" w:hAnsiTheme="majorHAnsi"/>
                <w:sz w:val="16"/>
                <w:szCs w:val="16"/>
              </w:rPr>
              <w:t xml:space="preserve"> – ženy</w:t>
            </w:r>
          </w:p>
        </w:tc>
        <w:tc>
          <w:tcPr>
            <w:tcW w:w="579" w:type="pct"/>
            <w:shd w:val="clear" w:color="auto" w:fill="auto"/>
            <w:noWrap/>
          </w:tcPr>
          <w:p w14:paraId="65BD3974"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751F92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570</w:t>
            </w:r>
          </w:p>
        </w:tc>
        <w:tc>
          <w:tcPr>
            <w:tcW w:w="501" w:type="pct"/>
          </w:tcPr>
          <w:p w14:paraId="0ECFF0C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57,5</w:t>
            </w:r>
          </w:p>
        </w:tc>
        <w:tc>
          <w:tcPr>
            <w:tcW w:w="500" w:type="pct"/>
          </w:tcPr>
          <w:p w14:paraId="5A54270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59,25</w:t>
            </w:r>
          </w:p>
        </w:tc>
      </w:tr>
      <w:tr w:rsidR="00494DC6" w:rsidRPr="00420197" w14:paraId="77E25F75" w14:textId="77777777" w:rsidTr="00CF7F88">
        <w:trPr>
          <w:trHeight w:val="300"/>
        </w:trPr>
        <w:tc>
          <w:tcPr>
            <w:tcW w:w="431" w:type="pct"/>
            <w:shd w:val="clear" w:color="auto" w:fill="auto"/>
            <w:noWrap/>
            <w:hideMark/>
          </w:tcPr>
          <w:p w14:paraId="298ABBD7"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20900</w:t>
            </w:r>
          </w:p>
        </w:tc>
        <w:tc>
          <w:tcPr>
            <w:tcW w:w="2488" w:type="pct"/>
            <w:shd w:val="clear" w:color="auto" w:fill="auto"/>
            <w:noWrap/>
            <w:hideMark/>
          </w:tcPr>
          <w:p w14:paraId="4A54DE2D"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Soukromé investice v projektech s veřejnou podporou v oblasti inovací nebo výzkumu a vývoje (mil. EUR)</w:t>
            </w:r>
          </w:p>
        </w:tc>
        <w:tc>
          <w:tcPr>
            <w:tcW w:w="579" w:type="pct"/>
            <w:shd w:val="clear" w:color="auto" w:fill="auto"/>
            <w:noWrap/>
          </w:tcPr>
          <w:p w14:paraId="34DC519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1440</w:t>
            </w:r>
          </w:p>
        </w:tc>
        <w:tc>
          <w:tcPr>
            <w:tcW w:w="501" w:type="pct"/>
            <w:shd w:val="clear" w:color="auto" w:fill="auto"/>
            <w:noWrap/>
          </w:tcPr>
          <w:p w14:paraId="0333079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3 440</w:t>
            </w:r>
          </w:p>
        </w:tc>
        <w:tc>
          <w:tcPr>
            <w:tcW w:w="501" w:type="pct"/>
          </w:tcPr>
          <w:p w14:paraId="57B7F23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c>
          <w:tcPr>
            <w:tcW w:w="500" w:type="pct"/>
          </w:tcPr>
          <w:p w14:paraId="46D5170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w:t>
            </w:r>
          </w:p>
        </w:tc>
      </w:tr>
      <w:tr w:rsidR="00494DC6" w:rsidRPr="00420197" w14:paraId="0D60C4DB" w14:textId="77777777" w:rsidTr="00CF7F88">
        <w:trPr>
          <w:trHeight w:val="300"/>
        </w:trPr>
        <w:tc>
          <w:tcPr>
            <w:tcW w:w="431" w:type="pct"/>
            <w:shd w:val="clear" w:color="auto" w:fill="auto"/>
            <w:noWrap/>
            <w:hideMark/>
          </w:tcPr>
          <w:p w14:paraId="4274F08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21010</w:t>
            </w:r>
          </w:p>
        </w:tc>
        <w:tc>
          <w:tcPr>
            <w:tcW w:w="2488" w:type="pct"/>
            <w:shd w:val="clear" w:color="auto" w:fill="auto"/>
            <w:noWrap/>
            <w:hideMark/>
          </w:tcPr>
          <w:p w14:paraId="1B3B7F6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 xml:space="preserve">Podnikové výdaje na </w:t>
            </w:r>
            <w:proofErr w:type="spellStart"/>
            <w:r w:rsidRPr="00420197">
              <w:rPr>
                <w:rFonts w:asciiTheme="majorHAnsi" w:hAnsiTheme="majorHAnsi"/>
                <w:sz w:val="16"/>
                <w:szCs w:val="16"/>
              </w:rPr>
              <w:t>VaV</w:t>
            </w:r>
            <w:proofErr w:type="spellEnd"/>
            <w:r w:rsidRPr="00420197">
              <w:rPr>
                <w:rFonts w:asciiTheme="majorHAnsi" w:hAnsiTheme="majorHAnsi"/>
                <w:sz w:val="16"/>
                <w:szCs w:val="16"/>
              </w:rPr>
              <w:t xml:space="preserve"> v podnikatelském sektoru jako % HDP - regiony ČR (mimo hl. m. Praha)</w:t>
            </w:r>
          </w:p>
        </w:tc>
        <w:tc>
          <w:tcPr>
            <w:tcW w:w="579" w:type="pct"/>
            <w:shd w:val="clear" w:color="auto" w:fill="auto"/>
            <w:noWrap/>
          </w:tcPr>
          <w:p w14:paraId="549238A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0,62-0,8</w:t>
            </w:r>
          </w:p>
        </w:tc>
        <w:tc>
          <w:tcPr>
            <w:tcW w:w="501" w:type="pct"/>
            <w:shd w:val="clear" w:color="auto" w:fill="auto"/>
            <w:noWrap/>
          </w:tcPr>
          <w:p w14:paraId="0895248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0,62-0,8</w:t>
            </w:r>
          </w:p>
        </w:tc>
        <w:tc>
          <w:tcPr>
            <w:tcW w:w="501" w:type="pct"/>
          </w:tcPr>
          <w:p w14:paraId="5CA74D85"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1955D88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0,76</w:t>
            </w:r>
          </w:p>
        </w:tc>
      </w:tr>
      <w:tr w:rsidR="00494DC6" w:rsidRPr="00420197" w14:paraId="6B651F72" w14:textId="77777777" w:rsidTr="00CF7F88">
        <w:trPr>
          <w:trHeight w:val="300"/>
        </w:trPr>
        <w:tc>
          <w:tcPr>
            <w:tcW w:w="431" w:type="pct"/>
            <w:shd w:val="clear" w:color="auto" w:fill="auto"/>
            <w:noWrap/>
            <w:hideMark/>
          </w:tcPr>
          <w:p w14:paraId="546CCB2B"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21200</w:t>
            </w:r>
          </w:p>
        </w:tc>
        <w:tc>
          <w:tcPr>
            <w:tcW w:w="2488" w:type="pct"/>
            <w:shd w:val="clear" w:color="auto" w:fill="auto"/>
            <w:noWrap/>
            <w:hideMark/>
          </w:tcPr>
          <w:p w14:paraId="6CBB00A4"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které dostávají podporu pro účely uvádění nových výrobků na trh</w:t>
            </w:r>
          </w:p>
        </w:tc>
        <w:tc>
          <w:tcPr>
            <w:tcW w:w="579" w:type="pct"/>
            <w:shd w:val="clear" w:color="auto" w:fill="auto"/>
            <w:noWrap/>
          </w:tcPr>
          <w:p w14:paraId="5D14937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210</w:t>
            </w:r>
          </w:p>
        </w:tc>
        <w:tc>
          <w:tcPr>
            <w:tcW w:w="501" w:type="pct"/>
            <w:shd w:val="clear" w:color="auto" w:fill="auto"/>
            <w:noWrap/>
          </w:tcPr>
          <w:p w14:paraId="796AB1E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222</w:t>
            </w:r>
          </w:p>
        </w:tc>
        <w:tc>
          <w:tcPr>
            <w:tcW w:w="501" w:type="pct"/>
          </w:tcPr>
          <w:p w14:paraId="0D38753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0" w:type="pct"/>
          </w:tcPr>
          <w:p w14:paraId="49F587BC"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174</w:t>
            </w:r>
          </w:p>
        </w:tc>
      </w:tr>
      <w:tr w:rsidR="00494DC6" w:rsidRPr="00420197" w14:paraId="4F1CA97F" w14:textId="77777777" w:rsidTr="00CF7F88">
        <w:trPr>
          <w:trHeight w:val="300"/>
        </w:trPr>
        <w:tc>
          <w:tcPr>
            <w:tcW w:w="431" w:type="pct"/>
            <w:shd w:val="clear" w:color="auto" w:fill="auto"/>
            <w:noWrap/>
            <w:hideMark/>
          </w:tcPr>
          <w:p w14:paraId="217444B0"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21301</w:t>
            </w:r>
          </w:p>
        </w:tc>
        <w:tc>
          <w:tcPr>
            <w:tcW w:w="2488" w:type="pct"/>
            <w:shd w:val="clear" w:color="auto" w:fill="auto"/>
            <w:noWrap/>
            <w:hideMark/>
          </w:tcPr>
          <w:p w14:paraId="047BD98D"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podniků, které dostávají podporu pro účely zavádění výrobků nových pro podnik</w:t>
            </w:r>
          </w:p>
        </w:tc>
        <w:tc>
          <w:tcPr>
            <w:tcW w:w="579" w:type="pct"/>
            <w:shd w:val="clear" w:color="auto" w:fill="auto"/>
            <w:noWrap/>
          </w:tcPr>
          <w:p w14:paraId="1E559FE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450</w:t>
            </w:r>
          </w:p>
        </w:tc>
        <w:tc>
          <w:tcPr>
            <w:tcW w:w="501" w:type="pct"/>
            <w:shd w:val="clear" w:color="auto" w:fill="auto"/>
            <w:noWrap/>
          </w:tcPr>
          <w:p w14:paraId="55E37AA4"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475</w:t>
            </w:r>
          </w:p>
        </w:tc>
        <w:tc>
          <w:tcPr>
            <w:tcW w:w="501" w:type="pct"/>
          </w:tcPr>
          <w:p w14:paraId="12E4C1B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93</w:t>
            </w:r>
          </w:p>
        </w:tc>
        <w:tc>
          <w:tcPr>
            <w:tcW w:w="500" w:type="pct"/>
          </w:tcPr>
          <w:p w14:paraId="6CE9598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35</w:t>
            </w:r>
          </w:p>
        </w:tc>
      </w:tr>
      <w:tr w:rsidR="00494DC6" w:rsidRPr="00420197" w14:paraId="2DF0F69B" w14:textId="77777777" w:rsidTr="00CF7F88">
        <w:trPr>
          <w:trHeight w:val="300"/>
        </w:trPr>
        <w:tc>
          <w:tcPr>
            <w:tcW w:w="431" w:type="pct"/>
            <w:shd w:val="clear" w:color="auto" w:fill="auto"/>
            <w:noWrap/>
            <w:hideMark/>
          </w:tcPr>
          <w:p w14:paraId="199F46FA"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21410</w:t>
            </w:r>
          </w:p>
        </w:tc>
        <w:tc>
          <w:tcPr>
            <w:tcW w:w="2488" w:type="pct"/>
            <w:shd w:val="clear" w:color="auto" w:fill="auto"/>
            <w:noWrap/>
            <w:hideMark/>
          </w:tcPr>
          <w:p w14:paraId="0E72B67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Tržby podpořených podniků v důsledku zavedené inovace</w:t>
            </w:r>
          </w:p>
        </w:tc>
        <w:tc>
          <w:tcPr>
            <w:tcW w:w="579" w:type="pct"/>
            <w:shd w:val="clear" w:color="auto" w:fill="auto"/>
            <w:noWrap/>
          </w:tcPr>
          <w:p w14:paraId="61CFD92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563 800 tis. Kč</w:t>
            </w:r>
          </w:p>
        </w:tc>
        <w:tc>
          <w:tcPr>
            <w:tcW w:w="501" w:type="pct"/>
            <w:shd w:val="clear" w:color="auto" w:fill="auto"/>
            <w:noWrap/>
          </w:tcPr>
          <w:p w14:paraId="7DCAEE7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723 978 mil. Kč</w:t>
            </w:r>
          </w:p>
        </w:tc>
        <w:tc>
          <w:tcPr>
            <w:tcW w:w="501" w:type="pct"/>
          </w:tcPr>
          <w:p w14:paraId="6D2BD6CC"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45DC428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r>
      <w:tr w:rsidR="00494DC6" w:rsidRPr="00420197" w14:paraId="257748DD" w14:textId="77777777" w:rsidTr="00CF7F88">
        <w:trPr>
          <w:trHeight w:val="300"/>
        </w:trPr>
        <w:tc>
          <w:tcPr>
            <w:tcW w:w="431" w:type="pct"/>
            <w:shd w:val="clear" w:color="auto" w:fill="auto"/>
            <w:noWrap/>
            <w:hideMark/>
          </w:tcPr>
          <w:p w14:paraId="10316FA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21411</w:t>
            </w:r>
          </w:p>
        </w:tc>
        <w:tc>
          <w:tcPr>
            <w:tcW w:w="2488" w:type="pct"/>
            <w:shd w:val="clear" w:color="auto" w:fill="auto"/>
            <w:noWrap/>
            <w:hideMark/>
          </w:tcPr>
          <w:p w14:paraId="539611B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Tržby z inovované produkce jako % celkových tržeb podniků s produktovou inovací</w:t>
            </w:r>
          </w:p>
        </w:tc>
        <w:tc>
          <w:tcPr>
            <w:tcW w:w="579" w:type="pct"/>
            <w:shd w:val="clear" w:color="auto" w:fill="auto"/>
            <w:noWrap/>
          </w:tcPr>
          <w:p w14:paraId="3F33945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29,8-31</w:t>
            </w:r>
          </w:p>
        </w:tc>
        <w:tc>
          <w:tcPr>
            <w:tcW w:w="501" w:type="pct"/>
            <w:shd w:val="clear" w:color="auto" w:fill="auto"/>
            <w:noWrap/>
          </w:tcPr>
          <w:p w14:paraId="38CDCFA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29,8-31</w:t>
            </w:r>
          </w:p>
        </w:tc>
        <w:tc>
          <w:tcPr>
            <w:tcW w:w="501" w:type="pct"/>
          </w:tcPr>
          <w:p w14:paraId="4AA4068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X</w:t>
            </w:r>
          </w:p>
        </w:tc>
        <w:tc>
          <w:tcPr>
            <w:tcW w:w="500" w:type="pct"/>
          </w:tcPr>
          <w:p w14:paraId="119BEA4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27,4</w:t>
            </w:r>
          </w:p>
        </w:tc>
      </w:tr>
      <w:tr w:rsidR="00494DC6" w:rsidRPr="00420197" w14:paraId="4AEBDBD9" w14:textId="77777777" w:rsidTr="00CF7F88">
        <w:trPr>
          <w:trHeight w:val="300"/>
        </w:trPr>
        <w:tc>
          <w:tcPr>
            <w:tcW w:w="431" w:type="pct"/>
            <w:shd w:val="clear" w:color="auto" w:fill="auto"/>
            <w:noWrap/>
            <w:hideMark/>
          </w:tcPr>
          <w:p w14:paraId="6C32FA0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21610</w:t>
            </w:r>
          </w:p>
        </w:tc>
        <w:tc>
          <w:tcPr>
            <w:tcW w:w="2488" w:type="pct"/>
            <w:shd w:val="clear" w:color="auto" w:fill="auto"/>
            <w:noWrap/>
            <w:hideMark/>
          </w:tcPr>
          <w:p w14:paraId="7AAFFEFE"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přihlášených výsledků aplikovaného výzkumu</w:t>
            </w:r>
          </w:p>
        </w:tc>
        <w:tc>
          <w:tcPr>
            <w:tcW w:w="579" w:type="pct"/>
            <w:shd w:val="clear" w:color="auto" w:fill="auto"/>
            <w:noWrap/>
          </w:tcPr>
          <w:p w14:paraId="4CD645B1"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533C750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2500</w:t>
            </w:r>
          </w:p>
        </w:tc>
        <w:tc>
          <w:tcPr>
            <w:tcW w:w="501" w:type="pct"/>
          </w:tcPr>
          <w:p w14:paraId="5162BD06"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1561</w:t>
            </w:r>
          </w:p>
        </w:tc>
        <w:tc>
          <w:tcPr>
            <w:tcW w:w="500" w:type="pct"/>
          </w:tcPr>
          <w:p w14:paraId="53FA7874"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143</w:t>
            </w:r>
          </w:p>
        </w:tc>
      </w:tr>
      <w:tr w:rsidR="00494DC6" w:rsidRPr="00420197" w14:paraId="3FA0F312" w14:textId="77777777" w:rsidTr="00CF7F88">
        <w:trPr>
          <w:trHeight w:val="300"/>
        </w:trPr>
        <w:tc>
          <w:tcPr>
            <w:tcW w:w="431" w:type="pct"/>
            <w:shd w:val="clear" w:color="auto" w:fill="auto"/>
            <w:noWrap/>
            <w:hideMark/>
          </w:tcPr>
          <w:p w14:paraId="555DE846"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22002</w:t>
            </w:r>
          </w:p>
        </w:tc>
        <w:tc>
          <w:tcPr>
            <w:tcW w:w="2488" w:type="pct"/>
            <w:shd w:val="clear" w:color="auto" w:fill="auto"/>
            <w:noWrap/>
            <w:hideMark/>
          </w:tcPr>
          <w:p w14:paraId="0EA4BA79"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udělených patentů a dalších práv ochrany průmyslového vlastnictví</w:t>
            </w:r>
          </w:p>
        </w:tc>
        <w:tc>
          <w:tcPr>
            <w:tcW w:w="579" w:type="pct"/>
            <w:shd w:val="clear" w:color="auto" w:fill="auto"/>
            <w:noWrap/>
          </w:tcPr>
          <w:p w14:paraId="60925CC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700</w:t>
            </w:r>
          </w:p>
        </w:tc>
        <w:tc>
          <w:tcPr>
            <w:tcW w:w="501" w:type="pct"/>
            <w:shd w:val="clear" w:color="auto" w:fill="auto"/>
            <w:noWrap/>
          </w:tcPr>
          <w:p w14:paraId="69FEB15C"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700</w:t>
            </w:r>
          </w:p>
        </w:tc>
        <w:tc>
          <w:tcPr>
            <w:tcW w:w="501" w:type="pct"/>
          </w:tcPr>
          <w:p w14:paraId="6AE6F98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422</w:t>
            </w:r>
          </w:p>
        </w:tc>
        <w:tc>
          <w:tcPr>
            <w:tcW w:w="500" w:type="pct"/>
          </w:tcPr>
          <w:p w14:paraId="3A007BF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111</w:t>
            </w:r>
          </w:p>
        </w:tc>
      </w:tr>
      <w:tr w:rsidR="00494DC6" w:rsidRPr="00420197" w14:paraId="6440D230" w14:textId="77777777" w:rsidTr="00CF7F88">
        <w:trPr>
          <w:trHeight w:val="300"/>
        </w:trPr>
        <w:tc>
          <w:tcPr>
            <w:tcW w:w="431" w:type="pct"/>
            <w:shd w:val="clear" w:color="auto" w:fill="auto"/>
            <w:noWrap/>
            <w:hideMark/>
          </w:tcPr>
          <w:p w14:paraId="1C99DDC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22003</w:t>
            </w:r>
          </w:p>
        </w:tc>
        <w:tc>
          <w:tcPr>
            <w:tcW w:w="2488" w:type="pct"/>
            <w:shd w:val="clear" w:color="auto" w:fill="auto"/>
            <w:noWrap/>
            <w:hideMark/>
          </w:tcPr>
          <w:p w14:paraId="55DE8FEF"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udělených patentů a dalších práv ochrany průmyslového vlastnictví - z toho v zahraničí</w:t>
            </w:r>
          </w:p>
        </w:tc>
        <w:tc>
          <w:tcPr>
            <w:tcW w:w="579" w:type="pct"/>
            <w:shd w:val="clear" w:color="auto" w:fill="auto"/>
            <w:noWrap/>
          </w:tcPr>
          <w:p w14:paraId="56449FD6"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1B4B0A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600</w:t>
            </w:r>
          </w:p>
        </w:tc>
        <w:tc>
          <w:tcPr>
            <w:tcW w:w="501" w:type="pct"/>
          </w:tcPr>
          <w:p w14:paraId="2BEAD82E"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326</w:t>
            </w:r>
          </w:p>
        </w:tc>
        <w:tc>
          <w:tcPr>
            <w:tcW w:w="500" w:type="pct"/>
          </w:tcPr>
          <w:p w14:paraId="6B7435CC"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91</w:t>
            </w:r>
          </w:p>
        </w:tc>
      </w:tr>
      <w:tr w:rsidR="00494DC6" w:rsidRPr="00420197" w14:paraId="268C1146" w14:textId="77777777" w:rsidTr="00CF7F88">
        <w:trPr>
          <w:trHeight w:val="300"/>
        </w:trPr>
        <w:tc>
          <w:tcPr>
            <w:tcW w:w="431" w:type="pct"/>
            <w:shd w:val="clear" w:color="auto" w:fill="auto"/>
            <w:noWrap/>
            <w:hideMark/>
          </w:tcPr>
          <w:p w14:paraId="25CC57AD"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22100</w:t>
            </w:r>
          </w:p>
        </w:tc>
        <w:tc>
          <w:tcPr>
            <w:tcW w:w="2488" w:type="pct"/>
            <w:shd w:val="clear" w:color="auto" w:fill="auto"/>
            <w:noWrap/>
            <w:hideMark/>
          </w:tcPr>
          <w:p w14:paraId="2B4C5254"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přihlášek na ochranu práv průmyslového vlastnictví</w:t>
            </w:r>
          </w:p>
        </w:tc>
        <w:tc>
          <w:tcPr>
            <w:tcW w:w="579" w:type="pct"/>
            <w:shd w:val="clear" w:color="auto" w:fill="auto"/>
            <w:noWrap/>
          </w:tcPr>
          <w:p w14:paraId="29FF291F"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600</w:t>
            </w:r>
          </w:p>
        </w:tc>
        <w:tc>
          <w:tcPr>
            <w:tcW w:w="501" w:type="pct"/>
            <w:shd w:val="clear" w:color="auto" w:fill="auto"/>
            <w:noWrap/>
          </w:tcPr>
          <w:p w14:paraId="3CD9647A"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600</w:t>
            </w:r>
          </w:p>
        </w:tc>
        <w:tc>
          <w:tcPr>
            <w:tcW w:w="501" w:type="pct"/>
          </w:tcPr>
          <w:p w14:paraId="7AF06A78"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126</w:t>
            </w:r>
          </w:p>
        </w:tc>
        <w:tc>
          <w:tcPr>
            <w:tcW w:w="500" w:type="pct"/>
          </w:tcPr>
          <w:p w14:paraId="743168BD"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40</w:t>
            </w:r>
          </w:p>
        </w:tc>
      </w:tr>
      <w:tr w:rsidR="00494DC6" w:rsidRPr="00420197" w14:paraId="0676DE89" w14:textId="77777777" w:rsidTr="00CF7F88">
        <w:trPr>
          <w:trHeight w:val="300"/>
        </w:trPr>
        <w:tc>
          <w:tcPr>
            <w:tcW w:w="431" w:type="pct"/>
            <w:shd w:val="clear" w:color="auto" w:fill="auto"/>
            <w:noWrap/>
            <w:hideMark/>
          </w:tcPr>
          <w:p w14:paraId="667F7295"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22101</w:t>
            </w:r>
          </w:p>
        </w:tc>
        <w:tc>
          <w:tcPr>
            <w:tcW w:w="2488" w:type="pct"/>
            <w:shd w:val="clear" w:color="auto" w:fill="auto"/>
            <w:noWrap/>
            <w:hideMark/>
          </w:tcPr>
          <w:p w14:paraId="425BBB4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přihlášek na ochranu práv průmyslového vlastnictví - z toho v zahraničí</w:t>
            </w:r>
          </w:p>
        </w:tc>
        <w:tc>
          <w:tcPr>
            <w:tcW w:w="579" w:type="pct"/>
            <w:shd w:val="clear" w:color="auto" w:fill="auto"/>
            <w:noWrap/>
          </w:tcPr>
          <w:p w14:paraId="542BB9DA"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C85C919"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500</w:t>
            </w:r>
          </w:p>
        </w:tc>
        <w:tc>
          <w:tcPr>
            <w:tcW w:w="501" w:type="pct"/>
          </w:tcPr>
          <w:p w14:paraId="238082F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92</w:t>
            </w:r>
          </w:p>
        </w:tc>
        <w:tc>
          <w:tcPr>
            <w:tcW w:w="500" w:type="pct"/>
          </w:tcPr>
          <w:p w14:paraId="142C66F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31</w:t>
            </w:r>
          </w:p>
        </w:tc>
      </w:tr>
      <w:tr w:rsidR="00494DC6" w:rsidRPr="00420197" w14:paraId="3ABC05C3" w14:textId="77777777" w:rsidTr="00CF7F88">
        <w:trPr>
          <w:trHeight w:val="315"/>
        </w:trPr>
        <w:tc>
          <w:tcPr>
            <w:tcW w:w="431" w:type="pct"/>
            <w:shd w:val="clear" w:color="auto" w:fill="auto"/>
            <w:noWrap/>
            <w:hideMark/>
          </w:tcPr>
          <w:p w14:paraId="1943E837"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22501</w:t>
            </w:r>
          </w:p>
        </w:tc>
        <w:tc>
          <w:tcPr>
            <w:tcW w:w="2488" w:type="pct"/>
            <w:shd w:val="clear" w:color="auto" w:fill="auto"/>
            <w:noWrap/>
            <w:hideMark/>
          </w:tcPr>
          <w:p w14:paraId="5D305388"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zavedených inovací</w:t>
            </w:r>
          </w:p>
        </w:tc>
        <w:tc>
          <w:tcPr>
            <w:tcW w:w="579" w:type="pct"/>
            <w:shd w:val="clear" w:color="auto" w:fill="auto"/>
            <w:noWrap/>
          </w:tcPr>
          <w:p w14:paraId="2201622C" w14:textId="77777777" w:rsidR="00494DC6" w:rsidRPr="00420197" w:rsidRDefault="00494DC6" w:rsidP="00CF7F88">
            <w:pPr>
              <w:spacing w:after="0"/>
              <w:jc w:val="center"/>
              <w:rPr>
                <w:rFonts w:asciiTheme="majorHAnsi" w:hAnsiTheme="majorHAnsi"/>
                <w:sz w:val="16"/>
                <w:szCs w:val="16"/>
              </w:rPr>
            </w:pPr>
          </w:p>
        </w:tc>
        <w:tc>
          <w:tcPr>
            <w:tcW w:w="501" w:type="pct"/>
            <w:shd w:val="clear" w:color="auto" w:fill="auto"/>
            <w:noWrap/>
          </w:tcPr>
          <w:p w14:paraId="2A1FFCB1"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1800</w:t>
            </w:r>
          </w:p>
        </w:tc>
        <w:tc>
          <w:tcPr>
            <w:tcW w:w="501" w:type="pct"/>
          </w:tcPr>
          <w:p w14:paraId="282DC97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1611</w:t>
            </w:r>
          </w:p>
        </w:tc>
        <w:tc>
          <w:tcPr>
            <w:tcW w:w="500" w:type="pct"/>
          </w:tcPr>
          <w:p w14:paraId="7F960EA0"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580</w:t>
            </w:r>
          </w:p>
        </w:tc>
      </w:tr>
      <w:tr w:rsidR="00494DC6" w:rsidRPr="00420197" w14:paraId="70EEB298" w14:textId="77777777" w:rsidTr="00CF7F88">
        <w:trPr>
          <w:trHeight w:val="315"/>
        </w:trPr>
        <w:tc>
          <w:tcPr>
            <w:tcW w:w="431" w:type="pct"/>
            <w:tcBorders>
              <w:top w:val="single" w:sz="2" w:space="0" w:color="86BC25" w:themeColor="accent1"/>
              <w:bottom w:val="single" w:sz="2" w:space="0" w:color="86BC25" w:themeColor="accent1"/>
            </w:tcBorders>
            <w:shd w:val="clear" w:color="auto" w:fill="auto"/>
            <w:noWrap/>
            <w:hideMark/>
          </w:tcPr>
          <w:p w14:paraId="5A35EA92"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24102</w:t>
            </w:r>
          </w:p>
        </w:tc>
        <w:tc>
          <w:tcPr>
            <w:tcW w:w="2488" w:type="pct"/>
            <w:tcBorders>
              <w:top w:val="single" w:sz="2" w:space="0" w:color="86BC25" w:themeColor="accent1"/>
              <w:bottom w:val="single" w:sz="2" w:space="0" w:color="86BC25" w:themeColor="accent1"/>
            </w:tcBorders>
            <w:shd w:val="clear" w:color="auto" w:fill="auto"/>
            <w:noWrap/>
            <w:hideMark/>
          </w:tcPr>
          <w:p w14:paraId="6174CFFC" w14:textId="77777777" w:rsidR="00494DC6" w:rsidRPr="00420197" w:rsidRDefault="00494DC6" w:rsidP="00CF7F88">
            <w:pPr>
              <w:spacing w:after="0"/>
              <w:rPr>
                <w:rFonts w:asciiTheme="majorHAnsi" w:hAnsiTheme="majorHAnsi"/>
                <w:sz w:val="16"/>
                <w:szCs w:val="16"/>
              </w:rPr>
            </w:pPr>
            <w:r w:rsidRPr="00420197">
              <w:rPr>
                <w:rFonts w:asciiTheme="majorHAnsi" w:hAnsiTheme="majorHAnsi"/>
                <w:sz w:val="16"/>
                <w:szCs w:val="16"/>
              </w:rPr>
              <w:t>Počet nových, rozšířených či modernizovaných výzkumných pracovišť podniků</w:t>
            </w:r>
          </w:p>
        </w:tc>
        <w:tc>
          <w:tcPr>
            <w:tcW w:w="579" w:type="pct"/>
            <w:tcBorders>
              <w:top w:val="single" w:sz="2" w:space="0" w:color="86BC25" w:themeColor="accent1"/>
              <w:bottom w:val="single" w:sz="2" w:space="0" w:color="86BC25" w:themeColor="accent1"/>
            </w:tcBorders>
            <w:shd w:val="clear" w:color="auto" w:fill="auto"/>
            <w:noWrap/>
          </w:tcPr>
          <w:p w14:paraId="595BD46E" w14:textId="77777777" w:rsidR="00494DC6" w:rsidRPr="00420197" w:rsidRDefault="00494DC6" w:rsidP="00CF7F88">
            <w:pPr>
              <w:spacing w:after="0"/>
              <w:jc w:val="center"/>
              <w:rPr>
                <w:rFonts w:asciiTheme="majorHAnsi" w:hAnsiTheme="majorHAnsi"/>
                <w:sz w:val="16"/>
                <w:szCs w:val="16"/>
              </w:rPr>
            </w:pPr>
          </w:p>
        </w:tc>
        <w:tc>
          <w:tcPr>
            <w:tcW w:w="501" w:type="pct"/>
            <w:tcBorders>
              <w:top w:val="single" w:sz="2" w:space="0" w:color="86BC25" w:themeColor="accent1"/>
              <w:bottom w:val="single" w:sz="2" w:space="0" w:color="86BC25" w:themeColor="accent1"/>
            </w:tcBorders>
            <w:shd w:val="clear" w:color="auto" w:fill="auto"/>
            <w:noWrap/>
          </w:tcPr>
          <w:p w14:paraId="32F170A7"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380</w:t>
            </w:r>
          </w:p>
        </w:tc>
        <w:tc>
          <w:tcPr>
            <w:tcW w:w="501" w:type="pct"/>
            <w:tcBorders>
              <w:top w:val="single" w:sz="2" w:space="0" w:color="86BC25" w:themeColor="accent1"/>
              <w:bottom w:val="single" w:sz="2" w:space="0" w:color="86BC25" w:themeColor="accent1"/>
            </w:tcBorders>
          </w:tcPr>
          <w:p w14:paraId="737B97B3"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299</w:t>
            </w:r>
          </w:p>
        </w:tc>
        <w:tc>
          <w:tcPr>
            <w:tcW w:w="500" w:type="pct"/>
            <w:tcBorders>
              <w:top w:val="single" w:sz="2" w:space="0" w:color="86BC25" w:themeColor="accent1"/>
              <w:bottom w:val="single" w:sz="2" w:space="0" w:color="86BC25" w:themeColor="accent1"/>
            </w:tcBorders>
          </w:tcPr>
          <w:p w14:paraId="6777907B" w14:textId="77777777" w:rsidR="00494DC6" w:rsidRPr="00420197" w:rsidRDefault="00494DC6" w:rsidP="00CF7F88">
            <w:pPr>
              <w:spacing w:after="0"/>
              <w:jc w:val="center"/>
              <w:rPr>
                <w:rFonts w:asciiTheme="majorHAnsi" w:hAnsiTheme="majorHAnsi"/>
                <w:sz w:val="16"/>
                <w:szCs w:val="16"/>
              </w:rPr>
            </w:pPr>
            <w:r w:rsidRPr="00420197">
              <w:rPr>
                <w:rFonts w:asciiTheme="majorHAnsi" w:hAnsiTheme="majorHAnsi"/>
                <w:sz w:val="16"/>
                <w:szCs w:val="16"/>
              </w:rPr>
              <w:t>107</w:t>
            </w:r>
          </w:p>
        </w:tc>
      </w:tr>
    </w:tbl>
    <w:p w14:paraId="10467159" w14:textId="77777777" w:rsidR="00494DC6" w:rsidRDefault="00494DC6" w:rsidP="00494DC6">
      <w:pPr>
        <w:jc w:val="both"/>
      </w:pPr>
    </w:p>
    <w:p w14:paraId="79772E2F" w14:textId="77777777" w:rsidR="00494DC6" w:rsidRDefault="00494DC6" w:rsidP="00494DC6">
      <w:pPr>
        <w:jc w:val="both"/>
      </w:pPr>
      <w:r>
        <w:t>Z uvedené tabulky je vidět, že docházelo k </w:t>
      </w:r>
      <w:r w:rsidRPr="007070E2">
        <w:rPr>
          <w:b/>
        </w:rPr>
        <w:t xml:space="preserve">postupnému zpřesňování (zpravidla snižování) navrhovaných hodnot indikátorů. </w:t>
      </w:r>
      <w:r>
        <w:t>Řídící orgán zvolil spíše konzervativní přístup k hodnotám indikátorů a v některých případech je finální hodnota indikátoru ještě o něco nižší, než bylo doporučeno zpracovatelem analýzy.</w:t>
      </w:r>
    </w:p>
    <w:p w14:paraId="6C33AC85" w14:textId="77777777" w:rsidR="007D7064" w:rsidRDefault="007D7064" w:rsidP="00494DC6">
      <w:pPr>
        <w:jc w:val="both"/>
      </w:pPr>
    </w:p>
    <w:p w14:paraId="156E5671" w14:textId="77777777" w:rsidR="007D7064" w:rsidRPr="007359A3" w:rsidRDefault="007D7064" w:rsidP="00494DC6">
      <w:pPr>
        <w:jc w:val="both"/>
        <w:rPr>
          <w:b/>
        </w:rPr>
      </w:pPr>
      <w:r w:rsidRPr="007359A3">
        <w:rPr>
          <w:b/>
        </w:rPr>
        <w:t>Analýzy a dokumenty Technologické agentury ČR</w:t>
      </w:r>
    </w:p>
    <w:p w14:paraId="44F6E4B9" w14:textId="77777777" w:rsidR="007D7064" w:rsidRDefault="007D7064" w:rsidP="00494DC6">
      <w:pPr>
        <w:jc w:val="both"/>
      </w:pPr>
      <w:r>
        <w:t xml:space="preserve">Naprosto klíčovým subjektem v podpoře </w:t>
      </w:r>
      <w:proofErr w:type="spellStart"/>
      <w:r>
        <w:t>VaVaI</w:t>
      </w:r>
      <w:proofErr w:type="spellEnd"/>
      <w:r>
        <w:t xml:space="preserve"> v ČR je Technologická agentura ČR. Vedle podpory konkrétních projektů se TAČR věnuje intenzivnímu sběru, výzkumu a analýze dat o vědě, výzkumu a</w:t>
      </w:r>
      <w:r w:rsidR="0063122F">
        <w:t> </w:t>
      </w:r>
      <w:r>
        <w:t>inovacích v ČR a zahraničí. Příkladem jsou projekty typu INKA z let 2014/15 a aktualizace z let 2017/18, jejichž předmětem byl</w:t>
      </w:r>
      <w:r w:rsidR="007359A3">
        <w:t>o</w:t>
      </w:r>
      <w:r>
        <w:t xml:space="preserve"> důsledné mapování a analýza inovačních kapacit podniků v ČR. </w:t>
      </w:r>
      <w:r w:rsidR="001D3278">
        <w:t xml:space="preserve">Dodavatel níže uvádí jen základní a nejdůležitější zjištění z těchto výzkumných šetření, kompletní výsledky jsou k dispozici na stránkách TAČR </w:t>
      </w:r>
      <w:hyperlink r:id="rId21" w:history="1">
        <w:r w:rsidR="001D3278" w:rsidRPr="001D3278">
          <w:rPr>
            <w:rStyle w:val="Hyperlink"/>
          </w:rPr>
          <w:t>zde</w:t>
        </w:r>
      </w:hyperlink>
      <w:r w:rsidR="001D3278">
        <w:t xml:space="preserve">. </w:t>
      </w:r>
      <w:r w:rsidR="00823A9E">
        <w:t xml:space="preserve">Přehledné a vizualizované informace o </w:t>
      </w:r>
      <w:r w:rsidR="001D3278">
        <w:t>ino</w:t>
      </w:r>
      <w:r w:rsidR="00823A9E">
        <w:t xml:space="preserve">vačních a výzkumných kapacitách, které vyplývají z analýzy dat podpořených projektů v rámci programů podpory TAČR </w:t>
      </w:r>
      <w:r w:rsidR="001D3278">
        <w:t xml:space="preserve">je možné dohledat na stránkách </w:t>
      </w:r>
      <w:hyperlink r:id="rId22" w:history="1">
        <w:r w:rsidR="001D3278" w:rsidRPr="001D3278">
          <w:rPr>
            <w:rStyle w:val="Hyperlink"/>
          </w:rPr>
          <w:t>TAČR v Datech</w:t>
        </w:r>
      </w:hyperlink>
      <w:r w:rsidR="001D3278">
        <w:t xml:space="preserve">. </w:t>
      </w:r>
      <w:r w:rsidR="00823A9E">
        <w:t>Dalším zdrojem</w:t>
      </w:r>
      <w:r w:rsidR="00F02FA5">
        <w:t xml:space="preserve"> spíše kvantitativních</w:t>
      </w:r>
      <w:r w:rsidR="00823A9E">
        <w:t xml:space="preserve"> dat </w:t>
      </w:r>
      <w:r w:rsidR="00F02FA5">
        <w:t xml:space="preserve">o podpořených projektech </w:t>
      </w:r>
      <w:r w:rsidR="00823A9E">
        <w:t>je Inf</w:t>
      </w:r>
      <w:r w:rsidR="00F02FA5">
        <w:t>ormační</w:t>
      </w:r>
      <w:r w:rsidR="00823A9E">
        <w:t xml:space="preserve"> </w:t>
      </w:r>
      <w:r w:rsidR="00F02FA5">
        <w:t xml:space="preserve">systém </w:t>
      </w:r>
      <w:proofErr w:type="spellStart"/>
      <w:r w:rsidR="00F02FA5">
        <w:t>VaVaI</w:t>
      </w:r>
      <w:proofErr w:type="spellEnd"/>
      <w:r w:rsidR="00F02FA5">
        <w:t xml:space="preserve"> provozovaný Úřadem Vlády ČR. Efektivní vyhledávání v této databázi umožňuje vyhledávač </w:t>
      </w:r>
      <w:hyperlink r:id="rId23" w:history="1">
        <w:r w:rsidR="00F02FA5" w:rsidRPr="00F02FA5">
          <w:rPr>
            <w:rStyle w:val="Hyperlink"/>
          </w:rPr>
          <w:t>STARFOS</w:t>
        </w:r>
      </w:hyperlink>
      <w:r w:rsidR="00F02FA5">
        <w:t>, který připravila taktéž TA</w:t>
      </w:r>
      <w:r w:rsidR="007359A3">
        <w:t xml:space="preserve"> </w:t>
      </w:r>
      <w:r w:rsidR="00F02FA5">
        <w:t xml:space="preserve">ČR. </w:t>
      </w:r>
    </w:p>
    <w:p w14:paraId="4EB16579" w14:textId="77777777" w:rsidR="00F02FA5" w:rsidRDefault="00F02FA5" w:rsidP="00494DC6">
      <w:pPr>
        <w:jc w:val="both"/>
      </w:pPr>
      <w:r>
        <w:t>Hlavní zjištění INKA v oblasti inovačních kapacit</w:t>
      </w:r>
      <w:r w:rsidR="007359A3">
        <w:rPr>
          <w:rStyle w:val="FootnoteReference"/>
        </w:rPr>
        <w:footnoteReference w:id="15"/>
      </w:r>
      <w:r>
        <w:t>:</w:t>
      </w:r>
    </w:p>
    <w:p w14:paraId="068EABC0" w14:textId="77777777" w:rsidR="004C568D" w:rsidRDefault="004C568D" w:rsidP="007359A3">
      <w:pPr>
        <w:pStyle w:val="ListParagraph"/>
        <w:numPr>
          <w:ilvl w:val="0"/>
          <w:numId w:val="111"/>
        </w:numPr>
        <w:spacing w:after="120"/>
        <w:ind w:left="714" w:hanging="357"/>
        <w:contextualSpacing w:val="0"/>
        <w:jc w:val="both"/>
      </w:pPr>
      <w:r>
        <w:t>Z pohledu inovační kapacity ČR je ekonomická závislost v řadě případů výhodná.</w:t>
      </w:r>
    </w:p>
    <w:p w14:paraId="2A5FA198" w14:textId="77777777" w:rsidR="00F02FA5" w:rsidRDefault="00F02FA5" w:rsidP="007359A3">
      <w:pPr>
        <w:pStyle w:val="ListParagraph"/>
        <w:numPr>
          <w:ilvl w:val="0"/>
          <w:numId w:val="111"/>
        </w:numPr>
        <w:spacing w:after="120"/>
        <w:ind w:left="714" w:hanging="357"/>
        <w:contextualSpacing w:val="0"/>
        <w:jc w:val="both"/>
      </w:pPr>
      <w:r>
        <w:t xml:space="preserve">Podnikavost, coby další determinanta inovačních kapacit je v ČR stále ovlivněna </w:t>
      </w:r>
      <w:r w:rsidR="004C568D">
        <w:t>absencí svobodného podnikání od konce druhé světové války. Podnikatelé - zakladatelé jsou podnikavější než podnikatelé - dědicové.</w:t>
      </w:r>
    </w:p>
    <w:p w14:paraId="31C70A94" w14:textId="77777777" w:rsidR="004C568D" w:rsidRDefault="004C568D" w:rsidP="007359A3">
      <w:pPr>
        <w:pStyle w:val="ListParagraph"/>
        <w:numPr>
          <w:ilvl w:val="0"/>
          <w:numId w:val="111"/>
        </w:numPr>
        <w:spacing w:after="120"/>
        <w:ind w:left="714" w:hanging="357"/>
        <w:contextualSpacing w:val="0"/>
        <w:jc w:val="both"/>
      </w:pPr>
      <w:r>
        <w:t>Pro úspěšné exportní uvedení inovací na trh je zásadní partnerství s přímými zahraničními investory.</w:t>
      </w:r>
    </w:p>
    <w:p w14:paraId="3BED98BF" w14:textId="77777777" w:rsidR="004C568D" w:rsidRDefault="004C568D" w:rsidP="007359A3">
      <w:pPr>
        <w:pStyle w:val="ListParagraph"/>
        <w:numPr>
          <w:ilvl w:val="0"/>
          <w:numId w:val="111"/>
        </w:numPr>
        <w:spacing w:after="120"/>
        <w:ind w:left="714" w:hanging="357"/>
        <w:contextualSpacing w:val="0"/>
        <w:jc w:val="both"/>
      </w:pPr>
      <w:r>
        <w:t>Základním předpokladem inov</w:t>
      </w:r>
      <w:r w:rsidR="007359A3">
        <w:t>ační</w:t>
      </w:r>
      <w:r>
        <w:t xml:space="preserve"> kapacit</w:t>
      </w:r>
      <w:r w:rsidR="007359A3">
        <w:t>y</w:t>
      </w:r>
      <w:r>
        <w:t xml:space="preserve"> je dostatek kvalifikovaných pracovních sil. </w:t>
      </w:r>
      <w:r w:rsidR="00CE5F99">
        <w:t>Současný vzdělávací systém tomuto faktoru nepřispívá.</w:t>
      </w:r>
    </w:p>
    <w:p w14:paraId="2509AE15" w14:textId="77777777" w:rsidR="004C568D" w:rsidRDefault="004C568D" w:rsidP="007359A3">
      <w:pPr>
        <w:pStyle w:val="ListParagraph"/>
        <w:numPr>
          <w:ilvl w:val="0"/>
          <w:numId w:val="111"/>
        </w:numPr>
        <w:spacing w:after="120"/>
        <w:ind w:left="714" w:hanging="357"/>
        <w:contextualSpacing w:val="0"/>
        <w:jc w:val="both"/>
      </w:pPr>
      <w:r>
        <w:t>Pro budoucí inovační kapacitu země je důležité, aby významně posílil segment firem, které o své celkové strategii a tím strategických inovacích rozhodují samostatně.</w:t>
      </w:r>
    </w:p>
    <w:p w14:paraId="7F68152C" w14:textId="77777777" w:rsidR="004C568D" w:rsidRDefault="004C568D" w:rsidP="007359A3">
      <w:pPr>
        <w:pStyle w:val="ListParagraph"/>
        <w:numPr>
          <w:ilvl w:val="0"/>
          <w:numId w:val="111"/>
        </w:numPr>
        <w:spacing w:after="120"/>
        <w:ind w:left="714" w:hanging="357"/>
        <w:contextualSpacing w:val="0"/>
        <w:jc w:val="both"/>
      </w:pPr>
      <w:r>
        <w:t>Mnoho firem podřízených zahraničnímu koncernovému řízení postupně zvyšuje svou roli v koncernu. S tím roste jejich podnikatelská autonomie i prostor pro inovace.</w:t>
      </w:r>
    </w:p>
    <w:p w14:paraId="57012601" w14:textId="77777777" w:rsidR="00EE2DF5" w:rsidRDefault="00EE2DF5" w:rsidP="007359A3">
      <w:pPr>
        <w:pStyle w:val="ListParagraph"/>
        <w:numPr>
          <w:ilvl w:val="0"/>
          <w:numId w:val="111"/>
        </w:numPr>
        <w:spacing w:after="120"/>
        <w:ind w:left="714" w:hanging="357"/>
        <w:contextualSpacing w:val="0"/>
        <w:jc w:val="both"/>
      </w:pPr>
      <w:r>
        <w:t>„Měkká infrastruktura“ podporující nové nápady, sdílení a šíření znalostí či koncentraci talentů významné aktivum. Je dále potřeba podporovat spolupráci a transfer znalostí.</w:t>
      </w:r>
    </w:p>
    <w:p w14:paraId="621BD94A" w14:textId="669F374C" w:rsidR="00B8732D" w:rsidRDefault="00B8732D" w:rsidP="007359A3">
      <w:pPr>
        <w:pStyle w:val="Caption"/>
      </w:pPr>
      <w:r>
        <w:t xml:space="preserve">Tabulka </w:t>
      </w:r>
      <w:r>
        <w:fldChar w:fldCharType="begin"/>
      </w:r>
      <w:r>
        <w:instrText xml:space="preserve"> SEQ Tabulka \* ARABIC </w:instrText>
      </w:r>
      <w:r>
        <w:fldChar w:fldCharType="separate"/>
      </w:r>
      <w:r w:rsidR="00F77CAE">
        <w:rPr>
          <w:noProof/>
        </w:rPr>
        <w:t>34</w:t>
      </w:r>
      <w:r>
        <w:fldChar w:fldCharType="end"/>
      </w:r>
      <w:r>
        <w:t>: Hlavní hnací síly a bariéry inovační kapacity ČR, Hlavní zjištění projektu INKA 2014/15, TAČR</w:t>
      </w:r>
    </w:p>
    <w:tbl>
      <w:tblPr>
        <w:tblStyle w:val="Deloittetable11"/>
        <w:tblW w:w="9752" w:type="dxa"/>
        <w:tblLook w:val="04A0" w:firstRow="1" w:lastRow="0" w:firstColumn="1" w:lastColumn="0" w:noHBand="0" w:noVBand="1"/>
      </w:tblPr>
      <w:tblGrid>
        <w:gridCol w:w="4876"/>
        <w:gridCol w:w="4876"/>
      </w:tblGrid>
      <w:tr w:rsidR="00B9644E" w:rsidRPr="00B9644E" w14:paraId="46CB40A0" w14:textId="77777777" w:rsidTr="00CE2FF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76" w:type="dxa"/>
            <w:vAlign w:val="center"/>
          </w:tcPr>
          <w:p w14:paraId="616BDF6C" w14:textId="77777777" w:rsidR="00EE2DF5" w:rsidRPr="00CE2FF0" w:rsidRDefault="00EE2DF5">
            <w:pPr>
              <w:spacing w:after="0" w:line="240" w:lineRule="auto"/>
              <w:rPr>
                <w:rFonts w:asciiTheme="majorHAnsi" w:hAnsiTheme="majorHAnsi"/>
                <w:b w:val="0"/>
                <w:color w:val="FFFFFF" w:themeColor="background1"/>
                <w:sz w:val="16"/>
                <w:szCs w:val="16"/>
              </w:rPr>
            </w:pPr>
            <w:r w:rsidRPr="00CE2FF0">
              <w:rPr>
                <w:rFonts w:asciiTheme="majorHAnsi" w:hAnsiTheme="majorHAnsi"/>
                <w:color w:val="FFFFFF" w:themeColor="background1"/>
                <w:sz w:val="16"/>
                <w:szCs w:val="16"/>
              </w:rPr>
              <w:t>Hlavní hnací síly inovační kapacity ČR</w:t>
            </w:r>
          </w:p>
        </w:tc>
        <w:tc>
          <w:tcPr>
            <w:tcW w:w="4876" w:type="dxa"/>
            <w:vAlign w:val="center"/>
          </w:tcPr>
          <w:p w14:paraId="02670F86" w14:textId="77777777" w:rsidR="00EE2DF5" w:rsidRPr="00CE2FF0" w:rsidRDefault="00EE2DF5">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sz w:val="16"/>
                <w:szCs w:val="16"/>
              </w:rPr>
            </w:pPr>
            <w:r w:rsidRPr="00CE2FF0">
              <w:rPr>
                <w:rFonts w:asciiTheme="majorHAnsi" w:hAnsiTheme="majorHAnsi"/>
                <w:color w:val="FFFFFF" w:themeColor="background1"/>
                <w:sz w:val="16"/>
                <w:szCs w:val="16"/>
              </w:rPr>
              <w:t>Hlavní bariéry inovační kapacity ČR</w:t>
            </w:r>
          </w:p>
        </w:tc>
      </w:tr>
      <w:tr w:rsidR="00EE2DF5" w:rsidRPr="00EE2DF5" w14:paraId="1489FA8F"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tcPr>
          <w:p w14:paraId="7E7B15C3" w14:textId="77777777" w:rsidR="00EE2DF5" w:rsidRPr="007359A3" w:rsidRDefault="00EE2DF5" w:rsidP="00EE2DF5">
            <w:pPr>
              <w:spacing w:after="0" w:line="240" w:lineRule="auto"/>
              <w:rPr>
                <w:b/>
                <w:sz w:val="16"/>
                <w:szCs w:val="16"/>
              </w:rPr>
            </w:pPr>
            <w:r w:rsidRPr="007359A3">
              <w:rPr>
                <w:sz w:val="16"/>
                <w:szCs w:val="16"/>
              </w:rPr>
              <w:t xml:space="preserve">Růst počtu globálně úspěšných autonomních firem, které investují do uskutečnění ambiciózních inovačních projektů. </w:t>
            </w:r>
          </w:p>
        </w:tc>
        <w:tc>
          <w:tcPr>
            <w:tcW w:w="4876" w:type="dxa"/>
          </w:tcPr>
          <w:p w14:paraId="52FED04D" w14:textId="77777777" w:rsidR="00EE2DF5" w:rsidRPr="007359A3" w:rsidRDefault="00EE2DF5" w:rsidP="00EE2DF5">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 xml:space="preserve">Nedostatek vysoce motivovaných lidí s potřebnými technickými, obchodními a dalšími zkušenostmi. </w:t>
            </w:r>
          </w:p>
        </w:tc>
      </w:tr>
      <w:tr w:rsidR="00EE2DF5" w:rsidRPr="00EE2DF5" w14:paraId="609DB0E9"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tcPr>
          <w:p w14:paraId="0C5DF899" w14:textId="77777777" w:rsidR="00EE2DF5" w:rsidRPr="007359A3" w:rsidRDefault="00EE2DF5" w:rsidP="00494DC6">
            <w:pPr>
              <w:spacing w:after="0" w:line="240" w:lineRule="auto"/>
              <w:rPr>
                <w:b/>
                <w:sz w:val="16"/>
                <w:szCs w:val="16"/>
              </w:rPr>
            </w:pPr>
            <w:r w:rsidRPr="007359A3">
              <w:rPr>
                <w:sz w:val="16"/>
                <w:szCs w:val="16"/>
              </w:rPr>
              <w:t xml:space="preserve">Rozšiřování (nejen) </w:t>
            </w:r>
            <w:proofErr w:type="spellStart"/>
            <w:r w:rsidRPr="007359A3">
              <w:rPr>
                <w:sz w:val="16"/>
                <w:szCs w:val="16"/>
              </w:rPr>
              <w:t>VaV</w:t>
            </w:r>
            <w:proofErr w:type="spellEnd"/>
            <w:r w:rsidRPr="007359A3">
              <w:rPr>
                <w:sz w:val="16"/>
                <w:szCs w:val="16"/>
              </w:rPr>
              <w:t xml:space="preserve"> aktivit nadnárodních společností, které jsou globálními technologickými lídry.</w:t>
            </w:r>
          </w:p>
        </w:tc>
        <w:tc>
          <w:tcPr>
            <w:tcW w:w="4876" w:type="dxa"/>
          </w:tcPr>
          <w:p w14:paraId="0C16C559" w14:textId="77777777" w:rsidR="00EE2DF5" w:rsidRPr="007359A3" w:rsidRDefault="00EE2DF5" w:rsidP="00494DC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Vzdělávací systém nedostatečně reagující na dlouhodobé společenské a technologické změny a tím nové potřeby jednotlivců i firem.</w:t>
            </w:r>
          </w:p>
        </w:tc>
      </w:tr>
      <w:tr w:rsidR="007359A3" w:rsidRPr="00EE2DF5" w14:paraId="73C06575"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vMerge w:val="restart"/>
          </w:tcPr>
          <w:p w14:paraId="1C98C2B9" w14:textId="77777777" w:rsidR="007359A3" w:rsidRPr="007359A3" w:rsidRDefault="007359A3" w:rsidP="00494DC6">
            <w:pPr>
              <w:spacing w:after="0" w:line="240" w:lineRule="auto"/>
              <w:rPr>
                <w:b/>
                <w:sz w:val="16"/>
                <w:szCs w:val="16"/>
              </w:rPr>
            </w:pPr>
            <w:r w:rsidRPr="007359A3">
              <w:rPr>
                <w:sz w:val="16"/>
                <w:szCs w:val="16"/>
              </w:rPr>
              <w:t>Rostoucí počet podnikatelů zažívajících osobní zkušenost se selháním strategií založených prioritně na nákladové optimalizaci.</w:t>
            </w:r>
          </w:p>
        </w:tc>
        <w:tc>
          <w:tcPr>
            <w:tcW w:w="4876" w:type="dxa"/>
          </w:tcPr>
          <w:p w14:paraId="2B72F226" w14:textId="77777777" w:rsidR="007359A3" w:rsidRPr="007359A3" w:rsidRDefault="007359A3" w:rsidP="00494DC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Tržní kompetence většiny firem nejsou tak rozvinuté jako kompetence technické.</w:t>
            </w:r>
          </w:p>
        </w:tc>
      </w:tr>
      <w:tr w:rsidR="007359A3" w:rsidRPr="00EE2DF5" w14:paraId="5F7983C4"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vMerge/>
          </w:tcPr>
          <w:p w14:paraId="3701288C" w14:textId="77777777" w:rsidR="007359A3" w:rsidRPr="007359A3" w:rsidRDefault="007359A3" w:rsidP="00494DC6">
            <w:pPr>
              <w:spacing w:after="0" w:line="240" w:lineRule="auto"/>
              <w:rPr>
                <w:b/>
                <w:sz w:val="16"/>
                <w:szCs w:val="16"/>
              </w:rPr>
            </w:pPr>
          </w:p>
        </w:tc>
        <w:tc>
          <w:tcPr>
            <w:tcW w:w="4876" w:type="dxa"/>
          </w:tcPr>
          <w:p w14:paraId="427D6431" w14:textId="77777777" w:rsidR="007359A3" w:rsidRPr="007359A3" w:rsidRDefault="007359A3" w:rsidP="00494DC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Minimum firem s kritickou velikostí schopných být na světové špičce ve vývoji nových generických technologií.</w:t>
            </w:r>
          </w:p>
        </w:tc>
      </w:tr>
      <w:tr w:rsidR="007359A3" w:rsidRPr="00EE2DF5" w14:paraId="27AD22BC"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vMerge/>
          </w:tcPr>
          <w:p w14:paraId="53C0D97B" w14:textId="77777777" w:rsidR="007359A3" w:rsidRPr="007359A3" w:rsidRDefault="007359A3" w:rsidP="00494DC6">
            <w:pPr>
              <w:spacing w:after="0" w:line="240" w:lineRule="auto"/>
              <w:rPr>
                <w:b/>
                <w:sz w:val="16"/>
                <w:szCs w:val="16"/>
              </w:rPr>
            </w:pPr>
          </w:p>
        </w:tc>
        <w:tc>
          <w:tcPr>
            <w:tcW w:w="4876" w:type="dxa"/>
          </w:tcPr>
          <w:p w14:paraId="28643760" w14:textId="77777777" w:rsidR="007359A3" w:rsidRPr="007359A3" w:rsidRDefault="007359A3" w:rsidP="00494DC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Minimum firem, které před 10 lety neexistovaly a dnes patří k předním světovým hráčům na trhu.</w:t>
            </w:r>
          </w:p>
        </w:tc>
      </w:tr>
      <w:tr w:rsidR="007359A3" w:rsidRPr="00EE2DF5" w14:paraId="54739166" w14:textId="77777777" w:rsidTr="00CE2FF0">
        <w:trPr>
          <w:trHeight w:val="340"/>
        </w:trPr>
        <w:tc>
          <w:tcPr>
            <w:cnfStyle w:val="001000000000" w:firstRow="0" w:lastRow="0" w:firstColumn="1" w:lastColumn="0" w:oddVBand="0" w:evenVBand="0" w:oddHBand="0" w:evenHBand="0" w:firstRowFirstColumn="0" w:firstRowLastColumn="0" w:lastRowFirstColumn="0" w:lastRowLastColumn="0"/>
            <w:tcW w:w="4876" w:type="dxa"/>
            <w:vMerge/>
          </w:tcPr>
          <w:p w14:paraId="381A5D5D" w14:textId="77777777" w:rsidR="007359A3" w:rsidRPr="007359A3" w:rsidRDefault="007359A3" w:rsidP="00494DC6">
            <w:pPr>
              <w:spacing w:after="0" w:line="240" w:lineRule="auto"/>
              <w:rPr>
                <w:b/>
                <w:sz w:val="16"/>
                <w:szCs w:val="16"/>
              </w:rPr>
            </w:pPr>
          </w:p>
        </w:tc>
        <w:tc>
          <w:tcPr>
            <w:tcW w:w="4876" w:type="dxa"/>
          </w:tcPr>
          <w:p w14:paraId="667C952B" w14:textId="77777777" w:rsidR="007359A3" w:rsidRPr="007359A3" w:rsidRDefault="007359A3" w:rsidP="00494DC6">
            <w:pPr>
              <w:spacing w:after="0" w:line="240" w:lineRule="auto"/>
              <w:cnfStyle w:val="000000000000" w:firstRow="0" w:lastRow="0" w:firstColumn="0" w:lastColumn="0" w:oddVBand="0" w:evenVBand="0" w:oddHBand="0" w:evenHBand="0" w:firstRowFirstColumn="0" w:firstRowLastColumn="0" w:lastRowFirstColumn="0" w:lastRowLastColumn="0"/>
              <w:rPr>
                <w:b/>
                <w:sz w:val="16"/>
                <w:szCs w:val="16"/>
              </w:rPr>
            </w:pPr>
            <w:r w:rsidRPr="007359A3">
              <w:rPr>
                <w:sz w:val="16"/>
                <w:szCs w:val="16"/>
              </w:rPr>
              <w:t>Stabilní, předvídatelné a motivující podnikatelské prostředí.</w:t>
            </w:r>
          </w:p>
        </w:tc>
      </w:tr>
    </w:tbl>
    <w:p w14:paraId="709DDCC7" w14:textId="77777777" w:rsidR="00EE2DF5" w:rsidRDefault="00EE2DF5" w:rsidP="00EE2DF5">
      <w:pPr>
        <w:spacing w:after="0" w:line="240" w:lineRule="auto"/>
        <w:rPr>
          <w:b/>
        </w:rPr>
      </w:pPr>
    </w:p>
    <w:p w14:paraId="732BBF9E" w14:textId="77777777" w:rsidR="00494DC6" w:rsidRPr="003E4246" w:rsidRDefault="00494DC6" w:rsidP="007359A3">
      <w:pPr>
        <w:spacing w:line="240" w:lineRule="auto"/>
        <w:rPr>
          <w:b/>
        </w:rPr>
      </w:pPr>
      <w:r w:rsidRPr="003E4246">
        <w:rPr>
          <w:b/>
        </w:rPr>
        <w:t>Dokumenty</w:t>
      </w:r>
      <w:r>
        <w:rPr>
          <w:b/>
        </w:rPr>
        <w:t xml:space="preserve"> k </w:t>
      </w:r>
      <w:r w:rsidRPr="003E4246">
        <w:rPr>
          <w:b/>
        </w:rPr>
        <w:t>RIS3 strategii</w:t>
      </w:r>
    </w:p>
    <w:p w14:paraId="7062FE04" w14:textId="77777777" w:rsidR="00494DC6" w:rsidRDefault="00494DC6" w:rsidP="00494DC6">
      <w:pPr>
        <w:jc w:val="both"/>
      </w:pPr>
      <w:r w:rsidRPr="007070E2">
        <w:rPr>
          <w:b/>
        </w:rPr>
        <w:t>Národní výzkumná</w:t>
      </w:r>
      <w:r>
        <w:rPr>
          <w:b/>
        </w:rPr>
        <w:t xml:space="preserve"> a </w:t>
      </w:r>
      <w:r w:rsidRPr="007070E2">
        <w:rPr>
          <w:b/>
        </w:rPr>
        <w:t>inovační strategie pro inteligentní specializaci České republiky</w:t>
      </w:r>
      <w:r>
        <w:t xml:space="preserve"> (z anglického </w:t>
      </w:r>
      <w:proofErr w:type="spellStart"/>
      <w:r>
        <w:t>Research</w:t>
      </w:r>
      <w:proofErr w:type="spellEnd"/>
      <w:r>
        <w:t xml:space="preserve"> and </w:t>
      </w:r>
      <w:proofErr w:type="spellStart"/>
      <w:r>
        <w:t>Innovation</w:t>
      </w:r>
      <w:proofErr w:type="spellEnd"/>
      <w:r>
        <w:t xml:space="preserve"> </w:t>
      </w:r>
      <w:proofErr w:type="spellStart"/>
      <w:r>
        <w:t>Strategy</w:t>
      </w:r>
      <w:proofErr w:type="spellEnd"/>
      <w:r>
        <w:t xml:space="preserve"> </w:t>
      </w:r>
      <w:proofErr w:type="spellStart"/>
      <w:r>
        <w:t>for</w:t>
      </w:r>
      <w:proofErr w:type="spellEnd"/>
      <w:r>
        <w:t xml:space="preserve"> Smart </w:t>
      </w:r>
      <w:proofErr w:type="spellStart"/>
      <w:r>
        <w:t>Specialisation</w:t>
      </w:r>
      <w:proofErr w:type="spellEnd"/>
      <w:r>
        <w:t xml:space="preserve">, dále „Národní RIS3 strategie“) je komplexní koncepční dokument zaštiťující orientovaný a aplikovaný výzkum v České republice, a to v úzké vazbě na Národní politiku </w:t>
      </w:r>
      <w:proofErr w:type="spellStart"/>
      <w:r>
        <w:t>VaVaI</w:t>
      </w:r>
      <w:proofErr w:type="spellEnd"/>
      <w:r>
        <w:t>. Účelem Národní RIS3 strategie je efektivní zacílení finančních prostředků – evropských, národních, krajských a soukromých – do prioritních inovativních specializací, tak aby byl plně využit znalostní potenciál ČR.</w:t>
      </w:r>
    </w:p>
    <w:p w14:paraId="20B7D5C4" w14:textId="77777777" w:rsidR="00494DC6" w:rsidRDefault="00494DC6" w:rsidP="00494DC6">
      <w:r>
        <w:t xml:space="preserve">Národní RIS3 strategie představuje předběžnou podmínku pro uskutečňování intervencí kohezní politiky Evropské unie v oblasti </w:t>
      </w:r>
      <w:proofErr w:type="spellStart"/>
      <w:r>
        <w:t>VaVaI</w:t>
      </w:r>
      <w:proofErr w:type="spellEnd"/>
      <w:r>
        <w:t xml:space="preserve"> (Nařízení Evropského parlamentu a Rady č. 1303/2013).</w:t>
      </w:r>
    </w:p>
    <w:p w14:paraId="479092D9" w14:textId="77777777" w:rsidR="00494DC6" w:rsidRDefault="00494DC6" w:rsidP="00494DC6">
      <w:r>
        <w:t>V souvislosti se zodpovězením evaluační otázky č. 7 budou předmětem analýzy tyto dokumenty:</w:t>
      </w:r>
    </w:p>
    <w:p w14:paraId="105E7616" w14:textId="77777777" w:rsidR="00494DC6" w:rsidRDefault="00494DC6" w:rsidP="00494DC6">
      <w:pPr>
        <w:pStyle w:val="ListParagraph"/>
        <w:numPr>
          <w:ilvl w:val="0"/>
          <w:numId w:val="48"/>
        </w:numPr>
        <w:spacing w:after="120"/>
        <w:ind w:left="714" w:hanging="357"/>
        <w:contextualSpacing w:val="0"/>
      </w:pPr>
      <w:r>
        <w:t>Národní výzkumná a inovační strategie pro inteligentní specializaci České republiky (Národní RIS3 strategie) 2014 – 2020 (aktualizace 2018)</w:t>
      </w:r>
    </w:p>
    <w:p w14:paraId="12E4E903" w14:textId="77777777" w:rsidR="00494DC6" w:rsidRDefault="00494DC6" w:rsidP="00494DC6">
      <w:pPr>
        <w:pStyle w:val="ListParagraph"/>
        <w:numPr>
          <w:ilvl w:val="0"/>
          <w:numId w:val="48"/>
        </w:numPr>
        <w:spacing w:after="120"/>
        <w:ind w:left="714" w:hanging="357"/>
        <w:contextualSpacing w:val="0"/>
      </w:pPr>
      <w:r>
        <w:t xml:space="preserve">Podklad k implementaci Národní RIS3 strategie v programech ESIF a národních programech podpory </w:t>
      </w:r>
      <w:proofErr w:type="spellStart"/>
      <w:r>
        <w:t>VaVaI</w:t>
      </w:r>
      <w:proofErr w:type="spellEnd"/>
    </w:p>
    <w:p w14:paraId="72CBC259" w14:textId="77777777" w:rsidR="00494DC6" w:rsidRDefault="00494DC6" w:rsidP="00494DC6">
      <w:pPr>
        <w:pStyle w:val="ListParagraph"/>
        <w:numPr>
          <w:ilvl w:val="0"/>
          <w:numId w:val="48"/>
        </w:numPr>
        <w:spacing w:after="120"/>
        <w:ind w:left="714" w:hanging="357"/>
        <w:contextualSpacing w:val="0"/>
      </w:pPr>
      <w:proofErr w:type="spellStart"/>
      <w:r>
        <w:t>Mid</w:t>
      </w:r>
      <w:proofErr w:type="spellEnd"/>
      <w:r>
        <w:t xml:space="preserve">-term evaluace Národní RIS3 strategie - Vyhodnocení dotazníkového šetření s příjemci podpory z operačních programů (výzvy s ex-ante </w:t>
      </w:r>
      <w:proofErr w:type="spellStart"/>
      <w:r>
        <w:t>kondicionalitou</w:t>
      </w:r>
      <w:proofErr w:type="spellEnd"/>
      <w:r>
        <w:t>)</w:t>
      </w:r>
    </w:p>
    <w:p w14:paraId="0DEBBB42" w14:textId="77777777" w:rsidR="00494DC6" w:rsidRDefault="00494DC6" w:rsidP="00494DC6">
      <w:pPr>
        <w:pStyle w:val="ListParagraph"/>
        <w:numPr>
          <w:ilvl w:val="0"/>
          <w:numId w:val="48"/>
        </w:numPr>
        <w:spacing w:after="120"/>
        <w:ind w:left="714" w:hanging="357"/>
        <w:contextualSpacing w:val="0"/>
      </w:pPr>
      <w:r w:rsidRPr="00AB4309">
        <w:t>Zpráva</w:t>
      </w:r>
      <w:r>
        <w:t xml:space="preserve"> o </w:t>
      </w:r>
      <w:r w:rsidRPr="00AB4309">
        <w:t xml:space="preserve">realizaci Národní RIS3 strategie </w:t>
      </w:r>
      <w:r>
        <w:t>v letech 2015 -</w:t>
      </w:r>
      <w:r w:rsidRPr="00AB4309">
        <w:t xml:space="preserve"> 201</w:t>
      </w:r>
      <w:r>
        <w:t>6</w:t>
      </w:r>
    </w:p>
    <w:p w14:paraId="277B8E3F" w14:textId="77777777" w:rsidR="00494DC6" w:rsidRDefault="00494DC6" w:rsidP="00494DC6">
      <w:pPr>
        <w:pStyle w:val="ListParagraph"/>
        <w:numPr>
          <w:ilvl w:val="0"/>
          <w:numId w:val="48"/>
        </w:numPr>
        <w:spacing w:after="120"/>
        <w:ind w:left="714" w:hanging="357"/>
        <w:contextualSpacing w:val="0"/>
      </w:pPr>
      <w:r w:rsidRPr="00AB4309">
        <w:t>Zpráva</w:t>
      </w:r>
      <w:r>
        <w:t xml:space="preserve"> o </w:t>
      </w:r>
      <w:r w:rsidRPr="00AB4309">
        <w:t>realizaci Národní RIS3 strategie za rok 2017</w:t>
      </w:r>
    </w:p>
    <w:p w14:paraId="4A0CD45D" w14:textId="77777777" w:rsidR="00494DC6" w:rsidRDefault="00494DC6" w:rsidP="00494DC6">
      <w:pPr>
        <w:pStyle w:val="ListParagraph"/>
        <w:spacing w:after="120"/>
        <w:ind w:left="714"/>
        <w:contextualSpacing w:val="0"/>
      </w:pPr>
    </w:p>
    <w:p w14:paraId="693BC694" w14:textId="77777777" w:rsidR="00494DC6" w:rsidRDefault="00494DC6" w:rsidP="00494DC6">
      <w:pPr>
        <w:jc w:val="both"/>
        <w:rPr>
          <w:b/>
        </w:rPr>
      </w:pPr>
      <w:r w:rsidRPr="0006675B">
        <w:rPr>
          <w:b/>
        </w:rPr>
        <w:t>Kontrolní závěr NKÚ</w:t>
      </w:r>
      <w:r>
        <w:rPr>
          <w:b/>
        </w:rPr>
        <w:t xml:space="preserve"> z </w:t>
      </w:r>
      <w:r w:rsidRPr="0006675B">
        <w:rPr>
          <w:b/>
        </w:rPr>
        <w:t>Kontrolní akce 18/06: Podpora rozvoje výzkumu</w:t>
      </w:r>
      <w:r>
        <w:rPr>
          <w:b/>
        </w:rPr>
        <w:t xml:space="preserve"> a </w:t>
      </w:r>
      <w:r w:rsidRPr="0006675B">
        <w:rPr>
          <w:b/>
        </w:rPr>
        <w:t>vývoje pro inovace poskytovaná</w:t>
      </w:r>
      <w:r>
        <w:rPr>
          <w:b/>
        </w:rPr>
        <w:t xml:space="preserve"> z </w:t>
      </w:r>
      <w:r w:rsidRPr="0006675B">
        <w:rPr>
          <w:b/>
        </w:rPr>
        <w:t>operačního programu Podnikání</w:t>
      </w:r>
      <w:r>
        <w:rPr>
          <w:b/>
        </w:rPr>
        <w:t xml:space="preserve"> a </w:t>
      </w:r>
      <w:r w:rsidRPr="0006675B">
        <w:rPr>
          <w:b/>
        </w:rPr>
        <w:t>inovace pro konkurenceschopnost</w:t>
      </w:r>
    </w:p>
    <w:p w14:paraId="353E10F4" w14:textId="77777777" w:rsidR="00494DC6" w:rsidRDefault="00494DC6" w:rsidP="00494DC6">
      <w:pPr>
        <w:jc w:val="both"/>
      </w:pPr>
      <w:r>
        <w:t xml:space="preserve">NKÚ provedl kontrolu poskytování a čerpání finančních prostředků Evropské unie určených na podporu rozvoje výzkumu a vývoje pro inovace z  PO 1 OP OPPIK a  </w:t>
      </w:r>
      <w:proofErr w:type="spellStart"/>
      <w:r>
        <w:t>a</w:t>
      </w:r>
      <w:proofErr w:type="spellEnd"/>
      <w:r>
        <w:t> to s ohledem na plnění deklarovaných přínosů, jejichž výsledkem má být zvýšení inovační výkonnosti podniků (SC 1.1) a zvýšení intenzity a účinnosti spolupráce ve výzkumu, vývoji a inovacích (SC 1.2). NKÚ kontrolu provedl u MPO, API a dále rovněž prověřil 12 vybraných projektů realizovaných příjemci podpory.</w:t>
      </w:r>
    </w:p>
    <w:p w14:paraId="291D3DC7" w14:textId="77777777" w:rsidR="00494DC6" w:rsidRDefault="00494DC6" w:rsidP="00494DC6">
      <w:pPr>
        <w:jc w:val="both"/>
      </w:pPr>
      <w:r>
        <w:t>Kontrolní akce byla zařazena do plánu kontrolní činnosti NKÚ na rok 2018 pod číslem 18/06. Kontrola byla prováděna u kontrolovaných osob v období od dubna do října 2018. Kontrolovaným obdobím bylo období od roku 2014 do 2018, v případě věcných souvislostí i období předcházející.</w:t>
      </w:r>
      <w:r w:rsidRPr="00C0606B">
        <w:t xml:space="preserve"> </w:t>
      </w:r>
      <w:r>
        <w:t>Zpráva pracovala s údaji čerpání platnými ke konci srpna 2018.</w:t>
      </w:r>
    </w:p>
    <w:p w14:paraId="61D7CCAA" w14:textId="77777777" w:rsidR="00494DC6" w:rsidRPr="00465F14" w:rsidRDefault="00494DC6" w:rsidP="00494DC6">
      <w:pPr>
        <w:jc w:val="both"/>
      </w:pPr>
      <w:r>
        <w:t xml:space="preserve">Závěry zprávy jsou </w:t>
      </w:r>
      <w:r w:rsidRPr="007070E2">
        <w:rPr>
          <w:b/>
        </w:rPr>
        <w:t>znepokojující především ve vztahu</w:t>
      </w:r>
      <w:r>
        <w:rPr>
          <w:b/>
        </w:rPr>
        <w:t xml:space="preserve"> k </w:t>
      </w:r>
      <w:r w:rsidRPr="007070E2">
        <w:rPr>
          <w:b/>
        </w:rPr>
        <w:t>naplňování cílů</w:t>
      </w:r>
      <w:r>
        <w:rPr>
          <w:b/>
        </w:rPr>
        <w:t xml:space="preserve"> a </w:t>
      </w:r>
      <w:r w:rsidRPr="007070E2">
        <w:rPr>
          <w:b/>
        </w:rPr>
        <w:t>indikátorů SC 1.2 na podporu spolupráce ve výzkumu, vývoji</w:t>
      </w:r>
      <w:r>
        <w:rPr>
          <w:b/>
        </w:rPr>
        <w:t xml:space="preserve"> a </w:t>
      </w:r>
      <w:r w:rsidRPr="007070E2">
        <w:rPr>
          <w:b/>
        </w:rPr>
        <w:t>inovacích</w:t>
      </w:r>
      <w:r>
        <w:rPr>
          <w:b/>
        </w:rPr>
        <w:t xml:space="preserve"> a </w:t>
      </w:r>
      <w:r w:rsidRPr="007070E2">
        <w:rPr>
          <w:b/>
        </w:rPr>
        <w:t>na podporu integrované územní investice.</w:t>
      </w:r>
      <w:r>
        <w:t xml:space="preserve"> V období od září 2018 do konce ledna 2019 došlo díky </w:t>
      </w:r>
      <w:r w:rsidRPr="007070E2">
        <w:rPr>
          <w:b/>
        </w:rPr>
        <w:t>urychlení procesu</w:t>
      </w:r>
      <w:r>
        <w:t xml:space="preserve"> hodnocení žádostí k výraznému pokroku v čerpání alokace většiny programů podpory, které nebylo ve zprávě vydané 4. 3. 2019, zohledněno. Přesto jsou mnohá zjištění zprávy NKÚ platná, včetně zjištění </w:t>
      </w:r>
      <w:r w:rsidRPr="007070E2">
        <w:rPr>
          <w:b/>
        </w:rPr>
        <w:t>absence konkrétních dopadových indikátorů OP PIK</w:t>
      </w:r>
      <w:r>
        <w:t xml:space="preserve">. Kontextová data o vývoji inovační výkonnosti podniků v ČR na základě statistických dat ČSÚ či </w:t>
      </w:r>
      <w:proofErr w:type="spellStart"/>
      <w:r>
        <w:t>Eurostatu</w:t>
      </w:r>
      <w:proofErr w:type="spellEnd"/>
      <w:r>
        <w:t xml:space="preserve"> </w:t>
      </w:r>
      <w:r w:rsidRPr="007070E2">
        <w:rPr>
          <w:b/>
        </w:rPr>
        <w:t>jsou ovlivněna celou řadu dalších faktorů,</w:t>
      </w:r>
      <w:r>
        <w:rPr>
          <w:b/>
        </w:rPr>
        <w:t xml:space="preserve"> o </w:t>
      </w:r>
      <w:r w:rsidRPr="007070E2">
        <w:rPr>
          <w:b/>
        </w:rPr>
        <w:t xml:space="preserve">které data nelze očistit. </w:t>
      </w:r>
      <w:r>
        <w:t xml:space="preserve">Z těchto důvodů je </w:t>
      </w:r>
      <w:r w:rsidRPr="007070E2">
        <w:rPr>
          <w:b/>
        </w:rPr>
        <w:t>posouzení vlivu podpory OP PIK na inovační výkonnost podniků na základě statistických dat omezené</w:t>
      </w:r>
      <w:r>
        <w:t xml:space="preserve">. NKÚ konstatuje, že </w:t>
      </w:r>
      <w:r w:rsidRPr="007070E2">
        <w:rPr>
          <w:b/>
        </w:rPr>
        <w:t>dosud nebyla zrealizovaná výsledková evaluace</w:t>
      </w:r>
      <w:r>
        <w:t xml:space="preserve"> programů podpory OP PIK a tudíž tato výsledková evaluace by měla přinést první konkrétní zjištění vlivu podpory OP PIK na individuální příjemce podpory.</w:t>
      </w:r>
    </w:p>
    <w:p w14:paraId="2ED379A3" w14:textId="77777777" w:rsidR="00465F14" w:rsidRDefault="00465F14">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01EE40EE" w14:textId="77777777" w:rsidR="006062A2" w:rsidRDefault="00465F14" w:rsidP="000F7450">
      <w:pPr>
        <w:pStyle w:val="Heading1"/>
        <w:spacing w:after="120"/>
        <w:rPr>
          <w:rFonts w:ascii="Verdana" w:eastAsia="MingLiU" w:hAnsi="Verdana" w:cs="Times New Roman"/>
          <w:b w:val="0"/>
          <w:color w:val="auto"/>
          <w:sz w:val="60"/>
          <w:szCs w:val="60"/>
        </w:rPr>
      </w:pPr>
      <w:bookmarkStart w:id="102" w:name="_Toc11679647"/>
      <w:r>
        <w:rPr>
          <w:rFonts w:ascii="Verdana" w:eastAsia="MingLiU" w:hAnsi="Verdana" w:cs="Times New Roman"/>
          <w:b w:val="0"/>
          <w:color w:val="auto"/>
          <w:sz w:val="60"/>
          <w:szCs w:val="60"/>
        </w:rPr>
        <w:t xml:space="preserve">Příloha 2: </w:t>
      </w:r>
      <w:r w:rsidR="00FA4273">
        <w:rPr>
          <w:rFonts w:ascii="Verdana" w:eastAsia="MingLiU" w:hAnsi="Verdana" w:cs="Times New Roman"/>
          <w:b w:val="0"/>
          <w:color w:val="auto"/>
          <w:sz w:val="60"/>
          <w:szCs w:val="60"/>
        </w:rPr>
        <w:t>Výsledky dotazníkového šetření mezi příjemci podpory v SC 1.1</w:t>
      </w:r>
      <w:bookmarkEnd w:id="102"/>
    </w:p>
    <w:p w14:paraId="2C3D8E5A" w14:textId="77777777" w:rsidR="000F7450" w:rsidRPr="000F7450" w:rsidRDefault="000F7450" w:rsidP="000F7450">
      <w:pPr>
        <w:spacing w:after="120" w:line="240" w:lineRule="auto"/>
      </w:pPr>
      <w:bookmarkStart w:id="103" w:name="_Toc534706108"/>
    </w:p>
    <w:bookmarkEnd w:id="103"/>
    <w:p w14:paraId="508AECC3" w14:textId="77777777" w:rsidR="007038B8" w:rsidRDefault="007038B8" w:rsidP="007038B8">
      <w:pPr>
        <w:pStyle w:val="ListParagraph"/>
        <w:spacing w:before="113" w:after="113" w:line="276" w:lineRule="auto"/>
        <w:jc w:val="both"/>
      </w:pPr>
    </w:p>
    <w:p w14:paraId="7CA9CC0E" w14:textId="77777777" w:rsidR="00F836DE" w:rsidRPr="002E0C13" w:rsidRDefault="00F836DE" w:rsidP="00F836DE">
      <w:pPr>
        <w:pStyle w:val="Bntext"/>
        <w:rPr>
          <w:rFonts w:asciiTheme="minorHAnsi" w:hAnsiTheme="minorHAnsi"/>
          <w:b/>
          <w:color w:val="62B5E5" w:themeColor="accent3"/>
          <w:sz w:val="18"/>
          <w:szCs w:val="18"/>
        </w:rPr>
      </w:pPr>
      <w:r w:rsidRPr="002E0C13">
        <w:rPr>
          <w:rFonts w:asciiTheme="minorHAnsi" w:hAnsiTheme="minorHAnsi"/>
          <w:b/>
          <w:color w:val="62B5E5" w:themeColor="accent3"/>
          <w:sz w:val="18"/>
          <w:szCs w:val="18"/>
        </w:rPr>
        <w:t>Cíle</w:t>
      </w:r>
      <w:r w:rsidR="00B10CFA">
        <w:rPr>
          <w:rFonts w:asciiTheme="minorHAnsi" w:hAnsiTheme="minorHAnsi"/>
          <w:b/>
          <w:color w:val="62B5E5" w:themeColor="accent3"/>
          <w:sz w:val="18"/>
          <w:szCs w:val="18"/>
        </w:rPr>
        <w:t xml:space="preserve"> a </w:t>
      </w:r>
      <w:r w:rsidRPr="002E0C13">
        <w:rPr>
          <w:rFonts w:asciiTheme="minorHAnsi" w:hAnsiTheme="minorHAnsi"/>
          <w:b/>
          <w:color w:val="62B5E5" w:themeColor="accent3"/>
          <w:sz w:val="18"/>
          <w:szCs w:val="18"/>
        </w:rPr>
        <w:t>průběh dotazníkového šetření</w:t>
      </w:r>
    </w:p>
    <w:p w14:paraId="19061F69" w14:textId="77777777" w:rsidR="00F836DE" w:rsidRPr="00C74493" w:rsidRDefault="00F836DE" w:rsidP="00A27694">
      <w:pPr>
        <w:jc w:val="both"/>
      </w:pPr>
      <w:r>
        <w:t>Dotazníkové šetření bylo realizováno v období 6. 2</w:t>
      </w:r>
      <w:r w:rsidR="00A27694">
        <w:t>. 2019 až 25. 2. 2019 formou on</w:t>
      </w:r>
      <w:r>
        <w:t>line dotazníku Dodavatele. Znění dotazníku, jednotlivých otázek</w:t>
      </w:r>
      <w:r w:rsidR="00B10CFA">
        <w:t xml:space="preserve"> a </w:t>
      </w:r>
      <w:r>
        <w:t>jejich logické uspořádání bylo validováno se Zadavatelem. Dotazník byl rozeslán na 634 e-mailových adres obdržených od MPO. Vzorek respondentů tvořili všichni příjemci podpory ze všech tří programů podpory, tedy 864 projektů. Za účelem prevence duplicit, byli ze vzorku vyčleněni příjemci podpoření ve více prioritních osách. Pro získání relevantních výsledkových dat byli dále</w:t>
      </w:r>
      <w:r w:rsidR="00B10CFA">
        <w:t xml:space="preserve"> z </w:t>
      </w:r>
      <w:r>
        <w:t>vybraného vzorku osloveni příjemci, kterým byla proplacena alespoň první Žádost</w:t>
      </w:r>
      <w:r w:rsidR="00B10CFA">
        <w:t xml:space="preserve"> o </w:t>
      </w:r>
      <w:r>
        <w:t>platbu. Odkaz na online dotazník byl zaslán na kontaktní osoby uvedené v MS2014, případně statutární zástupce</w:t>
      </w:r>
      <w:r w:rsidR="00B10CFA">
        <w:t xml:space="preserve"> u </w:t>
      </w:r>
      <w:r>
        <w:t>projektů, kde Dodavatel vyhodnotil, že kontaktní osobou je poradenská společnost. 20.</w:t>
      </w:r>
      <w:r w:rsidR="00A27694">
        <w:t xml:space="preserve"> 2. 2019</w:t>
      </w:r>
      <w:r>
        <w:t xml:space="preserve"> byla rozeslána upomínka</w:t>
      </w:r>
      <w:r w:rsidR="00B10CFA">
        <w:t xml:space="preserve"> k </w:t>
      </w:r>
      <w:r>
        <w:t xml:space="preserve">vyplnění dotazníku. </w:t>
      </w:r>
      <w:r w:rsidR="00A27694">
        <w:t>Dodavatel</w:t>
      </w:r>
      <w:r>
        <w:t xml:space="preserve"> ke dni ukončení šetření obdržel 122 vyplněných dotazníků, tedy téměř </w:t>
      </w:r>
      <w:r w:rsidR="008E4065">
        <w:t xml:space="preserve">od </w:t>
      </w:r>
      <w:r>
        <w:t>20 % oslovených příjemců podpory s první proplacenou žádostí</w:t>
      </w:r>
      <w:r w:rsidR="00B10CFA">
        <w:t xml:space="preserve"> o </w:t>
      </w:r>
      <w:r>
        <w:t xml:space="preserve">platbu. </w:t>
      </w:r>
    </w:p>
    <w:p w14:paraId="1AEFCF65" w14:textId="77777777" w:rsidR="00F836DE" w:rsidRPr="002E0C13" w:rsidRDefault="00F836DE" w:rsidP="00F836DE">
      <w:pPr>
        <w:pStyle w:val="Bntext"/>
        <w:rPr>
          <w:rFonts w:asciiTheme="minorHAnsi" w:hAnsiTheme="minorHAnsi"/>
          <w:b/>
          <w:color w:val="62B5E5" w:themeColor="accent3"/>
          <w:sz w:val="18"/>
          <w:szCs w:val="18"/>
        </w:rPr>
      </w:pPr>
      <w:r w:rsidRPr="002E0C13">
        <w:rPr>
          <w:rFonts w:asciiTheme="minorHAnsi" w:hAnsiTheme="minorHAnsi"/>
          <w:b/>
          <w:color w:val="62B5E5" w:themeColor="accent3"/>
          <w:sz w:val="18"/>
          <w:szCs w:val="18"/>
        </w:rPr>
        <w:t xml:space="preserve">Kvantitativní analýza obdržených odpovědí </w:t>
      </w:r>
    </w:p>
    <w:p w14:paraId="7CF41DC5" w14:textId="77777777" w:rsidR="00F836DE" w:rsidRDefault="00F836DE" w:rsidP="00555447">
      <w:pPr>
        <w:jc w:val="both"/>
      </w:pPr>
      <w:r>
        <w:t xml:space="preserve">V dotazníkovém šetření bylo obdrženo </w:t>
      </w:r>
      <w:r w:rsidRPr="00CF2942">
        <w:rPr>
          <w:b/>
        </w:rPr>
        <w:t xml:space="preserve">celkem </w:t>
      </w:r>
      <w:r w:rsidRPr="000105AB">
        <w:rPr>
          <w:b/>
        </w:rPr>
        <w:t>122 odpovědí</w:t>
      </w:r>
      <w:r>
        <w:t>, 54 odpovědí (44 %) obsahuje data již ukončených projektů, 68 odpovědí (56 %) reprezentuje projekty ve fázi realizace,</w:t>
      </w:r>
      <w:r w:rsidR="00B10CFA">
        <w:t xml:space="preserve"> u </w:t>
      </w:r>
      <w:r>
        <w:t>nichž byla proplacena minimálně první žádost</w:t>
      </w:r>
      <w:r w:rsidR="00B10CFA">
        <w:t xml:space="preserve"> o </w:t>
      </w:r>
      <w:r>
        <w:t xml:space="preserve">platbu. </w:t>
      </w:r>
    </w:p>
    <w:p w14:paraId="3C2704BB" w14:textId="77777777" w:rsidR="00F836DE" w:rsidRDefault="00F836DE" w:rsidP="00555447">
      <w:pPr>
        <w:jc w:val="both"/>
      </w:pPr>
      <w:r>
        <w:t xml:space="preserve">Z hlediska programů podpory bylo téměř shodně obdrženo nejvíce odpovědí od příjemců podpory v programech </w:t>
      </w:r>
      <w:r w:rsidRPr="00CF2942">
        <w:rPr>
          <w:b/>
        </w:rPr>
        <w:t>Aplikace (53</w:t>
      </w:r>
      <w:r>
        <w:rPr>
          <w:b/>
        </w:rPr>
        <w:t>, tedy 43</w:t>
      </w:r>
      <w:r w:rsidR="008E4065">
        <w:rPr>
          <w:b/>
        </w:rPr>
        <w:t xml:space="preserve"> </w:t>
      </w:r>
      <w:r w:rsidRPr="000424FC">
        <w:rPr>
          <w:b/>
        </w:rPr>
        <w:t>% respondent</w:t>
      </w:r>
      <w:r>
        <w:rPr>
          <w:b/>
        </w:rPr>
        <w:t>ů</w:t>
      </w:r>
      <w:r w:rsidRPr="00CF2942">
        <w:rPr>
          <w:b/>
        </w:rPr>
        <w:t>)</w:t>
      </w:r>
      <w:r w:rsidR="00B10CFA">
        <w:t xml:space="preserve"> a </w:t>
      </w:r>
      <w:r>
        <w:t xml:space="preserve"> </w:t>
      </w:r>
      <w:r w:rsidRPr="00CF2942">
        <w:rPr>
          <w:b/>
        </w:rPr>
        <w:t>Inovace (52</w:t>
      </w:r>
      <w:r>
        <w:rPr>
          <w:b/>
        </w:rPr>
        <w:t>, tedy 43 % respondentů</w:t>
      </w:r>
      <w:r w:rsidRPr="00CF2942">
        <w:rPr>
          <w:b/>
        </w:rPr>
        <w:t>),</w:t>
      </w:r>
      <w:r>
        <w:t xml:space="preserve"> méně odpovědí od příjemců v programu </w:t>
      </w:r>
      <w:r w:rsidRPr="00CF2942">
        <w:rPr>
          <w:b/>
        </w:rPr>
        <w:t>Potenciál (17</w:t>
      </w:r>
      <w:r>
        <w:rPr>
          <w:b/>
        </w:rPr>
        <w:t>, 14 % respondentů</w:t>
      </w:r>
      <w:r w:rsidRPr="00CF2942">
        <w:rPr>
          <w:b/>
        </w:rPr>
        <w:t>).</w:t>
      </w:r>
      <w:r>
        <w:t xml:space="preserve"> Toto zastoupení odpovídá celkovému poměru podpořených projektů v programech podpory SC 1.1</w:t>
      </w:r>
      <w:r w:rsidR="008E4065">
        <w:t>, jak je patrné</w:t>
      </w:r>
      <w:r w:rsidR="00B10CFA">
        <w:t xml:space="preserve"> z </w:t>
      </w:r>
      <w:r>
        <w:t>grafu níže</w:t>
      </w:r>
      <w:r w:rsidR="008E4065">
        <w:t>, kde</w:t>
      </w:r>
      <w:r>
        <w:t xml:space="preserve"> zeleně </w:t>
      </w:r>
      <w:r w:rsidR="008E4065">
        <w:t xml:space="preserve">je </w:t>
      </w:r>
      <w:r>
        <w:t>vyznačen</w:t>
      </w:r>
      <w:r w:rsidR="008E4065">
        <w:t>o</w:t>
      </w:r>
      <w:r>
        <w:t xml:space="preserve"> </w:t>
      </w:r>
      <w:r w:rsidR="008E4065">
        <w:t xml:space="preserve">procentuální zastoupení jednotlivých programů </w:t>
      </w:r>
      <w:r>
        <w:t>v dotazníkovém šetření</w:t>
      </w:r>
      <w:r w:rsidR="008E4065">
        <w:t xml:space="preserve"> a</w:t>
      </w:r>
      <w:r>
        <w:t xml:space="preserve"> mod</w:t>
      </w:r>
      <w:r w:rsidR="008E4065">
        <w:t>ře</w:t>
      </w:r>
      <w:r>
        <w:t xml:space="preserve"> celkový podíl oslovených příjemců podpory v jednotlivých programech. Výsledky dotazníkového šetření lze tudíž považovat </w:t>
      </w:r>
      <w:r w:rsidR="008E4065">
        <w:t xml:space="preserve">za </w:t>
      </w:r>
      <w:r>
        <w:t xml:space="preserve">reprezentativní pro všechny tři typy programů podpory.  </w:t>
      </w:r>
    </w:p>
    <w:p w14:paraId="3FED3EA5" w14:textId="23987EE1" w:rsidR="00F836DE" w:rsidRDefault="00AE0799" w:rsidP="002449AE">
      <w:pPr>
        <w:pStyle w:val="Caption"/>
      </w:pPr>
      <w:r>
        <w:t xml:space="preserve">Tabulka </w:t>
      </w:r>
      <w:r>
        <w:fldChar w:fldCharType="begin"/>
      </w:r>
      <w:r>
        <w:instrText xml:space="preserve"> SEQ Tabulka \* ARABIC </w:instrText>
      </w:r>
      <w:r>
        <w:fldChar w:fldCharType="separate"/>
      </w:r>
      <w:r w:rsidR="00F77CAE">
        <w:rPr>
          <w:noProof/>
        </w:rPr>
        <w:t>35</w:t>
      </w:r>
      <w:r>
        <w:fldChar w:fldCharType="end"/>
      </w:r>
      <w:r>
        <w:t xml:space="preserve">: </w:t>
      </w:r>
      <w:r w:rsidR="00F836DE">
        <w:t>Zastoupení programů podpory mezi vyplněnými dotazníky v porovnání se zastoupením programů mezi všemi respondenty</w:t>
      </w:r>
    </w:p>
    <w:tbl>
      <w:tblPr>
        <w:tblStyle w:val="Tabulkaseznamu3zvraznn11"/>
        <w:tblW w:w="5000"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2976"/>
        <w:gridCol w:w="3084"/>
        <w:gridCol w:w="3578"/>
      </w:tblGrid>
      <w:tr w:rsidR="00F836DE" w:rsidRPr="008E4065" w14:paraId="6C5D1F49" w14:textId="77777777" w:rsidTr="00555447">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544" w:type="pct"/>
            <w:noWrap/>
          </w:tcPr>
          <w:p w14:paraId="0B890913" w14:textId="77777777" w:rsidR="00F836DE" w:rsidRPr="00E86663" w:rsidRDefault="00F836DE" w:rsidP="00BB0180">
            <w:pPr>
              <w:spacing w:after="0" w:line="240" w:lineRule="auto"/>
              <w:rPr>
                <w:rFonts w:asciiTheme="majorHAnsi" w:eastAsia="Times New Roman" w:hAnsiTheme="majorHAnsi" w:cs="Calibri"/>
                <w:color w:val="FFFFFF" w:themeColor="background1"/>
                <w:lang w:eastAsia="cs-CZ"/>
              </w:rPr>
            </w:pPr>
            <w:r w:rsidRPr="00E86663">
              <w:rPr>
                <w:rFonts w:asciiTheme="majorHAnsi" w:eastAsia="Times New Roman" w:hAnsiTheme="majorHAnsi" w:cs="Calibri"/>
                <w:color w:val="FFFFFF" w:themeColor="background1"/>
                <w:lang w:eastAsia="cs-CZ"/>
              </w:rPr>
              <w:t>Program podpory</w:t>
            </w:r>
          </w:p>
        </w:tc>
        <w:tc>
          <w:tcPr>
            <w:tcW w:w="1600" w:type="pct"/>
            <w:noWrap/>
          </w:tcPr>
          <w:p w14:paraId="232DDC2B" w14:textId="77777777" w:rsidR="00F836DE" w:rsidRPr="00E86663" w:rsidRDefault="00F836DE" w:rsidP="00E866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themeColor="background1"/>
                <w:lang w:eastAsia="cs-CZ"/>
              </w:rPr>
            </w:pPr>
            <w:r w:rsidRPr="00E86663">
              <w:rPr>
                <w:rFonts w:asciiTheme="majorHAnsi" w:eastAsia="Times New Roman" w:hAnsiTheme="majorHAnsi" w:cs="Calibri"/>
                <w:color w:val="FFFFFF" w:themeColor="background1"/>
                <w:lang w:eastAsia="cs-CZ"/>
              </w:rPr>
              <w:t>Počet vyplněných dotazníků</w:t>
            </w:r>
          </w:p>
        </w:tc>
        <w:tc>
          <w:tcPr>
            <w:tcW w:w="1856" w:type="pct"/>
            <w:noWrap/>
          </w:tcPr>
          <w:p w14:paraId="3164354A" w14:textId="77777777" w:rsidR="00F836DE" w:rsidRPr="00E86663" w:rsidRDefault="00F836DE" w:rsidP="00E866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themeColor="background1"/>
                <w:lang w:eastAsia="cs-CZ"/>
              </w:rPr>
            </w:pPr>
            <w:r w:rsidRPr="00E86663">
              <w:rPr>
                <w:rFonts w:asciiTheme="majorHAnsi" w:eastAsia="Times New Roman" w:hAnsiTheme="majorHAnsi" w:cs="Calibri"/>
                <w:color w:val="FFFFFF" w:themeColor="background1"/>
                <w:lang w:eastAsia="cs-CZ"/>
              </w:rPr>
              <w:t>Počet oslovených respondentů</w:t>
            </w:r>
          </w:p>
        </w:tc>
      </w:tr>
      <w:tr w:rsidR="00F836DE" w:rsidRPr="008E4065" w14:paraId="247C611D" w14:textId="77777777" w:rsidTr="0055544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pct"/>
            <w:noWrap/>
            <w:hideMark/>
          </w:tcPr>
          <w:p w14:paraId="4B8637B1" w14:textId="77777777" w:rsidR="00F836DE" w:rsidRPr="00E86663" w:rsidRDefault="00F836DE" w:rsidP="00BB0180">
            <w:pPr>
              <w:spacing w:after="0" w:line="240" w:lineRule="auto"/>
              <w:rPr>
                <w:rFonts w:asciiTheme="majorHAnsi" w:eastAsia="Times New Roman" w:hAnsiTheme="majorHAnsi" w:cs="Calibri"/>
                <w:b w:val="0"/>
                <w:color w:val="auto"/>
                <w:lang w:eastAsia="cs-CZ"/>
              </w:rPr>
            </w:pPr>
            <w:r w:rsidRPr="00E86663">
              <w:rPr>
                <w:rFonts w:asciiTheme="majorHAnsi" w:eastAsia="Times New Roman" w:hAnsiTheme="majorHAnsi" w:cs="Calibri"/>
                <w:b w:val="0"/>
                <w:color w:val="auto"/>
                <w:lang w:eastAsia="cs-CZ"/>
              </w:rPr>
              <w:t>Aplikace</w:t>
            </w:r>
          </w:p>
        </w:tc>
        <w:tc>
          <w:tcPr>
            <w:tcW w:w="1600" w:type="pct"/>
            <w:noWrap/>
            <w:hideMark/>
          </w:tcPr>
          <w:p w14:paraId="77136B06" w14:textId="77777777" w:rsidR="00F836DE" w:rsidRPr="00E86663" w:rsidRDefault="00F836DE" w:rsidP="00E866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53</w:t>
            </w:r>
          </w:p>
        </w:tc>
        <w:tc>
          <w:tcPr>
            <w:tcW w:w="1856" w:type="pct"/>
            <w:noWrap/>
            <w:hideMark/>
          </w:tcPr>
          <w:p w14:paraId="3EFDAA55" w14:textId="77777777" w:rsidR="00F836DE" w:rsidRPr="00E86663" w:rsidRDefault="00F836DE" w:rsidP="00E866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239</w:t>
            </w:r>
          </w:p>
        </w:tc>
      </w:tr>
      <w:tr w:rsidR="00F836DE" w:rsidRPr="00E86663" w14:paraId="0AE8FE3F" w14:textId="77777777" w:rsidTr="00555447">
        <w:trPr>
          <w:trHeight w:val="290"/>
        </w:trPr>
        <w:tc>
          <w:tcPr>
            <w:cnfStyle w:val="001000000000" w:firstRow="0" w:lastRow="0" w:firstColumn="1" w:lastColumn="0" w:oddVBand="0" w:evenVBand="0" w:oddHBand="0" w:evenHBand="0" w:firstRowFirstColumn="0" w:firstRowLastColumn="0" w:lastRowFirstColumn="0" w:lastRowLastColumn="0"/>
            <w:tcW w:w="1544" w:type="pct"/>
            <w:noWrap/>
            <w:hideMark/>
          </w:tcPr>
          <w:p w14:paraId="52A64E08" w14:textId="77777777" w:rsidR="00F836DE" w:rsidRPr="00E86663" w:rsidRDefault="00F836DE" w:rsidP="00BB0180">
            <w:pPr>
              <w:spacing w:after="0" w:line="240" w:lineRule="auto"/>
              <w:rPr>
                <w:rFonts w:asciiTheme="majorHAnsi" w:eastAsia="Times New Roman" w:hAnsiTheme="majorHAnsi" w:cs="Calibri"/>
                <w:b w:val="0"/>
                <w:color w:val="auto"/>
                <w:lang w:eastAsia="cs-CZ"/>
              </w:rPr>
            </w:pPr>
            <w:r w:rsidRPr="00E86663">
              <w:rPr>
                <w:rFonts w:asciiTheme="majorHAnsi" w:eastAsia="Times New Roman" w:hAnsiTheme="majorHAnsi" w:cs="Calibri"/>
                <w:b w:val="0"/>
                <w:color w:val="auto"/>
                <w:lang w:eastAsia="cs-CZ"/>
              </w:rPr>
              <w:t>Inovace</w:t>
            </w:r>
          </w:p>
        </w:tc>
        <w:tc>
          <w:tcPr>
            <w:tcW w:w="1600" w:type="pct"/>
            <w:noWrap/>
            <w:hideMark/>
          </w:tcPr>
          <w:p w14:paraId="510C6119" w14:textId="77777777" w:rsidR="00F836DE" w:rsidRPr="00E86663" w:rsidRDefault="00F836DE" w:rsidP="00E86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52</w:t>
            </w:r>
          </w:p>
        </w:tc>
        <w:tc>
          <w:tcPr>
            <w:tcW w:w="1856" w:type="pct"/>
            <w:noWrap/>
            <w:hideMark/>
          </w:tcPr>
          <w:p w14:paraId="62F5CDE7" w14:textId="77777777" w:rsidR="00F836DE" w:rsidRPr="00E86663" w:rsidRDefault="00F836DE" w:rsidP="00E866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288</w:t>
            </w:r>
          </w:p>
        </w:tc>
      </w:tr>
      <w:tr w:rsidR="00F836DE" w:rsidRPr="008E4065" w14:paraId="13B65981" w14:textId="77777777" w:rsidTr="0055544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44" w:type="pct"/>
            <w:noWrap/>
            <w:hideMark/>
          </w:tcPr>
          <w:p w14:paraId="276E7CDF" w14:textId="77777777" w:rsidR="00F836DE" w:rsidRPr="00E86663" w:rsidRDefault="00F836DE" w:rsidP="00BB0180">
            <w:pPr>
              <w:spacing w:after="0" w:line="240" w:lineRule="auto"/>
              <w:rPr>
                <w:rFonts w:asciiTheme="majorHAnsi" w:eastAsia="Times New Roman" w:hAnsiTheme="majorHAnsi" w:cs="Calibri"/>
                <w:b w:val="0"/>
                <w:color w:val="auto"/>
                <w:lang w:eastAsia="cs-CZ"/>
              </w:rPr>
            </w:pPr>
            <w:r w:rsidRPr="00E86663">
              <w:rPr>
                <w:rFonts w:asciiTheme="majorHAnsi" w:eastAsia="Times New Roman" w:hAnsiTheme="majorHAnsi" w:cs="Calibri"/>
                <w:b w:val="0"/>
                <w:color w:val="auto"/>
                <w:lang w:eastAsia="cs-CZ"/>
              </w:rPr>
              <w:t>Potenciál</w:t>
            </w:r>
          </w:p>
        </w:tc>
        <w:tc>
          <w:tcPr>
            <w:tcW w:w="1600" w:type="pct"/>
            <w:noWrap/>
            <w:hideMark/>
          </w:tcPr>
          <w:p w14:paraId="54B94383" w14:textId="77777777" w:rsidR="00F836DE" w:rsidRPr="00E86663" w:rsidRDefault="00F836DE" w:rsidP="00E866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17</w:t>
            </w:r>
          </w:p>
        </w:tc>
        <w:tc>
          <w:tcPr>
            <w:tcW w:w="1856" w:type="pct"/>
            <w:noWrap/>
            <w:hideMark/>
          </w:tcPr>
          <w:p w14:paraId="625FE3E3" w14:textId="77777777" w:rsidR="00F836DE" w:rsidRPr="00E86663" w:rsidRDefault="00F836DE" w:rsidP="00E866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eastAsia="cs-CZ"/>
              </w:rPr>
            </w:pPr>
            <w:r w:rsidRPr="00E86663">
              <w:rPr>
                <w:rFonts w:asciiTheme="majorHAnsi" w:eastAsia="Times New Roman" w:hAnsiTheme="majorHAnsi" w:cs="Calibri"/>
                <w:color w:val="auto"/>
                <w:lang w:eastAsia="cs-CZ"/>
              </w:rPr>
              <w:t>106</w:t>
            </w:r>
          </w:p>
        </w:tc>
      </w:tr>
    </w:tbl>
    <w:p w14:paraId="55945BC4" w14:textId="77777777" w:rsidR="008E4065" w:rsidRDefault="008E4065" w:rsidP="00F836DE"/>
    <w:p w14:paraId="379146FE" w14:textId="77777777" w:rsidR="00F836DE" w:rsidRDefault="00F836DE" w:rsidP="00555447">
      <w:pPr>
        <w:jc w:val="both"/>
      </w:pPr>
      <w:r>
        <w:t>Následující graf znázorňuje procentuální zastoupení programů podpory mezi vyplněnými dotazníky</w:t>
      </w:r>
      <w:r w:rsidR="00B10CFA">
        <w:t xml:space="preserve"> a </w:t>
      </w:r>
      <w:r>
        <w:t xml:space="preserve">oslovenými respondenty šetření. </w:t>
      </w:r>
    </w:p>
    <w:p w14:paraId="5B5D617A" w14:textId="77777777" w:rsidR="00F836DE" w:rsidRDefault="00F836DE" w:rsidP="00F836DE">
      <w:pPr>
        <w:ind w:left="360"/>
        <w:jc w:val="center"/>
      </w:pPr>
      <w:r>
        <w:rPr>
          <w:noProof/>
          <w:lang w:eastAsia="cs-CZ"/>
        </w:rPr>
        <w:drawing>
          <wp:inline distT="0" distB="0" distL="0" distR="0" wp14:anchorId="35C843D2" wp14:editId="5EDE98B8">
            <wp:extent cx="4581525" cy="22669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71720B" w14:textId="77777777" w:rsidR="008E4065" w:rsidRDefault="008E4065" w:rsidP="00555447">
      <w:pPr>
        <w:ind w:left="360"/>
        <w:rPr>
          <w:b/>
        </w:rPr>
      </w:pPr>
    </w:p>
    <w:p w14:paraId="2330D8FA" w14:textId="77777777" w:rsidR="00F836DE" w:rsidRDefault="00F836DE" w:rsidP="00555447">
      <w:pPr>
        <w:ind w:left="360"/>
        <w:rPr>
          <w:b/>
        </w:rPr>
      </w:pPr>
      <w:r w:rsidRPr="00CF2942">
        <w:rPr>
          <w:b/>
        </w:rPr>
        <w:t>Segmentace respondentů</w:t>
      </w:r>
    </w:p>
    <w:p w14:paraId="2400C584" w14:textId="77777777" w:rsidR="00F836DE" w:rsidRDefault="00F836DE" w:rsidP="00555447">
      <w:pPr>
        <w:ind w:left="360"/>
        <w:jc w:val="both"/>
      </w:pPr>
      <w:r>
        <w:t>Následující kapitola obsahuje segmentaci respondentů dotazníkového šetření</w:t>
      </w:r>
      <w:r w:rsidR="00B10CFA">
        <w:t xml:space="preserve"> z </w:t>
      </w:r>
      <w:r>
        <w:t>hlediska právní formy, velikosti podniku, krajského zastoupení</w:t>
      </w:r>
      <w:r w:rsidR="00B10CFA">
        <w:t xml:space="preserve"> a </w:t>
      </w:r>
      <w:r>
        <w:t>odvětví podnikání. Pro účely segmentace bylo možné identifikovat 102 respondentů (</w:t>
      </w:r>
      <w:r w:rsidRPr="000424FC">
        <w:t>83</w:t>
      </w:r>
      <w:r w:rsidR="001B4997">
        <w:t xml:space="preserve"> </w:t>
      </w:r>
      <w:r w:rsidRPr="000424FC">
        <w:t xml:space="preserve">% </w:t>
      </w:r>
      <w:r>
        <w:t>respondentů). U 20 respondentů došlo</w:t>
      </w:r>
      <w:r w:rsidR="00B10CFA">
        <w:t xml:space="preserve"> k </w:t>
      </w:r>
      <w:r>
        <w:t>nesprávnému vyplnění čísla projektu,</w:t>
      </w:r>
      <w:r w:rsidR="00B10CFA">
        <w:t xml:space="preserve"> a </w:t>
      </w:r>
      <w:r>
        <w:t xml:space="preserve">tudíž nebylo možné provést ztotožnění s podnikem. Pro účely kvalitativní analýzy však identifikace podniků není nutná. </w:t>
      </w:r>
    </w:p>
    <w:p w14:paraId="4CA6127F" w14:textId="77777777" w:rsidR="00F836DE" w:rsidRDefault="00F836DE" w:rsidP="00555447">
      <w:pPr>
        <w:ind w:left="360"/>
        <w:jc w:val="both"/>
      </w:pPr>
      <w:r>
        <w:t xml:space="preserve">Z hlediska </w:t>
      </w:r>
      <w:r w:rsidRPr="00CF2942">
        <w:rPr>
          <w:b/>
        </w:rPr>
        <w:t>právní formy</w:t>
      </w:r>
      <w:r>
        <w:t xml:space="preserve"> se dotazníkového šetření účastnilo minimálně </w:t>
      </w:r>
      <w:r w:rsidRPr="00CF2942">
        <w:rPr>
          <w:b/>
        </w:rPr>
        <w:t>75 společností s ručením omezeným</w:t>
      </w:r>
      <w:r>
        <w:t xml:space="preserve"> (74</w:t>
      </w:r>
      <w:r w:rsidR="001B4997">
        <w:t xml:space="preserve"> </w:t>
      </w:r>
      <w:r w:rsidRPr="000424FC">
        <w:t>%</w:t>
      </w:r>
      <w:r>
        <w:t xml:space="preserve"> respondentů), minimálně </w:t>
      </w:r>
      <w:r w:rsidRPr="00CF2942">
        <w:rPr>
          <w:b/>
        </w:rPr>
        <w:t>25 akciových společností</w:t>
      </w:r>
      <w:r>
        <w:t xml:space="preserve"> (24</w:t>
      </w:r>
      <w:r w:rsidR="001B4997">
        <w:t xml:space="preserve"> </w:t>
      </w:r>
      <w:r w:rsidRPr="000424FC">
        <w:t>%</w:t>
      </w:r>
      <w:r>
        <w:t xml:space="preserve"> respondentů), minimálně </w:t>
      </w:r>
      <w:r w:rsidRPr="00CF2942">
        <w:rPr>
          <w:b/>
        </w:rPr>
        <w:t>jeden OSVČ</w:t>
      </w:r>
      <w:r w:rsidR="00B10CFA">
        <w:t xml:space="preserve"> a </w:t>
      </w:r>
      <w:r w:rsidRPr="00CF2942">
        <w:rPr>
          <w:b/>
        </w:rPr>
        <w:t>jeden spolek.</w:t>
      </w:r>
      <w:r>
        <w:t xml:space="preserve"> </w:t>
      </w:r>
    </w:p>
    <w:p w14:paraId="1A207F29" w14:textId="77777777" w:rsidR="00F836DE" w:rsidRDefault="00F836DE" w:rsidP="00555447">
      <w:pPr>
        <w:ind w:left="360"/>
        <w:jc w:val="both"/>
      </w:pPr>
      <w:r>
        <w:t xml:space="preserve">Mezi respondenty dotazníkového šetření byly poměrně </w:t>
      </w:r>
      <w:r w:rsidRPr="00CF2942">
        <w:rPr>
          <w:b/>
        </w:rPr>
        <w:t>rovnoměrně</w:t>
      </w:r>
      <w:r w:rsidR="00B10CFA">
        <w:rPr>
          <w:b/>
        </w:rPr>
        <w:t xml:space="preserve"> a </w:t>
      </w:r>
      <w:r w:rsidRPr="00CF2942">
        <w:rPr>
          <w:b/>
        </w:rPr>
        <w:t>reprezentativně zastoupeny všechny velikost</w:t>
      </w:r>
      <w:r w:rsidR="001B4997">
        <w:rPr>
          <w:b/>
        </w:rPr>
        <w:t>i</w:t>
      </w:r>
      <w:r w:rsidRPr="00CF2942">
        <w:rPr>
          <w:b/>
        </w:rPr>
        <w:t xml:space="preserve"> podniků.</w:t>
      </w:r>
      <w:r>
        <w:rPr>
          <w:b/>
        </w:rPr>
        <w:t xml:space="preserve"> </w:t>
      </w:r>
      <w:r>
        <w:t>Dotazník vyplnilo 15 mikropodniků (12 %), 37 malých podniků (31 %), 35 středních podniků (29 %)</w:t>
      </w:r>
      <w:r w:rsidR="00B10CFA">
        <w:t xml:space="preserve"> a </w:t>
      </w:r>
      <w:r>
        <w:t xml:space="preserve">25 velkých podniků (21 %). 9 odpovědí se kvůli chybně vyplněnému číslu projektu nepodařilo identifikovat. Níže uvedený graf znázorňuje </w:t>
      </w:r>
      <w:r w:rsidR="001B4997">
        <w:t xml:space="preserve">procentuální </w:t>
      </w:r>
      <w:r>
        <w:t>zastoupení odpovědí různých velikostí podniků vzhledem</w:t>
      </w:r>
      <w:r w:rsidR="00B10CFA">
        <w:t xml:space="preserve"> k </w:t>
      </w:r>
      <w:r>
        <w:t xml:space="preserve">rozložení podpory mezi všemi příjemci podpory ve vybraném vzorku. </w:t>
      </w:r>
    </w:p>
    <w:p w14:paraId="6BBB0662" w14:textId="77777777" w:rsidR="00F836DE" w:rsidRDefault="00F836DE" w:rsidP="00F836DE">
      <w:pPr>
        <w:ind w:left="360"/>
      </w:pPr>
    </w:p>
    <w:p w14:paraId="00F0CA2D" w14:textId="77777777" w:rsidR="00F836DE" w:rsidRDefault="00F836DE" w:rsidP="00F836DE">
      <w:pPr>
        <w:ind w:left="360"/>
        <w:jc w:val="center"/>
      </w:pPr>
      <w:r>
        <w:rPr>
          <w:noProof/>
          <w:lang w:eastAsia="cs-CZ"/>
        </w:rPr>
        <w:drawing>
          <wp:inline distT="0" distB="0" distL="0" distR="0" wp14:anchorId="1C95A4FC" wp14:editId="33E71EBB">
            <wp:extent cx="5353050" cy="22288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88DB78" w14:textId="77777777" w:rsidR="00F836DE" w:rsidRDefault="00F836DE" w:rsidP="00555447">
      <w:pPr>
        <w:ind w:left="360"/>
        <w:jc w:val="both"/>
      </w:pPr>
      <w:r>
        <w:t>Obdobně rovnoměrně jsou respondenti dotazníkového šetření zastoupeni</w:t>
      </w:r>
      <w:r w:rsidR="00B10CFA">
        <w:t xml:space="preserve"> i z </w:t>
      </w:r>
      <w:r>
        <w:t>pohledu krajů. Nejvíce odpovědí bylo zaznamenáno od příjemců</w:t>
      </w:r>
      <w:r w:rsidR="00B10CFA">
        <w:t xml:space="preserve"> z </w:t>
      </w:r>
      <w:r w:rsidRPr="00CF2942">
        <w:rPr>
          <w:b/>
        </w:rPr>
        <w:t>Jihomoravského kraje</w:t>
      </w:r>
      <w:r>
        <w:rPr>
          <w:b/>
        </w:rPr>
        <w:t xml:space="preserve"> 22 odpovědí (18 %)</w:t>
      </w:r>
      <w:r>
        <w:t>. Zatímco největší počet oslovených respondentů se nacházel v Jihočeském kraji (111 příjemců podpory, 18</w:t>
      </w:r>
      <w:r w:rsidR="001B4997">
        <w:t> </w:t>
      </w:r>
      <w:r>
        <w:t>%), dotazník zde vyplnili pouze dva příjemci podpory. Dotazník nezodpověděl ani jeden</w:t>
      </w:r>
      <w:r w:rsidR="00B10CFA">
        <w:t xml:space="preserve"> z </w:t>
      </w:r>
      <w:r>
        <w:t xml:space="preserve">oslovených 77 příjemců podpory v Karlovarském kraji. </w:t>
      </w:r>
    </w:p>
    <w:p w14:paraId="0D584A23" w14:textId="77777777" w:rsidR="00F836DE" w:rsidRDefault="00F836DE" w:rsidP="00F836DE">
      <w:pPr>
        <w:ind w:left="360"/>
      </w:pPr>
      <w:r>
        <w:t>Následující graf znázorňuje rozložení respondentů</w:t>
      </w:r>
      <w:r w:rsidR="00B10CFA">
        <w:t xml:space="preserve"> a </w:t>
      </w:r>
      <w:r>
        <w:t xml:space="preserve">vyplněných dotazníků dle krajů. </w:t>
      </w:r>
    </w:p>
    <w:p w14:paraId="0F20E0E5" w14:textId="77777777" w:rsidR="00F836DE" w:rsidRDefault="00F836DE" w:rsidP="00F836DE">
      <w:pPr>
        <w:ind w:left="360"/>
        <w:jc w:val="center"/>
      </w:pPr>
      <w:r>
        <w:rPr>
          <w:noProof/>
          <w:lang w:eastAsia="cs-CZ"/>
        </w:rPr>
        <w:drawing>
          <wp:inline distT="0" distB="0" distL="0" distR="0" wp14:anchorId="4492B4D7" wp14:editId="4B306BD4">
            <wp:extent cx="5276850" cy="2438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60678C" w14:textId="77777777" w:rsidR="00F836DE" w:rsidRDefault="00F836DE" w:rsidP="00555447">
      <w:pPr>
        <w:jc w:val="both"/>
      </w:pPr>
      <w:r>
        <w:t xml:space="preserve">Z hlediska </w:t>
      </w:r>
      <w:r w:rsidRPr="00CF2942">
        <w:rPr>
          <w:b/>
        </w:rPr>
        <w:t>odvětví podnikání</w:t>
      </w:r>
      <w:r>
        <w:t xml:space="preserve"> bylo mezi respondenty zastoupeno </w:t>
      </w:r>
      <w:r w:rsidRPr="00CF2942">
        <w:rPr>
          <w:b/>
        </w:rPr>
        <w:t>55 druhů ekonomických činností</w:t>
      </w:r>
      <w:r w:rsidR="00B10CFA">
        <w:rPr>
          <w:b/>
        </w:rPr>
        <w:t xml:space="preserve"> a </w:t>
      </w:r>
      <w:r w:rsidRPr="00CF2942">
        <w:rPr>
          <w:b/>
        </w:rPr>
        <w:t>produkce dle klasifikace NACE</w:t>
      </w:r>
      <w:r>
        <w:t>. Výsledky dotazníku tak reflektují širokou škálu sektorů</w:t>
      </w:r>
      <w:r w:rsidR="00B10CFA">
        <w:t xml:space="preserve"> a </w:t>
      </w:r>
      <w:r>
        <w:t>odvětví podnikání, aniž by výraznějším způsobem některý</w:t>
      </w:r>
      <w:r w:rsidR="00B10CFA">
        <w:t xml:space="preserve"> z </w:t>
      </w:r>
      <w:r>
        <w:t xml:space="preserve">nich reprezentovaly. </w:t>
      </w:r>
    </w:p>
    <w:p w14:paraId="3C7170D0" w14:textId="77777777" w:rsidR="00F836DE" w:rsidRPr="00555447" w:rsidRDefault="00F836DE" w:rsidP="00F836DE">
      <w:pPr>
        <w:pStyle w:val="Bntext"/>
        <w:rPr>
          <w:rFonts w:asciiTheme="minorHAnsi" w:hAnsiTheme="minorHAnsi"/>
          <w:b/>
          <w:color w:val="62B5E5" w:themeColor="accent3"/>
          <w:sz w:val="18"/>
          <w:szCs w:val="18"/>
        </w:rPr>
      </w:pPr>
      <w:r w:rsidRPr="00555447">
        <w:rPr>
          <w:rFonts w:asciiTheme="minorHAnsi" w:hAnsiTheme="minorHAnsi"/>
          <w:b/>
          <w:color w:val="62B5E5" w:themeColor="accent3"/>
          <w:sz w:val="18"/>
          <w:szCs w:val="18"/>
        </w:rPr>
        <w:t>Kvalitativní analýza</w:t>
      </w:r>
    </w:p>
    <w:p w14:paraId="6701C309" w14:textId="77777777" w:rsidR="00F836DE" w:rsidRPr="005455D1" w:rsidRDefault="00F836DE" w:rsidP="00F836DE">
      <w:pPr>
        <w:spacing w:after="120"/>
        <w:rPr>
          <w:b/>
        </w:rPr>
      </w:pPr>
      <w:r w:rsidRPr="005455D1">
        <w:rPr>
          <w:b/>
        </w:rPr>
        <w:t>Vliv podpo</w:t>
      </w:r>
      <w:r>
        <w:rPr>
          <w:b/>
        </w:rPr>
        <w:t>ry</w:t>
      </w:r>
      <w:r w:rsidRPr="005455D1">
        <w:rPr>
          <w:b/>
        </w:rPr>
        <w:t xml:space="preserve"> na inovační výkonnost podniku</w:t>
      </w:r>
    </w:p>
    <w:p w14:paraId="49A42A8D" w14:textId="77777777" w:rsidR="00F836DE" w:rsidRPr="00CF7CE0" w:rsidRDefault="00F836DE" w:rsidP="00555447">
      <w:pPr>
        <w:jc w:val="both"/>
      </w:pPr>
      <w:r>
        <w:t xml:space="preserve">U všech projektů měla podpora </w:t>
      </w:r>
      <w:r w:rsidRPr="00CF2942">
        <w:rPr>
          <w:b/>
        </w:rPr>
        <w:t>pozitivní vliv na nárůst inovační výkonnosti</w:t>
      </w:r>
      <w:r>
        <w:t xml:space="preserve"> podniku. U </w:t>
      </w:r>
      <w:r w:rsidRPr="00CF2942">
        <w:rPr>
          <w:b/>
        </w:rPr>
        <w:t>60 % respondentů</w:t>
      </w:r>
      <w:r>
        <w:t xml:space="preserve"> došlo</w:t>
      </w:r>
      <w:r w:rsidR="00B10CFA">
        <w:t xml:space="preserve"> k </w:t>
      </w:r>
      <w:r>
        <w:t xml:space="preserve">řádovému zlepšení inovační výkonnosti </w:t>
      </w:r>
      <w:r w:rsidRPr="00CF2942">
        <w:rPr>
          <w:b/>
        </w:rPr>
        <w:t>do 25</w:t>
      </w:r>
      <w:r>
        <w:rPr>
          <w:b/>
        </w:rPr>
        <w:t> </w:t>
      </w:r>
      <w:r w:rsidRPr="00CF2942">
        <w:rPr>
          <w:b/>
        </w:rPr>
        <w:t>%</w:t>
      </w:r>
      <w:r w:rsidRPr="00555447">
        <w:t>,</w:t>
      </w:r>
      <w:r w:rsidR="00B10CFA">
        <w:t xml:space="preserve"> u </w:t>
      </w:r>
      <w:r>
        <w:rPr>
          <w:b/>
        </w:rPr>
        <w:t>2</w:t>
      </w:r>
      <w:r w:rsidRPr="00CF2942">
        <w:rPr>
          <w:b/>
        </w:rPr>
        <w:t>4</w:t>
      </w:r>
      <w:r>
        <w:rPr>
          <w:b/>
        </w:rPr>
        <w:t xml:space="preserve"> </w:t>
      </w:r>
      <w:r w:rsidRPr="00CF2942">
        <w:rPr>
          <w:b/>
        </w:rPr>
        <w:t>% respondentů</w:t>
      </w:r>
      <w:r w:rsidR="00B10CFA">
        <w:t xml:space="preserve"> o </w:t>
      </w:r>
      <w:r w:rsidRPr="00CF2942">
        <w:rPr>
          <w:b/>
        </w:rPr>
        <w:t>více než 25</w:t>
      </w:r>
      <w:r w:rsidR="001B4997">
        <w:rPr>
          <w:b/>
        </w:rPr>
        <w:t xml:space="preserve"> </w:t>
      </w:r>
      <w:r w:rsidRPr="00555447">
        <w:rPr>
          <w:b/>
        </w:rPr>
        <w:t>%</w:t>
      </w:r>
      <w:r>
        <w:t>. Osmi respondentům se inovační výkonnost zdvojnásobila</w:t>
      </w:r>
      <w:r w:rsidR="00B10CFA">
        <w:t xml:space="preserve"> a u </w:t>
      </w:r>
      <w:r>
        <w:t>10 respondentů vedla podpora</w:t>
      </w:r>
      <w:r w:rsidR="00B10CFA">
        <w:t xml:space="preserve"> k </w:t>
      </w:r>
      <w:r>
        <w:t>zahájení výzkumných</w:t>
      </w:r>
      <w:r w:rsidR="00B10CFA">
        <w:t xml:space="preserve"> a </w:t>
      </w:r>
      <w:r>
        <w:t xml:space="preserve">inovačních aktivit.  </w:t>
      </w:r>
    </w:p>
    <w:p w14:paraId="3A014DD9" w14:textId="77777777" w:rsidR="00F836DE" w:rsidRDefault="00F836DE" w:rsidP="00F836DE">
      <w:pPr>
        <w:jc w:val="center"/>
      </w:pPr>
      <w:r>
        <w:rPr>
          <w:noProof/>
          <w:lang w:eastAsia="cs-CZ"/>
        </w:rPr>
        <w:drawing>
          <wp:inline distT="0" distB="0" distL="0" distR="0" wp14:anchorId="1BA5880C" wp14:editId="3860FAA5">
            <wp:extent cx="5772150" cy="1743075"/>
            <wp:effectExtent l="0" t="0" r="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144384" w14:textId="77777777" w:rsidR="00F836DE" w:rsidRDefault="001B4997" w:rsidP="00555447">
      <w:pPr>
        <w:jc w:val="both"/>
      </w:pPr>
      <w:r w:rsidRPr="00555447">
        <w:t>Jak je patrné</w:t>
      </w:r>
      <w:r w:rsidR="00B10CFA">
        <w:t xml:space="preserve"> z </w:t>
      </w:r>
      <w:r w:rsidRPr="00555447">
        <w:t>následujícího grafu,</w:t>
      </w:r>
      <w:r>
        <w:rPr>
          <w:b/>
        </w:rPr>
        <w:t xml:space="preserve"> n</w:t>
      </w:r>
      <w:r w:rsidR="00F836DE" w:rsidRPr="00CF2942">
        <w:rPr>
          <w:b/>
        </w:rPr>
        <w:t>ejvýraznější vliv podpory na nárůst inovační výkonnosti</w:t>
      </w:r>
      <w:r w:rsidR="00F836DE">
        <w:t xml:space="preserve"> byl zaznamenán</w:t>
      </w:r>
      <w:r w:rsidR="00B10CFA">
        <w:t xml:space="preserve"> u </w:t>
      </w:r>
      <w:r w:rsidR="00F836DE" w:rsidRPr="00CF2942">
        <w:rPr>
          <w:b/>
        </w:rPr>
        <w:t>malých</w:t>
      </w:r>
      <w:r w:rsidR="00B10CFA">
        <w:rPr>
          <w:b/>
        </w:rPr>
        <w:t xml:space="preserve"> a </w:t>
      </w:r>
      <w:r w:rsidR="00F836DE" w:rsidRPr="00CF2942">
        <w:rPr>
          <w:b/>
        </w:rPr>
        <w:t>středních podniků</w:t>
      </w:r>
      <w:r w:rsidR="00F836DE">
        <w:t>. Podpora měla významný vliv na inovační výkonnost mikropodniků, nejčastěji mezi 26</w:t>
      </w:r>
      <w:r w:rsidR="00B10CFA">
        <w:t xml:space="preserve"> a </w:t>
      </w:r>
      <w:r w:rsidR="00F836DE">
        <w:t>50 %. Toto zjištění koreluje se zjištěními získanými v rámci hloubkových rozhovorů</w:t>
      </w:r>
      <w:r w:rsidR="00B10CFA">
        <w:t xml:space="preserve"> a </w:t>
      </w:r>
      <w:r w:rsidR="00F836DE">
        <w:t>odráží fakt, že bez podpory SC 1.1 OP PIK by inovační výkonnost malých podniků</w:t>
      </w:r>
      <w:r w:rsidR="00B10CFA">
        <w:t xml:space="preserve"> a </w:t>
      </w:r>
      <w:r w:rsidR="00F836DE">
        <w:t xml:space="preserve">mikropodniků nerostla nebo rostla výrazně pomaleji. </w:t>
      </w:r>
    </w:p>
    <w:p w14:paraId="276EF5F2" w14:textId="77777777" w:rsidR="00F836DE" w:rsidRDefault="00F836DE" w:rsidP="00F836DE">
      <w:pPr>
        <w:jc w:val="center"/>
      </w:pPr>
      <w:r>
        <w:rPr>
          <w:noProof/>
          <w:lang w:eastAsia="cs-CZ"/>
        </w:rPr>
        <w:drawing>
          <wp:inline distT="0" distB="0" distL="0" distR="0" wp14:anchorId="7B7C4DF3" wp14:editId="6AC76474">
            <wp:extent cx="5457825" cy="1962150"/>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DE1A55" w14:textId="77777777" w:rsidR="00F836DE" w:rsidRPr="00A04707" w:rsidRDefault="00F836DE" w:rsidP="00F836DE">
      <w:pPr>
        <w:jc w:val="center"/>
      </w:pPr>
    </w:p>
    <w:p w14:paraId="71A50B6A" w14:textId="77777777" w:rsidR="00F836DE" w:rsidRDefault="00F836DE" w:rsidP="004C1DB1">
      <w:pPr>
        <w:jc w:val="both"/>
      </w:pPr>
      <w:r>
        <w:t xml:space="preserve">Dle výsledků dotazníkového šetření byl vliv na inovační výkonnost podniků mezi jednotlivými programy podpory poměrně vyrovnaný. Nejméně výrazný vliv byl v programu Inovace, to ale může být dáno střídmějším odhadem respondentů. </w:t>
      </w:r>
    </w:p>
    <w:p w14:paraId="63B3C7DC" w14:textId="77777777" w:rsidR="00F836DE" w:rsidRDefault="00F836DE" w:rsidP="00F836DE">
      <w:pPr>
        <w:jc w:val="center"/>
      </w:pPr>
      <w:r w:rsidRPr="00CF6089">
        <w:rPr>
          <w:noProof/>
          <w:lang w:eastAsia="cs-CZ"/>
        </w:rPr>
        <w:drawing>
          <wp:inline distT="0" distB="0" distL="0" distR="0" wp14:anchorId="7E6595AC" wp14:editId="1A2BD81B">
            <wp:extent cx="5324475" cy="215265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07218F" w14:textId="77777777" w:rsidR="00F836DE" w:rsidRPr="008B7D1C" w:rsidRDefault="00F836DE" w:rsidP="00F836DE">
      <w:pPr>
        <w:jc w:val="center"/>
      </w:pPr>
    </w:p>
    <w:p w14:paraId="439F2E3C" w14:textId="77777777" w:rsidR="00F836DE" w:rsidRPr="005455D1" w:rsidRDefault="00F836DE" w:rsidP="00F836DE">
      <w:pPr>
        <w:rPr>
          <w:b/>
        </w:rPr>
      </w:pPr>
      <w:r w:rsidRPr="005455D1">
        <w:rPr>
          <w:b/>
        </w:rPr>
        <w:t>Vliv podpo</w:t>
      </w:r>
      <w:r>
        <w:rPr>
          <w:b/>
        </w:rPr>
        <w:t>ry</w:t>
      </w:r>
      <w:r w:rsidRPr="005455D1">
        <w:rPr>
          <w:b/>
        </w:rPr>
        <w:t xml:space="preserve"> na technologickou kapacitu pro výzkum</w:t>
      </w:r>
    </w:p>
    <w:p w14:paraId="4CBD91FC" w14:textId="77777777" w:rsidR="00F836DE" w:rsidRDefault="00F836DE" w:rsidP="004C1DB1">
      <w:pPr>
        <w:jc w:val="both"/>
      </w:pPr>
      <w:r>
        <w:t>Vliv podpory na zvýšení technologické kapacity podniků</w:t>
      </w:r>
      <w:r w:rsidRPr="00CF2942">
        <w:rPr>
          <w:b/>
        </w:rPr>
        <w:t xml:space="preserve"> není</w:t>
      </w:r>
      <w:r>
        <w:t xml:space="preserve"> dle zjištění dotazníkového šetření </w:t>
      </w:r>
      <w:r w:rsidRPr="00CF2942">
        <w:rPr>
          <w:b/>
        </w:rPr>
        <w:t xml:space="preserve">tak </w:t>
      </w:r>
      <w:r>
        <w:rPr>
          <w:b/>
        </w:rPr>
        <w:t>významný</w:t>
      </w:r>
      <w:r>
        <w:t xml:space="preserve"> jako vliv na inovační výkonnost. Většina respondentů odhadla nárůst technologické kapacity do 10 % (36</w:t>
      </w:r>
      <w:r w:rsidR="00C661CE">
        <w:t xml:space="preserve"> </w:t>
      </w:r>
      <w:r w:rsidRPr="000424FC">
        <w:t>% respondent</w:t>
      </w:r>
      <w:r>
        <w:t>ů), respektive 25 % (28</w:t>
      </w:r>
      <w:r w:rsidR="00C661CE">
        <w:t xml:space="preserve"> </w:t>
      </w:r>
      <w:r w:rsidRPr="000424FC">
        <w:t>%</w:t>
      </w:r>
      <w:r>
        <w:t xml:space="preserve"> respondentů). Téměř čtvrtina respondentů uvedla, že se technologická kapacita pro výzkum nezměnila. </w:t>
      </w:r>
    </w:p>
    <w:p w14:paraId="1F964764" w14:textId="77777777" w:rsidR="00F836DE" w:rsidRDefault="00F836DE" w:rsidP="00F836DE">
      <w:pPr>
        <w:jc w:val="center"/>
      </w:pPr>
      <w:r w:rsidRPr="004C1DB1">
        <w:rPr>
          <w:noProof/>
          <w:shd w:val="clear" w:color="auto" w:fill="D0EC9F" w:themeFill="accent1" w:themeFillTint="66"/>
          <w:lang w:eastAsia="cs-CZ"/>
        </w:rPr>
        <w:drawing>
          <wp:inline distT="0" distB="0" distL="0" distR="0" wp14:anchorId="1F0E3796" wp14:editId="7F773CAC">
            <wp:extent cx="5343525" cy="187642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3D8ECF" w14:textId="77777777" w:rsidR="00F836DE" w:rsidRDefault="00F836DE" w:rsidP="004C1DB1">
      <w:pPr>
        <w:jc w:val="both"/>
      </w:pPr>
      <w:r>
        <w:t xml:space="preserve">Z následujícího grafu je patrné, že </w:t>
      </w:r>
      <w:r w:rsidRPr="0053009F">
        <w:rPr>
          <w:b/>
        </w:rPr>
        <w:t>nárůst technologické kapacity nebyl mezi respondenty nijak výrazný ani napříč programy podpory</w:t>
      </w:r>
      <w:r>
        <w:t>. Největší nárůst kapacity byl zaznamenán</w:t>
      </w:r>
      <w:r w:rsidR="00B10CFA">
        <w:t xml:space="preserve"> u </w:t>
      </w:r>
      <w:r>
        <w:t>příjemců podpory programu Inovace, kde 38 ze 49 respondentů odhadlo nárůst kapacit. Velmi podobná situace byla</w:t>
      </w:r>
      <w:r w:rsidR="00B10CFA">
        <w:t xml:space="preserve"> i u </w:t>
      </w:r>
      <w:r>
        <w:t>příjemců podpory Aplikace, kde nárůst kapacit odhadlo 35</w:t>
      </w:r>
      <w:r w:rsidR="00B10CFA">
        <w:t xml:space="preserve"> z </w:t>
      </w:r>
      <w:r>
        <w:t>51 příjemců, zároveň ale 16 příjemců neevidovalo významnou změnu v technologické kapacitě. Analýza nárůstu kapacit</w:t>
      </w:r>
      <w:r w:rsidR="00B10CFA">
        <w:t xml:space="preserve"> u </w:t>
      </w:r>
      <w:r>
        <w:t>příjemců podpory programu Potenciál není</w:t>
      </w:r>
      <w:r w:rsidR="00B10CFA">
        <w:t xml:space="preserve"> z </w:t>
      </w:r>
      <w:r>
        <w:t>důvodu relativně nízkého počtu odpovědí zcela reprezentativní, neboť odpověď uvedlo pouze 16 respondentů. Nicméně všichni respondenti hodnotili růst kladně</w:t>
      </w:r>
      <w:r w:rsidR="00B10CFA">
        <w:t xml:space="preserve"> a </w:t>
      </w:r>
      <w:r>
        <w:t>lze tedy usuzovat, že</w:t>
      </w:r>
      <w:r w:rsidR="00B10CFA">
        <w:t xml:space="preserve"> i </w:t>
      </w:r>
      <w:r>
        <w:t>v </w:t>
      </w:r>
      <w:r w:rsidRPr="00DD587A">
        <w:rPr>
          <w:b/>
        </w:rPr>
        <w:t xml:space="preserve">tomto programu je vliv podpory </w:t>
      </w:r>
      <w:r>
        <w:rPr>
          <w:b/>
        </w:rPr>
        <w:t xml:space="preserve">v zásadě </w:t>
      </w:r>
      <w:r w:rsidRPr="00DD587A">
        <w:rPr>
          <w:b/>
        </w:rPr>
        <w:t>pozitivní</w:t>
      </w:r>
      <w:r>
        <w:t xml:space="preserve">. </w:t>
      </w:r>
    </w:p>
    <w:p w14:paraId="4B9C7FFA" w14:textId="77777777" w:rsidR="00F836DE" w:rsidRPr="002501AD" w:rsidRDefault="00F836DE" w:rsidP="00F836DE">
      <w:pPr>
        <w:jc w:val="center"/>
      </w:pPr>
      <w:r>
        <w:rPr>
          <w:noProof/>
          <w:lang w:eastAsia="cs-CZ"/>
        </w:rPr>
        <w:drawing>
          <wp:inline distT="0" distB="0" distL="0" distR="0" wp14:anchorId="1C5F81C1" wp14:editId="170198EA">
            <wp:extent cx="5505450" cy="2390775"/>
            <wp:effectExtent l="0" t="0" r="0" b="952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E67F6C" w14:textId="77777777" w:rsidR="00F836DE" w:rsidRPr="00F968FC" w:rsidRDefault="00F836DE" w:rsidP="004C1DB1">
      <w:pPr>
        <w:jc w:val="both"/>
      </w:pPr>
      <w:r>
        <w:t xml:space="preserve">Z hlediska velikosti podniků byl zaznamenán nejvýraznější </w:t>
      </w:r>
      <w:r w:rsidRPr="00CF2942">
        <w:rPr>
          <w:b/>
        </w:rPr>
        <w:t>růst technologické kapacity</w:t>
      </w:r>
      <w:r w:rsidR="00B10CFA">
        <w:t xml:space="preserve"> u </w:t>
      </w:r>
      <w:r w:rsidRPr="00CF2942">
        <w:rPr>
          <w:b/>
        </w:rPr>
        <w:t>mikropodniků</w:t>
      </w:r>
      <w:r>
        <w:t>, naopak nejméně výrazný růst byl zaznamenán</w:t>
      </w:r>
      <w:r w:rsidR="00B10CFA">
        <w:t xml:space="preserve"> u </w:t>
      </w:r>
      <w:r>
        <w:t>velkých podniků, kde nepřesáhl 26 %  ani</w:t>
      </w:r>
      <w:r w:rsidR="00B10CFA">
        <w:t xml:space="preserve"> u </w:t>
      </w:r>
      <w:r>
        <w:t>jednoho příjemce podpory.</w:t>
      </w:r>
    </w:p>
    <w:p w14:paraId="1EB337C4" w14:textId="77777777" w:rsidR="00F836DE" w:rsidRDefault="00F836DE" w:rsidP="00F836DE">
      <w:pPr>
        <w:pStyle w:val="ListParagraph"/>
      </w:pPr>
    </w:p>
    <w:p w14:paraId="5C6F1266" w14:textId="77777777" w:rsidR="00F836DE" w:rsidRDefault="00F836DE" w:rsidP="00F836DE">
      <w:pPr>
        <w:pStyle w:val="ListParagraph"/>
        <w:jc w:val="center"/>
      </w:pPr>
      <w:r w:rsidRPr="00DD587A">
        <w:rPr>
          <w:noProof/>
          <w:color w:val="FFFFFF" w:themeColor="background1"/>
          <w:lang w:eastAsia="cs-CZ"/>
        </w:rPr>
        <w:drawing>
          <wp:inline distT="0" distB="0" distL="0" distR="0" wp14:anchorId="33540DA5" wp14:editId="3A9C351B">
            <wp:extent cx="5667375" cy="2076450"/>
            <wp:effectExtent l="0" t="0" r="952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21B5BD" w14:textId="77777777" w:rsidR="00F836DE" w:rsidRPr="005455D1" w:rsidRDefault="00F836DE" w:rsidP="00F836DE">
      <w:pPr>
        <w:rPr>
          <w:b/>
        </w:rPr>
      </w:pPr>
      <w:r w:rsidRPr="005455D1">
        <w:rPr>
          <w:b/>
        </w:rPr>
        <w:t>Vliv podpo</w:t>
      </w:r>
      <w:r>
        <w:rPr>
          <w:b/>
        </w:rPr>
        <w:t xml:space="preserve">ry </w:t>
      </w:r>
      <w:r w:rsidRPr="005455D1">
        <w:rPr>
          <w:b/>
        </w:rPr>
        <w:t>na personální kapacitu příjemce pro výzkum</w:t>
      </w:r>
    </w:p>
    <w:p w14:paraId="2445CF9B" w14:textId="77777777" w:rsidR="00F836DE" w:rsidRDefault="00F836DE" w:rsidP="004C1DB1">
      <w:pPr>
        <w:jc w:val="both"/>
      </w:pPr>
      <w:r>
        <w:t xml:space="preserve">Z dotazníkového šetření vyplynulo, že vliv podpory na </w:t>
      </w:r>
      <w:r w:rsidRPr="00CF2942">
        <w:rPr>
          <w:b/>
        </w:rPr>
        <w:t>navýšení personálních kapacit podniků</w:t>
      </w:r>
      <w:r>
        <w:t xml:space="preserve"> je </w:t>
      </w:r>
      <w:r w:rsidRPr="00CF2942">
        <w:rPr>
          <w:b/>
        </w:rPr>
        <w:t>velmi nízký</w:t>
      </w:r>
      <w:r>
        <w:t>. U 37 % respondentů nedošlo</w:t>
      </w:r>
      <w:r w:rsidR="00B10CFA">
        <w:t xml:space="preserve"> k </w:t>
      </w:r>
      <w:r>
        <w:t xml:space="preserve">žádné změně personálních kapacit. </w:t>
      </w:r>
    </w:p>
    <w:p w14:paraId="253A2CC6" w14:textId="77777777" w:rsidR="00F836DE" w:rsidRDefault="00F836DE" w:rsidP="00F836DE">
      <w:pPr>
        <w:jc w:val="center"/>
      </w:pPr>
      <w:r>
        <w:rPr>
          <w:noProof/>
          <w:lang w:eastAsia="cs-CZ"/>
        </w:rPr>
        <w:drawing>
          <wp:inline distT="0" distB="0" distL="0" distR="0" wp14:anchorId="15AE0F33" wp14:editId="5189C874">
            <wp:extent cx="5638800" cy="20764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D47C00" w14:textId="77777777" w:rsidR="00F836DE" w:rsidRDefault="00F836DE" w:rsidP="00F836DE">
      <w:r>
        <w:t xml:space="preserve">Omezený vliv podpory na zvyšování personální kapacity podniků je stejný napříč velikostními kategoriemi podniků. U většiny podniků se personální kapacita nezměnila vůbec, nebo velmi málo. </w:t>
      </w:r>
    </w:p>
    <w:p w14:paraId="49A5DE32" w14:textId="77777777" w:rsidR="00F836DE" w:rsidRPr="005455D1" w:rsidRDefault="00F836DE" w:rsidP="00F836DE">
      <w:pPr>
        <w:rPr>
          <w:b/>
        </w:rPr>
      </w:pPr>
      <w:r>
        <w:rPr>
          <w:b/>
        </w:rPr>
        <w:t>Zavedené inovace dle typu</w:t>
      </w:r>
    </w:p>
    <w:p w14:paraId="7B4A07F7" w14:textId="77777777" w:rsidR="00F836DE" w:rsidRDefault="00F836DE" w:rsidP="004C1DB1">
      <w:pPr>
        <w:jc w:val="both"/>
      </w:pPr>
      <w:r>
        <w:t xml:space="preserve">Mezi inovacemi byly nejvíce zastoupeny </w:t>
      </w:r>
      <w:r w:rsidRPr="00CF2942">
        <w:rPr>
          <w:b/>
        </w:rPr>
        <w:t>produktové</w:t>
      </w:r>
      <w:r>
        <w:rPr>
          <w:b/>
        </w:rPr>
        <w:t xml:space="preserve"> (68, tedy 66 %)</w:t>
      </w:r>
      <w:r w:rsidR="00B10CFA">
        <w:t xml:space="preserve"> a </w:t>
      </w:r>
      <w:r w:rsidRPr="00CF2942">
        <w:rPr>
          <w:b/>
        </w:rPr>
        <w:t xml:space="preserve">procesní </w:t>
      </w:r>
      <w:r>
        <w:rPr>
          <w:b/>
        </w:rPr>
        <w:t xml:space="preserve">(39, tedy 38 %) </w:t>
      </w:r>
      <w:r w:rsidRPr="00CF2942">
        <w:rPr>
          <w:b/>
        </w:rPr>
        <w:t>inovace</w:t>
      </w:r>
      <w:r>
        <w:t xml:space="preserve">. To je však do značné míry dáno nastavením povinnosti </w:t>
      </w:r>
      <w:r w:rsidRPr="00CF2942">
        <w:rPr>
          <w:b/>
        </w:rPr>
        <w:t>dosažení stěžejní inovace</w:t>
      </w:r>
      <w:r>
        <w:t>, což je ve vztahu</w:t>
      </w:r>
      <w:r w:rsidR="00B10CFA">
        <w:t xml:space="preserve"> k </w:t>
      </w:r>
      <w:r>
        <w:t>výzkumu</w:t>
      </w:r>
      <w:r w:rsidR="00B10CFA">
        <w:t xml:space="preserve"> a </w:t>
      </w:r>
      <w:r>
        <w:t xml:space="preserve">vývoji spíše inovace produktová než procesní, která je </w:t>
      </w:r>
      <w:r w:rsidR="00C661CE">
        <w:t xml:space="preserve">doprovodnou </w:t>
      </w:r>
      <w:r>
        <w:t xml:space="preserve">inovací </w:t>
      </w:r>
      <w:r w:rsidR="00B10CFA">
        <w:t xml:space="preserve"> k </w:t>
      </w:r>
      <w:r w:rsidR="00C661CE">
        <w:t xml:space="preserve"> inovaci </w:t>
      </w:r>
      <w:r>
        <w:t>produktové. Organizační (4 %)</w:t>
      </w:r>
      <w:r w:rsidR="00B10CFA">
        <w:t xml:space="preserve"> a </w:t>
      </w:r>
      <w:r>
        <w:t>marketingové (3 %) inovace jsou pouze doprovodné inovace</w:t>
      </w:r>
      <w:r w:rsidR="00B10CFA">
        <w:t xml:space="preserve"> k </w:t>
      </w:r>
      <w:r>
        <w:t>výše zmíněným. 39 respondentů</w:t>
      </w:r>
      <w:r w:rsidR="00C661CE">
        <w:t xml:space="preserve"> (</w:t>
      </w:r>
      <w:r>
        <w:t>32 %</w:t>
      </w:r>
      <w:r w:rsidR="00C661CE">
        <w:t>)</w:t>
      </w:r>
      <w:r>
        <w:t xml:space="preserve"> uvedlo současně zaměření na produktovou</w:t>
      </w:r>
      <w:r w:rsidR="00B10CFA">
        <w:t xml:space="preserve"> a </w:t>
      </w:r>
      <w:r>
        <w:t xml:space="preserve">procesní inovaci. 3 respondenti uvedli zaměření na všechny čtyři typy inovací. </w:t>
      </w:r>
    </w:p>
    <w:p w14:paraId="62208CD5" w14:textId="77777777" w:rsidR="00F836DE" w:rsidRPr="00B86F26" w:rsidRDefault="00F836DE" w:rsidP="00F836DE">
      <w:r>
        <w:t>Následující graf znázorňuje zastoupení jednotlivých typů inovací.</w:t>
      </w:r>
    </w:p>
    <w:p w14:paraId="15C7BC32" w14:textId="77777777" w:rsidR="00F836DE" w:rsidRPr="00FE05FB" w:rsidRDefault="00F836DE" w:rsidP="00F836DE">
      <w:pPr>
        <w:jc w:val="center"/>
      </w:pPr>
      <w:r>
        <w:rPr>
          <w:noProof/>
          <w:lang w:eastAsia="cs-CZ"/>
        </w:rPr>
        <w:drawing>
          <wp:inline distT="0" distB="0" distL="0" distR="0" wp14:anchorId="2DDBFB6F" wp14:editId="6B499D60">
            <wp:extent cx="5905500" cy="21336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8B8476" w14:textId="77777777" w:rsidR="00F836DE" w:rsidRPr="00CF2942" w:rsidRDefault="00F836DE" w:rsidP="00F836DE">
      <w:pPr>
        <w:rPr>
          <w:b/>
        </w:rPr>
      </w:pPr>
      <w:r w:rsidRPr="00CF2942">
        <w:rPr>
          <w:b/>
        </w:rPr>
        <w:t>Vliv podpory na životní prostředí</w:t>
      </w:r>
    </w:p>
    <w:p w14:paraId="4565627B" w14:textId="77777777" w:rsidR="00F836DE" w:rsidRDefault="00F836DE" w:rsidP="004C1DB1">
      <w:pPr>
        <w:jc w:val="both"/>
      </w:pPr>
      <w:r>
        <w:t>Vliv podpory na životní prostředí je spíše sekundárním, doprovodným efektem inovací. Zlepšení životního prostředí bylo podstatou inovace pouze v 6 % projektů, pro 13 respondentů (25 %) má inovace důležitý vliv na životní prostředí, pro 15 respondentů (29 %) je vliv inovace na životní prostředí pouze částečný</w:t>
      </w:r>
      <w:r w:rsidR="00B10CFA">
        <w:t xml:space="preserve"> a </w:t>
      </w:r>
      <w:r>
        <w:t>pro 20 respondentů (39 %) nemá inovace žádný vliv na životní prostředí.</w:t>
      </w:r>
      <w:r w:rsidR="00502EA7">
        <w:t xml:space="preserve"> </w:t>
      </w:r>
      <w:r>
        <w:t>Všech 51 odpovědí</w:t>
      </w:r>
      <w:r w:rsidR="00B10CFA">
        <w:t xml:space="preserve"> k </w:t>
      </w:r>
      <w:r>
        <w:t>problematice vztahu inovací</w:t>
      </w:r>
      <w:r w:rsidR="00B10CFA">
        <w:t xml:space="preserve"> k </w:t>
      </w:r>
      <w:r>
        <w:t>životnímu prostředí bylo zaznamenáno</w:t>
      </w:r>
      <w:r w:rsidR="00B10CFA">
        <w:t xml:space="preserve"> u </w:t>
      </w:r>
      <w:r>
        <w:t>jednoho jediného programu podpory – Inovace. V ostatních programech nebyla evidována žádná odpověď ve vztahu</w:t>
      </w:r>
      <w:r w:rsidR="00B10CFA">
        <w:t xml:space="preserve"> k </w:t>
      </w:r>
      <w:r>
        <w:t>životnímu prostředí.</w:t>
      </w:r>
    </w:p>
    <w:p w14:paraId="5D7FEAB0" w14:textId="77777777" w:rsidR="00F836DE" w:rsidRDefault="00F836DE" w:rsidP="00F836DE">
      <w:pPr>
        <w:jc w:val="center"/>
      </w:pPr>
      <w:r>
        <w:rPr>
          <w:noProof/>
          <w:lang w:eastAsia="cs-CZ"/>
        </w:rPr>
        <w:drawing>
          <wp:inline distT="0" distB="0" distL="0" distR="0" wp14:anchorId="022753BB" wp14:editId="39C3D71E">
            <wp:extent cx="5886450" cy="19621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5B5242" w14:textId="77777777" w:rsidR="00F836DE" w:rsidRPr="00CF2942" w:rsidRDefault="00F836DE" w:rsidP="00F836DE">
      <w:pPr>
        <w:rPr>
          <w:b/>
        </w:rPr>
      </w:pPr>
      <w:r w:rsidRPr="00CF2942">
        <w:rPr>
          <w:b/>
        </w:rPr>
        <w:t>Zastoupení průmyslových výzev</w:t>
      </w:r>
      <w:r w:rsidR="00B10CFA">
        <w:rPr>
          <w:b/>
        </w:rPr>
        <w:t xml:space="preserve"> a </w:t>
      </w:r>
      <w:r w:rsidRPr="00CF2942">
        <w:rPr>
          <w:b/>
        </w:rPr>
        <w:t>klíčových technologií</w:t>
      </w:r>
    </w:p>
    <w:p w14:paraId="3D6F6C2B" w14:textId="77777777" w:rsidR="00F836DE" w:rsidRDefault="00F836DE" w:rsidP="004C1DB1">
      <w:pPr>
        <w:jc w:val="both"/>
      </w:pPr>
      <w:r>
        <w:t>Lehce nadpoloviční většina respondentů (58 %) uvedla, že inovace nespadá do oblasti průmyslových výzev</w:t>
      </w:r>
      <w:r w:rsidR="00B10CFA">
        <w:t xml:space="preserve"> a </w:t>
      </w:r>
      <w:r>
        <w:t>klíčových technologií. Projekty spadaly do oblasti průmyslových výzev</w:t>
      </w:r>
      <w:r w:rsidR="00B10CFA">
        <w:t xml:space="preserve"> a </w:t>
      </w:r>
      <w:r>
        <w:t>klíčových technologií</w:t>
      </w:r>
      <w:r w:rsidR="00B10CFA">
        <w:t xml:space="preserve"> u </w:t>
      </w:r>
      <w:r>
        <w:t>28 (42 %) respondentů</w:t>
      </w:r>
      <w:r w:rsidR="00B10CFA">
        <w:t xml:space="preserve"> z </w:t>
      </w:r>
      <w:r>
        <w:t xml:space="preserve">67 respondentů, kteří na tuto otázku odpověděli. </w:t>
      </w:r>
    </w:p>
    <w:p w14:paraId="76957E51" w14:textId="77777777" w:rsidR="00F836DE" w:rsidRPr="00CF2942" w:rsidRDefault="00F836DE" w:rsidP="00F836DE">
      <w:pPr>
        <w:rPr>
          <w:b/>
        </w:rPr>
      </w:pPr>
      <w:r>
        <w:rPr>
          <w:b/>
        </w:rPr>
        <w:t>Uvedení inovovaných produktů</w:t>
      </w:r>
      <w:r w:rsidRPr="00CF2942">
        <w:rPr>
          <w:b/>
        </w:rPr>
        <w:t xml:space="preserve"> na trh</w:t>
      </w:r>
    </w:p>
    <w:p w14:paraId="601BDB51" w14:textId="77777777" w:rsidR="00F836DE" w:rsidRDefault="00F836DE" w:rsidP="004C1DB1">
      <w:pPr>
        <w:jc w:val="both"/>
      </w:pPr>
      <w:r>
        <w:t>122 respondentů šetření uvedlo na trh více jak 550 inovovaných produktů,</w:t>
      </w:r>
      <w:r w:rsidR="00B10CFA">
        <w:t xml:space="preserve"> z </w:t>
      </w:r>
      <w:r>
        <w:t xml:space="preserve">toho více jak 250 </w:t>
      </w:r>
      <w:r w:rsidR="00502EA7">
        <w:t xml:space="preserve">produktů </w:t>
      </w:r>
      <w:r>
        <w:t>na český trh</w:t>
      </w:r>
      <w:r w:rsidR="00B10CFA">
        <w:t xml:space="preserve"> a </w:t>
      </w:r>
      <w:r>
        <w:t>300 produktů na zahraniční trh. V průměru se tedy jedná</w:t>
      </w:r>
      <w:r w:rsidR="00B10CFA">
        <w:t xml:space="preserve"> o </w:t>
      </w:r>
      <w:r>
        <w:t>4</w:t>
      </w:r>
      <w:r w:rsidR="00502EA7">
        <w:t>,</w:t>
      </w:r>
      <w:r>
        <w:t>5</w:t>
      </w:r>
      <w:r w:rsidRPr="00CF2942">
        <w:rPr>
          <w:b/>
        </w:rPr>
        <w:t xml:space="preserve"> inov</w:t>
      </w:r>
      <w:r>
        <w:rPr>
          <w:b/>
        </w:rPr>
        <w:t>ovaných produktů</w:t>
      </w:r>
      <w:r w:rsidRPr="00CF2942">
        <w:rPr>
          <w:b/>
        </w:rPr>
        <w:t xml:space="preserve"> na projekt</w:t>
      </w:r>
      <w:r>
        <w:t xml:space="preserve">. </w:t>
      </w:r>
      <w:r w:rsidRPr="003E4246">
        <w:rPr>
          <w:b/>
        </w:rPr>
        <w:t xml:space="preserve">Z toho 41 podniků (34 %) uvedlo produkt </w:t>
      </w:r>
      <w:r w:rsidR="00502EA7">
        <w:rPr>
          <w:b/>
        </w:rPr>
        <w:t xml:space="preserve">současně </w:t>
      </w:r>
      <w:r w:rsidRPr="003E4246">
        <w:rPr>
          <w:b/>
        </w:rPr>
        <w:t>na český</w:t>
      </w:r>
      <w:r w:rsidR="00B10CFA">
        <w:rPr>
          <w:b/>
        </w:rPr>
        <w:t xml:space="preserve"> i </w:t>
      </w:r>
      <w:r w:rsidRPr="003E4246">
        <w:rPr>
          <w:b/>
        </w:rPr>
        <w:t>zahraniční trh</w:t>
      </w:r>
      <w:r>
        <w:t>, 12 podniků uvedlo 35 produktů pouze na zahraniční trh</w:t>
      </w:r>
      <w:r w:rsidR="00502EA7">
        <w:t>,</w:t>
      </w:r>
      <w:r>
        <w:t xml:space="preserve"> 8 podniků uvedlo produkt pouze </w:t>
      </w:r>
      <w:r w:rsidRPr="006F5C7B">
        <w:t>na český trh</w:t>
      </w:r>
      <w:r w:rsidR="00B10CFA">
        <w:t xml:space="preserve"> a </w:t>
      </w:r>
      <w:r w:rsidRPr="003E4246">
        <w:rPr>
          <w:b/>
        </w:rPr>
        <w:t>59 podniků ještě produkt na trh neuvedlo</w:t>
      </w:r>
      <w:r w:rsidRPr="006F5C7B">
        <w:t>.</w:t>
      </w:r>
      <w:r>
        <w:t xml:space="preserve"> </w:t>
      </w:r>
    </w:p>
    <w:p w14:paraId="27B98FDD" w14:textId="77777777" w:rsidR="00F836DE" w:rsidRDefault="00F836DE" w:rsidP="00F836DE">
      <w:r>
        <w:t>Projekty, které již uvedly inovace na tuzemský nebo zahraniční trh</w:t>
      </w:r>
      <w:r w:rsidR="00502EA7">
        <w:t>,</w:t>
      </w:r>
      <w:r>
        <w:t xml:space="preserve"> byly v uvádění shodně úspěšné</w:t>
      </w:r>
      <w:r w:rsidR="00502EA7">
        <w:t>.</w:t>
      </w:r>
      <w:r>
        <w:t xml:space="preserve"> </w:t>
      </w:r>
    </w:p>
    <w:p w14:paraId="14D0D82C" w14:textId="77777777" w:rsidR="00F836DE" w:rsidRDefault="00F836DE" w:rsidP="00F836DE">
      <w:pPr>
        <w:jc w:val="center"/>
      </w:pPr>
      <w:r>
        <w:rPr>
          <w:noProof/>
          <w:lang w:eastAsia="cs-CZ"/>
        </w:rPr>
        <w:drawing>
          <wp:inline distT="0" distB="0" distL="0" distR="0" wp14:anchorId="29207DDB" wp14:editId="5E8910E0">
            <wp:extent cx="6019800" cy="1990725"/>
            <wp:effectExtent l="0" t="0" r="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B01BD05" w14:textId="77777777" w:rsidR="00F836DE" w:rsidRDefault="00F836DE" w:rsidP="004C1DB1">
      <w:pPr>
        <w:jc w:val="both"/>
      </w:pPr>
      <w:r>
        <w:t xml:space="preserve">Jako </w:t>
      </w:r>
      <w:r w:rsidRPr="00CF2942">
        <w:rPr>
          <w:b/>
        </w:rPr>
        <w:t>hlavní důvody úspěchu</w:t>
      </w:r>
      <w:r w:rsidR="00B10CFA">
        <w:rPr>
          <w:b/>
        </w:rPr>
        <w:t xml:space="preserve"> a </w:t>
      </w:r>
      <w:r w:rsidRPr="00CF2942">
        <w:rPr>
          <w:b/>
        </w:rPr>
        <w:t>neúspěchu</w:t>
      </w:r>
      <w:r>
        <w:t xml:space="preserve"> při zavádění inovací na tuzemský</w:t>
      </w:r>
      <w:r w:rsidR="00B10CFA">
        <w:t xml:space="preserve"> i </w:t>
      </w:r>
      <w:r>
        <w:t>zahraniční trh uvedl</w:t>
      </w:r>
      <w:r w:rsidR="00502EA7">
        <w:t>i</w:t>
      </w:r>
      <w:r w:rsidR="009660D2">
        <w:t xml:space="preserve"> respondenti následující</w:t>
      </w:r>
      <w:r>
        <w:t>:</w:t>
      </w:r>
    </w:p>
    <w:tbl>
      <w:tblPr>
        <w:tblStyle w:val="Tabulkaseznamu3zvraznn11"/>
        <w:tblW w:w="5000" w:type="pct"/>
        <w:tblLook w:val="04A0" w:firstRow="1" w:lastRow="0" w:firstColumn="1" w:lastColumn="0" w:noHBand="0" w:noVBand="1"/>
      </w:tblPr>
      <w:tblGrid>
        <w:gridCol w:w="4814"/>
        <w:gridCol w:w="4814"/>
      </w:tblGrid>
      <w:tr w:rsidR="00F836DE" w:rsidRPr="002A5EFB" w14:paraId="14894B8B" w14:textId="77777777" w:rsidTr="004C1DB1">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100" w:firstRow="0" w:lastRow="0" w:firstColumn="1" w:lastColumn="0" w:oddVBand="0" w:evenVBand="0" w:oddHBand="0" w:evenHBand="0" w:firstRowFirstColumn="1" w:firstRowLastColumn="0" w:lastRowFirstColumn="0" w:lastRowLastColumn="0"/>
            <w:tcW w:w="2500" w:type="pct"/>
            <w:tcBorders>
              <w:bottom w:val="single" w:sz="4" w:space="0" w:color="86BC25" w:themeColor="accent1"/>
            </w:tcBorders>
            <w:vAlign w:val="center"/>
          </w:tcPr>
          <w:p w14:paraId="7CBD22A8" w14:textId="77777777" w:rsidR="00F836DE" w:rsidRPr="00CF2942" w:rsidRDefault="00F836DE" w:rsidP="004C1DB1">
            <w:pPr>
              <w:spacing w:after="0" w:line="240" w:lineRule="auto"/>
              <w:rPr>
                <w:color w:val="FFFFFF" w:themeColor="background1"/>
              </w:rPr>
            </w:pPr>
            <w:r w:rsidRPr="00CF2942">
              <w:rPr>
                <w:color w:val="FFFFFF" w:themeColor="background1"/>
              </w:rPr>
              <w:t>Důvody úspěšného uvedení na trh</w:t>
            </w:r>
          </w:p>
        </w:tc>
        <w:tc>
          <w:tcPr>
            <w:tcW w:w="2500" w:type="pct"/>
            <w:tcBorders>
              <w:bottom w:val="single" w:sz="4" w:space="0" w:color="86BC25" w:themeColor="accent1"/>
            </w:tcBorders>
            <w:vAlign w:val="center"/>
          </w:tcPr>
          <w:p w14:paraId="7EE78FEC" w14:textId="77777777" w:rsidR="00F836DE" w:rsidRPr="00CF2942" w:rsidRDefault="00F836DE" w:rsidP="004C1DB1">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CF2942">
              <w:rPr>
                <w:color w:val="FFFFFF" w:themeColor="background1"/>
              </w:rPr>
              <w:t>Důvody neúspěšného uvedení na trh</w:t>
            </w:r>
          </w:p>
        </w:tc>
      </w:tr>
      <w:tr w:rsidR="00F836DE" w:rsidRPr="001F7A47" w14:paraId="202F2E29" w14:textId="77777777" w:rsidTr="004C1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left w:val="nil"/>
            </w:tcBorders>
          </w:tcPr>
          <w:p w14:paraId="7223E23E" w14:textId="77777777" w:rsidR="00F836DE" w:rsidRDefault="00F836DE" w:rsidP="00BB0180">
            <w:pPr>
              <w:pStyle w:val="ListParagraph"/>
              <w:numPr>
                <w:ilvl w:val="0"/>
                <w:numId w:val="4"/>
              </w:numPr>
              <w:spacing w:after="120"/>
              <w:ind w:left="159" w:hanging="181"/>
              <w:contextualSpacing w:val="0"/>
              <w:rPr>
                <w:b w:val="0"/>
              </w:rPr>
            </w:pPr>
            <w:r>
              <w:rPr>
                <w:b w:val="0"/>
              </w:rPr>
              <w:t>P</w:t>
            </w:r>
            <w:r w:rsidRPr="000F4B13">
              <w:rPr>
                <w:b w:val="0"/>
              </w:rPr>
              <w:t xml:space="preserve">ovaha </w:t>
            </w:r>
            <w:r>
              <w:rPr>
                <w:b w:val="0"/>
              </w:rPr>
              <w:t xml:space="preserve">samotné </w:t>
            </w:r>
            <w:r w:rsidRPr="000F4B13">
              <w:rPr>
                <w:b w:val="0"/>
              </w:rPr>
              <w:t>inovace</w:t>
            </w:r>
            <w:r w:rsidR="00B10CFA">
              <w:rPr>
                <w:b w:val="0"/>
              </w:rPr>
              <w:t xml:space="preserve"> a </w:t>
            </w:r>
            <w:r>
              <w:rPr>
                <w:b w:val="0"/>
              </w:rPr>
              <w:t>produktu (nové řešení, design, kvalita, životnost, jedinečnost atd.)</w:t>
            </w:r>
          </w:p>
          <w:p w14:paraId="65AB610D" w14:textId="77777777" w:rsidR="00F836DE" w:rsidRDefault="00F836DE" w:rsidP="00BB0180">
            <w:pPr>
              <w:pStyle w:val="ListParagraph"/>
              <w:numPr>
                <w:ilvl w:val="0"/>
                <w:numId w:val="4"/>
              </w:numPr>
              <w:spacing w:after="120"/>
              <w:ind w:left="159" w:hanging="181"/>
              <w:contextualSpacing w:val="0"/>
              <w:rPr>
                <w:b w:val="0"/>
              </w:rPr>
            </w:pPr>
            <w:r>
              <w:rPr>
                <w:b w:val="0"/>
              </w:rPr>
              <w:t>Pozitivní dopad na životní prostředí</w:t>
            </w:r>
          </w:p>
          <w:p w14:paraId="7AB72BBA" w14:textId="77777777" w:rsidR="00F836DE" w:rsidRDefault="00F836DE" w:rsidP="00BB0180">
            <w:pPr>
              <w:pStyle w:val="ListParagraph"/>
              <w:numPr>
                <w:ilvl w:val="0"/>
                <w:numId w:val="4"/>
              </w:numPr>
              <w:spacing w:after="120"/>
              <w:ind w:left="159" w:hanging="181"/>
              <w:contextualSpacing w:val="0"/>
              <w:rPr>
                <w:b w:val="0"/>
              </w:rPr>
            </w:pPr>
            <w:r>
              <w:rPr>
                <w:b w:val="0"/>
              </w:rPr>
              <w:t>Ukončení výroby jiným dodavatelem</w:t>
            </w:r>
          </w:p>
          <w:p w14:paraId="60157003" w14:textId="77777777" w:rsidR="00F836DE" w:rsidRDefault="00F836DE" w:rsidP="00BB0180">
            <w:pPr>
              <w:pStyle w:val="ListParagraph"/>
              <w:numPr>
                <w:ilvl w:val="0"/>
                <w:numId w:val="4"/>
              </w:numPr>
              <w:spacing w:after="120"/>
              <w:ind w:left="159" w:hanging="181"/>
              <w:contextualSpacing w:val="0"/>
              <w:rPr>
                <w:b w:val="0"/>
              </w:rPr>
            </w:pPr>
            <w:r>
              <w:rPr>
                <w:b w:val="0"/>
              </w:rPr>
              <w:t>Zvýšení objemu výroby</w:t>
            </w:r>
            <w:r w:rsidR="00B10CFA">
              <w:rPr>
                <w:b w:val="0"/>
              </w:rPr>
              <w:t xml:space="preserve"> a </w:t>
            </w:r>
            <w:r>
              <w:rPr>
                <w:b w:val="0"/>
              </w:rPr>
              <w:t>snížení nákladů</w:t>
            </w:r>
          </w:p>
          <w:p w14:paraId="3176FD3B" w14:textId="77777777" w:rsidR="00F836DE" w:rsidRDefault="00F836DE" w:rsidP="00BB0180">
            <w:pPr>
              <w:pStyle w:val="ListParagraph"/>
              <w:numPr>
                <w:ilvl w:val="0"/>
                <w:numId w:val="4"/>
              </w:numPr>
              <w:spacing w:after="120"/>
              <w:ind w:left="159" w:hanging="181"/>
              <w:contextualSpacing w:val="0"/>
              <w:rPr>
                <w:b w:val="0"/>
              </w:rPr>
            </w:pPr>
            <w:r>
              <w:rPr>
                <w:b w:val="0"/>
              </w:rPr>
              <w:t>Dobrá marketingová strategie</w:t>
            </w:r>
          </w:p>
          <w:p w14:paraId="3CDD879E" w14:textId="77777777" w:rsidR="00F836DE" w:rsidRPr="000F4B13" w:rsidRDefault="00F836DE" w:rsidP="00BB0180">
            <w:pPr>
              <w:pStyle w:val="ListParagraph"/>
              <w:numPr>
                <w:ilvl w:val="0"/>
                <w:numId w:val="4"/>
              </w:numPr>
              <w:spacing w:after="120"/>
              <w:ind w:left="159" w:hanging="181"/>
              <w:contextualSpacing w:val="0"/>
              <w:rPr>
                <w:b w:val="0"/>
              </w:rPr>
            </w:pPr>
            <w:r w:rsidRPr="00B9292D">
              <w:rPr>
                <w:b w:val="0"/>
              </w:rPr>
              <w:t xml:space="preserve">Dosažení významně lepších parametrů výrobku oproti konkurenčním řešením </w:t>
            </w:r>
          </w:p>
        </w:tc>
        <w:tc>
          <w:tcPr>
            <w:tcW w:w="2500" w:type="pct"/>
            <w:tcBorders>
              <w:left w:val="nil"/>
              <w:right w:val="nil"/>
            </w:tcBorders>
          </w:tcPr>
          <w:p w14:paraId="19A8814E"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Č</w:t>
            </w:r>
            <w:r w:rsidRPr="000F4B13">
              <w:t>eský trh je stále velmi konzervativní</w:t>
            </w:r>
            <w:r w:rsidR="00B10CFA">
              <w:t xml:space="preserve"> a </w:t>
            </w:r>
            <w:r w:rsidRPr="000F4B13">
              <w:t>v mnoha ohledech dává přednost zahraničnímu výrobku</w:t>
            </w:r>
          </w:p>
          <w:p w14:paraId="70755D0F"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Nevýznamnost českého trhu</w:t>
            </w:r>
          </w:p>
          <w:p w14:paraId="617FEC7A"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Změny v průběhu realizace na straně zákazníka</w:t>
            </w:r>
          </w:p>
          <w:p w14:paraId="039FF10C"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Změny na trhu</w:t>
            </w:r>
            <w:r w:rsidR="00B10CFA">
              <w:t xml:space="preserve"> a </w:t>
            </w:r>
            <w:r>
              <w:t>nedostatečná flexibilita dotace reagovat na změny</w:t>
            </w:r>
          </w:p>
          <w:p w14:paraId="29EEFBFA"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Opoždění realizace projektu</w:t>
            </w:r>
          </w:p>
          <w:p w14:paraId="50457C83" w14:textId="77777777" w:rsidR="00F836DE"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t>Dlouhá doba přípravy zakázek</w:t>
            </w:r>
          </w:p>
          <w:p w14:paraId="14C68D80" w14:textId="77777777" w:rsidR="00F836DE" w:rsidRPr="000F4B13" w:rsidRDefault="00F836DE" w:rsidP="00BB0180">
            <w:pPr>
              <w:pStyle w:val="ListParagraph"/>
              <w:numPr>
                <w:ilvl w:val="0"/>
                <w:numId w:val="4"/>
              </w:numPr>
              <w:spacing w:after="120"/>
              <w:ind w:left="130" w:hanging="181"/>
              <w:contextualSpacing w:val="0"/>
              <w:cnfStyle w:val="000000100000" w:firstRow="0" w:lastRow="0" w:firstColumn="0" w:lastColumn="0" w:oddVBand="0" w:evenVBand="0" w:oddHBand="1" w:evenHBand="0" w:firstRowFirstColumn="0" w:firstRowLastColumn="0" w:lastRowFirstColumn="0" w:lastRowLastColumn="0"/>
            </w:pPr>
            <w:r w:rsidRPr="00B9292D">
              <w:t>Neochota zákazníků vyzkoušet levnější</w:t>
            </w:r>
            <w:r w:rsidR="00B10CFA">
              <w:t xml:space="preserve"> a </w:t>
            </w:r>
            <w:r w:rsidRPr="00B9292D">
              <w:t>lepší produkt</w:t>
            </w:r>
          </w:p>
        </w:tc>
      </w:tr>
    </w:tbl>
    <w:p w14:paraId="4D0A9962" w14:textId="77777777" w:rsidR="00F836DE" w:rsidRDefault="00F836DE" w:rsidP="00F836DE"/>
    <w:p w14:paraId="2AAB312D" w14:textId="77777777" w:rsidR="00F836DE" w:rsidRPr="00CF2942" w:rsidRDefault="00F836DE" w:rsidP="00F836DE">
      <w:pPr>
        <w:rPr>
          <w:b/>
        </w:rPr>
      </w:pPr>
      <w:r w:rsidRPr="00CF2942">
        <w:rPr>
          <w:b/>
        </w:rPr>
        <w:t>Objem tržeb</w:t>
      </w:r>
      <w:r w:rsidR="00B10CFA">
        <w:rPr>
          <w:b/>
        </w:rPr>
        <w:t xml:space="preserve"> z </w:t>
      </w:r>
      <w:r w:rsidRPr="00CF2942">
        <w:rPr>
          <w:b/>
        </w:rPr>
        <w:t>inovovaných produktů</w:t>
      </w:r>
    </w:p>
    <w:p w14:paraId="048A4665" w14:textId="77777777" w:rsidR="00F836DE" w:rsidRPr="00140724" w:rsidRDefault="00F836DE" w:rsidP="004C1DB1">
      <w:pPr>
        <w:jc w:val="both"/>
      </w:pPr>
      <w:r w:rsidRPr="00CF2942">
        <w:t>Objem tržeb</w:t>
      </w:r>
      <w:r w:rsidR="00B10CFA">
        <w:t xml:space="preserve"> z </w:t>
      </w:r>
      <w:r w:rsidRPr="00CF2942">
        <w:t>inovovaných produktů v posledních dvou letech</w:t>
      </w:r>
      <w:r w:rsidRPr="0090781D">
        <w:t xml:space="preserve"> od zavedení inovací </w:t>
      </w:r>
      <w:r w:rsidRPr="00CF2942">
        <w:rPr>
          <w:b/>
        </w:rPr>
        <w:t>nelze</w:t>
      </w:r>
      <w:r w:rsidR="00B10CFA">
        <w:rPr>
          <w:b/>
        </w:rPr>
        <w:t xml:space="preserve"> z </w:t>
      </w:r>
      <w:r w:rsidRPr="00CF2942">
        <w:rPr>
          <w:b/>
        </w:rPr>
        <w:t>výsledků dotazníkového šetření spolehlivě určit</w:t>
      </w:r>
      <w:r w:rsidRPr="0090781D">
        <w:t>. S největší pravděpodobností došlo</w:t>
      </w:r>
      <w:r w:rsidR="00B10CFA">
        <w:t xml:space="preserve"> k </w:t>
      </w:r>
      <w:r w:rsidRPr="0090781D">
        <w:t>nedodržení zadání otázky respondenty</w:t>
      </w:r>
      <w:r w:rsidR="00B10CFA">
        <w:t xml:space="preserve"> a </w:t>
      </w:r>
      <w:r w:rsidRPr="0090781D">
        <w:t>zadávání zcela odlišných částek, někdy</w:t>
      </w:r>
      <w:r>
        <w:t xml:space="preserve"> dle zadání v tis. Kč, jindy v celých částkách. </w:t>
      </w:r>
      <w:r w:rsidRPr="00257CBA">
        <w:rPr>
          <w:b/>
        </w:rPr>
        <w:t xml:space="preserve">Mediánová hodnota </w:t>
      </w:r>
      <w:r>
        <w:rPr>
          <w:b/>
        </w:rPr>
        <w:t>tržeb za poslední dva roky</w:t>
      </w:r>
      <w:r w:rsidRPr="00257CBA">
        <w:rPr>
          <w:b/>
        </w:rPr>
        <w:t xml:space="preserve"> se nicméně </w:t>
      </w:r>
      <w:r>
        <w:rPr>
          <w:b/>
        </w:rPr>
        <w:t>dle odpovědí v DŠ</w:t>
      </w:r>
      <w:r w:rsidRPr="00257CBA">
        <w:rPr>
          <w:b/>
        </w:rPr>
        <w:t xml:space="preserve"> pohyb</w:t>
      </w:r>
      <w:r>
        <w:rPr>
          <w:b/>
        </w:rPr>
        <w:t>uje</w:t>
      </w:r>
      <w:r w:rsidRPr="00257CBA">
        <w:rPr>
          <w:b/>
        </w:rPr>
        <w:t xml:space="preserve"> kolem 2</w:t>
      </w:r>
      <w:r w:rsidR="00502EA7">
        <w:rPr>
          <w:b/>
        </w:rPr>
        <w:t>,</w:t>
      </w:r>
      <w:r w:rsidRPr="00257CBA">
        <w:rPr>
          <w:b/>
        </w:rPr>
        <w:t>5 mil. Kč na českém trhu</w:t>
      </w:r>
      <w:r w:rsidR="00B10CFA">
        <w:rPr>
          <w:b/>
        </w:rPr>
        <w:t xml:space="preserve"> a </w:t>
      </w:r>
      <w:r>
        <w:rPr>
          <w:b/>
        </w:rPr>
        <w:t>0</w:t>
      </w:r>
      <w:r w:rsidR="00502EA7">
        <w:rPr>
          <w:b/>
        </w:rPr>
        <w:t>,</w:t>
      </w:r>
      <w:r>
        <w:rPr>
          <w:b/>
        </w:rPr>
        <w:t>5</w:t>
      </w:r>
      <w:r w:rsidRPr="00257CBA">
        <w:rPr>
          <w:b/>
        </w:rPr>
        <w:t xml:space="preserve"> mil</w:t>
      </w:r>
      <w:r>
        <w:rPr>
          <w:b/>
        </w:rPr>
        <w:t>.</w:t>
      </w:r>
      <w:r w:rsidRPr="00257CBA">
        <w:rPr>
          <w:b/>
        </w:rPr>
        <w:t xml:space="preserve"> Kč na zahraničních trzích</w:t>
      </w:r>
      <w:r>
        <w:t>. Očekávaná průměrná výše ročních tržeb</w:t>
      </w:r>
      <w:r w:rsidR="00B10CFA">
        <w:t xml:space="preserve"> z </w:t>
      </w:r>
      <w:r>
        <w:t>inovovaných produktů během 3</w:t>
      </w:r>
      <w:r w:rsidR="00502EA7">
        <w:t>.</w:t>
      </w:r>
      <w:r>
        <w:t xml:space="preserve"> až 5</w:t>
      </w:r>
      <w:r w:rsidR="00502EA7">
        <w:t>.</w:t>
      </w:r>
      <w:r>
        <w:t xml:space="preserve"> roku od uvedení inovace na trh je </w:t>
      </w:r>
      <w:r w:rsidRPr="00971C43">
        <w:rPr>
          <w:b/>
        </w:rPr>
        <w:t>1,35 mil. Kč</w:t>
      </w:r>
      <w:r>
        <w:t xml:space="preserve">. </w:t>
      </w:r>
    </w:p>
    <w:p w14:paraId="47BB4943" w14:textId="77777777" w:rsidR="00F836DE" w:rsidRPr="00CF2942" w:rsidRDefault="00F836DE" w:rsidP="00F836DE">
      <w:pPr>
        <w:rPr>
          <w:b/>
        </w:rPr>
      </w:pPr>
      <w:r w:rsidRPr="00CF2942">
        <w:rPr>
          <w:b/>
        </w:rPr>
        <w:t>Vyhodnocení bariér vstupu na trh v ČR</w:t>
      </w:r>
      <w:r w:rsidR="00B10CFA">
        <w:rPr>
          <w:b/>
        </w:rPr>
        <w:t xml:space="preserve"> a </w:t>
      </w:r>
      <w:r w:rsidRPr="00CF2942">
        <w:rPr>
          <w:b/>
        </w:rPr>
        <w:t>v zahraničí</w:t>
      </w:r>
    </w:p>
    <w:p w14:paraId="76F66E7F" w14:textId="77777777" w:rsidR="00F836DE" w:rsidRDefault="004C1DB1" w:rsidP="004C1DB1">
      <w:pPr>
        <w:jc w:val="both"/>
      </w:pPr>
      <w:proofErr w:type="spellStart"/>
      <w:r>
        <w:t>Převažná</w:t>
      </w:r>
      <w:proofErr w:type="spellEnd"/>
      <w:r w:rsidR="00F836DE">
        <w:t xml:space="preserve"> většina respondentů (66 % pro tuzemský trh</w:t>
      </w:r>
      <w:r w:rsidR="00B10CFA">
        <w:t xml:space="preserve"> a </w:t>
      </w:r>
      <w:r w:rsidR="00F836DE">
        <w:t xml:space="preserve">73 % pro zahraniční trh) vidí </w:t>
      </w:r>
      <w:r w:rsidR="00F836DE" w:rsidRPr="00E61EAA">
        <w:rPr>
          <w:b/>
        </w:rPr>
        <w:t>vysokou míru konkurence na trzích jako zásadní vnější bariéru.</w:t>
      </w:r>
      <w:r w:rsidR="00502EA7">
        <w:rPr>
          <w:b/>
        </w:rPr>
        <w:t xml:space="preserve"> </w:t>
      </w:r>
      <w:r w:rsidR="00F836DE">
        <w:t xml:space="preserve">Naopak dosavadní </w:t>
      </w:r>
      <w:r w:rsidR="00F836DE" w:rsidRPr="00E61EAA">
        <w:rPr>
          <w:b/>
        </w:rPr>
        <w:t>etablovanost na trzích není vnímána jako zásadnější bariéra</w:t>
      </w:r>
      <w:r w:rsidR="00F836DE">
        <w:t xml:space="preserve"> pro uvedení produktů na trh. 75 % respondentů v tom nespatřuje bariéru na tuzemském trhu</w:t>
      </w:r>
      <w:r w:rsidR="00B10CFA">
        <w:t xml:space="preserve"> a </w:t>
      </w:r>
      <w:r w:rsidR="00F836DE">
        <w:t>54 % ani na zahraničních trzích.</w:t>
      </w:r>
    </w:p>
    <w:p w14:paraId="66F9F233" w14:textId="77777777" w:rsidR="00F836DE" w:rsidRDefault="00F836DE" w:rsidP="004C1DB1">
      <w:pPr>
        <w:jc w:val="both"/>
      </w:pPr>
      <w:r w:rsidRPr="00DC7101">
        <w:rPr>
          <w:b/>
        </w:rPr>
        <w:t>C</w:t>
      </w:r>
      <w:r w:rsidRPr="00E61EAA">
        <w:rPr>
          <w:b/>
        </w:rPr>
        <w:t xml:space="preserve">ena produktu uvedeného na trh </w:t>
      </w:r>
      <w:r>
        <w:rPr>
          <w:b/>
        </w:rPr>
        <w:t>je</w:t>
      </w:r>
      <w:r w:rsidRPr="00E61EAA">
        <w:rPr>
          <w:b/>
        </w:rPr>
        <w:t xml:space="preserve"> hlavním faktorem</w:t>
      </w:r>
      <w:r>
        <w:t xml:space="preserve"> konkurenceschopnosti</w:t>
      </w:r>
      <w:r w:rsidR="00B10CFA">
        <w:t xml:space="preserve"> u </w:t>
      </w:r>
      <w:r>
        <w:t>poloviny podniků. Vyrovnaný je počet podniků, které cenotvorbu vnímají</w:t>
      </w:r>
      <w:r w:rsidR="00B10CFA">
        <w:t xml:space="preserve"> i </w:t>
      </w:r>
      <w:r>
        <w:t>nevnímají jako příležitost.</w:t>
      </w:r>
    </w:p>
    <w:p w14:paraId="1DCD764E" w14:textId="77777777" w:rsidR="00F836DE" w:rsidRDefault="00F836DE" w:rsidP="004C1DB1">
      <w:pPr>
        <w:jc w:val="both"/>
        <w:rPr>
          <w:noProof/>
          <w:lang w:eastAsia="cs-CZ"/>
        </w:rPr>
      </w:pPr>
      <w:r>
        <w:rPr>
          <w:noProof/>
          <w:lang w:eastAsia="cs-CZ"/>
        </w:rPr>
        <w:t xml:space="preserve">Pro uvedení produktů na tuzemský trh </w:t>
      </w:r>
      <w:r>
        <w:rPr>
          <w:b/>
          <w:noProof/>
          <w:lang w:eastAsia="cs-CZ"/>
        </w:rPr>
        <w:t xml:space="preserve">je </w:t>
      </w:r>
      <w:r w:rsidRPr="00E61EAA">
        <w:rPr>
          <w:b/>
          <w:noProof/>
          <w:lang w:eastAsia="cs-CZ"/>
        </w:rPr>
        <w:t>nedostatek distribučních kanálů problém</w:t>
      </w:r>
      <w:r>
        <w:rPr>
          <w:noProof/>
          <w:lang w:eastAsia="cs-CZ"/>
        </w:rPr>
        <w:t xml:space="preserve"> pro 29 % respondentů. U vstupu na zahraniční trh je nedostatek distribučních kanálů významný pro 43 % respondentů. </w:t>
      </w:r>
    </w:p>
    <w:p w14:paraId="6E4057C3" w14:textId="77777777" w:rsidR="00F836DE" w:rsidRDefault="00F836DE" w:rsidP="004C1DB1">
      <w:pPr>
        <w:jc w:val="both"/>
      </w:pPr>
      <w:r w:rsidRPr="00E61EAA">
        <w:rPr>
          <w:b/>
        </w:rPr>
        <w:t>Administrativní zátěž je bariérou</w:t>
      </w:r>
      <w:r>
        <w:t xml:space="preserve"> při uvádění produktů na trh. Představuje významnější bariéru pro 55 % produktů uváděných na tuzemský trh</w:t>
      </w:r>
      <w:r w:rsidR="00B10CFA">
        <w:t xml:space="preserve"> a </w:t>
      </w:r>
      <w:r>
        <w:t xml:space="preserve">64 % produktů na zahraničních trzích. </w:t>
      </w:r>
    </w:p>
    <w:p w14:paraId="3573D458" w14:textId="77777777" w:rsidR="00F836DE" w:rsidRDefault="00F836DE" w:rsidP="004C1DB1">
      <w:pPr>
        <w:jc w:val="both"/>
      </w:pPr>
      <w:r w:rsidRPr="00E61EAA">
        <w:rPr>
          <w:b/>
        </w:rPr>
        <w:t>Nedostatečnost kapacit pro marketing</w:t>
      </w:r>
      <w:r w:rsidR="00B10CFA">
        <w:rPr>
          <w:b/>
        </w:rPr>
        <w:t xml:space="preserve"> a </w:t>
      </w:r>
      <w:r w:rsidRPr="00E61EAA">
        <w:rPr>
          <w:b/>
        </w:rPr>
        <w:t>prodej není významnější problém</w:t>
      </w:r>
      <w:r>
        <w:t>. Lehce významnější je na zahraničních trzích než na tuzemském trhu. Bariéru to představuje pro 46 % respondentů. Na trhu v ČR je to problém pro 39 % respondentů.</w:t>
      </w:r>
    </w:p>
    <w:p w14:paraId="37A5FB3A" w14:textId="77777777" w:rsidR="00F836DE" w:rsidRDefault="00F836DE" w:rsidP="004C1DB1">
      <w:pPr>
        <w:jc w:val="both"/>
      </w:pPr>
      <w:r w:rsidRPr="00E61EAA">
        <w:rPr>
          <w:b/>
        </w:rPr>
        <w:t>Jednoznačně významnou bariérou při uvádění produktů na trh v ČR</w:t>
      </w:r>
      <w:r w:rsidR="00B10CFA">
        <w:rPr>
          <w:b/>
        </w:rPr>
        <w:t xml:space="preserve"> i </w:t>
      </w:r>
      <w:r w:rsidRPr="00E61EAA">
        <w:rPr>
          <w:b/>
        </w:rPr>
        <w:t>zahraničí jsou vysoké vstupní náklady</w:t>
      </w:r>
      <w:r>
        <w:t>. Ty představují problém pro 74 % podniků v ČR</w:t>
      </w:r>
      <w:r w:rsidR="00B10CFA">
        <w:t xml:space="preserve"> a </w:t>
      </w:r>
      <w:r>
        <w:t xml:space="preserve">78 % na zahraničních trzích. </w:t>
      </w:r>
    </w:p>
    <w:p w14:paraId="75A3AFF1" w14:textId="77777777" w:rsidR="00F836DE" w:rsidRDefault="00F836DE" w:rsidP="004C1DB1">
      <w:pPr>
        <w:jc w:val="both"/>
      </w:pPr>
      <w:r>
        <w:t xml:space="preserve">Do určité míry představuje </w:t>
      </w:r>
      <w:r w:rsidRPr="00E61EAA">
        <w:rPr>
          <w:b/>
        </w:rPr>
        <w:t>bariéru</w:t>
      </w:r>
      <w:r w:rsidR="00B10CFA">
        <w:rPr>
          <w:b/>
        </w:rPr>
        <w:t xml:space="preserve"> i </w:t>
      </w:r>
      <w:r w:rsidRPr="00E61EAA">
        <w:rPr>
          <w:b/>
        </w:rPr>
        <w:t>ochrana práv</w:t>
      </w:r>
      <w:r w:rsidR="00B10CFA">
        <w:rPr>
          <w:b/>
        </w:rPr>
        <w:t xml:space="preserve"> a </w:t>
      </w:r>
      <w:r w:rsidRPr="00E61EAA">
        <w:rPr>
          <w:b/>
        </w:rPr>
        <w:t>licence</w:t>
      </w:r>
      <w:r>
        <w:t xml:space="preserve">. Bariéra je významnější na zahraničních trzích, kde je vnímána 49 % respondentů. </w:t>
      </w:r>
    </w:p>
    <w:p w14:paraId="23A1A285" w14:textId="77777777" w:rsidR="00F836DE" w:rsidRDefault="006A406E" w:rsidP="00F836DE">
      <w:r>
        <w:t>Výše popsané je přehledně znázorněno na následujících dvou grafech.</w:t>
      </w:r>
    </w:p>
    <w:p w14:paraId="0AE4866F" w14:textId="77777777" w:rsidR="006A406E" w:rsidRDefault="006A406E" w:rsidP="00F836DE">
      <w:pPr>
        <w:sectPr w:rsidR="006A406E" w:rsidSect="00530463">
          <w:pgSz w:w="11906" w:h="16838"/>
          <w:pgMar w:top="1985" w:right="1134" w:bottom="1134" w:left="1134" w:header="680" w:footer="567" w:gutter="0"/>
          <w:cols w:space="708"/>
          <w:formProt w:val="0"/>
          <w:docGrid w:linePitch="360" w:charSpace="6143"/>
        </w:sectPr>
      </w:pPr>
    </w:p>
    <w:p w14:paraId="7C061A0D" w14:textId="77777777" w:rsidR="00F836DE" w:rsidRPr="00BA7181" w:rsidRDefault="006654F4" w:rsidP="00F836DE">
      <w:pPr>
        <w:jc w:val="center"/>
      </w:pPr>
      <w:r>
        <w:rPr>
          <w:noProof/>
          <w:lang w:eastAsia="cs-CZ"/>
        </w:rPr>
        <w:drawing>
          <wp:inline distT="0" distB="0" distL="0" distR="0" wp14:anchorId="4B5944CE" wp14:editId="3AB16E19">
            <wp:extent cx="8711565" cy="4378550"/>
            <wp:effectExtent l="0" t="0" r="13335" b="317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225ABD" w14:textId="77777777" w:rsidR="00F836DE" w:rsidRDefault="00F836DE" w:rsidP="00F836DE">
      <w:pPr>
        <w:spacing w:after="0" w:line="240" w:lineRule="auto"/>
      </w:pPr>
      <w:r>
        <w:br w:type="page"/>
      </w:r>
    </w:p>
    <w:p w14:paraId="6DFFBB6E" w14:textId="77777777" w:rsidR="00F836DE" w:rsidRDefault="006654F4" w:rsidP="00F836DE">
      <w:r>
        <w:rPr>
          <w:noProof/>
          <w:lang w:eastAsia="cs-CZ"/>
        </w:rPr>
        <w:drawing>
          <wp:inline distT="0" distB="0" distL="0" distR="0" wp14:anchorId="43D99810" wp14:editId="0DAB75A2">
            <wp:extent cx="8711565" cy="4019502"/>
            <wp:effectExtent l="0" t="0" r="13335" b="63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C662B3" w14:textId="77777777" w:rsidR="006A406E" w:rsidRDefault="006A406E" w:rsidP="00F836DE">
      <w:pPr>
        <w:sectPr w:rsidR="006A406E" w:rsidSect="004C1DB1">
          <w:pgSz w:w="16838" w:h="11906" w:orient="landscape"/>
          <w:pgMar w:top="1134" w:right="1134" w:bottom="1134" w:left="1985" w:header="680" w:footer="567" w:gutter="0"/>
          <w:cols w:space="708"/>
          <w:formProt w:val="0"/>
          <w:docGrid w:linePitch="360" w:charSpace="6143"/>
        </w:sectPr>
      </w:pPr>
    </w:p>
    <w:p w14:paraId="03C52AB3" w14:textId="77777777" w:rsidR="00F836DE" w:rsidRDefault="00F836DE" w:rsidP="004C1DB1">
      <w:pPr>
        <w:spacing w:after="0" w:line="240" w:lineRule="auto"/>
        <w:rPr>
          <w:b/>
        </w:rPr>
      </w:pPr>
      <w:r w:rsidRPr="00E61EAA">
        <w:rPr>
          <w:b/>
        </w:rPr>
        <w:t>Vliv projektu na překonávání výše uvedených bariér</w:t>
      </w:r>
    </w:p>
    <w:p w14:paraId="3E03B4F2" w14:textId="77777777" w:rsidR="00F836DE" w:rsidRDefault="00F836DE" w:rsidP="004C1DB1">
      <w:pPr>
        <w:jc w:val="both"/>
      </w:pPr>
      <w:r>
        <w:t>V rámci dotazníkového šetření byl zjišťován také vliv podpory na překonávání výše uvedených vnějších</w:t>
      </w:r>
      <w:r w:rsidR="00B10CFA">
        <w:t xml:space="preserve"> a </w:t>
      </w:r>
      <w:r>
        <w:t xml:space="preserve">vnitřních bariér. Výsledky </w:t>
      </w:r>
      <w:r w:rsidR="00C92E1B">
        <w:t>pro tuzemský</w:t>
      </w:r>
      <w:r w:rsidR="00B10CFA">
        <w:t xml:space="preserve"> i </w:t>
      </w:r>
      <w:r w:rsidR="00C92E1B">
        <w:t xml:space="preserve">zahraniční trh </w:t>
      </w:r>
      <w:r>
        <w:t xml:space="preserve">jsou uvedeny na </w:t>
      </w:r>
      <w:r w:rsidR="00C92E1B">
        <w:t xml:space="preserve">následujících </w:t>
      </w:r>
      <w:r>
        <w:t>souhrnn</w:t>
      </w:r>
      <w:r w:rsidR="00C92E1B">
        <w:t>ých</w:t>
      </w:r>
      <w:r>
        <w:t xml:space="preserve"> graf</w:t>
      </w:r>
      <w:r w:rsidR="00C92E1B">
        <w:t>ech</w:t>
      </w:r>
      <w:r>
        <w:t>.</w:t>
      </w:r>
    </w:p>
    <w:p w14:paraId="2F41904A" w14:textId="77777777" w:rsidR="00F836DE" w:rsidRDefault="006654F4" w:rsidP="00F836DE">
      <w:r>
        <w:rPr>
          <w:noProof/>
          <w:lang w:eastAsia="cs-CZ"/>
        </w:rPr>
        <w:drawing>
          <wp:inline distT="0" distB="0" distL="0" distR="0" wp14:anchorId="05CC76D6" wp14:editId="0FF79EF3">
            <wp:extent cx="8711565" cy="4420949"/>
            <wp:effectExtent l="0" t="0" r="13335" b="1778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4941B3" w14:textId="77777777" w:rsidR="00F836DE" w:rsidRDefault="006654F4" w:rsidP="00F836DE">
      <w:r>
        <w:rPr>
          <w:noProof/>
          <w:lang w:eastAsia="cs-CZ"/>
        </w:rPr>
        <w:drawing>
          <wp:inline distT="0" distB="0" distL="0" distR="0" wp14:anchorId="29999464" wp14:editId="03DE7814">
            <wp:extent cx="8711565" cy="5031590"/>
            <wp:effectExtent l="0" t="0" r="13335" b="1714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6A2932" w14:textId="77777777" w:rsidR="00C92E1B" w:rsidRDefault="00C92E1B" w:rsidP="00F836DE">
      <w:pPr>
        <w:jc w:val="center"/>
        <w:sectPr w:rsidR="00C92E1B" w:rsidSect="004C1DB1">
          <w:pgSz w:w="16838" w:h="11906" w:orient="landscape"/>
          <w:pgMar w:top="1134" w:right="1134" w:bottom="1134" w:left="1985" w:header="680" w:footer="567" w:gutter="0"/>
          <w:cols w:space="708"/>
          <w:formProt w:val="0"/>
          <w:docGrid w:linePitch="360" w:charSpace="6143"/>
        </w:sectPr>
      </w:pPr>
    </w:p>
    <w:p w14:paraId="6DBB53B4" w14:textId="77777777" w:rsidR="00F836DE" w:rsidRPr="005455D1" w:rsidRDefault="00F836DE" w:rsidP="00F836DE">
      <w:pPr>
        <w:rPr>
          <w:b/>
        </w:rPr>
      </w:pPr>
      <w:r w:rsidRPr="005455D1">
        <w:rPr>
          <w:b/>
        </w:rPr>
        <w:t>Vliv OPPIK na zapojení do zahraničních programů</w:t>
      </w:r>
    </w:p>
    <w:p w14:paraId="46872563" w14:textId="77777777" w:rsidR="00F836DE" w:rsidRDefault="00F836DE" w:rsidP="004C1DB1">
      <w:pPr>
        <w:jc w:val="both"/>
      </w:pPr>
      <w:r>
        <w:t>70 % respondentů není</w:t>
      </w:r>
      <w:r w:rsidR="00B10CFA">
        <w:t xml:space="preserve"> a </w:t>
      </w:r>
      <w:r>
        <w:t xml:space="preserve">zatím neplánuje zapojení do evropských programů podpory </w:t>
      </w:r>
      <w:proofErr w:type="spellStart"/>
      <w:r>
        <w:t>VaV</w:t>
      </w:r>
      <w:proofErr w:type="spellEnd"/>
      <w:r>
        <w:t>. Do zahraniční spolupráce je již zapojeno 34 respondentů ve více jak 80 projektech. Z toho 17 podniků projekty již realizuje, 7 připravuje nebo již podalo žádosti, 6 podniků projekt plánuje</w:t>
      </w:r>
      <w:r w:rsidR="00B10CFA">
        <w:t xml:space="preserve"> a </w:t>
      </w:r>
      <w:r>
        <w:t>projekty 4 podniků nebyly podpořeny.</w:t>
      </w:r>
      <w:r w:rsidR="00B06414">
        <w:t xml:space="preserve"> </w:t>
      </w:r>
      <w:r>
        <w:t xml:space="preserve">Následující graf uvádí počty podniků zapojených do zahraničních programů podpory </w:t>
      </w:r>
      <w:proofErr w:type="spellStart"/>
      <w:r>
        <w:t>VaV</w:t>
      </w:r>
      <w:proofErr w:type="spellEnd"/>
      <w:r>
        <w:t xml:space="preserve"> dle programů podpory SC 1.1</w:t>
      </w:r>
      <w:r w:rsidR="00B06414">
        <w:t>.</w:t>
      </w:r>
    </w:p>
    <w:p w14:paraId="49B230B0" w14:textId="77777777" w:rsidR="00F836DE" w:rsidRDefault="00F836DE" w:rsidP="00F836DE">
      <w:pPr>
        <w:jc w:val="center"/>
      </w:pPr>
      <w:r>
        <w:rPr>
          <w:noProof/>
          <w:lang w:eastAsia="cs-CZ"/>
        </w:rPr>
        <w:drawing>
          <wp:inline distT="0" distB="0" distL="0" distR="0" wp14:anchorId="08B15024" wp14:editId="155C2363">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02B517" w14:textId="77777777" w:rsidR="00F836DE" w:rsidRDefault="00F836DE" w:rsidP="004C1DB1">
      <w:pPr>
        <w:jc w:val="both"/>
      </w:pPr>
      <w:r>
        <w:t xml:space="preserve">Následující graf znázorňuje fázi zapojení podniků do </w:t>
      </w:r>
      <w:proofErr w:type="spellStart"/>
      <w:r>
        <w:t>VaV</w:t>
      </w:r>
      <w:proofErr w:type="spellEnd"/>
      <w:r>
        <w:t xml:space="preserve"> projektů se zahraniční podporou.</w:t>
      </w:r>
    </w:p>
    <w:p w14:paraId="06EA1571" w14:textId="77777777" w:rsidR="00F836DE" w:rsidRDefault="00F836DE" w:rsidP="00F836DE">
      <w:pPr>
        <w:jc w:val="center"/>
      </w:pPr>
      <w:r w:rsidRPr="004C1DB1">
        <w:rPr>
          <w:noProof/>
          <w:sz w:val="16"/>
          <w:szCs w:val="16"/>
          <w:lang w:eastAsia="cs-CZ"/>
        </w:rPr>
        <w:drawing>
          <wp:inline distT="0" distB="0" distL="0" distR="0" wp14:anchorId="0AC64A2F" wp14:editId="7418AFE8">
            <wp:extent cx="4597880" cy="2544792"/>
            <wp:effectExtent l="0" t="0" r="12700" b="825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453A9C" w14:textId="77777777" w:rsidR="00B06414" w:rsidRDefault="00B06414" w:rsidP="00B06414">
      <w:r>
        <w:t>Nejčastějším programem, do kterého se české podniky zapojují, je Horizon</w:t>
      </w:r>
      <w:r w:rsidR="002F78A9">
        <w:t>t</w:t>
      </w:r>
      <w:r>
        <w:t xml:space="preserve"> 2020 (8 podniků), dále následují programy LIFE, EURATOM, EUREKA, </w:t>
      </w:r>
      <w:proofErr w:type="spellStart"/>
      <w:r>
        <w:t>klustry</w:t>
      </w:r>
      <w:proofErr w:type="spellEnd"/>
      <w:r>
        <w:t xml:space="preserve"> </w:t>
      </w:r>
      <w:proofErr w:type="spellStart"/>
      <w:r>
        <w:t>European</w:t>
      </w:r>
      <w:proofErr w:type="spellEnd"/>
      <w:r>
        <w:t xml:space="preserve"> Cluster </w:t>
      </w:r>
      <w:proofErr w:type="spellStart"/>
      <w:r>
        <w:t>Collaboration</w:t>
      </w:r>
      <w:proofErr w:type="spellEnd"/>
      <w:r>
        <w:t xml:space="preserve"> </w:t>
      </w:r>
      <w:proofErr w:type="spellStart"/>
      <w:r>
        <w:t>Platform</w:t>
      </w:r>
      <w:proofErr w:type="spellEnd"/>
      <w:r>
        <w:t xml:space="preserve">, </w:t>
      </w:r>
      <w:proofErr w:type="spellStart"/>
      <w:r w:rsidRPr="005B55C8">
        <w:t>European</w:t>
      </w:r>
      <w:proofErr w:type="spellEnd"/>
      <w:r w:rsidRPr="005B55C8">
        <w:t xml:space="preserve"> </w:t>
      </w:r>
      <w:proofErr w:type="spellStart"/>
      <w:r w:rsidRPr="005B55C8">
        <w:t>Clusters</w:t>
      </w:r>
      <w:proofErr w:type="spellEnd"/>
      <w:r w:rsidRPr="005B55C8">
        <w:t xml:space="preserve"> Excellence</w:t>
      </w:r>
      <w:r>
        <w:t>.</w:t>
      </w:r>
    </w:p>
    <w:p w14:paraId="43E6531B" w14:textId="77777777" w:rsidR="00B06414" w:rsidRDefault="00B06414" w:rsidP="00B06414">
      <w:r>
        <w:t xml:space="preserve">Z následujícího grafu je pak patrné, že </w:t>
      </w:r>
      <w:r w:rsidR="008005CF">
        <w:t>podpora OP PIK měla na zapojení firem do evropského programu podpory vliv</w:t>
      </w:r>
      <w:r w:rsidR="00B10CFA">
        <w:t xml:space="preserve"> u </w:t>
      </w:r>
      <w:r w:rsidR="008005CF">
        <w:t xml:space="preserve">38 % respondentů zapojených do tohoto programu.  </w:t>
      </w:r>
      <w:r>
        <w:t xml:space="preserve"> </w:t>
      </w:r>
    </w:p>
    <w:p w14:paraId="760F03E1" w14:textId="77777777" w:rsidR="00B06414" w:rsidRDefault="00B06414" w:rsidP="004C1DB1"/>
    <w:p w14:paraId="3914BD1C" w14:textId="77777777" w:rsidR="00F836DE" w:rsidRPr="00F81F25" w:rsidRDefault="00F836DE" w:rsidP="00F836DE">
      <w:pPr>
        <w:jc w:val="center"/>
      </w:pPr>
      <w:r>
        <w:rPr>
          <w:noProof/>
          <w:lang w:eastAsia="cs-CZ"/>
        </w:rPr>
        <w:drawing>
          <wp:inline distT="0" distB="0" distL="0" distR="0" wp14:anchorId="72215861" wp14:editId="0448803F">
            <wp:extent cx="5257800" cy="2276475"/>
            <wp:effectExtent l="0" t="0" r="0" b="952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A7A413" w14:textId="77777777" w:rsidR="009F0E7F" w:rsidRDefault="009F0E7F" w:rsidP="00F836DE">
      <w:pPr>
        <w:rPr>
          <w:b/>
        </w:rPr>
      </w:pPr>
    </w:p>
    <w:p w14:paraId="194E62FE" w14:textId="77777777" w:rsidR="00F836DE" w:rsidRPr="005455D1" w:rsidRDefault="00F836DE" w:rsidP="00F836DE">
      <w:pPr>
        <w:rPr>
          <w:b/>
        </w:rPr>
      </w:pPr>
      <w:r w:rsidRPr="005455D1">
        <w:rPr>
          <w:b/>
        </w:rPr>
        <w:t>Přínosy</w:t>
      </w:r>
      <w:r w:rsidR="00B10CFA">
        <w:rPr>
          <w:b/>
        </w:rPr>
        <w:t xml:space="preserve"> a </w:t>
      </w:r>
      <w:r w:rsidRPr="005455D1">
        <w:rPr>
          <w:b/>
        </w:rPr>
        <w:t>dopady, neočekávané efekty projektů</w:t>
      </w:r>
    </w:p>
    <w:p w14:paraId="6F3867F0" w14:textId="77777777" w:rsidR="00F836DE" w:rsidRDefault="00F836DE" w:rsidP="004C1DB1">
      <w:pPr>
        <w:jc w:val="both"/>
      </w:pPr>
      <w:r>
        <w:t xml:space="preserve">Respondenti </w:t>
      </w:r>
      <w:r w:rsidRPr="00CF2942">
        <w:rPr>
          <w:b/>
        </w:rPr>
        <w:t>v naprosté většině hodnotili podporu</w:t>
      </w:r>
      <w:r w:rsidR="00B10CFA">
        <w:rPr>
          <w:b/>
        </w:rPr>
        <w:t xml:space="preserve"> z </w:t>
      </w:r>
      <w:r w:rsidRPr="00CF2942">
        <w:rPr>
          <w:b/>
        </w:rPr>
        <w:t>programů OP PIK velmi kladně</w:t>
      </w:r>
      <w:r w:rsidR="009F0E7F">
        <w:rPr>
          <w:b/>
        </w:rPr>
        <w:t>.</w:t>
      </w:r>
      <w:r>
        <w:t xml:space="preserve"> Díky podpoře mohlo v mnoha případech dojít</w:t>
      </w:r>
      <w:r w:rsidR="00B10CFA">
        <w:t xml:space="preserve"> k </w:t>
      </w:r>
      <w:r>
        <w:t>realizaci výzkumné činnosti, vývoji inovací nebo navázání spolupráce s výzkumnými pracovišti. Zvlášť pro malé podniky</w:t>
      </w:r>
      <w:r w:rsidR="00B10CFA">
        <w:t xml:space="preserve"> a </w:t>
      </w:r>
      <w:r>
        <w:t>mikropodniky jsou investice do výzkumu</w:t>
      </w:r>
      <w:r w:rsidR="00B10CFA">
        <w:t xml:space="preserve"> a </w:t>
      </w:r>
      <w:r>
        <w:t xml:space="preserve">inovací bez dotační podpory obtížné. Většina respondentů díky podpoře zvýšila svoji konkurenceschopnost, uvedla nový nebo inovovaný produkt na trh. </w:t>
      </w:r>
    </w:p>
    <w:p w14:paraId="61F84ED5" w14:textId="77777777" w:rsidR="00F836DE" w:rsidRDefault="00F836DE" w:rsidP="00F836DE">
      <w:r>
        <w:t>Průměrná</w:t>
      </w:r>
      <w:r w:rsidR="00B10CFA">
        <w:t xml:space="preserve"> i </w:t>
      </w:r>
      <w:r>
        <w:t xml:space="preserve">mediánová </w:t>
      </w:r>
      <w:r w:rsidRPr="00CF2942">
        <w:rPr>
          <w:b/>
        </w:rPr>
        <w:t xml:space="preserve">délka </w:t>
      </w:r>
      <w:r w:rsidRPr="00C140B1">
        <w:rPr>
          <w:b/>
        </w:rPr>
        <w:t>životnosti investice</w:t>
      </w:r>
      <w:r>
        <w:t xml:space="preserve"> osciluje mezi </w:t>
      </w:r>
      <w:r w:rsidRPr="00C140B1">
        <w:rPr>
          <w:b/>
        </w:rPr>
        <w:t>10</w:t>
      </w:r>
      <w:r w:rsidR="00B10CFA">
        <w:rPr>
          <w:b/>
        </w:rPr>
        <w:t xml:space="preserve"> a </w:t>
      </w:r>
      <w:r w:rsidRPr="00C140B1">
        <w:rPr>
          <w:b/>
        </w:rPr>
        <w:t>11 lety</w:t>
      </w:r>
      <w:r>
        <w:t xml:space="preserve">. </w:t>
      </w:r>
    </w:p>
    <w:p w14:paraId="0DF529E8" w14:textId="77777777" w:rsidR="00F836DE" w:rsidRDefault="00F836DE" w:rsidP="004C1DB1">
      <w:pPr>
        <w:jc w:val="both"/>
      </w:pPr>
      <w:r>
        <w:t xml:space="preserve">Mezi dalšími hlavními </w:t>
      </w:r>
      <w:r w:rsidRPr="00090FA0">
        <w:rPr>
          <w:b/>
        </w:rPr>
        <w:t>pozitivními přínosy</w:t>
      </w:r>
      <w:r>
        <w:t xml:space="preserve"> projektů realizovaných v SC 1.1 identifikovanými příjemci podpory jsou:</w:t>
      </w:r>
    </w:p>
    <w:p w14:paraId="11556BAC" w14:textId="77777777" w:rsidR="00F836DE" w:rsidRDefault="00F836DE" w:rsidP="004C1DB1">
      <w:pPr>
        <w:pStyle w:val="ListParagraph"/>
        <w:numPr>
          <w:ilvl w:val="0"/>
          <w:numId w:val="5"/>
        </w:numPr>
        <w:spacing w:after="120"/>
        <w:ind w:left="714" w:hanging="357"/>
        <w:contextualSpacing w:val="0"/>
        <w:jc w:val="both"/>
      </w:pPr>
      <w:r>
        <w:t>Z</w:t>
      </w:r>
      <w:r w:rsidRPr="001972E2">
        <w:t>ískání zkušeností s realizací investičních projekt</w:t>
      </w:r>
      <w:r>
        <w:t>ů</w:t>
      </w:r>
    </w:p>
    <w:p w14:paraId="1510566A" w14:textId="77777777" w:rsidR="00F836DE" w:rsidRDefault="00F836DE" w:rsidP="004C1DB1">
      <w:pPr>
        <w:pStyle w:val="ListParagraph"/>
        <w:numPr>
          <w:ilvl w:val="0"/>
          <w:numId w:val="5"/>
        </w:numPr>
        <w:spacing w:after="120"/>
        <w:ind w:left="714" w:hanging="357"/>
        <w:contextualSpacing w:val="0"/>
        <w:jc w:val="both"/>
      </w:pPr>
      <w:r>
        <w:t>Zlepšení v projektovém řízení</w:t>
      </w:r>
    </w:p>
    <w:p w14:paraId="2ECFEB70" w14:textId="77777777" w:rsidR="00F836DE" w:rsidRDefault="00F836DE" w:rsidP="004C1DB1">
      <w:pPr>
        <w:pStyle w:val="ListParagraph"/>
        <w:numPr>
          <w:ilvl w:val="0"/>
          <w:numId w:val="5"/>
        </w:numPr>
        <w:spacing w:after="120"/>
        <w:ind w:left="714" w:hanging="357"/>
        <w:contextualSpacing w:val="0"/>
        <w:jc w:val="both"/>
      </w:pPr>
      <w:r>
        <w:t>Vyšší motivace zaměstnanců, jejich zájmu</w:t>
      </w:r>
      <w:r w:rsidR="00B10CFA">
        <w:t xml:space="preserve"> o </w:t>
      </w:r>
      <w:r>
        <w:t>nové znalosti</w:t>
      </w:r>
      <w:r w:rsidR="00B10CFA">
        <w:t xml:space="preserve"> a </w:t>
      </w:r>
      <w:r>
        <w:t>zkušenosti</w:t>
      </w:r>
    </w:p>
    <w:p w14:paraId="7987F3BD" w14:textId="77777777" w:rsidR="00F836DE" w:rsidRDefault="00F836DE" w:rsidP="004C1DB1">
      <w:pPr>
        <w:pStyle w:val="ListParagraph"/>
        <w:numPr>
          <w:ilvl w:val="0"/>
          <w:numId w:val="5"/>
        </w:numPr>
        <w:spacing w:after="120"/>
        <w:ind w:left="714" w:hanging="357"/>
        <w:contextualSpacing w:val="0"/>
        <w:jc w:val="both"/>
      </w:pPr>
      <w:r>
        <w:t>Vyšší hodnocení podniku</w:t>
      </w:r>
      <w:r w:rsidR="00B10CFA">
        <w:t xml:space="preserve"> a </w:t>
      </w:r>
      <w:r>
        <w:t>projektu odbornou veřejností</w:t>
      </w:r>
    </w:p>
    <w:p w14:paraId="6F9E8182" w14:textId="77777777" w:rsidR="00F836DE" w:rsidRDefault="00F836DE" w:rsidP="004C1DB1">
      <w:pPr>
        <w:pStyle w:val="ListParagraph"/>
        <w:numPr>
          <w:ilvl w:val="0"/>
          <w:numId w:val="5"/>
        </w:numPr>
        <w:spacing w:after="120"/>
        <w:ind w:left="714" w:hanging="357"/>
        <w:contextualSpacing w:val="0"/>
        <w:jc w:val="both"/>
      </w:pPr>
      <w:r>
        <w:t xml:space="preserve">Vyšší důraz na </w:t>
      </w:r>
      <w:proofErr w:type="spellStart"/>
      <w:r>
        <w:t>VaV</w:t>
      </w:r>
      <w:proofErr w:type="spellEnd"/>
      <w:r>
        <w:t xml:space="preserve"> při dalším rozvoji podniku</w:t>
      </w:r>
    </w:p>
    <w:p w14:paraId="2EDB4F24" w14:textId="77777777" w:rsidR="00F836DE" w:rsidRDefault="00F836DE" w:rsidP="004C1DB1">
      <w:pPr>
        <w:pStyle w:val="ListParagraph"/>
        <w:numPr>
          <w:ilvl w:val="0"/>
          <w:numId w:val="5"/>
        </w:numPr>
        <w:spacing w:after="120"/>
        <w:ind w:left="714" w:hanging="357"/>
        <w:contextualSpacing w:val="0"/>
        <w:jc w:val="both"/>
      </w:pPr>
      <w:r>
        <w:t>Zvýšení vzdělání zaměstnanců</w:t>
      </w:r>
    </w:p>
    <w:p w14:paraId="2E77D5BF" w14:textId="77777777" w:rsidR="00F836DE" w:rsidRDefault="00F836DE" w:rsidP="004C1DB1">
      <w:pPr>
        <w:pStyle w:val="ListParagraph"/>
        <w:numPr>
          <w:ilvl w:val="0"/>
          <w:numId w:val="5"/>
        </w:numPr>
        <w:spacing w:after="120"/>
        <w:ind w:left="714" w:hanging="357"/>
        <w:contextualSpacing w:val="0"/>
        <w:jc w:val="both"/>
      </w:pPr>
      <w:r>
        <w:t>Zvýšení vědomostí</w:t>
      </w:r>
      <w:r w:rsidR="00B10CFA">
        <w:t xml:space="preserve"> o </w:t>
      </w:r>
      <w:r>
        <w:t>dané problematice</w:t>
      </w:r>
    </w:p>
    <w:p w14:paraId="464FC6AB" w14:textId="77777777" w:rsidR="00F836DE" w:rsidRDefault="00F836DE" w:rsidP="004C1DB1">
      <w:pPr>
        <w:pStyle w:val="ListParagraph"/>
        <w:numPr>
          <w:ilvl w:val="0"/>
          <w:numId w:val="5"/>
        </w:numPr>
        <w:spacing w:after="120"/>
        <w:ind w:left="714" w:hanging="357"/>
        <w:contextualSpacing w:val="0"/>
        <w:jc w:val="both"/>
      </w:pPr>
      <w:r>
        <w:t>Uplatnění inovace</w:t>
      </w:r>
      <w:r w:rsidR="00B10CFA">
        <w:t xml:space="preserve"> i </w:t>
      </w:r>
      <w:r>
        <w:t>v dalších produktech</w:t>
      </w:r>
    </w:p>
    <w:p w14:paraId="7D85767E" w14:textId="77777777" w:rsidR="00F836DE" w:rsidRDefault="00F836DE" w:rsidP="004C1DB1">
      <w:pPr>
        <w:pStyle w:val="ListParagraph"/>
        <w:numPr>
          <w:ilvl w:val="0"/>
          <w:numId w:val="5"/>
        </w:numPr>
        <w:spacing w:after="120"/>
        <w:ind w:left="714" w:hanging="357"/>
        <w:contextualSpacing w:val="0"/>
        <w:jc w:val="both"/>
      </w:pPr>
      <w:r>
        <w:t>Optimalizace souvisejících</w:t>
      </w:r>
      <w:r w:rsidR="00B10CFA">
        <w:t xml:space="preserve"> a </w:t>
      </w:r>
      <w:r>
        <w:t>dalších procesů v</w:t>
      </w:r>
      <w:r w:rsidR="009F0E7F">
        <w:t> </w:t>
      </w:r>
      <w:r>
        <w:t>podniku</w:t>
      </w:r>
    </w:p>
    <w:p w14:paraId="041FC0F4" w14:textId="77777777" w:rsidR="00F836DE" w:rsidRPr="00C140B1" w:rsidRDefault="00F836DE" w:rsidP="004C1DB1">
      <w:pPr>
        <w:pStyle w:val="ListParagraph"/>
        <w:numPr>
          <w:ilvl w:val="0"/>
          <w:numId w:val="5"/>
        </w:numPr>
        <w:spacing w:after="120"/>
        <w:ind w:left="714" w:hanging="357"/>
        <w:contextualSpacing w:val="0"/>
        <w:jc w:val="both"/>
      </w:pPr>
      <w:r>
        <w:t>Navázání spolupráce s výzkumnými pracovišti, firmami, vstup na zahraniční trh</w:t>
      </w:r>
    </w:p>
    <w:p w14:paraId="513A09CF" w14:textId="77777777" w:rsidR="00F836DE" w:rsidRDefault="00F836DE" w:rsidP="004C1DB1">
      <w:pPr>
        <w:jc w:val="both"/>
      </w:pPr>
    </w:p>
    <w:p w14:paraId="3A973ABE" w14:textId="77777777" w:rsidR="00F836DE" w:rsidRDefault="00F836DE" w:rsidP="004C1DB1">
      <w:pPr>
        <w:jc w:val="both"/>
      </w:pPr>
      <w:r>
        <w:t xml:space="preserve">Projekty </w:t>
      </w:r>
      <w:r w:rsidR="009F0E7F">
        <w:t xml:space="preserve">však </w:t>
      </w:r>
      <w:r>
        <w:t>měly kromě pozitivních dopadů pro příjemce</w:t>
      </w:r>
      <w:r w:rsidR="00B10CFA">
        <w:t xml:space="preserve"> i </w:t>
      </w:r>
      <w:r>
        <w:t xml:space="preserve">následující </w:t>
      </w:r>
      <w:r w:rsidRPr="00090FA0">
        <w:rPr>
          <w:b/>
        </w:rPr>
        <w:t>negativní</w:t>
      </w:r>
      <w:r>
        <w:rPr>
          <w:b/>
        </w:rPr>
        <w:t xml:space="preserve"> dopady</w:t>
      </w:r>
      <w:r>
        <w:t>:</w:t>
      </w:r>
    </w:p>
    <w:p w14:paraId="56B55E1E" w14:textId="77777777" w:rsidR="00F836DE" w:rsidRDefault="00F836DE" w:rsidP="004C1DB1">
      <w:pPr>
        <w:pStyle w:val="ListParagraph"/>
        <w:numPr>
          <w:ilvl w:val="0"/>
          <w:numId w:val="5"/>
        </w:numPr>
        <w:spacing w:after="120"/>
        <w:ind w:left="714" w:hanging="357"/>
        <w:contextualSpacing w:val="0"/>
        <w:jc w:val="both"/>
      </w:pPr>
      <w:r w:rsidRPr="00825F78">
        <w:t>Neúměrná administrativní zátěž</w:t>
      </w:r>
      <w:r w:rsidR="00B10CFA">
        <w:t xml:space="preserve"> a </w:t>
      </w:r>
      <w:r w:rsidRPr="00825F78">
        <w:t>složité výkaznictví</w:t>
      </w:r>
    </w:p>
    <w:p w14:paraId="06E88F9A" w14:textId="77777777" w:rsidR="00F836DE" w:rsidRDefault="00F836DE" w:rsidP="004C1DB1">
      <w:pPr>
        <w:pStyle w:val="ListParagraph"/>
        <w:numPr>
          <w:ilvl w:val="0"/>
          <w:numId w:val="5"/>
        </w:numPr>
        <w:spacing w:after="120"/>
        <w:ind w:left="714" w:hanging="357"/>
        <w:contextualSpacing w:val="0"/>
        <w:jc w:val="both"/>
      </w:pPr>
      <w:r>
        <w:t>Zátěž</w:t>
      </w:r>
      <w:r w:rsidR="00B10CFA">
        <w:t xml:space="preserve"> a </w:t>
      </w:r>
      <w:r>
        <w:t>zvýšené finanční náklady kvůli zpožděním ve schvalovacím procesu</w:t>
      </w:r>
      <w:r w:rsidR="00B10CFA">
        <w:t xml:space="preserve"> a </w:t>
      </w:r>
      <w:r>
        <w:t>nutnosti projekt předělávat</w:t>
      </w:r>
      <w:r w:rsidR="00B10CFA">
        <w:t xml:space="preserve"> a </w:t>
      </w:r>
      <w:r>
        <w:t>více financovat</w:t>
      </w:r>
      <w:r w:rsidR="00B10CFA">
        <w:t xml:space="preserve"> z </w:t>
      </w:r>
      <w:r>
        <w:t>vlastních zdrojů</w:t>
      </w:r>
    </w:p>
    <w:p w14:paraId="22D9AD3C" w14:textId="77777777" w:rsidR="00F836DE" w:rsidRDefault="00F836DE" w:rsidP="004C1DB1">
      <w:pPr>
        <w:pStyle w:val="ListParagraph"/>
        <w:numPr>
          <w:ilvl w:val="0"/>
          <w:numId w:val="5"/>
        </w:numPr>
        <w:spacing w:after="120"/>
        <w:ind w:left="714" w:hanging="357"/>
        <w:contextualSpacing w:val="0"/>
        <w:jc w:val="both"/>
      </w:pPr>
      <w:r>
        <w:t>V ojedinělých případech náklady na administrativu projektu převyšovaly poskytnutou dotaci</w:t>
      </w:r>
    </w:p>
    <w:p w14:paraId="13D7A9AC" w14:textId="77777777" w:rsidR="00F836DE" w:rsidRDefault="00F836DE" w:rsidP="004C1DB1">
      <w:pPr>
        <w:pStyle w:val="ListParagraph"/>
        <w:numPr>
          <w:ilvl w:val="0"/>
          <w:numId w:val="5"/>
        </w:numPr>
        <w:spacing w:after="120"/>
        <w:ind w:left="714" w:hanging="357"/>
        <w:contextualSpacing w:val="0"/>
        <w:jc w:val="both"/>
      </w:pPr>
      <w:r>
        <w:t>Dlouhé časové prodlevy při schvalování různých kroků</w:t>
      </w:r>
      <w:r w:rsidR="00B10CFA">
        <w:t xml:space="preserve"> a </w:t>
      </w:r>
      <w:r>
        <w:t>plateb během realizace projektu</w:t>
      </w:r>
    </w:p>
    <w:p w14:paraId="5394DAEA" w14:textId="77777777" w:rsidR="00F836DE" w:rsidRDefault="00F836DE" w:rsidP="004C1DB1">
      <w:pPr>
        <w:pStyle w:val="ListParagraph"/>
        <w:numPr>
          <w:ilvl w:val="0"/>
          <w:numId w:val="5"/>
        </w:numPr>
        <w:spacing w:after="120"/>
        <w:ind w:left="714" w:hanging="357"/>
        <w:contextualSpacing w:val="0"/>
        <w:jc w:val="both"/>
      </w:pPr>
      <w:r>
        <w:t>Nechuť některých zaměstnanců účastnit se projektu</w:t>
      </w:r>
      <w:r w:rsidR="00B10CFA">
        <w:t xml:space="preserve"> z </w:t>
      </w:r>
      <w:r>
        <w:t>důvodů administrativní zátěže (vyplňování denních výkazů práce)</w:t>
      </w:r>
    </w:p>
    <w:p w14:paraId="109F1C07" w14:textId="77777777" w:rsidR="00F836DE" w:rsidRPr="00825F78" w:rsidRDefault="00F836DE" w:rsidP="004C1DB1">
      <w:pPr>
        <w:jc w:val="both"/>
      </w:pPr>
    </w:p>
    <w:p w14:paraId="4302E3ED" w14:textId="77777777" w:rsidR="00F836DE" w:rsidRPr="005455D1" w:rsidRDefault="00F836DE" w:rsidP="004C1DB1">
      <w:pPr>
        <w:jc w:val="both"/>
        <w:rPr>
          <w:rFonts w:asciiTheme="minorHAnsi" w:hAnsiTheme="minorHAnsi"/>
          <w:b/>
          <w:color w:val="62B5E5" w:themeColor="accent3"/>
        </w:rPr>
      </w:pPr>
      <w:r w:rsidRPr="005455D1">
        <w:rPr>
          <w:rFonts w:asciiTheme="minorHAnsi" w:hAnsiTheme="minorHAnsi"/>
          <w:b/>
          <w:color w:val="62B5E5" w:themeColor="accent3"/>
        </w:rPr>
        <w:t>Závěrečná doporučení pro procesní nastavení OP PIK</w:t>
      </w:r>
    </w:p>
    <w:p w14:paraId="60EEDB74" w14:textId="77777777" w:rsidR="00F836DE" w:rsidRDefault="00F836DE" w:rsidP="004C1DB1">
      <w:pPr>
        <w:jc w:val="both"/>
      </w:pPr>
      <w:r>
        <w:t xml:space="preserve">Respondenti dotazníkového šetření navrhli </w:t>
      </w:r>
      <w:r w:rsidR="003208E6">
        <w:t xml:space="preserve">pro nové programovací období </w:t>
      </w:r>
      <w:r>
        <w:t>následující změny pro programy podpory Inovace, Aplikace</w:t>
      </w:r>
      <w:r w:rsidR="00B10CFA">
        <w:t xml:space="preserve"> a </w:t>
      </w:r>
      <w:r>
        <w:t>Potenciál:</w:t>
      </w:r>
    </w:p>
    <w:p w14:paraId="4665E19C" w14:textId="77777777" w:rsidR="00F836DE" w:rsidRDefault="00F836DE" w:rsidP="004C1DB1">
      <w:pPr>
        <w:pStyle w:val="ListParagraph"/>
        <w:numPr>
          <w:ilvl w:val="0"/>
          <w:numId w:val="5"/>
        </w:numPr>
        <w:spacing w:after="120"/>
        <w:ind w:left="714" w:hanging="357"/>
        <w:contextualSpacing w:val="0"/>
        <w:jc w:val="both"/>
      </w:pPr>
      <w:r>
        <w:t>Zrychl</w:t>
      </w:r>
      <w:r w:rsidR="003208E6">
        <w:t>it</w:t>
      </w:r>
      <w:r w:rsidR="00B10CFA">
        <w:t xml:space="preserve"> a </w:t>
      </w:r>
      <w:r>
        <w:t>zjednoduš</w:t>
      </w:r>
      <w:r w:rsidR="003208E6">
        <w:t>it</w:t>
      </w:r>
      <w:r>
        <w:t xml:space="preserve"> administrac</w:t>
      </w:r>
      <w:r w:rsidR="003208E6">
        <w:t>i žádostí</w:t>
      </w:r>
      <w:r w:rsidR="00B10CFA">
        <w:t xml:space="preserve"> a </w:t>
      </w:r>
      <w:r w:rsidR="003208E6">
        <w:t>projektů</w:t>
      </w:r>
      <w:r>
        <w:t xml:space="preserve"> (48</w:t>
      </w:r>
      <w:r w:rsidR="00B10CFA">
        <w:t xml:space="preserve"> z </w:t>
      </w:r>
      <w:r>
        <w:t>96 odpovědí, tedy 50 %)</w:t>
      </w:r>
      <w:r w:rsidR="003208E6">
        <w:t>.</w:t>
      </w:r>
    </w:p>
    <w:p w14:paraId="4D8CE9CC" w14:textId="77777777" w:rsidR="00225E1A" w:rsidRDefault="00F836DE" w:rsidP="00225E1A">
      <w:pPr>
        <w:pStyle w:val="ListParagraph"/>
        <w:numPr>
          <w:ilvl w:val="0"/>
          <w:numId w:val="5"/>
        </w:numPr>
        <w:spacing w:after="120"/>
        <w:ind w:left="714" w:hanging="357"/>
        <w:contextualSpacing w:val="0"/>
        <w:jc w:val="both"/>
      </w:pPr>
      <w:r>
        <w:t>Změn</w:t>
      </w:r>
      <w:r w:rsidR="003208E6">
        <w:t>it</w:t>
      </w:r>
      <w:r>
        <w:t xml:space="preserve"> pravidl</w:t>
      </w:r>
      <w:r w:rsidR="003208E6">
        <w:t>a</w:t>
      </w:r>
      <w:r>
        <w:t xml:space="preserve"> pro výběr dodavatele (zvýšit nebo odstranit horní hranici), potažmo veřejných zakázek. </w:t>
      </w:r>
      <w:r w:rsidR="00225E1A" w:rsidRPr="00532908">
        <w:t xml:space="preserve">Pravidla </w:t>
      </w:r>
      <w:r w:rsidR="00225E1A">
        <w:t xml:space="preserve">by </w:t>
      </w:r>
      <w:r w:rsidR="00225E1A" w:rsidRPr="00532908">
        <w:t>pro případ výzkumu (nepředvídatelných aktivit) měl</w:t>
      </w:r>
      <w:r w:rsidR="00225E1A">
        <w:t>a</w:t>
      </w:r>
      <w:r w:rsidR="00225E1A" w:rsidRPr="00532908">
        <w:t xml:space="preserve"> mít výjimku, neboť hrozí, že projekty nebude možné dokončit, pokud podporovaný subjekt potřebuje nakoupit od jednoho dodavatele materiál přes</w:t>
      </w:r>
      <w:r w:rsidR="00225E1A">
        <w:t>ahu</w:t>
      </w:r>
      <w:r w:rsidR="00225E1A" w:rsidRPr="00532908">
        <w:t>jící uvedené částky</w:t>
      </w:r>
      <w:r w:rsidR="00225E1A">
        <w:t>.</w:t>
      </w:r>
    </w:p>
    <w:p w14:paraId="31F225EE" w14:textId="77777777" w:rsidR="00F836DE" w:rsidRDefault="00F836DE" w:rsidP="003208E6">
      <w:pPr>
        <w:pStyle w:val="ListParagraph"/>
        <w:numPr>
          <w:ilvl w:val="0"/>
          <w:numId w:val="5"/>
        </w:numPr>
        <w:spacing w:after="120"/>
        <w:ind w:left="714" w:hanging="357"/>
        <w:contextualSpacing w:val="0"/>
      </w:pPr>
      <w:r>
        <w:t>Omezit počty aktualizací</w:t>
      </w:r>
      <w:r w:rsidR="004C1DB1">
        <w:t xml:space="preserve"> metodických pokynů</w:t>
      </w:r>
      <w:r>
        <w:t xml:space="preserve"> v průběhu realizace programů</w:t>
      </w:r>
      <w:r w:rsidR="003208E6">
        <w:t>.</w:t>
      </w:r>
    </w:p>
    <w:p w14:paraId="31A5E7BD" w14:textId="77777777" w:rsidR="00F836DE" w:rsidRPr="00392022" w:rsidRDefault="00F836DE" w:rsidP="004C1DB1">
      <w:pPr>
        <w:pStyle w:val="ListParagraph"/>
        <w:numPr>
          <w:ilvl w:val="0"/>
          <w:numId w:val="5"/>
        </w:numPr>
        <w:spacing w:after="120"/>
        <w:ind w:left="714" w:hanging="357"/>
        <w:contextualSpacing w:val="0"/>
        <w:jc w:val="both"/>
      </w:pPr>
      <w:r w:rsidRPr="00532908">
        <w:t>Jednodušší převody mezi nákladovými položkami - nelze naplánovat přesně, musí se operativně měnit během projektu podle vývoje, výsledků</w:t>
      </w:r>
      <w:r w:rsidR="00225E1A">
        <w:t>.</w:t>
      </w:r>
    </w:p>
    <w:p w14:paraId="44B8140D" w14:textId="77777777" w:rsidR="00F836DE" w:rsidRDefault="00F836DE" w:rsidP="004C1DB1">
      <w:pPr>
        <w:pStyle w:val="ListParagraph"/>
        <w:numPr>
          <w:ilvl w:val="0"/>
          <w:numId w:val="5"/>
        </w:numPr>
        <w:spacing w:after="120"/>
        <w:ind w:left="714" w:hanging="357"/>
        <w:contextualSpacing w:val="0"/>
        <w:jc w:val="both"/>
      </w:pPr>
      <w:r>
        <w:t>Změn</w:t>
      </w:r>
      <w:r w:rsidR="00225E1A">
        <w:t>it</w:t>
      </w:r>
      <w:r>
        <w:t xml:space="preserve"> systém ISKP14+ s cílem vyšší uživatelské přívětivosti, srozumitelnosti</w:t>
      </w:r>
      <w:r w:rsidR="00B10CFA">
        <w:t xml:space="preserve"> a </w:t>
      </w:r>
      <w:r>
        <w:t>funkcionality</w:t>
      </w:r>
      <w:r w:rsidR="00225E1A">
        <w:t>.</w:t>
      </w:r>
      <w:r>
        <w:t xml:space="preserve"> </w:t>
      </w:r>
    </w:p>
    <w:p w14:paraId="64E6211E" w14:textId="77777777" w:rsidR="00F836DE" w:rsidRDefault="00225E1A" w:rsidP="004C1DB1">
      <w:pPr>
        <w:pStyle w:val="ListParagraph"/>
        <w:numPr>
          <w:ilvl w:val="0"/>
          <w:numId w:val="5"/>
        </w:numPr>
        <w:spacing w:after="120"/>
        <w:ind w:left="714" w:hanging="357"/>
        <w:contextualSpacing w:val="0"/>
        <w:jc w:val="both"/>
      </w:pPr>
      <w:r>
        <w:t>Zajistit v</w:t>
      </w:r>
      <w:r w:rsidR="00F836DE">
        <w:t>ětší transparentnost</w:t>
      </w:r>
      <w:r w:rsidR="00B10CFA">
        <w:t xml:space="preserve"> a </w:t>
      </w:r>
      <w:r w:rsidR="00F836DE">
        <w:t>sjednocení podmínek hodnocení</w:t>
      </w:r>
      <w:r>
        <w:t xml:space="preserve"> projektových žádostí.</w:t>
      </w:r>
    </w:p>
    <w:p w14:paraId="6B917967" w14:textId="77777777" w:rsidR="00F836DE" w:rsidRDefault="00F836DE" w:rsidP="004C1DB1">
      <w:pPr>
        <w:pStyle w:val="ListParagraph"/>
        <w:numPr>
          <w:ilvl w:val="0"/>
          <w:numId w:val="5"/>
        </w:numPr>
        <w:spacing w:after="120"/>
        <w:ind w:left="714" w:hanging="357"/>
        <w:contextualSpacing w:val="0"/>
        <w:jc w:val="both"/>
      </w:pPr>
      <w:r>
        <w:t>Zruš</w:t>
      </w:r>
      <w:r w:rsidR="00225E1A">
        <w:t>it</w:t>
      </w:r>
      <w:r>
        <w:t xml:space="preserve"> výkaz práce v hodinách</w:t>
      </w:r>
      <w:r w:rsidR="00B10CFA">
        <w:t xml:space="preserve"> a </w:t>
      </w:r>
      <w:r>
        <w:t>dělení nákladů na EV</w:t>
      </w:r>
      <w:r w:rsidR="00B10CFA">
        <w:t xml:space="preserve"> a </w:t>
      </w:r>
      <w:r>
        <w:t>PV. Případně jasněj</w:t>
      </w:r>
      <w:r w:rsidR="00225E1A">
        <w:t>i</w:t>
      </w:r>
      <w:r>
        <w:t xml:space="preserve"> vymez</w:t>
      </w:r>
      <w:r w:rsidR="00225E1A">
        <w:t>it</w:t>
      </w:r>
      <w:r>
        <w:t xml:space="preserve"> EV</w:t>
      </w:r>
      <w:r w:rsidR="00B10CFA">
        <w:t xml:space="preserve"> a </w:t>
      </w:r>
      <w:r>
        <w:t>PV (</w:t>
      </w:r>
      <w:r w:rsidR="00225E1A">
        <w:t>p</w:t>
      </w:r>
      <w:r>
        <w:t>odobně jako je v H2020)</w:t>
      </w:r>
      <w:r w:rsidR="00225E1A">
        <w:t>.</w:t>
      </w:r>
    </w:p>
    <w:p w14:paraId="46EB47C6" w14:textId="77777777" w:rsidR="00F836DE" w:rsidRDefault="00F836DE" w:rsidP="004C1DB1">
      <w:pPr>
        <w:pStyle w:val="ListParagraph"/>
        <w:numPr>
          <w:ilvl w:val="0"/>
          <w:numId w:val="5"/>
        </w:numPr>
        <w:spacing w:after="120"/>
        <w:ind w:left="714" w:hanging="357"/>
        <w:contextualSpacing w:val="0"/>
        <w:jc w:val="both"/>
      </w:pPr>
      <w:r>
        <w:t>Umožn</w:t>
      </w:r>
      <w:r w:rsidR="00225E1A">
        <w:t>it</w:t>
      </w:r>
      <w:r>
        <w:t xml:space="preserve"> účetní odpis nebo posun nákladů. Malé firmy toto vede do ztráty</w:t>
      </w:r>
      <w:r w:rsidR="00225E1A">
        <w:t>.</w:t>
      </w:r>
    </w:p>
    <w:p w14:paraId="4B2D4B60" w14:textId="77777777" w:rsidR="00F836DE" w:rsidRDefault="00F836DE" w:rsidP="004C1DB1">
      <w:pPr>
        <w:pStyle w:val="ListParagraph"/>
        <w:numPr>
          <w:ilvl w:val="0"/>
          <w:numId w:val="5"/>
        </w:numPr>
        <w:spacing w:after="120"/>
        <w:ind w:left="714" w:hanging="357"/>
        <w:contextualSpacing w:val="0"/>
        <w:jc w:val="both"/>
      </w:pPr>
      <w:r>
        <w:t>Režijní náklady neumožňují úhradu základních nákladů, např. pronájem prostor pro výzkum. Doporučuje se zavést paušální poměrnou částku bez omezení využití</w:t>
      </w:r>
      <w:r w:rsidR="00225E1A">
        <w:t>.</w:t>
      </w:r>
    </w:p>
    <w:p w14:paraId="23B1708D" w14:textId="77777777" w:rsidR="00F836DE" w:rsidRDefault="00225E1A" w:rsidP="004C1DB1">
      <w:pPr>
        <w:pStyle w:val="ListParagraph"/>
        <w:numPr>
          <w:ilvl w:val="0"/>
          <w:numId w:val="5"/>
        </w:numPr>
        <w:spacing w:after="120"/>
        <w:ind w:left="714" w:hanging="357"/>
        <w:contextualSpacing w:val="0"/>
        <w:jc w:val="both"/>
      </w:pPr>
      <w:r>
        <w:t>Zajistit p</w:t>
      </w:r>
      <w:r w:rsidR="00F836DE">
        <w:t>ersonální stabilitu zprostředk</w:t>
      </w:r>
      <w:r>
        <w:t>ujícího subjektu.</w:t>
      </w:r>
    </w:p>
    <w:p w14:paraId="6937A06B" w14:textId="77777777" w:rsidR="00F836DE" w:rsidRPr="004327EA" w:rsidRDefault="00F836DE" w:rsidP="004C1DB1">
      <w:pPr>
        <w:pStyle w:val="ListParagraph"/>
        <w:numPr>
          <w:ilvl w:val="0"/>
          <w:numId w:val="5"/>
        </w:numPr>
        <w:spacing w:after="120"/>
        <w:ind w:left="714" w:hanging="357"/>
        <w:contextualSpacing w:val="0"/>
        <w:jc w:val="both"/>
      </w:pPr>
      <w:r>
        <w:t>Zvýšit míru podpory na min. 50 %, ideálně 60 % pro MSP</w:t>
      </w:r>
      <w:r w:rsidR="00225E1A">
        <w:t>.</w:t>
      </w:r>
    </w:p>
    <w:p w14:paraId="161228DA" w14:textId="77777777" w:rsidR="00F836DE" w:rsidRPr="000105AB" w:rsidRDefault="00F836DE" w:rsidP="00F836DE"/>
    <w:p w14:paraId="51B5EFF6" w14:textId="77777777" w:rsidR="00AE0799" w:rsidRDefault="00AE0799">
      <w:pPr>
        <w:spacing w:after="0" w:line="240" w:lineRule="auto"/>
        <w:rPr>
          <w:rFonts w:eastAsia="MingLiU" w:cs="Times New Roman"/>
          <w:b/>
          <w:color w:val="auto"/>
          <w:sz w:val="60"/>
          <w:szCs w:val="60"/>
        </w:rPr>
      </w:pPr>
      <w:r>
        <w:rPr>
          <w:rFonts w:eastAsia="MingLiU" w:cs="Times New Roman"/>
          <w:b/>
          <w:color w:val="auto"/>
          <w:sz w:val="60"/>
          <w:szCs w:val="60"/>
        </w:rPr>
        <w:br w:type="page"/>
      </w:r>
    </w:p>
    <w:p w14:paraId="4BC3961F" w14:textId="77777777" w:rsidR="00F836DE" w:rsidRPr="002449AE" w:rsidRDefault="00F836DE" w:rsidP="00AE0799">
      <w:pPr>
        <w:pStyle w:val="Heading1"/>
        <w:spacing w:after="120"/>
        <w:rPr>
          <w:rFonts w:ascii="Verdana" w:eastAsia="MingLiU" w:hAnsi="Verdana" w:cs="Times New Roman"/>
          <w:b w:val="0"/>
          <w:color w:val="auto"/>
          <w:sz w:val="60"/>
          <w:szCs w:val="60"/>
        </w:rPr>
      </w:pPr>
      <w:bookmarkStart w:id="104" w:name="_Toc11679648"/>
      <w:r w:rsidRPr="00DC0A6C">
        <w:rPr>
          <w:rFonts w:ascii="Verdana" w:eastAsia="MingLiU" w:hAnsi="Verdana" w:cs="Times New Roman"/>
          <w:b w:val="0"/>
          <w:color w:val="auto"/>
          <w:sz w:val="60"/>
          <w:szCs w:val="60"/>
        </w:rPr>
        <w:t xml:space="preserve">Příloha </w:t>
      </w:r>
      <w:r w:rsidR="00465F14">
        <w:rPr>
          <w:rFonts w:ascii="Verdana" w:eastAsia="MingLiU" w:hAnsi="Verdana" w:cs="Times New Roman"/>
          <w:b w:val="0"/>
          <w:color w:val="auto"/>
          <w:sz w:val="60"/>
          <w:szCs w:val="60"/>
        </w:rPr>
        <w:t>3</w:t>
      </w:r>
      <w:r w:rsidRPr="00DC0A6C">
        <w:rPr>
          <w:rFonts w:ascii="Verdana" w:eastAsia="MingLiU" w:hAnsi="Verdana" w:cs="Times New Roman"/>
          <w:b w:val="0"/>
          <w:color w:val="auto"/>
          <w:sz w:val="60"/>
          <w:szCs w:val="60"/>
        </w:rPr>
        <w:t>:</w:t>
      </w:r>
      <w:r>
        <w:rPr>
          <w:rFonts w:ascii="Verdana" w:eastAsia="MingLiU" w:hAnsi="Verdana" w:cs="Times New Roman"/>
          <w:b w:val="0"/>
          <w:color w:val="auto"/>
          <w:sz w:val="60"/>
          <w:szCs w:val="60"/>
        </w:rPr>
        <w:t xml:space="preserve"> Seznam účastníků individuálních rozhovorů</w:t>
      </w:r>
      <w:r w:rsidR="00B10CFA">
        <w:rPr>
          <w:rFonts w:ascii="Verdana" w:eastAsia="MingLiU" w:hAnsi="Verdana" w:cs="Times New Roman"/>
          <w:b w:val="0"/>
          <w:color w:val="auto"/>
          <w:sz w:val="60"/>
          <w:szCs w:val="60"/>
        </w:rPr>
        <w:t xml:space="preserve"> a </w:t>
      </w:r>
      <w:r>
        <w:rPr>
          <w:rFonts w:ascii="Verdana" w:eastAsia="MingLiU" w:hAnsi="Verdana" w:cs="Times New Roman"/>
          <w:b w:val="0"/>
          <w:color w:val="auto"/>
          <w:sz w:val="60"/>
          <w:szCs w:val="60"/>
        </w:rPr>
        <w:t>expertního panelu</w:t>
      </w:r>
      <w:bookmarkEnd w:id="104"/>
      <w:r w:rsidRPr="002449AE">
        <w:rPr>
          <w:rFonts w:ascii="Verdana" w:eastAsia="MingLiU" w:hAnsi="Verdana" w:cs="Times New Roman"/>
          <w:b w:val="0"/>
          <w:color w:val="auto"/>
          <w:sz w:val="60"/>
          <w:szCs w:val="60"/>
        </w:rPr>
        <w:t xml:space="preserve"> </w:t>
      </w:r>
    </w:p>
    <w:p w14:paraId="2962F05D" w14:textId="77777777" w:rsidR="00F836DE" w:rsidRDefault="00F836DE" w:rsidP="002E0C13"/>
    <w:p w14:paraId="53ABF61A" w14:textId="77777777" w:rsidR="00F836DE" w:rsidRPr="004C1DB1" w:rsidRDefault="00F836DE" w:rsidP="002E0C13">
      <w:pPr>
        <w:pStyle w:val="Bntext"/>
        <w:rPr>
          <w:rFonts w:asciiTheme="minorHAnsi" w:hAnsiTheme="minorHAnsi"/>
          <w:b/>
          <w:color w:val="auto"/>
          <w:sz w:val="18"/>
          <w:szCs w:val="18"/>
        </w:rPr>
      </w:pPr>
      <w:r w:rsidRPr="004C1DB1">
        <w:rPr>
          <w:rFonts w:asciiTheme="minorHAnsi" w:hAnsiTheme="minorHAnsi"/>
          <w:b/>
          <w:color w:val="auto"/>
          <w:sz w:val="18"/>
          <w:szCs w:val="18"/>
        </w:rPr>
        <w:t xml:space="preserve">Seznam </w:t>
      </w:r>
      <w:r w:rsidR="004C1DB1">
        <w:rPr>
          <w:rFonts w:asciiTheme="minorHAnsi" w:hAnsiTheme="minorHAnsi"/>
          <w:b/>
          <w:color w:val="auto"/>
          <w:sz w:val="18"/>
          <w:szCs w:val="18"/>
        </w:rPr>
        <w:t>respondentů</w:t>
      </w:r>
      <w:r w:rsidR="009B6592" w:rsidRPr="004C1DB1">
        <w:rPr>
          <w:rFonts w:asciiTheme="minorHAnsi" w:hAnsiTheme="minorHAnsi"/>
          <w:b/>
          <w:color w:val="auto"/>
          <w:sz w:val="18"/>
          <w:szCs w:val="18"/>
        </w:rPr>
        <w:t xml:space="preserve"> individuálních </w:t>
      </w:r>
      <w:r w:rsidRPr="004C1DB1">
        <w:rPr>
          <w:rFonts w:asciiTheme="minorHAnsi" w:hAnsiTheme="minorHAnsi"/>
          <w:b/>
          <w:color w:val="auto"/>
          <w:sz w:val="18"/>
          <w:szCs w:val="18"/>
        </w:rPr>
        <w:t>rozhovorů</w:t>
      </w:r>
    </w:p>
    <w:tbl>
      <w:tblPr>
        <w:tblStyle w:val="Tabulkaseznamu3zvraznn11"/>
        <w:tblW w:w="5000"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5123"/>
        <w:gridCol w:w="3553"/>
      </w:tblGrid>
      <w:tr w:rsidR="004C1DB1" w:rsidRPr="002E0C13" w14:paraId="776B6231" w14:textId="77777777" w:rsidTr="004C1DB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671" w:type="pct"/>
            <w:noWrap/>
            <w:vAlign w:val="center"/>
            <w:hideMark/>
          </w:tcPr>
          <w:p w14:paraId="070D26E1" w14:textId="77777777" w:rsidR="004C1DB1" w:rsidRPr="002E0C13" w:rsidRDefault="004C1DB1" w:rsidP="002E0C13">
            <w:pPr>
              <w:tabs>
                <w:tab w:val="left" w:pos="1005"/>
                <w:tab w:val="center" w:pos="1864"/>
              </w:tabs>
              <w:spacing w:after="0" w:line="240" w:lineRule="auto"/>
              <w:rPr>
                <w:rFonts w:asciiTheme="majorHAnsi" w:eastAsia="Times New Roman" w:hAnsiTheme="majorHAnsi" w:cs="Calibri"/>
                <w:b w:val="0"/>
                <w:bCs w:val="0"/>
                <w:color w:val="FFFFFF" w:themeColor="background1"/>
                <w:lang w:eastAsia="cs-CZ"/>
              </w:rPr>
            </w:pPr>
            <w:r w:rsidRPr="002E0C13">
              <w:rPr>
                <w:rFonts w:asciiTheme="majorHAnsi" w:eastAsia="Times New Roman" w:hAnsiTheme="majorHAnsi" w:cs="Calibri"/>
                <w:bCs w:val="0"/>
                <w:color w:val="FFFFFF" w:themeColor="background1"/>
                <w:lang w:eastAsia="cs-CZ"/>
              </w:rPr>
              <w:t>Organizace</w:t>
            </w:r>
          </w:p>
        </w:tc>
        <w:tc>
          <w:tcPr>
            <w:tcW w:w="2329" w:type="pct"/>
            <w:vAlign w:val="center"/>
          </w:tcPr>
          <w:p w14:paraId="1E993AA4" w14:textId="77777777" w:rsidR="004C1DB1" w:rsidRPr="002E0C13" w:rsidRDefault="004C1DB1" w:rsidP="004C1DB1">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FFFFFF" w:themeColor="background1"/>
                <w:lang w:eastAsia="cs-CZ"/>
              </w:rPr>
            </w:pPr>
            <w:r>
              <w:rPr>
                <w:rFonts w:asciiTheme="majorHAnsi" w:eastAsia="Times New Roman" w:hAnsiTheme="majorHAnsi" w:cs="Calibri"/>
                <w:bCs w:val="0"/>
                <w:color w:val="FFFFFF" w:themeColor="background1"/>
                <w:lang w:eastAsia="cs-CZ"/>
              </w:rPr>
              <w:t>Zastoupený o</w:t>
            </w:r>
            <w:r w:rsidRPr="002E0C13">
              <w:rPr>
                <w:rFonts w:asciiTheme="majorHAnsi" w:eastAsia="Times New Roman" w:hAnsiTheme="majorHAnsi" w:cs="Calibri"/>
                <w:bCs w:val="0"/>
                <w:color w:val="FFFFFF" w:themeColor="background1"/>
                <w:lang w:eastAsia="cs-CZ"/>
              </w:rPr>
              <w:t>dbor, oddělení, pozice</w:t>
            </w:r>
          </w:p>
        </w:tc>
      </w:tr>
      <w:tr w:rsidR="004C1DB1" w:rsidRPr="002E0C13" w14:paraId="29C121B0"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71" w:type="pct"/>
            <w:vMerge w:val="restart"/>
            <w:noWrap/>
          </w:tcPr>
          <w:p w14:paraId="6DA2EFFA" w14:textId="77777777" w:rsidR="004C1DB1" w:rsidRPr="002E0C13" w:rsidRDefault="004C1DB1" w:rsidP="002E0C13">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Ministerstvo průmyslu</w:t>
            </w:r>
            <w:r>
              <w:rPr>
                <w:rFonts w:asciiTheme="majorHAnsi" w:eastAsia="Times New Roman" w:hAnsiTheme="majorHAnsi" w:cs="Calibri"/>
                <w:b w:val="0"/>
                <w:color w:val="000000"/>
                <w:lang w:eastAsia="cs-CZ"/>
              </w:rPr>
              <w:t xml:space="preserve"> a </w:t>
            </w:r>
            <w:r w:rsidRPr="002E0C13">
              <w:rPr>
                <w:rFonts w:asciiTheme="majorHAnsi" w:eastAsia="Times New Roman" w:hAnsiTheme="majorHAnsi" w:cs="Calibri"/>
                <w:b w:val="0"/>
                <w:color w:val="000000"/>
                <w:lang w:eastAsia="cs-CZ"/>
              </w:rPr>
              <w:t>obchodu ČR</w:t>
            </w:r>
          </w:p>
        </w:tc>
        <w:tc>
          <w:tcPr>
            <w:tcW w:w="2329" w:type="pct"/>
          </w:tcPr>
          <w:p w14:paraId="1EDD4587" w14:textId="77777777" w:rsidR="004C1DB1" w:rsidRPr="002E0C13" w:rsidRDefault="004C1DB1" w:rsidP="002E0C1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Odbor PO1</w:t>
            </w:r>
            <w:r>
              <w:rPr>
                <w:rFonts w:asciiTheme="majorHAnsi" w:eastAsia="Times New Roman" w:hAnsiTheme="majorHAnsi" w:cs="Calibri"/>
                <w:color w:val="000000"/>
                <w:lang w:eastAsia="cs-CZ"/>
              </w:rPr>
              <w:t xml:space="preserve"> a </w:t>
            </w:r>
            <w:r w:rsidRPr="002E0C13">
              <w:rPr>
                <w:rFonts w:asciiTheme="majorHAnsi" w:eastAsia="Times New Roman" w:hAnsiTheme="majorHAnsi" w:cs="Calibri"/>
                <w:color w:val="000000"/>
                <w:lang w:eastAsia="cs-CZ"/>
              </w:rPr>
              <w:t>finančních nástrojů</w:t>
            </w:r>
          </w:p>
        </w:tc>
      </w:tr>
      <w:tr w:rsidR="004C1DB1" w:rsidRPr="002E0C13" w14:paraId="251FFDBC"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2671" w:type="pct"/>
            <w:vMerge/>
            <w:noWrap/>
          </w:tcPr>
          <w:p w14:paraId="71362803" w14:textId="77777777" w:rsidR="004C1DB1" w:rsidRPr="002E0C13" w:rsidRDefault="004C1DB1" w:rsidP="002E0C13">
            <w:pPr>
              <w:spacing w:after="0" w:line="240" w:lineRule="auto"/>
              <w:rPr>
                <w:rFonts w:asciiTheme="majorHAnsi" w:eastAsia="Times New Roman" w:hAnsiTheme="majorHAnsi" w:cs="Calibri"/>
                <w:b w:val="0"/>
                <w:color w:val="000000"/>
                <w:lang w:eastAsia="cs-CZ"/>
              </w:rPr>
            </w:pPr>
          </w:p>
        </w:tc>
        <w:tc>
          <w:tcPr>
            <w:tcW w:w="2329" w:type="pct"/>
          </w:tcPr>
          <w:p w14:paraId="45A9FB71" w14:textId="77777777" w:rsidR="004C1DB1" w:rsidRPr="002E0C13" w:rsidRDefault="004C1DB1" w:rsidP="002E0C1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Oddělení strategie S3</w:t>
            </w:r>
          </w:p>
        </w:tc>
      </w:tr>
      <w:tr w:rsidR="004C1DB1" w:rsidRPr="002E0C13" w14:paraId="0BA3A2DF"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71" w:type="pct"/>
            <w:vMerge/>
            <w:noWrap/>
          </w:tcPr>
          <w:p w14:paraId="5755ED69" w14:textId="77777777" w:rsidR="004C1DB1" w:rsidRPr="002E0C13" w:rsidRDefault="004C1DB1" w:rsidP="002E0C13">
            <w:pPr>
              <w:spacing w:after="0" w:line="240" w:lineRule="auto"/>
              <w:rPr>
                <w:rFonts w:asciiTheme="majorHAnsi" w:eastAsia="Times New Roman" w:hAnsiTheme="majorHAnsi" w:cs="Calibri"/>
                <w:b w:val="0"/>
                <w:color w:val="000000"/>
                <w:lang w:eastAsia="cs-CZ"/>
              </w:rPr>
            </w:pPr>
          </w:p>
        </w:tc>
        <w:tc>
          <w:tcPr>
            <w:tcW w:w="2329" w:type="pct"/>
          </w:tcPr>
          <w:p w14:paraId="1681C65D" w14:textId="77777777" w:rsidR="004C1DB1" w:rsidRPr="002E0C13" w:rsidRDefault="004C1DB1" w:rsidP="002E0C1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Odbor PO1</w:t>
            </w:r>
            <w:r>
              <w:rPr>
                <w:rFonts w:asciiTheme="majorHAnsi" w:eastAsia="Times New Roman" w:hAnsiTheme="majorHAnsi" w:cs="Calibri"/>
                <w:color w:val="000000"/>
                <w:lang w:eastAsia="cs-CZ"/>
              </w:rPr>
              <w:t xml:space="preserve"> a </w:t>
            </w:r>
            <w:r w:rsidRPr="002E0C13">
              <w:rPr>
                <w:rFonts w:asciiTheme="majorHAnsi" w:eastAsia="Times New Roman" w:hAnsiTheme="majorHAnsi" w:cs="Calibri"/>
                <w:color w:val="000000"/>
                <w:lang w:eastAsia="cs-CZ"/>
              </w:rPr>
              <w:t>finančních nástrojů</w:t>
            </w:r>
          </w:p>
        </w:tc>
      </w:tr>
      <w:tr w:rsidR="004C1DB1" w:rsidRPr="002E0C13" w14:paraId="3F22098F"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2671" w:type="pct"/>
            <w:vMerge/>
            <w:noWrap/>
          </w:tcPr>
          <w:p w14:paraId="1FAC0A9F" w14:textId="77777777" w:rsidR="004C1DB1" w:rsidRPr="002E0C13" w:rsidRDefault="004C1DB1" w:rsidP="002E0C13">
            <w:pPr>
              <w:spacing w:after="0" w:line="240" w:lineRule="auto"/>
              <w:rPr>
                <w:rFonts w:asciiTheme="majorHAnsi" w:eastAsia="Times New Roman" w:hAnsiTheme="majorHAnsi" w:cs="Calibri"/>
                <w:b w:val="0"/>
                <w:color w:val="000000"/>
                <w:lang w:eastAsia="cs-CZ"/>
              </w:rPr>
            </w:pPr>
          </w:p>
        </w:tc>
        <w:tc>
          <w:tcPr>
            <w:tcW w:w="2329" w:type="pct"/>
          </w:tcPr>
          <w:p w14:paraId="262045C9" w14:textId="77777777" w:rsidR="004C1DB1" w:rsidRPr="002E0C13" w:rsidRDefault="004C1DB1" w:rsidP="002E0C1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Odbor PO1</w:t>
            </w:r>
            <w:r>
              <w:rPr>
                <w:rFonts w:asciiTheme="majorHAnsi" w:eastAsia="Times New Roman" w:hAnsiTheme="majorHAnsi" w:cs="Calibri"/>
                <w:color w:val="000000"/>
                <w:lang w:eastAsia="cs-CZ"/>
              </w:rPr>
              <w:t xml:space="preserve"> a </w:t>
            </w:r>
            <w:r w:rsidRPr="002E0C13">
              <w:rPr>
                <w:rFonts w:asciiTheme="majorHAnsi" w:eastAsia="Times New Roman" w:hAnsiTheme="majorHAnsi" w:cs="Calibri"/>
                <w:color w:val="000000"/>
                <w:lang w:eastAsia="cs-CZ"/>
              </w:rPr>
              <w:t>finančních nástrojů</w:t>
            </w:r>
          </w:p>
        </w:tc>
      </w:tr>
      <w:tr w:rsidR="004C1DB1" w:rsidRPr="002E0C13" w14:paraId="0CAE0C17"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71" w:type="pct"/>
            <w:vMerge/>
            <w:noWrap/>
          </w:tcPr>
          <w:p w14:paraId="17D58F1D" w14:textId="77777777" w:rsidR="004C1DB1" w:rsidRPr="002E0C13" w:rsidRDefault="004C1DB1" w:rsidP="002E0C13">
            <w:pPr>
              <w:spacing w:after="0" w:line="240" w:lineRule="auto"/>
              <w:jc w:val="both"/>
              <w:rPr>
                <w:rFonts w:asciiTheme="majorHAnsi" w:eastAsia="Times New Roman" w:hAnsiTheme="majorHAnsi" w:cs="Calibri"/>
                <w:b w:val="0"/>
                <w:color w:val="000000"/>
                <w:lang w:eastAsia="cs-CZ"/>
              </w:rPr>
            </w:pPr>
          </w:p>
        </w:tc>
        <w:tc>
          <w:tcPr>
            <w:tcW w:w="2329" w:type="pct"/>
          </w:tcPr>
          <w:p w14:paraId="76E00F0B" w14:textId="77777777" w:rsidR="004C1DB1" w:rsidRPr="002E0C13" w:rsidRDefault="004C1DB1" w:rsidP="002E0C1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Odboru výzkumu, vývoje</w:t>
            </w:r>
            <w:r>
              <w:rPr>
                <w:rFonts w:asciiTheme="majorHAnsi" w:eastAsia="Times New Roman" w:hAnsiTheme="majorHAnsi" w:cs="Calibri"/>
                <w:color w:val="000000"/>
                <w:lang w:eastAsia="cs-CZ"/>
              </w:rPr>
              <w:t xml:space="preserve"> a </w:t>
            </w:r>
            <w:r w:rsidRPr="002E0C13">
              <w:rPr>
                <w:rFonts w:asciiTheme="majorHAnsi" w:eastAsia="Times New Roman" w:hAnsiTheme="majorHAnsi" w:cs="Calibri"/>
                <w:color w:val="000000"/>
                <w:lang w:eastAsia="cs-CZ"/>
              </w:rPr>
              <w:t>inovací</w:t>
            </w:r>
          </w:p>
        </w:tc>
      </w:tr>
      <w:tr w:rsidR="004C1DB1" w:rsidRPr="002E0C13" w14:paraId="0121BE1E"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2671" w:type="pct"/>
            <w:noWrap/>
          </w:tcPr>
          <w:p w14:paraId="0C1281D6" w14:textId="77777777" w:rsidR="004C1DB1" w:rsidRPr="002E0C13" w:rsidRDefault="004C1DB1" w:rsidP="002E0C13">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Agentura pro podnikání</w:t>
            </w:r>
            <w:r>
              <w:rPr>
                <w:rFonts w:asciiTheme="majorHAnsi" w:eastAsia="Times New Roman" w:hAnsiTheme="majorHAnsi" w:cs="Calibri"/>
                <w:b w:val="0"/>
                <w:color w:val="000000"/>
                <w:lang w:eastAsia="cs-CZ"/>
              </w:rPr>
              <w:t xml:space="preserve"> a </w:t>
            </w:r>
            <w:r w:rsidRPr="002E0C13">
              <w:rPr>
                <w:rFonts w:asciiTheme="majorHAnsi" w:eastAsia="Times New Roman" w:hAnsiTheme="majorHAnsi" w:cs="Calibri"/>
                <w:b w:val="0"/>
                <w:color w:val="000000"/>
                <w:lang w:eastAsia="cs-CZ"/>
              </w:rPr>
              <w:t>inovace</w:t>
            </w:r>
          </w:p>
        </w:tc>
        <w:tc>
          <w:tcPr>
            <w:tcW w:w="2329" w:type="pct"/>
          </w:tcPr>
          <w:p w14:paraId="3D0B9A0D" w14:textId="77777777" w:rsidR="004C1DB1" w:rsidRPr="002E0C13" w:rsidRDefault="004C1DB1" w:rsidP="002E0C1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cs-CZ"/>
              </w:rPr>
            </w:pPr>
            <w:r w:rsidRPr="002E0C13">
              <w:rPr>
                <w:rFonts w:asciiTheme="majorHAnsi" w:eastAsia="Times New Roman" w:hAnsiTheme="majorHAnsi" w:cs="Calibri"/>
                <w:color w:val="000000"/>
                <w:lang w:eastAsia="cs-CZ"/>
              </w:rPr>
              <w:t>Odboru výzkumu, vývoje</w:t>
            </w:r>
            <w:r>
              <w:rPr>
                <w:rFonts w:asciiTheme="majorHAnsi" w:eastAsia="Times New Roman" w:hAnsiTheme="majorHAnsi" w:cs="Calibri"/>
                <w:color w:val="000000"/>
                <w:lang w:eastAsia="cs-CZ"/>
              </w:rPr>
              <w:t xml:space="preserve"> a </w:t>
            </w:r>
            <w:r w:rsidRPr="002E0C13">
              <w:rPr>
                <w:rFonts w:asciiTheme="majorHAnsi" w:eastAsia="Times New Roman" w:hAnsiTheme="majorHAnsi" w:cs="Calibri"/>
                <w:color w:val="000000"/>
                <w:lang w:eastAsia="cs-CZ"/>
              </w:rPr>
              <w:t>inovací</w:t>
            </w:r>
          </w:p>
        </w:tc>
      </w:tr>
      <w:tr w:rsidR="00FB48BE" w:rsidRPr="002E0C13" w14:paraId="759C9EB1"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71" w:type="pct"/>
            <w:noWrap/>
          </w:tcPr>
          <w:p w14:paraId="06872CC4" w14:textId="77777777" w:rsidR="00FB48BE" w:rsidRPr="002E0C13" w:rsidRDefault="00FB48BE" w:rsidP="002E0C13">
            <w:pPr>
              <w:spacing w:after="0" w:line="240" w:lineRule="auto"/>
              <w:rPr>
                <w:rFonts w:asciiTheme="majorHAnsi" w:eastAsia="Times New Roman" w:hAnsiTheme="majorHAnsi" w:cs="Calibri"/>
                <w:b w:val="0"/>
                <w:color w:val="000000"/>
                <w:lang w:eastAsia="cs-CZ"/>
              </w:rPr>
            </w:pPr>
            <w:r>
              <w:rPr>
                <w:rFonts w:asciiTheme="majorHAnsi" w:eastAsia="Times New Roman" w:hAnsiTheme="majorHAnsi" w:cs="Calibri"/>
                <w:b w:val="0"/>
                <w:color w:val="000000"/>
                <w:lang w:eastAsia="cs-CZ"/>
              </w:rPr>
              <w:t>Technologická agentura ČR</w:t>
            </w:r>
          </w:p>
        </w:tc>
        <w:tc>
          <w:tcPr>
            <w:tcW w:w="2329" w:type="pct"/>
          </w:tcPr>
          <w:p w14:paraId="0ACD0099" w14:textId="77777777" w:rsidR="00FB48BE" w:rsidRPr="002E0C13" w:rsidRDefault="00FB48BE" w:rsidP="002E0C1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cs-CZ"/>
              </w:rPr>
            </w:pPr>
            <w:r>
              <w:rPr>
                <w:rFonts w:asciiTheme="majorHAnsi" w:eastAsia="Times New Roman" w:hAnsiTheme="majorHAnsi" w:cs="Calibri"/>
                <w:color w:val="000000"/>
                <w:lang w:eastAsia="cs-CZ"/>
              </w:rPr>
              <w:t>Představenstvo</w:t>
            </w:r>
          </w:p>
        </w:tc>
      </w:tr>
      <w:tr w:rsidR="00FB48BE" w:rsidRPr="002E0C13" w14:paraId="6A399414"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2671" w:type="pct"/>
            <w:noWrap/>
          </w:tcPr>
          <w:p w14:paraId="1480D436" w14:textId="77777777" w:rsidR="00FB48BE" w:rsidRDefault="00FB48BE" w:rsidP="002E0C13">
            <w:pPr>
              <w:spacing w:after="0" w:line="240" w:lineRule="auto"/>
              <w:rPr>
                <w:rFonts w:asciiTheme="majorHAnsi" w:eastAsia="Times New Roman" w:hAnsiTheme="majorHAnsi" w:cs="Calibri"/>
                <w:b w:val="0"/>
                <w:color w:val="000000"/>
                <w:lang w:eastAsia="cs-CZ"/>
              </w:rPr>
            </w:pPr>
            <w:r>
              <w:rPr>
                <w:rFonts w:asciiTheme="majorHAnsi" w:eastAsia="Times New Roman" w:hAnsiTheme="majorHAnsi" w:cs="Calibri"/>
                <w:b w:val="0"/>
                <w:color w:val="000000"/>
                <w:lang w:eastAsia="cs-CZ"/>
              </w:rPr>
              <w:t>Technologické centrum Akademie věd ČR</w:t>
            </w:r>
          </w:p>
        </w:tc>
        <w:tc>
          <w:tcPr>
            <w:tcW w:w="2329" w:type="pct"/>
          </w:tcPr>
          <w:p w14:paraId="2D59D47D" w14:textId="77777777" w:rsidR="00FB48BE" w:rsidRDefault="00FB48BE" w:rsidP="002E0C1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cs-CZ"/>
              </w:rPr>
            </w:pPr>
            <w:r>
              <w:rPr>
                <w:rFonts w:asciiTheme="majorHAnsi" w:eastAsia="Times New Roman" w:hAnsiTheme="majorHAnsi" w:cs="Calibri"/>
                <w:color w:val="000000"/>
                <w:lang w:eastAsia="cs-CZ"/>
              </w:rPr>
              <w:t>Oddělení strategických studií</w:t>
            </w:r>
          </w:p>
        </w:tc>
      </w:tr>
      <w:tr w:rsidR="00FB48BE" w:rsidRPr="002E0C13" w14:paraId="6729CCB5"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71" w:type="pct"/>
            <w:noWrap/>
          </w:tcPr>
          <w:p w14:paraId="3DF2A6D9" w14:textId="77777777" w:rsidR="00FB48BE" w:rsidRDefault="00FB48BE" w:rsidP="00FB48BE">
            <w:pPr>
              <w:spacing w:after="0" w:line="240" w:lineRule="auto"/>
              <w:rPr>
                <w:rFonts w:asciiTheme="majorHAnsi" w:eastAsia="Times New Roman" w:hAnsiTheme="majorHAnsi" w:cs="Calibri"/>
                <w:b w:val="0"/>
                <w:color w:val="000000"/>
                <w:lang w:eastAsia="cs-CZ"/>
              </w:rPr>
            </w:pPr>
            <w:r>
              <w:rPr>
                <w:rFonts w:asciiTheme="majorHAnsi" w:eastAsia="Times New Roman" w:hAnsiTheme="majorHAnsi" w:cs="Calibri"/>
                <w:b w:val="0"/>
                <w:color w:val="000000"/>
                <w:lang w:eastAsia="cs-CZ"/>
              </w:rPr>
              <w:t>Asociace malých a středních podniků</w:t>
            </w:r>
            <w:r w:rsidR="00AE1606">
              <w:rPr>
                <w:rFonts w:asciiTheme="majorHAnsi" w:eastAsia="Times New Roman" w:hAnsiTheme="majorHAnsi" w:cs="Calibri"/>
                <w:b w:val="0"/>
                <w:color w:val="000000"/>
                <w:lang w:eastAsia="cs-CZ"/>
              </w:rPr>
              <w:t xml:space="preserve"> a živnostníků</w:t>
            </w:r>
            <w:r>
              <w:rPr>
                <w:rFonts w:asciiTheme="majorHAnsi" w:eastAsia="Times New Roman" w:hAnsiTheme="majorHAnsi" w:cs="Calibri"/>
                <w:b w:val="0"/>
                <w:color w:val="000000"/>
                <w:lang w:eastAsia="cs-CZ"/>
              </w:rPr>
              <w:t xml:space="preserve"> ČR </w:t>
            </w:r>
          </w:p>
          <w:p w14:paraId="20F795AC" w14:textId="77777777" w:rsidR="00FB48BE" w:rsidRDefault="00FB48BE" w:rsidP="00FB48BE">
            <w:pPr>
              <w:spacing w:after="0" w:line="240" w:lineRule="auto"/>
              <w:rPr>
                <w:rFonts w:asciiTheme="majorHAnsi" w:eastAsia="Times New Roman" w:hAnsiTheme="majorHAnsi" w:cs="Calibri"/>
                <w:b w:val="0"/>
                <w:color w:val="000000"/>
                <w:lang w:eastAsia="cs-CZ"/>
              </w:rPr>
            </w:pPr>
            <w:r>
              <w:rPr>
                <w:rFonts w:asciiTheme="majorHAnsi" w:eastAsia="Times New Roman" w:hAnsiTheme="majorHAnsi" w:cs="Calibri"/>
                <w:b w:val="0"/>
                <w:color w:val="000000"/>
                <w:lang w:eastAsia="cs-CZ"/>
              </w:rPr>
              <w:t xml:space="preserve">(zprostředkovaně Rada vlády pro výzkum, </w:t>
            </w:r>
          </w:p>
          <w:p w14:paraId="55359BDC" w14:textId="77777777" w:rsidR="00FB48BE" w:rsidRDefault="00FB48BE" w:rsidP="00FB48BE">
            <w:pPr>
              <w:spacing w:after="0" w:line="240" w:lineRule="auto"/>
              <w:rPr>
                <w:rFonts w:asciiTheme="majorHAnsi" w:eastAsia="Times New Roman" w:hAnsiTheme="majorHAnsi" w:cs="Calibri"/>
                <w:b w:val="0"/>
                <w:color w:val="000000"/>
                <w:lang w:eastAsia="cs-CZ"/>
              </w:rPr>
            </w:pPr>
            <w:r>
              <w:rPr>
                <w:rFonts w:asciiTheme="majorHAnsi" w:eastAsia="Times New Roman" w:hAnsiTheme="majorHAnsi" w:cs="Calibri"/>
                <w:b w:val="0"/>
                <w:color w:val="000000"/>
                <w:lang w:eastAsia="cs-CZ"/>
              </w:rPr>
              <w:t>vývoj a inovace)</w:t>
            </w:r>
          </w:p>
        </w:tc>
        <w:tc>
          <w:tcPr>
            <w:tcW w:w="2329" w:type="pct"/>
          </w:tcPr>
          <w:p w14:paraId="04A91F7E" w14:textId="77777777" w:rsidR="00FB48BE" w:rsidRDefault="00FB48BE" w:rsidP="002E0C1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eastAsia="cs-CZ"/>
              </w:rPr>
            </w:pPr>
            <w:r>
              <w:rPr>
                <w:rFonts w:asciiTheme="majorHAnsi" w:eastAsia="Times New Roman" w:hAnsiTheme="majorHAnsi" w:cs="Calibri"/>
                <w:color w:val="000000"/>
                <w:lang w:eastAsia="cs-CZ"/>
              </w:rPr>
              <w:t>Výbor pro strukturální fondy</w:t>
            </w:r>
          </w:p>
        </w:tc>
      </w:tr>
      <w:tr w:rsidR="00D41370" w:rsidRPr="002E0C13" w14:paraId="4BC835A0"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2671" w:type="pct"/>
            <w:noWrap/>
          </w:tcPr>
          <w:p w14:paraId="499F34D6" w14:textId="77777777" w:rsidR="00D41370" w:rsidRDefault="00D41370" w:rsidP="00FB48BE">
            <w:pPr>
              <w:spacing w:after="0" w:line="240" w:lineRule="auto"/>
              <w:rPr>
                <w:rFonts w:asciiTheme="majorHAnsi" w:eastAsia="Times New Roman" w:hAnsiTheme="majorHAnsi" w:cs="Calibri"/>
                <w:b w:val="0"/>
                <w:color w:val="000000"/>
                <w:lang w:eastAsia="cs-CZ"/>
              </w:rPr>
            </w:pPr>
            <w:proofErr w:type="spellStart"/>
            <w:r w:rsidRPr="00D41370">
              <w:rPr>
                <w:rFonts w:asciiTheme="majorHAnsi" w:eastAsia="Times New Roman" w:hAnsiTheme="majorHAnsi" w:cs="Calibri"/>
                <w:b w:val="0"/>
                <w:color w:val="000000"/>
                <w:lang w:eastAsia="cs-CZ"/>
              </w:rPr>
              <w:t>Eaton</w:t>
            </w:r>
            <w:proofErr w:type="spellEnd"/>
            <w:r w:rsidRPr="00D41370">
              <w:rPr>
                <w:rFonts w:asciiTheme="majorHAnsi" w:eastAsia="Times New Roman" w:hAnsiTheme="majorHAnsi" w:cs="Calibri"/>
                <w:b w:val="0"/>
                <w:color w:val="000000"/>
                <w:lang w:eastAsia="cs-CZ"/>
              </w:rPr>
              <w:t xml:space="preserve"> </w:t>
            </w:r>
            <w:proofErr w:type="spellStart"/>
            <w:r w:rsidRPr="00D41370">
              <w:rPr>
                <w:rFonts w:asciiTheme="majorHAnsi" w:eastAsia="Times New Roman" w:hAnsiTheme="majorHAnsi" w:cs="Calibri"/>
                <w:b w:val="0"/>
                <w:color w:val="000000"/>
                <w:lang w:eastAsia="cs-CZ"/>
              </w:rPr>
              <w:t>European</w:t>
            </w:r>
            <w:proofErr w:type="spellEnd"/>
            <w:r w:rsidRPr="00D41370">
              <w:rPr>
                <w:rFonts w:asciiTheme="majorHAnsi" w:eastAsia="Times New Roman" w:hAnsiTheme="majorHAnsi" w:cs="Calibri"/>
                <w:b w:val="0"/>
                <w:color w:val="000000"/>
                <w:lang w:eastAsia="cs-CZ"/>
              </w:rPr>
              <w:t xml:space="preserve"> </w:t>
            </w:r>
            <w:proofErr w:type="spellStart"/>
            <w:r w:rsidRPr="00D41370">
              <w:rPr>
                <w:rFonts w:asciiTheme="majorHAnsi" w:eastAsia="Times New Roman" w:hAnsiTheme="majorHAnsi" w:cs="Calibri"/>
                <w:b w:val="0"/>
                <w:color w:val="000000"/>
                <w:lang w:eastAsia="cs-CZ"/>
              </w:rPr>
              <w:t>Innovation</w:t>
            </w:r>
            <w:proofErr w:type="spellEnd"/>
            <w:r w:rsidRPr="00D41370">
              <w:rPr>
                <w:rFonts w:asciiTheme="majorHAnsi" w:eastAsia="Times New Roman" w:hAnsiTheme="majorHAnsi" w:cs="Calibri"/>
                <w:b w:val="0"/>
                <w:color w:val="000000"/>
                <w:lang w:eastAsia="cs-CZ"/>
              </w:rPr>
              <w:t xml:space="preserve"> Center</w:t>
            </w:r>
          </w:p>
        </w:tc>
        <w:tc>
          <w:tcPr>
            <w:tcW w:w="2329" w:type="pct"/>
          </w:tcPr>
          <w:p w14:paraId="7BBAE3F5" w14:textId="77777777" w:rsidR="00D41370" w:rsidRDefault="00EE0522" w:rsidP="00EE052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cs-CZ"/>
              </w:rPr>
            </w:pPr>
            <w:r>
              <w:rPr>
                <w:rFonts w:asciiTheme="majorHAnsi" w:eastAsia="Times New Roman" w:hAnsiTheme="majorHAnsi" w:cs="Calibri"/>
                <w:color w:val="000000"/>
                <w:lang w:eastAsia="cs-CZ"/>
              </w:rPr>
              <w:t>Oddělení koordinace státních dotací</w:t>
            </w:r>
          </w:p>
        </w:tc>
      </w:tr>
    </w:tbl>
    <w:p w14:paraId="5ABE0C45" w14:textId="77777777" w:rsidR="00F836DE" w:rsidRDefault="00F836DE" w:rsidP="002E0C13"/>
    <w:p w14:paraId="47E9A867" w14:textId="77777777" w:rsidR="00F836DE" w:rsidRPr="004C1DB1" w:rsidRDefault="00F836DE" w:rsidP="004C1DB1">
      <w:pPr>
        <w:pStyle w:val="Bntext"/>
        <w:rPr>
          <w:rFonts w:asciiTheme="minorHAnsi" w:hAnsiTheme="minorHAnsi"/>
          <w:b/>
          <w:color w:val="auto"/>
          <w:sz w:val="18"/>
          <w:szCs w:val="18"/>
        </w:rPr>
      </w:pPr>
      <w:r w:rsidRPr="004C1DB1">
        <w:rPr>
          <w:rFonts w:asciiTheme="minorHAnsi" w:hAnsiTheme="minorHAnsi"/>
          <w:b/>
          <w:color w:val="auto"/>
          <w:sz w:val="18"/>
          <w:szCs w:val="18"/>
        </w:rPr>
        <w:t>Seznam účastníků expertního panelu</w:t>
      </w:r>
    </w:p>
    <w:tbl>
      <w:tblPr>
        <w:tblStyle w:val="Tabulkaseznamu3zvraznn11"/>
        <w:tblW w:w="5000"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8676"/>
      </w:tblGrid>
      <w:tr w:rsidR="004C1DB1" w:rsidRPr="002E0C13" w14:paraId="794544E6" w14:textId="77777777" w:rsidTr="004C1DB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5000" w:type="pct"/>
            <w:noWrap/>
            <w:vAlign w:val="center"/>
            <w:hideMark/>
          </w:tcPr>
          <w:p w14:paraId="69EE627D" w14:textId="77777777" w:rsidR="004C1DB1" w:rsidRPr="002E0C13" w:rsidRDefault="004C1DB1" w:rsidP="004C1DB1">
            <w:pPr>
              <w:tabs>
                <w:tab w:val="left" w:pos="1005"/>
                <w:tab w:val="center" w:pos="1864"/>
              </w:tabs>
              <w:spacing w:after="0" w:line="240" w:lineRule="auto"/>
              <w:rPr>
                <w:rFonts w:asciiTheme="majorHAnsi" w:eastAsia="Times New Roman" w:hAnsiTheme="majorHAnsi" w:cs="Calibri"/>
                <w:bCs w:val="0"/>
                <w:color w:val="FFFFFF" w:themeColor="background1"/>
                <w:lang w:eastAsia="cs-CZ"/>
              </w:rPr>
            </w:pPr>
            <w:r>
              <w:rPr>
                <w:rFonts w:asciiTheme="majorHAnsi" w:eastAsia="Times New Roman" w:hAnsiTheme="majorHAnsi" w:cs="Calibri"/>
                <w:bCs w:val="0"/>
                <w:color w:val="FFFFFF" w:themeColor="background1"/>
                <w:lang w:eastAsia="cs-CZ"/>
              </w:rPr>
              <w:t>Zastoupené o</w:t>
            </w:r>
            <w:r w:rsidRPr="002E0C13">
              <w:rPr>
                <w:rFonts w:asciiTheme="majorHAnsi" w:eastAsia="Times New Roman" w:hAnsiTheme="majorHAnsi" w:cs="Calibri"/>
                <w:bCs w:val="0"/>
                <w:color w:val="FFFFFF" w:themeColor="background1"/>
                <w:lang w:eastAsia="cs-CZ"/>
              </w:rPr>
              <w:t>rganizace</w:t>
            </w:r>
          </w:p>
        </w:tc>
      </w:tr>
      <w:tr w:rsidR="004C1DB1" w:rsidRPr="002E0C13" w14:paraId="1F46709A"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171368B" w14:textId="77777777" w:rsidR="004C1DB1" w:rsidRPr="002E0C13" w:rsidRDefault="004C1DB1" w:rsidP="00BB0180">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Asociace výzkumných organizací o.p.s.</w:t>
            </w:r>
          </w:p>
        </w:tc>
      </w:tr>
      <w:tr w:rsidR="004C1DB1" w:rsidRPr="002E0C13" w14:paraId="69AF0D59"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C5A9265" w14:textId="77777777" w:rsidR="004C1DB1" w:rsidRPr="002E0C13" w:rsidRDefault="004C1DB1" w:rsidP="00225E1A">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 xml:space="preserve">CLUTEX - klastr technické </w:t>
            </w:r>
            <w:proofErr w:type="spellStart"/>
            <w:proofErr w:type="gramStart"/>
            <w:r w:rsidRPr="002E0C13">
              <w:rPr>
                <w:rFonts w:asciiTheme="majorHAnsi" w:eastAsia="Times New Roman" w:hAnsiTheme="majorHAnsi" w:cs="Calibri"/>
                <w:b w:val="0"/>
                <w:color w:val="000000"/>
                <w:lang w:eastAsia="cs-CZ"/>
              </w:rPr>
              <w:t>text</w:t>
            </w:r>
            <w:r>
              <w:rPr>
                <w:rFonts w:asciiTheme="majorHAnsi" w:eastAsia="Times New Roman" w:hAnsiTheme="majorHAnsi" w:cs="Calibri"/>
                <w:b w:val="0"/>
                <w:color w:val="000000"/>
                <w:lang w:eastAsia="cs-CZ"/>
              </w:rPr>
              <w:t>í</w:t>
            </w:r>
            <w:r w:rsidRPr="002E0C13">
              <w:rPr>
                <w:rFonts w:asciiTheme="majorHAnsi" w:eastAsia="Times New Roman" w:hAnsiTheme="majorHAnsi" w:cs="Calibri"/>
                <w:b w:val="0"/>
                <w:color w:val="000000"/>
                <w:lang w:eastAsia="cs-CZ"/>
              </w:rPr>
              <w:t>lie</w:t>
            </w:r>
            <w:proofErr w:type="spellEnd"/>
            <w:r w:rsidRPr="002E0C13">
              <w:rPr>
                <w:rFonts w:asciiTheme="majorHAnsi" w:eastAsia="Times New Roman" w:hAnsiTheme="majorHAnsi" w:cs="Calibri"/>
                <w:b w:val="0"/>
                <w:color w:val="000000"/>
                <w:lang w:eastAsia="cs-CZ"/>
              </w:rPr>
              <w:t xml:space="preserve">, </w:t>
            </w:r>
            <w:proofErr w:type="spellStart"/>
            <w:r w:rsidRPr="002E0C13">
              <w:rPr>
                <w:rFonts w:asciiTheme="majorHAnsi" w:eastAsia="Times New Roman" w:hAnsiTheme="majorHAnsi" w:cs="Calibri"/>
                <w:b w:val="0"/>
                <w:color w:val="000000"/>
                <w:lang w:eastAsia="cs-CZ"/>
              </w:rPr>
              <w:t>z.s</w:t>
            </w:r>
            <w:proofErr w:type="spellEnd"/>
            <w:r w:rsidRPr="002E0C13">
              <w:rPr>
                <w:rFonts w:asciiTheme="majorHAnsi" w:eastAsia="Times New Roman" w:hAnsiTheme="majorHAnsi" w:cs="Calibri"/>
                <w:b w:val="0"/>
                <w:color w:val="000000"/>
                <w:lang w:eastAsia="cs-CZ"/>
              </w:rPr>
              <w:t>.</w:t>
            </w:r>
            <w:proofErr w:type="gramEnd"/>
          </w:p>
        </w:tc>
      </w:tr>
      <w:tr w:rsidR="004C1DB1" w:rsidRPr="002E0C13" w14:paraId="42987972"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7B9FF575" w14:textId="77777777" w:rsidR="004C1DB1" w:rsidRPr="002E0C13" w:rsidRDefault="004C1DB1" w:rsidP="00BB0180">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České vysoké učení technické v</w:t>
            </w:r>
            <w:r w:rsidR="00AE0799">
              <w:rPr>
                <w:rFonts w:asciiTheme="majorHAnsi" w:eastAsia="Times New Roman" w:hAnsiTheme="majorHAnsi" w:cs="Calibri"/>
                <w:b w:val="0"/>
                <w:color w:val="000000"/>
                <w:lang w:eastAsia="cs-CZ"/>
              </w:rPr>
              <w:t> </w:t>
            </w:r>
            <w:r>
              <w:rPr>
                <w:rFonts w:asciiTheme="majorHAnsi" w:eastAsia="Times New Roman" w:hAnsiTheme="majorHAnsi" w:cs="Calibri"/>
                <w:b w:val="0"/>
                <w:color w:val="000000"/>
                <w:lang w:eastAsia="cs-CZ"/>
              </w:rPr>
              <w:t>Praze</w:t>
            </w:r>
          </w:p>
        </w:tc>
      </w:tr>
      <w:tr w:rsidR="004C1DB1" w:rsidRPr="002E0C13" w14:paraId="0AA44A75"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6E77F2A3" w14:textId="77777777" w:rsidR="004C1DB1" w:rsidRPr="002E0C13" w:rsidRDefault="004C1DB1" w:rsidP="00BB0180">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EKAZ Praha a. s.</w:t>
            </w:r>
          </w:p>
        </w:tc>
      </w:tr>
      <w:tr w:rsidR="004C1DB1" w:rsidRPr="002E0C13" w14:paraId="4FAC5F8B" w14:textId="77777777" w:rsidTr="004C1D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5BC92C11" w14:textId="77777777" w:rsidR="004C1DB1" w:rsidRPr="002E0C13" w:rsidRDefault="004C1DB1" w:rsidP="00BB0180">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Hospodářská komora ČR</w:t>
            </w:r>
          </w:p>
        </w:tc>
      </w:tr>
      <w:tr w:rsidR="004C1DB1" w:rsidRPr="002E0C13" w14:paraId="2672CFA0" w14:textId="77777777" w:rsidTr="004C1DB1">
        <w:trPr>
          <w:trHeight w:val="340"/>
        </w:trPr>
        <w:tc>
          <w:tcPr>
            <w:cnfStyle w:val="001000000000" w:firstRow="0" w:lastRow="0" w:firstColumn="1" w:lastColumn="0" w:oddVBand="0" w:evenVBand="0" w:oddHBand="0" w:evenHBand="0" w:firstRowFirstColumn="0" w:firstRowLastColumn="0" w:lastRowFirstColumn="0" w:lastRowLastColumn="0"/>
            <w:tcW w:w="5000" w:type="pct"/>
            <w:noWrap/>
            <w:hideMark/>
          </w:tcPr>
          <w:p w14:paraId="22DA2965" w14:textId="77777777" w:rsidR="004C1DB1" w:rsidRPr="002E0C13" w:rsidRDefault="004C1DB1" w:rsidP="00BB0180">
            <w:pPr>
              <w:spacing w:after="0" w:line="240" w:lineRule="auto"/>
              <w:rPr>
                <w:rFonts w:asciiTheme="majorHAnsi" w:eastAsia="Times New Roman" w:hAnsiTheme="majorHAnsi" w:cs="Calibri"/>
                <w:b w:val="0"/>
                <w:color w:val="000000"/>
                <w:lang w:eastAsia="cs-CZ"/>
              </w:rPr>
            </w:pPr>
            <w:r w:rsidRPr="002E0C13">
              <w:rPr>
                <w:rFonts w:asciiTheme="majorHAnsi" w:eastAsia="Times New Roman" w:hAnsiTheme="majorHAnsi" w:cs="Calibri"/>
                <w:b w:val="0"/>
                <w:color w:val="000000"/>
                <w:lang w:eastAsia="cs-CZ"/>
              </w:rPr>
              <w:t>Svaz průmyslu</w:t>
            </w:r>
            <w:r>
              <w:rPr>
                <w:rFonts w:asciiTheme="majorHAnsi" w:eastAsia="Times New Roman" w:hAnsiTheme="majorHAnsi" w:cs="Calibri"/>
                <w:b w:val="0"/>
                <w:color w:val="000000"/>
                <w:lang w:eastAsia="cs-CZ"/>
              </w:rPr>
              <w:t xml:space="preserve"> a </w:t>
            </w:r>
            <w:r w:rsidRPr="002E0C13">
              <w:rPr>
                <w:rFonts w:asciiTheme="majorHAnsi" w:eastAsia="Times New Roman" w:hAnsiTheme="majorHAnsi" w:cs="Calibri"/>
                <w:b w:val="0"/>
                <w:color w:val="000000"/>
                <w:lang w:eastAsia="cs-CZ"/>
              </w:rPr>
              <w:t>dopravy ČR</w:t>
            </w:r>
          </w:p>
        </w:tc>
      </w:tr>
    </w:tbl>
    <w:p w14:paraId="1D93EEFD" w14:textId="77777777" w:rsidR="009C0662" w:rsidRDefault="00DC0A6C" w:rsidP="002E0C13">
      <w:r>
        <w:t xml:space="preserve"> </w:t>
      </w:r>
    </w:p>
    <w:p w14:paraId="4F442CC9" w14:textId="77777777" w:rsidR="009C0662" w:rsidRDefault="009C0662" w:rsidP="002E0C13"/>
    <w:p w14:paraId="057702CD" w14:textId="77777777" w:rsidR="00C0696E" w:rsidRDefault="00C0696E">
      <w:pPr>
        <w:spacing w:after="0" w:line="240" w:lineRule="auto"/>
        <w:rPr>
          <w:rFonts w:eastAsia="MingLiU" w:cs="Times New Roman"/>
          <w:bCs/>
          <w:color w:val="auto"/>
          <w:sz w:val="60"/>
          <w:szCs w:val="60"/>
        </w:rPr>
      </w:pPr>
      <w:r>
        <w:rPr>
          <w:rFonts w:eastAsia="MingLiU" w:cs="Times New Roman"/>
          <w:b/>
          <w:color w:val="auto"/>
          <w:sz w:val="60"/>
          <w:szCs w:val="60"/>
        </w:rPr>
        <w:br w:type="page"/>
      </w:r>
    </w:p>
    <w:p w14:paraId="41B3158A" w14:textId="77777777" w:rsidR="004B6014" w:rsidRDefault="00C0696E" w:rsidP="00C0696E">
      <w:pPr>
        <w:pStyle w:val="Heading1"/>
        <w:spacing w:after="120"/>
        <w:rPr>
          <w:rFonts w:ascii="Verdana" w:eastAsia="MingLiU" w:hAnsi="Verdana" w:cs="Times New Roman"/>
          <w:b w:val="0"/>
          <w:color w:val="auto"/>
          <w:sz w:val="60"/>
          <w:szCs w:val="60"/>
        </w:rPr>
      </w:pPr>
      <w:bookmarkStart w:id="105" w:name="_Toc11679649"/>
      <w:r w:rsidRPr="00C0696E">
        <w:rPr>
          <w:rFonts w:ascii="Verdana" w:eastAsia="MingLiU" w:hAnsi="Verdana" w:cs="Times New Roman"/>
          <w:b w:val="0"/>
          <w:color w:val="auto"/>
          <w:sz w:val="60"/>
          <w:szCs w:val="60"/>
        </w:rPr>
        <w:t xml:space="preserve">Příloha </w:t>
      </w:r>
      <w:r w:rsidR="00465F14">
        <w:rPr>
          <w:rFonts w:ascii="Verdana" w:eastAsia="MingLiU" w:hAnsi="Verdana" w:cs="Times New Roman"/>
          <w:b w:val="0"/>
          <w:color w:val="auto"/>
          <w:sz w:val="60"/>
          <w:szCs w:val="60"/>
        </w:rPr>
        <w:t>4</w:t>
      </w:r>
      <w:r w:rsidRPr="00C0696E">
        <w:rPr>
          <w:rFonts w:ascii="Verdana" w:eastAsia="MingLiU" w:hAnsi="Verdana" w:cs="Times New Roman"/>
          <w:b w:val="0"/>
          <w:color w:val="auto"/>
          <w:sz w:val="60"/>
          <w:szCs w:val="60"/>
        </w:rPr>
        <w:t xml:space="preserve">: </w:t>
      </w:r>
      <w:r>
        <w:rPr>
          <w:rFonts w:ascii="Verdana" w:eastAsia="MingLiU" w:hAnsi="Verdana" w:cs="Times New Roman"/>
          <w:b w:val="0"/>
          <w:color w:val="auto"/>
          <w:sz w:val="60"/>
          <w:szCs w:val="60"/>
        </w:rPr>
        <w:t>Zjištění z případových studií</w:t>
      </w:r>
      <w:bookmarkEnd w:id="105"/>
    </w:p>
    <w:p w14:paraId="0E4E2946" w14:textId="77777777" w:rsidR="004B6014" w:rsidRDefault="004B6014" w:rsidP="004B6014">
      <w:pPr>
        <w:pStyle w:val="Bodyodsazene"/>
      </w:pPr>
    </w:p>
    <w:p w14:paraId="6792299C" w14:textId="77777777" w:rsidR="004B6014" w:rsidRDefault="004B6014" w:rsidP="002449AE">
      <w:pPr>
        <w:jc w:val="both"/>
        <w:rPr>
          <w:rFonts w:eastAsia="Times New Roman" w:cs="Calibri"/>
          <w:color w:val="000000"/>
          <w:lang w:eastAsia="cs-CZ"/>
        </w:rPr>
      </w:pPr>
      <w:r w:rsidRPr="00547B8C">
        <w:rPr>
          <w:rFonts w:eastAsia="Times New Roman" w:cs="Calibri"/>
          <w:color w:val="000000"/>
          <w:lang w:eastAsia="cs-CZ"/>
        </w:rPr>
        <w:t>Dodavatel v souladu se z</w:t>
      </w:r>
      <w:r>
        <w:rPr>
          <w:rFonts w:eastAsia="Times New Roman" w:cs="Calibri"/>
          <w:color w:val="000000"/>
          <w:lang w:eastAsia="cs-CZ"/>
        </w:rPr>
        <w:t>a</w:t>
      </w:r>
      <w:r w:rsidR="004B7048">
        <w:rPr>
          <w:rFonts w:eastAsia="Times New Roman" w:cs="Calibri"/>
          <w:color w:val="000000"/>
          <w:lang w:eastAsia="cs-CZ"/>
        </w:rPr>
        <w:t>dávací dokumentací zrealizoval</w:t>
      </w:r>
      <w:r w:rsidRPr="00547B8C">
        <w:rPr>
          <w:rFonts w:eastAsia="Times New Roman" w:cs="Calibri"/>
          <w:color w:val="000000"/>
          <w:lang w:eastAsia="cs-CZ"/>
        </w:rPr>
        <w:t xml:space="preserve"> </w:t>
      </w:r>
      <w:r>
        <w:rPr>
          <w:rFonts w:eastAsia="Times New Roman" w:cs="Calibri"/>
          <w:color w:val="000000"/>
          <w:lang w:eastAsia="cs-CZ"/>
        </w:rPr>
        <w:t xml:space="preserve">9 </w:t>
      </w:r>
      <w:r w:rsidRPr="00547B8C">
        <w:rPr>
          <w:rFonts w:eastAsia="Times New Roman" w:cs="Calibri"/>
          <w:color w:val="000000"/>
          <w:lang w:eastAsia="cs-CZ"/>
        </w:rPr>
        <w:t>případov</w:t>
      </w:r>
      <w:r>
        <w:rPr>
          <w:rFonts w:eastAsia="Times New Roman" w:cs="Calibri"/>
          <w:color w:val="000000"/>
          <w:lang w:eastAsia="cs-CZ"/>
        </w:rPr>
        <w:t>ých studií napříč programy podpory SC 1.1. Vzorek projektů pro případové studie byl zvolen tak, aby reprezentoval:</w:t>
      </w:r>
    </w:p>
    <w:p w14:paraId="6D5334F0"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3 projekty za každý program podpory</w:t>
      </w:r>
      <w:r w:rsidR="004B7048">
        <w:rPr>
          <w:rFonts w:eastAsia="Times New Roman" w:cs="Calibri"/>
          <w:color w:val="000000"/>
          <w:lang w:eastAsia="cs-CZ"/>
        </w:rPr>
        <w:t xml:space="preserve"> – Aplikace, Inovace, Potenciál</w:t>
      </w:r>
    </w:p>
    <w:p w14:paraId="2C22D147" w14:textId="77777777" w:rsidR="004B6014" w:rsidRDefault="004B7048"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P</w:t>
      </w:r>
      <w:r w:rsidR="004B6014">
        <w:rPr>
          <w:rFonts w:eastAsia="Times New Roman" w:cs="Calibri"/>
          <w:color w:val="000000"/>
          <w:lang w:eastAsia="cs-CZ"/>
        </w:rPr>
        <w:t xml:space="preserve">rojekty, které uvedly produkty na trh </w:t>
      </w:r>
      <w:r>
        <w:rPr>
          <w:rFonts w:eastAsia="Times New Roman" w:cs="Calibri"/>
          <w:color w:val="000000"/>
          <w:lang w:eastAsia="cs-CZ"/>
        </w:rPr>
        <w:t xml:space="preserve">úspěšně a </w:t>
      </w:r>
      <w:r w:rsidR="004B6014">
        <w:rPr>
          <w:rFonts w:eastAsia="Times New Roman" w:cs="Calibri"/>
          <w:color w:val="000000"/>
          <w:lang w:eastAsia="cs-CZ"/>
        </w:rPr>
        <w:t>neúspěšně</w:t>
      </w:r>
    </w:p>
    <w:p w14:paraId="4EC34E75"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Všechny velikostní typy příjemců podpory (mikropodnik, malý, střední a velký podnik)</w:t>
      </w:r>
    </w:p>
    <w:p w14:paraId="35A5CB27" w14:textId="77777777" w:rsidR="004B6014" w:rsidRDefault="00AE1606"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Spektrum podnikových</w:t>
      </w:r>
      <w:r w:rsidR="004B6014">
        <w:rPr>
          <w:rFonts w:eastAsia="Times New Roman" w:cs="Calibri"/>
          <w:color w:val="000000"/>
          <w:lang w:eastAsia="cs-CZ"/>
        </w:rPr>
        <w:t xml:space="preserve"> odvětví (nanotechnologie, automobilový průmysl, potravinářství, atd.)</w:t>
      </w:r>
    </w:p>
    <w:p w14:paraId="346F592E" w14:textId="77777777" w:rsidR="00AE1606" w:rsidRDefault="00AE1606"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Územní pokrytí různých krajů</w:t>
      </w:r>
    </w:p>
    <w:p w14:paraId="2EBD1487" w14:textId="77777777" w:rsidR="004B6014" w:rsidRDefault="004B6014" w:rsidP="002449AE">
      <w:pPr>
        <w:jc w:val="both"/>
        <w:rPr>
          <w:rFonts w:eastAsia="Times New Roman" w:cs="Calibri"/>
          <w:color w:val="000000"/>
          <w:lang w:eastAsia="cs-CZ"/>
        </w:rPr>
      </w:pPr>
      <w:r>
        <w:rPr>
          <w:rFonts w:eastAsia="Times New Roman" w:cs="Calibri"/>
          <w:color w:val="000000"/>
          <w:lang w:eastAsia="cs-CZ"/>
        </w:rPr>
        <w:t>Identifikace vhodných projektů pro případové studi</w:t>
      </w:r>
      <w:r w:rsidR="004B7048">
        <w:rPr>
          <w:rFonts w:eastAsia="Times New Roman" w:cs="Calibri"/>
          <w:color w:val="000000"/>
          <w:lang w:eastAsia="cs-CZ"/>
        </w:rPr>
        <w:t>e proběhla v součinnosti s ŘO a </w:t>
      </w:r>
      <w:r>
        <w:rPr>
          <w:rFonts w:eastAsia="Times New Roman" w:cs="Calibri"/>
          <w:color w:val="000000"/>
          <w:lang w:eastAsia="cs-CZ"/>
        </w:rPr>
        <w:t>zprostředkujícím subjektem API. Vzhledem k nízkému počtu ukončených projektů a krátké dob</w:t>
      </w:r>
      <w:r w:rsidR="00FC70DA">
        <w:rPr>
          <w:rFonts w:eastAsia="Times New Roman" w:cs="Calibri"/>
          <w:color w:val="000000"/>
          <w:lang w:eastAsia="cs-CZ"/>
        </w:rPr>
        <w:t>ě</w:t>
      </w:r>
      <w:r>
        <w:rPr>
          <w:rFonts w:eastAsia="Times New Roman" w:cs="Calibri"/>
          <w:color w:val="000000"/>
          <w:lang w:eastAsia="cs-CZ"/>
        </w:rPr>
        <w:t xml:space="preserve"> </w:t>
      </w:r>
      <w:r w:rsidR="00FC70DA">
        <w:rPr>
          <w:rFonts w:eastAsia="Times New Roman" w:cs="Calibri"/>
          <w:color w:val="000000"/>
          <w:lang w:eastAsia="cs-CZ"/>
        </w:rPr>
        <w:t xml:space="preserve">uplynulé </w:t>
      </w:r>
      <w:r>
        <w:rPr>
          <w:rFonts w:eastAsia="Times New Roman" w:cs="Calibri"/>
          <w:color w:val="000000"/>
          <w:lang w:eastAsia="cs-CZ"/>
        </w:rPr>
        <w:t xml:space="preserve">od jejich ukončení ŘO ani </w:t>
      </w:r>
      <w:r w:rsidR="00FC70DA">
        <w:rPr>
          <w:rFonts w:eastAsia="Times New Roman" w:cs="Calibri"/>
          <w:color w:val="000000"/>
          <w:lang w:eastAsia="cs-CZ"/>
        </w:rPr>
        <w:t>ZS</w:t>
      </w:r>
      <w:r w:rsidR="004B7048">
        <w:rPr>
          <w:rFonts w:eastAsia="Times New Roman" w:cs="Calibri"/>
          <w:color w:val="000000"/>
          <w:lang w:eastAsia="cs-CZ"/>
        </w:rPr>
        <w:t xml:space="preserve"> ke dni zpracování evaluace </w:t>
      </w:r>
      <w:r w:rsidR="004B7048" w:rsidRPr="004B7048">
        <w:rPr>
          <w:rFonts w:eastAsia="Times New Roman" w:cs="Calibri"/>
          <w:b/>
          <w:color w:val="000000"/>
          <w:lang w:eastAsia="cs-CZ"/>
        </w:rPr>
        <w:t>nedisponovaly</w:t>
      </w:r>
      <w:r w:rsidRPr="004B7048">
        <w:rPr>
          <w:rFonts w:eastAsia="Times New Roman" w:cs="Calibri"/>
          <w:b/>
          <w:color w:val="000000"/>
          <w:lang w:eastAsia="cs-CZ"/>
        </w:rPr>
        <w:t xml:space="preserve"> seznamem projektů, u kterých by uvedení </w:t>
      </w:r>
      <w:r w:rsidRPr="00B951E5">
        <w:rPr>
          <w:rFonts w:eastAsia="Times New Roman" w:cs="Calibri"/>
          <w:b/>
          <w:color w:val="000000"/>
          <w:lang w:eastAsia="cs-CZ"/>
        </w:rPr>
        <w:t>na trh bylo neúspěšné</w:t>
      </w:r>
      <w:r>
        <w:rPr>
          <w:rFonts w:eastAsia="Times New Roman" w:cs="Calibri"/>
          <w:color w:val="000000"/>
          <w:lang w:eastAsia="cs-CZ"/>
        </w:rPr>
        <w:t>. Dodavatel proto přistoupil k vlastní identifikaci subjektů, metodologicky zalo</w:t>
      </w:r>
      <w:r w:rsidR="004B7048">
        <w:rPr>
          <w:rFonts w:eastAsia="Times New Roman" w:cs="Calibri"/>
          <w:color w:val="000000"/>
          <w:lang w:eastAsia="cs-CZ"/>
        </w:rPr>
        <w:t>žené na porovnání očekávaných a </w:t>
      </w:r>
      <w:r>
        <w:rPr>
          <w:rFonts w:eastAsia="Times New Roman" w:cs="Calibri"/>
          <w:color w:val="000000"/>
          <w:lang w:eastAsia="cs-CZ"/>
        </w:rPr>
        <w:t>reálných tržeb po uvedení produktů na trh. Primárně se zaměřil na subjekty s největší diskrepancí uvedených hodnot, indikují</w:t>
      </w:r>
      <w:r w:rsidR="004B7048">
        <w:rPr>
          <w:rFonts w:eastAsia="Times New Roman" w:cs="Calibri"/>
          <w:color w:val="000000"/>
          <w:lang w:eastAsia="cs-CZ"/>
        </w:rPr>
        <w:t>cí potenciální problémy. V dalším kroku</w:t>
      </w:r>
      <w:r>
        <w:rPr>
          <w:rFonts w:eastAsia="Times New Roman" w:cs="Calibri"/>
          <w:color w:val="000000"/>
          <w:lang w:eastAsia="cs-CZ"/>
        </w:rPr>
        <w:t xml:space="preserve"> se zaměřil na projekty s nejnižší mírou čerpání, tedy proplacenou částkou již </w:t>
      </w:r>
      <w:proofErr w:type="spellStart"/>
      <w:r>
        <w:rPr>
          <w:rFonts w:eastAsia="Times New Roman" w:cs="Calibri"/>
          <w:color w:val="000000"/>
          <w:lang w:eastAsia="cs-CZ"/>
        </w:rPr>
        <w:t>zazávazkované</w:t>
      </w:r>
      <w:proofErr w:type="spellEnd"/>
      <w:r>
        <w:rPr>
          <w:rFonts w:eastAsia="Times New Roman" w:cs="Calibri"/>
          <w:color w:val="000000"/>
          <w:lang w:eastAsia="cs-CZ"/>
        </w:rPr>
        <w:t xml:space="preserve"> dotace. </w:t>
      </w:r>
    </w:p>
    <w:p w14:paraId="26C93837" w14:textId="77777777" w:rsidR="00283585" w:rsidRDefault="00283585" w:rsidP="002449AE">
      <w:pPr>
        <w:jc w:val="both"/>
        <w:rPr>
          <w:rFonts w:eastAsia="Times New Roman" w:cs="Calibri"/>
          <w:color w:val="000000"/>
          <w:lang w:eastAsia="cs-CZ"/>
        </w:rPr>
      </w:pPr>
      <w:r>
        <w:rPr>
          <w:rFonts w:eastAsia="Times New Roman" w:cs="Calibri"/>
          <w:color w:val="000000"/>
          <w:lang w:eastAsia="cs-CZ"/>
        </w:rPr>
        <w:t xml:space="preserve">V obou případech Dodavatel identifikoval </w:t>
      </w:r>
      <w:r w:rsidR="00961037">
        <w:rPr>
          <w:rFonts w:eastAsia="Times New Roman" w:cs="Calibri"/>
          <w:color w:val="000000"/>
          <w:lang w:eastAsia="cs-CZ"/>
        </w:rPr>
        <w:t xml:space="preserve">pouze jeden </w:t>
      </w:r>
      <w:r>
        <w:rPr>
          <w:rFonts w:eastAsia="Times New Roman" w:cs="Calibri"/>
          <w:color w:val="000000"/>
          <w:lang w:eastAsia="cs-CZ"/>
        </w:rPr>
        <w:t xml:space="preserve">projekt, u kterého došlo k neúspěšnému uvedení na trh. Dodavatel identifikoval řadu projektů, u kterých došlo ke komplikacím v průběhu realizace projektu s různou mírou dopadu na uvádění inovovaných produktů na trh, vždy však s úspěšným koncem. </w:t>
      </w:r>
    </w:p>
    <w:p w14:paraId="107E602A" w14:textId="77777777" w:rsidR="004B6014" w:rsidRDefault="00283585" w:rsidP="002449AE">
      <w:pPr>
        <w:jc w:val="both"/>
        <w:rPr>
          <w:rFonts w:eastAsia="Times New Roman" w:cs="Calibri"/>
          <w:color w:val="000000"/>
          <w:lang w:eastAsia="cs-CZ"/>
        </w:rPr>
      </w:pPr>
      <w:r>
        <w:rPr>
          <w:rFonts w:eastAsia="Times New Roman" w:cs="Calibri"/>
          <w:color w:val="000000"/>
          <w:lang w:eastAsia="cs-CZ"/>
        </w:rPr>
        <w:t>Jako</w:t>
      </w:r>
      <w:r w:rsidR="004B6014">
        <w:rPr>
          <w:rFonts w:eastAsia="Times New Roman" w:cs="Calibri"/>
          <w:color w:val="000000"/>
          <w:lang w:eastAsia="cs-CZ"/>
        </w:rPr>
        <w:t xml:space="preserve"> převažující trend</w:t>
      </w:r>
      <w:r>
        <w:rPr>
          <w:rFonts w:eastAsia="Times New Roman" w:cs="Calibri"/>
          <w:color w:val="000000"/>
          <w:lang w:eastAsia="cs-CZ"/>
        </w:rPr>
        <w:t xml:space="preserve"> se ukazuje inovace produktů na základě poptávky, objednávky zákazníků firem. V méně případech dochází k inovaci produktů na </w:t>
      </w:r>
      <w:r w:rsidR="00DC408F">
        <w:rPr>
          <w:rFonts w:eastAsia="Times New Roman" w:cs="Calibri"/>
          <w:color w:val="000000"/>
          <w:lang w:eastAsia="cs-CZ"/>
        </w:rPr>
        <w:t xml:space="preserve">základě </w:t>
      </w:r>
      <w:r>
        <w:rPr>
          <w:rFonts w:eastAsia="Times New Roman" w:cs="Calibri"/>
          <w:color w:val="000000"/>
          <w:lang w:eastAsia="cs-CZ"/>
        </w:rPr>
        <w:t xml:space="preserve">tržní poptávky bez předem domluveného zákazníka. I zde je však uvedení produktu na trh velmi dobře </w:t>
      </w:r>
      <w:r w:rsidR="00DC408F">
        <w:rPr>
          <w:rFonts w:eastAsia="Times New Roman" w:cs="Calibri"/>
          <w:color w:val="000000"/>
          <w:lang w:eastAsia="cs-CZ"/>
        </w:rPr>
        <w:t xml:space="preserve">naplánováno na základě detailní analýzy trhu, vzhledem k vlastním investicím podniků do </w:t>
      </w:r>
      <w:proofErr w:type="spellStart"/>
      <w:r w:rsidR="00DC408F">
        <w:rPr>
          <w:rFonts w:eastAsia="Times New Roman" w:cs="Calibri"/>
          <w:color w:val="000000"/>
          <w:lang w:eastAsia="cs-CZ"/>
        </w:rPr>
        <w:t>VaVaI</w:t>
      </w:r>
      <w:proofErr w:type="spellEnd"/>
      <w:r w:rsidR="00DC408F">
        <w:rPr>
          <w:rFonts w:eastAsia="Times New Roman" w:cs="Calibri"/>
          <w:color w:val="000000"/>
          <w:lang w:eastAsia="cs-CZ"/>
        </w:rPr>
        <w:t xml:space="preserve"> projektů. </w:t>
      </w:r>
      <w:r w:rsidR="004B6014" w:rsidRPr="00E93878">
        <w:rPr>
          <w:rFonts w:eastAsia="Times New Roman" w:cs="Calibri"/>
          <w:color w:val="000000"/>
          <w:lang w:eastAsia="cs-CZ"/>
        </w:rPr>
        <w:t xml:space="preserve">Uvedení na trh je </w:t>
      </w:r>
      <w:r w:rsidR="00DC408F">
        <w:rPr>
          <w:rFonts w:eastAsia="Times New Roman" w:cs="Calibri"/>
          <w:color w:val="000000"/>
          <w:lang w:eastAsia="cs-CZ"/>
        </w:rPr>
        <w:t>v drtivé</w:t>
      </w:r>
      <w:r w:rsidR="004B6014" w:rsidRPr="00E93878">
        <w:rPr>
          <w:rFonts w:eastAsia="Times New Roman" w:cs="Calibri"/>
          <w:color w:val="000000"/>
          <w:lang w:eastAsia="cs-CZ"/>
        </w:rPr>
        <w:t xml:space="preserve"> většině předem plánovaným krokem </w:t>
      </w:r>
      <w:r w:rsidR="004B6014">
        <w:rPr>
          <w:rFonts w:eastAsia="Times New Roman" w:cs="Calibri"/>
          <w:color w:val="000000"/>
          <w:lang w:eastAsia="cs-CZ"/>
        </w:rPr>
        <w:t>s minimaliz</w:t>
      </w:r>
      <w:r w:rsidR="00DC408F">
        <w:rPr>
          <w:rFonts w:eastAsia="Times New Roman" w:cs="Calibri"/>
          <w:color w:val="000000"/>
          <w:lang w:eastAsia="cs-CZ"/>
        </w:rPr>
        <w:t>ací</w:t>
      </w:r>
      <w:r w:rsidR="004B6014">
        <w:rPr>
          <w:rFonts w:eastAsia="Times New Roman" w:cs="Calibri"/>
          <w:color w:val="000000"/>
          <w:lang w:eastAsia="cs-CZ"/>
        </w:rPr>
        <w:t xml:space="preserve"> rizik </w:t>
      </w:r>
      <w:r w:rsidR="004B6014" w:rsidRPr="00E93878">
        <w:rPr>
          <w:rFonts w:eastAsia="Times New Roman" w:cs="Calibri"/>
          <w:color w:val="000000"/>
          <w:lang w:eastAsia="cs-CZ"/>
        </w:rPr>
        <w:t>a</w:t>
      </w:r>
      <w:r w:rsidR="004B6014">
        <w:rPr>
          <w:rFonts w:eastAsia="Times New Roman" w:cs="Calibri"/>
          <w:color w:val="000000"/>
          <w:lang w:eastAsia="cs-CZ"/>
        </w:rPr>
        <w:t xml:space="preserve"> minimální pravděpodobností neúspěchu. Případné komplikace, nikoli však neúspěch při zavádění produktů na trh</w:t>
      </w:r>
      <w:r w:rsidR="00FC70DA">
        <w:rPr>
          <w:rFonts w:eastAsia="Times New Roman" w:cs="Calibri"/>
          <w:color w:val="000000"/>
          <w:lang w:eastAsia="cs-CZ"/>
        </w:rPr>
        <w:t>,</w:t>
      </w:r>
      <w:r w:rsidR="004B6014">
        <w:rPr>
          <w:rFonts w:eastAsia="Times New Roman" w:cs="Calibri"/>
          <w:color w:val="000000"/>
          <w:lang w:eastAsia="cs-CZ"/>
        </w:rPr>
        <w:t xml:space="preserve"> představují:</w:t>
      </w:r>
    </w:p>
    <w:p w14:paraId="5B3BD7FD"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Změnové požadavky na straně zákazníků</w:t>
      </w:r>
    </w:p>
    <w:p w14:paraId="21D9EF9C"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Konzervativní tuzemský trh, upřednostňující zahraniční výrobky</w:t>
      </w:r>
    </w:p>
    <w:p w14:paraId="40CA0053"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Vysoká konkurence na trhu</w:t>
      </w:r>
    </w:p>
    <w:p w14:paraId="207B4306" w14:textId="77777777" w:rsidR="004B6014" w:rsidRPr="00121FB8"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Zdlouhavá výběrová řízení veřejné, státní správy</w:t>
      </w:r>
    </w:p>
    <w:p w14:paraId="33C712F9" w14:textId="77777777" w:rsidR="004B6014" w:rsidRDefault="004B6014" w:rsidP="002449AE">
      <w:pPr>
        <w:jc w:val="both"/>
        <w:rPr>
          <w:rFonts w:eastAsia="Times New Roman" w:cs="Calibri"/>
          <w:color w:val="000000"/>
          <w:lang w:eastAsia="cs-CZ"/>
        </w:rPr>
      </w:pPr>
      <w:r>
        <w:rPr>
          <w:rFonts w:eastAsia="Times New Roman" w:cs="Calibri"/>
          <w:color w:val="000000"/>
          <w:lang w:eastAsia="cs-CZ"/>
        </w:rPr>
        <w:t>V rámci druhého přístupu Dodavatel identifikoval několik případů, kdy příjemce od projektu (podpory) ustoupil po podepsání smlouvy</w:t>
      </w:r>
      <w:r w:rsidR="00FC70DA">
        <w:rPr>
          <w:rFonts w:eastAsia="Times New Roman" w:cs="Calibri"/>
          <w:color w:val="000000"/>
          <w:lang w:eastAsia="cs-CZ"/>
        </w:rPr>
        <w:t>,</w:t>
      </w:r>
      <w:r>
        <w:rPr>
          <w:rFonts w:eastAsia="Times New Roman" w:cs="Calibri"/>
          <w:color w:val="000000"/>
          <w:lang w:eastAsia="cs-CZ"/>
        </w:rPr>
        <w:t xml:space="preserve"> ale ještě před samotnou realizací projektu, případy, kdy příjemce odstoupil od projektu během jeho realizace</w:t>
      </w:r>
      <w:r w:rsidR="00FC70DA">
        <w:rPr>
          <w:rFonts w:eastAsia="Times New Roman" w:cs="Calibri"/>
          <w:color w:val="000000"/>
          <w:lang w:eastAsia="cs-CZ"/>
        </w:rPr>
        <w:t>,</w:t>
      </w:r>
      <w:r>
        <w:rPr>
          <w:rFonts w:eastAsia="Times New Roman" w:cs="Calibri"/>
          <w:color w:val="000000"/>
          <w:lang w:eastAsia="cs-CZ"/>
        </w:rPr>
        <w:t xml:space="preserve"> a několik případů, kdy příjemci projekt realizovali až do konce, ale z různých důvodů nebyla vyčerpána</w:t>
      </w:r>
      <w:r w:rsidR="00FC70DA">
        <w:rPr>
          <w:rFonts w:eastAsia="Times New Roman" w:cs="Calibri"/>
          <w:color w:val="000000"/>
          <w:lang w:eastAsia="cs-CZ"/>
        </w:rPr>
        <w:t>/</w:t>
      </w:r>
      <w:r>
        <w:rPr>
          <w:rFonts w:eastAsia="Times New Roman" w:cs="Calibri"/>
          <w:color w:val="000000"/>
          <w:lang w:eastAsia="cs-CZ"/>
        </w:rPr>
        <w:t>proplacena celá původní smluvní částka. Hlavními důvody nečerpání dotace byly:</w:t>
      </w:r>
    </w:p>
    <w:p w14:paraId="772FB378"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Administrativní zátěž spojená s realizací projektu a následné odstoupení od realizace</w:t>
      </w:r>
    </w:p>
    <w:p w14:paraId="7C04FAB3"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Změna ve strategickém řízení a investiční strategii společnosti (především u podniků se zahraniční vlastnickou strukturou)</w:t>
      </w:r>
    </w:p>
    <w:p w14:paraId="6612ABD2"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proofErr w:type="spellStart"/>
      <w:r w:rsidRPr="00811F97">
        <w:rPr>
          <w:rFonts w:eastAsia="Times New Roman" w:cs="Calibri"/>
          <w:color w:val="000000"/>
          <w:lang w:eastAsia="cs-CZ"/>
        </w:rPr>
        <w:t>Neuznatelnost</w:t>
      </w:r>
      <w:proofErr w:type="spellEnd"/>
      <w:r w:rsidRPr="00811F97">
        <w:rPr>
          <w:rFonts w:eastAsia="Times New Roman" w:cs="Calibri"/>
          <w:color w:val="000000"/>
          <w:lang w:eastAsia="cs-CZ"/>
        </w:rPr>
        <w:t xml:space="preserve"> </w:t>
      </w:r>
      <w:r>
        <w:rPr>
          <w:rFonts w:eastAsia="Times New Roman" w:cs="Calibri"/>
          <w:color w:val="000000"/>
          <w:lang w:eastAsia="cs-CZ"/>
        </w:rPr>
        <w:t>části</w:t>
      </w:r>
      <w:r w:rsidRPr="00811F97">
        <w:rPr>
          <w:rFonts w:eastAsia="Times New Roman" w:cs="Calibri"/>
          <w:color w:val="000000"/>
          <w:lang w:eastAsia="cs-CZ"/>
        </w:rPr>
        <w:t xml:space="preserve"> nákladů/</w:t>
      </w:r>
      <w:r>
        <w:rPr>
          <w:rFonts w:eastAsia="Times New Roman" w:cs="Calibri"/>
          <w:color w:val="000000"/>
          <w:lang w:eastAsia="cs-CZ"/>
        </w:rPr>
        <w:t>výdajů příjemce</w:t>
      </w:r>
    </w:p>
    <w:p w14:paraId="75568ECC"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Snížení čerpané částky z rozhodnutí příjemce</w:t>
      </w:r>
    </w:p>
    <w:p w14:paraId="14B11D73"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Zpoždění při zahájení realizace projektu z důvo</w:t>
      </w:r>
      <w:r w:rsidR="008F599A">
        <w:rPr>
          <w:rFonts w:eastAsia="Times New Roman" w:cs="Calibri"/>
          <w:color w:val="000000"/>
          <w:lang w:eastAsia="cs-CZ"/>
        </w:rPr>
        <w:t>dů dlouhého procesu hodnocení a </w:t>
      </w:r>
      <w:r>
        <w:rPr>
          <w:rFonts w:eastAsia="Times New Roman" w:cs="Calibri"/>
          <w:color w:val="000000"/>
          <w:lang w:eastAsia="cs-CZ"/>
        </w:rPr>
        <w:t>schvalování žádostí (a následné dopady na realizaci projektu, včetně např. dodržení lhůt pro výběr dodavatele a dodání produktů)</w:t>
      </w:r>
    </w:p>
    <w:p w14:paraId="69C389A2"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Změny ze strany zákazníka v průběhu realizace projektu</w:t>
      </w:r>
    </w:p>
    <w:p w14:paraId="0D840949"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Neočekávané, neplánované problémy na straně příjemce (ekonomické, procesní, havárie atd.)</w:t>
      </w:r>
    </w:p>
    <w:p w14:paraId="1D64EB8C"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Změna situace na trhu (např. pokles poptávky po subdodávkách pro automobilový průmysl)</w:t>
      </w:r>
    </w:p>
    <w:p w14:paraId="43AD0BE9" w14:textId="77777777" w:rsidR="004B6014" w:rsidRDefault="004B6014" w:rsidP="007359A3">
      <w:pPr>
        <w:pStyle w:val="ListParagraph"/>
        <w:numPr>
          <w:ilvl w:val="0"/>
          <w:numId w:val="21"/>
        </w:numPr>
        <w:spacing w:after="120"/>
        <w:ind w:left="714" w:hanging="357"/>
        <w:contextualSpacing w:val="0"/>
        <w:jc w:val="both"/>
        <w:rPr>
          <w:rFonts w:eastAsia="Times New Roman" w:cs="Calibri"/>
          <w:color w:val="000000"/>
          <w:lang w:eastAsia="cs-CZ"/>
        </w:rPr>
      </w:pPr>
      <w:r>
        <w:rPr>
          <w:rFonts w:eastAsia="Times New Roman" w:cs="Calibri"/>
          <w:color w:val="000000"/>
          <w:lang w:eastAsia="cs-CZ"/>
        </w:rPr>
        <w:t>Neprodloužení projektu ze strany ŘO</w:t>
      </w:r>
    </w:p>
    <w:p w14:paraId="60AED05F" w14:textId="77777777" w:rsidR="004B6014" w:rsidRDefault="004B6014" w:rsidP="002449AE">
      <w:pPr>
        <w:jc w:val="both"/>
        <w:rPr>
          <w:rFonts w:eastAsia="Times New Roman" w:cs="Calibri"/>
          <w:color w:val="000000"/>
          <w:lang w:eastAsia="cs-CZ"/>
        </w:rPr>
      </w:pPr>
      <w:r>
        <w:rPr>
          <w:rFonts w:eastAsia="Times New Roman" w:cs="Calibri"/>
          <w:color w:val="000000"/>
          <w:lang w:eastAsia="cs-CZ"/>
        </w:rPr>
        <w:t xml:space="preserve">Příjemci podpory, u jejichž projektů existovalo riziko neúspěšného uvedení produktu na trh, od podpory většinou odstoupily ještě před zahájením realizace. </w:t>
      </w:r>
      <w:r w:rsidR="00EE0522">
        <w:rPr>
          <w:rFonts w:eastAsia="Times New Roman" w:cs="Calibri"/>
          <w:color w:val="000000"/>
          <w:lang w:eastAsia="cs-CZ"/>
        </w:rPr>
        <w:t xml:space="preserve">Dodavatel </w:t>
      </w:r>
      <w:r w:rsidR="00515DDB">
        <w:rPr>
          <w:rFonts w:eastAsia="Times New Roman" w:cs="Calibri"/>
          <w:color w:val="000000"/>
          <w:lang w:eastAsia="cs-CZ"/>
        </w:rPr>
        <w:t>oslovil více než 15 příjemců s nejnižším poměrem čerpání schválené dotace. Důvody nízkého čerpání jsou uvedeny výše.</w:t>
      </w:r>
      <w:r w:rsidR="00EF1912">
        <w:rPr>
          <w:rFonts w:eastAsia="Times New Roman" w:cs="Calibri"/>
          <w:color w:val="000000"/>
          <w:lang w:eastAsia="cs-CZ"/>
        </w:rPr>
        <w:t xml:space="preserve"> V jednom případě Dodavatel identifikoval příjemce, který se kvůli zpožděnému proplacení dotace dostal do úpadku.</w:t>
      </w:r>
      <w:r w:rsidR="008E3F0B">
        <w:rPr>
          <w:rFonts w:eastAsia="Times New Roman" w:cs="Calibri"/>
          <w:color w:val="000000"/>
          <w:lang w:eastAsia="cs-CZ"/>
        </w:rPr>
        <w:t xml:space="preserve"> Až na jeden projekt, všechny zkoumané projekty vedly k uvedení inovovaného produktu na trh. Přidaná hodnota dotační podpory a míra inov</w:t>
      </w:r>
      <w:r w:rsidR="001F545E">
        <w:rPr>
          <w:rFonts w:eastAsia="Times New Roman" w:cs="Calibri"/>
          <w:color w:val="000000"/>
          <w:lang w:eastAsia="cs-CZ"/>
        </w:rPr>
        <w:t xml:space="preserve">ace se liší projekt od projektu a je blíže rozepsána </w:t>
      </w:r>
      <w:r w:rsidR="00D05D11">
        <w:rPr>
          <w:rFonts w:eastAsia="Times New Roman" w:cs="Calibri"/>
          <w:color w:val="000000"/>
          <w:lang w:eastAsia="cs-CZ"/>
        </w:rPr>
        <w:t xml:space="preserve">v popisu případových studií </w:t>
      </w:r>
      <w:r w:rsidR="001F545E">
        <w:rPr>
          <w:rFonts w:eastAsia="Times New Roman" w:cs="Calibri"/>
          <w:color w:val="000000"/>
          <w:lang w:eastAsia="cs-CZ"/>
        </w:rPr>
        <w:t xml:space="preserve">níže. </w:t>
      </w:r>
    </w:p>
    <w:p w14:paraId="2D7CA77A" w14:textId="77777777" w:rsidR="004B6014" w:rsidRDefault="004B6014" w:rsidP="002449AE">
      <w:pPr>
        <w:jc w:val="both"/>
        <w:rPr>
          <w:rFonts w:eastAsia="Times New Roman" w:cs="Calibri"/>
          <w:color w:val="000000"/>
          <w:lang w:eastAsia="cs-CZ"/>
        </w:rPr>
      </w:pPr>
      <w:r>
        <w:rPr>
          <w:rFonts w:eastAsia="Times New Roman" w:cs="Calibri"/>
          <w:color w:val="000000"/>
          <w:lang w:eastAsia="cs-CZ"/>
        </w:rPr>
        <w:t xml:space="preserve">Případové studie byly realizovány na následujících </w:t>
      </w:r>
      <w:r w:rsidR="008F599A">
        <w:rPr>
          <w:rFonts w:eastAsia="Times New Roman" w:cs="Calibri"/>
          <w:color w:val="000000"/>
          <w:lang w:eastAsia="cs-CZ"/>
        </w:rPr>
        <w:t xml:space="preserve">projektech </w:t>
      </w:r>
      <w:r w:rsidR="005A5E11">
        <w:rPr>
          <w:rFonts w:eastAsia="Times New Roman" w:cs="Calibri"/>
          <w:color w:val="000000"/>
          <w:lang w:eastAsia="cs-CZ"/>
        </w:rPr>
        <w:t>finančně a fyzicky ukončených ze strany ŘO</w:t>
      </w:r>
      <w:r>
        <w:rPr>
          <w:rFonts w:eastAsia="Times New Roman" w:cs="Calibri"/>
          <w:color w:val="000000"/>
          <w:lang w:eastAsia="cs-CZ"/>
        </w:rPr>
        <w:t>:</w:t>
      </w:r>
    </w:p>
    <w:tbl>
      <w:tblPr>
        <w:tblStyle w:val="Tabulkaseznamu3zvraznn11"/>
        <w:tblW w:w="5000" w:type="pct"/>
        <w:tblBorders>
          <w:left w:val="none" w:sz="0" w:space="0" w:color="auto"/>
          <w:bottom w:val="single" w:sz="4" w:space="0" w:color="AEC7FE" w:themeColor="accent4" w:themeTint="33"/>
          <w:right w:val="none" w:sz="0" w:space="0" w:color="auto"/>
          <w:insideH w:val="single" w:sz="4" w:space="0" w:color="AEC7FE" w:themeColor="accent4" w:themeTint="33"/>
        </w:tblBorders>
        <w:tblCellMar>
          <w:left w:w="57" w:type="dxa"/>
          <w:right w:w="57" w:type="dxa"/>
        </w:tblCellMar>
        <w:tblLook w:val="04A0" w:firstRow="1" w:lastRow="0" w:firstColumn="1" w:lastColumn="0" w:noHBand="0" w:noVBand="1"/>
      </w:tblPr>
      <w:tblGrid>
        <w:gridCol w:w="395"/>
        <w:gridCol w:w="1536"/>
        <w:gridCol w:w="3014"/>
        <w:gridCol w:w="2487"/>
        <w:gridCol w:w="1161"/>
        <w:gridCol w:w="14"/>
        <w:gridCol w:w="69"/>
      </w:tblGrid>
      <w:tr w:rsidR="005A5E11" w14:paraId="3F21A95A" w14:textId="77777777" w:rsidTr="008F599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228" w:type="pct"/>
            <w:tcBorders>
              <w:bottom w:val="none" w:sz="0" w:space="0" w:color="auto"/>
              <w:right w:val="none" w:sz="0" w:space="0" w:color="auto"/>
            </w:tcBorders>
            <w:shd w:val="clear" w:color="auto" w:fill="012169" w:themeFill="accent4"/>
            <w:vAlign w:val="center"/>
            <w:hideMark/>
          </w:tcPr>
          <w:p w14:paraId="2231BA6E" w14:textId="77777777" w:rsidR="00D05D11" w:rsidRDefault="00D05D11" w:rsidP="005A5E11">
            <w:pPr>
              <w:spacing w:after="0" w:line="240" w:lineRule="auto"/>
              <w:jc w:val="center"/>
              <w:rPr>
                <w:rFonts w:asciiTheme="minorHAnsi" w:eastAsia="Times New Roman" w:hAnsiTheme="minorHAnsi" w:cs="Times New Roman"/>
                <w:color w:val="FFFFFF"/>
                <w:szCs w:val="18"/>
                <w:lang w:eastAsia="cs-CZ"/>
              </w:rPr>
            </w:pPr>
            <w:r>
              <w:rPr>
                <w:rFonts w:asciiTheme="minorHAnsi" w:eastAsia="Times New Roman" w:hAnsiTheme="minorHAnsi" w:cs="Times New Roman"/>
                <w:color w:val="FFFFFF"/>
                <w:szCs w:val="18"/>
                <w:lang w:eastAsia="cs-CZ"/>
              </w:rPr>
              <w:t>Č</w:t>
            </w:r>
          </w:p>
        </w:tc>
        <w:tc>
          <w:tcPr>
            <w:tcW w:w="885" w:type="pct"/>
            <w:shd w:val="clear" w:color="auto" w:fill="012169" w:themeFill="accent4"/>
            <w:vAlign w:val="center"/>
            <w:hideMark/>
          </w:tcPr>
          <w:p w14:paraId="68C9CFE5" w14:textId="77777777" w:rsidR="00D05D11" w:rsidRDefault="00D05D11" w:rsidP="004B601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zCs w:val="18"/>
                <w:lang w:eastAsia="cs-CZ"/>
              </w:rPr>
            </w:pPr>
            <w:r>
              <w:rPr>
                <w:rFonts w:asciiTheme="minorHAnsi" w:eastAsia="Times New Roman" w:hAnsiTheme="minorHAnsi" w:cs="Times New Roman"/>
                <w:color w:val="FFFFFF"/>
                <w:szCs w:val="18"/>
                <w:lang w:eastAsia="cs-CZ"/>
              </w:rPr>
              <w:t>Žadatel</w:t>
            </w:r>
          </w:p>
        </w:tc>
        <w:tc>
          <w:tcPr>
            <w:tcW w:w="1737" w:type="pct"/>
            <w:shd w:val="clear" w:color="auto" w:fill="012169" w:themeFill="accent4"/>
            <w:vAlign w:val="center"/>
            <w:hideMark/>
          </w:tcPr>
          <w:p w14:paraId="21397E67" w14:textId="77777777" w:rsidR="00D05D11" w:rsidRDefault="00D05D11" w:rsidP="00882C9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zCs w:val="18"/>
                <w:lang w:eastAsia="cs-CZ"/>
              </w:rPr>
            </w:pPr>
            <w:r>
              <w:rPr>
                <w:rFonts w:asciiTheme="minorHAnsi" w:eastAsia="Times New Roman" w:hAnsiTheme="minorHAnsi" w:cs="Times New Roman"/>
                <w:color w:val="FFFFFF"/>
                <w:szCs w:val="18"/>
                <w:lang w:eastAsia="cs-CZ"/>
              </w:rPr>
              <w:t>Název projektu</w:t>
            </w:r>
          </w:p>
        </w:tc>
        <w:tc>
          <w:tcPr>
            <w:tcW w:w="1433" w:type="pct"/>
            <w:shd w:val="clear" w:color="auto" w:fill="012169" w:themeFill="accent4"/>
            <w:vAlign w:val="center"/>
            <w:hideMark/>
          </w:tcPr>
          <w:p w14:paraId="35B2F2B6" w14:textId="77777777" w:rsidR="00D05D11" w:rsidRDefault="00D05D11" w:rsidP="00882C9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zCs w:val="18"/>
                <w:lang w:eastAsia="cs-CZ"/>
              </w:rPr>
            </w:pPr>
            <w:r>
              <w:rPr>
                <w:rFonts w:asciiTheme="minorHAnsi" w:eastAsia="Times New Roman" w:hAnsiTheme="minorHAnsi" w:cs="Times New Roman"/>
                <w:color w:val="FFFFFF"/>
                <w:szCs w:val="18"/>
                <w:lang w:eastAsia="cs-CZ"/>
              </w:rPr>
              <w:t>Registrační číslo projektu</w:t>
            </w:r>
          </w:p>
        </w:tc>
        <w:tc>
          <w:tcPr>
            <w:tcW w:w="717" w:type="pct"/>
            <w:gridSpan w:val="3"/>
            <w:shd w:val="clear" w:color="auto" w:fill="012169" w:themeFill="accent4"/>
          </w:tcPr>
          <w:p w14:paraId="2D15F9EC" w14:textId="77777777" w:rsidR="00D05D11" w:rsidRDefault="00D05D11" w:rsidP="00882C9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FFFFF"/>
                <w:szCs w:val="18"/>
                <w:lang w:eastAsia="cs-CZ"/>
              </w:rPr>
            </w:pPr>
          </w:p>
        </w:tc>
      </w:tr>
      <w:tr w:rsidR="007359A3" w14:paraId="73FFF9C0" w14:textId="77777777" w:rsidTr="008F59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3" w:type="pct"/>
            <w:gridSpan w:val="2"/>
            <w:tcBorders>
              <w:top w:val="none" w:sz="0" w:space="0" w:color="auto"/>
              <w:bottom w:val="none" w:sz="0" w:space="0" w:color="auto"/>
              <w:right w:val="none" w:sz="0" w:space="0" w:color="auto"/>
            </w:tcBorders>
            <w:shd w:val="clear" w:color="auto" w:fill="DFF0F9" w:themeFill="accent3" w:themeFillTint="33"/>
            <w:hideMark/>
          </w:tcPr>
          <w:p w14:paraId="096ABAA4" w14:textId="77777777" w:rsidR="007359A3" w:rsidRDefault="007359A3" w:rsidP="004B6014">
            <w:pPr>
              <w:spacing w:after="0" w:line="240" w:lineRule="auto"/>
              <w:rPr>
                <w:rFonts w:asciiTheme="minorHAnsi" w:eastAsia="Times New Roman" w:hAnsiTheme="minorHAnsi" w:cs="Times New Roman"/>
                <w:b w:val="0"/>
                <w:bCs w:val="0"/>
                <w:color w:val="000000"/>
                <w:szCs w:val="18"/>
                <w:lang w:eastAsia="cs-CZ"/>
              </w:rPr>
            </w:pPr>
            <w:r>
              <w:rPr>
                <w:rFonts w:asciiTheme="minorHAnsi" w:eastAsia="Times New Roman" w:hAnsiTheme="minorHAnsi" w:cs="Times New Roman"/>
                <w:color w:val="000000"/>
                <w:szCs w:val="18"/>
                <w:lang w:eastAsia="cs-CZ"/>
              </w:rPr>
              <w:t>APLIKACE</w:t>
            </w:r>
          </w:p>
        </w:tc>
        <w:tc>
          <w:tcPr>
            <w:tcW w:w="3887" w:type="pct"/>
            <w:gridSpan w:val="5"/>
            <w:tcBorders>
              <w:top w:val="none" w:sz="0" w:space="0" w:color="auto"/>
              <w:bottom w:val="none" w:sz="0" w:space="0" w:color="auto"/>
            </w:tcBorders>
            <w:shd w:val="clear" w:color="auto" w:fill="DFF0F9" w:themeFill="accent3" w:themeFillTint="33"/>
          </w:tcPr>
          <w:p w14:paraId="5E86C9FE"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p>
        </w:tc>
      </w:tr>
      <w:tr w:rsidR="007359A3" w14:paraId="4054C96E" w14:textId="77777777" w:rsidTr="008F599A">
        <w:trPr>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3E1D2AD8" w14:textId="77777777" w:rsidR="007359A3" w:rsidRDefault="007359A3" w:rsidP="004B6014">
            <w:pPr>
              <w:spacing w:after="0" w:line="240" w:lineRule="auto"/>
              <w:rPr>
                <w:rFonts w:asciiTheme="minorHAnsi" w:eastAsia="Times New Roman" w:hAnsiTheme="minorHAnsi" w:cs="Times New Roman"/>
                <w:b w:val="0"/>
                <w:color w:val="000000"/>
                <w:szCs w:val="18"/>
                <w:lang w:eastAsia="cs-CZ"/>
              </w:rPr>
            </w:pPr>
            <w:r>
              <w:rPr>
                <w:rFonts w:asciiTheme="minorHAnsi" w:eastAsia="Times New Roman" w:hAnsiTheme="minorHAnsi" w:cs="Times New Roman"/>
                <w:color w:val="000000"/>
                <w:szCs w:val="18"/>
                <w:lang w:eastAsia="cs-CZ"/>
              </w:rPr>
              <w:t>1</w:t>
            </w:r>
          </w:p>
        </w:tc>
        <w:tc>
          <w:tcPr>
            <w:tcW w:w="885" w:type="pct"/>
            <w:hideMark/>
          </w:tcPr>
          <w:p w14:paraId="0001701F"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 xml:space="preserve">Fluid </w:t>
            </w:r>
            <w:proofErr w:type="spellStart"/>
            <w:r>
              <w:rPr>
                <w:rFonts w:asciiTheme="minorHAnsi" w:eastAsia="Times New Roman" w:hAnsiTheme="minorHAnsi" w:cs="Times New Roman"/>
                <w:color w:val="000000"/>
                <w:szCs w:val="18"/>
                <w:lang w:eastAsia="cs-CZ"/>
              </w:rPr>
              <w:t>Engineering</w:t>
            </w:r>
            <w:proofErr w:type="spellEnd"/>
            <w:r>
              <w:rPr>
                <w:rFonts w:asciiTheme="minorHAnsi" w:eastAsia="Times New Roman" w:hAnsiTheme="minorHAnsi" w:cs="Times New Roman"/>
                <w:color w:val="000000"/>
                <w:szCs w:val="18"/>
                <w:lang w:eastAsia="cs-CZ"/>
              </w:rPr>
              <w:t xml:space="preserve"> a.s.</w:t>
            </w:r>
          </w:p>
        </w:tc>
        <w:tc>
          <w:tcPr>
            <w:tcW w:w="1737" w:type="pct"/>
            <w:hideMark/>
          </w:tcPr>
          <w:p w14:paraId="52370BF5"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Vakuová plnička pro viskoelastické hmoty</w:t>
            </w:r>
          </w:p>
        </w:tc>
        <w:tc>
          <w:tcPr>
            <w:tcW w:w="2150" w:type="pct"/>
            <w:gridSpan w:val="4"/>
            <w:hideMark/>
          </w:tcPr>
          <w:p w14:paraId="24D2A6C6"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15_018/0004897</w:t>
            </w:r>
          </w:p>
        </w:tc>
      </w:tr>
      <w:tr w:rsidR="007359A3" w14:paraId="252E9D4C" w14:textId="77777777" w:rsidTr="008F59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8" w:type="pct"/>
            <w:tcBorders>
              <w:top w:val="none" w:sz="0" w:space="0" w:color="auto"/>
              <w:bottom w:val="none" w:sz="0" w:space="0" w:color="auto"/>
              <w:right w:val="none" w:sz="0" w:space="0" w:color="auto"/>
            </w:tcBorders>
            <w:hideMark/>
          </w:tcPr>
          <w:p w14:paraId="0FC05017" w14:textId="77777777" w:rsidR="007359A3" w:rsidRDefault="007359A3" w:rsidP="004B6014">
            <w:pPr>
              <w:spacing w:after="0" w:line="240" w:lineRule="auto"/>
              <w:rPr>
                <w:rFonts w:asciiTheme="minorHAnsi" w:eastAsia="Times New Roman" w:hAnsiTheme="minorHAnsi" w:cs="Times New Roman"/>
                <w:b w:val="0"/>
                <w:color w:val="000000"/>
                <w:szCs w:val="18"/>
                <w:lang w:eastAsia="cs-CZ"/>
              </w:rPr>
            </w:pPr>
            <w:r>
              <w:rPr>
                <w:rFonts w:asciiTheme="minorHAnsi" w:eastAsia="Times New Roman" w:hAnsiTheme="minorHAnsi" w:cs="Times New Roman"/>
                <w:color w:val="000000"/>
                <w:szCs w:val="18"/>
                <w:lang w:eastAsia="cs-CZ"/>
              </w:rPr>
              <w:t>2</w:t>
            </w:r>
          </w:p>
        </w:tc>
        <w:tc>
          <w:tcPr>
            <w:tcW w:w="885" w:type="pct"/>
            <w:tcBorders>
              <w:top w:val="none" w:sz="0" w:space="0" w:color="auto"/>
              <w:bottom w:val="none" w:sz="0" w:space="0" w:color="auto"/>
            </w:tcBorders>
            <w:hideMark/>
          </w:tcPr>
          <w:p w14:paraId="5FCD2EA3"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 xml:space="preserve">AICTA Design </w:t>
            </w:r>
            <w:proofErr w:type="spellStart"/>
            <w:r>
              <w:rPr>
                <w:rFonts w:asciiTheme="minorHAnsi" w:eastAsia="Times New Roman" w:hAnsiTheme="minorHAnsi" w:cs="Times New Roman"/>
                <w:color w:val="000000"/>
                <w:szCs w:val="18"/>
                <w:lang w:eastAsia="cs-CZ"/>
              </w:rPr>
              <w:t>Work</w:t>
            </w:r>
            <w:proofErr w:type="spellEnd"/>
            <w:r>
              <w:rPr>
                <w:rFonts w:asciiTheme="minorHAnsi" w:eastAsia="Times New Roman" w:hAnsiTheme="minorHAnsi" w:cs="Times New Roman"/>
                <w:color w:val="000000"/>
                <w:szCs w:val="18"/>
                <w:lang w:eastAsia="cs-CZ"/>
              </w:rPr>
              <w:t>, s.r.o.</w:t>
            </w:r>
          </w:p>
        </w:tc>
        <w:tc>
          <w:tcPr>
            <w:tcW w:w="1737" w:type="pct"/>
            <w:tcBorders>
              <w:top w:val="none" w:sz="0" w:space="0" w:color="auto"/>
              <w:bottom w:val="none" w:sz="0" w:space="0" w:color="auto"/>
            </w:tcBorders>
            <w:hideMark/>
          </w:tcPr>
          <w:p w14:paraId="5D830A77"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Výzkum a vývoj vývojové řady dieselových leteckých motorů</w:t>
            </w:r>
          </w:p>
        </w:tc>
        <w:tc>
          <w:tcPr>
            <w:tcW w:w="2150" w:type="pct"/>
            <w:gridSpan w:val="4"/>
            <w:tcBorders>
              <w:top w:val="none" w:sz="0" w:space="0" w:color="auto"/>
              <w:bottom w:val="none" w:sz="0" w:space="0" w:color="auto"/>
            </w:tcBorders>
            <w:hideMark/>
          </w:tcPr>
          <w:p w14:paraId="07355C9D"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15_019/0000990</w:t>
            </w:r>
          </w:p>
        </w:tc>
      </w:tr>
      <w:tr w:rsidR="007359A3" w14:paraId="32BC2ACA" w14:textId="77777777" w:rsidTr="008F599A">
        <w:trPr>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0855312C" w14:textId="77777777" w:rsidR="007359A3" w:rsidRDefault="007359A3" w:rsidP="004B6014">
            <w:pPr>
              <w:spacing w:after="0" w:line="240" w:lineRule="auto"/>
              <w:rPr>
                <w:rFonts w:asciiTheme="minorHAnsi" w:eastAsia="Times New Roman" w:hAnsiTheme="minorHAnsi" w:cs="Times New Roman"/>
                <w:b w:val="0"/>
                <w:color w:val="000000"/>
                <w:szCs w:val="18"/>
                <w:lang w:eastAsia="cs-CZ"/>
              </w:rPr>
            </w:pPr>
            <w:r>
              <w:rPr>
                <w:rFonts w:asciiTheme="minorHAnsi" w:eastAsia="Times New Roman" w:hAnsiTheme="minorHAnsi" w:cs="Times New Roman"/>
                <w:color w:val="000000"/>
                <w:szCs w:val="18"/>
                <w:lang w:eastAsia="cs-CZ"/>
              </w:rPr>
              <w:t>3</w:t>
            </w:r>
          </w:p>
        </w:tc>
        <w:tc>
          <w:tcPr>
            <w:tcW w:w="885" w:type="pct"/>
          </w:tcPr>
          <w:p w14:paraId="474C202D"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proofErr w:type="spellStart"/>
            <w:r>
              <w:rPr>
                <w:rFonts w:asciiTheme="minorHAnsi" w:eastAsia="Times New Roman" w:hAnsiTheme="minorHAnsi" w:cs="Times New Roman"/>
                <w:color w:val="000000"/>
                <w:szCs w:val="18"/>
                <w:lang w:eastAsia="cs-CZ"/>
              </w:rPr>
              <w:t>Smaris</w:t>
            </w:r>
            <w:proofErr w:type="spellEnd"/>
            <w:r>
              <w:rPr>
                <w:rFonts w:asciiTheme="minorHAnsi" w:eastAsia="Times New Roman" w:hAnsiTheme="minorHAnsi" w:cs="Times New Roman"/>
                <w:color w:val="000000"/>
                <w:szCs w:val="18"/>
                <w:lang w:eastAsia="cs-CZ"/>
              </w:rPr>
              <w:t xml:space="preserve"> s.r.o.</w:t>
            </w:r>
          </w:p>
        </w:tc>
        <w:tc>
          <w:tcPr>
            <w:tcW w:w="1737" w:type="pct"/>
          </w:tcPr>
          <w:p w14:paraId="4E7B4B38"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sidRPr="005E6A82">
              <w:rPr>
                <w:rFonts w:asciiTheme="minorHAnsi" w:eastAsia="Times New Roman" w:hAnsiTheme="minorHAnsi" w:cs="Times New Roman"/>
                <w:color w:val="000000"/>
                <w:szCs w:val="18"/>
                <w:lang w:eastAsia="cs-CZ"/>
              </w:rPr>
              <w:t>SMARIS - Aplikace - Medicinální technika</w:t>
            </w:r>
          </w:p>
        </w:tc>
        <w:tc>
          <w:tcPr>
            <w:tcW w:w="2150" w:type="pct"/>
            <w:gridSpan w:val="4"/>
          </w:tcPr>
          <w:p w14:paraId="6B017A42" w14:textId="77777777" w:rsidR="007359A3" w:rsidRPr="005E6A82"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sidRPr="005E6A82">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r>
            <w:r w:rsidRPr="005E6A82">
              <w:rPr>
                <w:rFonts w:asciiTheme="minorHAnsi" w:eastAsia="Times New Roman" w:hAnsiTheme="minorHAnsi" w:cs="Times New Roman"/>
                <w:color w:val="000000"/>
                <w:szCs w:val="18"/>
                <w:lang w:eastAsia="cs-CZ"/>
              </w:rPr>
              <w:t>15_018/0001469</w:t>
            </w:r>
          </w:p>
        </w:tc>
      </w:tr>
      <w:tr w:rsidR="005A5E11" w14:paraId="78210D7A" w14:textId="77777777" w:rsidTr="008F59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right w:val="none" w:sz="0" w:space="0" w:color="auto"/>
            </w:tcBorders>
            <w:shd w:val="clear" w:color="auto" w:fill="DFF0F9" w:themeFill="accent3" w:themeFillTint="33"/>
            <w:hideMark/>
          </w:tcPr>
          <w:p w14:paraId="77C2681D" w14:textId="77777777" w:rsidR="005A5E11" w:rsidRDefault="005A5E11" w:rsidP="004B6014">
            <w:pPr>
              <w:spacing w:after="0" w:line="240" w:lineRule="auto"/>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INOVACE</w:t>
            </w:r>
          </w:p>
        </w:tc>
      </w:tr>
      <w:tr w:rsidR="007359A3" w14:paraId="076CE40B" w14:textId="77777777" w:rsidTr="008F599A">
        <w:trPr>
          <w:gridAfter w:val="1"/>
          <w:wAfter w:w="40"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270F05B8" w14:textId="77777777" w:rsidR="007359A3" w:rsidRDefault="007359A3" w:rsidP="004B6014">
            <w:pPr>
              <w:spacing w:after="0" w:line="240" w:lineRule="auto"/>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4</w:t>
            </w:r>
          </w:p>
        </w:tc>
        <w:tc>
          <w:tcPr>
            <w:tcW w:w="885" w:type="pct"/>
            <w:hideMark/>
          </w:tcPr>
          <w:p w14:paraId="065B3C30"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CRYTUR, spol. s r.o.</w:t>
            </w:r>
          </w:p>
        </w:tc>
        <w:tc>
          <w:tcPr>
            <w:tcW w:w="1737" w:type="pct"/>
            <w:hideMark/>
          </w:tcPr>
          <w:p w14:paraId="7520B6D4"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Velmi intenzivní monokrystalický zdroj světla</w:t>
            </w:r>
          </w:p>
        </w:tc>
        <w:tc>
          <w:tcPr>
            <w:tcW w:w="2110" w:type="pct"/>
            <w:gridSpan w:val="3"/>
            <w:hideMark/>
          </w:tcPr>
          <w:p w14:paraId="0312E878"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15_014/0000460</w:t>
            </w:r>
          </w:p>
        </w:tc>
      </w:tr>
      <w:tr w:rsidR="007359A3" w14:paraId="44C096BB" w14:textId="77777777" w:rsidTr="008F599A">
        <w:trPr>
          <w:gridAfter w:val="1"/>
          <w:cnfStyle w:val="000000100000" w:firstRow="0" w:lastRow="0" w:firstColumn="0" w:lastColumn="0" w:oddVBand="0" w:evenVBand="0" w:oddHBand="1" w:evenHBand="0" w:firstRowFirstColumn="0" w:firstRowLastColumn="0" w:lastRowFirstColumn="0" w:lastRowLastColumn="0"/>
          <w:wAfter w:w="40"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top w:val="none" w:sz="0" w:space="0" w:color="auto"/>
              <w:bottom w:val="none" w:sz="0" w:space="0" w:color="auto"/>
              <w:right w:val="none" w:sz="0" w:space="0" w:color="auto"/>
            </w:tcBorders>
            <w:hideMark/>
          </w:tcPr>
          <w:p w14:paraId="7775200F" w14:textId="77777777" w:rsidR="007359A3" w:rsidRDefault="007359A3" w:rsidP="004B6014">
            <w:pPr>
              <w:spacing w:after="0" w:line="240" w:lineRule="auto"/>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5</w:t>
            </w:r>
          </w:p>
        </w:tc>
        <w:tc>
          <w:tcPr>
            <w:tcW w:w="885" w:type="pct"/>
            <w:tcBorders>
              <w:top w:val="none" w:sz="0" w:space="0" w:color="auto"/>
              <w:bottom w:val="none" w:sz="0" w:space="0" w:color="auto"/>
            </w:tcBorders>
            <w:hideMark/>
          </w:tcPr>
          <w:p w14:paraId="635BDAC5"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PETROF, spol. s r.o.</w:t>
            </w:r>
          </w:p>
        </w:tc>
        <w:tc>
          <w:tcPr>
            <w:tcW w:w="1737" w:type="pct"/>
            <w:tcBorders>
              <w:top w:val="none" w:sz="0" w:space="0" w:color="auto"/>
              <w:bottom w:val="none" w:sz="0" w:space="0" w:color="auto"/>
            </w:tcBorders>
            <w:hideMark/>
          </w:tcPr>
          <w:p w14:paraId="55E4A7E2"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Inovací výroby ke zvýšení konkurenceschopnosti PETROF, spol. s r.o.</w:t>
            </w:r>
          </w:p>
        </w:tc>
        <w:tc>
          <w:tcPr>
            <w:tcW w:w="2110" w:type="pct"/>
            <w:gridSpan w:val="3"/>
            <w:tcBorders>
              <w:top w:val="none" w:sz="0" w:space="0" w:color="auto"/>
              <w:bottom w:val="none" w:sz="0" w:space="0" w:color="auto"/>
            </w:tcBorders>
            <w:hideMark/>
          </w:tcPr>
          <w:p w14:paraId="40096DA8" w14:textId="77777777" w:rsidR="007359A3" w:rsidRDefault="007359A3" w:rsidP="004B601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15_014/0000367</w:t>
            </w:r>
          </w:p>
        </w:tc>
      </w:tr>
      <w:tr w:rsidR="007359A3" w14:paraId="40EDD7DE" w14:textId="77777777" w:rsidTr="008F599A">
        <w:trPr>
          <w:gridAfter w:val="1"/>
          <w:wAfter w:w="40"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2B634F77" w14:textId="77777777" w:rsidR="007359A3" w:rsidRDefault="007359A3" w:rsidP="004B6014">
            <w:pPr>
              <w:spacing w:after="0" w:line="240" w:lineRule="auto"/>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6</w:t>
            </w:r>
          </w:p>
        </w:tc>
        <w:tc>
          <w:tcPr>
            <w:tcW w:w="885" w:type="pct"/>
            <w:hideMark/>
          </w:tcPr>
          <w:p w14:paraId="1BEC3F4E"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RAI MOST s.r.o.</w:t>
            </w:r>
          </w:p>
        </w:tc>
        <w:tc>
          <w:tcPr>
            <w:tcW w:w="1737" w:type="pct"/>
            <w:hideMark/>
          </w:tcPr>
          <w:p w14:paraId="51455A38"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 xml:space="preserve">Zavedení sériové výroby produktů s aplikací inovovaného odlehčeného materiálu </w:t>
            </w:r>
            <w:proofErr w:type="spellStart"/>
            <w:r>
              <w:rPr>
                <w:rFonts w:asciiTheme="minorHAnsi" w:eastAsia="Times New Roman" w:hAnsiTheme="minorHAnsi" w:cs="Times New Roman"/>
                <w:color w:val="000000"/>
                <w:szCs w:val="18"/>
                <w:lang w:eastAsia="cs-CZ"/>
              </w:rPr>
              <w:t>Colo-Sense</w:t>
            </w:r>
            <w:proofErr w:type="spellEnd"/>
            <w:r>
              <w:rPr>
                <w:rFonts w:asciiTheme="minorHAnsi" w:eastAsia="Times New Roman" w:hAnsiTheme="minorHAnsi" w:cs="Times New Roman"/>
                <w:color w:val="000000"/>
                <w:szCs w:val="18"/>
                <w:lang w:eastAsia="cs-CZ"/>
              </w:rPr>
              <w:t xml:space="preserve"> Lite</w:t>
            </w:r>
          </w:p>
        </w:tc>
        <w:tc>
          <w:tcPr>
            <w:tcW w:w="2110" w:type="pct"/>
            <w:gridSpan w:val="3"/>
            <w:hideMark/>
          </w:tcPr>
          <w:p w14:paraId="6CA2E9BD"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15_014/0005860</w:t>
            </w:r>
          </w:p>
        </w:tc>
      </w:tr>
      <w:tr w:rsidR="005A5E11" w14:paraId="501AB314" w14:textId="77777777" w:rsidTr="008F59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right w:val="none" w:sz="0" w:space="0" w:color="auto"/>
            </w:tcBorders>
            <w:shd w:val="clear" w:color="auto" w:fill="DFF0F9" w:themeFill="accent3" w:themeFillTint="33"/>
            <w:hideMark/>
          </w:tcPr>
          <w:p w14:paraId="7F7F422D" w14:textId="77777777" w:rsidR="005A5E11" w:rsidRDefault="005A5E11" w:rsidP="004B6014">
            <w:pPr>
              <w:spacing w:after="0" w:line="240" w:lineRule="auto"/>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POTENCIÁL</w:t>
            </w:r>
          </w:p>
        </w:tc>
      </w:tr>
      <w:tr w:rsidR="007359A3" w14:paraId="4A91D60E" w14:textId="77777777" w:rsidTr="008F599A">
        <w:trPr>
          <w:gridAfter w:val="2"/>
          <w:wAfter w:w="48"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2B54F47D" w14:textId="77777777" w:rsidR="007359A3" w:rsidRPr="00DC408F" w:rsidRDefault="007359A3" w:rsidP="004B6014">
            <w:pPr>
              <w:spacing w:after="0" w:line="240" w:lineRule="auto"/>
              <w:rPr>
                <w:rFonts w:asciiTheme="minorHAnsi" w:eastAsia="Times New Roman" w:hAnsiTheme="minorHAnsi" w:cs="Times New Roman"/>
                <w:color w:val="000000"/>
                <w:szCs w:val="18"/>
                <w:lang w:eastAsia="cs-CZ"/>
              </w:rPr>
            </w:pPr>
            <w:r w:rsidRPr="00DC408F">
              <w:rPr>
                <w:rFonts w:asciiTheme="minorHAnsi" w:eastAsia="Times New Roman" w:hAnsiTheme="minorHAnsi" w:cs="Times New Roman"/>
                <w:color w:val="000000"/>
                <w:szCs w:val="18"/>
                <w:lang w:eastAsia="cs-CZ"/>
              </w:rPr>
              <w:t>7</w:t>
            </w:r>
          </w:p>
        </w:tc>
        <w:tc>
          <w:tcPr>
            <w:tcW w:w="885" w:type="pct"/>
            <w:hideMark/>
          </w:tcPr>
          <w:p w14:paraId="75341A4D"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TOSEDA s.r.o.</w:t>
            </w:r>
          </w:p>
        </w:tc>
        <w:tc>
          <w:tcPr>
            <w:tcW w:w="1737" w:type="pct"/>
            <w:hideMark/>
          </w:tcPr>
          <w:p w14:paraId="6AE1F355"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proofErr w:type="spellStart"/>
            <w:r>
              <w:rPr>
                <w:rFonts w:asciiTheme="minorHAnsi" w:eastAsia="Times New Roman" w:hAnsiTheme="minorHAnsi" w:cs="Times New Roman"/>
                <w:color w:val="000000"/>
                <w:szCs w:val="18"/>
                <w:lang w:eastAsia="cs-CZ"/>
              </w:rPr>
              <w:t>Nanostrukturované</w:t>
            </w:r>
            <w:proofErr w:type="spellEnd"/>
            <w:r>
              <w:rPr>
                <w:rFonts w:asciiTheme="minorHAnsi" w:eastAsia="Times New Roman" w:hAnsiTheme="minorHAnsi" w:cs="Times New Roman"/>
                <w:color w:val="000000"/>
                <w:szCs w:val="18"/>
                <w:lang w:eastAsia="cs-CZ"/>
              </w:rPr>
              <w:t xml:space="preserve"> </w:t>
            </w:r>
            <w:proofErr w:type="spellStart"/>
            <w:r>
              <w:rPr>
                <w:rFonts w:asciiTheme="minorHAnsi" w:eastAsia="Times New Roman" w:hAnsiTheme="minorHAnsi" w:cs="Times New Roman"/>
                <w:color w:val="000000"/>
                <w:szCs w:val="18"/>
                <w:lang w:eastAsia="cs-CZ"/>
              </w:rPr>
              <w:t>hi-tech</w:t>
            </w:r>
            <w:proofErr w:type="spellEnd"/>
            <w:r>
              <w:rPr>
                <w:rFonts w:asciiTheme="minorHAnsi" w:eastAsia="Times New Roman" w:hAnsiTheme="minorHAnsi" w:cs="Times New Roman"/>
                <w:color w:val="000000"/>
                <w:szCs w:val="18"/>
                <w:lang w:eastAsia="cs-CZ"/>
              </w:rPr>
              <w:t xml:space="preserve"> materiály pro kosmické aplikace</w:t>
            </w:r>
          </w:p>
        </w:tc>
        <w:tc>
          <w:tcPr>
            <w:tcW w:w="2102" w:type="pct"/>
            <w:gridSpan w:val="2"/>
            <w:hideMark/>
          </w:tcPr>
          <w:p w14:paraId="7940EB5A" w14:textId="77777777" w:rsidR="007359A3" w:rsidRDefault="007359A3" w:rsidP="004B60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15_002/0004198</w:t>
            </w:r>
          </w:p>
        </w:tc>
      </w:tr>
      <w:tr w:rsidR="007359A3" w14:paraId="57ADE59A" w14:textId="77777777" w:rsidTr="008F599A">
        <w:trPr>
          <w:gridAfter w:val="2"/>
          <w:cnfStyle w:val="000000100000" w:firstRow="0" w:lastRow="0" w:firstColumn="0" w:lastColumn="0" w:oddVBand="0" w:evenVBand="0" w:oddHBand="1" w:evenHBand="0" w:firstRowFirstColumn="0" w:firstRowLastColumn="0" w:lastRowFirstColumn="0" w:lastRowLastColumn="0"/>
          <w:wAfter w:w="48"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top w:val="none" w:sz="0" w:space="0" w:color="auto"/>
              <w:bottom w:val="none" w:sz="0" w:space="0" w:color="auto"/>
              <w:right w:val="none" w:sz="0" w:space="0" w:color="auto"/>
            </w:tcBorders>
            <w:hideMark/>
          </w:tcPr>
          <w:p w14:paraId="57CDA263" w14:textId="77777777" w:rsidR="007359A3" w:rsidRPr="00DC408F" w:rsidRDefault="007359A3" w:rsidP="00DC408F">
            <w:pPr>
              <w:spacing w:after="0" w:line="240" w:lineRule="auto"/>
              <w:rPr>
                <w:rFonts w:asciiTheme="minorHAnsi" w:eastAsia="Times New Roman" w:hAnsiTheme="minorHAnsi" w:cs="Times New Roman"/>
                <w:color w:val="000000"/>
                <w:szCs w:val="18"/>
                <w:lang w:eastAsia="cs-CZ"/>
              </w:rPr>
            </w:pPr>
            <w:r w:rsidRPr="00DC408F">
              <w:rPr>
                <w:rFonts w:asciiTheme="minorHAnsi" w:eastAsia="Times New Roman" w:hAnsiTheme="minorHAnsi" w:cs="Times New Roman"/>
                <w:color w:val="000000"/>
                <w:szCs w:val="18"/>
                <w:lang w:eastAsia="cs-CZ"/>
              </w:rPr>
              <w:t>8</w:t>
            </w:r>
          </w:p>
        </w:tc>
        <w:tc>
          <w:tcPr>
            <w:tcW w:w="885" w:type="pct"/>
            <w:tcBorders>
              <w:top w:val="none" w:sz="0" w:space="0" w:color="auto"/>
              <w:bottom w:val="none" w:sz="0" w:space="0" w:color="auto"/>
            </w:tcBorders>
          </w:tcPr>
          <w:p w14:paraId="06DB9EDD" w14:textId="77777777" w:rsidR="007359A3" w:rsidRDefault="007359A3" w:rsidP="00DC408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proofErr w:type="spellStart"/>
            <w:r>
              <w:rPr>
                <w:rFonts w:asciiTheme="minorHAnsi" w:eastAsia="Times New Roman" w:hAnsiTheme="minorHAnsi" w:cs="Times New Roman"/>
                <w:color w:val="000000"/>
                <w:szCs w:val="18"/>
                <w:lang w:eastAsia="cs-CZ"/>
              </w:rPr>
              <w:t>Contipro</w:t>
            </w:r>
            <w:proofErr w:type="spellEnd"/>
            <w:r>
              <w:rPr>
                <w:rFonts w:asciiTheme="minorHAnsi" w:eastAsia="Times New Roman" w:hAnsiTheme="minorHAnsi" w:cs="Times New Roman"/>
                <w:color w:val="000000"/>
                <w:szCs w:val="18"/>
                <w:lang w:eastAsia="cs-CZ"/>
              </w:rPr>
              <w:t xml:space="preserve"> a.s.</w:t>
            </w:r>
          </w:p>
        </w:tc>
        <w:tc>
          <w:tcPr>
            <w:tcW w:w="1737" w:type="pct"/>
            <w:tcBorders>
              <w:top w:val="none" w:sz="0" w:space="0" w:color="auto"/>
              <w:bottom w:val="none" w:sz="0" w:space="0" w:color="auto"/>
            </w:tcBorders>
          </w:tcPr>
          <w:p w14:paraId="326A312B" w14:textId="77777777" w:rsidR="007359A3" w:rsidRDefault="007359A3" w:rsidP="00DC408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 xml:space="preserve">Rozšíření centra technologického vývoje pro aplikace v lékařských </w:t>
            </w:r>
            <w:proofErr w:type="spellStart"/>
            <w:r>
              <w:rPr>
                <w:rFonts w:asciiTheme="minorHAnsi" w:eastAsia="Times New Roman" w:hAnsiTheme="minorHAnsi" w:cs="Times New Roman"/>
                <w:color w:val="000000"/>
                <w:szCs w:val="18"/>
                <w:lang w:eastAsia="cs-CZ"/>
              </w:rPr>
              <w:t>nanobiotechnologiích</w:t>
            </w:r>
            <w:proofErr w:type="spellEnd"/>
          </w:p>
        </w:tc>
        <w:tc>
          <w:tcPr>
            <w:tcW w:w="2102" w:type="pct"/>
            <w:gridSpan w:val="2"/>
            <w:tcBorders>
              <w:top w:val="none" w:sz="0" w:space="0" w:color="auto"/>
              <w:bottom w:val="none" w:sz="0" w:space="0" w:color="auto"/>
            </w:tcBorders>
          </w:tcPr>
          <w:p w14:paraId="2EED10E5" w14:textId="77777777" w:rsidR="007359A3" w:rsidRDefault="007359A3" w:rsidP="00DC408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CZ.01.1.02/0.0/0.0/</w:t>
            </w:r>
            <w:r>
              <w:rPr>
                <w:rFonts w:asciiTheme="minorHAnsi" w:eastAsia="Times New Roman" w:hAnsiTheme="minorHAnsi" w:cs="Times New Roman"/>
                <w:color w:val="000000"/>
                <w:szCs w:val="18"/>
                <w:lang w:eastAsia="cs-CZ"/>
              </w:rPr>
              <w:br/>
              <w:t>15_002/0003645</w:t>
            </w:r>
          </w:p>
        </w:tc>
      </w:tr>
      <w:tr w:rsidR="007359A3" w14:paraId="12F87C2C" w14:textId="77777777" w:rsidTr="008F599A">
        <w:trPr>
          <w:gridAfter w:val="2"/>
          <w:wAfter w:w="48" w:type="pct"/>
          <w:trHeight w:val="20"/>
        </w:trPr>
        <w:tc>
          <w:tcPr>
            <w:cnfStyle w:val="001000000000" w:firstRow="0" w:lastRow="0" w:firstColumn="1" w:lastColumn="0" w:oddVBand="0" w:evenVBand="0" w:oddHBand="0" w:evenHBand="0" w:firstRowFirstColumn="0" w:firstRowLastColumn="0" w:lastRowFirstColumn="0" w:lastRowLastColumn="0"/>
            <w:tcW w:w="228" w:type="pct"/>
            <w:tcBorders>
              <w:right w:val="none" w:sz="0" w:space="0" w:color="auto"/>
            </w:tcBorders>
            <w:hideMark/>
          </w:tcPr>
          <w:p w14:paraId="454E1891" w14:textId="77777777" w:rsidR="007359A3" w:rsidRPr="00DC408F" w:rsidRDefault="007359A3" w:rsidP="00DC408F">
            <w:pPr>
              <w:spacing w:after="0" w:line="240" w:lineRule="auto"/>
              <w:rPr>
                <w:rFonts w:asciiTheme="minorHAnsi" w:eastAsia="Times New Roman" w:hAnsiTheme="minorHAnsi" w:cs="Times New Roman"/>
                <w:color w:val="000000"/>
                <w:szCs w:val="18"/>
                <w:lang w:eastAsia="cs-CZ"/>
              </w:rPr>
            </w:pPr>
            <w:r w:rsidRPr="00DC408F">
              <w:rPr>
                <w:rFonts w:asciiTheme="minorHAnsi" w:eastAsia="Times New Roman" w:hAnsiTheme="minorHAnsi" w:cs="Times New Roman"/>
                <w:color w:val="000000"/>
                <w:szCs w:val="18"/>
                <w:lang w:eastAsia="cs-CZ"/>
              </w:rPr>
              <w:t>9</w:t>
            </w:r>
          </w:p>
        </w:tc>
        <w:tc>
          <w:tcPr>
            <w:tcW w:w="885" w:type="pct"/>
          </w:tcPr>
          <w:p w14:paraId="6011416C" w14:textId="77777777" w:rsidR="007359A3" w:rsidRDefault="007359A3" w:rsidP="00DC408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Pr>
                <w:rFonts w:asciiTheme="minorHAnsi" w:eastAsia="Times New Roman" w:hAnsiTheme="minorHAnsi" w:cs="Times New Roman"/>
                <w:color w:val="000000"/>
                <w:szCs w:val="18"/>
                <w:lang w:eastAsia="cs-CZ"/>
              </w:rPr>
              <w:t>Slovácké strojírny a.s.</w:t>
            </w:r>
          </w:p>
        </w:tc>
        <w:tc>
          <w:tcPr>
            <w:tcW w:w="1737" w:type="pct"/>
          </w:tcPr>
          <w:p w14:paraId="1107C8C5" w14:textId="77777777" w:rsidR="007359A3" w:rsidRDefault="007359A3" w:rsidP="00DC408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Cs w:val="18"/>
                <w:lang w:eastAsia="cs-CZ"/>
              </w:rPr>
            </w:pPr>
            <w:r w:rsidRPr="005E6A82">
              <w:rPr>
                <w:rFonts w:asciiTheme="minorHAnsi" w:eastAsia="Times New Roman" w:hAnsiTheme="minorHAnsi" w:cs="Times New Roman"/>
                <w:color w:val="000000"/>
                <w:szCs w:val="18"/>
                <w:lang w:eastAsia="cs-CZ"/>
              </w:rPr>
              <w:t>Vytvoření nových výzkumných a vývojových kapacit společnosti Slovácké strojírny, a.s.</w:t>
            </w:r>
          </w:p>
        </w:tc>
        <w:tc>
          <w:tcPr>
            <w:tcW w:w="1" w:type="pct"/>
            <w:gridSpan w:val="2"/>
          </w:tcPr>
          <w:p w14:paraId="72ADDCB2" w14:textId="77777777" w:rsidR="007359A3" w:rsidRPr="004100ED" w:rsidRDefault="007359A3" w:rsidP="00DC408F">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18"/>
              </w:rPr>
            </w:pPr>
            <w:r w:rsidRPr="004100ED">
              <w:rPr>
                <w:rFonts w:eastAsia="Times New Roman" w:cs="Calibri"/>
                <w:color w:val="000000"/>
                <w:szCs w:val="18"/>
              </w:rPr>
              <w:t>CZ.01.1.02/0.0/0.0/</w:t>
            </w:r>
            <w:r>
              <w:rPr>
                <w:rFonts w:eastAsia="Times New Roman" w:cs="Calibri"/>
                <w:color w:val="000000"/>
                <w:szCs w:val="18"/>
              </w:rPr>
              <w:br/>
            </w:r>
            <w:r w:rsidRPr="004100ED">
              <w:rPr>
                <w:rFonts w:eastAsia="Times New Roman" w:cs="Calibri"/>
                <w:color w:val="000000"/>
                <w:szCs w:val="18"/>
              </w:rPr>
              <w:t>15_002/0000007</w:t>
            </w:r>
          </w:p>
        </w:tc>
      </w:tr>
    </w:tbl>
    <w:p w14:paraId="61C05FDA" w14:textId="77777777" w:rsidR="009A7253" w:rsidRDefault="009A7253">
      <w:pPr>
        <w:spacing w:after="0" w:line="240" w:lineRule="auto"/>
        <w:rPr>
          <w:rFonts w:eastAsia="Times New Roman" w:cs="Calibri"/>
          <w:b/>
          <w:color w:val="000000"/>
          <w:lang w:eastAsia="cs-CZ"/>
        </w:rPr>
      </w:pPr>
    </w:p>
    <w:p w14:paraId="2C2A0D0E" w14:textId="77777777" w:rsidR="004B6014" w:rsidRPr="00AC1B2F" w:rsidRDefault="008C613B" w:rsidP="00AC1B2F">
      <w:pPr>
        <w:pStyle w:val="Bntext"/>
        <w:rPr>
          <w:rFonts w:asciiTheme="majorHAnsi" w:hAnsiTheme="majorHAnsi"/>
          <w:b/>
          <w:color w:val="62B5E5"/>
          <w:sz w:val="18"/>
          <w:szCs w:val="18"/>
        </w:rPr>
      </w:pPr>
      <w:r w:rsidRPr="00AC1B2F">
        <w:rPr>
          <w:rFonts w:asciiTheme="majorHAnsi" w:hAnsiTheme="majorHAnsi"/>
          <w:b/>
          <w:color w:val="62B5E5"/>
          <w:sz w:val="18"/>
          <w:szCs w:val="18"/>
        </w:rPr>
        <w:t>Shrnutí z</w:t>
      </w:r>
      <w:r w:rsidR="004B6014" w:rsidRPr="00AC1B2F">
        <w:rPr>
          <w:rFonts w:asciiTheme="majorHAnsi" w:hAnsiTheme="majorHAnsi"/>
          <w:b/>
          <w:color w:val="62B5E5"/>
          <w:sz w:val="18"/>
          <w:szCs w:val="18"/>
        </w:rPr>
        <w:t>jištění z případových studií</w:t>
      </w:r>
    </w:p>
    <w:p w14:paraId="6443AA46" w14:textId="6FCB63D9" w:rsidR="004B6014" w:rsidRDefault="004B6014" w:rsidP="002449AE">
      <w:pPr>
        <w:jc w:val="both"/>
        <w:rPr>
          <w:rFonts w:eastAsia="Times New Roman" w:cs="Calibri"/>
          <w:color w:val="000000"/>
          <w:lang w:eastAsia="cs-CZ"/>
        </w:rPr>
      </w:pPr>
      <w:r>
        <w:rPr>
          <w:rFonts w:eastAsia="Times New Roman" w:cs="Calibri"/>
          <w:color w:val="000000"/>
          <w:lang w:eastAsia="cs-CZ"/>
        </w:rPr>
        <w:t xml:space="preserve">Předmětem případových studií byla </w:t>
      </w:r>
      <w:r w:rsidR="00B951E5">
        <w:rPr>
          <w:rFonts w:eastAsia="Times New Roman" w:cs="Calibri"/>
          <w:color w:val="000000"/>
          <w:lang w:eastAsia="cs-CZ"/>
        </w:rPr>
        <w:t xml:space="preserve">především </w:t>
      </w:r>
      <w:r>
        <w:rPr>
          <w:rFonts w:eastAsia="Times New Roman" w:cs="Calibri"/>
          <w:color w:val="000000"/>
          <w:lang w:eastAsia="cs-CZ"/>
        </w:rPr>
        <w:t xml:space="preserve">identifikace a analýza </w:t>
      </w:r>
      <w:r w:rsidR="008F599A">
        <w:rPr>
          <w:rFonts w:eastAsia="Times New Roman" w:cs="Calibri"/>
          <w:color w:val="000000"/>
          <w:lang w:eastAsia="cs-CZ"/>
        </w:rPr>
        <w:t>očekávaných i </w:t>
      </w:r>
      <w:r w:rsidR="00B951E5">
        <w:rPr>
          <w:rFonts w:eastAsia="Times New Roman" w:cs="Calibri"/>
          <w:color w:val="000000"/>
          <w:lang w:eastAsia="cs-CZ"/>
        </w:rPr>
        <w:t xml:space="preserve">neočekávaných </w:t>
      </w:r>
      <w:r>
        <w:rPr>
          <w:rFonts w:eastAsia="Times New Roman" w:cs="Calibri"/>
          <w:color w:val="000000"/>
          <w:lang w:eastAsia="cs-CZ"/>
        </w:rPr>
        <w:t xml:space="preserve">pozitivních dopadů a negativních efektů podpory. </w:t>
      </w:r>
      <w:r w:rsidR="00FC70DA">
        <w:rPr>
          <w:rFonts w:eastAsia="Times New Roman" w:cs="Calibri"/>
          <w:color w:val="000000"/>
          <w:lang w:eastAsia="cs-CZ"/>
        </w:rPr>
        <w:t>Následující tabulka obsahuje s</w:t>
      </w:r>
      <w:r>
        <w:rPr>
          <w:rFonts w:eastAsia="Times New Roman" w:cs="Calibri"/>
          <w:color w:val="000000"/>
          <w:lang w:eastAsia="cs-CZ"/>
        </w:rPr>
        <w:t>hrnutí zjištění včetně doporučení pro další programové období, která z těchto zjištění vyplývají.</w:t>
      </w:r>
    </w:p>
    <w:tbl>
      <w:tblPr>
        <w:tblStyle w:val="Deloittetable21"/>
        <w:tblW w:w="5000" w:type="pct"/>
        <w:tblLook w:val="04A0" w:firstRow="1" w:lastRow="0" w:firstColumn="1" w:lastColumn="0" w:noHBand="0" w:noVBand="1"/>
      </w:tblPr>
      <w:tblGrid>
        <w:gridCol w:w="1763"/>
        <w:gridCol w:w="6913"/>
      </w:tblGrid>
      <w:tr w:rsidR="004B6014" w:rsidRPr="009C67FD" w14:paraId="50118017" w14:textId="77777777" w:rsidTr="004B6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00B0F0"/>
              <w:left w:val="nil"/>
              <w:bottom w:val="single" w:sz="4" w:space="0" w:color="00B0F0"/>
              <w:right w:val="nil"/>
            </w:tcBorders>
            <w:shd w:val="clear" w:color="auto" w:fill="00B0F0"/>
          </w:tcPr>
          <w:p w14:paraId="12E8379E" w14:textId="77777777" w:rsidR="004B6014" w:rsidRPr="009C67FD" w:rsidRDefault="004B6014" w:rsidP="004B6014">
            <w:pPr>
              <w:pStyle w:val="Bodyodsazene"/>
              <w:spacing w:before="0" w:after="60"/>
              <w:rPr>
                <w:rFonts w:asciiTheme="minorHAnsi" w:hAnsiTheme="minorHAnsi"/>
                <w:color w:val="FFFFFF" w:themeColor="background1"/>
                <w:szCs w:val="18"/>
                <w:lang w:eastAsia="en-US"/>
              </w:rPr>
            </w:pPr>
            <w:r w:rsidRPr="009C67FD">
              <w:rPr>
                <w:rFonts w:asciiTheme="minorHAnsi" w:hAnsiTheme="minorHAnsi"/>
                <w:color w:val="FFFFFF" w:themeColor="background1"/>
                <w:szCs w:val="18"/>
              </w:rPr>
              <w:t>Pozitivně hodnocené aspekty podpory</w:t>
            </w:r>
          </w:p>
          <w:p w14:paraId="71AA695C" w14:textId="77777777" w:rsidR="004B6014" w:rsidRPr="009C67FD" w:rsidRDefault="004B6014" w:rsidP="004B6014">
            <w:pPr>
              <w:pStyle w:val="Bodyodsazene"/>
              <w:spacing w:before="0" w:after="60"/>
              <w:rPr>
                <w:rFonts w:asciiTheme="minorHAnsi" w:hAnsiTheme="minorHAnsi"/>
                <w:b w:val="0"/>
                <w:color w:val="FFFFFF" w:themeColor="background1"/>
                <w:szCs w:val="18"/>
              </w:rPr>
            </w:pPr>
            <w:r w:rsidRPr="009C67FD">
              <w:rPr>
                <w:noProof/>
              </w:rPr>
              <w:drawing>
                <wp:anchor distT="0" distB="0" distL="114300" distR="114300" simplePos="0" relativeHeight="251647488" behindDoc="0" locked="0" layoutInCell="1" allowOverlap="1" wp14:anchorId="2CBA7F6A" wp14:editId="09B6E14C">
                  <wp:simplePos x="0" y="0"/>
                  <wp:positionH relativeFrom="column">
                    <wp:posOffset>400050</wp:posOffset>
                  </wp:positionH>
                  <wp:positionV relativeFrom="paragraph">
                    <wp:posOffset>125730</wp:posOffset>
                  </wp:positionV>
                  <wp:extent cx="467995" cy="511810"/>
                  <wp:effectExtent l="0" t="0" r="8255" b="2540"/>
                  <wp:wrapSquare wrapText="bothSides"/>
                  <wp:docPr id="16" name="Obrázek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995" cy="511810"/>
                          </a:xfrm>
                          <a:prstGeom prst="rect">
                            <a:avLst/>
                          </a:prstGeom>
                          <a:noFill/>
                        </pic:spPr>
                      </pic:pic>
                    </a:graphicData>
                  </a:graphic>
                </wp:anchor>
              </w:drawing>
            </w:r>
          </w:p>
          <w:p w14:paraId="3198DAC5" w14:textId="77777777" w:rsidR="004B6014" w:rsidRPr="009C67FD" w:rsidRDefault="004B6014" w:rsidP="004B6014">
            <w:pPr>
              <w:pStyle w:val="Bodyodsazene"/>
              <w:spacing w:before="0" w:after="60"/>
              <w:rPr>
                <w:rFonts w:asciiTheme="minorHAnsi" w:hAnsiTheme="minorHAnsi" w:cstheme="minorBidi"/>
                <w:b w:val="0"/>
                <w:color w:val="FFFFFF" w:themeColor="background1"/>
                <w:szCs w:val="18"/>
              </w:rPr>
            </w:pPr>
          </w:p>
          <w:p w14:paraId="500D8438" w14:textId="77777777" w:rsidR="004B6014" w:rsidRPr="009C67FD" w:rsidRDefault="004B6014" w:rsidP="004B6014">
            <w:pPr>
              <w:pStyle w:val="Bodyodsazene"/>
              <w:spacing w:before="0" w:after="60"/>
              <w:rPr>
                <w:rFonts w:asciiTheme="minorHAnsi" w:hAnsiTheme="minorHAnsi" w:cstheme="minorBidi"/>
                <w:color w:val="FFFFFF" w:themeColor="background1"/>
                <w:szCs w:val="18"/>
                <w:lang w:eastAsia="en-US"/>
              </w:rPr>
            </w:pPr>
          </w:p>
        </w:tc>
        <w:tc>
          <w:tcPr>
            <w:tcW w:w="3984" w:type="pct"/>
            <w:tcBorders>
              <w:top w:val="single" w:sz="4" w:space="0" w:color="2291D1" w:themeColor="accent3" w:themeShade="BF"/>
              <w:left w:val="nil"/>
              <w:bottom w:val="single" w:sz="4" w:space="0" w:color="00A1DE"/>
              <w:right w:val="nil"/>
            </w:tcBorders>
            <w:shd w:val="clear" w:color="auto" w:fill="FFFFFF" w:themeFill="background1"/>
            <w:hideMark/>
          </w:tcPr>
          <w:p w14:paraId="31962B37" w14:textId="77777777" w:rsidR="004B6014" w:rsidRDefault="001D710C" w:rsidP="004B6014">
            <w:pPr>
              <w:pStyle w:val="Bodyodsazene"/>
              <w:numPr>
                <w:ilvl w:val="0"/>
                <w:numId w:val="22"/>
              </w:numPr>
              <w:spacing w:before="0" w:after="60"/>
              <w:ind w:left="393" w:hanging="283"/>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00000A"/>
                <w:szCs w:val="18"/>
              </w:rPr>
            </w:pPr>
            <w:r>
              <w:rPr>
                <w:rFonts w:asciiTheme="minorHAnsi" w:hAnsiTheme="minorHAnsi" w:cstheme="minorBidi"/>
                <w:b w:val="0"/>
                <w:color w:val="00000A"/>
                <w:szCs w:val="18"/>
              </w:rPr>
              <w:t>P</w:t>
            </w:r>
            <w:r w:rsidR="004B6014" w:rsidRPr="009C67FD">
              <w:rPr>
                <w:rFonts w:asciiTheme="minorHAnsi" w:hAnsiTheme="minorHAnsi" w:cstheme="minorBidi"/>
                <w:b w:val="0"/>
                <w:color w:val="00000A"/>
                <w:szCs w:val="18"/>
              </w:rPr>
              <w:t xml:space="preserve">odpora </w:t>
            </w:r>
            <w:r w:rsidR="00BC29B2">
              <w:rPr>
                <w:rFonts w:asciiTheme="minorHAnsi" w:hAnsiTheme="minorHAnsi" w:cstheme="minorBidi"/>
                <w:b w:val="0"/>
                <w:color w:val="00000A"/>
                <w:szCs w:val="18"/>
              </w:rPr>
              <w:t xml:space="preserve">OP PIK byla pro řadu podniků zcela zásadní pro aktivity v oblasti </w:t>
            </w:r>
            <w:proofErr w:type="spellStart"/>
            <w:r w:rsidR="00BC29B2">
              <w:rPr>
                <w:rFonts w:asciiTheme="minorHAnsi" w:hAnsiTheme="minorHAnsi" w:cstheme="minorBidi"/>
                <w:b w:val="0"/>
                <w:color w:val="00000A"/>
                <w:szCs w:val="18"/>
              </w:rPr>
              <w:t>VaVaI</w:t>
            </w:r>
            <w:proofErr w:type="spellEnd"/>
            <w:r w:rsidR="00BC29B2">
              <w:rPr>
                <w:rFonts w:asciiTheme="minorHAnsi" w:hAnsiTheme="minorHAnsi" w:cstheme="minorBidi"/>
                <w:b w:val="0"/>
                <w:color w:val="00000A"/>
                <w:szCs w:val="18"/>
              </w:rPr>
              <w:t xml:space="preserve">, </w:t>
            </w:r>
            <w:r w:rsidR="004B6014" w:rsidRPr="009C67FD">
              <w:rPr>
                <w:rFonts w:asciiTheme="minorHAnsi" w:hAnsiTheme="minorHAnsi" w:cstheme="minorBidi"/>
                <w:b w:val="0"/>
                <w:color w:val="00000A"/>
                <w:szCs w:val="18"/>
              </w:rPr>
              <w:t xml:space="preserve">urychlila zavedení inovace a uvedení produktu na trh. </w:t>
            </w:r>
            <w:r w:rsidR="00320405">
              <w:rPr>
                <w:rFonts w:asciiTheme="minorHAnsi" w:hAnsiTheme="minorHAnsi" w:cstheme="minorBidi"/>
                <w:b w:val="0"/>
                <w:color w:val="00000A"/>
                <w:szCs w:val="18"/>
              </w:rPr>
              <w:t xml:space="preserve">Zvýšila objem výroby, vedla k multiplikačnímu efektu využití pořízených strojů pro další účely apod. </w:t>
            </w:r>
          </w:p>
          <w:p w14:paraId="6904B2C5" w14:textId="77777777" w:rsidR="00320405" w:rsidRPr="009C67FD" w:rsidRDefault="00320405" w:rsidP="00320405">
            <w:pPr>
              <w:pStyle w:val="Bodyodsazene"/>
              <w:numPr>
                <w:ilvl w:val="0"/>
                <w:numId w:val="22"/>
              </w:numPr>
              <w:spacing w:before="0" w:after="60"/>
              <w:ind w:left="393" w:hanging="283"/>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00000A"/>
                <w:szCs w:val="18"/>
              </w:rPr>
            </w:pPr>
            <w:r w:rsidRPr="009C67FD">
              <w:rPr>
                <w:rFonts w:asciiTheme="minorHAnsi" w:hAnsiTheme="minorHAnsi" w:cstheme="minorBidi"/>
                <w:b w:val="0"/>
                <w:color w:val="00000A"/>
                <w:szCs w:val="18"/>
              </w:rPr>
              <w:t xml:space="preserve">Podpora do určité míry usnadnila expanzi na zahraniční trhy. Vliv podpory OP PIK je však obtížné kvantifikovat, jelikož </w:t>
            </w:r>
            <w:r w:rsidR="002E73CB">
              <w:rPr>
                <w:rFonts w:asciiTheme="minorHAnsi" w:hAnsiTheme="minorHAnsi" w:cstheme="minorBidi"/>
                <w:b w:val="0"/>
                <w:color w:val="00000A"/>
                <w:szCs w:val="18"/>
              </w:rPr>
              <w:t xml:space="preserve">jej </w:t>
            </w:r>
            <w:r w:rsidRPr="009C67FD">
              <w:rPr>
                <w:rFonts w:asciiTheme="minorHAnsi" w:hAnsiTheme="minorHAnsi" w:cstheme="minorBidi"/>
                <w:b w:val="0"/>
                <w:color w:val="00000A"/>
                <w:szCs w:val="18"/>
              </w:rPr>
              <w:t xml:space="preserve">nelze oddělit od celé řady dalších faktorů (marketingových a obchodních strategií, dalších inovací apod.). </w:t>
            </w:r>
          </w:p>
          <w:p w14:paraId="744B2EF1" w14:textId="77777777" w:rsidR="004B6014" w:rsidRPr="009C67FD" w:rsidRDefault="004B6014" w:rsidP="004B6014">
            <w:pPr>
              <w:pStyle w:val="Bodyodsazene"/>
              <w:numPr>
                <w:ilvl w:val="0"/>
                <w:numId w:val="22"/>
              </w:numPr>
              <w:spacing w:before="0" w:after="60"/>
              <w:ind w:left="393" w:hanging="283"/>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00000A"/>
                <w:szCs w:val="18"/>
              </w:rPr>
            </w:pPr>
            <w:r w:rsidRPr="009C67FD">
              <w:rPr>
                <w:rFonts w:asciiTheme="minorHAnsi" w:hAnsiTheme="minorHAnsi" w:cstheme="minorBidi"/>
                <w:b w:val="0"/>
                <w:color w:val="00000A"/>
                <w:szCs w:val="18"/>
              </w:rPr>
              <w:t xml:space="preserve">Dotační podpora určená na </w:t>
            </w:r>
            <w:r w:rsidR="001D710C">
              <w:rPr>
                <w:rFonts w:asciiTheme="minorHAnsi" w:hAnsiTheme="minorHAnsi" w:cstheme="minorBidi"/>
                <w:b w:val="0"/>
                <w:color w:val="00000A"/>
                <w:szCs w:val="18"/>
              </w:rPr>
              <w:t>nákup technologií pomáhá podnikům</w:t>
            </w:r>
            <w:r w:rsidRPr="009C67FD">
              <w:rPr>
                <w:rFonts w:asciiTheme="minorHAnsi" w:hAnsiTheme="minorHAnsi" w:cstheme="minorBidi"/>
                <w:b w:val="0"/>
                <w:color w:val="00000A"/>
                <w:szCs w:val="18"/>
              </w:rPr>
              <w:t xml:space="preserve"> zvyšovat objem výroby, </w:t>
            </w:r>
            <w:r w:rsidR="001D710C">
              <w:rPr>
                <w:rFonts w:asciiTheme="minorHAnsi" w:hAnsiTheme="minorHAnsi" w:cstheme="minorBidi"/>
                <w:b w:val="0"/>
                <w:color w:val="00000A"/>
                <w:szCs w:val="18"/>
              </w:rPr>
              <w:t xml:space="preserve">případně </w:t>
            </w:r>
            <w:r w:rsidR="008F599A">
              <w:rPr>
                <w:rFonts w:asciiTheme="minorHAnsi" w:hAnsiTheme="minorHAnsi" w:cstheme="minorBidi"/>
                <w:b w:val="0"/>
                <w:color w:val="00000A"/>
                <w:szCs w:val="18"/>
              </w:rPr>
              <w:t>navyšovat počet zaměstnanců a </w:t>
            </w:r>
            <w:r w:rsidRPr="009C67FD">
              <w:rPr>
                <w:rFonts w:asciiTheme="minorHAnsi" w:hAnsiTheme="minorHAnsi" w:cstheme="minorBidi"/>
                <w:b w:val="0"/>
                <w:color w:val="00000A"/>
                <w:szCs w:val="18"/>
              </w:rPr>
              <w:t xml:space="preserve">jejich odbornost. V zákonných odvodech, sociálním a zdravotním pojištění je tak zajištěná rychlá </w:t>
            </w:r>
            <w:r w:rsidR="001D710C">
              <w:rPr>
                <w:rFonts w:asciiTheme="minorHAnsi" w:hAnsiTheme="minorHAnsi" w:cstheme="minorBidi"/>
                <w:b w:val="0"/>
                <w:color w:val="00000A"/>
                <w:szCs w:val="18"/>
              </w:rPr>
              <w:t>„</w:t>
            </w:r>
            <w:r w:rsidRPr="009C67FD">
              <w:rPr>
                <w:rFonts w:asciiTheme="minorHAnsi" w:hAnsiTheme="minorHAnsi" w:cstheme="minorBidi"/>
                <w:b w:val="0"/>
                <w:color w:val="00000A"/>
                <w:szCs w:val="18"/>
              </w:rPr>
              <w:t xml:space="preserve">návratnost </w:t>
            </w:r>
            <w:r w:rsidR="001D710C">
              <w:rPr>
                <w:rFonts w:asciiTheme="minorHAnsi" w:hAnsiTheme="minorHAnsi" w:cstheme="minorBidi"/>
                <w:b w:val="0"/>
                <w:color w:val="00000A"/>
                <w:szCs w:val="18"/>
              </w:rPr>
              <w:t>dotace“ do státního rozpočtu.</w:t>
            </w:r>
            <w:r w:rsidRPr="009C67FD">
              <w:rPr>
                <w:rFonts w:asciiTheme="minorHAnsi" w:hAnsiTheme="minorHAnsi" w:cstheme="minorBidi"/>
                <w:b w:val="0"/>
                <w:color w:val="00000A"/>
                <w:szCs w:val="18"/>
              </w:rPr>
              <w:t xml:space="preserve"> </w:t>
            </w:r>
          </w:p>
          <w:p w14:paraId="0354CBAA" w14:textId="77777777" w:rsidR="004B6014" w:rsidRPr="009C67FD" w:rsidRDefault="001D710C" w:rsidP="004B6014">
            <w:pPr>
              <w:pStyle w:val="Bodyodsazene"/>
              <w:numPr>
                <w:ilvl w:val="0"/>
                <w:numId w:val="22"/>
              </w:numPr>
              <w:spacing w:before="0" w:after="60"/>
              <w:ind w:left="393" w:hanging="283"/>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00000A"/>
                <w:szCs w:val="18"/>
              </w:rPr>
            </w:pPr>
            <w:r>
              <w:rPr>
                <w:rFonts w:asciiTheme="minorHAnsi" w:hAnsiTheme="minorHAnsi" w:cstheme="minorBidi"/>
                <w:b w:val="0"/>
                <w:color w:val="00000A"/>
                <w:szCs w:val="18"/>
              </w:rPr>
              <w:t>P</w:t>
            </w:r>
            <w:r w:rsidR="004B6014" w:rsidRPr="009C67FD">
              <w:rPr>
                <w:rFonts w:asciiTheme="minorHAnsi" w:hAnsiTheme="minorHAnsi" w:cstheme="minorBidi"/>
                <w:b w:val="0"/>
                <w:color w:val="00000A"/>
                <w:szCs w:val="18"/>
              </w:rPr>
              <w:t xml:space="preserve">ozitivně </w:t>
            </w:r>
            <w:r>
              <w:rPr>
                <w:rFonts w:asciiTheme="minorHAnsi" w:hAnsiTheme="minorHAnsi" w:cstheme="minorBidi"/>
                <w:b w:val="0"/>
                <w:color w:val="00000A"/>
                <w:szCs w:val="18"/>
              </w:rPr>
              <w:t xml:space="preserve">byla hodnocena </w:t>
            </w:r>
            <w:r w:rsidR="004B6014" w:rsidRPr="009C67FD">
              <w:rPr>
                <w:rFonts w:asciiTheme="minorHAnsi" w:hAnsiTheme="minorHAnsi" w:cstheme="minorBidi"/>
                <w:b w:val="0"/>
                <w:color w:val="00000A"/>
                <w:szCs w:val="18"/>
              </w:rPr>
              <w:t>možnost kontroly postupu při výběru dodavatele, včetně zadávací dokumentace výběrových řízení zprostředkujícím subjektem</w:t>
            </w:r>
            <w:r>
              <w:rPr>
                <w:rFonts w:asciiTheme="minorHAnsi" w:hAnsiTheme="minorHAnsi" w:cstheme="minorBidi"/>
                <w:b w:val="0"/>
                <w:color w:val="00000A"/>
                <w:szCs w:val="18"/>
              </w:rPr>
              <w:t xml:space="preserve"> (API)</w:t>
            </w:r>
            <w:r w:rsidR="004B6014" w:rsidRPr="009C67FD">
              <w:rPr>
                <w:rFonts w:asciiTheme="minorHAnsi" w:hAnsiTheme="minorHAnsi" w:cstheme="minorBidi"/>
                <w:b w:val="0"/>
                <w:color w:val="00000A"/>
                <w:szCs w:val="18"/>
              </w:rPr>
              <w:t xml:space="preserve">. Tuto možnost využívají </w:t>
            </w:r>
            <w:r>
              <w:rPr>
                <w:rFonts w:asciiTheme="minorHAnsi" w:hAnsiTheme="minorHAnsi" w:cstheme="minorBidi"/>
                <w:b w:val="0"/>
                <w:color w:val="00000A"/>
                <w:szCs w:val="18"/>
              </w:rPr>
              <w:t xml:space="preserve">podniky </w:t>
            </w:r>
            <w:r w:rsidR="008F599A">
              <w:rPr>
                <w:rFonts w:asciiTheme="minorHAnsi" w:hAnsiTheme="minorHAnsi" w:cstheme="minorBidi"/>
                <w:b w:val="0"/>
                <w:color w:val="00000A"/>
                <w:szCs w:val="18"/>
              </w:rPr>
              <w:t>i u </w:t>
            </w:r>
            <w:r w:rsidR="004B6014" w:rsidRPr="009C67FD">
              <w:rPr>
                <w:rFonts w:asciiTheme="minorHAnsi" w:hAnsiTheme="minorHAnsi" w:cstheme="minorBidi"/>
                <w:b w:val="0"/>
                <w:color w:val="00000A"/>
                <w:szCs w:val="18"/>
              </w:rPr>
              <w:t xml:space="preserve">zakázek, které nejsou povinni konzultovat. Přesto zde panuje nejistota, </w:t>
            </w:r>
            <w:r w:rsidR="002E73CB">
              <w:rPr>
                <w:rFonts w:asciiTheme="minorHAnsi" w:hAnsiTheme="minorHAnsi" w:cstheme="minorBidi"/>
                <w:b w:val="0"/>
                <w:color w:val="00000A"/>
                <w:szCs w:val="18"/>
              </w:rPr>
              <w:t>budou</w:t>
            </w:r>
            <w:r w:rsidR="004B6014" w:rsidRPr="009C67FD">
              <w:rPr>
                <w:rFonts w:asciiTheme="minorHAnsi" w:hAnsiTheme="minorHAnsi" w:cstheme="minorBidi"/>
                <w:b w:val="0"/>
                <w:color w:val="00000A"/>
                <w:szCs w:val="18"/>
              </w:rPr>
              <w:t xml:space="preserve">-li toto potvrzení zprostředkujícího subjektu respektovat i další kontrolní orgány při případných kontrolách, typicky NKÚ nebo MF ČR. </w:t>
            </w:r>
          </w:p>
          <w:p w14:paraId="6715F2D3" w14:textId="77777777" w:rsidR="004B6014" w:rsidRPr="009C67FD" w:rsidRDefault="001D710C" w:rsidP="006B6F69">
            <w:pPr>
              <w:pStyle w:val="Bodyodsazene"/>
              <w:numPr>
                <w:ilvl w:val="0"/>
                <w:numId w:val="22"/>
              </w:numPr>
              <w:spacing w:before="0" w:after="60"/>
              <w:ind w:left="393" w:hanging="283"/>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b w:val="0"/>
                <w:color w:val="00000A"/>
                <w:szCs w:val="18"/>
              </w:rPr>
              <w:t>Podpora má pozitivní vliv na redukci regionálních disparit,</w:t>
            </w:r>
            <w:r w:rsidR="004B6014" w:rsidRPr="009C67FD">
              <w:rPr>
                <w:rFonts w:asciiTheme="minorHAnsi" w:hAnsiTheme="minorHAnsi" w:cstheme="minorBidi"/>
                <w:b w:val="0"/>
                <w:color w:val="00000A"/>
                <w:szCs w:val="18"/>
              </w:rPr>
              <w:t xml:space="preserve"> zvyšuje produkci s</w:t>
            </w:r>
            <w:r>
              <w:rPr>
                <w:rFonts w:asciiTheme="minorHAnsi" w:hAnsiTheme="minorHAnsi" w:cstheme="minorBidi"/>
                <w:b w:val="0"/>
                <w:color w:val="00000A"/>
                <w:szCs w:val="18"/>
              </w:rPr>
              <w:t> větší přidanou hodnotou v krajích, které</w:t>
            </w:r>
            <w:r w:rsidR="004B6014" w:rsidRPr="009C67FD">
              <w:rPr>
                <w:rFonts w:asciiTheme="minorHAnsi" w:hAnsiTheme="minorHAnsi" w:cstheme="minorBidi"/>
                <w:b w:val="0"/>
                <w:color w:val="00000A"/>
                <w:szCs w:val="18"/>
              </w:rPr>
              <w:t xml:space="preserve"> j</w:t>
            </w:r>
            <w:r>
              <w:rPr>
                <w:rFonts w:asciiTheme="minorHAnsi" w:hAnsiTheme="minorHAnsi" w:cstheme="minorBidi"/>
                <w:b w:val="0"/>
                <w:color w:val="00000A"/>
                <w:szCs w:val="18"/>
              </w:rPr>
              <w:t>sou</w:t>
            </w:r>
            <w:r w:rsidR="004B6014" w:rsidRPr="009C67FD">
              <w:rPr>
                <w:rFonts w:asciiTheme="minorHAnsi" w:hAnsiTheme="minorHAnsi" w:cstheme="minorBidi"/>
                <w:b w:val="0"/>
                <w:color w:val="00000A"/>
                <w:szCs w:val="18"/>
              </w:rPr>
              <w:t xml:space="preserve"> jinak závisl</w:t>
            </w:r>
            <w:r>
              <w:rPr>
                <w:rFonts w:asciiTheme="minorHAnsi" w:hAnsiTheme="minorHAnsi" w:cstheme="minorBidi"/>
                <w:b w:val="0"/>
                <w:color w:val="00000A"/>
                <w:szCs w:val="18"/>
              </w:rPr>
              <w:t>é</w:t>
            </w:r>
            <w:r w:rsidR="004B6014" w:rsidRPr="009C67FD">
              <w:rPr>
                <w:rFonts w:asciiTheme="minorHAnsi" w:hAnsiTheme="minorHAnsi" w:cstheme="minorBidi"/>
                <w:b w:val="0"/>
                <w:color w:val="00000A"/>
                <w:szCs w:val="18"/>
              </w:rPr>
              <w:t xml:space="preserve"> na </w:t>
            </w:r>
            <w:r w:rsidR="006B6F69">
              <w:rPr>
                <w:rFonts w:asciiTheme="minorHAnsi" w:hAnsiTheme="minorHAnsi" w:cstheme="minorBidi"/>
                <w:b w:val="0"/>
                <w:color w:val="00000A"/>
                <w:szCs w:val="18"/>
              </w:rPr>
              <w:t xml:space="preserve">produkci s nižší přidanou hodnotou. </w:t>
            </w:r>
            <w:r w:rsidR="004B6014" w:rsidRPr="009C67FD">
              <w:rPr>
                <w:rFonts w:asciiTheme="minorHAnsi" w:hAnsiTheme="minorHAnsi" w:cstheme="minorBidi"/>
                <w:b w:val="0"/>
                <w:color w:val="00000A"/>
                <w:szCs w:val="18"/>
              </w:rPr>
              <w:t>Tím se nepřímo podílí na zvyšování vzdělanostní struktury v kraji, atraktivity regionu a díky vyšším platům i životní úrovni místních zaměstnanců.</w:t>
            </w:r>
            <w:r w:rsidR="004B6014" w:rsidRPr="009C67FD">
              <w:rPr>
                <w:rFonts w:asciiTheme="minorHAnsi" w:hAnsiTheme="minorHAnsi" w:cstheme="minorBidi"/>
                <w:color w:val="00000A"/>
                <w:szCs w:val="18"/>
              </w:rPr>
              <w:t xml:space="preserve"> </w:t>
            </w:r>
          </w:p>
        </w:tc>
      </w:tr>
      <w:tr w:rsidR="004B6014" w:rsidRPr="009C67FD" w14:paraId="47523AEE" w14:textId="77777777" w:rsidTr="004B6014">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00B0F0"/>
              <w:left w:val="nil"/>
              <w:bottom w:val="single" w:sz="4" w:space="0" w:color="00B0F0"/>
              <w:right w:val="nil"/>
            </w:tcBorders>
            <w:shd w:val="clear" w:color="auto" w:fill="00B0F0"/>
          </w:tcPr>
          <w:p w14:paraId="4A6BD15D" w14:textId="77777777" w:rsidR="004B6014" w:rsidRPr="009C67FD" w:rsidRDefault="004B6014" w:rsidP="004B6014">
            <w:pPr>
              <w:pStyle w:val="Bodyodsazene"/>
              <w:spacing w:before="0" w:after="60"/>
              <w:rPr>
                <w:rFonts w:asciiTheme="minorHAnsi" w:hAnsiTheme="minorHAnsi" w:cstheme="minorBidi"/>
                <w:b/>
                <w:color w:val="FFFFFF" w:themeColor="background1"/>
                <w:szCs w:val="18"/>
                <w:lang w:eastAsia="en-US"/>
              </w:rPr>
            </w:pPr>
            <w:r w:rsidRPr="009C67FD">
              <w:rPr>
                <w:noProof/>
              </w:rPr>
              <w:drawing>
                <wp:anchor distT="0" distB="0" distL="114300" distR="114300" simplePos="0" relativeHeight="251648512" behindDoc="0" locked="0" layoutInCell="1" allowOverlap="1" wp14:anchorId="47EDE7A4" wp14:editId="0CDC5FEA">
                  <wp:simplePos x="0" y="0"/>
                  <wp:positionH relativeFrom="column">
                    <wp:posOffset>323850</wp:posOffset>
                  </wp:positionH>
                  <wp:positionV relativeFrom="paragraph">
                    <wp:posOffset>675640</wp:posOffset>
                  </wp:positionV>
                  <wp:extent cx="467995" cy="511810"/>
                  <wp:effectExtent l="0" t="0" r="8255" b="2540"/>
                  <wp:wrapTight wrapText="bothSides">
                    <wp:wrapPolygon edited="0">
                      <wp:start x="1758" y="0"/>
                      <wp:lineTo x="0" y="4824"/>
                      <wp:lineTo x="0" y="13667"/>
                      <wp:lineTo x="1758" y="20903"/>
                      <wp:lineTo x="6155" y="20903"/>
                      <wp:lineTo x="7034" y="20903"/>
                      <wp:lineTo x="21102" y="13667"/>
                      <wp:lineTo x="21102" y="804"/>
                      <wp:lineTo x="20223" y="0"/>
                      <wp:lineTo x="1758" y="0"/>
                    </wp:wrapPolygon>
                  </wp:wrapTight>
                  <wp:docPr id="17" name="Obrázek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995" cy="511810"/>
                          </a:xfrm>
                          <a:prstGeom prst="rect">
                            <a:avLst/>
                          </a:prstGeom>
                          <a:noFill/>
                        </pic:spPr>
                      </pic:pic>
                    </a:graphicData>
                  </a:graphic>
                </wp:anchor>
              </w:drawing>
            </w:r>
            <w:r w:rsidRPr="009C67FD">
              <w:rPr>
                <w:rFonts w:asciiTheme="minorHAnsi" w:hAnsiTheme="minorHAnsi" w:cstheme="minorBidi"/>
                <w:b/>
                <w:color w:val="FFFFFF" w:themeColor="background1"/>
                <w:szCs w:val="18"/>
              </w:rPr>
              <w:t>Negativně hodnocené aspekty podpory</w:t>
            </w:r>
          </w:p>
          <w:p w14:paraId="254BC2EA" w14:textId="77777777" w:rsidR="004B6014" w:rsidRPr="009C67FD" w:rsidRDefault="004B6014" w:rsidP="004B6014">
            <w:pPr>
              <w:pStyle w:val="Bodyodsazene"/>
              <w:spacing w:before="0" w:after="60"/>
              <w:rPr>
                <w:rFonts w:asciiTheme="minorHAnsi" w:hAnsiTheme="minorHAnsi" w:cstheme="minorBidi"/>
                <w:b/>
                <w:color w:val="FFFFFF" w:themeColor="background1"/>
                <w:szCs w:val="18"/>
              </w:rPr>
            </w:pPr>
            <w:r w:rsidRPr="009C67FD">
              <w:rPr>
                <w:noProof/>
              </w:rPr>
              <w:t xml:space="preserve"> </w:t>
            </w:r>
          </w:p>
          <w:p w14:paraId="66815496" w14:textId="77777777" w:rsidR="004B6014" w:rsidRPr="009C67FD" w:rsidRDefault="004B6014" w:rsidP="004B6014">
            <w:pPr>
              <w:pStyle w:val="Bodyodsazene"/>
              <w:spacing w:before="0" w:after="60"/>
              <w:rPr>
                <w:rFonts w:asciiTheme="minorHAnsi" w:hAnsiTheme="minorHAnsi" w:cstheme="minorBidi"/>
                <w:b/>
                <w:color w:val="FFFFFF" w:themeColor="background1"/>
                <w:szCs w:val="18"/>
                <w:lang w:eastAsia="en-US"/>
              </w:rPr>
            </w:pPr>
          </w:p>
        </w:tc>
        <w:tc>
          <w:tcPr>
            <w:tcW w:w="3984" w:type="pct"/>
            <w:tcBorders>
              <w:top w:val="single" w:sz="4" w:space="0" w:color="00A1DE"/>
              <w:left w:val="nil"/>
              <w:bottom w:val="single" w:sz="4" w:space="0" w:color="00A1DE"/>
              <w:right w:val="nil"/>
            </w:tcBorders>
            <w:hideMark/>
          </w:tcPr>
          <w:p w14:paraId="0A96E692" w14:textId="77777777" w:rsidR="004B6014" w:rsidRDefault="00233AFE"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 xml:space="preserve">Proces hodnocení a schvalování projektových žádostí se pro řadu příjemců jeví </w:t>
            </w:r>
            <w:r w:rsidR="002E73CB">
              <w:rPr>
                <w:rFonts w:asciiTheme="minorHAnsi" w:hAnsiTheme="minorHAnsi" w:cstheme="minorBidi"/>
                <w:color w:val="00000A"/>
                <w:szCs w:val="18"/>
              </w:rPr>
              <w:t xml:space="preserve">jako </w:t>
            </w:r>
            <w:r>
              <w:rPr>
                <w:rFonts w:asciiTheme="minorHAnsi" w:hAnsiTheme="minorHAnsi" w:cstheme="minorBidi"/>
                <w:color w:val="00000A"/>
                <w:szCs w:val="18"/>
              </w:rPr>
              <w:t>n</w:t>
            </w:r>
            <w:r w:rsidR="004B6014" w:rsidRPr="009C67FD">
              <w:rPr>
                <w:rFonts w:asciiTheme="minorHAnsi" w:hAnsiTheme="minorHAnsi" w:cstheme="minorBidi"/>
                <w:color w:val="00000A"/>
                <w:szCs w:val="18"/>
              </w:rPr>
              <w:t>etransparentní</w:t>
            </w:r>
            <w:r>
              <w:rPr>
                <w:rFonts w:asciiTheme="minorHAnsi" w:hAnsiTheme="minorHAnsi" w:cstheme="minorBidi"/>
                <w:color w:val="00000A"/>
                <w:szCs w:val="18"/>
              </w:rPr>
              <w:t>,</w:t>
            </w:r>
            <w:r w:rsidR="008F599A">
              <w:rPr>
                <w:rFonts w:asciiTheme="minorHAnsi" w:hAnsiTheme="minorHAnsi" w:cstheme="minorBidi"/>
                <w:color w:val="00000A"/>
                <w:szCs w:val="18"/>
              </w:rPr>
              <w:t xml:space="preserve"> neumožňují</w:t>
            </w:r>
            <w:r w:rsidR="004B6014" w:rsidRPr="009C67FD">
              <w:rPr>
                <w:rFonts w:asciiTheme="minorHAnsi" w:hAnsiTheme="minorHAnsi" w:cstheme="minorBidi"/>
                <w:color w:val="00000A"/>
                <w:szCs w:val="18"/>
              </w:rPr>
              <w:t xml:space="preserve"> odvolání proti posudkům hodnotitelů. </w:t>
            </w:r>
            <w:r>
              <w:rPr>
                <w:rFonts w:asciiTheme="minorHAnsi" w:hAnsiTheme="minorHAnsi" w:cstheme="minorBidi"/>
                <w:color w:val="00000A"/>
                <w:szCs w:val="18"/>
              </w:rPr>
              <w:t xml:space="preserve">Pravidla hodnocení nejsou </w:t>
            </w:r>
            <w:r w:rsidR="00C405D0">
              <w:rPr>
                <w:rFonts w:asciiTheme="minorHAnsi" w:hAnsiTheme="minorHAnsi" w:cstheme="minorBidi"/>
                <w:color w:val="00000A"/>
                <w:szCs w:val="18"/>
              </w:rPr>
              <w:t xml:space="preserve">příjemcům mnohdy </w:t>
            </w:r>
            <w:r>
              <w:rPr>
                <w:rFonts w:asciiTheme="minorHAnsi" w:hAnsiTheme="minorHAnsi" w:cstheme="minorBidi"/>
                <w:color w:val="00000A"/>
                <w:szCs w:val="18"/>
              </w:rPr>
              <w:t xml:space="preserve">jasná a mohou podléhat subjektivním výkladům hodnotitelů, kteří </w:t>
            </w:r>
            <w:r w:rsidR="008F599A">
              <w:rPr>
                <w:rFonts w:asciiTheme="minorHAnsi" w:hAnsiTheme="minorHAnsi" w:cstheme="minorBidi"/>
                <w:color w:val="00000A"/>
                <w:szCs w:val="18"/>
              </w:rPr>
              <w:t xml:space="preserve">dle názoru respondentů </w:t>
            </w:r>
            <w:r>
              <w:rPr>
                <w:rFonts w:asciiTheme="minorHAnsi" w:hAnsiTheme="minorHAnsi" w:cstheme="minorBidi"/>
                <w:color w:val="00000A"/>
                <w:szCs w:val="18"/>
              </w:rPr>
              <w:t xml:space="preserve">nemusí </w:t>
            </w:r>
            <w:r w:rsidR="00C405D0">
              <w:rPr>
                <w:rFonts w:asciiTheme="minorHAnsi" w:hAnsiTheme="minorHAnsi" w:cstheme="minorBidi"/>
                <w:color w:val="00000A"/>
                <w:szCs w:val="18"/>
              </w:rPr>
              <w:t xml:space="preserve">mít </w:t>
            </w:r>
            <w:r>
              <w:rPr>
                <w:rFonts w:asciiTheme="minorHAnsi" w:hAnsiTheme="minorHAnsi" w:cstheme="minorBidi"/>
                <w:color w:val="00000A"/>
                <w:szCs w:val="18"/>
              </w:rPr>
              <w:t xml:space="preserve">vždy </w:t>
            </w:r>
            <w:r w:rsidR="00C405D0">
              <w:rPr>
                <w:rFonts w:asciiTheme="minorHAnsi" w:hAnsiTheme="minorHAnsi" w:cstheme="minorBidi"/>
                <w:color w:val="00000A"/>
                <w:szCs w:val="18"/>
              </w:rPr>
              <w:t xml:space="preserve">potřebnou </w:t>
            </w:r>
            <w:r w:rsidR="008F599A">
              <w:rPr>
                <w:rFonts w:asciiTheme="minorHAnsi" w:hAnsiTheme="minorHAnsi" w:cstheme="minorBidi"/>
                <w:color w:val="00000A"/>
                <w:szCs w:val="18"/>
              </w:rPr>
              <w:t xml:space="preserve">detailní znalost odvětví a </w:t>
            </w:r>
            <w:r w:rsidR="00C405D0">
              <w:rPr>
                <w:rFonts w:asciiTheme="minorHAnsi" w:hAnsiTheme="minorHAnsi" w:cstheme="minorBidi"/>
                <w:color w:val="00000A"/>
                <w:szCs w:val="18"/>
              </w:rPr>
              <w:t>odbornost a hodnotí žádos</w:t>
            </w:r>
            <w:r w:rsidR="008F599A">
              <w:rPr>
                <w:rFonts w:asciiTheme="minorHAnsi" w:hAnsiTheme="minorHAnsi" w:cstheme="minorBidi"/>
                <w:color w:val="00000A"/>
                <w:szCs w:val="18"/>
              </w:rPr>
              <w:t>ti spíše z pohledu formálních a </w:t>
            </w:r>
            <w:r w:rsidR="00C405D0">
              <w:rPr>
                <w:rFonts w:asciiTheme="minorHAnsi" w:hAnsiTheme="minorHAnsi" w:cstheme="minorBidi"/>
                <w:color w:val="00000A"/>
                <w:szCs w:val="18"/>
              </w:rPr>
              <w:t xml:space="preserve">ekonomických náležitostí. </w:t>
            </w:r>
          </w:p>
          <w:p w14:paraId="5A182DFA" w14:textId="77777777" w:rsidR="004B6014" w:rsidRPr="004726BF" w:rsidRDefault="00823A86" w:rsidP="004726BF">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Nastavená pravidla čerpání dotace nekorespondovala s podnikatelským plánem a zkušenostmi podniku. Neumožňovala dostatečnou flexibilitu a již projektový plán se musel přizpůsobit předem nastaveným dotačním podmínkám (např. předepsaná délka a frekvence etap projektu).</w:t>
            </w:r>
            <w:r w:rsidR="004C1A4B">
              <w:rPr>
                <w:rFonts w:asciiTheme="minorHAnsi" w:hAnsiTheme="minorHAnsi" w:cstheme="minorBidi"/>
                <w:color w:val="00000A"/>
                <w:szCs w:val="18"/>
              </w:rPr>
              <w:t xml:space="preserve"> </w:t>
            </w:r>
            <w:r w:rsidR="004726BF" w:rsidRPr="009C67FD">
              <w:rPr>
                <w:rFonts w:asciiTheme="minorHAnsi" w:hAnsiTheme="minorHAnsi" w:cstheme="minorBidi"/>
                <w:color w:val="00000A"/>
                <w:szCs w:val="18"/>
              </w:rPr>
              <w:t>Nejasnost nebo příliš časté změny v</w:t>
            </w:r>
            <w:r w:rsidR="004726BF">
              <w:rPr>
                <w:rFonts w:asciiTheme="minorHAnsi" w:hAnsiTheme="minorHAnsi" w:cstheme="minorBidi"/>
                <w:color w:val="00000A"/>
                <w:szCs w:val="18"/>
              </w:rPr>
              <w:t> </w:t>
            </w:r>
            <w:r w:rsidR="004726BF" w:rsidRPr="009C67FD">
              <w:rPr>
                <w:rFonts w:asciiTheme="minorHAnsi" w:hAnsiTheme="minorHAnsi" w:cstheme="minorBidi"/>
                <w:color w:val="00000A"/>
                <w:szCs w:val="18"/>
              </w:rPr>
              <w:t>pravidlech</w:t>
            </w:r>
            <w:r w:rsidR="004726BF">
              <w:rPr>
                <w:rFonts w:asciiTheme="minorHAnsi" w:hAnsiTheme="minorHAnsi" w:cstheme="minorBidi"/>
                <w:color w:val="00000A"/>
                <w:szCs w:val="18"/>
              </w:rPr>
              <w:t xml:space="preserve"> podpory a metodických materiálech,</w:t>
            </w:r>
            <w:r w:rsidR="004726BF" w:rsidRPr="009C67FD">
              <w:rPr>
                <w:rFonts w:asciiTheme="minorHAnsi" w:hAnsiTheme="minorHAnsi" w:cstheme="minorBidi"/>
                <w:color w:val="00000A"/>
                <w:szCs w:val="18"/>
              </w:rPr>
              <w:t xml:space="preserve"> nejednotnost jejich výkladu v čase a odlišnost</w:t>
            </w:r>
            <w:r w:rsidR="004726BF">
              <w:rPr>
                <w:rFonts w:asciiTheme="minorHAnsi" w:hAnsiTheme="minorHAnsi" w:cstheme="minorBidi"/>
                <w:color w:val="00000A"/>
                <w:szCs w:val="18"/>
              </w:rPr>
              <w:t>i</w:t>
            </w:r>
            <w:r w:rsidR="004726BF" w:rsidRPr="009C67FD">
              <w:rPr>
                <w:rFonts w:asciiTheme="minorHAnsi" w:hAnsiTheme="minorHAnsi" w:cstheme="minorBidi"/>
                <w:color w:val="00000A"/>
                <w:szCs w:val="18"/>
              </w:rPr>
              <w:t xml:space="preserve"> v</w:t>
            </w:r>
            <w:r w:rsidR="004726BF">
              <w:rPr>
                <w:rFonts w:asciiTheme="minorHAnsi" w:hAnsiTheme="minorHAnsi" w:cstheme="minorBidi"/>
                <w:color w:val="00000A"/>
                <w:szCs w:val="18"/>
              </w:rPr>
              <w:t xml:space="preserve"> jejich </w:t>
            </w:r>
            <w:r w:rsidR="004726BF" w:rsidRPr="009C67FD">
              <w:rPr>
                <w:rFonts w:asciiTheme="minorHAnsi" w:hAnsiTheme="minorHAnsi" w:cstheme="minorBidi"/>
                <w:color w:val="00000A"/>
                <w:szCs w:val="18"/>
              </w:rPr>
              <w:t xml:space="preserve">aplikaci různými kontrolními orgány (např. ŘO, MF ČR, NKÚ atd.) </w:t>
            </w:r>
            <w:r w:rsidR="004726BF">
              <w:rPr>
                <w:rFonts w:asciiTheme="minorHAnsi" w:hAnsiTheme="minorHAnsi" w:cstheme="minorBidi"/>
                <w:color w:val="00000A"/>
                <w:szCs w:val="18"/>
              </w:rPr>
              <w:t xml:space="preserve">zapříčiňují </w:t>
            </w:r>
            <w:r w:rsidR="004726BF" w:rsidRPr="009C67FD">
              <w:rPr>
                <w:rFonts w:asciiTheme="minorHAnsi" w:hAnsiTheme="minorHAnsi" w:cstheme="minorBidi"/>
                <w:color w:val="00000A"/>
                <w:szCs w:val="18"/>
              </w:rPr>
              <w:t>nejistot</w:t>
            </w:r>
            <w:r w:rsidR="004726BF">
              <w:rPr>
                <w:rFonts w:asciiTheme="minorHAnsi" w:hAnsiTheme="minorHAnsi" w:cstheme="minorBidi"/>
                <w:color w:val="00000A"/>
                <w:szCs w:val="18"/>
              </w:rPr>
              <w:t>u</w:t>
            </w:r>
            <w:r w:rsidR="004726BF" w:rsidRPr="009C67FD">
              <w:rPr>
                <w:rFonts w:asciiTheme="minorHAnsi" w:hAnsiTheme="minorHAnsi" w:cstheme="minorBidi"/>
                <w:color w:val="00000A"/>
                <w:szCs w:val="18"/>
              </w:rPr>
              <w:t xml:space="preserve"> a obav</w:t>
            </w:r>
            <w:r w:rsidR="004726BF">
              <w:rPr>
                <w:rFonts w:asciiTheme="minorHAnsi" w:hAnsiTheme="minorHAnsi" w:cstheme="minorBidi"/>
                <w:color w:val="00000A"/>
                <w:szCs w:val="18"/>
              </w:rPr>
              <w:t>u</w:t>
            </w:r>
            <w:r w:rsidR="004726BF" w:rsidRPr="009C67FD">
              <w:rPr>
                <w:rFonts w:asciiTheme="minorHAnsi" w:hAnsiTheme="minorHAnsi" w:cstheme="minorBidi"/>
                <w:color w:val="00000A"/>
                <w:szCs w:val="18"/>
              </w:rPr>
              <w:t xml:space="preserve"> z auditních kontrol a následného vracení dotace</w:t>
            </w:r>
            <w:r w:rsidR="004726BF">
              <w:rPr>
                <w:rFonts w:asciiTheme="minorHAnsi" w:hAnsiTheme="minorHAnsi" w:cstheme="minorBidi"/>
                <w:color w:val="00000A"/>
                <w:szCs w:val="18"/>
              </w:rPr>
              <w:t xml:space="preserve"> a </w:t>
            </w:r>
            <w:r w:rsidR="004B6014" w:rsidRPr="004726BF">
              <w:rPr>
                <w:rFonts w:asciiTheme="minorHAnsi" w:hAnsiTheme="minorHAnsi" w:cstheme="minorBidi"/>
                <w:color w:val="00000A"/>
                <w:szCs w:val="18"/>
              </w:rPr>
              <w:t>vedou ke zvýšené administra</w:t>
            </w:r>
            <w:r w:rsidR="008F599A">
              <w:rPr>
                <w:rFonts w:asciiTheme="minorHAnsi" w:hAnsiTheme="minorHAnsi" w:cstheme="minorBidi"/>
                <w:color w:val="00000A"/>
                <w:szCs w:val="18"/>
              </w:rPr>
              <w:t>tivní zátěži pro podnikatele a </w:t>
            </w:r>
            <w:r w:rsidR="004B6014" w:rsidRPr="004726BF">
              <w:rPr>
                <w:rFonts w:asciiTheme="minorHAnsi" w:hAnsiTheme="minorHAnsi" w:cstheme="minorBidi"/>
                <w:color w:val="00000A"/>
                <w:szCs w:val="18"/>
              </w:rPr>
              <w:t xml:space="preserve">riziku pochybení.  </w:t>
            </w:r>
          </w:p>
          <w:p w14:paraId="6CA8BFD6" w14:textId="77777777" w:rsidR="004B6014" w:rsidRPr="009C67FD" w:rsidRDefault="004B6014"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sidRPr="009C67FD">
              <w:rPr>
                <w:rFonts w:asciiTheme="minorHAnsi" w:hAnsiTheme="minorHAnsi" w:cstheme="minorBidi"/>
                <w:color w:val="00000A"/>
                <w:szCs w:val="18"/>
              </w:rPr>
              <w:t xml:space="preserve">Pravidla pro výběr dodavatele a výběrová řízení </w:t>
            </w:r>
            <w:r w:rsidR="008F599A">
              <w:rPr>
                <w:rFonts w:asciiTheme="minorHAnsi" w:hAnsiTheme="minorHAnsi" w:cstheme="minorBidi"/>
                <w:color w:val="00000A"/>
                <w:szCs w:val="18"/>
              </w:rPr>
              <w:t>nevyhovují potřebám a nejlepší praxi příjemců</w:t>
            </w:r>
            <w:r w:rsidRPr="009C67FD">
              <w:rPr>
                <w:rFonts w:asciiTheme="minorHAnsi" w:hAnsiTheme="minorHAnsi" w:cstheme="minorBidi"/>
                <w:color w:val="00000A"/>
                <w:szCs w:val="18"/>
              </w:rPr>
              <w:t xml:space="preserve">. </w:t>
            </w:r>
            <w:r w:rsidR="00CB1C9B">
              <w:rPr>
                <w:rFonts w:asciiTheme="minorHAnsi" w:hAnsiTheme="minorHAnsi" w:cstheme="minorBidi"/>
                <w:color w:val="00000A"/>
                <w:szCs w:val="18"/>
              </w:rPr>
              <w:t>Pravidla nerespektují nejlepší zájem a efektivitu podniků</w:t>
            </w:r>
            <w:r w:rsidR="002E73CB">
              <w:rPr>
                <w:rFonts w:asciiTheme="minorHAnsi" w:hAnsiTheme="minorHAnsi" w:cstheme="minorBidi"/>
                <w:color w:val="00000A"/>
                <w:szCs w:val="18"/>
              </w:rPr>
              <w:t xml:space="preserve"> a </w:t>
            </w:r>
            <w:r w:rsidR="00CB1C9B">
              <w:rPr>
                <w:rFonts w:asciiTheme="minorHAnsi" w:hAnsiTheme="minorHAnsi" w:cstheme="minorBidi"/>
                <w:color w:val="00000A"/>
                <w:szCs w:val="18"/>
              </w:rPr>
              <w:t>osvědčené postupy při vyjednávání nej</w:t>
            </w:r>
            <w:r w:rsidR="007133C7">
              <w:rPr>
                <w:rFonts w:asciiTheme="minorHAnsi" w:hAnsiTheme="minorHAnsi" w:cstheme="minorBidi"/>
                <w:color w:val="00000A"/>
                <w:szCs w:val="18"/>
              </w:rPr>
              <w:t>výhodnější</w:t>
            </w:r>
            <w:r w:rsidR="00CB1C9B">
              <w:rPr>
                <w:rFonts w:asciiTheme="minorHAnsi" w:hAnsiTheme="minorHAnsi" w:cstheme="minorBidi"/>
                <w:color w:val="00000A"/>
                <w:szCs w:val="18"/>
              </w:rPr>
              <w:t xml:space="preserve"> nabídky</w:t>
            </w:r>
            <w:r w:rsidR="002E73CB">
              <w:rPr>
                <w:rFonts w:asciiTheme="minorHAnsi" w:hAnsiTheme="minorHAnsi" w:cstheme="minorBidi"/>
                <w:color w:val="00000A"/>
                <w:szCs w:val="18"/>
              </w:rPr>
              <w:t>,</w:t>
            </w:r>
            <w:r w:rsidR="00CB1C9B">
              <w:rPr>
                <w:rFonts w:asciiTheme="minorHAnsi" w:hAnsiTheme="minorHAnsi" w:cstheme="minorBidi"/>
                <w:color w:val="00000A"/>
                <w:szCs w:val="18"/>
              </w:rPr>
              <w:t xml:space="preserve"> </w:t>
            </w:r>
            <w:r w:rsidR="002E73CB">
              <w:rPr>
                <w:rFonts w:asciiTheme="minorHAnsi" w:hAnsiTheme="minorHAnsi" w:cstheme="minorBidi"/>
                <w:color w:val="00000A"/>
                <w:szCs w:val="18"/>
              </w:rPr>
              <w:t>n</w:t>
            </w:r>
            <w:r w:rsidR="00CB1C9B">
              <w:rPr>
                <w:rFonts w:asciiTheme="minorHAnsi" w:hAnsiTheme="minorHAnsi" w:cstheme="minorBidi"/>
                <w:color w:val="00000A"/>
                <w:szCs w:val="18"/>
              </w:rPr>
              <w:t xml:space="preserve">eumožňují spolupráci s osvědčeným dodavatelem nebo majetkově spřízněnými společnostmi (typicky mateřské nebo dceřiná společnost). </w:t>
            </w:r>
            <w:r w:rsidR="00C405D0">
              <w:rPr>
                <w:rFonts w:asciiTheme="minorHAnsi" w:hAnsiTheme="minorHAnsi" w:cstheme="minorBidi"/>
                <w:color w:val="00000A"/>
                <w:szCs w:val="18"/>
              </w:rPr>
              <w:t xml:space="preserve">Nastavený limit pro nákup mimo režim výběru dodavatele </w:t>
            </w:r>
            <w:r w:rsidR="002E73CB">
              <w:rPr>
                <w:rFonts w:asciiTheme="minorHAnsi" w:hAnsiTheme="minorHAnsi" w:cstheme="minorBidi"/>
                <w:color w:val="00000A"/>
                <w:szCs w:val="18"/>
              </w:rPr>
              <w:t>se</w:t>
            </w:r>
            <w:r w:rsidR="00C405D0">
              <w:rPr>
                <w:rFonts w:asciiTheme="minorHAnsi" w:hAnsiTheme="minorHAnsi" w:cstheme="minorBidi"/>
                <w:color w:val="00000A"/>
                <w:szCs w:val="18"/>
              </w:rPr>
              <w:t xml:space="preserve"> pro sektor </w:t>
            </w:r>
            <w:proofErr w:type="spellStart"/>
            <w:r w:rsidR="00C405D0">
              <w:rPr>
                <w:rFonts w:asciiTheme="minorHAnsi" w:hAnsiTheme="minorHAnsi" w:cstheme="minorBidi"/>
                <w:color w:val="00000A"/>
                <w:szCs w:val="18"/>
              </w:rPr>
              <w:t>VaVaI</w:t>
            </w:r>
            <w:proofErr w:type="spellEnd"/>
            <w:r w:rsidR="00C405D0">
              <w:rPr>
                <w:rFonts w:asciiTheme="minorHAnsi" w:hAnsiTheme="minorHAnsi" w:cstheme="minorBidi"/>
                <w:color w:val="00000A"/>
                <w:szCs w:val="18"/>
              </w:rPr>
              <w:t xml:space="preserve"> </w:t>
            </w:r>
            <w:r w:rsidR="002E73CB">
              <w:rPr>
                <w:rFonts w:asciiTheme="minorHAnsi" w:hAnsiTheme="minorHAnsi" w:cstheme="minorBidi"/>
                <w:color w:val="00000A"/>
                <w:szCs w:val="18"/>
              </w:rPr>
              <w:t xml:space="preserve">zdá být </w:t>
            </w:r>
            <w:r w:rsidR="00C405D0">
              <w:rPr>
                <w:rFonts w:asciiTheme="minorHAnsi" w:hAnsiTheme="minorHAnsi" w:cstheme="minorBidi"/>
                <w:color w:val="00000A"/>
                <w:szCs w:val="18"/>
              </w:rPr>
              <w:t>příliš nízký. Postup výběru dodavatele je administrativně ná</w:t>
            </w:r>
            <w:r w:rsidR="00CB1C9B">
              <w:rPr>
                <w:rFonts w:asciiTheme="minorHAnsi" w:hAnsiTheme="minorHAnsi" w:cstheme="minorBidi"/>
                <w:color w:val="00000A"/>
                <w:szCs w:val="18"/>
              </w:rPr>
              <w:t>ročný a</w:t>
            </w:r>
            <w:r w:rsidR="008F599A">
              <w:rPr>
                <w:rFonts w:asciiTheme="minorHAnsi" w:hAnsiTheme="minorHAnsi" w:cstheme="minorBidi"/>
                <w:color w:val="00000A"/>
                <w:szCs w:val="18"/>
              </w:rPr>
              <w:t> </w:t>
            </w:r>
            <w:r w:rsidR="00C405D0">
              <w:rPr>
                <w:rFonts w:asciiTheme="minorHAnsi" w:hAnsiTheme="minorHAnsi" w:cstheme="minorBidi"/>
                <w:color w:val="00000A"/>
                <w:szCs w:val="18"/>
              </w:rPr>
              <w:t xml:space="preserve">složitý, čemuž odpovídá míra chybovosti. </w:t>
            </w:r>
            <w:r w:rsidRPr="009C67FD">
              <w:rPr>
                <w:rFonts w:asciiTheme="minorHAnsi" w:hAnsiTheme="minorHAnsi" w:cstheme="minorBidi"/>
                <w:color w:val="00000A"/>
                <w:szCs w:val="18"/>
              </w:rPr>
              <w:t>Podni</w:t>
            </w:r>
            <w:r w:rsidR="00CB1C9B">
              <w:rPr>
                <w:rFonts w:asciiTheme="minorHAnsi" w:hAnsiTheme="minorHAnsi" w:cstheme="minorBidi"/>
                <w:color w:val="00000A"/>
                <w:szCs w:val="18"/>
              </w:rPr>
              <w:t>k, který do projektu vkládá</w:t>
            </w:r>
            <w:r w:rsidRPr="009C67FD">
              <w:rPr>
                <w:rFonts w:asciiTheme="minorHAnsi" w:hAnsiTheme="minorHAnsi" w:cstheme="minorBidi"/>
                <w:color w:val="00000A"/>
                <w:szCs w:val="18"/>
              </w:rPr>
              <w:t xml:space="preserve"> vlastní</w:t>
            </w:r>
            <w:r w:rsidR="00CB1C9B">
              <w:rPr>
                <w:rFonts w:asciiTheme="minorHAnsi" w:hAnsiTheme="minorHAnsi" w:cstheme="minorBidi"/>
                <w:color w:val="00000A"/>
                <w:szCs w:val="18"/>
              </w:rPr>
              <w:t xml:space="preserve"> prostředky</w:t>
            </w:r>
            <w:r w:rsidR="002E73CB">
              <w:rPr>
                <w:rFonts w:asciiTheme="minorHAnsi" w:hAnsiTheme="minorHAnsi" w:cstheme="minorBidi"/>
                <w:color w:val="00000A"/>
                <w:szCs w:val="18"/>
              </w:rPr>
              <w:t>,</w:t>
            </w:r>
            <w:r w:rsidRPr="009C67FD">
              <w:rPr>
                <w:rFonts w:asciiTheme="minorHAnsi" w:hAnsiTheme="minorHAnsi" w:cstheme="minorBidi"/>
                <w:color w:val="00000A"/>
                <w:szCs w:val="18"/>
              </w:rPr>
              <w:t xml:space="preserve"> má </w:t>
            </w:r>
            <w:r w:rsidR="002E73CB">
              <w:rPr>
                <w:rFonts w:asciiTheme="minorHAnsi" w:hAnsiTheme="minorHAnsi" w:cstheme="minorBidi"/>
                <w:color w:val="00000A"/>
                <w:szCs w:val="18"/>
              </w:rPr>
              <w:t xml:space="preserve">přitom </w:t>
            </w:r>
            <w:r w:rsidR="00CB1C9B">
              <w:rPr>
                <w:rFonts w:asciiTheme="minorHAnsi" w:hAnsiTheme="minorHAnsi" w:cstheme="minorBidi"/>
                <w:color w:val="00000A"/>
                <w:szCs w:val="18"/>
              </w:rPr>
              <w:t>vlastní</w:t>
            </w:r>
            <w:r w:rsidRPr="009C67FD">
              <w:rPr>
                <w:rFonts w:asciiTheme="minorHAnsi" w:hAnsiTheme="minorHAnsi" w:cstheme="minorBidi"/>
                <w:color w:val="00000A"/>
                <w:szCs w:val="18"/>
              </w:rPr>
              <w:t xml:space="preserve"> zájem na hospodárn</w:t>
            </w:r>
            <w:r w:rsidR="00CB1C9B">
              <w:rPr>
                <w:rFonts w:asciiTheme="minorHAnsi" w:hAnsiTheme="minorHAnsi" w:cstheme="minorBidi"/>
                <w:color w:val="00000A"/>
                <w:szCs w:val="18"/>
              </w:rPr>
              <w:t>ém</w:t>
            </w:r>
            <w:r w:rsidRPr="009C67FD">
              <w:rPr>
                <w:rFonts w:asciiTheme="minorHAnsi" w:hAnsiTheme="minorHAnsi" w:cstheme="minorBidi"/>
                <w:color w:val="00000A"/>
                <w:szCs w:val="18"/>
              </w:rPr>
              <w:t xml:space="preserve"> výběr</w:t>
            </w:r>
            <w:r w:rsidR="00CB1C9B">
              <w:rPr>
                <w:rFonts w:asciiTheme="minorHAnsi" w:hAnsiTheme="minorHAnsi" w:cstheme="minorBidi"/>
                <w:color w:val="00000A"/>
                <w:szCs w:val="18"/>
              </w:rPr>
              <w:t>u</w:t>
            </w:r>
            <w:r w:rsidRPr="009C67FD">
              <w:rPr>
                <w:rFonts w:asciiTheme="minorHAnsi" w:hAnsiTheme="minorHAnsi" w:cstheme="minorBidi"/>
                <w:color w:val="00000A"/>
                <w:szCs w:val="18"/>
              </w:rPr>
              <w:t xml:space="preserve"> dodavatele</w:t>
            </w:r>
            <w:r w:rsidR="00CB1C9B">
              <w:rPr>
                <w:rFonts w:asciiTheme="minorHAnsi" w:hAnsiTheme="minorHAnsi" w:cstheme="minorBidi"/>
                <w:color w:val="00000A"/>
                <w:szCs w:val="18"/>
              </w:rPr>
              <w:t>.</w:t>
            </w:r>
            <w:r w:rsidRPr="009C67FD">
              <w:rPr>
                <w:rFonts w:asciiTheme="minorHAnsi" w:hAnsiTheme="minorHAnsi" w:cstheme="minorBidi"/>
                <w:color w:val="00000A"/>
                <w:szCs w:val="18"/>
              </w:rPr>
              <w:t xml:space="preserve"> </w:t>
            </w:r>
          </w:p>
          <w:p w14:paraId="20D463CA" w14:textId="77777777" w:rsidR="004B6014" w:rsidRDefault="004B6014"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sidRPr="009C67FD">
              <w:rPr>
                <w:rFonts w:asciiTheme="minorHAnsi" w:hAnsiTheme="minorHAnsi" w:cstheme="minorBidi"/>
                <w:color w:val="00000A"/>
                <w:szCs w:val="18"/>
              </w:rPr>
              <w:t xml:space="preserve">Proces hodnocení a schvalování projektové žádosti je velmi </w:t>
            </w:r>
            <w:r w:rsidR="00723C67">
              <w:rPr>
                <w:rFonts w:asciiTheme="minorHAnsi" w:hAnsiTheme="minorHAnsi" w:cstheme="minorBidi"/>
                <w:color w:val="00000A"/>
                <w:szCs w:val="18"/>
              </w:rPr>
              <w:t>zdlouhavý</w:t>
            </w:r>
            <w:r w:rsidRPr="009C67FD">
              <w:rPr>
                <w:rFonts w:asciiTheme="minorHAnsi" w:hAnsiTheme="minorHAnsi" w:cstheme="minorBidi"/>
                <w:color w:val="00000A"/>
                <w:szCs w:val="18"/>
              </w:rPr>
              <w:t xml:space="preserve">. Podnik velmi často jedná na základě poptávky od zákazníka. Na ni musí reagovat velmi pružně a rychle, pokud možno začít okamžitě s výrobou, nikoli čekat dlouhou dobu na vydání rozhodnutí. Změny ve výzkumu a inovacích se na trhu dějí velmi rychle a projekty s dotační podporou mohou rychle „zastarávat“ oproti projektům bez dotační podpory. Z těchto důvodů by příjemci ocenili zjednodušení a urychlení celého procesu. To se týká i schvalování změn v průběhu realizace projektu, při změně dodavatele apod. Zvláště byrokraticky náročný je </w:t>
            </w:r>
            <w:r w:rsidR="007133C7">
              <w:rPr>
                <w:rFonts w:asciiTheme="minorHAnsi" w:hAnsiTheme="minorHAnsi" w:cstheme="minorBidi"/>
                <w:color w:val="00000A"/>
                <w:szCs w:val="18"/>
              </w:rPr>
              <w:t>dle příjemce program Aplikace.</w:t>
            </w:r>
            <w:r w:rsidRPr="009C67FD">
              <w:rPr>
                <w:rFonts w:asciiTheme="minorHAnsi" w:hAnsiTheme="minorHAnsi" w:cstheme="minorBidi"/>
                <w:color w:val="00000A"/>
                <w:szCs w:val="18"/>
              </w:rPr>
              <w:t xml:space="preserve"> </w:t>
            </w:r>
            <w:r w:rsidR="007133C7">
              <w:rPr>
                <w:rFonts w:asciiTheme="minorHAnsi" w:hAnsiTheme="minorHAnsi" w:cstheme="minorBidi"/>
                <w:color w:val="00000A"/>
                <w:szCs w:val="18"/>
              </w:rPr>
              <w:t>(Především ve vztahu k výkazům práce, dělení na EV a PV.)</w:t>
            </w:r>
          </w:p>
          <w:p w14:paraId="0F04F75B" w14:textId="77777777" w:rsidR="00075D36" w:rsidRDefault="00075D36" w:rsidP="00075D3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 xml:space="preserve">Při proplácení </w:t>
            </w:r>
            <w:proofErr w:type="spellStart"/>
            <w:r>
              <w:rPr>
                <w:rFonts w:asciiTheme="minorHAnsi" w:hAnsiTheme="minorHAnsi" w:cstheme="minorBidi"/>
                <w:color w:val="00000A"/>
                <w:szCs w:val="18"/>
              </w:rPr>
              <w:t>ŽoP</w:t>
            </w:r>
            <w:proofErr w:type="spellEnd"/>
            <w:r>
              <w:rPr>
                <w:rFonts w:asciiTheme="minorHAnsi" w:hAnsiTheme="minorHAnsi" w:cstheme="minorBidi"/>
                <w:color w:val="00000A"/>
                <w:szCs w:val="18"/>
              </w:rPr>
              <w:t xml:space="preserve"> dochází často k výraznému zpoždění, i v horizontu 6</w:t>
            </w:r>
            <w:r w:rsidR="00723C67">
              <w:rPr>
                <w:rFonts w:asciiTheme="minorHAnsi" w:hAnsiTheme="minorHAnsi" w:cstheme="minorBidi"/>
                <w:color w:val="00000A"/>
                <w:szCs w:val="18"/>
              </w:rPr>
              <w:t> </w:t>
            </w:r>
            <w:r>
              <w:rPr>
                <w:rFonts w:asciiTheme="minorHAnsi" w:hAnsiTheme="minorHAnsi" w:cstheme="minorBidi"/>
                <w:color w:val="00000A"/>
                <w:szCs w:val="18"/>
              </w:rPr>
              <w:t xml:space="preserve">měsíců. To představuje v případě mikro- a malých podniků, které projekt </w:t>
            </w:r>
            <w:proofErr w:type="spellStart"/>
            <w:r>
              <w:rPr>
                <w:rFonts w:asciiTheme="minorHAnsi" w:hAnsiTheme="minorHAnsi" w:cstheme="minorBidi"/>
                <w:color w:val="00000A"/>
                <w:szCs w:val="18"/>
              </w:rPr>
              <w:t>předfinancovávají</w:t>
            </w:r>
            <w:proofErr w:type="spellEnd"/>
            <w:r>
              <w:rPr>
                <w:rFonts w:asciiTheme="minorHAnsi" w:hAnsiTheme="minorHAnsi" w:cstheme="minorBidi"/>
                <w:color w:val="00000A"/>
                <w:szCs w:val="18"/>
              </w:rPr>
              <w:t xml:space="preserve"> z komerčních úvěrů, velikou zátěž a riziko. </w:t>
            </w:r>
          </w:p>
          <w:p w14:paraId="4C920FA9" w14:textId="77777777" w:rsidR="00075D36" w:rsidRPr="002449AE" w:rsidRDefault="00075D36" w:rsidP="00075D3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sidRPr="009C67FD">
              <w:rPr>
                <w:rFonts w:asciiTheme="minorHAnsi" w:hAnsiTheme="minorHAnsi" w:cstheme="minorBidi"/>
                <w:color w:val="00000A"/>
                <w:szCs w:val="18"/>
              </w:rPr>
              <w:t xml:space="preserve">Některé pokyny </w:t>
            </w:r>
            <w:r>
              <w:rPr>
                <w:rFonts w:asciiTheme="minorHAnsi" w:hAnsiTheme="minorHAnsi" w:cstheme="minorBidi"/>
                <w:color w:val="00000A"/>
                <w:szCs w:val="18"/>
              </w:rPr>
              <w:t>se zdají být</w:t>
            </w:r>
            <w:r w:rsidRPr="009C67FD">
              <w:rPr>
                <w:rFonts w:asciiTheme="minorHAnsi" w:hAnsiTheme="minorHAnsi" w:cstheme="minorBidi"/>
                <w:color w:val="00000A"/>
                <w:szCs w:val="18"/>
              </w:rPr>
              <w:t xml:space="preserve"> nekoncepční a není možné je zpětně realizovat. (Např. požadavek na zpětné změny v účetnictví pokynem označování faktur číslem projektu – vedlo to k odstoupení od projektu.) </w:t>
            </w:r>
          </w:p>
          <w:p w14:paraId="1A6FA9AD" w14:textId="77777777" w:rsidR="00DC36C3" w:rsidRPr="009C67FD" w:rsidRDefault="00DC36C3"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sidRPr="002C7AD4">
              <w:rPr>
                <w:rFonts w:asciiTheme="minorHAnsi" w:hAnsiTheme="minorHAnsi" w:cstheme="minorBidi"/>
                <w:color w:val="auto"/>
                <w:szCs w:val="18"/>
              </w:rPr>
              <w:t xml:space="preserve">Nový informační systém MS2014+, který nahradil dobře fungující systém </w:t>
            </w:r>
            <w:proofErr w:type="spellStart"/>
            <w:r w:rsidRPr="002C7AD4">
              <w:rPr>
                <w:rFonts w:asciiTheme="minorHAnsi" w:hAnsiTheme="minorHAnsi" w:cstheme="minorBidi"/>
                <w:color w:val="auto"/>
                <w:szCs w:val="18"/>
              </w:rPr>
              <w:t>eAccount</w:t>
            </w:r>
            <w:proofErr w:type="spellEnd"/>
            <w:r w:rsidR="002E73CB">
              <w:rPr>
                <w:rFonts w:asciiTheme="minorHAnsi" w:hAnsiTheme="minorHAnsi" w:cstheme="minorBidi"/>
                <w:color w:val="auto"/>
                <w:szCs w:val="18"/>
              </w:rPr>
              <w:t>,</w:t>
            </w:r>
            <w:r w:rsidRPr="002C7AD4">
              <w:rPr>
                <w:rFonts w:asciiTheme="minorHAnsi" w:hAnsiTheme="minorHAnsi" w:cstheme="minorBidi"/>
                <w:color w:val="auto"/>
                <w:szCs w:val="18"/>
              </w:rPr>
              <w:t xml:space="preserve"> postrádá celou řadu funkcionalit, vede k celé řadě duplicitního zadávání a nahrávání údajů a dokumentů a je celkově uživatelsky méně přívětivý. Změna systému byla také jednou z příčin zpož</w:t>
            </w:r>
            <w:r w:rsidR="00723C67">
              <w:rPr>
                <w:rFonts w:asciiTheme="minorHAnsi" w:hAnsiTheme="minorHAnsi" w:cstheme="minorBidi"/>
                <w:color w:val="auto"/>
                <w:szCs w:val="18"/>
              </w:rPr>
              <w:t>dění</w:t>
            </w:r>
            <w:r w:rsidRPr="002C7AD4">
              <w:rPr>
                <w:rFonts w:asciiTheme="minorHAnsi" w:hAnsiTheme="minorHAnsi" w:cstheme="minorBidi"/>
                <w:color w:val="auto"/>
                <w:szCs w:val="18"/>
              </w:rPr>
              <w:t xml:space="preserve"> na začátku období.</w:t>
            </w:r>
          </w:p>
          <w:p w14:paraId="48CD1F2C" w14:textId="77777777" w:rsidR="00320405" w:rsidRDefault="00320405"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Vysoká administrativní zátěž představuje riziko především pro malé a</w:t>
            </w:r>
            <w:r w:rsidR="00723C67">
              <w:rPr>
                <w:rFonts w:asciiTheme="minorHAnsi" w:hAnsiTheme="minorHAnsi" w:cstheme="minorBidi"/>
                <w:color w:val="00000A"/>
                <w:szCs w:val="18"/>
              </w:rPr>
              <w:t> </w:t>
            </w:r>
            <w:r>
              <w:rPr>
                <w:rFonts w:asciiTheme="minorHAnsi" w:hAnsiTheme="minorHAnsi" w:cstheme="minorBidi"/>
                <w:color w:val="00000A"/>
                <w:szCs w:val="18"/>
              </w:rPr>
              <w:t xml:space="preserve">střední podniky, není výjimkou, kdy řada podniků od podpory z těchto důvodů odstoupila. Administrativní náročnost celého procesu žádosti i realizace projektu vede často ke spolupráci </w:t>
            </w:r>
            <w:r w:rsidR="002E73CB">
              <w:rPr>
                <w:rFonts w:asciiTheme="minorHAnsi" w:hAnsiTheme="minorHAnsi" w:cstheme="minorBidi"/>
                <w:color w:val="00000A"/>
                <w:szCs w:val="18"/>
              </w:rPr>
              <w:t xml:space="preserve">příjemců </w:t>
            </w:r>
            <w:r>
              <w:rPr>
                <w:rFonts w:asciiTheme="minorHAnsi" w:hAnsiTheme="minorHAnsi" w:cstheme="minorBidi"/>
                <w:color w:val="00000A"/>
                <w:szCs w:val="18"/>
              </w:rPr>
              <w:t xml:space="preserve">s poradenskými </w:t>
            </w:r>
            <w:r w:rsidR="00DC36C3">
              <w:rPr>
                <w:rFonts w:asciiTheme="minorHAnsi" w:hAnsiTheme="minorHAnsi" w:cstheme="minorBidi"/>
                <w:color w:val="00000A"/>
                <w:szCs w:val="18"/>
              </w:rPr>
              <w:t xml:space="preserve">společnostmi. </w:t>
            </w:r>
          </w:p>
          <w:p w14:paraId="0031C636" w14:textId="77777777" w:rsidR="004317F3" w:rsidRDefault="004317F3"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Vedle extrémní administrativní zátěže je podrobné dokládání výkazů práce, dovolených, výpisů z účtu, dokladů o převodech apod. vnímáno jako příliš velký zásah do interních procesů firem.</w:t>
            </w:r>
          </w:p>
          <w:p w14:paraId="108DB653" w14:textId="77777777" w:rsidR="004B6014" w:rsidRDefault="004B6014"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sidRPr="009C67FD">
              <w:rPr>
                <w:rFonts w:asciiTheme="minorHAnsi" w:hAnsiTheme="minorHAnsi" w:cstheme="minorBidi"/>
                <w:color w:val="00000A"/>
                <w:szCs w:val="18"/>
              </w:rPr>
              <w:t xml:space="preserve">Současné nastavení dotační podpory nutí firmy v žádosti uvádět nižší předpokládané tržby než skutečně očekávané, jinak hrozí </w:t>
            </w:r>
            <w:proofErr w:type="spellStart"/>
            <w:r w:rsidRPr="009C67FD">
              <w:rPr>
                <w:rFonts w:asciiTheme="minorHAnsi" w:hAnsiTheme="minorHAnsi" w:cstheme="minorBidi"/>
                <w:color w:val="00000A"/>
                <w:szCs w:val="18"/>
              </w:rPr>
              <w:t>neuznatelnost</w:t>
            </w:r>
            <w:proofErr w:type="spellEnd"/>
            <w:r w:rsidRPr="009C67FD">
              <w:rPr>
                <w:rFonts w:asciiTheme="minorHAnsi" w:hAnsiTheme="minorHAnsi" w:cstheme="minorBidi"/>
                <w:color w:val="00000A"/>
                <w:szCs w:val="18"/>
              </w:rPr>
              <w:t xml:space="preserve"> nároku na dotaci. Dotační podpora pak směřuje k podpoře malých a neperspektivních podniků s nízkou mírou návratnosti investic. </w:t>
            </w:r>
          </w:p>
          <w:p w14:paraId="2798442E" w14:textId="77777777" w:rsidR="00EA7A49" w:rsidRDefault="00EA7A49" w:rsidP="00EA7A49">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Ex post financování projektů a nutnost realizaci předfinancovat pouze z vlastních zdrojů podniků může vést k neúměrnému úvěrovému zatížení firem. Zálohové ex</w:t>
            </w:r>
            <w:r w:rsidR="00BB1BDB">
              <w:rPr>
                <w:rFonts w:asciiTheme="minorHAnsi" w:hAnsiTheme="minorHAnsi" w:cstheme="minorBidi"/>
                <w:color w:val="00000A"/>
                <w:szCs w:val="18"/>
              </w:rPr>
              <w:t xml:space="preserve"> </w:t>
            </w:r>
            <w:r>
              <w:rPr>
                <w:rFonts w:asciiTheme="minorHAnsi" w:hAnsiTheme="minorHAnsi" w:cstheme="minorBidi"/>
                <w:color w:val="00000A"/>
                <w:szCs w:val="18"/>
              </w:rPr>
              <w:t xml:space="preserve">ante financování by realizaci a finanční řízení projektu mohlo výrazně usnadnit a zlevnit. </w:t>
            </w:r>
          </w:p>
          <w:p w14:paraId="177C5922" w14:textId="77777777" w:rsidR="00EA7A49" w:rsidRDefault="00EA7A49"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Dotace nejsou v účetnictví zahrnuty mezi příjmy a pokřivují tak hospodářskou výsledovku. Při žádostech o úvěry pak firmy vykazují vysoké výdaje a nízké příjmy.</w:t>
            </w:r>
          </w:p>
          <w:p w14:paraId="187430CA" w14:textId="77777777" w:rsidR="00D433AB" w:rsidRDefault="00D433AB"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 xml:space="preserve">Administrativní náročnost podpory je často důvodem, proč malé a střední podniky o podporu žádají méně a naopak o ni žádají velké podniky, které by inovace realizovaly i bez dotační podpory. </w:t>
            </w:r>
          </w:p>
          <w:p w14:paraId="3C807B24" w14:textId="77777777" w:rsidR="00D433AB" w:rsidRDefault="00D433AB" w:rsidP="00E0553D">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 xml:space="preserve">Dalším důvodem, proč firmy nežádají o dotační podporu je obava z úniku obchodních tajemství či know-how. </w:t>
            </w:r>
            <w:r w:rsidR="000704FD">
              <w:rPr>
                <w:rFonts w:asciiTheme="minorHAnsi" w:hAnsiTheme="minorHAnsi" w:cstheme="minorBidi"/>
                <w:color w:val="00000A"/>
                <w:szCs w:val="18"/>
              </w:rPr>
              <w:t>Podniky se obávají, že jimi uvedené informace v žádostech či zprávách mohou být veřejně dostupné (např. při uplatnění zákona 106/1999 Sb. o svobodném přístupu k informacím), což by mohlo poškodit jejich obchodní zájmy.</w:t>
            </w:r>
          </w:p>
          <w:p w14:paraId="2800F20A" w14:textId="77777777" w:rsidR="009A419C" w:rsidRPr="009A419C" w:rsidRDefault="009A419C" w:rsidP="00E0553D">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Klasifikace inovací do inovačních řádů dle metodiky Prof. Františka Valenty je problematická pro celou řadu inovací, které nezapadají do stanovených kategorií. Pro zahraniční partnery je tato metodika zcela neznámá a irelevantní.</w:t>
            </w:r>
          </w:p>
        </w:tc>
      </w:tr>
      <w:tr w:rsidR="004B6014" w:rsidRPr="009C67FD" w14:paraId="4210B97D" w14:textId="77777777" w:rsidTr="004B6014">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00B0F0"/>
              <w:left w:val="nil"/>
              <w:bottom w:val="single" w:sz="4" w:space="0" w:color="00B0F0"/>
              <w:right w:val="nil"/>
            </w:tcBorders>
            <w:shd w:val="clear" w:color="auto" w:fill="00B0F0"/>
            <w:hideMark/>
          </w:tcPr>
          <w:p w14:paraId="38AB995F" w14:textId="77777777" w:rsidR="004B6014" w:rsidRPr="009C67FD" w:rsidRDefault="004B6014" w:rsidP="004B6014">
            <w:pPr>
              <w:pStyle w:val="Bodyodsazene"/>
              <w:spacing w:before="0" w:after="60"/>
              <w:rPr>
                <w:rFonts w:asciiTheme="minorHAnsi" w:hAnsiTheme="minorHAnsi" w:cstheme="minorBidi"/>
                <w:b/>
                <w:color w:val="FFFFFF" w:themeColor="background1"/>
                <w:szCs w:val="18"/>
                <w:lang w:eastAsia="en-US"/>
              </w:rPr>
            </w:pPr>
            <w:r w:rsidRPr="009C67FD">
              <w:rPr>
                <w:rFonts w:asciiTheme="minorHAnsi" w:hAnsiTheme="minorHAnsi" w:cstheme="minorBidi"/>
                <w:b/>
                <w:color w:val="FFFFFF" w:themeColor="background1"/>
                <w:szCs w:val="18"/>
              </w:rPr>
              <w:t xml:space="preserve">Další zjištění </w:t>
            </w:r>
          </w:p>
        </w:tc>
        <w:tc>
          <w:tcPr>
            <w:tcW w:w="3984" w:type="pct"/>
            <w:tcBorders>
              <w:top w:val="single" w:sz="4" w:space="0" w:color="00A1DE"/>
              <w:left w:val="nil"/>
              <w:bottom w:val="single" w:sz="4" w:space="0" w:color="00A1DE"/>
              <w:right w:val="nil"/>
            </w:tcBorders>
            <w:hideMark/>
          </w:tcPr>
          <w:p w14:paraId="2A27B458" w14:textId="77777777" w:rsidR="001D710C" w:rsidRDefault="001D710C"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lang w:eastAsia="en-US"/>
              </w:rPr>
              <w:t>Řada podniků, především velké a střední, by inovační projekty realizoval</w:t>
            </w:r>
            <w:r w:rsidR="00BB1BDB">
              <w:rPr>
                <w:rFonts w:asciiTheme="minorHAnsi" w:hAnsiTheme="minorHAnsi" w:cstheme="minorBidi"/>
                <w:color w:val="00000A"/>
                <w:szCs w:val="18"/>
                <w:lang w:eastAsia="en-US"/>
              </w:rPr>
              <w:t>a</w:t>
            </w:r>
            <w:r>
              <w:rPr>
                <w:rFonts w:asciiTheme="minorHAnsi" w:hAnsiTheme="minorHAnsi" w:cstheme="minorBidi"/>
                <w:color w:val="00000A"/>
                <w:szCs w:val="18"/>
                <w:lang w:eastAsia="en-US"/>
              </w:rPr>
              <w:t xml:space="preserve"> i bez podpory OP</w:t>
            </w:r>
            <w:r w:rsidR="00BB1BDB">
              <w:rPr>
                <w:rFonts w:asciiTheme="minorHAnsi" w:hAnsiTheme="minorHAnsi" w:cstheme="minorBidi"/>
                <w:color w:val="00000A"/>
                <w:szCs w:val="18"/>
                <w:lang w:eastAsia="en-US"/>
              </w:rPr>
              <w:t xml:space="preserve"> </w:t>
            </w:r>
            <w:r>
              <w:rPr>
                <w:rFonts w:asciiTheme="minorHAnsi" w:hAnsiTheme="minorHAnsi" w:cstheme="minorBidi"/>
                <w:color w:val="00000A"/>
                <w:szCs w:val="18"/>
                <w:lang w:eastAsia="en-US"/>
              </w:rPr>
              <w:t xml:space="preserve">PIK. </w:t>
            </w:r>
          </w:p>
          <w:p w14:paraId="503E5DD9" w14:textId="77777777" w:rsidR="006325A0" w:rsidRDefault="006325A0"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Jako problematické se ukazuje navazování spolupráce s akademickými výzkumnými pracovišti.</w:t>
            </w:r>
            <w:r w:rsidR="00F85A4A">
              <w:rPr>
                <w:rFonts w:asciiTheme="minorHAnsi" w:hAnsiTheme="minorHAnsi" w:cstheme="minorBidi"/>
                <w:color w:val="00000A"/>
                <w:szCs w:val="18"/>
              </w:rPr>
              <w:t xml:space="preserve"> Značná část</w:t>
            </w:r>
            <w:r w:rsidR="00F85A4A" w:rsidRPr="009C67FD">
              <w:rPr>
                <w:rFonts w:asciiTheme="minorHAnsi" w:hAnsiTheme="minorHAnsi" w:cstheme="minorBidi"/>
                <w:color w:val="00000A"/>
                <w:szCs w:val="18"/>
              </w:rPr>
              <w:t xml:space="preserve"> veřejných výzkumných center </w:t>
            </w:r>
            <w:r w:rsidR="00F85A4A">
              <w:rPr>
                <w:rFonts w:asciiTheme="minorHAnsi" w:hAnsiTheme="minorHAnsi" w:cstheme="minorBidi"/>
                <w:color w:val="00000A"/>
                <w:szCs w:val="18"/>
              </w:rPr>
              <w:t>je</w:t>
            </w:r>
            <w:r w:rsidR="00F85A4A" w:rsidRPr="009C67FD">
              <w:rPr>
                <w:rFonts w:asciiTheme="minorHAnsi" w:hAnsiTheme="minorHAnsi" w:cstheme="minorBidi"/>
                <w:color w:val="00000A"/>
                <w:szCs w:val="18"/>
              </w:rPr>
              <w:t xml:space="preserve"> </w:t>
            </w:r>
            <w:r w:rsidR="00F85A4A">
              <w:rPr>
                <w:rFonts w:asciiTheme="minorHAnsi" w:hAnsiTheme="minorHAnsi" w:cstheme="minorBidi"/>
                <w:color w:val="00000A"/>
                <w:szCs w:val="18"/>
              </w:rPr>
              <w:t xml:space="preserve">nedostatečně </w:t>
            </w:r>
            <w:r w:rsidR="00F85A4A" w:rsidRPr="009C67FD">
              <w:rPr>
                <w:rFonts w:asciiTheme="minorHAnsi" w:hAnsiTheme="minorHAnsi" w:cstheme="minorBidi"/>
                <w:color w:val="00000A"/>
                <w:szCs w:val="18"/>
              </w:rPr>
              <w:t>orientov</w:t>
            </w:r>
            <w:r w:rsidR="00F85A4A">
              <w:rPr>
                <w:rFonts w:asciiTheme="minorHAnsi" w:hAnsiTheme="minorHAnsi" w:cstheme="minorBidi"/>
                <w:color w:val="00000A"/>
                <w:szCs w:val="18"/>
              </w:rPr>
              <w:t>á</w:t>
            </w:r>
            <w:r w:rsidR="00F85A4A" w:rsidRPr="009C67FD">
              <w:rPr>
                <w:rFonts w:asciiTheme="minorHAnsi" w:hAnsiTheme="minorHAnsi" w:cstheme="minorBidi"/>
                <w:color w:val="00000A"/>
                <w:szCs w:val="18"/>
              </w:rPr>
              <w:t>n</w:t>
            </w:r>
            <w:r w:rsidR="00F85A4A">
              <w:rPr>
                <w:rFonts w:asciiTheme="minorHAnsi" w:hAnsiTheme="minorHAnsi" w:cstheme="minorBidi"/>
                <w:color w:val="00000A"/>
                <w:szCs w:val="18"/>
              </w:rPr>
              <w:t>a</w:t>
            </w:r>
            <w:r w:rsidR="00F85A4A" w:rsidRPr="009C67FD">
              <w:rPr>
                <w:rFonts w:asciiTheme="minorHAnsi" w:hAnsiTheme="minorHAnsi" w:cstheme="minorBidi"/>
                <w:color w:val="00000A"/>
                <w:szCs w:val="18"/>
              </w:rPr>
              <w:t xml:space="preserve"> na aplikační dimenzi výzkumu, spolupráce je tak náročná a méně efektivní.</w:t>
            </w:r>
            <w:r w:rsidR="00F77AFE">
              <w:rPr>
                <w:rFonts w:asciiTheme="minorHAnsi" w:hAnsiTheme="minorHAnsi" w:cstheme="minorBidi"/>
                <w:color w:val="00000A"/>
                <w:szCs w:val="18"/>
              </w:rPr>
              <w:t xml:space="preserve"> </w:t>
            </w:r>
          </w:p>
          <w:p w14:paraId="03A32B6C" w14:textId="77777777" w:rsidR="006325A0" w:rsidRDefault="006325A0"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Inovované produkty nejsou většinou primárně zaměřeny na průřezová témata typu ochran</w:t>
            </w:r>
            <w:r w:rsidR="00BB1BDB">
              <w:rPr>
                <w:rFonts w:asciiTheme="minorHAnsi" w:hAnsiTheme="minorHAnsi" w:cstheme="minorBidi"/>
                <w:color w:val="00000A"/>
                <w:szCs w:val="18"/>
              </w:rPr>
              <w:t>a</w:t>
            </w:r>
            <w:r>
              <w:rPr>
                <w:rFonts w:asciiTheme="minorHAnsi" w:hAnsiTheme="minorHAnsi" w:cstheme="minorBidi"/>
                <w:color w:val="00000A"/>
                <w:szCs w:val="18"/>
              </w:rPr>
              <w:t xml:space="preserve"> životního prostředí, nicméně díky tržní poptávce a státním regulacím je stále více naplňují. Ekologický charakter produktů je přidanou hodnotou </w:t>
            </w:r>
            <w:r w:rsidR="00F85A4A">
              <w:rPr>
                <w:rFonts w:asciiTheme="minorHAnsi" w:hAnsiTheme="minorHAnsi" w:cstheme="minorBidi"/>
                <w:color w:val="00000A"/>
                <w:szCs w:val="18"/>
              </w:rPr>
              <w:t xml:space="preserve">a </w:t>
            </w:r>
            <w:r>
              <w:rPr>
                <w:rFonts w:asciiTheme="minorHAnsi" w:hAnsiTheme="minorHAnsi" w:cstheme="minorBidi"/>
                <w:color w:val="00000A"/>
                <w:szCs w:val="18"/>
              </w:rPr>
              <w:t>přispívá ke konkurenceschopnosti produktu</w:t>
            </w:r>
            <w:r w:rsidR="00F85A4A">
              <w:rPr>
                <w:rFonts w:asciiTheme="minorHAnsi" w:hAnsiTheme="minorHAnsi" w:cstheme="minorBidi"/>
                <w:color w:val="00000A"/>
                <w:szCs w:val="18"/>
              </w:rPr>
              <w:t xml:space="preserve"> na trhu</w:t>
            </w:r>
            <w:r>
              <w:rPr>
                <w:rFonts w:asciiTheme="minorHAnsi" w:hAnsiTheme="minorHAnsi" w:cstheme="minorBidi"/>
                <w:color w:val="00000A"/>
                <w:szCs w:val="18"/>
              </w:rPr>
              <w:t xml:space="preserve">. </w:t>
            </w:r>
            <w:r w:rsidR="00F85A4A">
              <w:rPr>
                <w:rFonts w:asciiTheme="minorHAnsi" w:hAnsiTheme="minorHAnsi" w:cstheme="minorBidi"/>
                <w:color w:val="00000A"/>
                <w:szCs w:val="18"/>
              </w:rPr>
              <w:t xml:space="preserve"> </w:t>
            </w:r>
          </w:p>
          <w:p w14:paraId="25C57CB1" w14:textId="77777777" w:rsidR="004B6014" w:rsidRDefault="004B6014"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sidRPr="009C67FD">
              <w:rPr>
                <w:rFonts w:asciiTheme="minorHAnsi" w:hAnsiTheme="minorHAnsi" w:cstheme="minorBidi"/>
                <w:color w:val="00000A"/>
                <w:szCs w:val="18"/>
              </w:rPr>
              <w:t>Díky jednodušeji dostupným zdrojů</w:t>
            </w:r>
            <w:r w:rsidR="00BB1BDB">
              <w:rPr>
                <w:rFonts w:asciiTheme="minorHAnsi" w:hAnsiTheme="minorHAnsi" w:cstheme="minorBidi"/>
                <w:color w:val="00000A"/>
                <w:szCs w:val="18"/>
              </w:rPr>
              <w:t>m</w:t>
            </w:r>
            <w:r w:rsidRPr="009C67FD">
              <w:rPr>
                <w:rFonts w:asciiTheme="minorHAnsi" w:hAnsiTheme="minorHAnsi" w:cstheme="minorBidi"/>
                <w:color w:val="00000A"/>
                <w:szCs w:val="18"/>
              </w:rPr>
              <w:t xml:space="preserve"> v ČR (včetně OP PIK) podnik</w:t>
            </w:r>
            <w:r w:rsidR="00BB1BDB">
              <w:rPr>
                <w:rFonts w:asciiTheme="minorHAnsi" w:hAnsiTheme="minorHAnsi" w:cstheme="minorBidi"/>
                <w:color w:val="00000A"/>
                <w:szCs w:val="18"/>
              </w:rPr>
              <w:t>y</w:t>
            </w:r>
            <w:r w:rsidRPr="009C67FD">
              <w:rPr>
                <w:rFonts w:asciiTheme="minorHAnsi" w:hAnsiTheme="minorHAnsi" w:cstheme="minorBidi"/>
                <w:color w:val="00000A"/>
                <w:szCs w:val="18"/>
              </w:rPr>
              <w:t xml:space="preserve"> nevyhledáv</w:t>
            </w:r>
            <w:r w:rsidR="00BB1BDB">
              <w:rPr>
                <w:rFonts w:asciiTheme="minorHAnsi" w:hAnsiTheme="minorHAnsi" w:cstheme="minorBidi"/>
                <w:color w:val="00000A"/>
                <w:szCs w:val="18"/>
              </w:rPr>
              <w:t>ají</w:t>
            </w:r>
            <w:r w:rsidRPr="009C67FD">
              <w:rPr>
                <w:rFonts w:asciiTheme="minorHAnsi" w:hAnsiTheme="minorHAnsi" w:cstheme="minorBidi"/>
                <w:color w:val="00000A"/>
                <w:szCs w:val="18"/>
              </w:rPr>
              <w:t xml:space="preserve"> zahraniční zdroje podpory </w:t>
            </w:r>
            <w:proofErr w:type="spellStart"/>
            <w:r w:rsidRPr="009C67FD">
              <w:rPr>
                <w:rFonts w:asciiTheme="minorHAnsi" w:hAnsiTheme="minorHAnsi" w:cstheme="minorBidi"/>
                <w:color w:val="00000A"/>
                <w:szCs w:val="18"/>
              </w:rPr>
              <w:t>VaV</w:t>
            </w:r>
            <w:proofErr w:type="spellEnd"/>
            <w:r w:rsidRPr="009C67FD">
              <w:rPr>
                <w:rFonts w:asciiTheme="minorHAnsi" w:hAnsiTheme="minorHAnsi" w:cstheme="minorBidi"/>
                <w:color w:val="00000A"/>
                <w:szCs w:val="18"/>
              </w:rPr>
              <w:t xml:space="preserve">. </w:t>
            </w:r>
          </w:p>
          <w:p w14:paraId="244D5D75" w14:textId="77777777" w:rsidR="00EA7A49" w:rsidRDefault="00EA7A49"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 xml:space="preserve">Malé a střední podniky, mikropodniky by uvítaly možnost zálohového proplácení dotační podpory. Nutnost předfinancování projektů z vlastních (včetně úvěrových) zdrojů žadatele vede k realizaci menších projektů s nižším inovačním řádem nebo rizikovému zadlužování podniků. </w:t>
            </w:r>
          </w:p>
          <w:p w14:paraId="47070C19" w14:textId="77777777" w:rsidR="00EA7A49" w:rsidRDefault="00EA7A49"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Ve výjimečných případech nemusí být v ekonomickém zájmu podniku uvádět inovované produkty na trh, zvláště v případě, kdy by došlo k poklesu prodeje a snižování zisku. Inovace jsou pak uváděny na trh až když je situace nevyhnutelná, nebo ekonomicky profitabilní.</w:t>
            </w:r>
          </w:p>
          <w:p w14:paraId="7467F691" w14:textId="77777777" w:rsidR="00DC36C3" w:rsidRPr="00980BDF" w:rsidRDefault="00DC36C3"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sidRPr="002C7AD4">
              <w:rPr>
                <w:rFonts w:asciiTheme="minorHAnsi" w:hAnsiTheme="minorHAnsi" w:cstheme="minorBidi"/>
                <w:color w:val="auto"/>
                <w:szCs w:val="18"/>
              </w:rPr>
              <w:t>Nedostatečné zajištění kontinuity na ŘO a zprostředkovatelském subjektu. Fluktuace lidí je jedním z faktorů ovlivňující</w:t>
            </w:r>
            <w:r w:rsidR="00BB1BDB">
              <w:rPr>
                <w:rFonts w:asciiTheme="minorHAnsi" w:hAnsiTheme="minorHAnsi" w:cstheme="minorBidi"/>
                <w:color w:val="auto"/>
                <w:szCs w:val="18"/>
              </w:rPr>
              <w:t>ch</w:t>
            </w:r>
            <w:r w:rsidRPr="002C7AD4">
              <w:rPr>
                <w:rFonts w:asciiTheme="minorHAnsi" w:hAnsiTheme="minorHAnsi" w:cstheme="minorBidi"/>
                <w:color w:val="auto"/>
                <w:szCs w:val="18"/>
              </w:rPr>
              <w:t xml:space="preserve"> vznik časových zpoždění při hodnocení a schvalování projektů, při projektovém managementu na straně poskytovatele dotace. Zároveň fluktuace vede k rozkolísávání výkladu pravidel a metodik a jejich odlišné interpretaci.</w:t>
            </w:r>
          </w:p>
          <w:p w14:paraId="536B108F" w14:textId="77777777" w:rsidR="009A419C" w:rsidRDefault="009A419C"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lang w:eastAsia="en-US"/>
              </w:rPr>
              <w:t xml:space="preserve">České firmy mají </w:t>
            </w:r>
            <w:r w:rsidR="00E65CFE">
              <w:rPr>
                <w:rFonts w:asciiTheme="minorHAnsi" w:hAnsiTheme="minorHAnsi" w:cstheme="minorBidi"/>
                <w:color w:val="00000A"/>
                <w:szCs w:val="18"/>
                <w:lang w:eastAsia="en-US"/>
              </w:rPr>
              <w:t xml:space="preserve">dlouhodobě </w:t>
            </w:r>
            <w:r>
              <w:rPr>
                <w:rFonts w:asciiTheme="minorHAnsi" w:hAnsiTheme="minorHAnsi" w:cstheme="minorBidi"/>
                <w:color w:val="00000A"/>
                <w:szCs w:val="18"/>
                <w:lang w:eastAsia="en-US"/>
              </w:rPr>
              <w:t>nižší produktivitu práce než zahraniční společnosti</w:t>
            </w:r>
            <w:r w:rsidR="004A41D8">
              <w:rPr>
                <w:rFonts w:asciiTheme="minorHAnsi" w:hAnsiTheme="minorHAnsi" w:cstheme="minorBidi"/>
                <w:color w:val="00000A"/>
                <w:szCs w:val="18"/>
                <w:lang w:eastAsia="en-US"/>
              </w:rPr>
              <w:t xml:space="preserve">, zejména z důvodu neodpovídajícího technického vybavení. Zavádění nových technologií a technického vybavení je dle názoru respondentů pomalejší než v zahraničí, není tak naplno využitý potenciál zaměstnanců. </w:t>
            </w:r>
          </w:p>
          <w:p w14:paraId="4D672FC4" w14:textId="77777777" w:rsidR="00702485" w:rsidRDefault="00702485"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Patentování inovovaných produktů má smysl pouze celosvětově, národní ani evropské patenty nezabrání „vykradení“ patentu třetí stranou mimo tyto geografické regiony a jsou přímo kontraproduktivní. K ochraně patentového vlastnictví je vedle finančních prostředků pro celosvětový patent dále potřeba silné právní zázemí pro případnou ochranu patentového vlastnictví.</w:t>
            </w:r>
            <w:r w:rsidRPr="009C67FD">
              <w:rPr>
                <w:rFonts w:asciiTheme="minorHAnsi" w:hAnsiTheme="minorHAnsi" w:cstheme="minorBidi"/>
                <w:color w:val="00000A"/>
                <w:szCs w:val="18"/>
              </w:rPr>
              <w:t xml:space="preserve"> </w:t>
            </w:r>
          </w:p>
          <w:p w14:paraId="0AA048AD" w14:textId="68C27B35" w:rsidR="00702485" w:rsidRPr="00702485" w:rsidRDefault="00702485"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sidRPr="009C67FD">
              <w:rPr>
                <w:rFonts w:asciiTheme="minorHAnsi" w:hAnsiTheme="minorHAnsi" w:cstheme="minorBidi"/>
                <w:color w:val="00000A"/>
                <w:szCs w:val="18"/>
              </w:rPr>
              <w:t xml:space="preserve">Za účinný nástroj podpory podnikového </w:t>
            </w:r>
            <w:proofErr w:type="spellStart"/>
            <w:r w:rsidRPr="009C67FD">
              <w:rPr>
                <w:rFonts w:asciiTheme="minorHAnsi" w:hAnsiTheme="minorHAnsi" w:cstheme="minorBidi"/>
                <w:color w:val="00000A"/>
                <w:szCs w:val="18"/>
              </w:rPr>
              <w:t>VaVaI</w:t>
            </w:r>
            <w:proofErr w:type="spellEnd"/>
            <w:r w:rsidRPr="009C67FD">
              <w:rPr>
                <w:rFonts w:asciiTheme="minorHAnsi" w:hAnsiTheme="minorHAnsi" w:cstheme="minorBidi"/>
                <w:color w:val="00000A"/>
                <w:szCs w:val="18"/>
              </w:rPr>
              <w:t xml:space="preserve"> </w:t>
            </w:r>
            <w:r>
              <w:rPr>
                <w:rFonts w:asciiTheme="minorHAnsi" w:hAnsiTheme="minorHAnsi" w:cstheme="minorBidi"/>
                <w:color w:val="00000A"/>
                <w:szCs w:val="18"/>
              </w:rPr>
              <w:t xml:space="preserve">bývají uváděny </w:t>
            </w:r>
            <w:r w:rsidRPr="009C67FD">
              <w:rPr>
                <w:rFonts w:asciiTheme="minorHAnsi" w:hAnsiTheme="minorHAnsi" w:cstheme="minorBidi"/>
                <w:color w:val="00000A"/>
                <w:szCs w:val="18"/>
              </w:rPr>
              <w:t xml:space="preserve">daňové úlevy a odpisy, které ve srovnání s dotacemi představují transparentnější a efektivnější nástroj bez nadbytečné administrativní zátěže. </w:t>
            </w:r>
            <w:r w:rsidR="00B9644E">
              <w:rPr>
                <w:rFonts w:asciiTheme="minorHAnsi" w:hAnsiTheme="minorHAnsi" w:cstheme="minorBidi"/>
                <w:color w:val="00000A"/>
                <w:szCs w:val="18"/>
              </w:rPr>
              <w:t>J</w:t>
            </w:r>
            <w:r>
              <w:rPr>
                <w:rFonts w:asciiTheme="minorHAnsi" w:hAnsiTheme="minorHAnsi" w:cstheme="minorBidi"/>
                <w:color w:val="00000A"/>
                <w:szCs w:val="18"/>
              </w:rPr>
              <w:t xml:space="preserve">e však nutné sjednotit pravidla a zjednodušit celý proces. </w:t>
            </w:r>
          </w:p>
        </w:tc>
      </w:tr>
      <w:tr w:rsidR="004B6014" w:rsidRPr="009C67FD" w14:paraId="2F71CA53" w14:textId="77777777" w:rsidTr="004B6014">
        <w:tc>
          <w:tcPr>
            <w:cnfStyle w:val="001000000000" w:firstRow="0" w:lastRow="0" w:firstColumn="1" w:lastColumn="0" w:oddVBand="0" w:evenVBand="0" w:oddHBand="0" w:evenHBand="0" w:firstRowFirstColumn="0" w:firstRowLastColumn="0" w:lastRowFirstColumn="0" w:lastRowLastColumn="0"/>
            <w:tcW w:w="1016" w:type="pct"/>
            <w:tcBorders>
              <w:top w:val="single" w:sz="4" w:space="0" w:color="00B0F0"/>
              <w:left w:val="nil"/>
              <w:bottom w:val="single" w:sz="4" w:space="0" w:color="00B0F0"/>
              <w:right w:val="nil"/>
            </w:tcBorders>
            <w:shd w:val="clear" w:color="auto" w:fill="00B0F0"/>
            <w:hideMark/>
          </w:tcPr>
          <w:p w14:paraId="16A8C36F" w14:textId="77777777" w:rsidR="004B6014" w:rsidRPr="009C67FD" w:rsidRDefault="004B6014" w:rsidP="004B6014">
            <w:pPr>
              <w:pStyle w:val="Bodyodsazene"/>
              <w:spacing w:before="0" w:after="60"/>
              <w:rPr>
                <w:rFonts w:asciiTheme="minorHAnsi" w:hAnsiTheme="minorHAnsi" w:cstheme="minorBidi"/>
                <w:b/>
                <w:color w:val="FFFFFF" w:themeColor="background1"/>
                <w:szCs w:val="18"/>
                <w:lang w:eastAsia="en-US"/>
              </w:rPr>
            </w:pPr>
            <w:r w:rsidRPr="009C67FD">
              <w:rPr>
                <w:rFonts w:asciiTheme="minorHAnsi" w:hAnsiTheme="minorHAnsi" w:cstheme="minorBidi"/>
                <w:b/>
                <w:color w:val="FFFFFF" w:themeColor="background1"/>
                <w:szCs w:val="18"/>
              </w:rPr>
              <w:t>Doporučení pro další programové období</w:t>
            </w:r>
          </w:p>
        </w:tc>
        <w:tc>
          <w:tcPr>
            <w:tcW w:w="3984" w:type="pct"/>
            <w:tcBorders>
              <w:top w:val="single" w:sz="4" w:space="0" w:color="00A1DE"/>
              <w:left w:val="nil"/>
              <w:bottom w:val="single" w:sz="4" w:space="0" w:color="00A1DE"/>
              <w:right w:val="nil"/>
            </w:tcBorders>
            <w:hideMark/>
          </w:tcPr>
          <w:p w14:paraId="635E36B0" w14:textId="77777777" w:rsidR="00702485" w:rsidRDefault="00702485"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sidRPr="009C67FD">
              <w:rPr>
                <w:rFonts w:asciiTheme="minorHAnsi" w:hAnsiTheme="minorHAnsi" w:cstheme="minorBidi"/>
                <w:color w:val="00000A"/>
                <w:szCs w:val="18"/>
              </w:rPr>
              <w:t>Upravit pravidla a podmínky programů za účelem snížení administrativní náročnosti.</w:t>
            </w:r>
          </w:p>
          <w:p w14:paraId="3064F513" w14:textId="77777777" w:rsidR="004B6014" w:rsidRPr="009C67FD" w:rsidRDefault="004B6014"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sidRPr="009C67FD">
              <w:rPr>
                <w:rFonts w:asciiTheme="minorHAnsi" w:hAnsiTheme="minorHAnsi" w:cstheme="minorBidi"/>
                <w:color w:val="00000A"/>
                <w:szCs w:val="18"/>
              </w:rPr>
              <w:t>Upravit kritéria hodnocení projektových žádostí</w:t>
            </w:r>
            <w:r w:rsidR="00BB1BDB">
              <w:rPr>
                <w:rFonts w:asciiTheme="minorHAnsi" w:hAnsiTheme="minorHAnsi" w:cstheme="minorBidi"/>
                <w:color w:val="00000A"/>
                <w:szCs w:val="18"/>
              </w:rPr>
              <w:t xml:space="preserve"> tak</w:t>
            </w:r>
            <w:r w:rsidRPr="009C67FD">
              <w:rPr>
                <w:rFonts w:asciiTheme="minorHAnsi" w:hAnsiTheme="minorHAnsi" w:cstheme="minorBidi"/>
                <w:color w:val="00000A"/>
                <w:szCs w:val="18"/>
              </w:rPr>
              <w:t xml:space="preserve">, aby reflektovala kapitálovou návratnost investic. Zvýhodňovat projekty a podniky, které mají vyšší pravděpodobnost návratnosti investic, vyšších tržeb. Podporovat výrobu s větším kapitálem a dovolit firmám růst bez omezení. </w:t>
            </w:r>
          </w:p>
          <w:p w14:paraId="2C1AAC66" w14:textId="77777777" w:rsidR="00702485" w:rsidRDefault="00702485"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Sjednotit terminologii napříč programy podpory. Např. v programech Aplikace a Potenciál se pracuje se za</w:t>
            </w:r>
            <w:r w:rsidR="004A41D8">
              <w:rPr>
                <w:rFonts w:asciiTheme="minorHAnsi" w:hAnsiTheme="minorHAnsi" w:cstheme="minorBidi"/>
                <w:color w:val="00000A"/>
                <w:szCs w:val="18"/>
              </w:rPr>
              <w:t>měnitelnými termíny „náklady“ a „způsobilé výdaje</w:t>
            </w:r>
            <w:r>
              <w:rPr>
                <w:rFonts w:asciiTheme="minorHAnsi" w:hAnsiTheme="minorHAnsi" w:cstheme="minorBidi"/>
                <w:color w:val="00000A"/>
                <w:szCs w:val="18"/>
              </w:rPr>
              <w:t xml:space="preserve">“. </w:t>
            </w:r>
          </w:p>
          <w:p w14:paraId="16549E5F" w14:textId="77777777" w:rsidR="004B6014" w:rsidRDefault="00723C67"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Zvážit možnost sjednocení</w:t>
            </w:r>
            <w:r w:rsidR="004B6014" w:rsidRPr="009C67FD">
              <w:rPr>
                <w:rFonts w:asciiTheme="minorHAnsi" w:hAnsiTheme="minorHAnsi" w:cstheme="minorBidi"/>
                <w:color w:val="00000A"/>
                <w:szCs w:val="18"/>
              </w:rPr>
              <w:t xml:space="preserve"> podpor</w:t>
            </w:r>
            <w:r>
              <w:rPr>
                <w:rFonts w:asciiTheme="minorHAnsi" w:hAnsiTheme="minorHAnsi" w:cstheme="minorBidi"/>
                <w:color w:val="00000A"/>
                <w:szCs w:val="18"/>
              </w:rPr>
              <w:t>y</w:t>
            </w:r>
            <w:r w:rsidR="004B6014" w:rsidRPr="009C67FD">
              <w:rPr>
                <w:rFonts w:asciiTheme="minorHAnsi" w:hAnsiTheme="minorHAnsi" w:cstheme="minorBidi"/>
                <w:color w:val="00000A"/>
                <w:szCs w:val="18"/>
              </w:rPr>
              <w:t xml:space="preserve"> </w:t>
            </w:r>
            <w:proofErr w:type="spellStart"/>
            <w:r w:rsidR="004B6014" w:rsidRPr="009C67FD">
              <w:rPr>
                <w:rFonts w:asciiTheme="minorHAnsi" w:hAnsiTheme="minorHAnsi" w:cstheme="minorBidi"/>
                <w:color w:val="00000A"/>
                <w:szCs w:val="18"/>
              </w:rPr>
              <w:t>VaVaI</w:t>
            </w:r>
            <w:proofErr w:type="spellEnd"/>
            <w:r w:rsidR="004B6014" w:rsidRPr="009C67FD">
              <w:rPr>
                <w:rFonts w:asciiTheme="minorHAnsi" w:hAnsiTheme="minorHAnsi" w:cstheme="minorBidi"/>
                <w:color w:val="00000A"/>
                <w:szCs w:val="18"/>
              </w:rPr>
              <w:t xml:space="preserve"> v ČR pod jedním subjektem, který by garantoval jednotnost a závaznost výkl</w:t>
            </w:r>
            <w:r w:rsidR="00504433">
              <w:rPr>
                <w:rFonts w:asciiTheme="minorHAnsi" w:hAnsiTheme="minorHAnsi" w:cstheme="minorBidi"/>
                <w:color w:val="00000A"/>
                <w:szCs w:val="18"/>
              </w:rPr>
              <w:t>adu metodik a pravidel podpory.</w:t>
            </w:r>
            <w:r>
              <w:rPr>
                <w:rFonts w:asciiTheme="minorHAnsi" w:hAnsiTheme="minorHAnsi" w:cstheme="minorBidi"/>
                <w:color w:val="00000A"/>
                <w:szCs w:val="18"/>
              </w:rPr>
              <w:t xml:space="preserve"> Alternativně zajistit koordinaci napříč subjekty poskytujícími podporu </w:t>
            </w:r>
            <w:proofErr w:type="spellStart"/>
            <w:r>
              <w:rPr>
                <w:rFonts w:asciiTheme="minorHAnsi" w:hAnsiTheme="minorHAnsi" w:cstheme="minorBidi"/>
                <w:color w:val="00000A"/>
                <w:szCs w:val="18"/>
              </w:rPr>
              <w:t>VaVaI</w:t>
            </w:r>
            <w:proofErr w:type="spellEnd"/>
            <w:r>
              <w:rPr>
                <w:rFonts w:asciiTheme="minorHAnsi" w:hAnsiTheme="minorHAnsi" w:cstheme="minorBidi"/>
                <w:color w:val="00000A"/>
                <w:szCs w:val="18"/>
              </w:rPr>
              <w:t>.</w:t>
            </w:r>
          </w:p>
          <w:p w14:paraId="474C69C5" w14:textId="77777777" w:rsidR="00980BDF" w:rsidRDefault="00980BDF" w:rsidP="004B6014">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Umožnit flexibilnější reakce na výkyvy trhu a s tím spojené změny v projektové realizaci, včetně prodlužování projektů.</w:t>
            </w:r>
          </w:p>
          <w:p w14:paraId="59827A70" w14:textId="77777777" w:rsidR="007577C6" w:rsidRDefault="007577C6" w:rsidP="007577C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Zvážit zavedení zálohových a paušálních plateb příjemcům podpory.</w:t>
            </w:r>
          </w:p>
          <w:p w14:paraId="7DA00CA6" w14:textId="07FD985E" w:rsidR="007577C6" w:rsidRDefault="00723C67" w:rsidP="007577C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Koordinovat kontroly s cílem snížení počtu kontrol zejména</w:t>
            </w:r>
            <w:r w:rsidR="007577C6">
              <w:rPr>
                <w:rFonts w:asciiTheme="minorHAnsi" w:hAnsiTheme="minorHAnsi" w:cstheme="minorBidi"/>
                <w:color w:val="00000A"/>
                <w:szCs w:val="18"/>
              </w:rPr>
              <w:t xml:space="preserve"> u malých podniků</w:t>
            </w:r>
            <w:r>
              <w:rPr>
                <w:rFonts w:asciiTheme="minorHAnsi" w:hAnsiTheme="minorHAnsi" w:cstheme="minorBidi"/>
                <w:color w:val="00000A"/>
                <w:szCs w:val="18"/>
              </w:rPr>
              <w:t xml:space="preserve"> a mikropodniků</w:t>
            </w:r>
            <w:r w:rsidR="007577C6">
              <w:rPr>
                <w:rFonts w:asciiTheme="minorHAnsi" w:hAnsiTheme="minorHAnsi" w:cstheme="minorBidi"/>
                <w:color w:val="00000A"/>
                <w:szCs w:val="18"/>
              </w:rPr>
              <w:t>. Příliš velké množství kontrol významným způsobem zatěžuje kapacity malých podniků a</w:t>
            </w:r>
            <w:r>
              <w:rPr>
                <w:rFonts w:asciiTheme="minorHAnsi" w:hAnsiTheme="minorHAnsi" w:cstheme="minorBidi"/>
                <w:color w:val="00000A"/>
                <w:szCs w:val="18"/>
              </w:rPr>
              <w:t> </w:t>
            </w:r>
            <w:r w:rsidR="007577C6">
              <w:rPr>
                <w:rFonts w:asciiTheme="minorHAnsi" w:hAnsiTheme="minorHAnsi" w:cstheme="minorBidi"/>
                <w:color w:val="00000A"/>
                <w:szCs w:val="18"/>
              </w:rPr>
              <w:t xml:space="preserve">mikropodniků. </w:t>
            </w:r>
          </w:p>
          <w:p w14:paraId="00124713" w14:textId="77777777" w:rsidR="00702485" w:rsidRDefault="00702485"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Zaměřit kontroly více na kontrolu výsledného produktu, výstupu projektu. Současná kontrola zaměřená především na procesní a technickou stránku řízení projektů vede k administrativní zátěži a</w:t>
            </w:r>
            <w:r w:rsidR="00723C67">
              <w:rPr>
                <w:rFonts w:asciiTheme="minorHAnsi" w:hAnsiTheme="minorHAnsi" w:cstheme="minorBidi"/>
                <w:color w:val="00000A"/>
                <w:szCs w:val="18"/>
              </w:rPr>
              <w:t> </w:t>
            </w:r>
            <w:r>
              <w:rPr>
                <w:rFonts w:asciiTheme="minorHAnsi" w:hAnsiTheme="minorHAnsi" w:cstheme="minorBidi"/>
                <w:color w:val="00000A"/>
                <w:szCs w:val="18"/>
              </w:rPr>
              <w:t>nekontroluje cíle</w:t>
            </w:r>
            <w:r w:rsidR="00723C67">
              <w:rPr>
                <w:rFonts w:asciiTheme="minorHAnsi" w:hAnsiTheme="minorHAnsi" w:cstheme="minorBidi"/>
                <w:color w:val="00000A"/>
                <w:szCs w:val="18"/>
              </w:rPr>
              <w:t>, výsledky a dopady</w:t>
            </w:r>
            <w:r>
              <w:rPr>
                <w:rFonts w:asciiTheme="minorHAnsi" w:hAnsiTheme="minorHAnsi" w:cstheme="minorBidi"/>
                <w:color w:val="00000A"/>
                <w:szCs w:val="18"/>
              </w:rPr>
              <w:t xml:space="preserve"> projektu. </w:t>
            </w:r>
          </w:p>
          <w:p w14:paraId="583D66AA" w14:textId="77777777" w:rsidR="00702485" w:rsidRDefault="00723C67" w:rsidP="00702485">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Zvážit rozšíření využití</w:t>
            </w:r>
            <w:r w:rsidR="00702485">
              <w:rPr>
                <w:rFonts w:asciiTheme="minorHAnsi" w:hAnsiTheme="minorHAnsi" w:cstheme="minorBidi"/>
                <w:color w:val="00000A"/>
                <w:szCs w:val="18"/>
              </w:rPr>
              <w:t xml:space="preserve"> paušální</w:t>
            </w:r>
            <w:r>
              <w:rPr>
                <w:rFonts w:asciiTheme="minorHAnsi" w:hAnsiTheme="minorHAnsi" w:cstheme="minorBidi"/>
                <w:color w:val="00000A"/>
                <w:szCs w:val="18"/>
              </w:rPr>
              <w:t>ho</w:t>
            </w:r>
            <w:r w:rsidR="00702485">
              <w:rPr>
                <w:rFonts w:asciiTheme="minorHAnsi" w:hAnsiTheme="minorHAnsi" w:cstheme="minorBidi"/>
                <w:color w:val="00000A"/>
                <w:szCs w:val="18"/>
              </w:rPr>
              <w:t xml:space="preserve"> financování formou tzv. nepřímých </w:t>
            </w:r>
            <w:r>
              <w:rPr>
                <w:rFonts w:asciiTheme="minorHAnsi" w:hAnsiTheme="minorHAnsi" w:cstheme="minorBidi"/>
                <w:color w:val="00000A"/>
                <w:szCs w:val="18"/>
              </w:rPr>
              <w:t xml:space="preserve">nebo jednotkových </w:t>
            </w:r>
            <w:r w:rsidR="00702485">
              <w:rPr>
                <w:rFonts w:asciiTheme="minorHAnsi" w:hAnsiTheme="minorHAnsi" w:cstheme="minorBidi"/>
                <w:color w:val="00000A"/>
                <w:szCs w:val="18"/>
              </w:rPr>
              <w:t>nákladů, které by nahradily současnou praxi dokládání poptávek, nabídek, faktur</w:t>
            </w:r>
            <w:r w:rsidR="007D7CA5">
              <w:rPr>
                <w:rFonts w:asciiTheme="minorHAnsi" w:hAnsiTheme="minorHAnsi" w:cstheme="minorBidi"/>
                <w:color w:val="00000A"/>
                <w:szCs w:val="18"/>
              </w:rPr>
              <w:t>,</w:t>
            </w:r>
            <w:r>
              <w:rPr>
                <w:rFonts w:asciiTheme="minorHAnsi" w:hAnsiTheme="minorHAnsi" w:cstheme="minorBidi"/>
                <w:color w:val="00000A"/>
                <w:szCs w:val="18"/>
              </w:rPr>
              <w:t> </w:t>
            </w:r>
            <w:r w:rsidR="00702485">
              <w:rPr>
                <w:rFonts w:asciiTheme="minorHAnsi" w:hAnsiTheme="minorHAnsi" w:cstheme="minorBidi"/>
                <w:color w:val="00000A"/>
                <w:szCs w:val="18"/>
              </w:rPr>
              <w:t>výpisů z účtu o</w:t>
            </w:r>
            <w:r>
              <w:rPr>
                <w:rFonts w:asciiTheme="minorHAnsi" w:hAnsiTheme="minorHAnsi" w:cstheme="minorBidi"/>
                <w:color w:val="00000A"/>
                <w:szCs w:val="18"/>
              </w:rPr>
              <w:t> </w:t>
            </w:r>
            <w:r w:rsidR="00702485">
              <w:rPr>
                <w:rFonts w:asciiTheme="minorHAnsi" w:hAnsiTheme="minorHAnsi" w:cstheme="minorBidi"/>
                <w:color w:val="00000A"/>
                <w:szCs w:val="18"/>
              </w:rPr>
              <w:t>proběhlých platbách</w:t>
            </w:r>
            <w:r w:rsidR="007D7CA5">
              <w:rPr>
                <w:rFonts w:asciiTheme="minorHAnsi" w:hAnsiTheme="minorHAnsi" w:cstheme="minorBidi"/>
                <w:color w:val="00000A"/>
                <w:szCs w:val="18"/>
              </w:rPr>
              <w:t xml:space="preserve"> a výkazů mezd</w:t>
            </w:r>
            <w:r w:rsidR="00702485">
              <w:rPr>
                <w:rFonts w:asciiTheme="minorHAnsi" w:hAnsiTheme="minorHAnsi" w:cstheme="minorBidi"/>
                <w:color w:val="00000A"/>
                <w:szCs w:val="18"/>
              </w:rPr>
              <w:t>.</w:t>
            </w:r>
          </w:p>
          <w:p w14:paraId="46985B87" w14:textId="77777777" w:rsidR="007577C6" w:rsidRDefault="007577C6" w:rsidP="007577C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rPr>
            </w:pPr>
            <w:r>
              <w:rPr>
                <w:rFonts w:asciiTheme="minorHAnsi" w:hAnsiTheme="minorHAnsi" w:cstheme="minorBidi"/>
                <w:color w:val="00000A"/>
                <w:szCs w:val="18"/>
              </w:rPr>
              <w:t xml:space="preserve">Poskytnout firmám poradenství v oblasti struktury a řízení podniků před samotným získáním dotace. Ověřit, zdali firma disponuje potřebnými procesy a strukturou pro řízení inovačních projektů. Vytvořit program podpory restrukturalizace firem pro navýšení inovační výkonnosti. Možnost využít obdoby „voucherů“ na nákup takových služeb komerčně. </w:t>
            </w:r>
          </w:p>
          <w:p w14:paraId="5DFC345D" w14:textId="77777777" w:rsidR="007577C6" w:rsidRPr="009C67FD" w:rsidRDefault="007577C6" w:rsidP="007577C6">
            <w:pPr>
              <w:pStyle w:val="Bodyodsazene"/>
              <w:numPr>
                <w:ilvl w:val="0"/>
                <w:numId w:val="22"/>
              </w:numPr>
              <w:spacing w:before="0" w:after="60"/>
              <w:ind w:left="393"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00000A"/>
                <w:szCs w:val="18"/>
                <w:lang w:eastAsia="en-US"/>
              </w:rPr>
            </w:pPr>
            <w:r>
              <w:rPr>
                <w:rFonts w:asciiTheme="minorHAnsi" w:hAnsiTheme="minorHAnsi" w:cstheme="minorBidi"/>
                <w:color w:val="00000A"/>
                <w:szCs w:val="18"/>
              </w:rPr>
              <w:t>Zrušit rozdělení na experimentální vývoj a průmyslový výzkum, minimálně na úrovni denních výkazů práce. Takové rozdělování je často obtížné stanovit, při vykazování často dochází k nejasnostem a</w:t>
            </w:r>
            <w:r w:rsidR="007D7CA5">
              <w:rPr>
                <w:rFonts w:asciiTheme="minorHAnsi" w:hAnsiTheme="minorHAnsi" w:cstheme="minorBidi"/>
                <w:color w:val="00000A"/>
                <w:szCs w:val="18"/>
              </w:rPr>
              <w:t> </w:t>
            </w:r>
            <w:r>
              <w:rPr>
                <w:rFonts w:asciiTheme="minorHAnsi" w:hAnsiTheme="minorHAnsi" w:cstheme="minorBidi"/>
                <w:color w:val="00000A"/>
                <w:szCs w:val="18"/>
              </w:rPr>
              <w:t>zkreslení</w:t>
            </w:r>
            <w:r w:rsidR="00BB1BDB">
              <w:rPr>
                <w:rFonts w:asciiTheme="minorHAnsi" w:hAnsiTheme="minorHAnsi" w:cstheme="minorBidi"/>
                <w:color w:val="00000A"/>
                <w:szCs w:val="18"/>
              </w:rPr>
              <w:t>m</w:t>
            </w:r>
            <w:r>
              <w:rPr>
                <w:rFonts w:asciiTheme="minorHAnsi" w:hAnsiTheme="minorHAnsi" w:cstheme="minorBidi"/>
                <w:color w:val="00000A"/>
                <w:szCs w:val="18"/>
              </w:rPr>
              <w:t xml:space="preserve">, nemá </w:t>
            </w:r>
            <w:r w:rsidR="00BB1BDB">
              <w:rPr>
                <w:rFonts w:asciiTheme="minorHAnsi" w:hAnsiTheme="minorHAnsi" w:cstheme="minorBidi"/>
                <w:color w:val="00000A"/>
                <w:szCs w:val="18"/>
              </w:rPr>
              <w:t xml:space="preserve">tedy </w:t>
            </w:r>
            <w:r>
              <w:rPr>
                <w:rFonts w:asciiTheme="minorHAnsi" w:hAnsiTheme="minorHAnsi" w:cstheme="minorBidi"/>
                <w:color w:val="00000A"/>
                <w:szCs w:val="18"/>
              </w:rPr>
              <w:t>přidanou hodnotu.</w:t>
            </w:r>
          </w:p>
        </w:tc>
      </w:tr>
    </w:tbl>
    <w:p w14:paraId="3B6B9344" w14:textId="77777777" w:rsidR="00AC1B2F" w:rsidRDefault="00AC1B2F" w:rsidP="00AC1B2F">
      <w:pPr>
        <w:pStyle w:val="Bntext"/>
        <w:rPr>
          <w:rFonts w:asciiTheme="majorHAnsi" w:hAnsiTheme="majorHAnsi"/>
          <w:b/>
          <w:color w:val="62B5E5"/>
          <w:sz w:val="18"/>
          <w:szCs w:val="18"/>
        </w:rPr>
      </w:pPr>
    </w:p>
    <w:p w14:paraId="675705F4" w14:textId="77777777" w:rsidR="00C029C1" w:rsidRDefault="00145574" w:rsidP="004C45B3">
      <w:pPr>
        <w:pStyle w:val="Heading1"/>
        <w:spacing w:after="120"/>
        <w:rPr>
          <w:rFonts w:ascii="Verdana" w:eastAsia="MingLiU" w:hAnsi="Verdana" w:cs="Times New Roman"/>
          <w:b w:val="0"/>
          <w:color w:val="auto"/>
          <w:sz w:val="60"/>
          <w:szCs w:val="60"/>
        </w:rPr>
      </w:pPr>
      <w:bookmarkStart w:id="106" w:name="_Toc11679650"/>
      <w:r w:rsidRPr="004C45B3">
        <w:rPr>
          <w:rFonts w:ascii="Verdana" w:eastAsia="MingLiU" w:hAnsi="Verdana" w:cs="Times New Roman"/>
          <w:b w:val="0"/>
          <w:color w:val="auto"/>
          <w:sz w:val="60"/>
          <w:szCs w:val="60"/>
        </w:rPr>
        <w:t>Příloha 5: Shrnutí zjištění z individuálních rozhovorů a expertního panelu</w:t>
      </w:r>
      <w:bookmarkEnd w:id="106"/>
    </w:p>
    <w:p w14:paraId="108C4227" w14:textId="77777777" w:rsidR="00C95AB4" w:rsidRDefault="00C95AB4" w:rsidP="007359A3"/>
    <w:p w14:paraId="6FD283D8" w14:textId="77777777" w:rsidR="00C95AB4" w:rsidRDefault="00C95AB4" w:rsidP="00C95AB4">
      <w:pPr>
        <w:jc w:val="both"/>
      </w:pPr>
      <w:r>
        <w:t>Následující kapitola obsahuje shrnutí zjištění z individ</w:t>
      </w:r>
      <w:r w:rsidR="007359A3">
        <w:t>uálních hloubkových rozhovorů a </w:t>
      </w:r>
      <w:r>
        <w:t xml:space="preserve">expertního panelu. </w:t>
      </w:r>
      <w:r w:rsidR="00222A53">
        <w:t>Následující zjištění tedy reflektují zkušenosti a expertízu odborníků a odbornic z</w:t>
      </w:r>
      <w:r w:rsidR="007359A3">
        <w:t xml:space="preserve"> řady </w:t>
      </w:r>
      <w:r w:rsidR="00222A53">
        <w:t xml:space="preserve">organizací. Seznam respondentů a </w:t>
      </w:r>
      <w:r w:rsidR="007359A3">
        <w:t>zapojených</w:t>
      </w:r>
      <w:r w:rsidR="00222A53">
        <w:t xml:space="preserve"> organizací je uveden v Příloze č. 3. </w:t>
      </w:r>
    </w:p>
    <w:p w14:paraId="7A18DFB7" w14:textId="77777777" w:rsidR="00C95AB4" w:rsidRPr="009C67FD" w:rsidRDefault="00C95AB4" w:rsidP="00C95AB4">
      <w:pPr>
        <w:spacing w:after="120"/>
        <w:rPr>
          <w:b/>
        </w:rPr>
      </w:pPr>
      <w:r>
        <w:rPr>
          <w:b/>
        </w:rPr>
        <w:t>Zhodnocení i</w:t>
      </w:r>
      <w:r w:rsidRPr="00EF4A0B">
        <w:rPr>
          <w:b/>
        </w:rPr>
        <w:t>novační výkon</w:t>
      </w:r>
      <w:r w:rsidRPr="009C67FD">
        <w:rPr>
          <w:b/>
        </w:rPr>
        <w:t>nosti podniků v ČR</w:t>
      </w:r>
    </w:p>
    <w:p w14:paraId="274B5F33" w14:textId="77777777" w:rsidR="00C95AB4" w:rsidRPr="009C67FD" w:rsidRDefault="00C95AB4" w:rsidP="00C95AB4">
      <w:pPr>
        <w:jc w:val="both"/>
      </w:pPr>
      <w:r w:rsidRPr="009C67FD">
        <w:t>Inovační výkonnost podniků je při současném rychlém vývoji tržního prostředí nezbytnou podmínkou úspěchu. Podniky, které nejsou schopné rychle a pružně inovovat a reagovat na měnící se poptávku a konkurenci, nebudou dlouhodobě úspěšné. Z hlediska úspěchu českých podniků na domácím i zahraničním trhu jsou tak inovace nesmírně důležité. Investice do výzkumu, vývoje a inovací v ČR se pohybují kolem 1,9 % HDP, což je mírně pod průměrem EU (2,0 %) a výrazně pod národním cílem 2,7 %.</w:t>
      </w:r>
      <w:r w:rsidRPr="009C67FD">
        <w:rPr>
          <w:rStyle w:val="FootnoteReference"/>
        </w:rPr>
        <w:footnoteReference w:id="16"/>
      </w:r>
      <w:r w:rsidRPr="009C67FD">
        <w:t xml:space="preserve"> </w:t>
      </w:r>
    </w:p>
    <w:p w14:paraId="118FFAC7" w14:textId="77777777" w:rsidR="00C95AB4" w:rsidRPr="009C67FD" w:rsidRDefault="00C95AB4" w:rsidP="00C95AB4">
      <w:pPr>
        <w:jc w:val="both"/>
      </w:pPr>
      <w:r w:rsidRPr="009C67FD">
        <w:t xml:space="preserve">Oslovení zástupci MPO a odborníci potvrdili předpoklady programové logiky, že české podniky jsou v oblasti </w:t>
      </w:r>
      <w:proofErr w:type="spellStart"/>
      <w:r w:rsidRPr="009C67FD">
        <w:t>VaVaI</w:t>
      </w:r>
      <w:proofErr w:type="spellEnd"/>
      <w:r w:rsidRPr="009C67FD">
        <w:t xml:space="preserve"> spíše konzervativní a závislé na své roli v globálních subdodavatelských řetězcích. Velká část inovací je iniciována právě požadavky globálního trhu či zahraničními mateřskými společnostmi. Podniky v ČR realizují spíše výjimečně náročnější a rizikovější inovační projekty (tzv. inovace vyššího řádu). Podniky v ČR nejsou připraveny na dlouhodobé inovační projekty jdoucí za hranice současné výroby nebo zpracovávání. Na základě dosavadních zkušeností s podpořenými projekty a projekty realizovanými či hodnocenými, se neočekává zásadní změna.</w:t>
      </w:r>
    </w:p>
    <w:p w14:paraId="5B945033" w14:textId="77777777" w:rsidR="00C95AB4" w:rsidRDefault="00C95AB4" w:rsidP="00C95AB4">
      <w:pPr>
        <w:jc w:val="both"/>
      </w:pPr>
      <w:r w:rsidRPr="009C67FD">
        <w:t xml:space="preserve">České firmy a výzkumné organizace se často obávají neprobádaných možností mezinárodní podpory </w:t>
      </w:r>
      <w:proofErr w:type="spellStart"/>
      <w:r w:rsidRPr="009C67FD">
        <w:t>VaV</w:t>
      </w:r>
      <w:proofErr w:type="spellEnd"/>
      <w:r w:rsidRPr="009C67FD">
        <w:t>, náročnosti přípravy a selhání. Jedním z důvodů, proč pro ně nadnárodní forma podpory není tak atraktivní, je skutečnost, že mají dostatek jistějších a jednodušeji dostupných zdrojů na národní úrovni, a to z velké části v rámci OP PIK.</w:t>
      </w:r>
    </w:p>
    <w:p w14:paraId="63D59F4C" w14:textId="77777777" w:rsidR="00B8732D" w:rsidRDefault="00B8732D" w:rsidP="00C95AB4">
      <w:pPr>
        <w:jc w:val="both"/>
      </w:pPr>
      <w:r>
        <w:t xml:space="preserve">Dle aktualizovaných poznatků TAČR stále roste autonomie firem se zahraniční vlastnickou strukturou a tím dochází k nárůstu jejich inovačních kapacit. </w:t>
      </w:r>
      <w:r w:rsidR="00C34268">
        <w:t>V</w:t>
      </w:r>
      <w:r w:rsidR="00C80C6A">
        <w:t> ČR převažuje lidský</w:t>
      </w:r>
      <w:r w:rsidR="007F06AE">
        <w:t xml:space="preserve"> kapitál</w:t>
      </w:r>
      <w:r w:rsidR="00C80C6A">
        <w:t xml:space="preserve"> </w:t>
      </w:r>
      <w:r w:rsidR="007F06AE">
        <w:t>a</w:t>
      </w:r>
      <w:r w:rsidR="007359A3">
        <w:t> </w:t>
      </w:r>
      <w:r w:rsidR="007F06AE">
        <w:t xml:space="preserve">firmy </w:t>
      </w:r>
      <w:r w:rsidR="00C80C6A">
        <w:t>s vysokými technickými znalostmi ale méně rozvinutými měkkými dovednostmi</w:t>
      </w:r>
      <w:r w:rsidR="00C34268">
        <w:t>, které by podpořily vstup na zahraniční trhy</w:t>
      </w:r>
      <w:r w:rsidR="00C80C6A">
        <w:t xml:space="preserve">. </w:t>
      </w:r>
      <w:r w:rsidR="00CE099D">
        <w:t>Inovační kapacita podniků poroste rychleji, pokud bude poskytovaná podpora rychlá a flexibilní.</w:t>
      </w:r>
      <w:r w:rsidR="00EA440D">
        <w:t xml:space="preserve"> </w:t>
      </w:r>
      <w:r w:rsidR="007F06AE">
        <w:t>Č</w:t>
      </w:r>
      <w:r w:rsidR="00EA440D">
        <w:t xml:space="preserve">erpání finančních prostředků ESIF fondů </w:t>
      </w:r>
      <w:r w:rsidR="007F06AE">
        <w:t>nesmí</w:t>
      </w:r>
      <w:r w:rsidR="00EA440D">
        <w:t xml:space="preserve"> brzd</w:t>
      </w:r>
      <w:r w:rsidR="007F06AE">
        <w:t>it inovační</w:t>
      </w:r>
      <w:r w:rsidR="00EA440D">
        <w:t xml:space="preserve"> </w:t>
      </w:r>
      <w:r w:rsidR="007F06AE">
        <w:t>výkonnost a umožnit dostatečnou flexibilitu</w:t>
      </w:r>
      <w:r w:rsidR="00EA440D">
        <w:t xml:space="preserve">. </w:t>
      </w:r>
      <w:r w:rsidR="00CE099D">
        <w:t>To se týká</w:t>
      </w:r>
      <w:r w:rsidR="00C34268">
        <w:t xml:space="preserve"> také</w:t>
      </w:r>
      <w:r w:rsidR="00CE099D">
        <w:t xml:space="preserve"> definice a stanovení „přiměřeného risku“ v podpoře </w:t>
      </w:r>
      <w:proofErr w:type="spellStart"/>
      <w:r w:rsidR="00CE099D">
        <w:t>VaVaI</w:t>
      </w:r>
      <w:proofErr w:type="spellEnd"/>
      <w:r w:rsidR="00CE099D">
        <w:t xml:space="preserve"> a zavádění produktů na trh. </w:t>
      </w:r>
      <w:r w:rsidR="00E052DC">
        <w:t xml:space="preserve">Nastavení programů podpory setrvačně nedostatečně reflektuje dynamické socioekonomické a globální tržní změny. Samotné hodnocení stupně inovativnosti dle škály Prof. Františka Valenty se stává stále více problematičtější např. v případě inovací Průmyslu 4.0.   </w:t>
      </w:r>
    </w:p>
    <w:p w14:paraId="154D2098" w14:textId="77777777" w:rsidR="00A838C8" w:rsidRDefault="00A838C8" w:rsidP="00C95AB4">
      <w:pPr>
        <w:jc w:val="both"/>
      </w:pPr>
      <w:r>
        <w:t xml:space="preserve">Spolupráci a transfer znalostí mezi výzkumnými institucemi a podniky by podpořila změna v odměňování konkrétních výzkumníků. Současný systém </w:t>
      </w:r>
      <w:r w:rsidR="007359A3">
        <w:t>vede</w:t>
      </w:r>
      <w:r>
        <w:t xml:space="preserve"> zisky do rozpočtu výzkumných organizací a demotivuje tak konkrétní pracovníky. </w:t>
      </w:r>
      <w:r w:rsidR="00636398">
        <w:t xml:space="preserve">Podpora </w:t>
      </w:r>
      <w:proofErr w:type="spellStart"/>
      <w:r w:rsidR="00636398">
        <w:t>VaVaI</w:t>
      </w:r>
      <w:proofErr w:type="spellEnd"/>
      <w:r w:rsidR="00636398">
        <w:t xml:space="preserve"> je v ČR velmi roztříštěná, žadatelé a příjemci si musí nastudovat a průběžně sledovat řadu metodik, pravidel a podmínek podpory u každého zprostředkujícího subjektu. </w:t>
      </w:r>
    </w:p>
    <w:p w14:paraId="4AE835F8" w14:textId="77777777" w:rsidR="00636398" w:rsidRPr="00636398" w:rsidRDefault="00AB1167" w:rsidP="00C95AB4">
      <w:pPr>
        <w:jc w:val="both"/>
      </w:pPr>
      <w:r>
        <w:t>Podniky se v ČR stále více posouvají z úrovně „montoven“ na úroveň</w:t>
      </w:r>
      <w:r w:rsidR="00636398">
        <w:t xml:space="preserve"> „průkopníků“ </w:t>
      </w:r>
      <w:r>
        <w:t>či</w:t>
      </w:r>
      <w:r w:rsidR="00636398">
        <w:t xml:space="preserve"> tzv. „gazel“. </w:t>
      </w:r>
      <w:r>
        <w:t xml:space="preserve">Další rozvoj inovačních kapacit by mohl podpořit vznik investičního fondu pro rozsáhlé projekty. V minulosti se také osvědčila role krajů, které mají k regionálním podnikům blíže a mohou kontinuálně sledovat a podporovat jejich rozvoj. </w:t>
      </w:r>
    </w:p>
    <w:p w14:paraId="496B4143" w14:textId="77777777" w:rsidR="00C95AB4" w:rsidRDefault="00C95AB4" w:rsidP="00C95AB4">
      <w:r w:rsidRPr="009C67FD">
        <w:t>Hlavní bariéry rozvoje inovační výkonnosti</w:t>
      </w:r>
      <w:r>
        <w:t xml:space="preserve"> podniků v ČR jsou tyto:</w:t>
      </w:r>
    </w:p>
    <w:p w14:paraId="32B37CD6" w14:textId="77777777" w:rsidR="00C95AB4" w:rsidRDefault="00C95AB4" w:rsidP="00C95AB4">
      <w:pPr>
        <w:pStyle w:val="ListParagraph"/>
        <w:numPr>
          <w:ilvl w:val="0"/>
          <w:numId w:val="81"/>
        </w:numPr>
        <w:spacing w:after="120" w:line="276" w:lineRule="auto"/>
        <w:ind w:left="714" w:hanging="357"/>
        <w:contextualSpacing w:val="0"/>
        <w:jc w:val="both"/>
      </w:pPr>
      <w:r>
        <w:t xml:space="preserve">Charakter českých firem coby </w:t>
      </w:r>
      <w:r w:rsidRPr="001A34F0">
        <w:rPr>
          <w:b/>
        </w:rPr>
        <w:t>subdodavatelů pro globální ekonomiky</w:t>
      </w:r>
      <w:r>
        <w:t xml:space="preserve"> vede ke konzervativním projektům s nízkou mírou rizika a stabilním výnosem. Jedná se o projekty nižších inovativních řádů.</w:t>
      </w:r>
    </w:p>
    <w:p w14:paraId="2AC8DAE3" w14:textId="77777777" w:rsidR="00C95AB4" w:rsidRDefault="00C95AB4" w:rsidP="00C95AB4">
      <w:pPr>
        <w:pStyle w:val="ListParagraph"/>
        <w:numPr>
          <w:ilvl w:val="0"/>
          <w:numId w:val="81"/>
        </w:numPr>
        <w:spacing w:after="120" w:line="276" w:lineRule="auto"/>
        <w:ind w:left="714" w:hanging="357"/>
        <w:contextualSpacing w:val="0"/>
        <w:jc w:val="both"/>
      </w:pPr>
      <w:r w:rsidRPr="001A34F0">
        <w:rPr>
          <w:b/>
        </w:rPr>
        <w:t>Nedostatek odborného výzkumného personálu</w:t>
      </w:r>
      <w:r>
        <w:t xml:space="preserve">. Na trhu chybí vzdělaní odborníci, kteří by podpořili další rozvoj </w:t>
      </w:r>
      <w:proofErr w:type="spellStart"/>
      <w:r>
        <w:t>VaVaI</w:t>
      </w:r>
      <w:proofErr w:type="spellEnd"/>
      <w:r>
        <w:t>.</w:t>
      </w:r>
    </w:p>
    <w:p w14:paraId="7681F254" w14:textId="77777777" w:rsidR="00C95AB4" w:rsidRDefault="00C95AB4" w:rsidP="00C95AB4">
      <w:pPr>
        <w:pStyle w:val="ListParagraph"/>
        <w:numPr>
          <w:ilvl w:val="0"/>
          <w:numId w:val="81"/>
        </w:numPr>
        <w:spacing w:after="120" w:line="276" w:lineRule="auto"/>
        <w:ind w:left="714" w:hanging="357"/>
        <w:contextualSpacing w:val="0"/>
        <w:jc w:val="both"/>
      </w:pPr>
      <w:r w:rsidRPr="001A34F0">
        <w:rPr>
          <w:b/>
        </w:rPr>
        <w:t>Zahraniční vlastnické struktury</w:t>
      </w:r>
      <w:r>
        <w:t>, matky českých firem. I v průběhu probíhajících hodnocení žádostí dochází ke strategickým rozhodnutím na globální úrovni řízení firem, které má dopad na tuzemské firmy nebo jejich pobočky a subdodavatele na odstoupení od podpory.</w:t>
      </w:r>
    </w:p>
    <w:p w14:paraId="723A85BC" w14:textId="77777777" w:rsidR="00C95AB4" w:rsidRDefault="00C95AB4" w:rsidP="00C95AB4">
      <w:pPr>
        <w:pStyle w:val="ListParagraph"/>
        <w:numPr>
          <w:ilvl w:val="0"/>
          <w:numId w:val="81"/>
        </w:numPr>
        <w:spacing w:after="120" w:line="276" w:lineRule="auto"/>
        <w:ind w:left="714" w:hanging="357"/>
        <w:contextualSpacing w:val="0"/>
        <w:jc w:val="both"/>
      </w:pPr>
      <w:r>
        <w:t xml:space="preserve">Příliš </w:t>
      </w:r>
      <w:r w:rsidRPr="001A34F0">
        <w:rPr>
          <w:b/>
        </w:rPr>
        <w:t>rychlý technologický pokrok na globálním trhu</w:t>
      </w:r>
      <w:r>
        <w:t xml:space="preserve"> (např. v nanotechnologiích), na který daný podnik nestíhá dostatečně rychle reagovat. Zvláště v případě, kdy schvalování žádosti trvá i celý rok.  </w:t>
      </w:r>
    </w:p>
    <w:p w14:paraId="4A297C00" w14:textId="77777777" w:rsidR="00C95AB4" w:rsidRPr="00C665C1" w:rsidRDefault="00C95AB4" w:rsidP="00C95AB4">
      <w:pPr>
        <w:spacing w:after="120"/>
        <w:rPr>
          <w:b/>
        </w:rPr>
      </w:pPr>
      <w:r w:rsidRPr="00C665C1">
        <w:rPr>
          <w:b/>
        </w:rPr>
        <w:t xml:space="preserve">Zhodnocení </w:t>
      </w:r>
      <w:r>
        <w:rPr>
          <w:b/>
        </w:rPr>
        <w:t xml:space="preserve">vlivu </w:t>
      </w:r>
      <w:r w:rsidRPr="00C665C1">
        <w:rPr>
          <w:b/>
        </w:rPr>
        <w:t>programů podpory</w:t>
      </w:r>
      <w:r>
        <w:rPr>
          <w:b/>
        </w:rPr>
        <w:t xml:space="preserve"> SC 1.1 OP PIK na inovační výkonnost podniků v ČR</w:t>
      </w:r>
    </w:p>
    <w:p w14:paraId="3486EBD6" w14:textId="77777777" w:rsidR="00C95AB4" w:rsidRDefault="00C95AB4" w:rsidP="00C95AB4">
      <w:pPr>
        <w:jc w:val="both"/>
      </w:pPr>
      <w:r>
        <w:t xml:space="preserve">Programy Aplikace, Inovace a Potenciál jsou všemi respondenty hloubkových rozhovorů i expertního panelu </w:t>
      </w:r>
      <w:r w:rsidRPr="00E87D7A">
        <w:rPr>
          <w:b/>
        </w:rPr>
        <w:t>hodnoceny velmi pozitivně.</w:t>
      </w:r>
      <w:r>
        <w:t xml:space="preserve"> Forma i tematické zaměření podpory bylo vhodně nastaveno na základě zkušeností z předch</w:t>
      </w:r>
      <w:r w:rsidRPr="009C67FD">
        <w:t xml:space="preserve">ozího období. Inovační výkonnost podniků díky podpoře obecně i individuálně </w:t>
      </w:r>
      <w:r w:rsidRPr="009C67FD">
        <w:rPr>
          <w:b/>
        </w:rPr>
        <w:t>kontinuálně stoupá</w:t>
      </w:r>
      <w:r w:rsidRPr="009C67FD">
        <w:t xml:space="preserve">. Díky podpoře jsou podniky schopné </w:t>
      </w:r>
      <w:r w:rsidRPr="009C67FD">
        <w:rPr>
          <w:b/>
        </w:rPr>
        <w:t>inovovat rychleji (až o dva roky)</w:t>
      </w:r>
      <w:r w:rsidRPr="009C67FD">
        <w:t xml:space="preserve"> </w:t>
      </w:r>
      <w:r w:rsidRPr="009C67FD">
        <w:rPr>
          <w:b/>
        </w:rPr>
        <w:t xml:space="preserve">než bez podpory a v komplexnějším měřítku, </w:t>
      </w:r>
      <w:r w:rsidRPr="009C67FD">
        <w:t>přičemž</w:t>
      </w:r>
      <w:r w:rsidRPr="009C67FD">
        <w:rPr>
          <w:b/>
        </w:rPr>
        <w:t xml:space="preserve"> </w:t>
      </w:r>
      <w:r w:rsidRPr="009C67FD">
        <w:t xml:space="preserve">mohou zavést více technologií najednou bez potřeby rozkladu investic do více let. Mezi příklady dobré praxe lze zařadit obory nanotechnologií, vesmírného inženýrství a technologií. Podpořené projekty jsou nicméně </w:t>
      </w:r>
      <w:r w:rsidRPr="009C67FD">
        <w:rPr>
          <w:b/>
        </w:rPr>
        <w:t>nižšího inovačního řádu</w:t>
      </w:r>
      <w:r w:rsidRPr="009C67FD">
        <w:t>, než aby došlo k zásadním změnám, přechodu na výrobu s přidanou hodnotou. Řada inovací směřuje do modernizace, obnovy a přizpůsobení výrobních procesů požadavkům globálních subdodavatelských řetězců. Většina podpořených projektů směřuje k hodnocení typu U, případně C dle zákona č. 130/2002 Sb. o podpoře výzkumu, experimentálního vývoje a inovací, v</w:t>
      </w:r>
      <w:r>
        <w:t xml:space="preserve">e znění pozdějších předpisů. Jen málo projektů dosáhne nejvyšší hodnoty V. Největší dopad na nárůst inovačních kapacit má podpora pro malé a střední podniky. MSP nemají často vlastní zdroje, které by mohly uvolnit pro příliš rizikové projekty inovací a výzkumu. </w:t>
      </w:r>
    </w:p>
    <w:p w14:paraId="3712306F" w14:textId="77777777" w:rsidR="00C95AB4" w:rsidRDefault="00C95AB4" w:rsidP="00C95AB4">
      <w:pPr>
        <w:jc w:val="both"/>
      </w:pPr>
      <w:r>
        <w:t xml:space="preserve">Vzhledem k současnému stavu realizace programů, kdy je ukončený pouze nízký počet projektů a řada projektů je v hodnocení nebo v úvodní fázi realizace, nelze komplexně vyhodnotit vliv podpory OP PIK na inovační výkonnost podniků v ČR. Časový skluz byl způsoben prodlením v metodických pokynech v úvodu programového období a velmi zdlouhavým procesem hodnocení projektů v letech 2015 až 2017, kdy hodnocení projektů trvalo i déle než rok. </w:t>
      </w:r>
    </w:p>
    <w:p w14:paraId="4FD8D4EF" w14:textId="77777777" w:rsidR="00C95AB4" w:rsidRDefault="00C95AB4" w:rsidP="00C95AB4">
      <w:pPr>
        <w:jc w:val="both"/>
      </w:pPr>
      <w:r>
        <w:t>Čerpání v PO 1 se výrazně urychlilo v druhé polovině roku 2018. Zvažuje se realokace nečerpaných prostředků z jiných operačních programů ve výši až 2 mld. Kč. V průběhu roku 2019 by měly být vypsány další dvě výzvy v programech Inovace a Aplikace</w:t>
      </w:r>
      <w:r>
        <w:rPr>
          <w:rStyle w:val="FootnoteReference"/>
        </w:rPr>
        <w:footnoteReference w:id="17"/>
      </w:r>
      <w:r>
        <w:t xml:space="preserve">. Zástupci API nicméně navrhují namísto vyhlašování výzev spojených s další administrací, kontrolou a hodnocením spíše navýšit současnou alokaci k proběhlým výzvám a podpořit tak více již </w:t>
      </w:r>
      <w:proofErr w:type="spellStart"/>
      <w:r>
        <w:t>zprocesovaných</w:t>
      </w:r>
      <w:proofErr w:type="spellEnd"/>
      <w:r>
        <w:t xml:space="preserve"> projektových žádostí.  </w:t>
      </w:r>
    </w:p>
    <w:p w14:paraId="4C6DC105" w14:textId="77777777" w:rsidR="00C95AB4" w:rsidRDefault="00C95AB4" w:rsidP="00C95AB4">
      <w:pPr>
        <w:jc w:val="both"/>
      </w:pPr>
      <w:r>
        <w:t>Tabulka níže shrnuje zhodnocení předmětných programů podpory SC 1.1 oslovenými experty a zástupci MPO a API:</w:t>
      </w:r>
    </w:p>
    <w:tbl>
      <w:tblPr>
        <w:tblStyle w:val="ListTable3-Accent11"/>
        <w:tblW w:w="4927" w:type="pct"/>
        <w:tblBorders>
          <w:left w:val="none" w:sz="0" w:space="0" w:color="auto"/>
          <w:right w:val="none" w:sz="0" w:space="0" w:color="auto"/>
          <w:insideH w:val="single" w:sz="4" w:space="0" w:color="86BC25" w:themeColor="accent1"/>
        </w:tblBorders>
        <w:tblLook w:val="04A0" w:firstRow="1" w:lastRow="0" w:firstColumn="1" w:lastColumn="0" w:noHBand="0" w:noVBand="1"/>
      </w:tblPr>
      <w:tblGrid>
        <w:gridCol w:w="1529"/>
        <w:gridCol w:w="7020"/>
      </w:tblGrid>
      <w:tr w:rsidR="00C95AB4" w:rsidRPr="003E4246" w14:paraId="1AED369A" w14:textId="77777777" w:rsidTr="00C95AB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894" w:type="pct"/>
          </w:tcPr>
          <w:p w14:paraId="2992C1BF" w14:textId="77777777" w:rsidR="00C95AB4" w:rsidRPr="003E4246" w:rsidRDefault="00C95AB4" w:rsidP="00C95AB4">
            <w:pPr>
              <w:spacing w:after="0"/>
              <w:rPr>
                <w:color w:val="FFFFFF" w:themeColor="background1"/>
              </w:rPr>
            </w:pPr>
            <w:r w:rsidRPr="003E4246">
              <w:rPr>
                <w:color w:val="FFFFFF" w:themeColor="background1"/>
              </w:rPr>
              <w:t>Program</w:t>
            </w:r>
          </w:p>
        </w:tc>
        <w:tc>
          <w:tcPr>
            <w:tcW w:w="4106" w:type="pct"/>
          </w:tcPr>
          <w:p w14:paraId="7E1F898F" w14:textId="77777777" w:rsidR="00C95AB4" w:rsidRPr="003E4246" w:rsidRDefault="00C95AB4" w:rsidP="00C95AB4">
            <w:pPr>
              <w:spacing w:after="0"/>
              <w:cnfStyle w:val="100000000000" w:firstRow="1" w:lastRow="0" w:firstColumn="0" w:lastColumn="0" w:oddVBand="0" w:evenVBand="0" w:oddHBand="0" w:evenHBand="0" w:firstRowFirstColumn="0" w:firstRowLastColumn="0" w:lastRowFirstColumn="0" w:lastRowLastColumn="0"/>
              <w:rPr>
                <w:color w:val="FFFFFF" w:themeColor="background1"/>
                <w:vertAlign w:val="subscript"/>
              </w:rPr>
            </w:pPr>
            <w:r>
              <w:rPr>
                <w:color w:val="FFFFFF" w:themeColor="background1"/>
              </w:rPr>
              <w:t>Zjištění</w:t>
            </w:r>
          </w:p>
        </w:tc>
      </w:tr>
      <w:tr w:rsidR="00C95AB4" w14:paraId="13F08112" w14:textId="77777777" w:rsidTr="00C9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4" w:type="pct"/>
            <w:shd w:val="clear" w:color="auto" w:fill="E7F5CF" w:themeFill="accent1" w:themeFillTint="33"/>
          </w:tcPr>
          <w:p w14:paraId="19546AF8" w14:textId="77777777" w:rsidR="00C95AB4" w:rsidRDefault="00C95AB4" w:rsidP="00C95AB4">
            <w:pPr>
              <w:spacing w:after="0"/>
            </w:pPr>
            <w:r>
              <w:t>Aplikace</w:t>
            </w:r>
          </w:p>
        </w:tc>
        <w:tc>
          <w:tcPr>
            <w:tcW w:w="4106" w:type="pct"/>
          </w:tcPr>
          <w:p w14:paraId="56986856"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Pozitivně hodnocený program, který vhodným způsobem reaguje na nedostatek kapacit a finančních prostředků firem pro vlastní průmyslový výzkum či experimentální vývoj.</w:t>
            </w:r>
          </w:p>
          <w:p w14:paraId="2FE78695"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Předkládané projekty jsou průměrné a očekávané kvality středního inovačního řádu a technické úrovně.</w:t>
            </w:r>
          </w:p>
          <w:p w14:paraId="6022C5B6"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Mezi podpořenými projekty převládá spíše zaměření na experimentální vývoj nad průmyslovým výzkumem.</w:t>
            </w:r>
          </w:p>
          <w:p w14:paraId="3107D12D"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Do budoucna je tu velký potenciál, firmy budou muset stále inovovat, aby byly konkurenceschopné.</w:t>
            </w:r>
          </w:p>
        </w:tc>
      </w:tr>
      <w:tr w:rsidR="00C95AB4" w14:paraId="7EB91596" w14:textId="77777777" w:rsidTr="00C95AB4">
        <w:trPr>
          <w:trHeight w:val="20"/>
        </w:trPr>
        <w:tc>
          <w:tcPr>
            <w:cnfStyle w:val="001000000000" w:firstRow="0" w:lastRow="0" w:firstColumn="1" w:lastColumn="0" w:oddVBand="0" w:evenVBand="0" w:oddHBand="0" w:evenHBand="0" w:firstRowFirstColumn="0" w:firstRowLastColumn="0" w:lastRowFirstColumn="0" w:lastRowLastColumn="0"/>
            <w:tcW w:w="894" w:type="pct"/>
            <w:shd w:val="clear" w:color="auto" w:fill="E7F5CF" w:themeFill="accent1" w:themeFillTint="33"/>
          </w:tcPr>
          <w:p w14:paraId="0C943B3A" w14:textId="77777777" w:rsidR="00C95AB4" w:rsidRDefault="00C95AB4" w:rsidP="00C95AB4">
            <w:pPr>
              <w:spacing w:after="0"/>
            </w:pPr>
            <w:r>
              <w:t>Inovace</w:t>
            </w:r>
          </w:p>
        </w:tc>
        <w:tc>
          <w:tcPr>
            <w:tcW w:w="4106" w:type="pct"/>
          </w:tcPr>
          <w:p w14:paraId="2DB0CF94" w14:textId="77777777" w:rsidR="00C95AB4" w:rsidRPr="009C67FD" w:rsidRDefault="00C95AB4" w:rsidP="00C95AB4">
            <w:pPr>
              <w:pStyle w:val="ListParagraph"/>
              <w:numPr>
                <w:ilvl w:val="0"/>
                <w:numId w:val="11"/>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t xml:space="preserve">Oproti minulému programovému období je evidován menší počet žádostí, který je dán snížením poměru dotační podpory, výrazným omezením podpory velkých podniků, negativními zkušenostmi s podporou v předchozím období (zejména vysoká administrativní náročnost a nejasnost metodických pravidel – viz dále) a zvýšeným ekonomickým růstem a finanční kondicí firem, vedoucí k vlastním nedotačním investicím do </w:t>
            </w:r>
            <w:proofErr w:type="spellStart"/>
            <w:r w:rsidRPr="009C67FD">
              <w:t>VaVaI</w:t>
            </w:r>
            <w:proofErr w:type="spellEnd"/>
            <w:r w:rsidRPr="009C67FD">
              <w:t>.</w:t>
            </w:r>
          </w:p>
          <w:p w14:paraId="73181A62" w14:textId="77777777" w:rsidR="00C95AB4" w:rsidRPr="009C67FD" w:rsidRDefault="00C95AB4" w:rsidP="00C95AB4">
            <w:pPr>
              <w:pStyle w:val="ListParagraph"/>
              <w:numPr>
                <w:ilvl w:val="0"/>
                <w:numId w:val="11"/>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t>Předkládané projekty jsou průměrné kvality a dosahují nejčastěji 5. inovačního řádu u MSP a 6. řádu u velkých podniků v souladu s podmínkami výzev. Jen velmi málo projektů aspiruje dle vyjádření gestorů na inovační řády 7. až 9. stupně.</w:t>
            </w:r>
            <w:r w:rsidRPr="009C67FD">
              <w:rPr>
                <w:rStyle w:val="FootnoteReference"/>
              </w:rPr>
              <w:footnoteReference w:id="18"/>
            </w:r>
            <w:r w:rsidRPr="009C67FD">
              <w:t xml:space="preserve"> </w:t>
            </w:r>
          </w:p>
        </w:tc>
      </w:tr>
      <w:tr w:rsidR="00C95AB4" w14:paraId="55C73F2B" w14:textId="77777777" w:rsidTr="00C95A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4" w:type="pct"/>
            <w:shd w:val="clear" w:color="auto" w:fill="E7F5CF" w:themeFill="accent1" w:themeFillTint="33"/>
          </w:tcPr>
          <w:p w14:paraId="1D7E2297" w14:textId="77777777" w:rsidR="00C95AB4" w:rsidRDefault="00C95AB4" w:rsidP="00C95AB4">
            <w:pPr>
              <w:spacing w:after="0"/>
            </w:pPr>
            <w:r>
              <w:t>Potenciál</w:t>
            </w:r>
          </w:p>
        </w:tc>
        <w:tc>
          <w:tcPr>
            <w:tcW w:w="4106" w:type="pct"/>
          </w:tcPr>
          <w:p w14:paraId="0B01C184"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 xml:space="preserve">Potenciál je programem podpory SC 1.1 s nejnižším zájmem žadatelů. Počet předkládaných projektů jen nepatrně převyšuje alokace výzev a to především díky účasti velkých podniků, pro které je zaměření programu na průmyslový výzkum vhodnější. </w:t>
            </w:r>
          </w:p>
          <w:p w14:paraId="5D69A371"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 xml:space="preserve">V případě, že Evropská komise umožní další zapojení velkých podniků, předpokládá se vyčerpání případné realokace až 2 mld. Kč ještě v současném programovém období. V případě, že nebude umožněna účast velkých podniků v požadovaném rozsahu, absorpční kapacita MSP se pohybuje kolem max. 1 mld. Kč. Do budoucna bude klíčové zapojení velkých podniků ať již v prioritních oblastech nízkouhlíkových technologií, úspor energie, Průmyslu 4.0, vodohospodářské infrastruktury nebo velkých konsorciálních projektech. </w:t>
            </w:r>
          </w:p>
          <w:p w14:paraId="38B0129F" w14:textId="77777777" w:rsidR="00C95AB4" w:rsidRPr="009C67FD" w:rsidRDefault="00C95AB4" w:rsidP="00C95AB4">
            <w:pPr>
              <w:pStyle w:val="ListParagraph"/>
              <w:numPr>
                <w:ilvl w:val="0"/>
                <w:numId w:val="11"/>
              </w:numPr>
              <w:spacing w:after="120"/>
              <w:ind w:left="176" w:hanging="176"/>
              <w:contextualSpacing w:val="0"/>
              <w:cnfStyle w:val="000000100000" w:firstRow="0" w:lastRow="0" w:firstColumn="0" w:lastColumn="0" w:oddVBand="0" w:evenVBand="0" w:oddHBand="1" w:evenHBand="0" w:firstRowFirstColumn="0" w:firstRowLastColumn="0" w:lastRowFirstColumn="0" w:lastRowLastColumn="0"/>
            </w:pPr>
            <w:r w:rsidRPr="009C67FD">
              <w:t xml:space="preserve">U vyhodnocení dopadu podpory na investice na pořízení hmotného majetku není dnes zcela jisté, bude-li pořízené vybavení používáno po skončení projektu i nadále k výzkumným a vývojovým účelům. </w:t>
            </w:r>
          </w:p>
        </w:tc>
      </w:tr>
      <w:tr w:rsidR="00C95AB4" w14:paraId="65C6BFA1" w14:textId="77777777" w:rsidTr="00C95AB4">
        <w:trPr>
          <w:trHeight w:val="20"/>
        </w:trPr>
        <w:tc>
          <w:tcPr>
            <w:cnfStyle w:val="001000000000" w:firstRow="0" w:lastRow="0" w:firstColumn="1" w:lastColumn="0" w:oddVBand="0" w:evenVBand="0" w:oddHBand="0" w:evenHBand="0" w:firstRowFirstColumn="0" w:firstRowLastColumn="0" w:lastRowFirstColumn="0" w:lastRowLastColumn="0"/>
            <w:tcW w:w="894" w:type="pct"/>
            <w:shd w:val="clear" w:color="auto" w:fill="E7F5CF" w:themeFill="accent1" w:themeFillTint="33"/>
          </w:tcPr>
          <w:p w14:paraId="57CF338E" w14:textId="77777777" w:rsidR="00C95AB4" w:rsidRDefault="00C95AB4" w:rsidP="00C95AB4">
            <w:pPr>
              <w:spacing w:after="0"/>
            </w:pPr>
            <w:r>
              <w:t>Průřezově</w:t>
            </w:r>
          </w:p>
        </w:tc>
        <w:tc>
          <w:tcPr>
            <w:tcW w:w="4106" w:type="pct"/>
          </w:tcPr>
          <w:p w14:paraId="42F9ADBF"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t xml:space="preserve">Současné programové období je typické svou </w:t>
            </w:r>
            <w:r w:rsidRPr="009C67FD">
              <w:rPr>
                <w:b/>
              </w:rPr>
              <w:t xml:space="preserve">vysokou mírou schválených žádostí </w:t>
            </w:r>
            <w:r w:rsidRPr="009C67FD">
              <w:t xml:space="preserve">v programech Aplikace, Inovace a Potenciál. To je dáno celou řadou faktorů, počínaje možností podat projekt opakovaně a vylepšit tak projektovou žádost a procesem hodnocení konče. Z důvodů příliš dlouhého dvoukolového hodnocení a nedostatku nezávislých externích hodnotitelů řídící orgán zavedl proces vnitřních hodnotitelů projektových žádostí, kteří nemohou disponovat odbornou kvalifikací k věcnému hodnocení projektů z různých technologických a výzkumných oblastí, a hodnocení žádostí je tak zaměřeno více na hodnocení formálních náležitostí a ekonomických aspektů žádosti. Dle tvrzení dotázaných tato skutečnost může vést ke zvýhodnění v případě projektových žádostí velkých podniků nebo žádosti vzniklých za podpory poradenských společností, které naplňují formální náležitosti a podmínky žádostí. Naopak mezi zamítnutými žádostmi mohou být projekty s vyšším inovačním potenciálem, které však byly vyřazeny na základě formálních nedostatků. </w:t>
            </w:r>
          </w:p>
          <w:p w14:paraId="7F8B4615"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rPr>
                <w:b/>
              </w:rPr>
            </w:pPr>
            <w:r w:rsidRPr="009C67FD">
              <w:rPr>
                <w:b/>
              </w:rPr>
              <w:t>Administrace přijímání a hodnocení projektových žádostí, stejně jako kontrola průběhu realizace projektů je nezvykle náročná a vede ke zpožděním.</w:t>
            </w:r>
            <w:r w:rsidRPr="009C67FD">
              <w:t xml:space="preserve"> Formální kontrola a zprocesování žádostí v MS2014+ není efektivní a řada úkonů se musí dělat manuálně mimo systém. V API je podstav projektových manažerů a na každého vychází více jak 100 projektů. V tomto personálním obsazení a nedostatečné technické podpoře není reálně možné vykonávat kontrolu projektů na místě jejich realizace a veškerá kontrola se odehrává pouze formalisticky. V případě vyhlášení dalších dvou výzev (Inovace, Aplikace) panuje reálná obava z dodržení termínů hodnocení a schválení žádostí. </w:t>
            </w:r>
          </w:p>
          <w:p w14:paraId="1D0CA1B2"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rPr>
                <w:b/>
              </w:rPr>
            </w:pPr>
            <w:r w:rsidRPr="009C67FD">
              <w:rPr>
                <w:b/>
              </w:rPr>
              <w:t xml:space="preserve">Realističnost a udržitelnost projektů. </w:t>
            </w:r>
            <w:r w:rsidRPr="009C67FD">
              <w:t xml:space="preserve">Na podpoře SC 1.1 a PO 1 celkově je gestory programů </w:t>
            </w:r>
            <w:r w:rsidRPr="009C67FD">
              <w:rPr>
                <w:b/>
              </w:rPr>
              <w:t>pozitivně hodnocena požadovaná finanční spoluúčast žadatelů</w:t>
            </w:r>
            <w:r w:rsidRPr="009C67FD">
              <w:t xml:space="preserve">. Sdílení nákladů a rizik vede </w:t>
            </w:r>
            <w:r w:rsidRPr="009C67FD">
              <w:rPr>
                <w:b/>
              </w:rPr>
              <w:t>obecně k předkládání udržitelných projektů s realistickými rozpočty</w:t>
            </w:r>
            <w:r w:rsidRPr="009C67FD">
              <w:t xml:space="preserve">, co prokazuje velké množství úspěšně realizovaných projektů a relativně nízký objem vracených prostředků. Výzkum pro soukromé, podnikatelské účely se silnější vazbou na aplikaci výsledků vykazuje </w:t>
            </w:r>
            <w:r w:rsidRPr="009C67FD">
              <w:rPr>
                <w:b/>
              </w:rPr>
              <w:t>větší finanční návratnost než veřejný výzkum</w:t>
            </w:r>
            <w:r w:rsidRPr="009C67FD">
              <w:t xml:space="preserve">, který směřuje spíše ke generování </w:t>
            </w:r>
            <w:r w:rsidRPr="009C67FD">
              <w:rPr>
                <w:b/>
              </w:rPr>
              <w:t xml:space="preserve">nákladů bez přímé vazby na udržitelnost a aplikaci výsledků výzkumu. </w:t>
            </w:r>
          </w:p>
          <w:p w14:paraId="08A3EC21"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rPr>
                <w:b/>
              </w:rPr>
              <w:t>Posouzení vhodné míry podpory pro další programové období.</w:t>
            </w:r>
            <w:r w:rsidRPr="009C67FD">
              <w:t xml:space="preserve"> Zatímco věcní gestoři na řídících orgánech navrhují další snížení poměru dotace až na 30 % pro MSP, zástupci příjemců podpory vidí v dalším snižování poměru dotací velké riziko. Zvláště pro malé podniky je 50 % míra dotace přijatelnou kompenzací za administrativní zátěž spojenou s podporou. </w:t>
            </w:r>
          </w:p>
          <w:p w14:paraId="13A665E3"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rPr>
                <w:b/>
              </w:rPr>
              <w:t xml:space="preserve">Dopad podpory OP PIK na spolupráci s výzkumnými institucemi a jinými podniky. </w:t>
            </w:r>
            <w:r w:rsidRPr="009C67FD">
              <w:t xml:space="preserve">Díky podpoře se podařilo v rámci podpořených podniků navázat řadu spoluprací mezi příjemci podpory a výzkumnými centry, akademickými pracovišti i s dalšími firmami. Určitou, ale nikoli zásadní bariérou přetrvává dílčí financování výzkumu a vývoje. Výzkumné instituce jsou zvyklé na finanční pokrytí 100 % nákladů z OP VVV, TA ČR, HORIZON 2020 apod. a nejsou schopné podobné spolupráce kofinancovat z vlastních zdrojů. Veškeré náklady tak musí nést soukromé podniky. Bariérou pro spolupráci s veřejnými výzkumnými pracovišti je i složité vykazování mzdových nákladů, ze strany výzkumných pracovišť je preferován model platby za služby, typu Inovačních voucherů. Další bariérou je, že řada </w:t>
            </w:r>
            <w:proofErr w:type="spellStart"/>
            <w:r w:rsidRPr="009C67FD">
              <w:t>VaV</w:t>
            </w:r>
            <w:proofErr w:type="spellEnd"/>
            <w:r w:rsidRPr="009C67FD">
              <w:t xml:space="preserve"> pracovišť funguje spíše na bázi projektové realizace a není orientována na aplikační sféru. </w:t>
            </w:r>
            <w:proofErr w:type="spellStart"/>
            <w:r w:rsidRPr="009C67FD">
              <w:t>VaV</w:t>
            </w:r>
            <w:proofErr w:type="spellEnd"/>
            <w:r w:rsidRPr="009C67FD">
              <w:t xml:space="preserve"> nejsou nastavené na financování z výnosů aplikace inovací. Vědečtí pracovníci nejsou honorování svým zaměstnavatelem individuálně, případné zisky jsou integrovány do příjmů celé organizace, což omezuje motivaci vědců na podobných projektech pracovat.</w:t>
            </w:r>
          </w:p>
          <w:p w14:paraId="719F7C45"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rPr>
                <w:b/>
              </w:rPr>
              <w:t xml:space="preserve">Pravidla pro výběr dodavatele a veřejné zakázky, výběrová řízení jsou nevhodně nastavená. </w:t>
            </w:r>
            <w:r w:rsidRPr="009C67FD">
              <w:t xml:space="preserve">Pravidla pro výběr dodavatele mají příliš nízký strop 500 tis. Kč. V sektoru </w:t>
            </w:r>
            <w:proofErr w:type="spellStart"/>
            <w:r w:rsidRPr="009C67FD">
              <w:t>VaVaI</w:t>
            </w:r>
            <w:proofErr w:type="spellEnd"/>
            <w:r w:rsidRPr="009C67FD">
              <w:t xml:space="preserve"> objemy investic často překračují tuto hodnotu, následná výběrová řízení vedou ke zpomalení, zkomplikování projektů a podniky si na jejich administraci často najímají externí společnosti. V některých případech dochází i k odstupování od výběrových řízení a vracení částí dotace. </w:t>
            </w:r>
          </w:p>
          <w:p w14:paraId="0E6F55DC"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rPr>
                <w:b/>
              </w:rPr>
              <w:t xml:space="preserve">Nejednotnost pravidel a časté změny v metodikách. </w:t>
            </w:r>
            <w:r w:rsidRPr="009C67FD">
              <w:t xml:space="preserve">Pro příjemce podpory, ale i pro zprostředkující subjekt jsou náročné poměrně časté změny v metodických příručkách a roztříštěnosti a nejednotnosti výkladu pravidel. Příjemce podpory se musí orientovat v desítkách dokumentů nařízení a metodik upravovaných pro jednotlivé výzvy. Toto často vede k vyhledání podpory ze strany poradenských společností. Nejednotnost výkladu pravidel ze strany ŘO, zprostředkujícího subjektu, MF ČR, NKÚ apod. zvyšuje obavy příjemců ze ztráty dotace a následných sankcí. </w:t>
            </w:r>
          </w:p>
          <w:p w14:paraId="603D96E3" w14:textId="77777777" w:rsidR="00C95AB4" w:rsidRPr="009C67FD" w:rsidRDefault="00C95AB4" w:rsidP="00C95AB4">
            <w:pPr>
              <w:pStyle w:val="ListParagraph"/>
              <w:numPr>
                <w:ilvl w:val="0"/>
                <w:numId w:val="89"/>
              </w:numPr>
              <w:spacing w:after="120"/>
              <w:ind w:left="176" w:hanging="176"/>
              <w:contextualSpacing w:val="0"/>
              <w:cnfStyle w:val="000000000000" w:firstRow="0" w:lastRow="0" w:firstColumn="0" w:lastColumn="0" w:oddVBand="0" w:evenVBand="0" w:oddHBand="0" w:evenHBand="0" w:firstRowFirstColumn="0" w:firstRowLastColumn="0" w:lastRowFirstColumn="0" w:lastRowLastColumn="0"/>
            </w:pPr>
            <w:r w:rsidRPr="009C67FD">
              <w:rPr>
                <w:b/>
              </w:rPr>
              <w:t>Dopad podpořených projektů na životní prostředí</w:t>
            </w:r>
            <w:r w:rsidRPr="009C67FD">
              <w:t xml:space="preserve">. Dle názoru oslovených expertů je zaměření projektu na </w:t>
            </w:r>
            <w:proofErr w:type="spellStart"/>
            <w:r w:rsidRPr="009C67FD">
              <w:t>ekoinovace</w:t>
            </w:r>
            <w:proofErr w:type="spellEnd"/>
            <w:r w:rsidRPr="009C67FD">
              <w:t xml:space="preserve"> a potažmo dopad na životní prostředí v projektech spíše deklaratorní a směřuje ke splnění požadavků výzvy (dosáhnout vyšší bonifikace žádosti). </w:t>
            </w:r>
          </w:p>
          <w:p w14:paraId="35D2649F" w14:textId="77777777" w:rsidR="00C95AB4" w:rsidRPr="009C67FD" w:rsidRDefault="00C95AB4" w:rsidP="00C95AB4">
            <w:pPr>
              <w:pStyle w:val="ListParagraph"/>
              <w:numPr>
                <w:ilvl w:val="0"/>
                <w:numId w:val="89"/>
              </w:numPr>
              <w:spacing w:after="120"/>
              <w:ind w:left="155" w:hanging="180"/>
              <w:contextualSpacing w:val="0"/>
              <w:cnfStyle w:val="000000000000" w:firstRow="0" w:lastRow="0" w:firstColumn="0" w:lastColumn="0" w:oddVBand="0" w:evenVBand="0" w:oddHBand="0" w:evenHBand="0" w:firstRowFirstColumn="0" w:firstRowLastColumn="0" w:lastRowFirstColumn="0" w:lastRowLastColumn="0"/>
            </w:pPr>
            <w:r w:rsidRPr="009C67FD">
              <w:rPr>
                <w:b/>
              </w:rPr>
              <w:t>Indikátory PO 1 OP PIK nezahrnují kontextové/dopadové indikátory</w:t>
            </w:r>
            <w:r w:rsidRPr="009C67FD">
              <w:t xml:space="preserve">, které by umožnily vyhodnocovat dopad podpory i po ukončení projektu. Nastavené indikátory PO 1 OP PIK jsou stanoveny obecně na úrovni výstupů a výsledků. Indikátorová soustava OP PIK </w:t>
            </w:r>
            <w:r w:rsidRPr="009C67FD">
              <w:rPr>
                <w:b/>
              </w:rPr>
              <w:t xml:space="preserve">neumožňuje vyhodnotit změnu „chování“ </w:t>
            </w:r>
            <w:r w:rsidRPr="009C67FD">
              <w:t xml:space="preserve">podpořených podniků ve prospěch vyššího důrazu na </w:t>
            </w:r>
            <w:proofErr w:type="spellStart"/>
            <w:r w:rsidRPr="009C67FD">
              <w:t>VaVaI</w:t>
            </w:r>
            <w:proofErr w:type="spellEnd"/>
            <w:r w:rsidRPr="009C67FD">
              <w:t xml:space="preserve"> a vliv na přechod k výrobě s vyšší přidanou hodnotou. Indikátory také neměří </w:t>
            </w:r>
            <w:r w:rsidRPr="009C67FD">
              <w:rPr>
                <w:b/>
              </w:rPr>
              <w:t>míru inovativnosti výsledků</w:t>
            </w:r>
            <w:r w:rsidRPr="009C67FD">
              <w:t xml:space="preserve">, tzn. zda se jedná o dílčí inovace, které by podnik musel realizovat vzhledem k měnící se poptávce na trhu, nebo průlomové inovace vyššího inovačního řádu. Při vyhodnocování inovační výkonnosti podniků (na základě dat ČSÚ) </w:t>
            </w:r>
            <w:r w:rsidRPr="009C67FD">
              <w:rPr>
                <w:b/>
              </w:rPr>
              <w:t>nelze oddělit vliv podpory OP PIK od všech dalších externalit</w:t>
            </w:r>
            <w:r w:rsidRPr="009C67FD">
              <w:t xml:space="preserve">. </w:t>
            </w:r>
          </w:p>
          <w:p w14:paraId="636AFFA7" w14:textId="77777777" w:rsidR="00C95AB4" w:rsidRPr="009C67FD" w:rsidRDefault="00C95AB4" w:rsidP="00C95AB4">
            <w:pPr>
              <w:pStyle w:val="ListParagraph"/>
              <w:numPr>
                <w:ilvl w:val="0"/>
                <w:numId w:val="89"/>
              </w:numPr>
              <w:spacing w:after="120"/>
              <w:ind w:left="155" w:hanging="155"/>
              <w:contextualSpacing w:val="0"/>
              <w:cnfStyle w:val="000000000000" w:firstRow="0" w:lastRow="0" w:firstColumn="0" w:lastColumn="0" w:oddVBand="0" w:evenVBand="0" w:oddHBand="0" w:evenHBand="0" w:firstRowFirstColumn="0" w:firstRowLastColumn="0" w:lastRowFirstColumn="0" w:lastRowLastColumn="0"/>
            </w:pPr>
            <w:r w:rsidRPr="009C67FD">
              <w:rPr>
                <w:b/>
              </w:rPr>
              <w:t>V ojedinělých případech může docházet k duplikaci podpory s dalšími operačními programy OP VVV a OP PIK.</w:t>
            </w:r>
            <w:r w:rsidRPr="009C67FD">
              <w:t xml:space="preserve"> Nicméně v celkovém objemu finančních prostředků a projektů by se nemělo jednat o významnější problém. </w:t>
            </w:r>
          </w:p>
          <w:p w14:paraId="1ADE85FB" w14:textId="77777777" w:rsidR="00C95AB4" w:rsidRPr="009C67FD" w:rsidRDefault="00C95AB4" w:rsidP="00C95AB4">
            <w:pPr>
              <w:pStyle w:val="ListParagraph"/>
              <w:numPr>
                <w:ilvl w:val="0"/>
                <w:numId w:val="89"/>
              </w:numPr>
              <w:spacing w:after="120"/>
              <w:ind w:left="155" w:hanging="155"/>
              <w:contextualSpacing w:val="0"/>
              <w:cnfStyle w:val="000000000000" w:firstRow="0" w:lastRow="0" w:firstColumn="0" w:lastColumn="0" w:oddVBand="0" w:evenVBand="0" w:oddHBand="0" w:evenHBand="0" w:firstRowFirstColumn="0" w:firstRowLastColumn="0" w:lastRowFirstColumn="0" w:lastRowLastColumn="0"/>
            </w:pPr>
            <w:r w:rsidRPr="009C67FD">
              <w:t xml:space="preserve">Respondenti hodnotili velmi pozitivně také program Inovační vouchery, zejména z důvodu výrazně jednodušší administrativy a rychlejšímu procesu schvalování. Další výhodou je možnost spolupráce s výzkumnými organizacemi na bázi fakturace jejich služeb bez nutnosti dokládání mzdových nákladů. Nevýhodou tohoto programu je nižší objem podpory (299 999 Kč) na projekt, která není pro výzkumná pracoviště zvláštně atraktivní. Nicméně lze doporučit replikovat tento model podpory i v dalších programech podpory, zvláště v programu Potenciál. </w:t>
            </w:r>
          </w:p>
        </w:tc>
      </w:tr>
    </w:tbl>
    <w:p w14:paraId="14B26E57" w14:textId="77777777" w:rsidR="00C95AB4" w:rsidRDefault="00C95AB4" w:rsidP="00C95AB4">
      <w:pPr>
        <w:spacing w:after="0"/>
      </w:pPr>
    </w:p>
    <w:p w14:paraId="1C3FB3D5" w14:textId="77777777" w:rsidR="00C95AB4" w:rsidRPr="00F34AC3" w:rsidRDefault="00C95AB4" w:rsidP="00C95AB4">
      <w:pPr>
        <w:spacing w:after="200" w:line="276" w:lineRule="auto"/>
        <w:jc w:val="both"/>
        <w:rPr>
          <w:b/>
        </w:rPr>
      </w:pPr>
      <w:r>
        <w:rPr>
          <w:b/>
        </w:rPr>
        <w:t>E</w:t>
      </w:r>
      <w:r w:rsidRPr="00F34AC3">
        <w:rPr>
          <w:b/>
        </w:rPr>
        <w:t>fekty a dopady podpory</w:t>
      </w:r>
      <w:r>
        <w:rPr>
          <w:b/>
        </w:rPr>
        <w:t xml:space="preserve"> SC 1.1 OP PIK</w:t>
      </w:r>
    </w:p>
    <w:p w14:paraId="52E2BD02" w14:textId="77777777" w:rsidR="00C95AB4" w:rsidRPr="009C67FD" w:rsidRDefault="00C95AB4" w:rsidP="00C95AB4">
      <w:pPr>
        <w:spacing w:after="200" w:line="276" w:lineRule="auto"/>
        <w:jc w:val="both"/>
      </w:pPr>
      <w:r>
        <w:t>Podpora PO1 má řadu p</w:t>
      </w:r>
      <w:r w:rsidRPr="009C67FD">
        <w:t xml:space="preserve">ozitivních a negativních dopadů na příjemce i celou oblast </w:t>
      </w:r>
      <w:proofErr w:type="spellStart"/>
      <w:r w:rsidRPr="009C67FD">
        <w:t>VaVaI</w:t>
      </w:r>
      <w:proofErr w:type="spellEnd"/>
      <w:r w:rsidRPr="009C67FD">
        <w:t xml:space="preserve">. </w:t>
      </w:r>
    </w:p>
    <w:p w14:paraId="5F79CC44" w14:textId="77777777" w:rsidR="00C95AB4" w:rsidRPr="009C67FD" w:rsidRDefault="00C95AB4" w:rsidP="00C95AB4">
      <w:pPr>
        <w:spacing w:after="200" w:line="276" w:lineRule="auto"/>
        <w:jc w:val="both"/>
      </w:pPr>
      <w:r w:rsidRPr="009C67FD">
        <w:t xml:space="preserve">Mezi </w:t>
      </w:r>
      <w:r w:rsidRPr="009C67FD">
        <w:rPr>
          <w:b/>
        </w:rPr>
        <w:t xml:space="preserve">pozitivní efekty </w:t>
      </w:r>
      <w:r w:rsidRPr="009C67FD">
        <w:t>podpory patří:</w:t>
      </w:r>
    </w:p>
    <w:p w14:paraId="5E9E4509" w14:textId="77777777" w:rsidR="00C95AB4" w:rsidRPr="009C67FD" w:rsidRDefault="00C95AB4" w:rsidP="00C95AB4">
      <w:pPr>
        <w:pStyle w:val="ListParagraph"/>
        <w:numPr>
          <w:ilvl w:val="0"/>
          <w:numId w:val="90"/>
        </w:numPr>
        <w:spacing w:after="120" w:line="276" w:lineRule="auto"/>
        <w:ind w:left="714" w:hanging="357"/>
        <w:contextualSpacing w:val="0"/>
        <w:jc w:val="both"/>
      </w:pPr>
      <w:r w:rsidRPr="009C67FD">
        <w:rPr>
          <w:b/>
        </w:rPr>
        <w:t>Zvýšení důrazu na inovace v podnikové strategii a kultuře</w:t>
      </w:r>
    </w:p>
    <w:p w14:paraId="78CB5F87" w14:textId="77777777" w:rsidR="00C95AB4" w:rsidRPr="009C67FD" w:rsidRDefault="00C95AB4" w:rsidP="00C95AB4">
      <w:pPr>
        <w:pStyle w:val="ListParagraph"/>
        <w:numPr>
          <w:ilvl w:val="0"/>
          <w:numId w:val="90"/>
        </w:numPr>
        <w:spacing w:after="120" w:line="276" w:lineRule="auto"/>
        <w:ind w:left="714" w:hanging="357"/>
        <w:contextualSpacing w:val="0"/>
        <w:jc w:val="both"/>
      </w:pPr>
      <w:r w:rsidRPr="009C67FD">
        <w:t>Zvýšení inovativnosti podniků má pozitivní dopad na HR procesy ve firmě, vnitřní motivaci zaměstnanců a snižování fluktuace</w:t>
      </w:r>
      <w:r>
        <w:t>.</w:t>
      </w:r>
    </w:p>
    <w:p w14:paraId="2D1CC883" w14:textId="77777777" w:rsidR="00C95AB4" w:rsidRDefault="00C95AB4" w:rsidP="00C95AB4">
      <w:pPr>
        <w:pStyle w:val="ListParagraph"/>
        <w:numPr>
          <w:ilvl w:val="0"/>
          <w:numId w:val="90"/>
        </w:numPr>
        <w:spacing w:after="120" w:line="276" w:lineRule="auto"/>
        <w:ind w:left="714" w:hanging="357"/>
        <w:contextualSpacing w:val="0"/>
        <w:jc w:val="both"/>
      </w:pPr>
      <w:r w:rsidRPr="009C67FD">
        <w:rPr>
          <w:b/>
        </w:rPr>
        <w:t>Přilákání zahraničních investorů do ČR, rozšíření či vybudování výzkumných a inovačních center v ČR.</w:t>
      </w:r>
      <w:r w:rsidRPr="009C67FD">
        <w:t xml:space="preserve"> Know-how sice zůstává u zahraničních investorů a majitelů a s případným přesunem výroby je pravděpodobná i ztráta tohoto know-how, nicméně určitou kontinuitu lze předpokládat u tuzemských zaměstnanců, tuzemských subdodavatelů a výzkumných a inovačních center. To</w:t>
      </w:r>
      <w:r>
        <w:t xml:space="preserve"> má přímý dopad na rozvoj regionu, zvyšování nároků na kvalifikované pracovníky, růst mezd a tím i zvyšování jeho atraktivity. </w:t>
      </w:r>
    </w:p>
    <w:p w14:paraId="444516D7" w14:textId="77777777" w:rsidR="00C95AB4" w:rsidRDefault="00C95AB4" w:rsidP="00C95AB4">
      <w:pPr>
        <w:spacing w:after="200" w:line="276" w:lineRule="auto"/>
        <w:jc w:val="both"/>
      </w:pPr>
      <w:r>
        <w:t xml:space="preserve">Poskytování podpory však přináší i </w:t>
      </w:r>
      <w:r w:rsidRPr="003E4246">
        <w:rPr>
          <w:b/>
        </w:rPr>
        <w:t>řadu negativních efektů</w:t>
      </w:r>
      <w:r>
        <w:t xml:space="preserve">, mezi které patří zejména: </w:t>
      </w:r>
    </w:p>
    <w:p w14:paraId="298A1A5C" w14:textId="77777777" w:rsidR="00C95AB4" w:rsidRPr="009450EA" w:rsidRDefault="00C95AB4" w:rsidP="00C95AB4">
      <w:pPr>
        <w:pStyle w:val="ListParagraph"/>
        <w:numPr>
          <w:ilvl w:val="0"/>
          <w:numId w:val="90"/>
        </w:numPr>
        <w:spacing w:after="120" w:line="276" w:lineRule="auto"/>
        <w:ind w:left="714" w:hanging="357"/>
        <w:contextualSpacing w:val="0"/>
        <w:jc w:val="both"/>
        <w:rPr>
          <w:b/>
        </w:rPr>
      </w:pPr>
      <w:r w:rsidRPr="009450EA">
        <w:rPr>
          <w:b/>
        </w:rPr>
        <w:t>Administrativní náročnost procesu podávání žádostí o podporu a fungování systému MS2014</w:t>
      </w:r>
      <w:r>
        <w:rPr>
          <w:b/>
        </w:rPr>
        <w:t>+</w:t>
      </w:r>
      <w:r w:rsidRPr="009450EA">
        <w:rPr>
          <w:b/>
        </w:rPr>
        <w:t xml:space="preserve"> nutí řadu firem využívat služeb externích poradenských firem</w:t>
      </w:r>
      <w:r>
        <w:rPr>
          <w:b/>
        </w:rPr>
        <w:t>.</w:t>
      </w:r>
    </w:p>
    <w:p w14:paraId="3222169C" w14:textId="77777777" w:rsidR="00C95AB4" w:rsidRDefault="00C95AB4" w:rsidP="00C95AB4">
      <w:pPr>
        <w:pStyle w:val="ListParagraph"/>
        <w:numPr>
          <w:ilvl w:val="0"/>
          <w:numId w:val="90"/>
        </w:numPr>
        <w:spacing w:after="120" w:line="276" w:lineRule="auto"/>
        <w:ind w:left="714" w:hanging="357"/>
        <w:contextualSpacing w:val="0"/>
        <w:jc w:val="both"/>
      </w:pPr>
      <w:r w:rsidRPr="009450EA">
        <w:rPr>
          <w:b/>
        </w:rPr>
        <w:t>Pravidla výběru dodavatele a výběrových řízení paradoxně často vedou k neefektivnímu a nehospodárnému výběru dodavatelů s nejistou kvalitou.</w:t>
      </w:r>
      <w:r>
        <w:t xml:space="preserve"> Postup plošného oslovování dodavatelů a následný výběr nejlevnější nabídky znemožňuje průběžné vyjednávání s potenciálními dodavateli, které v běžné praxi vede k dosažení lepší cenové nabídky. </w:t>
      </w:r>
    </w:p>
    <w:p w14:paraId="60CA3AAF" w14:textId="77777777" w:rsidR="00C95AB4" w:rsidRDefault="00C95AB4" w:rsidP="00C95AB4">
      <w:pPr>
        <w:pStyle w:val="ListParagraph"/>
        <w:numPr>
          <w:ilvl w:val="0"/>
          <w:numId w:val="90"/>
        </w:numPr>
        <w:spacing w:after="120" w:line="276" w:lineRule="auto"/>
        <w:ind w:left="714" w:hanging="357"/>
        <w:contextualSpacing w:val="0"/>
        <w:jc w:val="both"/>
      </w:pPr>
      <w:r w:rsidRPr="003E3301">
        <w:rPr>
          <w:b/>
        </w:rPr>
        <w:t>Přizpůsobování projektů vypsaným výzvám a jejich podmínkám.</w:t>
      </w:r>
      <w:r>
        <w:t xml:space="preserve"> S cílem dosáhnout na dotační podporu jsou podniky mnohdy nuceny deformovat své projekty, obchodní a marketingové strategie, aby vyhovovaly definovaným podmínkám výzev. Projekty pak neodpovídají zcela reálným potřebám příjemců a inovačním trendům trhu. Příjemci jsou svázáni dotačními podmínkami a nemohou flexibilně reagovat na změny na trhu. To může paradoxně vést k „zastarávání“ inovací i v průběhu realizace projektu.</w:t>
      </w:r>
    </w:p>
    <w:p w14:paraId="493A2783" w14:textId="77777777" w:rsidR="00C95AB4" w:rsidRDefault="00C95AB4" w:rsidP="00C95AB4">
      <w:pPr>
        <w:pStyle w:val="ListParagraph"/>
        <w:numPr>
          <w:ilvl w:val="0"/>
          <w:numId w:val="90"/>
        </w:numPr>
        <w:spacing w:after="120" w:line="276" w:lineRule="auto"/>
        <w:ind w:left="714" w:hanging="357"/>
        <w:contextualSpacing w:val="0"/>
        <w:jc w:val="both"/>
      </w:pPr>
      <w:r w:rsidRPr="003E3301">
        <w:rPr>
          <w:b/>
        </w:rPr>
        <w:t>Současné nastavení dotační podpory vede k podpoře průměrných podniků a inovací.</w:t>
      </w:r>
      <w:r>
        <w:t xml:space="preserve"> Podniky s větším potenciálem růstu a obratu jsou v podpoře znevýhodněny a podporu tak dostávají i podniky, které by za jiných okolností nebyly schopné se na trhu udržet. </w:t>
      </w:r>
    </w:p>
    <w:p w14:paraId="570AA18F" w14:textId="77777777" w:rsidR="00C95AB4" w:rsidRDefault="00C95AB4" w:rsidP="00C95AB4">
      <w:pPr>
        <w:pStyle w:val="ListParagraph"/>
        <w:numPr>
          <w:ilvl w:val="0"/>
          <w:numId w:val="90"/>
        </w:numPr>
        <w:spacing w:after="120" w:line="276" w:lineRule="auto"/>
        <w:ind w:left="714" w:hanging="357"/>
        <w:contextualSpacing w:val="0"/>
        <w:jc w:val="both"/>
      </w:pPr>
      <w:r w:rsidRPr="009450EA">
        <w:rPr>
          <w:b/>
        </w:rPr>
        <w:t>Bonifikace projektových žádostí za zohlednění průřezových priorit (např. životní prostředí, rovné příležitosti atd.) nevede k jejich reálnému naplnění.</w:t>
      </w:r>
      <w:r>
        <w:t xml:space="preserve"> V mnoha případech bonifikace vede pouze k jejich deklaratornímu zohlednění s cílem zvýšit šance na úspěch žádosti. Reálný přínos projektů v horizontálních principech je minimální.  </w:t>
      </w:r>
    </w:p>
    <w:p w14:paraId="4DE4C40A" w14:textId="77777777" w:rsidR="00C95AB4" w:rsidRDefault="00C95AB4" w:rsidP="00C95AB4">
      <w:pPr>
        <w:pStyle w:val="ListParagraph"/>
        <w:spacing w:after="120" w:line="276" w:lineRule="auto"/>
        <w:ind w:left="714"/>
        <w:contextualSpacing w:val="0"/>
        <w:jc w:val="both"/>
      </w:pPr>
    </w:p>
    <w:p w14:paraId="5C418C59" w14:textId="77777777" w:rsidR="00AC1B2F" w:rsidRDefault="00AC1B2F" w:rsidP="00C95AB4">
      <w:pPr>
        <w:pStyle w:val="ListParagraph"/>
        <w:spacing w:after="120" w:line="276" w:lineRule="auto"/>
        <w:ind w:left="714"/>
        <w:contextualSpacing w:val="0"/>
        <w:jc w:val="both"/>
      </w:pPr>
    </w:p>
    <w:p w14:paraId="59B20E91" w14:textId="77777777" w:rsidR="00AC1B2F" w:rsidRDefault="00AC1B2F" w:rsidP="00C95AB4">
      <w:pPr>
        <w:pStyle w:val="ListParagraph"/>
        <w:spacing w:after="120" w:line="276" w:lineRule="auto"/>
        <w:ind w:left="714"/>
        <w:contextualSpacing w:val="0"/>
        <w:jc w:val="both"/>
      </w:pPr>
    </w:p>
    <w:p w14:paraId="1EE5C185" w14:textId="77777777" w:rsidR="00C95AB4" w:rsidRPr="00ED2398" w:rsidRDefault="00C95AB4" w:rsidP="00C95AB4">
      <w:pPr>
        <w:spacing w:after="200" w:line="276" w:lineRule="auto"/>
        <w:jc w:val="both"/>
        <w:rPr>
          <w:b/>
        </w:rPr>
      </w:pPr>
      <w:r w:rsidRPr="00ED2398">
        <w:rPr>
          <w:b/>
        </w:rPr>
        <w:t>Návrhy na překonávání bariér</w:t>
      </w:r>
    </w:p>
    <w:p w14:paraId="6F3DD3EB" w14:textId="77777777" w:rsidR="00C95AB4" w:rsidRDefault="00C95AB4" w:rsidP="00C95AB4">
      <w:pPr>
        <w:pStyle w:val="ListParagraph"/>
        <w:numPr>
          <w:ilvl w:val="0"/>
          <w:numId w:val="8"/>
        </w:numPr>
        <w:spacing w:after="120" w:line="276" w:lineRule="auto"/>
        <w:ind w:left="714" w:hanging="357"/>
        <w:contextualSpacing w:val="0"/>
        <w:jc w:val="both"/>
      </w:pPr>
      <w:r>
        <w:t xml:space="preserve">Snižovat poměr a objem dotací, podporovat méně, ale o to kvalitnějších projektů, soustředit se na </w:t>
      </w:r>
      <w:r w:rsidRPr="000F2234">
        <w:rPr>
          <w:b/>
        </w:rPr>
        <w:t>stabilizaci podnikatelského prostředí</w:t>
      </w:r>
      <w:r>
        <w:t xml:space="preserve">, podpořit </w:t>
      </w:r>
      <w:proofErr w:type="spellStart"/>
      <w:r>
        <w:t>VaVaI</w:t>
      </w:r>
      <w:proofErr w:type="spellEnd"/>
      <w:r>
        <w:t xml:space="preserve"> účinnějšími formami </w:t>
      </w:r>
      <w:r w:rsidRPr="000F2234">
        <w:rPr>
          <w:b/>
        </w:rPr>
        <w:t>daňového zvýhodnění</w:t>
      </w:r>
      <w:r>
        <w:t xml:space="preserve">. </w:t>
      </w:r>
    </w:p>
    <w:p w14:paraId="31F7DEF3" w14:textId="77777777" w:rsidR="00C95AB4" w:rsidRDefault="00C95AB4" w:rsidP="00C95AB4">
      <w:pPr>
        <w:pStyle w:val="ListParagraph"/>
        <w:numPr>
          <w:ilvl w:val="0"/>
          <w:numId w:val="8"/>
        </w:numPr>
        <w:spacing w:after="120" w:line="276" w:lineRule="auto"/>
        <w:ind w:left="714" w:hanging="357"/>
        <w:contextualSpacing w:val="0"/>
        <w:jc w:val="both"/>
      </w:pPr>
      <w:r>
        <w:t>Snížit administrativní zátěž podávání žádostí o podporu stejně jako jejich kontrolu a hodnocení. S tím souvisí revize monitorovacího systému, zavedení více funkcionalit a prevence duplicit. Inspirovat se způsobem hodnocení, kontroly a proplácením po etapách v Horizon2020.</w:t>
      </w:r>
    </w:p>
    <w:p w14:paraId="0D30DE6E" w14:textId="77777777" w:rsidR="00C95AB4" w:rsidRDefault="00C95AB4" w:rsidP="00C95AB4">
      <w:pPr>
        <w:pStyle w:val="ListParagraph"/>
        <w:numPr>
          <w:ilvl w:val="0"/>
          <w:numId w:val="8"/>
        </w:numPr>
        <w:spacing w:after="120" w:line="276" w:lineRule="auto"/>
        <w:ind w:left="714" w:hanging="357"/>
        <w:contextualSpacing w:val="0"/>
        <w:jc w:val="both"/>
      </w:pPr>
      <w:r>
        <w:t xml:space="preserve">Stabilizovat </w:t>
      </w:r>
      <w:r w:rsidRPr="00FF302A">
        <w:rPr>
          <w:b/>
        </w:rPr>
        <w:t>metodické prostředí</w:t>
      </w:r>
      <w:r>
        <w:t xml:space="preserve">, sjednotit pro celý program, neměnit v průběhu programového období, zpřesnit výklad. Výrazně zjednodušit a neměnit metodiky k výzvám. Zlepšit komunikaci na straně řídícího orgánu a zprostředkovatele. </w:t>
      </w:r>
    </w:p>
    <w:p w14:paraId="26D1E6BF" w14:textId="77777777" w:rsidR="00C95AB4" w:rsidRDefault="00C95AB4" w:rsidP="00C95AB4">
      <w:pPr>
        <w:pStyle w:val="ListParagraph"/>
        <w:numPr>
          <w:ilvl w:val="0"/>
          <w:numId w:val="8"/>
        </w:numPr>
        <w:spacing w:after="120" w:line="276" w:lineRule="auto"/>
        <w:ind w:left="714" w:hanging="357"/>
        <w:contextualSpacing w:val="0"/>
        <w:jc w:val="both"/>
      </w:pPr>
      <w:r>
        <w:t xml:space="preserve">Odstranit podmínku na výběrové řízení na řešitele projektu na začátku projektu. Řešitel je v naprosté většině projektů autorem a tvůrcem projektové žádosti a myšlenky. </w:t>
      </w:r>
    </w:p>
    <w:p w14:paraId="5D8DFD7C" w14:textId="77777777" w:rsidR="00C95AB4" w:rsidRDefault="00C95AB4" w:rsidP="00C95AB4">
      <w:pPr>
        <w:pStyle w:val="ListParagraph"/>
        <w:numPr>
          <w:ilvl w:val="0"/>
          <w:numId w:val="8"/>
        </w:numPr>
        <w:spacing w:after="120" w:line="276" w:lineRule="auto"/>
        <w:ind w:left="714" w:hanging="357"/>
        <w:contextualSpacing w:val="0"/>
        <w:jc w:val="both"/>
      </w:pPr>
      <w:r w:rsidRPr="00116BA5">
        <w:rPr>
          <w:b/>
        </w:rPr>
        <w:t>Zahrnout mzdové náklady do způsobilých nákladů</w:t>
      </w:r>
      <w:r>
        <w:t xml:space="preserve"> a od jejich výše paušálně vypočítat nepřímé náklady ve výši 40 až 50 %. Takové opatření by výrazným způsobem omezilo administrativní zátěž vykazování nákladů. Zároveň by toto opatření vedlo ke zvýšení zájmu o podporu a navýšení počtu žadatelů a projektů. </w:t>
      </w:r>
    </w:p>
    <w:p w14:paraId="2B425E8E" w14:textId="77777777" w:rsidR="00C95AB4" w:rsidRPr="009C67FD" w:rsidRDefault="00C95AB4" w:rsidP="00C95AB4">
      <w:pPr>
        <w:pStyle w:val="ListParagraph"/>
        <w:numPr>
          <w:ilvl w:val="0"/>
          <w:numId w:val="8"/>
        </w:numPr>
        <w:spacing w:after="120" w:line="276" w:lineRule="auto"/>
        <w:ind w:left="714" w:hanging="357"/>
        <w:contextualSpacing w:val="0"/>
        <w:jc w:val="both"/>
      </w:pPr>
      <w:r w:rsidRPr="001A34F0">
        <w:rPr>
          <w:b/>
        </w:rPr>
        <w:t>Navýšit limit pro výběr dodavatele</w:t>
      </w:r>
      <w:r>
        <w:t xml:space="preserve"> např</w:t>
      </w:r>
      <w:r w:rsidRPr="009C67FD">
        <w:t xml:space="preserve">. až na 2 mil. Kč. Současný strop 500 tisíc Kč je příliš nízký v projektech </w:t>
      </w:r>
      <w:proofErr w:type="spellStart"/>
      <w:r w:rsidRPr="009C67FD">
        <w:t>VaVaI</w:t>
      </w:r>
      <w:proofErr w:type="spellEnd"/>
      <w:r w:rsidRPr="009C67FD">
        <w:t xml:space="preserve"> a reálně znamená soutěžení naprosté většiny dodavatelů. Upravit podmínky pro výběr dodavatele, aby nezahrnovaly pravidelné služby advokátů potvrzujících výjimku. </w:t>
      </w:r>
    </w:p>
    <w:p w14:paraId="2C3245A1" w14:textId="77777777" w:rsidR="00C95AB4" w:rsidRPr="009C67FD" w:rsidRDefault="00C95AB4" w:rsidP="00C95AB4">
      <w:pPr>
        <w:pStyle w:val="ListParagraph"/>
        <w:numPr>
          <w:ilvl w:val="0"/>
          <w:numId w:val="8"/>
        </w:numPr>
        <w:spacing w:after="120" w:line="276" w:lineRule="auto"/>
        <w:ind w:left="714" w:hanging="357"/>
        <w:contextualSpacing w:val="0"/>
        <w:jc w:val="both"/>
      </w:pPr>
      <w:r w:rsidRPr="009C67FD">
        <w:t xml:space="preserve">Zavést </w:t>
      </w:r>
      <w:r w:rsidRPr="009C67FD">
        <w:rPr>
          <w:b/>
        </w:rPr>
        <w:t>robustnější systém technické podpory</w:t>
      </w:r>
      <w:r w:rsidRPr="009C67FD">
        <w:t xml:space="preserve"> pro podnikatele a žadatele. Personálně posílit API. </w:t>
      </w:r>
    </w:p>
    <w:p w14:paraId="1FA5F560" w14:textId="77777777" w:rsidR="00C95AB4" w:rsidRPr="009C67FD" w:rsidRDefault="00C95AB4" w:rsidP="00C95AB4">
      <w:pPr>
        <w:pStyle w:val="ListParagraph"/>
        <w:numPr>
          <w:ilvl w:val="0"/>
          <w:numId w:val="8"/>
        </w:numPr>
        <w:spacing w:after="120" w:line="276" w:lineRule="auto"/>
        <w:ind w:left="714" w:hanging="357"/>
        <w:contextualSpacing w:val="0"/>
        <w:jc w:val="both"/>
      </w:pPr>
      <w:r w:rsidRPr="009C67FD">
        <w:t xml:space="preserve">Pozdvihnout průřezové priority dopadu na životní prostředí, nízkouhlíkové technologie, úspory energií apod. z bonifikačních kritérií na samostatná témata výzev či formální podmínky. </w:t>
      </w:r>
    </w:p>
    <w:p w14:paraId="3CC32D15" w14:textId="77777777" w:rsidR="00C95AB4" w:rsidRDefault="00C95AB4" w:rsidP="00C95AB4">
      <w:pPr>
        <w:pStyle w:val="ListParagraph"/>
        <w:numPr>
          <w:ilvl w:val="0"/>
          <w:numId w:val="9"/>
        </w:numPr>
        <w:spacing w:after="120" w:line="276" w:lineRule="auto"/>
        <w:ind w:left="714" w:hanging="357"/>
        <w:contextualSpacing w:val="0"/>
        <w:jc w:val="both"/>
      </w:pPr>
      <w:r w:rsidRPr="009C67FD">
        <w:t>Do přípravy dalšího programového období více zap</w:t>
      </w:r>
      <w:r>
        <w:t xml:space="preserve">ojit zprostředkující subjekty a využít jejich zkušenosti a doporučení. </w:t>
      </w:r>
    </w:p>
    <w:p w14:paraId="26A543DD" w14:textId="77777777" w:rsidR="00C95AB4" w:rsidRDefault="00C95AB4" w:rsidP="00C95AB4">
      <w:pPr>
        <w:pStyle w:val="ListParagraph"/>
        <w:numPr>
          <w:ilvl w:val="0"/>
          <w:numId w:val="9"/>
        </w:numPr>
        <w:spacing w:after="120" w:line="276" w:lineRule="auto"/>
        <w:ind w:left="714" w:hanging="357"/>
        <w:contextualSpacing w:val="0"/>
        <w:jc w:val="both"/>
      </w:pPr>
      <w:r w:rsidRPr="005104A3">
        <w:rPr>
          <w:b/>
        </w:rPr>
        <w:t>Do indikátorové soustavy doplnit dopadové indikátory</w:t>
      </w:r>
      <w:r>
        <w:t xml:space="preserve">, které povedou ke zjišťování změny chování příjemců. Naopak zrušit neopodstatněné indikátory, např. indikátor zaměstnanosti. </w:t>
      </w:r>
    </w:p>
    <w:p w14:paraId="2D2948D5" w14:textId="77777777" w:rsidR="00C95AB4" w:rsidRDefault="00C95AB4" w:rsidP="00C95AB4">
      <w:pPr>
        <w:pStyle w:val="ListParagraph"/>
        <w:numPr>
          <w:ilvl w:val="0"/>
          <w:numId w:val="9"/>
        </w:numPr>
        <w:spacing w:after="120" w:line="276" w:lineRule="auto"/>
        <w:ind w:left="714" w:hanging="357"/>
        <w:contextualSpacing w:val="0"/>
        <w:jc w:val="both"/>
      </w:pPr>
      <w:r>
        <w:t xml:space="preserve">Podporovat sdílení příkladů dobré praxe, i přes zastřešující organizace typu komor a svazů. Šířit osvětu o charakteru inovací s přidanou hodnotou. </w:t>
      </w:r>
    </w:p>
    <w:p w14:paraId="23DBDB2A" w14:textId="77777777" w:rsidR="00C95AB4" w:rsidRDefault="00C95AB4" w:rsidP="00C95AB4">
      <w:pPr>
        <w:pStyle w:val="ListParagraph"/>
        <w:numPr>
          <w:ilvl w:val="0"/>
          <w:numId w:val="9"/>
        </w:numPr>
        <w:jc w:val="both"/>
      </w:pPr>
      <w:r>
        <w:t>Replikovat model poskytování podpory programu Inovační vouchery i na další programy podpory, zvláště program Potenciál.</w:t>
      </w:r>
    </w:p>
    <w:p w14:paraId="44738E2F" w14:textId="77777777" w:rsidR="00C95AB4" w:rsidRDefault="00C95AB4" w:rsidP="00C95AB4">
      <w:pPr>
        <w:pStyle w:val="ListParagraph"/>
        <w:spacing w:after="120" w:line="276" w:lineRule="auto"/>
        <w:ind w:left="714"/>
        <w:contextualSpacing w:val="0"/>
        <w:jc w:val="both"/>
      </w:pPr>
    </w:p>
    <w:p w14:paraId="20227632" w14:textId="77777777" w:rsidR="00C95AB4" w:rsidRPr="00A70BD3" w:rsidRDefault="00C95AB4" w:rsidP="00C95AB4">
      <w:pPr>
        <w:keepNext/>
        <w:spacing w:after="200" w:line="276" w:lineRule="auto"/>
        <w:jc w:val="both"/>
        <w:rPr>
          <w:b/>
        </w:rPr>
      </w:pPr>
      <w:r w:rsidRPr="00A70BD3">
        <w:rPr>
          <w:b/>
        </w:rPr>
        <w:t>Výhled pro další programové období</w:t>
      </w:r>
      <w:r>
        <w:rPr>
          <w:b/>
        </w:rPr>
        <w:t xml:space="preserve"> 2021+</w:t>
      </w:r>
    </w:p>
    <w:p w14:paraId="651D1CD3" w14:textId="77777777" w:rsidR="00C95AB4" w:rsidRDefault="00C95AB4" w:rsidP="00C95AB4">
      <w:pPr>
        <w:spacing w:after="200" w:line="276" w:lineRule="auto"/>
        <w:jc w:val="both"/>
      </w:pPr>
      <w:r>
        <w:t>V příštím programovém období se předpokládá umenšení podpory velkých podniků. Ty budou podporovány pouze při splnění podmínek spolupráce s MSP, která je v současné době spíše výjimkou, při zaměření na prioritní oblasti úspory energie, Průmysl 4.0 nebo nízkouhlíkové technologie. MPO již dnes doporučuje podporu při zaměření projektů na zavádění technologií pro udržitelné hospodaření s vodou.</w:t>
      </w:r>
    </w:p>
    <w:p w14:paraId="28E7C17E" w14:textId="77777777" w:rsidR="00EB2999" w:rsidRPr="00AC1B2F" w:rsidRDefault="00C95AB4" w:rsidP="00AC1B2F">
      <w:pPr>
        <w:sectPr w:rsidR="00EB2999" w:rsidRPr="00AC1B2F" w:rsidSect="00D05D11">
          <w:pgSz w:w="11906" w:h="16838"/>
          <w:pgMar w:top="1985" w:right="2096" w:bottom="1134" w:left="1134" w:header="680" w:footer="567" w:gutter="0"/>
          <w:cols w:space="708"/>
          <w:formProt w:val="0"/>
          <w:docGrid w:linePitch="360" w:charSpace="6143"/>
        </w:sectPr>
      </w:pPr>
      <w:r>
        <w:t>V dalším programovém období lze očekávat větší důraz na podporu funkční spolupráce a budování konsorcií, spolupráce VP a MSP. To bude klást zvýšené nároky jak na přípravu, tak hodnocení žádostí. Příležitostí je podchytit mezigenerační obměnu, ke které v řadě firem dochází a katalyzovat inovační potenciál. Více a efektivněji investovat do transferu znalostí a rozvoje spolupráce.</w:t>
      </w:r>
    </w:p>
    <w:p w14:paraId="5DF6B565" w14:textId="77777777" w:rsidR="009C0662" w:rsidRDefault="009C0662" w:rsidP="009C0662">
      <w:pPr>
        <w:pStyle w:val="Heading1"/>
        <w:spacing w:after="120"/>
      </w:pPr>
      <w:bookmarkStart w:id="107" w:name="_Toc11679651"/>
      <w:r>
        <w:rPr>
          <w:rFonts w:ascii="Verdana" w:eastAsia="MingLiU" w:hAnsi="Verdana" w:cs="Times New Roman"/>
          <w:b w:val="0"/>
          <w:color w:val="auto"/>
          <w:sz w:val="60"/>
          <w:szCs w:val="60"/>
        </w:rPr>
        <w:t xml:space="preserve">Příloha </w:t>
      </w:r>
      <w:r w:rsidR="00145574">
        <w:rPr>
          <w:rFonts w:ascii="Verdana" w:eastAsia="MingLiU" w:hAnsi="Verdana" w:cs="Times New Roman"/>
          <w:b w:val="0"/>
          <w:color w:val="auto"/>
          <w:sz w:val="60"/>
          <w:szCs w:val="60"/>
        </w:rPr>
        <w:t>6</w:t>
      </w:r>
      <w:r w:rsidRPr="00DC0A6C">
        <w:rPr>
          <w:rFonts w:ascii="Verdana" w:eastAsia="MingLiU" w:hAnsi="Verdana" w:cs="Times New Roman"/>
          <w:b w:val="0"/>
          <w:color w:val="auto"/>
          <w:sz w:val="60"/>
          <w:szCs w:val="60"/>
        </w:rPr>
        <w:t>:</w:t>
      </w:r>
      <w:r>
        <w:rPr>
          <w:rFonts w:ascii="Verdana" w:eastAsia="MingLiU" w:hAnsi="Verdana" w:cs="Times New Roman"/>
          <w:b w:val="0"/>
          <w:color w:val="auto"/>
          <w:sz w:val="60"/>
          <w:szCs w:val="60"/>
        </w:rPr>
        <w:t xml:space="preserve"> Definice a komentář k indikátorové soustavě SC 1.1</w:t>
      </w:r>
      <w:bookmarkEnd w:id="107"/>
      <w:r>
        <w:t xml:space="preserve"> </w:t>
      </w:r>
    </w:p>
    <w:p w14:paraId="5C99CD7D" w14:textId="77777777" w:rsidR="009C0662" w:rsidRDefault="009C0662" w:rsidP="002E0C13"/>
    <w:p w14:paraId="136D2089" w14:textId="77777777" w:rsidR="009C0662" w:rsidRDefault="009C0662" w:rsidP="002E0C13"/>
    <w:p w14:paraId="5C85DF5D" w14:textId="77777777" w:rsidR="00B72820" w:rsidRDefault="00B72820" w:rsidP="00CE2FF0">
      <w:pPr>
        <w:pStyle w:val="Caption"/>
      </w:pPr>
      <w:r>
        <w:t>Tabulka 36 - Přehled indikátorové soustavy s definicí a komentářem</w:t>
      </w:r>
    </w:p>
    <w:tbl>
      <w:tblPr>
        <w:tblStyle w:val="ListTable3-Accent12"/>
        <w:tblW w:w="5756" w:type="pct"/>
        <w:tblInd w:w="-572" w:type="dxa"/>
        <w:tblCellMar>
          <w:left w:w="57" w:type="dxa"/>
          <w:right w:w="57" w:type="dxa"/>
        </w:tblCellMar>
        <w:tblLook w:val="04A0" w:firstRow="1" w:lastRow="0" w:firstColumn="1" w:lastColumn="0" w:noHBand="0" w:noVBand="1"/>
      </w:tblPr>
      <w:tblGrid>
        <w:gridCol w:w="1076"/>
        <w:gridCol w:w="2153"/>
        <w:gridCol w:w="7481"/>
        <w:gridCol w:w="5072"/>
      </w:tblGrid>
      <w:tr w:rsidR="009C0662" w:rsidRPr="009C0662" w14:paraId="6414922E" w14:textId="77777777" w:rsidTr="00194076">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100" w:firstRow="0" w:lastRow="0" w:firstColumn="1" w:lastColumn="0" w:oddVBand="0" w:evenVBand="0" w:oddHBand="0" w:evenHBand="0" w:firstRowFirstColumn="1" w:firstRowLastColumn="0" w:lastRowFirstColumn="0" w:lastRowLastColumn="0"/>
            <w:tcW w:w="341" w:type="pct"/>
            <w:tcBorders>
              <w:bottom w:val="single" w:sz="4" w:space="0" w:color="86BC25" w:themeColor="accent1"/>
            </w:tcBorders>
            <w:vAlign w:val="center"/>
          </w:tcPr>
          <w:p w14:paraId="16D6EA73" w14:textId="77777777" w:rsidR="009C0662" w:rsidRPr="009C0662" w:rsidRDefault="009C0662" w:rsidP="00E47B1C">
            <w:pPr>
              <w:spacing w:after="0" w:line="240" w:lineRule="auto"/>
              <w:ind w:right="-51"/>
              <w:rPr>
                <w:rFonts w:asciiTheme="minorHAnsi" w:hAnsiTheme="minorHAnsi"/>
                <w:color w:val="FFFFFF" w:themeColor="background1"/>
                <w:sz w:val="16"/>
                <w:szCs w:val="16"/>
              </w:rPr>
            </w:pPr>
            <w:r w:rsidRPr="009C0662">
              <w:rPr>
                <w:rFonts w:asciiTheme="minorHAnsi" w:hAnsiTheme="minorHAnsi"/>
                <w:color w:val="FFFFFF" w:themeColor="background1"/>
                <w:sz w:val="16"/>
                <w:szCs w:val="16"/>
              </w:rPr>
              <w:t>Kód indikátoru</w:t>
            </w:r>
          </w:p>
        </w:tc>
        <w:tc>
          <w:tcPr>
            <w:tcW w:w="682" w:type="pct"/>
            <w:tcBorders>
              <w:bottom w:val="single" w:sz="4" w:space="0" w:color="86BC25" w:themeColor="accent1"/>
            </w:tcBorders>
            <w:vAlign w:val="center"/>
          </w:tcPr>
          <w:p w14:paraId="4DECF453" w14:textId="77777777" w:rsidR="009C0662" w:rsidRPr="009C0662" w:rsidRDefault="009C0662" w:rsidP="00E47B1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6"/>
                <w:szCs w:val="16"/>
              </w:rPr>
            </w:pPr>
            <w:r w:rsidRPr="009C0662">
              <w:rPr>
                <w:rFonts w:asciiTheme="minorHAnsi" w:hAnsiTheme="minorHAnsi"/>
                <w:color w:val="FFFFFF" w:themeColor="background1"/>
                <w:sz w:val="16"/>
                <w:szCs w:val="16"/>
              </w:rPr>
              <w:t>Název indikátoru</w:t>
            </w:r>
          </w:p>
        </w:tc>
        <w:tc>
          <w:tcPr>
            <w:tcW w:w="2370" w:type="pct"/>
            <w:tcBorders>
              <w:bottom w:val="single" w:sz="4" w:space="0" w:color="86BC25" w:themeColor="accent1"/>
            </w:tcBorders>
            <w:vAlign w:val="center"/>
          </w:tcPr>
          <w:p w14:paraId="1665F6FC" w14:textId="77777777" w:rsidR="009C0662" w:rsidRPr="009C0662" w:rsidRDefault="009C0662" w:rsidP="00E47B1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6"/>
                <w:szCs w:val="16"/>
              </w:rPr>
            </w:pPr>
            <w:r w:rsidRPr="009C0662">
              <w:rPr>
                <w:rFonts w:asciiTheme="minorHAnsi" w:hAnsiTheme="minorHAnsi"/>
                <w:color w:val="FFFFFF" w:themeColor="background1"/>
                <w:sz w:val="16"/>
                <w:szCs w:val="16"/>
              </w:rPr>
              <w:t>Definice</w:t>
            </w:r>
          </w:p>
        </w:tc>
        <w:tc>
          <w:tcPr>
            <w:tcW w:w="1607" w:type="pct"/>
            <w:tcBorders>
              <w:bottom w:val="single" w:sz="4" w:space="0" w:color="86BC25" w:themeColor="accent1"/>
            </w:tcBorders>
            <w:vAlign w:val="center"/>
          </w:tcPr>
          <w:p w14:paraId="60C0EB6D" w14:textId="77777777" w:rsidR="009C0662" w:rsidRPr="009C0662" w:rsidRDefault="009C0662" w:rsidP="00E47B1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6"/>
                <w:szCs w:val="16"/>
              </w:rPr>
            </w:pPr>
            <w:r w:rsidRPr="009C0662">
              <w:rPr>
                <w:rFonts w:asciiTheme="minorHAnsi" w:hAnsiTheme="minorHAnsi"/>
                <w:color w:val="FFFFFF" w:themeColor="background1"/>
                <w:sz w:val="16"/>
                <w:szCs w:val="16"/>
              </w:rPr>
              <w:t>Komentář</w:t>
            </w:r>
          </w:p>
        </w:tc>
      </w:tr>
      <w:tr w:rsidR="009C0662" w:rsidRPr="00BD092D" w14:paraId="01172405"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0438E9E6"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10000</w:t>
            </w:r>
          </w:p>
        </w:tc>
        <w:tc>
          <w:tcPr>
            <w:tcW w:w="682" w:type="pct"/>
            <w:shd w:val="clear" w:color="auto" w:fill="E7F5CF" w:themeFill="accent1" w:themeFillTint="33"/>
          </w:tcPr>
          <w:p w14:paraId="1671C159"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pobírajících podporu</w:t>
            </w:r>
          </w:p>
        </w:tc>
        <w:tc>
          <w:tcPr>
            <w:tcW w:w="2370" w:type="pct"/>
          </w:tcPr>
          <w:p w14:paraId="25132DEE"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které obdržely podporu ze strukturálních fondů. Podnik: organizace produkující produkty nebo služby k uspokojení potřeb trhu a za účelem dosažení zisku. Právní forma podniku může být různá (OSVČ, sdružení apod.).</w:t>
            </w:r>
          </w:p>
        </w:tc>
        <w:tc>
          <w:tcPr>
            <w:tcW w:w="1607" w:type="pct"/>
            <w:tcBorders>
              <w:right w:val="nil"/>
            </w:tcBorders>
          </w:tcPr>
          <w:p w14:paraId="6BD5B895"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Z celkového počtu 1507 projektů bylo podpořeno, resp. byl vydán právní akt, pro 1142 podniků. U 365 projektů byla identifikována duplicita příjemce, tzn. že daná organizace realizuje více než jeden projekt podpořený v rámci SC 1.1. V případě 317 podniků byla realizace projektu již ukončena.</w:t>
            </w:r>
          </w:p>
        </w:tc>
      </w:tr>
      <w:tr w:rsidR="009C0662" w:rsidRPr="00BD092D" w14:paraId="0D291C3F"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6FCD78E7"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10102</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38A432C0"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pobírajících granty</w:t>
            </w:r>
          </w:p>
        </w:tc>
        <w:tc>
          <w:tcPr>
            <w:tcW w:w="2370" w:type="pct"/>
            <w:tcBorders>
              <w:top w:val="single" w:sz="4" w:space="0" w:color="86BC25" w:themeColor="accent1"/>
              <w:bottom w:val="single" w:sz="4" w:space="0" w:color="86BC25" w:themeColor="accent1"/>
            </w:tcBorders>
          </w:tcPr>
          <w:p w14:paraId="0E3BC64C"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podpořených firem, které obdržely podporu ve formě nenávratné přímé finanční pomoci. Do indikátoru se započítávají pouze úspěšně podpořené firmy, tzn. z projektů, které úspěšně ukončily svou realizaci. Firma: firma, produkující výrobky či služby k uspokojení potřeb trhu s cílem dosáhnout zisk. Tento indikátor měří počet podniků bez ohledu na počet podpor, které jedna firma získala. Tzn. pokud jedna firma získá více podpor (dotací), vykazuje se stále jako jedna).</w:t>
            </w:r>
          </w:p>
        </w:tc>
        <w:tc>
          <w:tcPr>
            <w:tcW w:w="1607" w:type="pct"/>
            <w:tcBorders>
              <w:top w:val="single" w:sz="4" w:space="0" w:color="86BC25" w:themeColor="accent1"/>
              <w:bottom w:val="single" w:sz="4" w:space="0" w:color="86BC25" w:themeColor="accent1"/>
              <w:right w:val="nil"/>
            </w:tcBorders>
          </w:tcPr>
          <w:p w14:paraId="2632FD38"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Z celkového počtu 1507 projektů bylo podpořeno, resp. byl vydán právní akt, pro 1142 podniků. U 365 projektů byla identifikována duplicita příjemce, tzn. že daná organizace realizuje více než jeden projekt podpořený v rámci SC 1.1. V případě 317 podniků byla realizace projektu již ukončena.</w:t>
            </w:r>
          </w:p>
        </w:tc>
      </w:tr>
      <w:tr w:rsidR="009C0662" w:rsidRPr="00BD092D" w14:paraId="77981DDB"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7D2D5AA0"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10300</w:t>
            </w:r>
          </w:p>
        </w:tc>
        <w:tc>
          <w:tcPr>
            <w:tcW w:w="682" w:type="pct"/>
            <w:shd w:val="clear" w:color="auto" w:fill="E7F5CF" w:themeFill="accent1" w:themeFillTint="33"/>
          </w:tcPr>
          <w:p w14:paraId="4FFA9FBD"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Soukromé investice odpovídající veřejné podpoře podniků (granty)</w:t>
            </w:r>
          </w:p>
          <w:p w14:paraId="5CCEF9FD"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370" w:type="pct"/>
          </w:tcPr>
          <w:p w14:paraId="0B594112"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Celkový součet soukromých zdrojů konečných příjemců, které byly použity pro realizaci projektu. Použití soukromých zdrojů na nezpůsobilé výdaje se započítává.</w:t>
            </w:r>
          </w:p>
        </w:tc>
        <w:tc>
          <w:tcPr>
            <w:tcW w:w="1607" w:type="pct"/>
            <w:tcBorders>
              <w:right w:val="nil"/>
            </w:tcBorders>
          </w:tcPr>
          <w:p w14:paraId="7A220110"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Údaje z MS2014+ obsahují pouze celkové způsobilé výdaje (CZV), uvedení hodnoty tak nezohledňují nezpůsobilé výdaje. Hodnota odpovídá rozdílu CZV – příspěvek EU. </w:t>
            </w:r>
          </w:p>
          <w:p w14:paraId="058FC57E"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662" w:rsidRPr="00BD092D" w14:paraId="0C3061F0"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21BE4569"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20000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1B798186" w14:textId="77777777" w:rsidR="009C0662" w:rsidRPr="00BD092D" w:rsidRDefault="009C0662" w:rsidP="00E47B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spolupracujících s výzkumnými institucemi</w:t>
            </w:r>
          </w:p>
          <w:p w14:paraId="1F6AA3E2"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2370" w:type="pct"/>
            <w:tcBorders>
              <w:top w:val="single" w:sz="4" w:space="0" w:color="86BC25" w:themeColor="accent1"/>
              <w:bottom w:val="single" w:sz="4" w:space="0" w:color="86BC25" w:themeColor="accent1"/>
            </w:tcBorders>
          </w:tcPr>
          <w:p w14:paraId="591DE367"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firem, které spolupracují s výzkumnou institucí na projektech v oblasti V&amp;V. Alespoň jeden podnik a jedna výzkumná instituce se musí účastnit realizovaného projektu. Jedna nebo více spolupracujících stran (výzkumná instituce nebo podnik) může získat podporu, ale toto musí být podmíněno spoluprací. Spolupráce může být nová nebo existující. Spolupráce musí trvat alespoň po dobu trvání projektu. Firma: organizace, produkující výrobky nebo služby k uspokojení potřeb trhu s cílem dosáhnout zisk. Výzkumná instituce: organizace, jejích primární činností je V&amp;V.</w:t>
            </w:r>
          </w:p>
        </w:tc>
        <w:tc>
          <w:tcPr>
            <w:tcW w:w="1607" w:type="pct"/>
            <w:tcBorders>
              <w:top w:val="single" w:sz="4" w:space="0" w:color="86BC25" w:themeColor="accent1"/>
              <w:bottom w:val="single" w:sz="4" w:space="0" w:color="86BC25" w:themeColor="accent1"/>
              <w:right w:val="nil"/>
            </w:tcBorders>
          </w:tcPr>
          <w:p w14:paraId="6AA9B923"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programy APL, INO, POT.</w:t>
            </w:r>
          </w:p>
        </w:tc>
      </w:tr>
      <w:tr w:rsidR="009C0662" w:rsidRPr="00BD092D" w14:paraId="50332004"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3729EF15"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20101</w:t>
            </w:r>
          </w:p>
        </w:tc>
        <w:tc>
          <w:tcPr>
            <w:tcW w:w="682" w:type="pct"/>
            <w:shd w:val="clear" w:color="auto" w:fill="E7F5CF" w:themeFill="accent1" w:themeFillTint="33"/>
          </w:tcPr>
          <w:p w14:paraId="5EC5C9A0"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výzkumných organizací spolupracujících s firmami</w:t>
            </w:r>
          </w:p>
        </w:tc>
        <w:tc>
          <w:tcPr>
            <w:tcW w:w="2370" w:type="pct"/>
          </w:tcPr>
          <w:p w14:paraId="64D4E686"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podpořených výzkumných organizací, které spolupracují s firmou na projektech v oblasti V&amp;V. Alespoň jeden podnik a jedna výzkumná instituce se musí účastnit realizovaného projektu. Spolupráce musí trvat alespoň po dobu trvání projektu.</w:t>
            </w:r>
          </w:p>
        </w:tc>
        <w:tc>
          <w:tcPr>
            <w:tcW w:w="1607" w:type="pct"/>
            <w:tcBorders>
              <w:right w:val="nil"/>
            </w:tcBorders>
          </w:tcPr>
          <w:p w14:paraId="569C95FE"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programy APL. Indikátor vykazuje velmi nízkou hodnotu naplnění.</w:t>
            </w:r>
          </w:p>
        </w:tc>
      </w:tr>
      <w:tr w:rsidR="009C0662" w:rsidRPr="00BD092D" w14:paraId="6AEF75BF"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54602520"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20400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077D1724"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nových výzkumných pracovníků v podporovaných subjektech</w:t>
            </w:r>
          </w:p>
        </w:tc>
        <w:tc>
          <w:tcPr>
            <w:tcW w:w="2370" w:type="pct"/>
            <w:tcBorders>
              <w:top w:val="single" w:sz="4" w:space="0" w:color="86BC25" w:themeColor="accent1"/>
              <w:bottom w:val="single" w:sz="4" w:space="0" w:color="86BC25" w:themeColor="accent1"/>
            </w:tcBorders>
          </w:tcPr>
          <w:p w14:paraId="64ED83BD"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Hodnota daného indikátoru je měřená jako počet všech nově vytvořených pracovních míst obsazených výzkumnými pracovníky přepočítaných na FTE. Pracovní místo je přímým výsledkem implementace nebo realizace projektu, musí být obsazeno (volná místa nejsou započítána) a zvýšit celkový počet výzkumných pracovních míst v organizaci. Zaměstnanci podpory výzkumu (ne přímo zapojení v aktivitách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nejsou započteni. Indikátor se zaměřuje na zaměstnance. Podpořená instituce může být nová nebo existující. V případě projektů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může být trvání zaměstnání kratší ("projektová podpora"). Pozice vytvářené v různých projektech se sčítají (v případě, že všechny uvedené projekty pobírají podporu); toto není považováno za vícenásobné započítání.</w:t>
            </w:r>
          </w:p>
        </w:tc>
        <w:tc>
          <w:tcPr>
            <w:tcW w:w="1607" w:type="pct"/>
            <w:tcBorders>
              <w:top w:val="single" w:sz="4" w:space="0" w:color="86BC25" w:themeColor="accent1"/>
              <w:bottom w:val="single" w:sz="4" w:space="0" w:color="86BC25" w:themeColor="accent1"/>
              <w:right w:val="nil"/>
            </w:tcBorders>
          </w:tcPr>
          <w:p w14:paraId="06E3C454"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programy APL, INO, POT. Indikátor vykazuje velmi nízkou hodnotu naplnění.</w:t>
            </w:r>
          </w:p>
        </w:tc>
      </w:tr>
      <w:tr w:rsidR="009C0662" w:rsidRPr="00BD092D" w14:paraId="3093CB56"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7F85192B"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20702</w:t>
            </w:r>
          </w:p>
        </w:tc>
        <w:tc>
          <w:tcPr>
            <w:tcW w:w="682" w:type="pct"/>
            <w:shd w:val="clear" w:color="auto" w:fill="E7F5CF" w:themeFill="accent1" w:themeFillTint="33"/>
          </w:tcPr>
          <w:p w14:paraId="30237F55"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Počet nově vytvořených pracovních míst, zaměstnanci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 ženy</w:t>
            </w:r>
          </w:p>
        </w:tc>
        <w:tc>
          <w:tcPr>
            <w:tcW w:w="2370" w:type="pct"/>
          </w:tcPr>
          <w:p w14:paraId="5CD8AB55"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Počet nově vytvořených pracovních míst (FTE) pro ženy v oblasti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generovaných programem. Hodnota daného indikátoru je měřená jako součet všech nově vytvořených FTE pracovních míst pro ženy v oblasti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tj. dána součtem FTE úvazků všech žen - zaměstnankyň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v podpořeném projektu.</w:t>
            </w:r>
          </w:p>
        </w:tc>
        <w:tc>
          <w:tcPr>
            <w:tcW w:w="1607" w:type="pct"/>
            <w:tcBorders>
              <w:right w:val="nil"/>
            </w:tcBorders>
          </w:tcPr>
          <w:p w14:paraId="7F31B258"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programy APL, INO, POT. Indikátor vykazuje velmi nízkou hodnotu naplnění.</w:t>
            </w:r>
          </w:p>
        </w:tc>
      </w:tr>
      <w:tr w:rsidR="009C0662" w:rsidRPr="00BD092D" w14:paraId="790324C1"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30EC7557"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20900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7A5E4EF0"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Soukromé investice v projektech s veřejnou podporou v oblasti inovací nebo výzkumu a vývoje</w:t>
            </w:r>
          </w:p>
        </w:tc>
        <w:tc>
          <w:tcPr>
            <w:tcW w:w="2370" w:type="pct"/>
            <w:tcBorders>
              <w:top w:val="single" w:sz="4" w:space="0" w:color="86BC25" w:themeColor="accent1"/>
              <w:bottom w:val="single" w:sz="4" w:space="0" w:color="86BC25" w:themeColor="accent1"/>
            </w:tcBorders>
          </w:tcPr>
          <w:p w14:paraId="0F074035"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Celková hodnota příspěvku soukromého sektoru v oblasti pro inovace a podpory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Hodnota zahrnuje rovněž nezpůsobilé výdaje projektu. V případě, že je podpora realizovaná jako veřejná podpora (viz společné indikátory CO06 a CO07), toto musí být vykázáno ve všech relevantních indikátorech.</w:t>
            </w:r>
          </w:p>
          <w:p w14:paraId="2436DDD7"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607" w:type="pct"/>
            <w:tcBorders>
              <w:top w:val="single" w:sz="4" w:space="0" w:color="86BC25" w:themeColor="accent1"/>
              <w:bottom w:val="single" w:sz="4" w:space="0" w:color="86BC25" w:themeColor="accent1"/>
              <w:right w:val="nil"/>
            </w:tcBorders>
          </w:tcPr>
          <w:p w14:paraId="67E93780"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Údaje z MS2014+ obsahují pouze celkové způsobilé výdaje (CZV), uvedení hodnoty tak nezohledňují nezpůsobilé výdaje. Hodnota odpovídá rozdílu CZV – příspěvek EU.</w:t>
            </w:r>
          </w:p>
        </w:tc>
      </w:tr>
      <w:tr w:rsidR="009C0662" w:rsidRPr="00BD092D" w14:paraId="19E480D3"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08A5F89A"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21010</w:t>
            </w:r>
          </w:p>
        </w:tc>
        <w:tc>
          <w:tcPr>
            <w:tcW w:w="682" w:type="pct"/>
            <w:shd w:val="clear" w:color="auto" w:fill="E7F5CF" w:themeFill="accent1" w:themeFillTint="33"/>
          </w:tcPr>
          <w:p w14:paraId="623EE26B"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Podnikové výdaje na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v podnikatelském sektoru jako % HDP - regiony ČR (mimo hl. m. Praha)</w:t>
            </w:r>
          </w:p>
        </w:tc>
        <w:tc>
          <w:tcPr>
            <w:tcW w:w="2370" w:type="pct"/>
          </w:tcPr>
          <w:p w14:paraId="2180FEBC"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Domácí a zahraniční podnikové výdaje spotřebované na </w:t>
            </w:r>
            <w:proofErr w:type="spellStart"/>
            <w:r w:rsidRPr="00BD092D">
              <w:rPr>
                <w:rFonts w:asciiTheme="minorHAnsi" w:hAnsiTheme="minorHAnsi"/>
                <w:sz w:val="16"/>
                <w:szCs w:val="16"/>
              </w:rPr>
              <w:t>VaV</w:t>
            </w:r>
            <w:proofErr w:type="spellEnd"/>
            <w:r w:rsidRPr="00BD092D">
              <w:rPr>
                <w:rFonts w:asciiTheme="minorHAnsi" w:hAnsiTheme="minorHAnsi"/>
                <w:sz w:val="16"/>
                <w:szCs w:val="16"/>
              </w:rPr>
              <w:t xml:space="preserve"> v podnikatelském sektoru (BERD) jako podíl na celkovém HDP v běžných cenách (výrobní metodou) v regionech kromě hl. m. Prahy.</w:t>
            </w:r>
          </w:p>
        </w:tc>
        <w:tc>
          <w:tcPr>
            <w:tcW w:w="1607" w:type="pct"/>
            <w:tcBorders>
              <w:right w:val="nil"/>
            </w:tcBorders>
          </w:tcPr>
          <w:p w14:paraId="6CB9404B"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Dosažená hodnota v roce 2017. Údaj dosažené hodnoty poskytnut Zadavatelem.</w:t>
            </w:r>
          </w:p>
        </w:tc>
      </w:tr>
      <w:tr w:rsidR="009C0662" w:rsidRPr="00BD092D" w14:paraId="2FB5230B"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6E2ED0A1"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21200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15069040"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které dostávají podporu pro účely uvádění nových výrobků na trh</w:t>
            </w:r>
          </w:p>
        </w:tc>
        <w:tc>
          <w:tcPr>
            <w:tcW w:w="2370" w:type="pct"/>
            <w:tcBorders>
              <w:top w:val="single" w:sz="4" w:space="0" w:color="86BC25" w:themeColor="accent1"/>
              <w:bottom w:val="single" w:sz="4" w:space="0" w:color="86BC25" w:themeColor="accent1"/>
            </w:tcBorders>
          </w:tcPr>
          <w:p w14:paraId="37D8A01F"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podpořených firem, které uvedly na trh nový produkt. Zahrnuje procesní inovaci, pokud proces přispívá k rozvoji nového produktu. Produkt je na trhu nový, pokud na trhu neexistují žádné jiné produkty, které nabízí identickou funkci nebo technologii, kterou produkt používá. Produkt je zásadně odlišný od technologie již existujících produktů. Produkty mohou být hmotného nebo nehmotného charakteru. Projekty, které neměly za cíl nový produkt vyrobit se nezapočítávají do tohoto indikátoru. Pokud podnik uvede na trh více než jeden produkt, započítává se pouze jednou. V případě projektů spolupráce sleduje indikátor všechny zúčastněné podniky. Podpořené projekty, které cílily k uvedení nového produktu na trh, ale neuspěly, jsou rovněž započteny. V případě, že je produkt nový pro trh a rovněž i pro podnik, podnik je započten v obou příslušných indikátorech. Indikátor sleduje, zda je podnik podpořen k rozvoji produktu nového pro trh v některém z jeho trhů. Vymezení trhu (geografické nebo jiné) je definováno ŘO, a je založeno na aktivitě podniku, který podporu pobírá.</w:t>
            </w:r>
          </w:p>
        </w:tc>
        <w:tc>
          <w:tcPr>
            <w:tcW w:w="1607" w:type="pct"/>
            <w:tcBorders>
              <w:top w:val="single" w:sz="4" w:space="0" w:color="86BC25" w:themeColor="accent1"/>
              <w:bottom w:val="single" w:sz="4" w:space="0" w:color="86BC25" w:themeColor="accent1"/>
              <w:right w:val="nil"/>
            </w:tcBorders>
          </w:tcPr>
          <w:p w14:paraId="0C8399EF"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w:t>
            </w:r>
          </w:p>
        </w:tc>
      </w:tr>
      <w:tr w:rsidR="009C0662" w:rsidRPr="00BD092D" w14:paraId="09DCE721"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530E1FD5"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21301</w:t>
            </w:r>
          </w:p>
        </w:tc>
        <w:tc>
          <w:tcPr>
            <w:tcW w:w="682" w:type="pct"/>
            <w:shd w:val="clear" w:color="auto" w:fill="E7F5CF" w:themeFill="accent1" w:themeFillTint="33"/>
          </w:tcPr>
          <w:p w14:paraId="5FE8091E"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podniků, které dostávají podporu pro účely zavádění výrobků nových pro podnik</w:t>
            </w:r>
          </w:p>
        </w:tc>
        <w:tc>
          <w:tcPr>
            <w:tcW w:w="2370" w:type="pct"/>
          </w:tcPr>
          <w:p w14:paraId="63B29C76"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podpořených firem, které zavedly nové produkty. Indikátor zahrnuje procesní inovaci, pokud proces přispívá k rozvoji nového produktu. Projekty, které nejsou s jasným cílem skutečně produkt vyvinout, jsou vyloučeny. Pokud podnik uvede na trh více než jeden produkt započítává se pouze jednou. V případě projektů spolupráce měří indikátor všechny zúčastněné podniky, pro které je produkt nový. Produkt je pro organizaci nový, jestliže tato organizace ještě nepoužívala výrobek s identickou funkcionalitou, nebo je jeho výrobní technologie významně odlišná od technologie již vyráběných produktů. produkty mohou být hmotného nebo nehmotného charakteru. Podpořené projekty, které cílily k uvedení nového produktu na trh, ale neuspěly, jsou rovněž započteny. V případě, že je produkt nový pro trh a rovněž i pro podnik, podnik je počten v obou příslušných indikátorech.</w:t>
            </w:r>
          </w:p>
        </w:tc>
        <w:tc>
          <w:tcPr>
            <w:tcW w:w="1607" w:type="pct"/>
            <w:tcBorders>
              <w:right w:val="nil"/>
            </w:tcBorders>
          </w:tcPr>
          <w:p w14:paraId="56294F88"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 Indikátor vykazuje velmi nízkou hodnotu naplnění.</w:t>
            </w:r>
          </w:p>
        </w:tc>
      </w:tr>
      <w:tr w:rsidR="009C0662" w:rsidRPr="00BD092D" w14:paraId="2A46C900"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7A9BA4D7"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21410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400FD3BA"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Tržby podpořených podniků v důsledku zavedené inovace</w:t>
            </w:r>
          </w:p>
        </w:tc>
        <w:tc>
          <w:tcPr>
            <w:tcW w:w="2370" w:type="pct"/>
            <w:tcBorders>
              <w:top w:val="single" w:sz="4" w:space="0" w:color="86BC25" w:themeColor="accent1"/>
              <w:bottom w:val="single" w:sz="4" w:space="0" w:color="86BC25" w:themeColor="accent1"/>
            </w:tcBorders>
          </w:tcPr>
          <w:p w14:paraId="3A3A57B8"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Tržby z vlastních nových nebo inovovaných výrobků a služeb týkajících se předmětu projektu. Tím se myslí také organizační a marketingová inovace daného typu. Hodnota se vykazuje od data uvedení nového nebo inovovaného výrobku na trh, popř. od zavedení nového procesu výroby, a to až do doby ukončení monitorovacího období projektu. Počáteční hodnota je 0.</w:t>
            </w:r>
          </w:p>
        </w:tc>
        <w:tc>
          <w:tcPr>
            <w:tcW w:w="1607" w:type="pct"/>
            <w:tcBorders>
              <w:top w:val="single" w:sz="4" w:space="0" w:color="86BC25" w:themeColor="accent1"/>
              <w:bottom w:val="single" w:sz="4" w:space="0" w:color="86BC25" w:themeColor="accent1"/>
              <w:right w:val="nil"/>
            </w:tcBorders>
          </w:tcPr>
          <w:p w14:paraId="6B43FCD1"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programy INO a POT. Indikátor vykazuje zavádějící hodnoty. Lze předpokládat, že žadatelé a příjemci nerespektují měrnou jednotku indikátoru a v některých případech uvádějí hodnoty v jednotkách Kč.</w:t>
            </w:r>
          </w:p>
        </w:tc>
      </w:tr>
      <w:tr w:rsidR="009C0662" w:rsidRPr="00BD092D" w14:paraId="2D80F976"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7899CE34"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21411</w:t>
            </w:r>
          </w:p>
        </w:tc>
        <w:tc>
          <w:tcPr>
            <w:tcW w:w="682" w:type="pct"/>
            <w:shd w:val="clear" w:color="auto" w:fill="E7F5CF" w:themeFill="accent1" w:themeFillTint="33"/>
          </w:tcPr>
          <w:p w14:paraId="3F888C7D"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Tržby z inovované produkce jako % celkových tržeb podniků s produktovou inovací</w:t>
            </w:r>
          </w:p>
        </w:tc>
        <w:tc>
          <w:tcPr>
            <w:tcW w:w="2370" w:type="pct"/>
          </w:tcPr>
          <w:p w14:paraId="74826AF4"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Podíl tržeb z inovované produkce k celkovým tržbám podniků s produktovou inovací. Za inovovanou produkci se považují inovované (nové nebo podstatné zlepšené) výrobky nebo služby, které jsou nové na celém trhu nebo i pouze pro podnik.</w:t>
            </w:r>
          </w:p>
        </w:tc>
        <w:tc>
          <w:tcPr>
            <w:tcW w:w="1607" w:type="pct"/>
            <w:tcBorders>
              <w:right w:val="nil"/>
            </w:tcBorders>
          </w:tcPr>
          <w:p w14:paraId="4A4E00C9"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Dosažená hodnota v roce 2016. Údaj dosažené hodnoty poskytnut Zadavatelem.</w:t>
            </w:r>
          </w:p>
        </w:tc>
      </w:tr>
      <w:tr w:rsidR="009C0662" w:rsidRPr="00BD092D" w14:paraId="5A9016F7"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47EEE08F"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21610</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3229ACBC"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nových přihlášených výsledků aplikovaného výzkumu</w:t>
            </w:r>
          </w:p>
        </w:tc>
        <w:tc>
          <w:tcPr>
            <w:tcW w:w="2370" w:type="pct"/>
            <w:tcBorders>
              <w:top w:val="single" w:sz="4" w:space="0" w:color="86BC25" w:themeColor="accent1"/>
              <w:bottom w:val="single" w:sz="4" w:space="0" w:color="86BC25" w:themeColor="accent1"/>
            </w:tcBorders>
          </w:tcPr>
          <w:p w14:paraId="03D47986"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Poloprovoz, ověřená technologie, užitný vzor, průmyslový vzor, prototyp, funkční vzorek, certifikovaná metodika, software a patent (za uplatněný Výsledek tohoto druhu lze tedy považovat Výsledek až v okamžiku vydání patentové listiny (v případě českého patentu), eventuálně jiné listiny, která má stejný účinek. Patentem nejsou patentové přihlášky, a to v jakékoliv fázi řízení o udělení patentu). Výsledek je v souladu s platnou metodikou hodnocení </w:t>
            </w:r>
            <w:proofErr w:type="spellStart"/>
            <w:r w:rsidRPr="00BD092D">
              <w:rPr>
                <w:rFonts w:asciiTheme="minorHAnsi" w:hAnsiTheme="minorHAnsi"/>
                <w:sz w:val="16"/>
                <w:szCs w:val="16"/>
              </w:rPr>
              <w:t>VaVaI</w:t>
            </w:r>
            <w:proofErr w:type="spellEnd"/>
            <w:r w:rsidRPr="00BD092D">
              <w:rPr>
                <w:rFonts w:asciiTheme="minorHAnsi" w:hAnsiTheme="minorHAnsi"/>
                <w:sz w:val="16"/>
                <w:szCs w:val="16"/>
              </w:rPr>
              <w:t xml:space="preserve">, schválenou vládou ČR. Ověření výsledku projektu dle metodiky </w:t>
            </w:r>
            <w:proofErr w:type="spellStart"/>
            <w:r w:rsidRPr="00BD092D">
              <w:rPr>
                <w:rFonts w:asciiTheme="minorHAnsi" w:hAnsiTheme="minorHAnsi"/>
                <w:sz w:val="16"/>
                <w:szCs w:val="16"/>
              </w:rPr>
              <w:t>VaVaI</w:t>
            </w:r>
            <w:proofErr w:type="spellEnd"/>
            <w:r w:rsidRPr="00BD092D">
              <w:rPr>
                <w:rFonts w:asciiTheme="minorHAnsi" w:hAnsiTheme="minorHAnsi"/>
                <w:sz w:val="16"/>
                <w:szCs w:val="16"/>
              </w:rPr>
              <w:t xml:space="preserve"> je poskytnuto v rámci závěrečného oponentního řízení, kterého se účastní zástupci žadatele, poskytovatele a oponentů.</w:t>
            </w:r>
          </w:p>
          <w:p w14:paraId="0946B943"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607" w:type="pct"/>
            <w:tcBorders>
              <w:top w:val="single" w:sz="4" w:space="0" w:color="86BC25" w:themeColor="accent1"/>
              <w:bottom w:val="single" w:sz="4" w:space="0" w:color="86BC25" w:themeColor="accent1"/>
              <w:right w:val="nil"/>
            </w:tcBorders>
          </w:tcPr>
          <w:p w14:paraId="793DFFED"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Povinný monitorovací indikátor pro program APL.</w:t>
            </w:r>
          </w:p>
        </w:tc>
      </w:tr>
      <w:tr w:rsidR="009C0662" w:rsidRPr="00BD092D" w14:paraId="63910FFF"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64CDE2E9"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22002</w:t>
            </w:r>
          </w:p>
        </w:tc>
        <w:tc>
          <w:tcPr>
            <w:tcW w:w="682" w:type="pct"/>
            <w:shd w:val="clear" w:color="auto" w:fill="E7F5CF" w:themeFill="accent1" w:themeFillTint="33"/>
          </w:tcPr>
          <w:p w14:paraId="4986F509"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nových udělených patentů a dalších práv ochrany průmyslového vlastnictví</w:t>
            </w:r>
          </w:p>
        </w:tc>
        <w:tc>
          <w:tcPr>
            <w:tcW w:w="2370" w:type="pct"/>
          </w:tcPr>
          <w:p w14:paraId="597345CA"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Jedná se o počet udělených nových práv průmyslového vlastnictví na vynálezy (ve formě patentů) a technických řešení ve formě užitných a průmyslových vzorů nebo ochranných známek. Pod novými udělenými patenty a dalšími právy ochrany průmyslového vlastnictví se mají na mysli jak národní, tak mezinárodní. Práva ochrany průmyslového vlastnictví jsou udělovány příslušným úřadem, který má k jejich udělování patřičné kompetence (Úřad průmyslového vlastnictví ČR a další relevantní úřady jako EPO apod.).</w:t>
            </w:r>
          </w:p>
        </w:tc>
        <w:tc>
          <w:tcPr>
            <w:tcW w:w="1607" w:type="pct"/>
            <w:tcBorders>
              <w:right w:val="nil"/>
            </w:tcBorders>
          </w:tcPr>
          <w:p w14:paraId="36494953"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w:t>
            </w:r>
          </w:p>
          <w:p w14:paraId="348EC10E"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662" w:rsidRPr="00BD092D" w14:paraId="5AD60252"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4F1FA8A4"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22003</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0C9570DA"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nových udělených patentů a dalších práv ochrany průmyslového vlastnictví - z toho v zahraničí</w:t>
            </w:r>
          </w:p>
        </w:tc>
        <w:tc>
          <w:tcPr>
            <w:tcW w:w="2370" w:type="pct"/>
            <w:tcBorders>
              <w:top w:val="single" w:sz="4" w:space="0" w:color="86BC25" w:themeColor="accent1"/>
              <w:bottom w:val="single" w:sz="4" w:space="0" w:color="86BC25" w:themeColor="accent1"/>
            </w:tcBorders>
          </w:tcPr>
          <w:p w14:paraId="5C17036E"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Jedná se o počet udělených nových práv průmyslového vlastnictví na vynálezy (ve formě patentů), technických řešení ve formě užitných vzorů, dále pak průmyslových vzoru a ochranných známek v zahraničí (PCT nebo u EPO, USPTO a JPO).</w:t>
            </w:r>
          </w:p>
        </w:tc>
        <w:tc>
          <w:tcPr>
            <w:tcW w:w="1607" w:type="pct"/>
            <w:tcBorders>
              <w:top w:val="single" w:sz="4" w:space="0" w:color="86BC25" w:themeColor="accent1"/>
              <w:bottom w:val="single" w:sz="4" w:space="0" w:color="86BC25" w:themeColor="accent1"/>
              <w:right w:val="nil"/>
            </w:tcBorders>
          </w:tcPr>
          <w:p w14:paraId="79EB818D" w14:textId="77777777" w:rsidR="009C0662" w:rsidRPr="00BD092D" w:rsidRDefault="009C0662" w:rsidP="00E47B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w:t>
            </w:r>
          </w:p>
        </w:tc>
      </w:tr>
      <w:tr w:rsidR="009C0662" w:rsidRPr="00BD092D" w14:paraId="72CFDA49"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5F23E69E"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22100</w:t>
            </w:r>
          </w:p>
        </w:tc>
        <w:tc>
          <w:tcPr>
            <w:tcW w:w="682" w:type="pct"/>
            <w:shd w:val="clear" w:color="auto" w:fill="E7F5CF" w:themeFill="accent1" w:themeFillTint="33"/>
          </w:tcPr>
          <w:p w14:paraId="7F532BA3"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přihlášek na ochranu práv průmyslového vlastnictví</w:t>
            </w:r>
          </w:p>
        </w:tc>
        <w:tc>
          <w:tcPr>
            <w:tcW w:w="2370" w:type="pct"/>
          </w:tcPr>
          <w:p w14:paraId="34BE102A"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podaných přihlášek na ochranu práv průmyslového vlastnictví na vynálezy. Pod přihláškami ochrany práv průmyslového vlastnictví se započítávají jak národní, tak mezinárodní. Jde o přihlášky podané na příslušný úřad, který má k jejich přijetí patřičné kompetence (Úřad průmyslového vlastnictví ČR a další relevantní úřady jako EPO apod.).</w:t>
            </w:r>
          </w:p>
        </w:tc>
        <w:tc>
          <w:tcPr>
            <w:tcW w:w="1607" w:type="pct"/>
            <w:tcBorders>
              <w:right w:val="nil"/>
            </w:tcBorders>
          </w:tcPr>
          <w:p w14:paraId="7A7EF026"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w:t>
            </w:r>
          </w:p>
        </w:tc>
      </w:tr>
      <w:tr w:rsidR="009C0662" w:rsidRPr="00BD092D" w14:paraId="534D0DB2"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2AF625B8"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22101</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4011DFC8"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přihlášek na ochranu práv průmyslového vlastnictví - z toho v zahraničí</w:t>
            </w:r>
          </w:p>
        </w:tc>
        <w:tc>
          <w:tcPr>
            <w:tcW w:w="2370" w:type="pct"/>
            <w:tcBorders>
              <w:top w:val="single" w:sz="4" w:space="0" w:color="86BC25" w:themeColor="accent1"/>
              <w:bottom w:val="single" w:sz="4" w:space="0" w:color="86BC25" w:themeColor="accent1"/>
            </w:tcBorders>
          </w:tcPr>
          <w:p w14:paraId="08C2D0A1"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Jedná se o počet podaných přihlášek na ochranu práv průmyslového vlastnictví na vynálezy - jen PCT nebo přihlášek podaných u EPO (včetně samotných členských států bez ČR), USPTO a JPO. Jde o přihlášky podané na příslušný úřad, který má k jejich přijetí patřičné kompetence (jako EPO apod.).</w:t>
            </w:r>
          </w:p>
        </w:tc>
        <w:tc>
          <w:tcPr>
            <w:tcW w:w="1607" w:type="pct"/>
            <w:tcBorders>
              <w:top w:val="single" w:sz="4" w:space="0" w:color="86BC25" w:themeColor="accent1"/>
              <w:bottom w:val="single" w:sz="4" w:space="0" w:color="86BC25" w:themeColor="accent1"/>
              <w:right w:val="nil"/>
            </w:tcBorders>
          </w:tcPr>
          <w:p w14:paraId="34CA6337" w14:textId="77777777" w:rsidR="009C0662" w:rsidRPr="00BD092D" w:rsidRDefault="009C0662" w:rsidP="00E47B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Nepovinný monitorovací indikátor pro program INO.</w:t>
            </w:r>
          </w:p>
        </w:tc>
      </w:tr>
      <w:tr w:rsidR="009C0662" w:rsidRPr="00BD092D" w14:paraId="3F46D870" w14:textId="77777777" w:rsidTr="0019407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1" w:type="pct"/>
            <w:tcBorders>
              <w:left w:val="nil"/>
            </w:tcBorders>
            <w:shd w:val="clear" w:color="auto" w:fill="E7F5CF" w:themeFill="accent1" w:themeFillTint="33"/>
          </w:tcPr>
          <w:p w14:paraId="4E1341E6"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22501</w:t>
            </w:r>
          </w:p>
        </w:tc>
        <w:tc>
          <w:tcPr>
            <w:tcW w:w="682" w:type="pct"/>
            <w:shd w:val="clear" w:color="auto" w:fill="E7F5CF" w:themeFill="accent1" w:themeFillTint="33"/>
          </w:tcPr>
          <w:p w14:paraId="53D40565"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zavedených inovací</w:t>
            </w:r>
          </w:p>
        </w:tc>
        <w:tc>
          <w:tcPr>
            <w:tcW w:w="2370" w:type="pct"/>
          </w:tcPr>
          <w:p w14:paraId="07DFE2AA" w14:textId="77777777" w:rsidR="009C0662" w:rsidRPr="00BD092D" w:rsidRDefault="009C0662" w:rsidP="00E47B1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 xml:space="preserve">Počet inovací zavedených do výroby/na trh - produktové, procesní, organizační či marketingové inovace. Inovací se 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převzata z jiné organizace (dle Oslo </w:t>
            </w:r>
            <w:proofErr w:type="spellStart"/>
            <w:r w:rsidRPr="00BD092D">
              <w:rPr>
                <w:rFonts w:asciiTheme="minorHAnsi" w:hAnsiTheme="minorHAnsi"/>
                <w:sz w:val="16"/>
                <w:szCs w:val="16"/>
              </w:rPr>
              <w:t>Manual</w:t>
            </w:r>
            <w:proofErr w:type="spellEnd"/>
            <w:r w:rsidRPr="00BD092D">
              <w:rPr>
                <w:rFonts w:asciiTheme="minorHAnsi" w:hAnsiTheme="minorHAnsi"/>
                <w:sz w:val="16"/>
                <w:szCs w:val="16"/>
              </w:rPr>
              <w:t xml:space="preserve"> OECD, dostupný na http://www.oecd.org/science/inno/2367580.pdf).</w:t>
            </w:r>
          </w:p>
        </w:tc>
        <w:tc>
          <w:tcPr>
            <w:tcW w:w="1607" w:type="pct"/>
            <w:tcBorders>
              <w:right w:val="nil"/>
            </w:tcBorders>
          </w:tcPr>
          <w:p w14:paraId="3307479C"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Povinný monitorovací indikátor pro program INO.</w:t>
            </w:r>
          </w:p>
          <w:p w14:paraId="3952F9D3" w14:textId="77777777" w:rsidR="009C0662" w:rsidRPr="00BD092D" w:rsidRDefault="009C0662" w:rsidP="00E47B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662" w:rsidRPr="00BD092D" w14:paraId="79D5C9D0" w14:textId="77777777" w:rsidTr="00194076">
        <w:trPr>
          <w:trHeight w:val="144"/>
        </w:trPr>
        <w:tc>
          <w:tcPr>
            <w:cnfStyle w:val="001000000000" w:firstRow="0" w:lastRow="0" w:firstColumn="1" w:lastColumn="0" w:oddVBand="0" w:evenVBand="0" w:oddHBand="0" w:evenHBand="0" w:firstRowFirstColumn="0" w:firstRowLastColumn="0" w:lastRowFirstColumn="0" w:lastRowLastColumn="0"/>
            <w:tcW w:w="341" w:type="pct"/>
            <w:tcBorders>
              <w:top w:val="single" w:sz="4" w:space="0" w:color="86BC25" w:themeColor="accent1"/>
              <w:left w:val="nil"/>
              <w:bottom w:val="single" w:sz="4" w:space="0" w:color="86BC25" w:themeColor="accent1"/>
            </w:tcBorders>
            <w:shd w:val="clear" w:color="auto" w:fill="E7F5CF" w:themeFill="accent1" w:themeFillTint="33"/>
          </w:tcPr>
          <w:p w14:paraId="1BEA10CA" w14:textId="77777777" w:rsidR="009C0662" w:rsidRPr="00BD092D" w:rsidRDefault="009C0662" w:rsidP="00E47B1C">
            <w:pPr>
              <w:spacing w:after="0" w:line="240" w:lineRule="auto"/>
              <w:rPr>
                <w:rFonts w:asciiTheme="minorHAnsi" w:hAnsiTheme="minorHAnsi"/>
                <w:sz w:val="16"/>
                <w:szCs w:val="16"/>
              </w:rPr>
            </w:pPr>
            <w:r w:rsidRPr="00BD092D">
              <w:rPr>
                <w:rFonts w:asciiTheme="minorHAnsi" w:hAnsiTheme="minorHAnsi"/>
                <w:sz w:val="16"/>
                <w:szCs w:val="16"/>
              </w:rPr>
              <w:t>24102</w:t>
            </w:r>
          </w:p>
        </w:tc>
        <w:tc>
          <w:tcPr>
            <w:tcW w:w="682" w:type="pct"/>
            <w:tcBorders>
              <w:top w:val="single" w:sz="4" w:space="0" w:color="86BC25" w:themeColor="accent1"/>
              <w:bottom w:val="single" w:sz="4" w:space="0" w:color="86BC25" w:themeColor="accent1"/>
            </w:tcBorders>
            <w:shd w:val="clear" w:color="auto" w:fill="E7F5CF" w:themeFill="accent1" w:themeFillTint="33"/>
          </w:tcPr>
          <w:p w14:paraId="7D92CF86"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nových, rozšířených či modernizovaných výzkumných pracovišť podniků</w:t>
            </w:r>
          </w:p>
        </w:tc>
        <w:tc>
          <w:tcPr>
            <w:tcW w:w="2370" w:type="pct"/>
            <w:tcBorders>
              <w:top w:val="single" w:sz="4" w:space="0" w:color="86BC25" w:themeColor="accent1"/>
              <w:bottom w:val="single" w:sz="4" w:space="0" w:color="86BC25" w:themeColor="accent1"/>
            </w:tcBorders>
          </w:tcPr>
          <w:p w14:paraId="04304616" w14:textId="77777777" w:rsidR="009C0662" w:rsidRPr="00BD092D" w:rsidRDefault="009C0662" w:rsidP="00E47B1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Počet fyzických výzkumných pracovišť/center podniků, u nichž došlo v rámci podpory k založení, modernizaci či rozšíření výzkumné infrastruktury, tj. k investicím do budov, zařízení či přístrojů využívaných k výzkumným účelům. Příjemce vykazuje hodnotu odpovídající počtu podpořených pracovišť podniků při zohlednění adresy místa realizace.</w:t>
            </w:r>
          </w:p>
        </w:tc>
        <w:tc>
          <w:tcPr>
            <w:tcW w:w="1607" w:type="pct"/>
            <w:tcBorders>
              <w:top w:val="single" w:sz="4" w:space="0" w:color="86BC25" w:themeColor="accent1"/>
              <w:bottom w:val="single" w:sz="4" w:space="0" w:color="86BC25" w:themeColor="accent1"/>
              <w:right w:val="nil"/>
            </w:tcBorders>
          </w:tcPr>
          <w:p w14:paraId="4AFD7DF4" w14:textId="77777777" w:rsidR="009C0662" w:rsidRPr="00BD092D" w:rsidRDefault="009C0662" w:rsidP="00E47B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92D">
              <w:rPr>
                <w:rFonts w:asciiTheme="minorHAnsi" w:hAnsiTheme="minorHAnsi"/>
                <w:sz w:val="16"/>
                <w:szCs w:val="16"/>
              </w:rPr>
              <w:t>Povinný monitorovací indikátor pro program POT.</w:t>
            </w:r>
          </w:p>
        </w:tc>
      </w:tr>
    </w:tbl>
    <w:p w14:paraId="19AC180B" w14:textId="77777777" w:rsidR="009C0662" w:rsidRDefault="009C0662">
      <w:pPr>
        <w:sectPr w:rsidR="009C0662" w:rsidSect="009C0662">
          <w:pgSz w:w="16838" w:h="11906" w:orient="landscape"/>
          <w:pgMar w:top="1134" w:right="1985" w:bottom="1134" w:left="1134" w:header="680" w:footer="567" w:gutter="0"/>
          <w:cols w:space="708"/>
          <w:formProt w:val="0"/>
          <w:docGrid w:linePitch="360" w:charSpace="6143"/>
        </w:sectPr>
      </w:pPr>
    </w:p>
    <w:p w14:paraId="7A230BA0" w14:textId="77777777" w:rsidR="00AF402B" w:rsidRDefault="00AF402B"/>
    <w:p w14:paraId="2D81EAB8" w14:textId="77777777" w:rsidR="009C0662" w:rsidRDefault="009C0662"/>
    <w:p w14:paraId="6C165667" w14:textId="77777777" w:rsidR="009C0662" w:rsidRDefault="009C0662"/>
    <w:p w14:paraId="2FFDAB26" w14:textId="77777777" w:rsidR="009C0662" w:rsidRDefault="009C0662"/>
    <w:p w14:paraId="319BA2DA" w14:textId="77777777" w:rsidR="009C0662" w:rsidRDefault="009C0662"/>
    <w:p w14:paraId="3AC35B10" w14:textId="77777777" w:rsidR="009C0662" w:rsidRDefault="009C0662"/>
    <w:p w14:paraId="738954CB" w14:textId="77777777" w:rsidR="009C0662" w:rsidRDefault="009C0662"/>
    <w:p w14:paraId="7686E3BB" w14:textId="77777777" w:rsidR="009C0662" w:rsidRDefault="009C0662"/>
    <w:p w14:paraId="2FDB8408" w14:textId="77777777" w:rsidR="009C0662" w:rsidRDefault="009C0662"/>
    <w:p w14:paraId="1364ED91" w14:textId="77777777" w:rsidR="009C0662" w:rsidRDefault="009C0662"/>
    <w:p w14:paraId="21FA922B" w14:textId="77777777" w:rsidR="009C0662" w:rsidRDefault="009C0662"/>
    <w:p w14:paraId="24C641D5" w14:textId="77777777" w:rsidR="009C0662" w:rsidRDefault="009C0662"/>
    <w:p w14:paraId="64D8436C" w14:textId="77777777" w:rsidR="009C0662" w:rsidRDefault="009C0662"/>
    <w:p w14:paraId="579F652B" w14:textId="77777777" w:rsidR="009C0662" w:rsidRDefault="009C0662"/>
    <w:p w14:paraId="18F901C8" w14:textId="77777777" w:rsidR="00AF402B" w:rsidRDefault="0021646A">
      <w:pPr>
        <w:pStyle w:val="Legaltext"/>
        <w:rPr>
          <w:color w:val="000000" w:themeColor="text1"/>
        </w:rPr>
      </w:pPr>
      <w:r>
        <w:rPr>
          <w:noProof/>
          <w:lang w:eastAsia="cs-CZ"/>
        </w:rPr>
        <w:drawing>
          <wp:inline distT="0" distB="0" distL="0" distR="0" wp14:anchorId="177222DE" wp14:editId="10B06D67">
            <wp:extent cx="1831975" cy="34544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8" cstate="print"/>
                    <a:stretch>
                      <a:fillRect/>
                    </a:stretch>
                  </pic:blipFill>
                  <pic:spPr bwMode="auto">
                    <a:xfrm>
                      <a:off x="0" y="0"/>
                      <a:ext cx="1831975" cy="345440"/>
                    </a:xfrm>
                    <a:prstGeom prst="rect">
                      <a:avLst/>
                    </a:prstGeom>
                  </pic:spPr>
                </pic:pic>
              </a:graphicData>
            </a:graphic>
          </wp:inline>
        </w:drawing>
      </w:r>
    </w:p>
    <w:p w14:paraId="23C6235C" w14:textId="77777777" w:rsidR="00AF402B" w:rsidRDefault="00AF402B">
      <w:pPr>
        <w:pStyle w:val="Legaltext"/>
        <w:rPr>
          <w:color w:val="000000" w:themeColor="text1"/>
        </w:rPr>
      </w:pPr>
    </w:p>
    <w:p w14:paraId="034741C3" w14:textId="77777777" w:rsidR="00AF402B" w:rsidRDefault="00AF402B">
      <w:pPr>
        <w:pStyle w:val="Legaltext"/>
        <w:rPr>
          <w:color w:val="000000" w:themeColor="text1"/>
        </w:rPr>
      </w:pPr>
    </w:p>
    <w:p w14:paraId="5FB2984D" w14:textId="77777777" w:rsidR="00AF402B" w:rsidRDefault="006062A2" w:rsidP="006062A2">
      <w:pPr>
        <w:pStyle w:val="Legaltext"/>
        <w:ind w:right="1305"/>
        <w:rPr>
          <w:color w:val="000000" w:themeColor="text1"/>
        </w:rPr>
      </w:pPr>
      <w:r w:rsidRPr="006062A2">
        <w:rPr>
          <w:color w:val="000000" w:themeColor="text1"/>
        </w:rPr>
        <w:t>Tento dokument může obsahovat myšlenky, koncepty, know-how, metodiky, technologie, procesy</w:t>
      </w:r>
      <w:r w:rsidR="00B10CFA">
        <w:rPr>
          <w:color w:val="000000" w:themeColor="text1"/>
        </w:rPr>
        <w:t xml:space="preserve"> a </w:t>
      </w:r>
      <w:r w:rsidRPr="006062A2">
        <w:rPr>
          <w:color w:val="000000" w:themeColor="text1"/>
        </w:rPr>
        <w:t>jiné obecné dovednosti Deloitte popř. třetích stran (včetně adresátů tohoto dokumentu), které tvoří nebo mohou tvořit obchodní tajemství Deloitte nebo jiných třetích stran (včetně adresátů tohoto dokumentu) ve smyslu ustanovení §504 zák. č. 89/2012 Sb., občanského zákoníku,</w:t>
      </w:r>
      <w:r w:rsidR="00DA0BEC">
        <w:rPr>
          <w:color w:val="000000" w:themeColor="text1"/>
        </w:rPr>
        <w:t xml:space="preserve"> v </w:t>
      </w:r>
      <w:r w:rsidRPr="006062A2">
        <w:rPr>
          <w:color w:val="000000" w:themeColor="text1"/>
        </w:rPr>
        <w:t>platném znění. Informace obsažené</w:t>
      </w:r>
      <w:r w:rsidR="00DA0BEC">
        <w:rPr>
          <w:color w:val="000000" w:themeColor="text1"/>
        </w:rPr>
        <w:t xml:space="preserve"> v </w:t>
      </w:r>
      <w:r w:rsidRPr="006062A2">
        <w:rPr>
          <w:color w:val="000000" w:themeColor="text1"/>
        </w:rPr>
        <w:t>tomto dokumentu jsou proto důvěrné</w:t>
      </w:r>
      <w:r w:rsidR="00B10CFA">
        <w:rPr>
          <w:color w:val="000000" w:themeColor="text1"/>
        </w:rPr>
        <w:t xml:space="preserve"> a </w:t>
      </w:r>
      <w:r w:rsidRPr="006062A2">
        <w:rPr>
          <w:color w:val="000000" w:themeColor="text1"/>
        </w:rPr>
        <w:t>jsou určeny pouze pro vnitřní potřebu adresátů</w:t>
      </w:r>
      <w:r w:rsidR="00B10CFA">
        <w:rPr>
          <w:color w:val="000000" w:themeColor="text1"/>
        </w:rPr>
        <w:t xml:space="preserve"> a </w:t>
      </w:r>
      <w:r w:rsidRPr="006062A2">
        <w:rPr>
          <w:color w:val="000000" w:themeColor="text1"/>
        </w:rPr>
        <w:t>schválených příjemců tohoto dokumentu. Jakékoli jiné použití, zejména pak poskytnutí</w:t>
      </w:r>
      <w:r w:rsidR="00DA0BEC">
        <w:rPr>
          <w:color w:val="000000" w:themeColor="text1"/>
        </w:rPr>
        <w:t xml:space="preserve"> v </w:t>
      </w:r>
      <w:r w:rsidRPr="006062A2">
        <w:rPr>
          <w:color w:val="000000" w:themeColor="text1"/>
        </w:rPr>
        <w:t>dokumentu obsažených informací jiným třetím osobám, jejich zveřejnění nebo využití třetími osobami/pro potřebu subjektu mimo skupinu příjemce může mít důsledky</w:t>
      </w:r>
      <w:r w:rsidR="00DA0BEC">
        <w:rPr>
          <w:color w:val="000000" w:themeColor="text1"/>
        </w:rPr>
        <w:t xml:space="preserve"> v </w:t>
      </w:r>
      <w:r w:rsidRPr="006062A2">
        <w:rPr>
          <w:color w:val="000000" w:themeColor="text1"/>
        </w:rPr>
        <w:t>souladu</w:t>
      </w:r>
      <w:r w:rsidR="00DA0BEC">
        <w:rPr>
          <w:color w:val="000000" w:themeColor="text1"/>
        </w:rPr>
        <w:t xml:space="preserve"> s </w:t>
      </w:r>
      <w:r w:rsidRPr="006062A2">
        <w:rPr>
          <w:color w:val="000000" w:themeColor="text1"/>
        </w:rPr>
        <w:t>příslušnými právními předpisy (trestní odpovědnost nevyjímaje)</w:t>
      </w:r>
      <w:r w:rsidR="00B10CFA">
        <w:rPr>
          <w:color w:val="000000" w:themeColor="text1"/>
        </w:rPr>
        <w:t xml:space="preserve"> a </w:t>
      </w:r>
      <w:r w:rsidRPr="006062A2">
        <w:rPr>
          <w:color w:val="000000" w:themeColor="text1"/>
        </w:rPr>
        <w:t>je proto možné pouze</w:t>
      </w:r>
      <w:r w:rsidR="00DA0BEC">
        <w:rPr>
          <w:color w:val="000000" w:themeColor="text1"/>
        </w:rPr>
        <w:t xml:space="preserve"> s </w:t>
      </w:r>
      <w:r w:rsidRPr="006062A2">
        <w:rPr>
          <w:color w:val="000000" w:themeColor="text1"/>
        </w:rPr>
        <w:t xml:space="preserve">předchozím písemným souhlasem </w:t>
      </w:r>
      <w:proofErr w:type="spellStart"/>
      <w:r w:rsidRPr="006062A2">
        <w:rPr>
          <w:color w:val="000000" w:themeColor="text1"/>
        </w:rPr>
        <w:t>Deloitte</w:t>
      </w:r>
      <w:proofErr w:type="spellEnd"/>
      <w:r w:rsidRPr="006062A2">
        <w:rPr>
          <w:color w:val="000000" w:themeColor="text1"/>
        </w:rPr>
        <w:t xml:space="preserve"> </w:t>
      </w:r>
      <w:proofErr w:type="spellStart"/>
      <w:r w:rsidRPr="006062A2">
        <w:rPr>
          <w:color w:val="000000" w:themeColor="text1"/>
        </w:rPr>
        <w:t>Advisory</w:t>
      </w:r>
      <w:proofErr w:type="spellEnd"/>
      <w:r w:rsidRPr="006062A2">
        <w:rPr>
          <w:color w:val="000000" w:themeColor="text1"/>
        </w:rPr>
        <w:t xml:space="preserve"> s.r.o.</w:t>
      </w:r>
    </w:p>
    <w:p w14:paraId="6189A03C" w14:textId="77777777" w:rsidR="00AF402B" w:rsidRDefault="0021646A">
      <w:pPr>
        <w:pStyle w:val="Legaltext"/>
        <w:ind w:right="1275"/>
        <w:rPr>
          <w:color w:val="000000" w:themeColor="text1"/>
        </w:rPr>
      </w:pPr>
      <w:r>
        <w:rPr>
          <w:color w:val="000000" w:themeColor="text1"/>
        </w:rPr>
        <w:t xml:space="preserve">Deloitte označuje jednu či více společností </w:t>
      </w:r>
      <w:proofErr w:type="spellStart"/>
      <w:r>
        <w:rPr>
          <w:color w:val="000000" w:themeColor="text1"/>
        </w:rPr>
        <w:t>Deloitte</w:t>
      </w:r>
      <w:proofErr w:type="spellEnd"/>
      <w:r>
        <w:rPr>
          <w:color w:val="000000" w:themeColor="text1"/>
        </w:rPr>
        <w:t xml:space="preserve"> </w:t>
      </w:r>
      <w:proofErr w:type="spellStart"/>
      <w:r>
        <w:rPr>
          <w:color w:val="000000" w:themeColor="text1"/>
        </w:rPr>
        <w:t>Touche</w:t>
      </w:r>
      <w:proofErr w:type="spellEnd"/>
      <w:r>
        <w:rPr>
          <w:color w:val="000000" w:themeColor="text1"/>
        </w:rPr>
        <w:t xml:space="preserve"> </w:t>
      </w:r>
      <w:proofErr w:type="spellStart"/>
      <w:r>
        <w:rPr>
          <w:color w:val="000000" w:themeColor="text1"/>
        </w:rPr>
        <w:t>Tohmatsu</w:t>
      </w:r>
      <w:proofErr w:type="spellEnd"/>
      <w:r>
        <w:rPr>
          <w:color w:val="000000" w:themeColor="text1"/>
        </w:rPr>
        <w:t xml:space="preserve"> Limited, britské privátní společnosti</w:t>
      </w:r>
      <w:r w:rsidR="00DA0BEC">
        <w:rPr>
          <w:color w:val="000000" w:themeColor="text1"/>
        </w:rPr>
        <w:t xml:space="preserve"> s </w:t>
      </w:r>
      <w:r>
        <w:rPr>
          <w:color w:val="000000" w:themeColor="text1"/>
        </w:rPr>
        <w:t>ručením omezeným zárukou („DTTL“), síť jejích členských firem</w:t>
      </w:r>
      <w:r w:rsidR="00B10CFA">
        <w:rPr>
          <w:color w:val="000000" w:themeColor="text1"/>
        </w:rPr>
        <w:t xml:space="preserve"> a </w:t>
      </w:r>
      <w:r>
        <w:rPr>
          <w:color w:val="000000" w:themeColor="text1"/>
        </w:rPr>
        <w:t>jejich spřízněných subjektů. Společnost DTTL</w:t>
      </w:r>
      <w:r w:rsidR="00B10CFA">
        <w:rPr>
          <w:color w:val="000000" w:themeColor="text1"/>
        </w:rPr>
        <w:t xml:space="preserve"> a </w:t>
      </w:r>
      <w:r>
        <w:rPr>
          <w:color w:val="000000" w:themeColor="text1"/>
        </w:rPr>
        <w:t>každá</w:t>
      </w:r>
      <w:r w:rsidR="00B10CFA">
        <w:rPr>
          <w:color w:val="000000" w:themeColor="text1"/>
        </w:rPr>
        <w:t xml:space="preserve"> z </w:t>
      </w:r>
      <w:r>
        <w:rPr>
          <w:color w:val="000000" w:themeColor="text1"/>
        </w:rPr>
        <w:t>jejích členských firem představuje samostatný</w:t>
      </w:r>
      <w:r w:rsidR="00B10CFA">
        <w:rPr>
          <w:color w:val="000000" w:themeColor="text1"/>
        </w:rPr>
        <w:t xml:space="preserve"> a </w:t>
      </w:r>
      <w:r>
        <w:rPr>
          <w:color w:val="000000" w:themeColor="text1"/>
        </w:rPr>
        <w:t>nezávislý právní subjekt. Společnost DTTL (rovněž označovaná jako „</w:t>
      </w:r>
      <w:proofErr w:type="spellStart"/>
      <w:r>
        <w:rPr>
          <w:color w:val="000000" w:themeColor="text1"/>
        </w:rPr>
        <w:t>Deloitte</w:t>
      </w:r>
      <w:proofErr w:type="spellEnd"/>
      <w:r>
        <w:rPr>
          <w:color w:val="000000" w:themeColor="text1"/>
        </w:rPr>
        <w:t xml:space="preserve"> Global“) služby klientům neposkytuje. Více informací</w:t>
      </w:r>
      <w:r w:rsidR="00B10CFA">
        <w:rPr>
          <w:color w:val="000000" w:themeColor="text1"/>
        </w:rPr>
        <w:t xml:space="preserve"> o </w:t>
      </w:r>
      <w:r>
        <w:rPr>
          <w:color w:val="000000" w:themeColor="text1"/>
        </w:rPr>
        <w:t>naší globální síti členských firem je uvedeno na adrese www.deloitte.com/</w:t>
      </w:r>
      <w:proofErr w:type="spellStart"/>
      <w:r>
        <w:rPr>
          <w:color w:val="000000" w:themeColor="text1"/>
        </w:rPr>
        <w:t>cz</w:t>
      </w:r>
      <w:proofErr w:type="spellEnd"/>
      <w:r>
        <w:rPr>
          <w:color w:val="000000" w:themeColor="text1"/>
        </w:rPr>
        <w:t>/</w:t>
      </w:r>
      <w:proofErr w:type="spellStart"/>
      <w:r>
        <w:rPr>
          <w:color w:val="000000" w:themeColor="text1"/>
        </w:rPr>
        <w:t>onas</w:t>
      </w:r>
      <w:proofErr w:type="spellEnd"/>
      <w:r>
        <w:rPr>
          <w:color w:val="000000" w:themeColor="text1"/>
        </w:rPr>
        <w:t>.</w:t>
      </w:r>
    </w:p>
    <w:p w14:paraId="77D4FB9B" w14:textId="77777777" w:rsidR="00AF402B" w:rsidRDefault="00AF402B">
      <w:pPr>
        <w:pStyle w:val="Legaltext"/>
        <w:ind w:right="1275"/>
        <w:rPr>
          <w:color w:val="000000" w:themeColor="text1"/>
        </w:rPr>
      </w:pPr>
    </w:p>
    <w:p w14:paraId="40C55308" w14:textId="77777777" w:rsidR="00AF402B" w:rsidRDefault="0021646A">
      <w:pPr>
        <w:pStyle w:val="Legaltext"/>
        <w:ind w:right="1275"/>
        <w:rPr>
          <w:color w:val="000000" w:themeColor="text1"/>
        </w:rPr>
      </w:pPr>
      <w:r>
        <w:rPr>
          <w:color w:val="000000" w:themeColor="text1"/>
        </w:rPr>
        <w:t>Společnost Deloitte poskytuje služby</w:t>
      </w:r>
      <w:r w:rsidR="00DA0BEC">
        <w:rPr>
          <w:color w:val="000000" w:themeColor="text1"/>
        </w:rPr>
        <w:t xml:space="preserve"> v </w:t>
      </w:r>
      <w:r>
        <w:rPr>
          <w:color w:val="000000" w:themeColor="text1"/>
        </w:rPr>
        <w:t>oblasti auditu, poradenství, právního</w:t>
      </w:r>
      <w:r w:rsidR="00B10CFA">
        <w:rPr>
          <w:color w:val="000000" w:themeColor="text1"/>
        </w:rPr>
        <w:t xml:space="preserve"> a </w:t>
      </w:r>
      <w:r>
        <w:rPr>
          <w:color w:val="000000" w:themeColor="text1"/>
        </w:rPr>
        <w:t>finančního poradenství, poradenství</w:t>
      </w:r>
      <w:r w:rsidR="00DA0BEC">
        <w:rPr>
          <w:color w:val="000000" w:themeColor="text1"/>
        </w:rPr>
        <w:t xml:space="preserve"> v </w:t>
      </w:r>
      <w:r>
        <w:rPr>
          <w:color w:val="000000" w:themeColor="text1"/>
        </w:rPr>
        <w:t>oblasti rizik</w:t>
      </w:r>
      <w:r w:rsidR="00B10CFA">
        <w:rPr>
          <w:color w:val="000000" w:themeColor="text1"/>
        </w:rPr>
        <w:t xml:space="preserve"> a </w:t>
      </w:r>
      <w:r>
        <w:rPr>
          <w:color w:val="000000" w:themeColor="text1"/>
        </w:rPr>
        <w:t>daní</w:t>
      </w:r>
      <w:r w:rsidR="00B10CFA">
        <w:rPr>
          <w:color w:val="000000" w:themeColor="text1"/>
        </w:rPr>
        <w:t xml:space="preserve"> a </w:t>
      </w:r>
      <w:r>
        <w:rPr>
          <w:color w:val="000000" w:themeColor="text1"/>
        </w:rPr>
        <w:t>související služby klientům</w:t>
      </w:r>
      <w:r w:rsidR="00DA0BEC">
        <w:rPr>
          <w:color w:val="000000" w:themeColor="text1"/>
        </w:rPr>
        <w:t xml:space="preserve"> v </w:t>
      </w:r>
      <w:r>
        <w:rPr>
          <w:color w:val="000000" w:themeColor="text1"/>
        </w:rPr>
        <w:t>celé řadě odvětví veřejného</w:t>
      </w:r>
      <w:r w:rsidR="00B10CFA">
        <w:rPr>
          <w:color w:val="000000" w:themeColor="text1"/>
        </w:rPr>
        <w:t xml:space="preserve"> a </w:t>
      </w:r>
      <w:r>
        <w:rPr>
          <w:color w:val="000000" w:themeColor="text1"/>
        </w:rPr>
        <w:t>soukromého sektoru. Díky globálně propojené síti členských firem ve více než 150 zemích</w:t>
      </w:r>
      <w:r w:rsidR="00B10CFA">
        <w:rPr>
          <w:color w:val="000000" w:themeColor="text1"/>
        </w:rPr>
        <w:t xml:space="preserve"> a </w:t>
      </w:r>
      <w:r>
        <w:rPr>
          <w:color w:val="000000" w:themeColor="text1"/>
        </w:rPr>
        <w:t>teritoriích má společnost Deloitte světové možnosti</w:t>
      </w:r>
      <w:r w:rsidR="00B10CFA">
        <w:rPr>
          <w:color w:val="000000" w:themeColor="text1"/>
        </w:rPr>
        <w:t xml:space="preserve"> a </w:t>
      </w:r>
      <w:r>
        <w:rPr>
          <w:color w:val="000000" w:themeColor="text1"/>
        </w:rPr>
        <w:t>poznatky</w:t>
      </w:r>
      <w:r w:rsidR="00B10CFA">
        <w:rPr>
          <w:color w:val="000000" w:themeColor="text1"/>
        </w:rPr>
        <w:t xml:space="preserve"> a </w:t>
      </w:r>
      <w:r>
        <w:rPr>
          <w:color w:val="000000" w:themeColor="text1"/>
        </w:rPr>
        <w:t>poskytuje svým klientům, mezi něž patří čtyři</w:t>
      </w:r>
      <w:r w:rsidR="00B10CFA">
        <w:rPr>
          <w:color w:val="000000" w:themeColor="text1"/>
        </w:rPr>
        <w:t xml:space="preserve"> z </w:t>
      </w:r>
      <w:r>
        <w:rPr>
          <w:color w:val="000000" w:themeColor="text1"/>
        </w:rPr>
        <w:t>pěti společností figurujících</w:t>
      </w:r>
      <w:r w:rsidR="00DA0BEC">
        <w:rPr>
          <w:color w:val="000000" w:themeColor="text1"/>
        </w:rPr>
        <w:t xml:space="preserve"> v </w:t>
      </w:r>
      <w:r>
        <w:rPr>
          <w:color w:val="000000" w:themeColor="text1"/>
        </w:rPr>
        <w:t xml:space="preserve">žebříčku </w:t>
      </w:r>
      <w:proofErr w:type="spellStart"/>
      <w:r>
        <w:rPr>
          <w:color w:val="000000" w:themeColor="text1"/>
        </w:rPr>
        <w:t>Fortune</w:t>
      </w:r>
      <w:proofErr w:type="spellEnd"/>
      <w:r>
        <w:rPr>
          <w:color w:val="000000" w:themeColor="text1"/>
        </w:rPr>
        <w:t xml:space="preserve"> Global 500 ®, vysoce kvalitní služby</w:t>
      </w:r>
      <w:r w:rsidR="00DA0BEC">
        <w:rPr>
          <w:color w:val="000000" w:themeColor="text1"/>
        </w:rPr>
        <w:t xml:space="preserve"> v </w:t>
      </w:r>
      <w:r>
        <w:rPr>
          <w:color w:val="000000" w:themeColor="text1"/>
        </w:rPr>
        <w:t>oblastech, ve kterých klienti řeší své nejkomplexnější podnikatelské výzvy. Chcete-li se dozvědět více</w:t>
      </w:r>
      <w:r w:rsidR="00B10CFA">
        <w:rPr>
          <w:color w:val="000000" w:themeColor="text1"/>
        </w:rPr>
        <w:t xml:space="preserve"> o </w:t>
      </w:r>
      <w:r>
        <w:rPr>
          <w:color w:val="000000" w:themeColor="text1"/>
        </w:rPr>
        <w:t xml:space="preserve">způsobu, jakým zhruba 245 000 odborníků dělá to, co má pro klienty smysl, kontaktujte nás prostřednictvím sociálních sítí Facebook, LinkedIn či Twitter. </w:t>
      </w:r>
    </w:p>
    <w:p w14:paraId="6D0F3F22" w14:textId="77777777" w:rsidR="00AF402B" w:rsidRDefault="00AF402B">
      <w:pPr>
        <w:pStyle w:val="Legaltext"/>
        <w:ind w:right="1275"/>
        <w:rPr>
          <w:color w:val="000000" w:themeColor="text1"/>
        </w:rPr>
      </w:pPr>
    </w:p>
    <w:p w14:paraId="7CF5E466" w14:textId="77777777" w:rsidR="00AF402B" w:rsidRDefault="0021646A">
      <w:pPr>
        <w:pStyle w:val="Legaltext"/>
        <w:ind w:right="1275"/>
        <w:rPr>
          <w:color w:val="000000" w:themeColor="text1"/>
        </w:rPr>
      </w:pPr>
      <w:r>
        <w:rPr>
          <w:color w:val="000000" w:themeColor="text1"/>
        </w:rPr>
        <w:t xml:space="preserve">Společnost Deloitte ve střední Evropě je regionální organizací subjektů sdružených ve společnosti </w:t>
      </w:r>
      <w:proofErr w:type="spellStart"/>
      <w:r>
        <w:rPr>
          <w:color w:val="000000" w:themeColor="text1"/>
        </w:rPr>
        <w:t>Deloitte</w:t>
      </w:r>
      <w:proofErr w:type="spellEnd"/>
      <w:r>
        <w:rPr>
          <w:color w:val="000000" w:themeColor="text1"/>
        </w:rPr>
        <w:t xml:space="preserve"> </w:t>
      </w:r>
      <w:proofErr w:type="spellStart"/>
      <w:r>
        <w:rPr>
          <w:color w:val="000000" w:themeColor="text1"/>
        </w:rPr>
        <w:t>Central</w:t>
      </w:r>
      <w:proofErr w:type="spellEnd"/>
      <w:r>
        <w:rPr>
          <w:color w:val="000000" w:themeColor="text1"/>
        </w:rPr>
        <w:t xml:space="preserve"> </w:t>
      </w:r>
      <w:proofErr w:type="spellStart"/>
      <w:r>
        <w:rPr>
          <w:color w:val="000000" w:themeColor="text1"/>
        </w:rPr>
        <w:t>Europe</w:t>
      </w:r>
      <w:proofErr w:type="spellEnd"/>
      <w:r>
        <w:rPr>
          <w:color w:val="000000" w:themeColor="text1"/>
        </w:rPr>
        <w:t xml:space="preserve"> </w:t>
      </w:r>
      <w:proofErr w:type="spellStart"/>
      <w:r>
        <w:rPr>
          <w:color w:val="000000" w:themeColor="text1"/>
        </w:rPr>
        <w:t>Holdings</w:t>
      </w:r>
      <w:proofErr w:type="spellEnd"/>
      <w:r>
        <w:rPr>
          <w:color w:val="000000" w:themeColor="text1"/>
        </w:rPr>
        <w:t xml:space="preserve"> Limited, která je členskou firmou sdružení </w:t>
      </w:r>
      <w:proofErr w:type="spellStart"/>
      <w:r>
        <w:rPr>
          <w:color w:val="000000" w:themeColor="text1"/>
        </w:rPr>
        <w:t>Deloitte</w:t>
      </w:r>
      <w:proofErr w:type="spellEnd"/>
      <w:r>
        <w:rPr>
          <w:color w:val="000000" w:themeColor="text1"/>
        </w:rPr>
        <w:t xml:space="preserve"> </w:t>
      </w:r>
      <w:proofErr w:type="spellStart"/>
      <w:r>
        <w:rPr>
          <w:color w:val="000000" w:themeColor="text1"/>
        </w:rPr>
        <w:t>Touche</w:t>
      </w:r>
      <w:proofErr w:type="spellEnd"/>
      <w:r>
        <w:rPr>
          <w:color w:val="000000" w:themeColor="text1"/>
        </w:rPr>
        <w:t xml:space="preserve"> </w:t>
      </w:r>
      <w:proofErr w:type="spellStart"/>
      <w:r>
        <w:rPr>
          <w:color w:val="000000" w:themeColor="text1"/>
        </w:rPr>
        <w:t>Tohmatsu</w:t>
      </w:r>
      <w:proofErr w:type="spellEnd"/>
      <w:r>
        <w:rPr>
          <w:color w:val="000000" w:themeColor="text1"/>
        </w:rPr>
        <w:t xml:space="preserve"> Limited ve střední Evropě. Odborné služby poskytují dceřiné</w:t>
      </w:r>
      <w:r w:rsidR="00B10CFA">
        <w:rPr>
          <w:color w:val="000000" w:themeColor="text1"/>
        </w:rPr>
        <w:t xml:space="preserve"> a </w:t>
      </w:r>
      <w:r>
        <w:rPr>
          <w:color w:val="000000" w:themeColor="text1"/>
        </w:rPr>
        <w:t xml:space="preserve">přidružené podniky společnosti </w:t>
      </w:r>
      <w:proofErr w:type="spellStart"/>
      <w:r>
        <w:rPr>
          <w:color w:val="000000" w:themeColor="text1"/>
        </w:rPr>
        <w:t>Deloitte</w:t>
      </w:r>
      <w:proofErr w:type="spellEnd"/>
      <w:r>
        <w:rPr>
          <w:color w:val="000000" w:themeColor="text1"/>
        </w:rPr>
        <w:t xml:space="preserve"> </w:t>
      </w:r>
      <w:proofErr w:type="spellStart"/>
      <w:r>
        <w:rPr>
          <w:color w:val="000000" w:themeColor="text1"/>
        </w:rPr>
        <w:t>Central</w:t>
      </w:r>
      <w:proofErr w:type="spellEnd"/>
      <w:r>
        <w:rPr>
          <w:color w:val="000000" w:themeColor="text1"/>
        </w:rPr>
        <w:t xml:space="preserve"> </w:t>
      </w:r>
      <w:proofErr w:type="spellStart"/>
      <w:r>
        <w:rPr>
          <w:color w:val="000000" w:themeColor="text1"/>
        </w:rPr>
        <w:t>Europe</w:t>
      </w:r>
      <w:proofErr w:type="spellEnd"/>
      <w:r>
        <w:rPr>
          <w:color w:val="000000" w:themeColor="text1"/>
        </w:rPr>
        <w:t xml:space="preserve"> </w:t>
      </w:r>
      <w:proofErr w:type="spellStart"/>
      <w:r>
        <w:rPr>
          <w:color w:val="000000" w:themeColor="text1"/>
        </w:rPr>
        <w:t>Holdings</w:t>
      </w:r>
      <w:proofErr w:type="spellEnd"/>
      <w:r>
        <w:rPr>
          <w:color w:val="000000" w:themeColor="text1"/>
        </w:rPr>
        <w:t xml:space="preserve"> Limited, které jsou samostatnými</w:t>
      </w:r>
      <w:r w:rsidR="00B10CFA">
        <w:rPr>
          <w:color w:val="000000" w:themeColor="text1"/>
        </w:rPr>
        <w:t xml:space="preserve"> a </w:t>
      </w:r>
      <w:r>
        <w:rPr>
          <w:color w:val="000000" w:themeColor="text1"/>
        </w:rPr>
        <w:t>nezávislými právními subjekty. Dceřiné</w:t>
      </w:r>
      <w:r w:rsidR="00B10CFA">
        <w:rPr>
          <w:color w:val="000000" w:themeColor="text1"/>
        </w:rPr>
        <w:t xml:space="preserve"> a </w:t>
      </w:r>
      <w:r>
        <w:rPr>
          <w:color w:val="000000" w:themeColor="text1"/>
        </w:rPr>
        <w:t xml:space="preserve">přidružené podniky společnosti </w:t>
      </w:r>
      <w:proofErr w:type="spellStart"/>
      <w:r>
        <w:rPr>
          <w:color w:val="000000" w:themeColor="text1"/>
        </w:rPr>
        <w:t>Deloitte</w:t>
      </w:r>
      <w:proofErr w:type="spellEnd"/>
      <w:r>
        <w:rPr>
          <w:color w:val="000000" w:themeColor="text1"/>
        </w:rPr>
        <w:t xml:space="preserve"> </w:t>
      </w:r>
      <w:proofErr w:type="spellStart"/>
      <w:r>
        <w:rPr>
          <w:color w:val="000000" w:themeColor="text1"/>
        </w:rPr>
        <w:t>Central</w:t>
      </w:r>
      <w:proofErr w:type="spellEnd"/>
      <w:r>
        <w:rPr>
          <w:color w:val="000000" w:themeColor="text1"/>
        </w:rPr>
        <w:t xml:space="preserve"> </w:t>
      </w:r>
      <w:proofErr w:type="spellStart"/>
      <w:r>
        <w:rPr>
          <w:color w:val="000000" w:themeColor="text1"/>
        </w:rPr>
        <w:t>Europe</w:t>
      </w:r>
      <w:proofErr w:type="spellEnd"/>
      <w:r>
        <w:rPr>
          <w:color w:val="000000" w:themeColor="text1"/>
        </w:rPr>
        <w:t xml:space="preserve"> </w:t>
      </w:r>
      <w:proofErr w:type="spellStart"/>
      <w:r>
        <w:rPr>
          <w:color w:val="000000" w:themeColor="text1"/>
        </w:rPr>
        <w:t>Holdings</w:t>
      </w:r>
      <w:proofErr w:type="spellEnd"/>
      <w:r>
        <w:rPr>
          <w:color w:val="000000" w:themeColor="text1"/>
        </w:rPr>
        <w:t xml:space="preserve"> Limited patří ve středoevropském regionu</w:t>
      </w:r>
      <w:r w:rsidR="00B10CFA">
        <w:rPr>
          <w:color w:val="000000" w:themeColor="text1"/>
        </w:rPr>
        <w:t xml:space="preserve"> k </w:t>
      </w:r>
      <w:r>
        <w:rPr>
          <w:color w:val="000000" w:themeColor="text1"/>
        </w:rPr>
        <w:t>předním firmám poskytujícím služby prostřednictvím více než 6 000 zaměstnanců ze 44 pracovišť</w:t>
      </w:r>
      <w:r w:rsidR="00DA0BEC">
        <w:rPr>
          <w:color w:val="000000" w:themeColor="text1"/>
        </w:rPr>
        <w:t xml:space="preserve"> v </w:t>
      </w:r>
      <w:r>
        <w:rPr>
          <w:color w:val="000000" w:themeColor="text1"/>
        </w:rPr>
        <w:t>18 zemích.</w:t>
      </w:r>
    </w:p>
    <w:p w14:paraId="00481060" w14:textId="77777777" w:rsidR="00AF402B" w:rsidRDefault="00AF402B">
      <w:pPr>
        <w:pStyle w:val="Legaltext"/>
        <w:ind w:right="1275"/>
        <w:rPr>
          <w:color w:val="000000" w:themeColor="text1"/>
        </w:rPr>
      </w:pPr>
    </w:p>
    <w:p w14:paraId="67A8D4F7" w14:textId="77777777" w:rsidR="00AF402B" w:rsidRDefault="0021646A">
      <w:pPr>
        <w:pStyle w:val="Legaltext"/>
        <w:ind w:right="1275"/>
      </w:pPr>
      <w:r>
        <w:rPr>
          <w:color w:val="000000" w:themeColor="text1"/>
        </w:rPr>
        <w:t>© 201</w:t>
      </w:r>
      <w:r w:rsidR="006062A2">
        <w:rPr>
          <w:color w:val="000000" w:themeColor="text1"/>
        </w:rPr>
        <w:t>9</w:t>
      </w:r>
      <w:r>
        <w:rPr>
          <w:color w:val="000000" w:themeColor="text1"/>
        </w:rPr>
        <w:t xml:space="preserve"> Pro více informací kontaktujte Deloitte Česká republika.</w:t>
      </w:r>
    </w:p>
    <w:sectPr w:rsidR="00AF402B" w:rsidSect="00530463">
      <w:pgSz w:w="11906" w:h="16838"/>
      <w:pgMar w:top="1985" w:right="1134" w:bottom="1134" w:left="1134" w:header="680" w:footer="567" w:gutter="0"/>
      <w:cols w:space="708"/>
      <w:formProt w:val="0"/>
      <w:docGrid w:linePitch="36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30FB2" w14:textId="77777777" w:rsidR="00DF546A" w:rsidRDefault="00DF546A">
      <w:pPr>
        <w:spacing w:after="0" w:line="240" w:lineRule="auto"/>
      </w:pPr>
      <w:r>
        <w:separator/>
      </w:r>
    </w:p>
  </w:endnote>
  <w:endnote w:type="continuationSeparator" w:id="0">
    <w:p w14:paraId="632BE865" w14:textId="77777777" w:rsidR="00DF546A" w:rsidRDefault="00DF5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ans-Bold">
    <w:altName w:val="Times New Roman"/>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3A78F" w14:textId="77777777" w:rsidR="00DF546A" w:rsidRDefault="00DF5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F49F" w14:textId="77777777" w:rsidR="00DF546A" w:rsidRDefault="00DF546A">
    <w:pPr>
      <w:pStyle w:val="Footer"/>
      <w:jc w:val="right"/>
    </w:pPr>
  </w:p>
  <w:p w14:paraId="59825412" w14:textId="77777777" w:rsidR="00DF546A" w:rsidRPr="00335CF3" w:rsidRDefault="00DF546A" w:rsidP="00CD67BF">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BF4D9" w14:textId="77777777" w:rsidR="00DF546A" w:rsidRDefault="00DF54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455372"/>
      <w:docPartObj>
        <w:docPartGallery w:val="Page Numbers (Bottom of Page)"/>
        <w:docPartUnique/>
      </w:docPartObj>
    </w:sdtPr>
    <w:sdtEndPr>
      <w:rPr>
        <w:noProof/>
      </w:rPr>
    </w:sdtEndPr>
    <w:sdtContent>
      <w:p w14:paraId="6D8F666A" w14:textId="3FE65D53" w:rsidR="00DF546A" w:rsidRDefault="00DF546A">
        <w:pPr>
          <w:pStyle w:val="Footer"/>
          <w:jc w:val="right"/>
        </w:pPr>
        <w:r>
          <w:fldChar w:fldCharType="begin"/>
        </w:r>
        <w:r>
          <w:instrText xml:space="preserve"> PAGE   \* MERGEFORMAT </w:instrText>
        </w:r>
        <w:r>
          <w:fldChar w:fldCharType="separate"/>
        </w:r>
        <w:r w:rsidR="00F77CAE">
          <w:rPr>
            <w:noProof/>
          </w:rPr>
          <w:t>2</w:t>
        </w:r>
        <w:r>
          <w:rPr>
            <w:noProof/>
          </w:rPr>
          <w:fldChar w:fldCharType="end"/>
        </w:r>
      </w:p>
    </w:sdtContent>
  </w:sdt>
  <w:p w14:paraId="3158EC24" w14:textId="77777777" w:rsidR="00DF546A" w:rsidRDefault="00DF546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33164"/>
      <w:docPartObj>
        <w:docPartGallery w:val="Page Numbers (Bottom of Page)"/>
        <w:docPartUnique/>
      </w:docPartObj>
    </w:sdtPr>
    <w:sdtEndPr>
      <w:rPr>
        <w:noProof/>
      </w:rPr>
    </w:sdtEndPr>
    <w:sdtContent>
      <w:p w14:paraId="1D686E30" w14:textId="4D65C186" w:rsidR="00DF546A" w:rsidRDefault="00DF546A">
        <w:pPr>
          <w:pStyle w:val="Footer"/>
          <w:jc w:val="right"/>
        </w:pPr>
        <w:r>
          <w:fldChar w:fldCharType="begin"/>
        </w:r>
        <w:r>
          <w:instrText xml:space="preserve"> PAGE   \* MERGEFORMAT </w:instrText>
        </w:r>
        <w:r>
          <w:fldChar w:fldCharType="separate"/>
        </w:r>
        <w:r w:rsidR="00F77CAE">
          <w:rPr>
            <w:noProof/>
          </w:rPr>
          <w:t>22</w:t>
        </w:r>
        <w:r>
          <w:rPr>
            <w:noProof/>
          </w:rPr>
          <w:fldChar w:fldCharType="end"/>
        </w:r>
      </w:p>
    </w:sdtContent>
  </w:sdt>
  <w:p w14:paraId="4A57D691" w14:textId="77777777" w:rsidR="00DF546A" w:rsidRDefault="00DF546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09661"/>
      <w:docPartObj>
        <w:docPartGallery w:val="Page Numbers (Bottom of Page)"/>
        <w:docPartUnique/>
      </w:docPartObj>
    </w:sdtPr>
    <w:sdtEndPr>
      <w:rPr>
        <w:noProof/>
      </w:rPr>
    </w:sdtEndPr>
    <w:sdtContent>
      <w:p w14:paraId="7C1032F0" w14:textId="5CA878B4" w:rsidR="00DF546A" w:rsidRDefault="00DF546A">
        <w:pPr>
          <w:pStyle w:val="Footer"/>
          <w:jc w:val="right"/>
        </w:pPr>
        <w:r>
          <w:fldChar w:fldCharType="begin"/>
        </w:r>
        <w:r>
          <w:instrText xml:space="preserve"> PAGE   \* MERGEFORMAT </w:instrText>
        </w:r>
        <w:r>
          <w:fldChar w:fldCharType="separate"/>
        </w:r>
        <w:r w:rsidR="00F77CAE">
          <w:rPr>
            <w:noProof/>
          </w:rPr>
          <w:t>110</w:t>
        </w:r>
        <w:r>
          <w:rPr>
            <w:noProof/>
          </w:rPr>
          <w:fldChar w:fldCharType="end"/>
        </w:r>
      </w:p>
    </w:sdtContent>
  </w:sdt>
  <w:p w14:paraId="147F266A" w14:textId="77777777" w:rsidR="00DF546A" w:rsidRDefault="00DF54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6E371" w14:textId="77777777" w:rsidR="00DF546A" w:rsidRDefault="00DF546A">
      <w:r>
        <w:separator/>
      </w:r>
    </w:p>
  </w:footnote>
  <w:footnote w:type="continuationSeparator" w:id="0">
    <w:p w14:paraId="530EE6BE" w14:textId="77777777" w:rsidR="00DF546A" w:rsidRDefault="00DF546A">
      <w:r>
        <w:continuationSeparator/>
      </w:r>
    </w:p>
  </w:footnote>
  <w:footnote w:id="1">
    <w:p w14:paraId="460DD8FB" w14:textId="77777777" w:rsidR="00DF546A" w:rsidRDefault="00DF546A" w:rsidP="00AC28E1">
      <w:pPr>
        <w:pStyle w:val="FootnoteText"/>
        <w:jc w:val="both"/>
      </w:pPr>
      <w:r>
        <w:rPr>
          <w:rStyle w:val="FootnoteReference"/>
        </w:rPr>
        <w:footnoteRef/>
      </w:r>
      <w:r>
        <w:t xml:space="preserve"> </w:t>
      </w:r>
      <w:r w:rsidRPr="006636D3">
        <w:t>Analýza dat z monitorovacího systému MS2014+ byla zpracována na základě datových sestav poskytnutých Zadavatelem vytvořených ke dni 8. 1. 2019.</w:t>
      </w:r>
    </w:p>
  </w:footnote>
  <w:footnote w:id="2">
    <w:p w14:paraId="1C49DED7" w14:textId="77777777" w:rsidR="00DF546A" w:rsidRPr="00A557B0" w:rsidRDefault="00DF546A" w:rsidP="00AC28E1">
      <w:pPr>
        <w:autoSpaceDE w:val="0"/>
        <w:autoSpaceDN w:val="0"/>
        <w:spacing w:before="40" w:after="40" w:line="240" w:lineRule="auto"/>
        <w:rPr>
          <w:rFonts w:asciiTheme="majorHAnsi" w:hAnsiTheme="majorHAnsi"/>
          <w:szCs w:val="18"/>
        </w:rPr>
      </w:pPr>
      <w:r w:rsidRPr="00A557B0">
        <w:rPr>
          <w:rStyle w:val="FootnoteReference"/>
          <w:rFonts w:asciiTheme="majorHAnsi" w:hAnsiTheme="majorHAnsi"/>
          <w:szCs w:val="18"/>
        </w:rPr>
        <w:footnoteRef/>
      </w:r>
      <w:r w:rsidRPr="00A557B0">
        <w:rPr>
          <w:rFonts w:asciiTheme="majorHAnsi" w:hAnsiTheme="majorHAnsi"/>
          <w:szCs w:val="18"/>
        </w:rPr>
        <w:t xml:space="preserve"> J</w:t>
      </w:r>
      <w:r w:rsidRPr="00A557B0">
        <w:rPr>
          <w:rFonts w:asciiTheme="majorHAnsi" w:hAnsiTheme="majorHAnsi" w:cs="Segoe UI"/>
          <w:color w:val="000000"/>
          <w:szCs w:val="18"/>
        </w:rPr>
        <w:t xml:space="preserve">edná se o komplexní doporučení vedoucí k zefektivnění programů, některá doporučení tak mohou být mimo gesci ŘO. </w:t>
      </w:r>
    </w:p>
  </w:footnote>
  <w:footnote w:id="3">
    <w:p w14:paraId="58F6A6C9" w14:textId="77777777" w:rsidR="00DF546A" w:rsidRPr="008D5C22" w:rsidRDefault="00DF546A" w:rsidP="00AC28E1">
      <w:pPr>
        <w:pStyle w:val="FootnoteText"/>
      </w:pPr>
      <w:r>
        <w:rPr>
          <w:rStyle w:val="FootnoteReference"/>
        </w:rPr>
        <w:footnoteRef/>
      </w:r>
      <w:r>
        <w:t xml:space="preserve"> </w:t>
      </w:r>
      <w:proofErr w:type="spellStart"/>
      <w:r>
        <w:t>Ibid</w:t>
      </w:r>
      <w:proofErr w:type="spellEnd"/>
      <w:r>
        <w:t>.</w:t>
      </w:r>
    </w:p>
  </w:footnote>
  <w:footnote w:id="4">
    <w:p w14:paraId="09694E35" w14:textId="77777777" w:rsidR="00DF546A" w:rsidRPr="00A557B0" w:rsidRDefault="00DF546A">
      <w:pPr>
        <w:pStyle w:val="FootnoteText"/>
        <w:rPr>
          <w:sz w:val="16"/>
          <w:szCs w:val="16"/>
          <w:lang w:val="en-US"/>
        </w:rPr>
      </w:pPr>
      <w:r w:rsidRPr="00A557B0">
        <w:rPr>
          <w:rStyle w:val="FootnoteReference"/>
          <w:sz w:val="16"/>
          <w:szCs w:val="16"/>
        </w:rPr>
        <w:footnoteRef/>
      </w:r>
      <w:r w:rsidRPr="00A557B0">
        <w:rPr>
          <w:sz w:val="16"/>
          <w:szCs w:val="16"/>
        </w:rPr>
        <w:t xml:space="preserve"> </w:t>
      </w:r>
      <w:r w:rsidRPr="00A557B0">
        <w:rPr>
          <w:sz w:val="16"/>
          <w:szCs w:val="16"/>
          <w:lang w:val="en-US"/>
        </w:rPr>
        <w:t>The findings and recommendations will be also stated in the IS KP 2014+ system in the Evaluation module after approval of the final version of the Final Report.</w:t>
      </w:r>
    </w:p>
  </w:footnote>
  <w:footnote w:id="5">
    <w:p w14:paraId="27E9EAEC" w14:textId="77777777" w:rsidR="00DF546A" w:rsidRPr="00C065B3" w:rsidRDefault="00DF546A" w:rsidP="00AC28E1">
      <w:pPr>
        <w:autoSpaceDE w:val="0"/>
        <w:autoSpaceDN w:val="0"/>
        <w:spacing w:before="40" w:after="40" w:line="240" w:lineRule="auto"/>
        <w:rPr>
          <w:lang w:val="en-US"/>
        </w:rPr>
      </w:pPr>
      <w:r w:rsidRPr="00C065B3">
        <w:rPr>
          <w:rStyle w:val="FootnoteReference"/>
          <w:lang w:val="en-US"/>
        </w:rPr>
        <w:footnoteRef/>
      </w:r>
      <w:r w:rsidRPr="00C065B3">
        <w:rPr>
          <w:lang w:val="en-US"/>
        </w:rPr>
        <w:t xml:space="preserve"> The table contains comprehensive recommendations leading to more effective programs, some recommendations may be outside the responsibility of the MA.</w:t>
      </w:r>
    </w:p>
  </w:footnote>
  <w:footnote w:id="6">
    <w:p w14:paraId="53E624E4" w14:textId="77777777" w:rsidR="00DF546A" w:rsidRPr="008D5C22" w:rsidRDefault="00DF546A" w:rsidP="00AC28E1">
      <w:pPr>
        <w:pStyle w:val="FootnoteText"/>
      </w:pPr>
      <w:r>
        <w:rPr>
          <w:rStyle w:val="FootnoteReference"/>
        </w:rPr>
        <w:footnoteRef/>
      </w:r>
      <w:r>
        <w:t xml:space="preserve"> </w:t>
      </w:r>
      <w:proofErr w:type="spellStart"/>
      <w:r>
        <w:t>Ibid</w:t>
      </w:r>
      <w:proofErr w:type="spellEnd"/>
      <w:r>
        <w:t>.</w:t>
      </w:r>
    </w:p>
  </w:footnote>
  <w:footnote w:id="7">
    <w:p w14:paraId="3F2231C5" w14:textId="77777777" w:rsidR="00DF546A" w:rsidRDefault="00DF546A">
      <w:pPr>
        <w:pStyle w:val="FootnoteText"/>
      </w:pPr>
      <w:r>
        <w:rPr>
          <w:rStyle w:val="FootnoteReference"/>
        </w:rPr>
        <w:footnoteRef/>
      </w:r>
      <w:r>
        <w:t xml:space="preserve"> Dle škály Prof. Františka Valenty.</w:t>
      </w:r>
    </w:p>
  </w:footnote>
  <w:footnote w:id="8">
    <w:p w14:paraId="1DDC1E79" w14:textId="77777777" w:rsidR="00DF546A" w:rsidRDefault="00DF546A" w:rsidP="00C818D5">
      <w:pPr>
        <w:pStyle w:val="FootnoteText"/>
      </w:pPr>
      <w:r>
        <w:rPr>
          <w:rStyle w:val="FootnoteReference"/>
        </w:rPr>
        <w:footnoteRef/>
      </w:r>
      <w:r>
        <w:t xml:space="preserve"> Evropská komise: </w:t>
      </w:r>
      <w:proofErr w:type="spellStart"/>
      <w:r>
        <w:t>Ekoinovace</w:t>
      </w:r>
      <w:proofErr w:type="spellEnd"/>
      <w:r>
        <w:t xml:space="preserve"> – klíč k budoucí konkurenceschopnosti Evropy, dostupné z: </w:t>
      </w:r>
      <w:hyperlink r:id="rId1" w:history="1">
        <w:r>
          <w:rPr>
            <w:rStyle w:val="Hyperlink"/>
          </w:rPr>
          <w:t>http://ec.europa.eu/environment/pubs/pdf/factsheets/ecoinnovation/cs.pdf</w:t>
        </w:r>
      </w:hyperlink>
    </w:p>
  </w:footnote>
  <w:footnote w:id="9">
    <w:p w14:paraId="2089BB83" w14:textId="77777777" w:rsidR="00DF546A" w:rsidRPr="00494DC6" w:rsidRDefault="00DF546A" w:rsidP="00494DC6">
      <w:r w:rsidRPr="00A42D6E">
        <w:rPr>
          <w:vertAlign w:val="superscript"/>
        </w:rPr>
        <w:footnoteRef/>
      </w:r>
      <w:r w:rsidRPr="00A42D6E">
        <w:rPr>
          <w:vertAlign w:val="superscript"/>
        </w:rPr>
        <w:t xml:space="preserve"> </w:t>
      </w:r>
      <w:r w:rsidRPr="00494DC6">
        <w:t>Zdroj: OP PIK Harmonogra</w:t>
      </w:r>
      <w:r>
        <w:t>m výzev 2019, informace poskytnuté</w:t>
      </w:r>
      <w:r w:rsidRPr="00494DC6">
        <w:t xml:space="preserve"> Zadavatelem</w:t>
      </w:r>
      <w:r>
        <w:t>.</w:t>
      </w:r>
    </w:p>
  </w:footnote>
  <w:footnote w:id="10">
    <w:p w14:paraId="5EEB42DD" w14:textId="77777777" w:rsidR="00DF546A" w:rsidRDefault="00DF546A" w:rsidP="00726746">
      <w:pPr>
        <w:pStyle w:val="FootnoteText"/>
      </w:pPr>
      <w:r>
        <w:rPr>
          <w:rStyle w:val="FootnoteReference"/>
        </w:rPr>
        <w:footnoteRef/>
      </w:r>
      <w:r>
        <w:t xml:space="preserve"> Viz Programový dokument OP PIK, verze červen 2018, str. 70.</w:t>
      </w:r>
    </w:p>
  </w:footnote>
  <w:footnote w:id="11">
    <w:p w14:paraId="027113EC" w14:textId="77777777" w:rsidR="00DF546A" w:rsidRPr="00494DC6" w:rsidRDefault="00DF546A" w:rsidP="00494DC6">
      <w:r w:rsidRPr="002449AE">
        <w:rPr>
          <w:vertAlign w:val="superscript"/>
        </w:rPr>
        <w:footnoteRef/>
      </w:r>
      <w:r w:rsidRPr="00494DC6">
        <w:t xml:space="preserve"> V souladu s Prováděcími nařízeními Komise (EU) č. 2018/276 a č. 2018/277 jsou milníky splněny, pokud byly naplněny na min. 85 %. </w:t>
      </w:r>
    </w:p>
  </w:footnote>
  <w:footnote w:id="12">
    <w:p w14:paraId="4715ECF9" w14:textId="77777777" w:rsidR="00DF546A" w:rsidRDefault="00DF546A" w:rsidP="003318F5">
      <w:pPr>
        <w:pStyle w:val="FootnoteText"/>
      </w:pPr>
      <w:r>
        <w:rPr>
          <w:rStyle w:val="FootnoteReference"/>
        </w:rPr>
        <w:footnoteRef/>
      </w:r>
      <w:r>
        <w:t xml:space="preserve"> Stavy: Předběžná žádost o podporu stažena žadatelem, Předběžná žádost o podporu ukončena ŘO/ZS, Žádost o podporu stažena žadatelem, Žádost o podporu ukončena ŘO/ZS</w:t>
      </w:r>
    </w:p>
  </w:footnote>
  <w:footnote w:id="13">
    <w:p w14:paraId="2F30D4B1" w14:textId="48F8E985" w:rsidR="00DF546A" w:rsidRDefault="00DF546A" w:rsidP="00AF2BD8">
      <w:r>
        <w:rPr>
          <w:rStyle w:val="FootnoteReference"/>
        </w:rPr>
        <w:footnoteRef/>
      </w:r>
      <w:r>
        <w:t xml:space="preserve"> např. a) Finanční kontrola u žádostí o platbu umožňující kontrolu např. rozpočtových položek, vnitřních limitů, apod.; b) Možnost nastavení směsných poměrů na rozpočtu (jedná se především o projekty v konsorciích, kdy je v rámci jedné žádosti o podporu více subjektů a každý má jinou podporu); c) Nahrazení samostatných administrativních ověření pro každou kontrolu (např. výběrové řízení, finanční kontrola </w:t>
      </w:r>
      <w:proofErr w:type="spellStart"/>
      <w:r>
        <w:t>ŽoP</w:t>
      </w:r>
      <w:proofErr w:type="spellEnd"/>
      <w:r>
        <w:t xml:space="preserve">., věcná kontrola </w:t>
      </w:r>
      <w:proofErr w:type="spellStart"/>
      <w:r>
        <w:t>ŽoP</w:t>
      </w:r>
      <w:proofErr w:type="spellEnd"/>
      <w:r>
        <w:t>., apod.) formou vyplnění kontrolního listu na zadané zakázce, obdobně jako např. v žádosti o platbu.; d) Samostatné zprávy o realizaci a závěrečné zprávy nahradit záložkou přímo v žádosti o platbu.; e) Celá řada formulářů /záložek v žádostech o podporu se duplikuje, jsou nepřehledně uspořádané nebo zbytečně dělené do více formulářů/záložek – umožnit  automatizované kopírování a kontrolu dat napříč formuláři/záložkami a projekty příjemce.</w:t>
      </w:r>
    </w:p>
    <w:p w14:paraId="7F5C58AC" w14:textId="77777777" w:rsidR="00DF546A" w:rsidRDefault="00DF546A">
      <w:pPr>
        <w:pStyle w:val="FootnoteText"/>
      </w:pPr>
    </w:p>
  </w:footnote>
  <w:footnote w:id="14">
    <w:p w14:paraId="14C2BE8A" w14:textId="217DAE92" w:rsidR="00DF546A" w:rsidRDefault="00DF546A">
      <w:pPr>
        <w:pStyle w:val="FootnoteText"/>
      </w:pPr>
      <w:r>
        <w:rPr>
          <w:rStyle w:val="FootnoteReference"/>
        </w:rPr>
        <w:footnoteRef/>
      </w:r>
      <w:r>
        <w:t xml:space="preserve"> Příkladem nesprávně nastaveného indikátoru je 21410 </w:t>
      </w:r>
      <w:r w:rsidRPr="00E921A3">
        <w:t>Tržby podpořených podniků v důsledku zavedené inovace</w:t>
      </w:r>
      <w:r>
        <w:t>, který má špatně nastavenou jednotku (mil. Kč) a stejně tak není vhodně nastaven způsob vykazování. Výsledná hodnota indikátoru je zcela nerelevantní, protože příjemci uvádějí indikátor v různých jednotkách, resp. řádech jednotky (tisíce, statisíce, miliony). Je také zřejmé, že příjemci různě přistupují k výpočtu hodnoty indikátoru.</w:t>
      </w:r>
    </w:p>
  </w:footnote>
  <w:footnote w:id="15">
    <w:p w14:paraId="0E1477F2" w14:textId="77777777" w:rsidR="00DF546A" w:rsidRDefault="00DF546A" w:rsidP="007359A3">
      <w:pPr>
        <w:pStyle w:val="FootnoteText"/>
      </w:pPr>
      <w:r>
        <w:rPr>
          <w:rStyle w:val="FootnoteReference"/>
        </w:rPr>
        <w:footnoteRef/>
      </w:r>
      <w:r>
        <w:t xml:space="preserve"> Dodavatel vybral několik z řady zjištění, dostupných na Hlavní závěry z projektu INKA – Mapování inovační kapacity 2014+, dostupné na: </w:t>
      </w:r>
      <w:hyperlink r:id="rId2" w:history="1">
        <w:r>
          <w:rPr>
            <w:rStyle w:val="Hyperlink"/>
          </w:rPr>
          <w:t>https://tacr.cz/dokums_raw/prezentace/inka.pdf</w:t>
        </w:r>
      </w:hyperlink>
      <w:r>
        <w:t>, aktualizováno 12. 2. 2016</w:t>
      </w:r>
    </w:p>
  </w:footnote>
  <w:footnote w:id="16">
    <w:p w14:paraId="424A4127" w14:textId="77777777" w:rsidR="00DF546A" w:rsidRPr="00116BA5" w:rsidRDefault="00DF546A" w:rsidP="00C95AB4">
      <w:pPr>
        <w:pStyle w:val="FootnoteText"/>
        <w:rPr>
          <w:sz w:val="16"/>
        </w:rPr>
      </w:pPr>
      <w:r w:rsidRPr="00116BA5">
        <w:rPr>
          <w:rStyle w:val="FootnoteReference"/>
          <w:sz w:val="16"/>
        </w:rPr>
        <w:footnoteRef/>
      </w:r>
      <w:r w:rsidRPr="00116BA5">
        <w:rPr>
          <w:sz w:val="16"/>
        </w:rPr>
        <w:t xml:space="preserve"> Deloitte, TA ČR: Daňová a dotační podpora činností výzkumu a vývoje. Vyhodnocení průzkumu v ČR. Praha, říjen 2018.</w:t>
      </w:r>
    </w:p>
  </w:footnote>
  <w:footnote w:id="17">
    <w:p w14:paraId="35B23E86" w14:textId="77777777" w:rsidR="00DF546A" w:rsidRPr="00116BA5" w:rsidRDefault="00DF546A" w:rsidP="00C95AB4">
      <w:pPr>
        <w:pStyle w:val="FootnoteText"/>
        <w:spacing w:after="0"/>
        <w:rPr>
          <w:sz w:val="16"/>
        </w:rPr>
      </w:pPr>
      <w:r w:rsidRPr="00116BA5">
        <w:rPr>
          <w:rStyle w:val="FootnoteReference"/>
          <w:sz w:val="16"/>
        </w:rPr>
        <w:footnoteRef/>
      </w:r>
      <w:r w:rsidRPr="00116BA5">
        <w:rPr>
          <w:sz w:val="16"/>
        </w:rPr>
        <w:t xml:space="preserve"> Aktualizovaný harmonogram výzev pro rok 2019 z 13. 3. 2019, dostupný na: </w:t>
      </w:r>
      <w:hyperlink r:id="rId3" w:history="1">
        <w:r w:rsidRPr="00116BA5">
          <w:rPr>
            <w:rStyle w:val="Hyperlink"/>
            <w:sz w:val="16"/>
          </w:rPr>
          <w:t>https://www.agentura-api.org/op-pik-obecne/</w:t>
        </w:r>
      </w:hyperlink>
      <w:r w:rsidRPr="00116BA5">
        <w:rPr>
          <w:sz w:val="16"/>
        </w:rPr>
        <w:t xml:space="preserve"> </w:t>
      </w:r>
    </w:p>
  </w:footnote>
  <w:footnote w:id="18">
    <w:p w14:paraId="12156DDA" w14:textId="77777777" w:rsidR="00DF546A" w:rsidRPr="00116BA5" w:rsidRDefault="00DF546A" w:rsidP="00C95AB4">
      <w:pPr>
        <w:pStyle w:val="Heading1"/>
        <w:shd w:val="clear" w:color="auto" w:fill="FFFFFF"/>
        <w:rPr>
          <w:rFonts w:eastAsia="Times New Roman" w:cs="Vani"/>
          <w:b w:val="0"/>
          <w:color w:val="auto"/>
          <w:sz w:val="44"/>
        </w:rPr>
      </w:pPr>
      <w:r w:rsidRPr="00116BA5">
        <w:rPr>
          <w:rStyle w:val="FootnoteReference"/>
          <w:rFonts w:cs="Vani"/>
          <w:b w:val="0"/>
          <w:color w:val="auto"/>
          <w:sz w:val="16"/>
        </w:rPr>
        <w:footnoteRef/>
      </w:r>
      <w:r w:rsidRPr="00116BA5">
        <w:rPr>
          <w:rFonts w:cs="Vani"/>
          <w:b w:val="0"/>
          <w:color w:val="auto"/>
          <w:sz w:val="16"/>
        </w:rPr>
        <w:t xml:space="preserve"> Valenta, František, prof. Ing., CSc.: Inovace v manažerské praxi. Praha: Velryba, 2001.</w:t>
      </w:r>
    </w:p>
    <w:p w14:paraId="5B240F7F" w14:textId="77777777" w:rsidR="00DF546A" w:rsidRDefault="00DF546A" w:rsidP="00C95A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83EDA" w14:textId="77777777" w:rsidR="00DF546A" w:rsidRDefault="00DF54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001B" w14:textId="77777777" w:rsidR="00DF546A" w:rsidRDefault="00DF546A">
    <w:pPr>
      <w:pStyle w:val="Header"/>
    </w:pPr>
    <w:r>
      <w:rPr>
        <w:noProof/>
        <w:lang w:val="cs-CZ" w:eastAsia="cs-CZ"/>
      </w:rPr>
      <w:drawing>
        <wp:anchor distT="0" distB="0" distL="114300" distR="114300" simplePos="0" relativeHeight="251661312" behindDoc="0" locked="0" layoutInCell="1" allowOverlap="1" wp14:anchorId="7DB0D411" wp14:editId="03C48B36">
          <wp:simplePos x="0" y="0"/>
          <wp:positionH relativeFrom="margin">
            <wp:posOffset>4549140</wp:posOffset>
          </wp:positionH>
          <wp:positionV relativeFrom="paragraph">
            <wp:posOffset>-114935</wp:posOffset>
          </wp:positionV>
          <wp:extent cx="1534160" cy="744855"/>
          <wp:effectExtent l="0" t="0" r="889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O - cz--.jpg"/>
                  <pic:cNvPicPr/>
                </pic:nvPicPr>
                <pic:blipFill>
                  <a:blip r:embed="rId1">
                    <a:extLst>
                      <a:ext uri="{28A0092B-C50C-407E-A947-70E740481C1C}">
                        <a14:useLocalDpi xmlns:a14="http://schemas.microsoft.com/office/drawing/2010/main" val="0"/>
                      </a:ext>
                    </a:extLst>
                  </a:blip>
                  <a:stretch>
                    <a:fillRect/>
                  </a:stretch>
                </pic:blipFill>
                <pic:spPr>
                  <a:xfrm>
                    <a:off x="0" y="0"/>
                    <a:ext cx="1534160" cy="744855"/>
                  </a:xfrm>
                  <a:prstGeom prst="rect">
                    <a:avLst/>
                  </a:prstGeom>
                </pic:spPr>
              </pic:pic>
            </a:graphicData>
          </a:graphic>
        </wp:anchor>
      </w:drawing>
    </w:r>
    <w:r>
      <w:rPr>
        <w:noProof/>
        <w:lang w:val="cs-CZ" w:eastAsia="cs-CZ"/>
      </w:rPr>
      <w:drawing>
        <wp:anchor distT="0" distB="0" distL="114300" distR="114300" simplePos="0" relativeHeight="251659264" behindDoc="0" locked="0" layoutInCell="1" allowOverlap="1" wp14:anchorId="261D53FC" wp14:editId="4E2BBB52">
          <wp:simplePos x="0" y="0"/>
          <wp:positionH relativeFrom="margin">
            <wp:posOffset>332740</wp:posOffset>
          </wp:positionH>
          <wp:positionV relativeFrom="paragraph">
            <wp:posOffset>-114935</wp:posOffset>
          </wp:positionV>
          <wp:extent cx="2823479" cy="882622"/>
          <wp:effectExtent l="0" t="0" r="0" b="0"/>
          <wp:wrapTopAndBottom/>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Z_RO_B_C.jpg"/>
                  <pic:cNvPicPr/>
                </pic:nvPicPr>
                <pic:blipFill>
                  <a:blip r:embed="rId2">
                    <a:extLst>
                      <a:ext uri="{28A0092B-C50C-407E-A947-70E740481C1C}">
                        <a14:useLocalDpi xmlns:a14="http://schemas.microsoft.com/office/drawing/2010/main" val="0"/>
                      </a:ext>
                    </a:extLst>
                  </a:blip>
                  <a:stretch>
                    <a:fillRect/>
                  </a:stretch>
                </pic:blipFill>
                <pic:spPr>
                  <a:xfrm>
                    <a:off x="0" y="0"/>
                    <a:ext cx="2823479" cy="88262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F72D" w14:textId="77777777" w:rsidR="00DF546A" w:rsidRDefault="00DF546A">
    <w:pPr>
      <w:pStyle w:val="Header"/>
    </w:pPr>
    <w:r>
      <w:rPr>
        <w:noProof/>
        <w:lang w:val="cs-CZ" w:eastAsia="cs-CZ"/>
      </w:rPr>
      <w:drawing>
        <wp:anchor distT="0" distB="0" distL="114300" distR="114300" simplePos="0" relativeHeight="251665408" behindDoc="0" locked="0" layoutInCell="1" allowOverlap="1" wp14:anchorId="7EBE0B48" wp14:editId="5BC3C8D5">
          <wp:simplePos x="0" y="0"/>
          <wp:positionH relativeFrom="margin">
            <wp:posOffset>4632325</wp:posOffset>
          </wp:positionH>
          <wp:positionV relativeFrom="paragraph">
            <wp:posOffset>-290830</wp:posOffset>
          </wp:positionV>
          <wp:extent cx="1534160" cy="744855"/>
          <wp:effectExtent l="0" t="0" r="8890" b="0"/>
          <wp:wrapTopAndBottom/>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O - cz--.jpg"/>
                  <pic:cNvPicPr/>
                </pic:nvPicPr>
                <pic:blipFill>
                  <a:blip r:embed="rId1">
                    <a:extLst>
                      <a:ext uri="{28A0092B-C50C-407E-A947-70E740481C1C}">
                        <a14:useLocalDpi xmlns:a14="http://schemas.microsoft.com/office/drawing/2010/main" val="0"/>
                      </a:ext>
                    </a:extLst>
                  </a:blip>
                  <a:stretch>
                    <a:fillRect/>
                  </a:stretch>
                </pic:blipFill>
                <pic:spPr>
                  <a:xfrm>
                    <a:off x="0" y="0"/>
                    <a:ext cx="1534160" cy="744855"/>
                  </a:xfrm>
                  <a:prstGeom prst="rect">
                    <a:avLst/>
                  </a:prstGeom>
                </pic:spPr>
              </pic:pic>
            </a:graphicData>
          </a:graphic>
        </wp:anchor>
      </w:drawing>
    </w:r>
    <w:r>
      <w:rPr>
        <w:noProof/>
        <w:lang w:val="cs-CZ" w:eastAsia="cs-CZ"/>
      </w:rPr>
      <w:drawing>
        <wp:anchor distT="0" distB="0" distL="114300" distR="114300" simplePos="0" relativeHeight="251663360" behindDoc="0" locked="0" layoutInCell="1" allowOverlap="1" wp14:anchorId="00FC8101" wp14:editId="71EDACDF">
          <wp:simplePos x="0" y="0"/>
          <wp:positionH relativeFrom="margin">
            <wp:posOffset>1652905</wp:posOffset>
          </wp:positionH>
          <wp:positionV relativeFrom="paragraph">
            <wp:posOffset>-299720</wp:posOffset>
          </wp:positionV>
          <wp:extent cx="2823210" cy="882015"/>
          <wp:effectExtent l="0" t="0" r="0" b="0"/>
          <wp:wrapTopAndBottom/>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Z_RO_B_C.jpg"/>
                  <pic:cNvPicPr/>
                </pic:nvPicPr>
                <pic:blipFill>
                  <a:blip r:embed="rId2">
                    <a:extLst>
                      <a:ext uri="{28A0092B-C50C-407E-A947-70E740481C1C}">
                        <a14:useLocalDpi xmlns:a14="http://schemas.microsoft.com/office/drawing/2010/main" val="0"/>
                      </a:ext>
                    </a:extLst>
                  </a:blip>
                  <a:stretch>
                    <a:fillRect/>
                  </a:stretch>
                </pic:blipFill>
                <pic:spPr>
                  <a:xfrm>
                    <a:off x="0" y="0"/>
                    <a:ext cx="2823210" cy="8820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68B9"/>
    <w:multiLevelType w:val="multilevel"/>
    <w:tmpl w:val="61128F4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452395"/>
    <w:multiLevelType w:val="hybridMultilevel"/>
    <w:tmpl w:val="96604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C96D20"/>
    <w:multiLevelType w:val="hybridMultilevel"/>
    <w:tmpl w:val="2CC62802"/>
    <w:lvl w:ilvl="0" w:tplc="5B345C38">
      <w:numFmt w:val="bullet"/>
      <w:lvlText w:val=""/>
      <w:lvlJc w:val="left"/>
      <w:pPr>
        <w:ind w:left="720" w:hanging="360"/>
      </w:pPr>
      <w:rPr>
        <w:rFonts w:ascii="Wingdings" w:eastAsia="Verdana"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6661EF"/>
    <w:multiLevelType w:val="hybridMultilevel"/>
    <w:tmpl w:val="4F0E5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120581"/>
    <w:multiLevelType w:val="multilevel"/>
    <w:tmpl w:val="8A9295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A9D647C"/>
    <w:multiLevelType w:val="hybridMultilevel"/>
    <w:tmpl w:val="749E5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7C4608"/>
    <w:multiLevelType w:val="hybridMultilevel"/>
    <w:tmpl w:val="D0284F6E"/>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7" w15:restartNumberingAfterBreak="0">
    <w:nsid w:val="0CA60106"/>
    <w:multiLevelType w:val="hybridMultilevel"/>
    <w:tmpl w:val="17603132"/>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8" w15:restartNumberingAfterBreak="0">
    <w:nsid w:val="0D290721"/>
    <w:multiLevelType w:val="hybridMultilevel"/>
    <w:tmpl w:val="44A49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D70391A"/>
    <w:multiLevelType w:val="hybridMultilevel"/>
    <w:tmpl w:val="53FC56C8"/>
    <w:lvl w:ilvl="0" w:tplc="E6BEC60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D901074"/>
    <w:multiLevelType w:val="hybridMultilevel"/>
    <w:tmpl w:val="D14A85C2"/>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1" w15:restartNumberingAfterBreak="0">
    <w:nsid w:val="0DA51DBC"/>
    <w:multiLevelType w:val="hybridMultilevel"/>
    <w:tmpl w:val="B8CAA4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EA0264"/>
    <w:multiLevelType w:val="hybridMultilevel"/>
    <w:tmpl w:val="DE5C2D8E"/>
    <w:lvl w:ilvl="0" w:tplc="FC18E3EA">
      <w:start w:val="3"/>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3" w15:restartNumberingAfterBreak="0">
    <w:nsid w:val="0EB67CC9"/>
    <w:multiLevelType w:val="hybridMultilevel"/>
    <w:tmpl w:val="04B62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F6C5BFB"/>
    <w:multiLevelType w:val="hybridMultilevel"/>
    <w:tmpl w:val="DAEE6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3253013"/>
    <w:multiLevelType w:val="hybridMultilevel"/>
    <w:tmpl w:val="12A23C4A"/>
    <w:lvl w:ilvl="0" w:tplc="FC18E3EA">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39D3422"/>
    <w:multiLevelType w:val="hybridMultilevel"/>
    <w:tmpl w:val="6C488204"/>
    <w:lvl w:ilvl="0" w:tplc="071E599E">
      <w:start w:val="2011"/>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5BF6DC3"/>
    <w:multiLevelType w:val="hybridMultilevel"/>
    <w:tmpl w:val="48347E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5D30026"/>
    <w:multiLevelType w:val="hybridMultilevel"/>
    <w:tmpl w:val="9F447DF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DE27B8"/>
    <w:multiLevelType w:val="hybridMultilevel"/>
    <w:tmpl w:val="E3FCF826"/>
    <w:lvl w:ilvl="0" w:tplc="04050001">
      <w:start w:val="1"/>
      <w:numFmt w:val="bullet"/>
      <w:lvlText w:val=""/>
      <w:lvlJc w:val="left"/>
      <w:pPr>
        <w:ind w:left="963" w:hanging="360"/>
      </w:pPr>
      <w:rPr>
        <w:rFonts w:ascii="Symbol" w:hAnsi="Symbol" w:hint="default"/>
      </w:rPr>
    </w:lvl>
    <w:lvl w:ilvl="1" w:tplc="04050003" w:tentative="1">
      <w:start w:val="1"/>
      <w:numFmt w:val="bullet"/>
      <w:lvlText w:val="o"/>
      <w:lvlJc w:val="left"/>
      <w:pPr>
        <w:ind w:left="1683" w:hanging="360"/>
      </w:pPr>
      <w:rPr>
        <w:rFonts w:ascii="Courier New" w:hAnsi="Courier New" w:cs="Courier New" w:hint="default"/>
      </w:rPr>
    </w:lvl>
    <w:lvl w:ilvl="2" w:tplc="04050005" w:tentative="1">
      <w:start w:val="1"/>
      <w:numFmt w:val="bullet"/>
      <w:lvlText w:val=""/>
      <w:lvlJc w:val="left"/>
      <w:pPr>
        <w:ind w:left="2403" w:hanging="360"/>
      </w:pPr>
      <w:rPr>
        <w:rFonts w:ascii="Wingdings" w:hAnsi="Wingdings" w:hint="default"/>
      </w:rPr>
    </w:lvl>
    <w:lvl w:ilvl="3" w:tplc="04050001" w:tentative="1">
      <w:start w:val="1"/>
      <w:numFmt w:val="bullet"/>
      <w:lvlText w:val=""/>
      <w:lvlJc w:val="left"/>
      <w:pPr>
        <w:ind w:left="3123" w:hanging="360"/>
      </w:pPr>
      <w:rPr>
        <w:rFonts w:ascii="Symbol" w:hAnsi="Symbol" w:hint="default"/>
      </w:rPr>
    </w:lvl>
    <w:lvl w:ilvl="4" w:tplc="04050003" w:tentative="1">
      <w:start w:val="1"/>
      <w:numFmt w:val="bullet"/>
      <w:lvlText w:val="o"/>
      <w:lvlJc w:val="left"/>
      <w:pPr>
        <w:ind w:left="3843" w:hanging="360"/>
      </w:pPr>
      <w:rPr>
        <w:rFonts w:ascii="Courier New" w:hAnsi="Courier New" w:cs="Courier New" w:hint="default"/>
      </w:rPr>
    </w:lvl>
    <w:lvl w:ilvl="5" w:tplc="04050005" w:tentative="1">
      <w:start w:val="1"/>
      <w:numFmt w:val="bullet"/>
      <w:lvlText w:val=""/>
      <w:lvlJc w:val="left"/>
      <w:pPr>
        <w:ind w:left="4563" w:hanging="360"/>
      </w:pPr>
      <w:rPr>
        <w:rFonts w:ascii="Wingdings" w:hAnsi="Wingdings" w:hint="default"/>
      </w:rPr>
    </w:lvl>
    <w:lvl w:ilvl="6" w:tplc="04050001" w:tentative="1">
      <w:start w:val="1"/>
      <w:numFmt w:val="bullet"/>
      <w:lvlText w:val=""/>
      <w:lvlJc w:val="left"/>
      <w:pPr>
        <w:ind w:left="5283" w:hanging="360"/>
      </w:pPr>
      <w:rPr>
        <w:rFonts w:ascii="Symbol" w:hAnsi="Symbol" w:hint="default"/>
      </w:rPr>
    </w:lvl>
    <w:lvl w:ilvl="7" w:tplc="04050003" w:tentative="1">
      <w:start w:val="1"/>
      <w:numFmt w:val="bullet"/>
      <w:lvlText w:val="o"/>
      <w:lvlJc w:val="left"/>
      <w:pPr>
        <w:ind w:left="6003" w:hanging="360"/>
      </w:pPr>
      <w:rPr>
        <w:rFonts w:ascii="Courier New" w:hAnsi="Courier New" w:cs="Courier New" w:hint="default"/>
      </w:rPr>
    </w:lvl>
    <w:lvl w:ilvl="8" w:tplc="04050005" w:tentative="1">
      <w:start w:val="1"/>
      <w:numFmt w:val="bullet"/>
      <w:lvlText w:val=""/>
      <w:lvlJc w:val="left"/>
      <w:pPr>
        <w:ind w:left="6723" w:hanging="360"/>
      </w:pPr>
      <w:rPr>
        <w:rFonts w:ascii="Wingdings" w:hAnsi="Wingdings" w:hint="default"/>
      </w:rPr>
    </w:lvl>
  </w:abstractNum>
  <w:abstractNum w:abstractNumId="21" w15:restartNumberingAfterBreak="0">
    <w:nsid w:val="16F73479"/>
    <w:multiLevelType w:val="hybridMultilevel"/>
    <w:tmpl w:val="A04CEFD0"/>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7C75F96"/>
    <w:multiLevelType w:val="hybridMultilevel"/>
    <w:tmpl w:val="76761012"/>
    <w:lvl w:ilvl="0" w:tplc="04050001">
      <w:start w:val="1"/>
      <w:numFmt w:val="bullet"/>
      <w:lvlText w:val=""/>
      <w:lvlJc w:val="left"/>
      <w:pPr>
        <w:tabs>
          <w:tab w:val="num" w:pos="720"/>
        </w:tabs>
        <w:ind w:left="720" w:hanging="360"/>
      </w:pPr>
      <w:rPr>
        <w:rFonts w:ascii="Symbol" w:hAnsi="Symbol" w:hint="default"/>
        <w:color w:val="747474"/>
        <w:sz w:val="23"/>
      </w:rPr>
    </w:lvl>
    <w:lvl w:ilvl="1" w:tplc="E14CDFD4" w:tentative="1">
      <w:start w:val="1"/>
      <w:numFmt w:val="bullet"/>
      <w:lvlText w:val="•"/>
      <w:lvlJc w:val="left"/>
      <w:pPr>
        <w:tabs>
          <w:tab w:val="num" w:pos="1440"/>
        </w:tabs>
        <w:ind w:left="1440" w:hanging="360"/>
      </w:pPr>
      <w:rPr>
        <w:rFonts w:ascii="Arial" w:hAnsi="Arial" w:hint="default"/>
      </w:rPr>
    </w:lvl>
    <w:lvl w:ilvl="2" w:tplc="80723DA2" w:tentative="1">
      <w:start w:val="1"/>
      <w:numFmt w:val="bullet"/>
      <w:lvlText w:val="•"/>
      <w:lvlJc w:val="left"/>
      <w:pPr>
        <w:tabs>
          <w:tab w:val="num" w:pos="2160"/>
        </w:tabs>
        <w:ind w:left="2160" w:hanging="360"/>
      </w:pPr>
      <w:rPr>
        <w:rFonts w:ascii="Arial" w:hAnsi="Arial" w:hint="default"/>
      </w:rPr>
    </w:lvl>
    <w:lvl w:ilvl="3" w:tplc="B88688EC" w:tentative="1">
      <w:start w:val="1"/>
      <w:numFmt w:val="bullet"/>
      <w:lvlText w:val="•"/>
      <w:lvlJc w:val="left"/>
      <w:pPr>
        <w:tabs>
          <w:tab w:val="num" w:pos="2880"/>
        </w:tabs>
        <w:ind w:left="2880" w:hanging="360"/>
      </w:pPr>
      <w:rPr>
        <w:rFonts w:ascii="Arial" w:hAnsi="Arial" w:hint="default"/>
      </w:rPr>
    </w:lvl>
    <w:lvl w:ilvl="4" w:tplc="487E778A" w:tentative="1">
      <w:start w:val="1"/>
      <w:numFmt w:val="bullet"/>
      <w:lvlText w:val="•"/>
      <w:lvlJc w:val="left"/>
      <w:pPr>
        <w:tabs>
          <w:tab w:val="num" w:pos="3600"/>
        </w:tabs>
        <w:ind w:left="3600" w:hanging="360"/>
      </w:pPr>
      <w:rPr>
        <w:rFonts w:ascii="Arial" w:hAnsi="Arial" w:hint="default"/>
      </w:rPr>
    </w:lvl>
    <w:lvl w:ilvl="5" w:tplc="6D724EE6" w:tentative="1">
      <w:start w:val="1"/>
      <w:numFmt w:val="bullet"/>
      <w:lvlText w:val="•"/>
      <w:lvlJc w:val="left"/>
      <w:pPr>
        <w:tabs>
          <w:tab w:val="num" w:pos="4320"/>
        </w:tabs>
        <w:ind w:left="4320" w:hanging="360"/>
      </w:pPr>
      <w:rPr>
        <w:rFonts w:ascii="Arial" w:hAnsi="Arial" w:hint="default"/>
      </w:rPr>
    </w:lvl>
    <w:lvl w:ilvl="6" w:tplc="5C4E8B3C" w:tentative="1">
      <w:start w:val="1"/>
      <w:numFmt w:val="bullet"/>
      <w:lvlText w:val="•"/>
      <w:lvlJc w:val="left"/>
      <w:pPr>
        <w:tabs>
          <w:tab w:val="num" w:pos="5040"/>
        </w:tabs>
        <w:ind w:left="5040" w:hanging="360"/>
      </w:pPr>
      <w:rPr>
        <w:rFonts w:ascii="Arial" w:hAnsi="Arial" w:hint="default"/>
      </w:rPr>
    </w:lvl>
    <w:lvl w:ilvl="7" w:tplc="069E375E" w:tentative="1">
      <w:start w:val="1"/>
      <w:numFmt w:val="bullet"/>
      <w:lvlText w:val="•"/>
      <w:lvlJc w:val="left"/>
      <w:pPr>
        <w:tabs>
          <w:tab w:val="num" w:pos="5760"/>
        </w:tabs>
        <w:ind w:left="5760" w:hanging="360"/>
      </w:pPr>
      <w:rPr>
        <w:rFonts w:ascii="Arial" w:hAnsi="Arial" w:hint="default"/>
      </w:rPr>
    </w:lvl>
    <w:lvl w:ilvl="8" w:tplc="63A639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7D62DC6"/>
    <w:multiLevelType w:val="hybridMultilevel"/>
    <w:tmpl w:val="82BAB036"/>
    <w:lvl w:ilvl="0" w:tplc="1A6866A0">
      <w:start w:val="2"/>
      <w:numFmt w:val="bullet"/>
      <w:lvlText w:val="-"/>
      <w:lvlJc w:val="left"/>
      <w:pPr>
        <w:ind w:left="720" w:hanging="360"/>
      </w:pPr>
      <w:rPr>
        <w:rFonts w:ascii="Verdana" w:eastAsia="Verdana"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9120A90"/>
    <w:multiLevelType w:val="hybridMultilevel"/>
    <w:tmpl w:val="CC9037DA"/>
    <w:lvl w:ilvl="0" w:tplc="04050003">
      <w:start w:val="1"/>
      <w:numFmt w:val="bullet"/>
      <w:lvlText w:val="o"/>
      <w:lvlJc w:val="left"/>
      <w:pPr>
        <w:ind w:left="684" w:hanging="360"/>
      </w:pPr>
      <w:rPr>
        <w:rFonts w:ascii="Courier New" w:hAnsi="Courier New" w:cs="Courier New" w:hint="default"/>
      </w:rPr>
    </w:lvl>
    <w:lvl w:ilvl="1" w:tplc="5A26DDEC">
      <w:start w:val="70"/>
      <w:numFmt w:val="bullet"/>
      <w:lvlText w:val=""/>
      <w:lvlJc w:val="left"/>
      <w:pPr>
        <w:ind w:left="1404" w:hanging="360"/>
      </w:pPr>
      <w:rPr>
        <w:rFonts w:ascii="Symbol" w:eastAsiaTheme="minorHAnsi" w:hAnsi="Symbol" w:cstheme="minorBidi"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25" w15:restartNumberingAfterBreak="0">
    <w:nsid w:val="19726EE1"/>
    <w:multiLevelType w:val="hybridMultilevel"/>
    <w:tmpl w:val="F5F2E2C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6F433E"/>
    <w:multiLevelType w:val="hybridMultilevel"/>
    <w:tmpl w:val="B1162A90"/>
    <w:lvl w:ilvl="0" w:tplc="04050001">
      <w:start w:val="1"/>
      <w:numFmt w:val="bullet"/>
      <w:lvlText w:val=""/>
      <w:lvlJc w:val="left"/>
      <w:pPr>
        <w:ind w:left="360" w:hanging="360"/>
      </w:pPr>
      <w:rPr>
        <w:rFonts w:ascii="Symbol" w:hAnsi="Symbol" w:hint="default"/>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1ABE2C08"/>
    <w:multiLevelType w:val="hybridMultilevel"/>
    <w:tmpl w:val="ED380866"/>
    <w:lvl w:ilvl="0" w:tplc="04050003">
      <w:start w:val="1"/>
      <w:numFmt w:val="bullet"/>
      <w:lvlText w:val="o"/>
      <w:lvlJc w:val="left"/>
      <w:pPr>
        <w:ind w:left="679" w:hanging="360"/>
      </w:pPr>
      <w:rPr>
        <w:rFonts w:ascii="Courier New" w:hAnsi="Courier New" w:cs="Courier New" w:hint="default"/>
      </w:rPr>
    </w:lvl>
    <w:lvl w:ilvl="1" w:tplc="04050003" w:tentative="1">
      <w:start w:val="1"/>
      <w:numFmt w:val="bullet"/>
      <w:lvlText w:val="o"/>
      <w:lvlJc w:val="left"/>
      <w:pPr>
        <w:ind w:left="1399" w:hanging="360"/>
      </w:pPr>
      <w:rPr>
        <w:rFonts w:ascii="Courier New" w:hAnsi="Courier New" w:cs="Courier New" w:hint="default"/>
      </w:rPr>
    </w:lvl>
    <w:lvl w:ilvl="2" w:tplc="04050005" w:tentative="1">
      <w:start w:val="1"/>
      <w:numFmt w:val="bullet"/>
      <w:lvlText w:val=""/>
      <w:lvlJc w:val="left"/>
      <w:pPr>
        <w:ind w:left="2119" w:hanging="360"/>
      </w:pPr>
      <w:rPr>
        <w:rFonts w:ascii="Wingdings" w:hAnsi="Wingdings" w:hint="default"/>
      </w:rPr>
    </w:lvl>
    <w:lvl w:ilvl="3" w:tplc="04050001" w:tentative="1">
      <w:start w:val="1"/>
      <w:numFmt w:val="bullet"/>
      <w:lvlText w:val=""/>
      <w:lvlJc w:val="left"/>
      <w:pPr>
        <w:ind w:left="2839" w:hanging="360"/>
      </w:pPr>
      <w:rPr>
        <w:rFonts w:ascii="Symbol" w:hAnsi="Symbol" w:hint="default"/>
      </w:rPr>
    </w:lvl>
    <w:lvl w:ilvl="4" w:tplc="04050003" w:tentative="1">
      <w:start w:val="1"/>
      <w:numFmt w:val="bullet"/>
      <w:lvlText w:val="o"/>
      <w:lvlJc w:val="left"/>
      <w:pPr>
        <w:ind w:left="3559" w:hanging="360"/>
      </w:pPr>
      <w:rPr>
        <w:rFonts w:ascii="Courier New" w:hAnsi="Courier New" w:cs="Courier New" w:hint="default"/>
      </w:rPr>
    </w:lvl>
    <w:lvl w:ilvl="5" w:tplc="04050005" w:tentative="1">
      <w:start w:val="1"/>
      <w:numFmt w:val="bullet"/>
      <w:lvlText w:val=""/>
      <w:lvlJc w:val="left"/>
      <w:pPr>
        <w:ind w:left="4279" w:hanging="360"/>
      </w:pPr>
      <w:rPr>
        <w:rFonts w:ascii="Wingdings" w:hAnsi="Wingdings" w:hint="default"/>
      </w:rPr>
    </w:lvl>
    <w:lvl w:ilvl="6" w:tplc="04050001" w:tentative="1">
      <w:start w:val="1"/>
      <w:numFmt w:val="bullet"/>
      <w:lvlText w:val=""/>
      <w:lvlJc w:val="left"/>
      <w:pPr>
        <w:ind w:left="4999" w:hanging="360"/>
      </w:pPr>
      <w:rPr>
        <w:rFonts w:ascii="Symbol" w:hAnsi="Symbol" w:hint="default"/>
      </w:rPr>
    </w:lvl>
    <w:lvl w:ilvl="7" w:tplc="04050003" w:tentative="1">
      <w:start w:val="1"/>
      <w:numFmt w:val="bullet"/>
      <w:lvlText w:val="o"/>
      <w:lvlJc w:val="left"/>
      <w:pPr>
        <w:ind w:left="5719" w:hanging="360"/>
      </w:pPr>
      <w:rPr>
        <w:rFonts w:ascii="Courier New" w:hAnsi="Courier New" w:cs="Courier New" w:hint="default"/>
      </w:rPr>
    </w:lvl>
    <w:lvl w:ilvl="8" w:tplc="04050005" w:tentative="1">
      <w:start w:val="1"/>
      <w:numFmt w:val="bullet"/>
      <w:lvlText w:val=""/>
      <w:lvlJc w:val="left"/>
      <w:pPr>
        <w:ind w:left="6439" w:hanging="360"/>
      </w:pPr>
      <w:rPr>
        <w:rFonts w:ascii="Wingdings" w:hAnsi="Wingdings" w:hint="default"/>
      </w:rPr>
    </w:lvl>
  </w:abstractNum>
  <w:abstractNum w:abstractNumId="28" w15:restartNumberingAfterBreak="0">
    <w:nsid w:val="1C366BD0"/>
    <w:multiLevelType w:val="multilevel"/>
    <w:tmpl w:val="15F6EE94"/>
    <w:lvl w:ilvl="0">
      <w:start w:val="1"/>
      <w:numFmt w:val="decimal"/>
      <w:lvlText w:val="%1."/>
      <w:lvlJc w:val="left"/>
      <w:pPr>
        <w:ind w:left="20" w:hanging="360"/>
      </w:pPr>
      <w:rPr>
        <w:rFonts w:hint="default"/>
        <w:b w:val="0"/>
        <w:i w:val="0"/>
        <w:color w:val="000000"/>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9" w15:restartNumberingAfterBreak="0">
    <w:nsid w:val="1EFB2AF1"/>
    <w:multiLevelType w:val="hybridMultilevel"/>
    <w:tmpl w:val="262CC0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B33D85"/>
    <w:multiLevelType w:val="hybridMultilevel"/>
    <w:tmpl w:val="4782BC30"/>
    <w:lvl w:ilvl="0" w:tplc="12E4374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0B62890"/>
    <w:multiLevelType w:val="multilevel"/>
    <w:tmpl w:val="61128F4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2873E08"/>
    <w:multiLevelType w:val="hybridMultilevel"/>
    <w:tmpl w:val="622A5B5A"/>
    <w:lvl w:ilvl="0" w:tplc="52527860">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36A5EEF"/>
    <w:multiLevelType w:val="hybridMultilevel"/>
    <w:tmpl w:val="965EFEF8"/>
    <w:lvl w:ilvl="0" w:tplc="FC18E3EA">
      <w:start w:val="3"/>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34" w15:restartNumberingAfterBreak="0">
    <w:nsid w:val="24047140"/>
    <w:multiLevelType w:val="hybridMultilevel"/>
    <w:tmpl w:val="F3DA747A"/>
    <w:lvl w:ilvl="0" w:tplc="FC18E3EA">
      <w:start w:val="3"/>
      <w:numFmt w:val="bullet"/>
      <w:lvlText w:val="-"/>
      <w:lvlJc w:val="left"/>
      <w:pPr>
        <w:ind w:left="1088" w:hanging="360"/>
      </w:pPr>
      <w:rPr>
        <w:rFonts w:ascii="Calibri" w:eastAsiaTheme="minorHAnsi" w:hAnsi="Calibri" w:cs="Calibri"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35" w15:restartNumberingAfterBreak="0">
    <w:nsid w:val="251E31FD"/>
    <w:multiLevelType w:val="hybridMultilevel"/>
    <w:tmpl w:val="05EA4CC0"/>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36" w15:restartNumberingAfterBreak="0">
    <w:nsid w:val="256E1786"/>
    <w:multiLevelType w:val="hybridMultilevel"/>
    <w:tmpl w:val="33BE6FFC"/>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37" w15:restartNumberingAfterBreak="0">
    <w:nsid w:val="26A5364C"/>
    <w:multiLevelType w:val="hybridMultilevel"/>
    <w:tmpl w:val="B790B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6E42E77"/>
    <w:multiLevelType w:val="hybridMultilevel"/>
    <w:tmpl w:val="AAA4EB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7191C34"/>
    <w:multiLevelType w:val="hybridMultilevel"/>
    <w:tmpl w:val="7D5EF81A"/>
    <w:lvl w:ilvl="0" w:tplc="0405000F">
      <w:start w:val="1"/>
      <w:numFmt w:val="decimal"/>
      <w:lvlText w:val="%1."/>
      <w:lvlJc w:val="left"/>
      <w:pPr>
        <w:ind w:left="780" w:hanging="360"/>
      </w:pPr>
      <w:rPr>
        <w:rFont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0" w15:restartNumberingAfterBreak="0">
    <w:nsid w:val="27EF336A"/>
    <w:multiLevelType w:val="hybridMultilevel"/>
    <w:tmpl w:val="640CB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8D36DFB"/>
    <w:multiLevelType w:val="hybridMultilevel"/>
    <w:tmpl w:val="150247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8E21D7E"/>
    <w:multiLevelType w:val="hybridMultilevel"/>
    <w:tmpl w:val="688C5340"/>
    <w:lvl w:ilvl="0" w:tplc="12E4374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ADE3504"/>
    <w:multiLevelType w:val="hybridMultilevel"/>
    <w:tmpl w:val="1B04C3D6"/>
    <w:lvl w:ilvl="0" w:tplc="12E4374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C252FF5"/>
    <w:multiLevelType w:val="hybridMultilevel"/>
    <w:tmpl w:val="0E787CF2"/>
    <w:lvl w:ilvl="0" w:tplc="B6BE0F42">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D3E63D5"/>
    <w:multiLevelType w:val="hybridMultilevel"/>
    <w:tmpl w:val="3BC8B0B2"/>
    <w:lvl w:ilvl="0" w:tplc="F7FC035C">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E2F0092"/>
    <w:multiLevelType w:val="hybridMultilevel"/>
    <w:tmpl w:val="32BA8D1C"/>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EA93729"/>
    <w:multiLevelType w:val="hybridMultilevel"/>
    <w:tmpl w:val="C170625A"/>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EFA5B45"/>
    <w:multiLevelType w:val="hybridMultilevel"/>
    <w:tmpl w:val="8118F5F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FA7628E"/>
    <w:multiLevelType w:val="hybridMultilevel"/>
    <w:tmpl w:val="4026499E"/>
    <w:lvl w:ilvl="0" w:tplc="04050003">
      <w:start w:val="1"/>
      <w:numFmt w:val="bullet"/>
      <w:lvlText w:val="o"/>
      <w:lvlJc w:val="left"/>
      <w:pPr>
        <w:ind w:left="679" w:hanging="360"/>
      </w:pPr>
      <w:rPr>
        <w:rFonts w:ascii="Courier New" w:hAnsi="Courier New" w:cs="Courier New" w:hint="default"/>
      </w:rPr>
    </w:lvl>
    <w:lvl w:ilvl="1" w:tplc="04050003" w:tentative="1">
      <w:start w:val="1"/>
      <w:numFmt w:val="bullet"/>
      <w:lvlText w:val="o"/>
      <w:lvlJc w:val="left"/>
      <w:pPr>
        <w:ind w:left="1399" w:hanging="360"/>
      </w:pPr>
      <w:rPr>
        <w:rFonts w:ascii="Courier New" w:hAnsi="Courier New" w:cs="Courier New" w:hint="default"/>
      </w:rPr>
    </w:lvl>
    <w:lvl w:ilvl="2" w:tplc="04050005" w:tentative="1">
      <w:start w:val="1"/>
      <w:numFmt w:val="bullet"/>
      <w:lvlText w:val=""/>
      <w:lvlJc w:val="left"/>
      <w:pPr>
        <w:ind w:left="2119" w:hanging="360"/>
      </w:pPr>
      <w:rPr>
        <w:rFonts w:ascii="Wingdings" w:hAnsi="Wingdings" w:hint="default"/>
      </w:rPr>
    </w:lvl>
    <w:lvl w:ilvl="3" w:tplc="04050001" w:tentative="1">
      <w:start w:val="1"/>
      <w:numFmt w:val="bullet"/>
      <w:lvlText w:val=""/>
      <w:lvlJc w:val="left"/>
      <w:pPr>
        <w:ind w:left="2839" w:hanging="360"/>
      </w:pPr>
      <w:rPr>
        <w:rFonts w:ascii="Symbol" w:hAnsi="Symbol" w:hint="default"/>
      </w:rPr>
    </w:lvl>
    <w:lvl w:ilvl="4" w:tplc="04050003" w:tentative="1">
      <w:start w:val="1"/>
      <w:numFmt w:val="bullet"/>
      <w:lvlText w:val="o"/>
      <w:lvlJc w:val="left"/>
      <w:pPr>
        <w:ind w:left="3559" w:hanging="360"/>
      </w:pPr>
      <w:rPr>
        <w:rFonts w:ascii="Courier New" w:hAnsi="Courier New" w:cs="Courier New" w:hint="default"/>
      </w:rPr>
    </w:lvl>
    <w:lvl w:ilvl="5" w:tplc="04050005" w:tentative="1">
      <w:start w:val="1"/>
      <w:numFmt w:val="bullet"/>
      <w:lvlText w:val=""/>
      <w:lvlJc w:val="left"/>
      <w:pPr>
        <w:ind w:left="4279" w:hanging="360"/>
      </w:pPr>
      <w:rPr>
        <w:rFonts w:ascii="Wingdings" w:hAnsi="Wingdings" w:hint="default"/>
      </w:rPr>
    </w:lvl>
    <w:lvl w:ilvl="6" w:tplc="04050001" w:tentative="1">
      <w:start w:val="1"/>
      <w:numFmt w:val="bullet"/>
      <w:lvlText w:val=""/>
      <w:lvlJc w:val="left"/>
      <w:pPr>
        <w:ind w:left="4999" w:hanging="360"/>
      </w:pPr>
      <w:rPr>
        <w:rFonts w:ascii="Symbol" w:hAnsi="Symbol" w:hint="default"/>
      </w:rPr>
    </w:lvl>
    <w:lvl w:ilvl="7" w:tplc="04050003" w:tentative="1">
      <w:start w:val="1"/>
      <w:numFmt w:val="bullet"/>
      <w:lvlText w:val="o"/>
      <w:lvlJc w:val="left"/>
      <w:pPr>
        <w:ind w:left="5719" w:hanging="360"/>
      </w:pPr>
      <w:rPr>
        <w:rFonts w:ascii="Courier New" w:hAnsi="Courier New" w:cs="Courier New" w:hint="default"/>
      </w:rPr>
    </w:lvl>
    <w:lvl w:ilvl="8" w:tplc="04050005" w:tentative="1">
      <w:start w:val="1"/>
      <w:numFmt w:val="bullet"/>
      <w:lvlText w:val=""/>
      <w:lvlJc w:val="left"/>
      <w:pPr>
        <w:ind w:left="6439" w:hanging="360"/>
      </w:pPr>
      <w:rPr>
        <w:rFonts w:ascii="Wingdings" w:hAnsi="Wingdings" w:hint="default"/>
      </w:rPr>
    </w:lvl>
  </w:abstractNum>
  <w:abstractNum w:abstractNumId="50" w15:restartNumberingAfterBreak="0">
    <w:nsid w:val="304A34B3"/>
    <w:multiLevelType w:val="hybridMultilevel"/>
    <w:tmpl w:val="E06E9E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19B52ED"/>
    <w:multiLevelType w:val="hybridMultilevel"/>
    <w:tmpl w:val="CB727B7C"/>
    <w:lvl w:ilvl="0" w:tplc="FC18E3EA">
      <w:start w:val="3"/>
      <w:numFmt w:val="bullet"/>
      <w:lvlText w:val="-"/>
      <w:lvlJc w:val="left"/>
      <w:pPr>
        <w:ind w:left="360" w:hanging="360"/>
      </w:pPr>
      <w:rPr>
        <w:rFonts w:ascii="Calibri" w:eastAsiaTheme="minorHAnsi" w:hAnsi="Calibri" w:cs="Calibri" w:hint="default"/>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 w15:restartNumberingAfterBreak="0">
    <w:nsid w:val="327023AC"/>
    <w:multiLevelType w:val="hybridMultilevel"/>
    <w:tmpl w:val="4A8C48BC"/>
    <w:lvl w:ilvl="0" w:tplc="0405000F">
      <w:start w:val="1"/>
      <w:numFmt w:val="decimal"/>
      <w:lvlText w:val="%1."/>
      <w:lvlJc w:val="left"/>
      <w:pPr>
        <w:ind w:left="783" w:hanging="360"/>
      </w:pPr>
      <w:rPr>
        <w:rFonts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53" w15:restartNumberingAfterBreak="0">
    <w:nsid w:val="332C4C25"/>
    <w:multiLevelType w:val="hybridMultilevel"/>
    <w:tmpl w:val="3D0430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3627B05"/>
    <w:multiLevelType w:val="hybridMultilevel"/>
    <w:tmpl w:val="DF0A0590"/>
    <w:lvl w:ilvl="0" w:tplc="04050003">
      <w:start w:val="1"/>
      <w:numFmt w:val="bullet"/>
      <w:lvlText w:val="o"/>
      <w:lvlJc w:val="left"/>
      <w:pPr>
        <w:ind w:left="360" w:hanging="360"/>
      </w:pPr>
      <w:rPr>
        <w:rFonts w:ascii="Courier New" w:hAnsi="Courier New" w:cs="Courier New" w:hint="default"/>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33E7550F"/>
    <w:multiLevelType w:val="hybridMultilevel"/>
    <w:tmpl w:val="ED64D65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34F42275"/>
    <w:multiLevelType w:val="hybridMultilevel"/>
    <w:tmpl w:val="12B88E6A"/>
    <w:lvl w:ilvl="0" w:tplc="12E4374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5250CFD"/>
    <w:multiLevelType w:val="hybridMultilevel"/>
    <w:tmpl w:val="D1901B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5621FCF"/>
    <w:multiLevelType w:val="hybridMultilevel"/>
    <w:tmpl w:val="175C8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5ED11A2"/>
    <w:multiLevelType w:val="hybridMultilevel"/>
    <w:tmpl w:val="2AE64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6087E00"/>
    <w:multiLevelType w:val="hybridMultilevel"/>
    <w:tmpl w:val="1C46303A"/>
    <w:lvl w:ilvl="0" w:tplc="04050003">
      <w:start w:val="1"/>
      <w:numFmt w:val="bullet"/>
      <w:lvlText w:val="o"/>
      <w:lvlJc w:val="left"/>
      <w:pPr>
        <w:ind w:left="360" w:hanging="360"/>
      </w:pPr>
      <w:rPr>
        <w:rFonts w:ascii="Courier New" w:hAnsi="Courier New" w:cs="Courier New" w:hint="default"/>
        <w:color w:val="747474"/>
        <w:sz w:val="23"/>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15:restartNumberingAfterBreak="0">
    <w:nsid w:val="372D7DFC"/>
    <w:multiLevelType w:val="multilevel"/>
    <w:tmpl w:val="F6A224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382347F2"/>
    <w:multiLevelType w:val="hybridMultilevel"/>
    <w:tmpl w:val="C24C5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9E300FE"/>
    <w:multiLevelType w:val="hybridMultilevel"/>
    <w:tmpl w:val="913646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C2058EA"/>
    <w:multiLevelType w:val="hybridMultilevel"/>
    <w:tmpl w:val="C1F45EC8"/>
    <w:lvl w:ilvl="0" w:tplc="B6BE0F42">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D714E8F"/>
    <w:multiLevelType w:val="hybridMultilevel"/>
    <w:tmpl w:val="D3B0ABDC"/>
    <w:lvl w:ilvl="0" w:tplc="FC18E3EA">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FD92EC1"/>
    <w:multiLevelType w:val="hybridMultilevel"/>
    <w:tmpl w:val="B2D8B048"/>
    <w:lvl w:ilvl="0" w:tplc="FC18E3EA">
      <w:start w:val="3"/>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400677EB"/>
    <w:multiLevelType w:val="hybridMultilevel"/>
    <w:tmpl w:val="A7E8F27C"/>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68" w15:restartNumberingAfterBreak="0">
    <w:nsid w:val="434A23DF"/>
    <w:multiLevelType w:val="hybridMultilevel"/>
    <w:tmpl w:val="204097EA"/>
    <w:lvl w:ilvl="0" w:tplc="1A6866A0">
      <w:start w:val="2"/>
      <w:numFmt w:val="bullet"/>
      <w:lvlText w:val="-"/>
      <w:lvlJc w:val="left"/>
      <w:pPr>
        <w:ind w:left="720" w:hanging="360"/>
      </w:pPr>
      <w:rPr>
        <w:rFonts w:ascii="Verdana" w:eastAsia="Verdana" w:hAnsi="Verdana" w:cstheme="minorBidi" w:hint="default"/>
      </w:rPr>
    </w:lvl>
    <w:lvl w:ilvl="1" w:tplc="80441876">
      <w:numFmt w:val="bullet"/>
      <w:lvlText w:val="•"/>
      <w:lvlJc w:val="left"/>
      <w:pPr>
        <w:ind w:left="1800" w:hanging="720"/>
      </w:pPr>
      <w:rPr>
        <w:rFonts w:ascii="Verdana" w:eastAsia="Verdana" w:hAnsi="Verdana"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58E0EFB"/>
    <w:multiLevelType w:val="hybridMultilevel"/>
    <w:tmpl w:val="A13AD606"/>
    <w:lvl w:ilvl="0" w:tplc="B6BE0F42">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6A60F9D"/>
    <w:multiLevelType w:val="hybridMultilevel"/>
    <w:tmpl w:val="42A4003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70F3DCB"/>
    <w:multiLevelType w:val="hybridMultilevel"/>
    <w:tmpl w:val="EFF6603E"/>
    <w:lvl w:ilvl="0" w:tplc="12E43748">
      <w:start w:val="1"/>
      <w:numFmt w:val="bullet"/>
      <w:lvlText w:val=""/>
      <w:lvlJc w:val="left"/>
      <w:pPr>
        <w:ind w:left="360" w:hanging="360"/>
      </w:pPr>
      <w:rPr>
        <w:rFonts w:ascii="Symbol" w:hAnsi="Symbol" w:hint="default"/>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15:restartNumberingAfterBreak="0">
    <w:nsid w:val="47E85540"/>
    <w:multiLevelType w:val="hybridMultilevel"/>
    <w:tmpl w:val="8EBEB6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8301947"/>
    <w:multiLevelType w:val="hybridMultilevel"/>
    <w:tmpl w:val="3AF66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88D1538"/>
    <w:multiLevelType w:val="hybridMultilevel"/>
    <w:tmpl w:val="89DC6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8D736B4"/>
    <w:multiLevelType w:val="hybridMultilevel"/>
    <w:tmpl w:val="9A868FE6"/>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76" w15:restartNumberingAfterBreak="0">
    <w:nsid w:val="49965557"/>
    <w:multiLevelType w:val="multilevel"/>
    <w:tmpl w:val="61128F4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9BD2BC9"/>
    <w:multiLevelType w:val="hybridMultilevel"/>
    <w:tmpl w:val="9BD47F0C"/>
    <w:lvl w:ilvl="0" w:tplc="11B83BE8">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A4929EB"/>
    <w:multiLevelType w:val="hybridMultilevel"/>
    <w:tmpl w:val="8ED043C4"/>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79" w15:restartNumberingAfterBreak="0">
    <w:nsid w:val="4A530AD2"/>
    <w:multiLevelType w:val="hybridMultilevel"/>
    <w:tmpl w:val="7EE6DFEE"/>
    <w:lvl w:ilvl="0" w:tplc="6428BA92">
      <w:start w:val="1"/>
      <w:numFmt w:val="bullet"/>
      <w:lvlText w:val="•"/>
      <w:lvlJc w:val="left"/>
      <w:pPr>
        <w:tabs>
          <w:tab w:val="num" w:pos="720"/>
        </w:tabs>
        <w:ind w:left="720" w:hanging="360"/>
      </w:pPr>
      <w:rPr>
        <w:rFonts w:ascii="Arial" w:hAnsi="Arial" w:hint="default"/>
      </w:rPr>
    </w:lvl>
    <w:lvl w:ilvl="1" w:tplc="E14CDFD4" w:tentative="1">
      <w:start w:val="1"/>
      <w:numFmt w:val="bullet"/>
      <w:lvlText w:val="•"/>
      <w:lvlJc w:val="left"/>
      <w:pPr>
        <w:tabs>
          <w:tab w:val="num" w:pos="1440"/>
        </w:tabs>
        <w:ind w:left="1440" w:hanging="360"/>
      </w:pPr>
      <w:rPr>
        <w:rFonts w:ascii="Arial" w:hAnsi="Arial" w:hint="default"/>
      </w:rPr>
    </w:lvl>
    <w:lvl w:ilvl="2" w:tplc="80723DA2" w:tentative="1">
      <w:start w:val="1"/>
      <w:numFmt w:val="bullet"/>
      <w:lvlText w:val="•"/>
      <w:lvlJc w:val="left"/>
      <w:pPr>
        <w:tabs>
          <w:tab w:val="num" w:pos="2160"/>
        </w:tabs>
        <w:ind w:left="2160" w:hanging="360"/>
      </w:pPr>
      <w:rPr>
        <w:rFonts w:ascii="Arial" w:hAnsi="Arial" w:hint="default"/>
      </w:rPr>
    </w:lvl>
    <w:lvl w:ilvl="3" w:tplc="B88688EC" w:tentative="1">
      <w:start w:val="1"/>
      <w:numFmt w:val="bullet"/>
      <w:lvlText w:val="•"/>
      <w:lvlJc w:val="left"/>
      <w:pPr>
        <w:tabs>
          <w:tab w:val="num" w:pos="2880"/>
        </w:tabs>
        <w:ind w:left="2880" w:hanging="360"/>
      </w:pPr>
      <w:rPr>
        <w:rFonts w:ascii="Arial" w:hAnsi="Arial" w:hint="default"/>
      </w:rPr>
    </w:lvl>
    <w:lvl w:ilvl="4" w:tplc="487E778A" w:tentative="1">
      <w:start w:val="1"/>
      <w:numFmt w:val="bullet"/>
      <w:lvlText w:val="•"/>
      <w:lvlJc w:val="left"/>
      <w:pPr>
        <w:tabs>
          <w:tab w:val="num" w:pos="3600"/>
        </w:tabs>
        <w:ind w:left="3600" w:hanging="360"/>
      </w:pPr>
      <w:rPr>
        <w:rFonts w:ascii="Arial" w:hAnsi="Arial" w:hint="default"/>
      </w:rPr>
    </w:lvl>
    <w:lvl w:ilvl="5" w:tplc="6D724EE6" w:tentative="1">
      <w:start w:val="1"/>
      <w:numFmt w:val="bullet"/>
      <w:lvlText w:val="•"/>
      <w:lvlJc w:val="left"/>
      <w:pPr>
        <w:tabs>
          <w:tab w:val="num" w:pos="4320"/>
        </w:tabs>
        <w:ind w:left="4320" w:hanging="360"/>
      </w:pPr>
      <w:rPr>
        <w:rFonts w:ascii="Arial" w:hAnsi="Arial" w:hint="default"/>
      </w:rPr>
    </w:lvl>
    <w:lvl w:ilvl="6" w:tplc="5C4E8B3C" w:tentative="1">
      <w:start w:val="1"/>
      <w:numFmt w:val="bullet"/>
      <w:lvlText w:val="•"/>
      <w:lvlJc w:val="left"/>
      <w:pPr>
        <w:tabs>
          <w:tab w:val="num" w:pos="5040"/>
        </w:tabs>
        <w:ind w:left="5040" w:hanging="360"/>
      </w:pPr>
      <w:rPr>
        <w:rFonts w:ascii="Arial" w:hAnsi="Arial" w:hint="default"/>
      </w:rPr>
    </w:lvl>
    <w:lvl w:ilvl="7" w:tplc="069E375E" w:tentative="1">
      <w:start w:val="1"/>
      <w:numFmt w:val="bullet"/>
      <w:lvlText w:val="•"/>
      <w:lvlJc w:val="left"/>
      <w:pPr>
        <w:tabs>
          <w:tab w:val="num" w:pos="5760"/>
        </w:tabs>
        <w:ind w:left="5760" w:hanging="360"/>
      </w:pPr>
      <w:rPr>
        <w:rFonts w:ascii="Arial" w:hAnsi="Arial" w:hint="default"/>
      </w:rPr>
    </w:lvl>
    <w:lvl w:ilvl="8" w:tplc="63A6397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4A5E4B2A"/>
    <w:multiLevelType w:val="hybridMultilevel"/>
    <w:tmpl w:val="AB30F34A"/>
    <w:lvl w:ilvl="0" w:tplc="FC18E3EA">
      <w:start w:val="3"/>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81" w15:restartNumberingAfterBreak="0">
    <w:nsid w:val="4A643575"/>
    <w:multiLevelType w:val="hybridMultilevel"/>
    <w:tmpl w:val="545A6F46"/>
    <w:lvl w:ilvl="0" w:tplc="FC18E3EA">
      <w:start w:val="3"/>
      <w:numFmt w:val="bullet"/>
      <w:lvlText w:val="-"/>
      <w:lvlJc w:val="left"/>
      <w:pPr>
        <w:ind w:left="684" w:hanging="360"/>
      </w:pPr>
      <w:rPr>
        <w:rFonts w:ascii="Calibri" w:eastAsiaTheme="minorHAnsi" w:hAnsi="Calibri" w:cs="Calibri" w:hint="default"/>
      </w:rPr>
    </w:lvl>
    <w:lvl w:ilvl="1" w:tplc="5A26DDEC">
      <w:start w:val="70"/>
      <w:numFmt w:val="bullet"/>
      <w:lvlText w:val=""/>
      <w:lvlJc w:val="left"/>
      <w:pPr>
        <w:ind w:left="1404" w:hanging="360"/>
      </w:pPr>
      <w:rPr>
        <w:rFonts w:ascii="Symbol" w:eastAsiaTheme="minorHAnsi" w:hAnsi="Symbol" w:cstheme="minorBidi"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82" w15:restartNumberingAfterBreak="0">
    <w:nsid w:val="4A9D23B1"/>
    <w:multiLevelType w:val="hybridMultilevel"/>
    <w:tmpl w:val="C6A40B6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4B22094A"/>
    <w:multiLevelType w:val="hybridMultilevel"/>
    <w:tmpl w:val="0C18609E"/>
    <w:lvl w:ilvl="0" w:tplc="1A6866A0">
      <w:start w:val="2"/>
      <w:numFmt w:val="bullet"/>
      <w:lvlText w:val="-"/>
      <w:lvlJc w:val="left"/>
      <w:pPr>
        <w:ind w:left="720" w:hanging="360"/>
      </w:pPr>
      <w:rPr>
        <w:rFonts w:ascii="Verdana" w:eastAsia="Verdana"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4C162D56"/>
    <w:multiLevelType w:val="hybridMultilevel"/>
    <w:tmpl w:val="C52CD4B8"/>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DD76EBC"/>
    <w:multiLevelType w:val="hybridMultilevel"/>
    <w:tmpl w:val="E63E5FC8"/>
    <w:lvl w:ilvl="0" w:tplc="1A6866A0">
      <w:start w:val="2"/>
      <w:numFmt w:val="bullet"/>
      <w:lvlText w:val="-"/>
      <w:lvlJc w:val="left"/>
      <w:pPr>
        <w:ind w:left="360" w:hanging="360"/>
      </w:pPr>
      <w:rPr>
        <w:rFonts w:ascii="Verdana" w:eastAsia="Verdana" w:hAnsi="Verdana" w:cstheme="minorBidi" w:hint="default"/>
      </w:rPr>
    </w:lvl>
    <w:lvl w:ilvl="1" w:tplc="B6BE0F42">
      <w:numFmt w:val="bullet"/>
      <w:lvlText w:val="-"/>
      <w:lvlJc w:val="left"/>
      <w:pPr>
        <w:ind w:left="1080" w:hanging="360"/>
      </w:pPr>
      <w:rPr>
        <w:rFonts w:ascii="Verdana" w:eastAsia="Verdana" w:hAnsi="Verdana"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6" w15:restartNumberingAfterBreak="0">
    <w:nsid w:val="534257B2"/>
    <w:multiLevelType w:val="hybridMultilevel"/>
    <w:tmpl w:val="1DEAE0BE"/>
    <w:lvl w:ilvl="0" w:tplc="B6BE0F42">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3924EEB"/>
    <w:multiLevelType w:val="hybridMultilevel"/>
    <w:tmpl w:val="C4FA3D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53ED65B1"/>
    <w:multiLevelType w:val="hybridMultilevel"/>
    <w:tmpl w:val="2A3A41E0"/>
    <w:lvl w:ilvl="0" w:tplc="12E4374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42B2AE5"/>
    <w:multiLevelType w:val="hybridMultilevel"/>
    <w:tmpl w:val="7200CABE"/>
    <w:lvl w:ilvl="0" w:tplc="0405000F">
      <w:start w:val="1"/>
      <w:numFmt w:val="decimal"/>
      <w:lvlText w:val="%1."/>
      <w:lvlJc w:val="left"/>
      <w:pPr>
        <w:ind w:left="360" w:hanging="360"/>
      </w:pPr>
    </w:lvl>
    <w:lvl w:ilvl="1" w:tplc="04050001">
      <w:start w:val="1"/>
      <w:numFmt w:val="bullet"/>
      <w:lvlText w:val=""/>
      <w:lvlJc w:val="left"/>
      <w:pPr>
        <w:ind w:left="1080" w:hanging="360"/>
      </w:pPr>
      <w:rPr>
        <w:rFonts w:ascii="Symbol" w:hAnsi="Symbo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0" w15:restartNumberingAfterBreak="0">
    <w:nsid w:val="542D7D6E"/>
    <w:multiLevelType w:val="hybridMultilevel"/>
    <w:tmpl w:val="66065852"/>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5B71D52"/>
    <w:multiLevelType w:val="hybridMultilevel"/>
    <w:tmpl w:val="2278DBD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55E629B9"/>
    <w:multiLevelType w:val="hybridMultilevel"/>
    <w:tmpl w:val="A5566C9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6B82B0F"/>
    <w:multiLevelType w:val="hybridMultilevel"/>
    <w:tmpl w:val="F42AB9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6ED10FD"/>
    <w:multiLevelType w:val="hybridMultilevel"/>
    <w:tmpl w:val="F96C283E"/>
    <w:lvl w:ilvl="0" w:tplc="FC18E3EA">
      <w:start w:val="3"/>
      <w:numFmt w:val="bullet"/>
      <w:lvlText w:val="-"/>
      <w:lvlJc w:val="left"/>
      <w:pPr>
        <w:ind w:left="679" w:hanging="360"/>
      </w:pPr>
      <w:rPr>
        <w:rFonts w:ascii="Calibri" w:eastAsiaTheme="minorHAnsi" w:hAnsi="Calibri" w:cs="Calibri" w:hint="default"/>
      </w:rPr>
    </w:lvl>
    <w:lvl w:ilvl="1" w:tplc="04050003" w:tentative="1">
      <w:start w:val="1"/>
      <w:numFmt w:val="bullet"/>
      <w:lvlText w:val="o"/>
      <w:lvlJc w:val="left"/>
      <w:pPr>
        <w:ind w:left="1399" w:hanging="360"/>
      </w:pPr>
      <w:rPr>
        <w:rFonts w:ascii="Courier New" w:hAnsi="Courier New" w:cs="Courier New" w:hint="default"/>
      </w:rPr>
    </w:lvl>
    <w:lvl w:ilvl="2" w:tplc="04050005" w:tentative="1">
      <w:start w:val="1"/>
      <w:numFmt w:val="bullet"/>
      <w:lvlText w:val=""/>
      <w:lvlJc w:val="left"/>
      <w:pPr>
        <w:ind w:left="2119" w:hanging="360"/>
      </w:pPr>
      <w:rPr>
        <w:rFonts w:ascii="Wingdings" w:hAnsi="Wingdings" w:hint="default"/>
      </w:rPr>
    </w:lvl>
    <w:lvl w:ilvl="3" w:tplc="04050001" w:tentative="1">
      <w:start w:val="1"/>
      <w:numFmt w:val="bullet"/>
      <w:lvlText w:val=""/>
      <w:lvlJc w:val="left"/>
      <w:pPr>
        <w:ind w:left="2839" w:hanging="360"/>
      </w:pPr>
      <w:rPr>
        <w:rFonts w:ascii="Symbol" w:hAnsi="Symbol" w:hint="default"/>
      </w:rPr>
    </w:lvl>
    <w:lvl w:ilvl="4" w:tplc="04050003" w:tentative="1">
      <w:start w:val="1"/>
      <w:numFmt w:val="bullet"/>
      <w:lvlText w:val="o"/>
      <w:lvlJc w:val="left"/>
      <w:pPr>
        <w:ind w:left="3559" w:hanging="360"/>
      </w:pPr>
      <w:rPr>
        <w:rFonts w:ascii="Courier New" w:hAnsi="Courier New" w:cs="Courier New" w:hint="default"/>
      </w:rPr>
    </w:lvl>
    <w:lvl w:ilvl="5" w:tplc="04050005" w:tentative="1">
      <w:start w:val="1"/>
      <w:numFmt w:val="bullet"/>
      <w:lvlText w:val=""/>
      <w:lvlJc w:val="left"/>
      <w:pPr>
        <w:ind w:left="4279" w:hanging="360"/>
      </w:pPr>
      <w:rPr>
        <w:rFonts w:ascii="Wingdings" w:hAnsi="Wingdings" w:hint="default"/>
      </w:rPr>
    </w:lvl>
    <w:lvl w:ilvl="6" w:tplc="04050001" w:tentative="1">
      <w:start w:val="1"/>
      <w:numFmt w:val="bullet"/>
      <w:lvlText w:val=""/>
      <w:lvlJc w:val="left"/>
      <w:pPr>
        <w:ind w:left="4999" w:hanging="360"/>
      </w:pPr>
      <w:rPr>
        <w:rFonts w:ascii="Symbol" w:hAnsi="Symbol" w:hint="default"/>
      </w:rPr>
    </w:lvl>
    <w:lvl w:ilvl="7" w:tplc="04050003" w:tentative="1">
      <w:start w:val="1"/>
      <w:numFmt w:val="bullet"/>
      <w:lvlText w:val="o"/>
      <w:lvlJc w:val="left"/>
      <w:pPr>
        <w:ind w:left="5719" w:hanging="360"/>
      </w:pPr>
      <w:rPr>
        <w:rFonts w:ascii="Courier New" w:hAnsi="Courier New" w:cs="Courier New" w:hint="default"/>
      </w:rPr>
    </w:lvl>
    <w:lvl w:ilvl="8" w:tplc="04050005" w:tentative="1">
      <w:start w:val="1"/>
      <w:numFmt w:val="bullet"/>
      <w:lvlText w:val=""/>
      <w:lvlJc w:val="left"/>
      <w:pPr>
        <w:ind w:left="6439" w:hanging="360"/>
      </w:pPr>
      <w:rPr>
        <w:rFonts w:ascii="Wingdings" w:hAnsi="Wingdings" w:hint="default"/>
      </w:rPr>
    </w:lvl>
  </w:abstractNum>
  <w:abstractNum w:abstractNumId="95" w15:restartNumberingAfterBreak="0">
    <w:nsid w:val="57C31F70"/>
    <w:multiLevelType w:val="hybridMultilevel"/>
    <w:tmpl w:val="6E2E50AA"/>
    <w:lvl w:ilvl="0" w:tplc="04050003">
      <w:start w:val="1"/>
      <w:numFmt w:val="bullet"/>
      <w:lvlText w:val="o"/>
      <w:lvlJc w:val="left"/>
      <w:pPr>
        <w:ind w:left="1151" w:hanging="360"/>
      </w:pPr>
      <w:rPr>
        <w:rFonts w:ascii="Courier New" w:hAnsi="Courier New" w:cs="Courier New"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96" w15:restartNumberingAfterBreak="0">
    <w:nsid w:val="587963AF"/>
    <w:multiLevelType w:val="hybridMultilevel"/>
    <w:tmpl w:val="D8769E6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7" w15:restartNumberingAfterBreak="0">
    <w:nsid w:val="58C24DCB"/>
    <w:multiLevelType w:val="hybridMultilevel"/>
    <w:tmpl w:val="3E7A223A"/>
    <w:lvl w:ilvl="0" w:tplc="04050001">
      <w:start w:val="1"/>
      <w:numFmt w:val="bullet"/>
      <w:lvlText w:val=""/>
      <w:lvlJc w:val="left"/>
      <w:pPr>
        <w:ind w:left="570" w:hanging="360"/>
      </w:pPr>
      <w:rPr>
        <w:rFonts w:ascii="Symbol" w:hAnsi="Symbol" w:hint="default"/>
        <w:color w:val="747474"/>
        <w:sz w:val="23"/>
      </w:rPr>
    </w:lvl>
    <w:lvl w:ilvl="1" w:tplc="04050003" w:tentative="1">
      <w:start w:val="1"/>
      <w:numFmt w:val="bullet"/>
      <w:lvlText w:val="o"/>
      <w:lvlJc w:val="left"/>
      <w:pPr>
        <w:ind w:left="1290" w:hanging="360"/>
      </w:pPr>
      <w:rPr>
        <w:rFonts w:ascii="Courier New" w:hAnsi="Courier New" w:cs="Courier New" w:hint="default"/>
      </w:rPr>
    </w:lvl>
    <w:lvl w:ilvl="2" w:tplc="04050005" w:tentative="1">
      <w:start w:val="1"/>
      <w:numFmt w:val="bullet"/>
      <w:lvlText w:val=""/>
      <w:lvlJc w:val="left"/>
      <w:pPr>
        <w:ind w:left="2010" w:hanging="360"/>
      </w:pPr>
      <w:rPr>
        <w:rFonts w:ascii="Wingdings" w:hAnsi="Wingdings" w:hint="default"/>
      </w:rPr>
    </w:lvl>
    <w:lvl w:ilvl="3" w:tplc="04050001" w:tentative="1">
      <w:start w:val="1"/>
      <w:numFmt w:val="bullet"/>
      <w:lvlText w:val=""/>
      <w:lvlJc w:val="left"/>
      <w:pPr>
        <w:ind w:left="2730" w:hanging="360"/>
      </w:pPr>
      <w:rPr>
        <w:rFonts w:ascii="Symbol" w:hAnsi="Symbol" w:hint="default"/>
      </w:rPr>
    </w:lvl>
    <w:lvl w:ilvl="4" w:tplc="04050003" w:tentative="1">
      <w:start w:val="1"/>
      <w:numFmt w:val="bullet"/>
      <w:lvlText w:val="o"/>
      <w:lvlJc w:val="left"/>
      <w:pPr>
        <w:ind w:left="3450" w:hanging="360"/>
      </w:pPr>
      <w:rPr>
        <w:rFonts w:ascii="Courier New" w:hAnsi="Courier New" w:cs="Courier New" w:hint="default"/>
      </w:rPr>
    </w:lvl>
    <w:lvl w:ilvl="5" w:tplc="04050005" w:tentative="1">
      <w:start w:val="1"/>
      <w:numFmt w:val="bullet"/>
      <w:lvlText w:val=""/>
      <w:lvlJc w:val="left"/>
      <w:pPr>
        <w:ind w:left="4170" w:hanging="360"/>
      </w:pPr>
      <w:rPr>
        <w:rFonts w:ascii="Wingdings" w:hAnsi="Wingdings" w:hint="default"/>
      </w:rPr>
    </w:lvl>
    <w:lvl w:ilvl="6" w:tplc="04050001" w:tentative="1">
      <w:start w:val="1"/>
      <w:numFmt w:val="bullet"/>
      <w:lvlText w:val=""/>
      <w:lvlJc w:val="left"/>
      <w:pPr>
        <w:ind w:left="4890" w:hanging="360"/>
      </w:pPr>
      <w:rPr>
        <w:rFonts w:ascii="Symbol" w:hAnsi="Symbol" w:hint="default"/>
      </w:rPr>
    </w:lvl>
    <w:lvl w:ilvl="7" w:tplc="04050003" w:tentative="1">
      <w:start w:val="1"/>
      <w:numFmt w:val="bullet"/>
      <w:lvlText w:val="o"/>
      <w:lvlJc w:val="left"/>
      <w:pPr>
        <w:ind w:left="5610" w:hanging="360"/>
      </w:pPr>
      <w:rPr>
        <w:rFonts w:ascii="Courier New" w:hAnsi="Courier New" w:cs="Courier New" w:hint="default"/>
      </w:rPr>
    </w:lvl>
    <w:lvl w:ilvl="8" w:tplc="04050005" w:tentative="1">
      <w:start w:val="1"/>
      <w:numFmt w:val="bullet"/>
      <w:lvlText w:val=""/>
      <w:lvlJc w:val="left"/>
      <w:pPr>
        <w:ind w:left="6330" w:hanging="360"/>
      </w:pPr>
      <w:rPr>
        <w:rFonts w:ascii="Wingdings" w:hAnsi="Wingdings" w:hint="default"/>
      </w:rPr>
    </w:lvl>
  </w:abstractNum>
  <w:abstractNum w:abstractNumId="98" w15:restartNumberingAfterBreak="0">
    <w:nsid w:val="595F4EC7"/>
    <w:multiLevelType w:val="hybridMultilevel"/>
    <w:tmpl w:val="FB80193E"/>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99" w15:restartNumberingAfterBreak="0">
    <w:nsid w:val="5B854209"/>
    <w:multiLevelType w:val="hybridMultilevel"/>
    <w:tmpl w:val="168681D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5B94096F"/>
    <w:multiLevelType w:val="hybridMultilevel"/>
    <w:tmpl w:val="1F067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5BDF3AA7"/>
    <w:multiLevelType w:val="hybridMultilevel"/>
    <w:tmpl w:val="CBC24906"/>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02" w15:restartNumberingAfterBreak="0">
    <w:nsid w:val="5D321013"/>
    <w:multiLevelType w:val="hybridMultilevel"/>
    <w:tmpl w:val="B67C53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5E9A7669"/>
    <w:multiLevelType w:val="hybridMultilevel"/>
    <w:tmpl w:val="F376B17A"/>
    <w:lvl w:ilvl="0" w:tplc="04050003">
      <w:start w:val="1"/>
      <w:numFmt w:val="bullet"/>
      <w:lvlText w:val="o"/>
      <w:lvlJc w:val="left"/>
      <w:pPr>
        <w:ind w:left="1151" w:hanging="360"/>
      </w:pPr>
      <w:rPr>
        <w:rFonts w:ascii="Courier New" w:hAnsi="Courier New" w:cs="Courier New"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04" w15:restartNumberingAfterBreak="0">
    <w:nsid w:val="5EB165EC"/>
    <w:multiLevelType w:val="hybridMultilevel"/>
    <w:tmpl w:val="BA1C409A"/>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5EC56681"/>
    <w:multiLevelType w:val="hybridMultilevel"/>
    <w:tmpl w:val="4CA0F23C"/>
    <w:lvl w:ilvl="0" w:tplc="04050001">
      <w:start w:val="1"/>
      <w:numFmt w:val="bullet"/>
      <w:lvlText w:val=""/>
      <w:lvlJc w:val="left"/>
      <w:pPr>
        <w:tabs>
          <w:tab w:val="num" w:pos="720"/>
        </w:tabs>
        <w:ind w:left="720" w:hanging="360"/>
      </w:pPr>
      <w:rPr>
        <w:rFonts w:ascii="Symbol" w:hAnsi="Symbol" w:hint="default"/>
        <w:color w:val="747474"/>
        <w:sz w:val="23"/>
      </w:rPr>
    </w:lvl>
    <w:lvl w:ilvl="1" w:tplc="E14CDFD4" w:tentative="1">
      <w:start w:val="1"/>
      <w:numFmt w:val="bullet"/>
      <w:lvlText w:val="•"/>
      <w:lvlJc w:val="left"/>
      <w:pPr>
        <w:tabs>
          <w:tab w:val="num" w:pos="1440"/>
        </w:tabs>
        <w:ind w:left="1440" w:hanging="360"/>
      </w:pPr>
      <w:rPr>
        <w:rFonts w:ascii="Arial" w:hAnsi="Arial" w:hint="default"/>
      </w:rPr>
    </w:lvl>
    <w:lvl w:ilvl="2" w:tplc="80723DA2" w:tentative="1">
      <w:start w:val="1"/>
      <w:numFmt w:val="bullet"/>
      <w:lvlText w:val="•"/>
      <w:lvlJc w:val="left"/>
      <w:pPr>
        <w:tabs>
          <w:tab w:val="num" w:pos="2160"/>
        </w:tabs>
        <w:ind w:left="2160" w:hanging="360"/>
      </w:pPr>
      <w:rPr>
        <w:rFonts w:ascii="Arial" w:hAnsi="Arial" w:hint="default"/>
      </w:rPr>
    </w:lvl>
    <w:lvl w:ilvl="3" w:tplc="B88688EC" w:tentative="1">
      <w:start w:val="1"/>
      <w:numFmt w:val="bullet"/>
      <w:lvlText w:val="•"/>
      <w:lvlJc w:val="left"/>
      <w:pPr>
        <w:tabs>
          <w:tab w:val="num" w:pos="2880"/>
        </w:tabs>
        <w:ind w:left="2880" w:hanging="360"/>
      </w:pPr>
      <w:rPr>
        <w:rFonts w:ascii="Arial" w:hAnsi="Arial" w:hint="default"/>
      </w:rPr>
    </w:lvl>
    <w:lvl w:ilvl="4" w:tplc="487E778A" w:tentative="1">
      <w:start w:val="1"/>
      <w:numFmt w:val="bullet"/>
      <w:lvlText w:val="•"/>
      <w:lvlJc w:val="left"/>
      <w:pPr>
        <w:tabs>
          <w:tab w:val="num" w:pos="3600"/>
        </w:tabs>
        <w:ind w:left="3600" w:hanging="360"/>
      </w:pPr>
      <w:rPr>
        <w:rFonts w:ascii="Arial" w:hAnsi="Arial" w:hint="default"/>
      </w:rPr>
    </w:lvl>
    <w:lvl w:ilvl="5" w:tplc="6D724EE6" w:tentative="1">
      <w:start w:val="1"/>
      <w:numFmt w:val="bullet"/>
      <w:lvlText w:val="•"/>
      <w:lvlJc w:val="left"/>
      <w:pPr>
        <w:tabs>
          <w:tab w:val="num" w:pos="4320"/>
        </w:tabs>
        <w:ind w:left="4320" w:hanging="360"/>
      </w:pPr>
      <w:rPr>
        <w:rFonts w:ascii="Arial" w:hAnsi="Arial" w:hint="default"/>
      </w:rPr>
    </w:lvl>
    <w:lvl w:ilvl="6" w:tplc="5C4E8B3C" w:tentative="1">
      <w:start w:val="1"/>
      <w:numFmt w:val="bullet"/>
      <w:lvlText w:val="•"/>
      <w:lvlJc w:val="left"/>
      <w:pPr>
        <w:tabs>
          <w:tab w:val="num" w:pos="5040"/>
        </w:tabs>
        <w:ind w:left="5040" w:hanging="360"/>
      </w:pPr>
      <w:rPr>
        <w:rFonts w:ascii="Arial" w:hAnsi="Arial" w:hint="default"/>
      </w:rPr>
    </w:lvl>
    <w:lvl w:ilvl="7" w:tplc="069E375E" w:tentative="1">
      <w:start w:val="1"/>
      <w:numFmt w:val="bullet"/>
      <w:lvlText w:val="•"/>
      <w:lvlJc w:val="left"/>
      <w:pPr>
        <w:tabs>
          <w:tab w:val="num" w:pos="5760"/>
        </w:tabs>
        <w:ind w:left="5760" w:hanging="360"/>
      </w:pPr>
      <w:rPr>
        <w:rFonts w:ascii="Arial" w:hAnsi="Arial" w:hint="default"/>
      </w:rPr>
    </w:lvl>
    <w:lvl w:ilvl="8" w:tplc="63A6397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FAF0AF1"/>
    <w:multiLevelType w:val="hybridMultilevel"/>
    <w:tmpl w:val="C9F694C6"/>
    <w:lvl w:ilvl="0" w:tplc="1A6866A0">
      <w:start w:val="2"/>
      <w:numFmt w:val="bullet"/>
      <w:lvlText w:val="-"/>
      <w:lvlJc w:val="left"/>
      <w:pPr>
        <w:ind w:left="720" w:hanging="360"/>
      </w:pPr>
      <w:rPr>
        <w:rFonts w:ascii="Verdana" w:eastAsia="Verdana"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FBA1CC5"/>
    <w:multiLevelType w:val="hybridMultilevel"/>
    <w:tmpl w:val="BECE88B6"/>
    <w:lvl w:ilvl="0" w:tplc="1A6866A0">
      <w:start w:val="2"/>
      <w:numFmt w:val="bullet"/>
      <w:lvlText w:val="-"/>
      <w:lvlJc w:val="left"/>
      <w:pPr>
        <w:ind w:left="720" w:hanging="360"/>
      </w:pPr>
      <w:rPr>
        <w:rFonts w:ascii="Verdana" w:eastAsia="Verdana"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62D01111"/>
    <w:multiLevelType w:val="hybridMultilevel"/>
    <w:tmpl w:val="ED80C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63020D5A"/>
    <w:multiLevelType w:val="hybridMultilevel"/>
    <w:tmpl w:val="C95C6828"/>
    <w:lvl w:ilvl="0" w:tplc="1A6866A0">
      <w:start w:val="2"/>
      <w:numFmt w:val="bullet"/>
      <w:lvlText w:val="-"/>
      <w:lvlJc w:val="left"/>
      <w:pPr>
        <w:ind w:left="720" w:hanging="360"/>
      </w:pPr>
      <w:rPr>
        <w:rFonts w:ascii="Verdana" w:eastAsia="Verdana"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3366A38"/>
    <w:multiLevelType w:val="hybridMultilevel"/>
    <w:tmpl w:val="682AA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3CC4DDB"/>
    <w:multiLevelType w:val="hybridMultilevel"/>
    <w:tmpl w:val="30C0C1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667F5A7B"/>
    <w:multiLevelType w:val="hybridMultilevel"/>
    <w:tmpl w:val="CB143662"/>
    <w:lvl w:ilvl="0" w:tplc="FC18E3EA">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9547A7F"/>
    <w:multiLevelType w:val="hybridMultilevel"/>
    <w:tmpl w:val="58C2911C"/>
    <w:lvl w:ilvl="0" w:tplc="04050003">
      <w:start w:val="1"/>
      <w:numFmt w:val="bullet"/>
      <w:lvlText w:val="o"/>
      <w:lvlJc w:val="left"/>
      <w:pPr>
        <w:ind w:left="1088" w:hanging="360"/>
      </w:pPr>
      <w:rPr>
        <w:rFonts w:ascii="Courier New" w:hAnsi="Courier New" w:cs="Courier New"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114" w15:restartNumberingAfterBreak="0">
    <w:nsid w:val="69C2786B"/>
    <w:multiLevelType w:val="multilevel"/>
    <w:tmpl w:val="F9E425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9F41276"/>
    <w:multiLevelType w:val="hybridMultilevel"/>
    <w:tmpl w:val="EB3CEA3C"/>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116" w15:restartNumberingAfterBreak="0">
    <w:nsid w:val="6B600738"/>
    <w:multiLevelType w:val="multilevel"/>
    <w:tmpl w:val="61128F4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6CAE2891"/>
    <w:multiLevelType w:val="hybridMultilevel"/>
    <w:tmpl w:val="DCD6B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6D10594D"/>
    <w:multiLevelType w:val="hybridMultilevel"/>
    <w:tmpl w:val="5B1258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9" w15:restartNumberingAfterBreak="0">
    <w:nsid w:val="6DE00047"/>
    <w:multiLevelType w:val="hybridMultilevel"/>
    <w:tmpl w:val="8B3E36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6EB142F9"/>
    <w:multiLevelType w:val="hybridMultilevel"/>
    <w:tmpl w:val="38C076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6F2D4DCD"/>
    <w:multiLevelType w:val="hybridMultilevel"/>
    <w:tmpl w:val="EF1EE35C"/>
    <w:lvl w:ilvl="0" w:tplc="FC18E3EA">
      <w:start w:val="3"/>
      <w:numFmt w:val="bullet"/>
      <w:lvlText w:val="-"/>
      <w:lvlJc w:val="left"/>
      <w:pPr>
        <w:ind w:left="684" w:hanging="360"/>
      </w:pPr>
      <w:rPr>
        <w:rFonts w:ascii="Calibri" w:eastAsiaTheme="minorHAnsi" w:hAnsi="Calibri" w:cs="Calibri" w:hint="default"/>
      </w:rPr>
    </w:lvl>
    <w:lvl w:ilvl="1" w:tplc="5A26DDEC">
      <w:start w:val="70"/>
      <w:numFmt w:val="bullet"/>
      <w:lvlText w:val=""/>
      <w:lvlJc w:val="left"/>
      <w:pPr>
        <w:ind w:left="1404" w:hanging="360"/>
      </w:pPr>
      <w:rPr>
        <w:rFonts w:ascii="Symbol" w:eastAsiaTheme="minorHAnsi" w:hAnsi="Symbol" w:cstheme="minorBidi"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22" w15:restartNumberingAfterBreak="0">
    <w:nsid w:val="6F393650"/>
    <w:multiLevelType w:val="multilevel"/>
    <w:tmpl w:val="9AFC2B18"/>
    <w:lvl w:ilvl="0">
      <w:start w:val="1"/>
      <w:numFmt w:val="none"/>
      <w:suff w:val="nothing"/>
      <w:lvlText w:val=""/>
      <w:lvlJc w:val="left"/>
      <w:pPr>
        <w:ind w:left="0" w:firstLine="0"/>
      </w:pPr>
    </w:lvl>
    <w:lvl w:ilvl="1">
      <w:start w:val="1"/>
      <w:numFmt w:val="decimal"/>
      <w:lvlText w:val="%2"/>
      <w:lvlJc w:val="left"/>
      <w:pPr>
        <w:ind w:left="720" w:hanging="360"/>
      </w:pPr>
    </w:lvl>
    <w:lvl w:ilvl="2">
      <w:start w:val="1"/>
      <w:numFmt w:val="decimal"/>
      <w:pStyle w:val="Heading2"/>
      <w:lvlText w:val="%2.%3"/>
      <w:lvlJc w:val="left"/>
      <w:pPr>
        <w:ind w:left="1080" w:hanging="360"/>
      </w:pPr>
    </w:lvl>
    <w:lvl w:ilvl="3">
      <w:start w:val="1"/>
      <w:numFmt w:val="decimal"/>
      <w:lvlText w:val="%2.%3.%4"/>
      <w:lvlJc w:val="left"/>
      <w:pPr>
        <w:ind w:left="1440" w:hanging="36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3" w15:restartNumberingAfterBreak="0">
    <w:nsid w:val="707C1B17"/>
    <w:multiLevelType w:val="hybridMultilevel"/>
    <w:tmpl w:val="F4D64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71312CCD"/>
    <w:multiLevelType w:val="hybridMultilevel"/>
    <w:tmpl w:val="F6BE6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4C90175"/>
    <w:multiLevelType w:val="hybridMultilevel"/>
    <w:tmpl w:val="3B5CA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53E223E"/>
    <w:multiLevelType w:val="hybridMultilevel"/>
    <w:tmpl w:val="D91C9E00"/>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7" w15:restartNumberingAfterBreak="0">
    <w:nsid w:val="755B6D9F"/>
    <w:multiLevelType w:val="hybridMultilevel"/>
    <w:tmpl w:val="906AC1EE"/>
    <w:lvl w:ilvl="0" w:tplc="FC18E3EA">
      <w:start w:val="3"/>
      <w:numFmt w:val="bullet"/>
      <w:lvlText w:val="-"/>
      <w:lvlJc w:val="left"/>
      <w:pPr>
        <w:ind w:left="1151" w:hanging="360"/>
      </w:pPr>
      <w:rPr>
        <w:rFonts w:ascii="Calibri" w:eastAsiaTheme="minorHAnsi" w:hAnsi="Calibri" w:cs="Calibri"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28" w15:restartNumberingAfterBreak="0">
    <w:nsid w:val="77344EF6"/>
    <w:multiLevelType w:val="hybridMultilevel"/>
    <w:tmpl w:val="E9CE3AE2"/>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29" w15:restartNumberingAfterBreak="0">
    <w:nsid w:val="7887370A"/>
    <w:multiLevelType w:val="hybridMultilevel"/>
    <w:tmpl w:val="5246C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0" w15:restartNumberingAfterBreak="0">
    <w:nsid w:val="78D31852"/>
    <w:multiLevelType w:val="hybridMultilevel"/>
    <w:tmpl w:val="3802EDBC"/>
    <w:lvl w:ilvl="0" w:tplc="93E6698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79DE1820"/>
    <w:multiLevelType w:val="hybridMultilevel"/>
    <w:tmpl w:val="8CE4703A"/>
    <w:lvl w:ilvl="0" w:tplc="04050003">
      <w:start w:val="1"/>
      <w:numFmt w:val="bullet"/>
      <w:lvlText w:val="o"/>
      <w:lvlJc w:val="left"/>
      <w:pPr>
        <w:ind w:left="684" w:hanging="360"/>
      </w:pPr>
      <w:rPr>
        <w:rFonts w:ascii="Courier New" w:hAnsi="Courier New" w:cs="Courier New"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32" w15:restartNumberingAfterBreak="0">
    <w:nsid w:val="7A734E04"/>
    <w:multiLevelType w:val="hybridMultilevel"/>
    <w:tmpl w:val="CBF28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7B70564E"/>
    <w:multiLevelType w:val="hybridMultilevel"/>
    <w:tmpl w:val="642AF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7C5F1693"/>
    <w:multiLevelType w:val="hybridMultilevel"/>
    <w:tmpl w:val="67F22ED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CCB5B08"/>
    <w:multiLevelType w:val="multilevel"/>
    <w:tmpl w:val="61128F4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7DC015A0"/>
    <w:multiLevelType w:val="hybridMultilevel"/>
    <w:tmpl w:val="8C168C70"/>
    <w:lvl w:ilvl="0" w:tplc="FC18E3EA">
      <w:start w:val="3"/>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7E28068C"/>
    <w:multiLevelType w:val="multilevel"/>
    <w:tmpl w:val="0FE63172"/>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1474"/>
        </w:tabs>
        <w:ind w:left="1474" w:hanging="623"/>
      </w:pPr>
      <w:rPr>
        <w:rFonts w:hint="default"/>
      </w:rPr>
    </w:lvl>
    <w:lvl w:ilvl="3">
      <w:start w:val="1"/>
      <w:numFmt w:val="decimal"/>
      <w:lvlText w:val="%1.%2.%3.%4"/>
      <w:lvlJc w:val="left"/>
      <w:pPr>
        <w:tabs>
          <w:tab w:val="num" w:pos="2296"/>
        </w:tabs>
        <w:ind w:left="2296"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E5839C9"/>
    <w:multiLevelType w:val="hybridMultilevel"/>
    <w:tmpl w:val="FD54150C"/>
    <w:lvl w:ilvl="0" w:tplc="04050003">
      <w:start w:val="1"/>
      <w:numFmt w:val="bullet"/>
      <w:lvlText w:val="o"/>
      <w:lvlJc w:val="left"/>
      <w:pPr>
        <w:ind w:left="684" w:hanging="360"/>
      </w:pPr>
      <w:rPr>
        <w:rFonts w:ascii="Courier New" w:hAnsi="Courier New" w:cs="Courier New" w:hint="default"/>
      </w:rPr>
    </w:lvl>
    <w:lvl w:ilvl="1" w:tplc="5A26DDEC">
      <w:start w:val="70"/>
      <w:numFmt w:val="bullet"/>
      <w:lvlText w:val=""/>
      <w:lvlJc w:val="left"/>
      <w:pPr>
        <w:ind w:left="1404" w:hanging="360"/>
      </w:pPr>
      <w:rPr>
        <w:rFonts w:ascii="Symbol" w:eastAsiaTheme="minorHAnsi" w:hAnsi="Symbol" w:cstheme="minorBidi"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39" w15:restartNumberingAfterBreak="0">
    <w:nsid w:val="7EA5658C"/>
    <w:multiLevelType w:val="hybridMultilevel"/>
    <w:tmpl w:val="F000DD9C"/>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0" w15:restartNumberingAfterBreak="0">
    <w:nsid w:val="7F693DD2"/>
    <w:multiLevelType w:val="hybridMultilevel"/>
    <w:tmpl w:val="B0E4AA82"/>
    <w:lvl w:ilvl="0" w:tplc="FC18E3EA">
      <w:start w:val="3"/>
      <w:numFmt w:val="bullet"/>
      <w:lvlText w:val="-"/>
      <w:lvlJc w:val="left"/>
      <w:pPr>
        <w:ind w:left="684" w:hanging="360"/>
      </w:pPr>
      <w:rPr>
        <w:rFonts w:ascii="Calibri" w:eastAsiaTheme="minorHAnsi" w:hAnsi="Calibri" w:cs="Calibri" w:hint="default"/>
      </w:rPr>
    </w:lvl>
    <w:lvl w:ilvl="1" w:tplc="04050003" w:tentative="1">
      <w:start w:val="1"/>
      <w:numFmt w:val="bullet"/>
      <w:lvlText w:val="o"/>
      <w:lvlJc w:val="left"/>
      <w:pPr>
        <w:ind w:left="1404" w:hanging="360"/>
      </w:pPr>
      <w:rPr>
        <w:rFonts w:ascii="Courier New" w:hAnsi="Courier New" w:cs="Courier New" w:hint="default"/>
      </w:rPr>
    </w:lvl>
    <w:lvl w:ilvl="2" w:tplc="04050005" w:tentative="1">
      <w:start w:val="1"/>
      <w:numFmt w:val="bullet"/>
      <w:lvlText w:val=""/>
      <w:lvlJc w:val="left"/>
      <w:pPr>
        <w:ind w:left="2124" w:hanging="360"/>
      </w:pPr>
      <w:rPr>
        <w:rFonts w:ascii="Wingdings" w:hAnsi="Wingdings" w:hint="default"/>
      </w:rPr>
    </w:lvl>
    <w:lvl w:ilvl="3" w:tplc="04050001" w:tentative="1">
      <w:start w:val="1"/>
      <w:numFmt w:val="bullet"/>
      <w:lvlText w:val=""/>
      <w:lvlJc w:val="left"/>
      <w:pPr>
        <w:ind w:left="2844" w:hanging="360"/>
      </w:pPr>
      <w:rPr>
        <w:rFonts w:ascii="Symbol" w:hAnsi="Symbol" w:hint="default"/>
      </w:rPr>
    </w:lvl>
    <w:lvl w:ilvl="4" w:tplc="04050003" w:tentative="1">
      <w:start w:val="1"/>
      <w:numFmt w:val="bullet"/>
      <w:lvlText w:val="o"/>
      <w:lvlJc w:val="left"/>
      <w:pPr>
        <w:ind w:left="3564" w:hanging="360"/>
      </w:pPr>
      <w:rPr>
        <w:rFonts w:ascii="Courier New" w:hAnsi="Courier New" w:cs="Courier New" w:hint="default"/>
      </w:rPr>
    </w:lvl>
    <w:lvl w:ilvl="5" w:tplc="04050005" w:tentative="1">
      <w:start w:val="1"/>
      <w:numFmt w:val="bullet"/>
      <w:lvlText w:val=""/>
      <w:lvlJc w:val="left"/>
      <w:pPr>
        <w:ind w:left="4284" w:hanging="360"/>
      </w:pPr>
      <w:rPr>
        <w:rFonts w:ascii="Wingdings" w:hAnsi="Wingdings" w:hint="default"/>
      </w:rPr>
    </w:lvl>
    <w:lvl w:ilvl="6" w:tplc="04050001" w:tentative="1">
      <w:start w:val="1"/>
      <w:numFmt w:val="bullet"/>
      <w:lvlText w:val=""/>
      <w:lvlJc w:val="left"/>
      <w:pPr>
        <w:ind w:left="5004" w:hanging="360"/>
      </w:pPr>
      <w:rPr>
        <w:rFonts w:ascii="Symbol" w:hAnsi="Symbol" w:hint="default"/>
      </w:rPr>
    </w:lvl>
    <w:lvl w:ilvl="7" w:tplc="04050003" w:tentative="1">
      <w:start w:val="1"/>
      <w:numFmt w:val="bullet"/>
      <w:lvlText w:val="o"/>
      <w:lvlJc w:val="left"/>
      <w:pPr>
        <w:ind w:left="5724" w:hanging="360"/>
      </w:pPr>
      <w:rPr>
        <w:rFonts w:ascii="Courier New" w:hAnsi="Courier New" w:cs="Courier New" w:hint="default"/>
      </w:rPr>
    </w:lvl>
    <w:lvl w:ilvl="8" w:tplc="04050005" w:tentative="1">
      <w:start w:val="1"/>
      <w:numFmt w:val="bullet"/>
      <w:lvlText w:val=""/>
      <w:lvlJc w:val="left"/>
      <w:pPr>
        <w:ind w:left="6444" w:hanging="360"/>
      </w:pPr>
      <w:rPr>
        <w:rFonts w:ascii="Wingdings" w:hAnsi="Wingdings" w:hint="default"/>
      </w:rPr>
    </w:lvl>
  </w:abstractNum>
  <w:abstractNum w:abstractNumId="141" w15:restartNumberingAfterBreak="0">
    <w:nsid w:val="7FCB707E"/>
    <w:multiLevelType w:val="hybridMultilevel"/>
    <w:tmpl w:val="CBB69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7FFB0A25"/>
    <w:multiLevelType w:val="hybridMultilevel"/>
    <w:tmpl w:val="491073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800" w:hanging="72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2"/>
  </w:num>
  <w:num w:numId="2">
    <w:abstractNumId w:val="76"/>
  </w:num>
  <w:num w:numId="3">
    <w:abstractNumId w:val="87"/>
  </w:num>
  <w:num w:numId="4">
    <w:abstractNumId w:val="93"/>
  </w:num>
  <w:num w:numId="5">
    <w:abstractNumId w:val="133"/>
  </w:num>
  <w:num w:numId="6">
    <w:abstractNumId w:val="39"/>
  </w:num>
  <w:num w:numId="7">
    <w:abstractNumId w:val="70"/>
  </w:num>
  <w:num w:numId="8">
    <w:abstractNumId w:val="62"/>
  </w:num>
  <w:num w:numId="9">
    <w:abstractNumId w:val="73"/>
  </w:num>
  <w:num w:numId="10">
    <w:abstractNumId w:val="84"/>
  </w:num>
  <w:num w:numId="11">
    <w:abstractNumId w:val="53"/>
  </w:num>
  <w:num w:numId="12">
    <w:abstractNumId w:val="48"/>
  </w:num>
  <w:num w:numId="13">
    <w:abstractNumId w:val="71"/>
  </w:num>
  <w:num w:numId="14">
    <w:abstractNumId w:val="52"/>
  </w:num>
  <w:num w:numId="15">
    <w:abstractNumId w:val="31"/>
  </w:num>
  <w:num w:numId="16">
    <w:abstractNumId w:val="42"/>
  </w:num>
  <w:num w:numId="17">
    <w:abstractNumId w:val="56"/>
  </w:num>
  <w:num w:numId="18">
    <w:abstractNumId w:val="136"/>
  </w:num>
  <w:num w:numId="19">
    <w:abstractNumId w:val="5"/>
  </w:num>
  <w:num w:numId="20">
    <w:abstractNumId w:val="13"/>
  </w:num>
  <w:num w:numId="21">
    <w:abstractNumId w:val="74"/>
  </w:num>
  <w:num w:numId="22">
    <w:abstractNumId w:val="41"/>
  </w:num>
  <w:num w:numId="23">
    <w:abstractNumId w:val="137"/>
  </w:num>
  <w:num w:numId="24">
    <w:abstractNumId w:val="17"/>
  </w:num>
  <w:num w:numId="25">
    <w:abstractNumId w:val="99"/>
  </w:num>
  <w:num w:numId="26">
    <w:abstractNumId w:val="0"/>
  </w:num>
  <w:num w:numId="27">
    <w:abstractNumId w:val="28"/>
  </w:num>
  <w:num w:numId="28">
    <w:abstractNumId w:val="88"/>
  </w:num>
  <w:num w:numId="29">
    <w:abstractNumId w:val="110"/>
  </w:num>
  <w:num w:numId="30">
    <w:abstractNumId w:val="30"/>
  </w:num>
  <w:num w:numId="31">
    <w:abstractNumId w:val="86"/>
  </w:num>
  <w:num w:numId="32">
    <w:abstractNumId w:val="37"/>
  </w:num>
  <w:num w:numId="33">
    <w:abstractNumId w:val="64"/>
  </w:num>
  <w:num w:numId="34">
    <w:abstractNumId w:val="20"/>
  </w:num>
  <w:num w:numId="35">
    <w:abstractNumId w:val="65"/>
  </w:num>
  <w:num w:numId="36">
    <w:abstractNumId w:val="44"/>
  </w:num>
  <w:num w:numId="37">
    <w:abstractNumId w:val="54"/>
  </w:num>
  <w:num w:numId="38">
    <w:abstractNumId w:val="120"/>
  </w:num>
  <w:num w:numId="39">
    <w:abstractNumId w:val="119"/>
  </w:num>
  <w:num w:numId="40">
    <w:abstractNumId w:val="69"/>
  </w:num>
  <w:num w:numId="41">
    <w:abstractNumId w:val="114"/>
  </w:num>
  <w:num w:numId="42">
    <w:abstractNumId w:val="85"/>
  </w:num>
  <w:num w:numId="43">
    <w:abstractNumId w:val="26"/>
  </w:num>
  <w:num w:numId="44">
    <w:abstractNumId w:val="51"/>
  </w:num>
  <w:num w:numId="45">
    <w:abstractNumId w:val="116"/>
  </w:num>
  <w:num w:numId="46">
    <w:abstractNumId w:val="4"/>
  </w:num>
  <w:num w:numId="47">
    <w:abstractNumId w:val="126"/>
  </w:num>
  <w:num w:numId="48">
    <w:abstractNumId w:val="72"/>
  </w:num>
  <w:num w:numId="49">
    <w:abstractNumId w:val="102"/>
  </w:num>
  <w:num w:numId="50">
    <w:abstractNumId w:val="92"/>
  </w:num>
  <w:num w:numId="51">
    <w:abstractNumId w:val="134"/>
  </w:num>
  <w:num w:numId="52">
    <w:abstractNumId w:val="91"/>
  </w:num>
  <w:num w:numId="53">
    <w:abstractNumId w:val="82"/>
  </w:num>
  <w:num w:numId="54">
    <w:abstractNumId w:val="40"/>
  </w:num>
  <w:num w:numId="55">
    <w:abstractNumId w:val="142"/>
  </w:num>
  <w:num w:numId="56">
    <w:abstractNumId w:val="8"/>
  </w:num>
  <w:num w:numId="57">
    <w:abstractNumId w:val="9"/>
  </w:num>
  <w:num w:numId="58">
    <w:abstractNumId w:val="130"/>
  </w:num>
  <w:num w:numId="59">
    <w:abstractNumId w:val="59"/>
  </w:num>
  <w:num w:numId="60">
    <w:abstractNumId w:val="57"/>
  </w:num>
  <w:num w:numId="61">
    <w:abstractNumId w:val="61"/>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num>
  <w:num w:numId="69">
    <w:abstractNumId w:val="63"/>
  </w:num>
  <w:num w:numId="70">
    <w:abstractNumId w:val="107"/>
  </w:num>
  <w:num w:numId="71">
    <w:abstractNumId w:val="96"/>
  </w:num>
  <w:num w:numId="72">
    <w:abstractNumId w:val="14"/>
  </w:num>
  <w:num w:numId="73">
    <w:abstractNumId w:val="125"/>
  </w:num>
  <w:num w:numId="74">
    <w:abstractNumId w:val="89"/>
  </w:num>
  <w:num w:numId="75">
    <w:abstractNumId w:val="118"/>
  </w:num>
  <w:num w:numId="76">
    <w:abstractNumId w:val="55"/>
  </w:num>
  <w:num w:numId="77">
    <w:abstractNumId w:val="77"/>
  </w:num>
  <w:num w:numId="78">
    <w:abstractNumId w:val="2"/>
  </w:num>
  <w:num w:numId="79">
    <w:abstractNumId w:val="7"/>
  </w:num>
  <w:num w:numId="80">
    <w:abstractNumId w:val="100"/>
  </w:num>
  <w:num w:numId="81">
    <w:abstractNumId w:val="123"/>
  </w:num>
  <w:num w:numId="82">
    <w:abstractNumId w:val="50"/>
  </w:num>
  <w:num w:numId="83">
    <w:abstractNumId w:val="3"/>
  </w:num>
  <w:num w:numId="84">
    <w:abstractNumId w:val="58"/>
  </w:num>
  <w:num w:numId="85">
    <w:abstractNumId w:val="29"/>
  </w:num>
  <w:num w:numId="86">
    <w:abstractNumId w:val="15"/>
  </w:num>
  <w:num w:numId="87">
    <w:abstractNumId w:val="32"/>
  </w:num>
  <w:num w:numId="88">
    <w:abstractNumId w:val="115"/>
  </w:num>
  <w:num w:numId="89">
    <w:abstractNumId w:val="117"/>
  </w:num>
  <w:num w:numId="90">
    <w:abstractNumId w:val="124"/>
  </w:num>
  <w:num w:numId="91">
    <w:abstractNumId w:val="141"/>
  </w:num>
  <w:num w:numId="92">
    <w:abstractNumId w:val="108"/>
  </w:num>
  <w:num w:numId="93">
    <w:abstractNumId w:val="18"/>
  </w:num>
  <w:num w:numId="94">
    <w:abstractNumId w:val="139"/>
  </w:num>
  <w:num w:numId="95">
    <w:abstractNumId w:val="38"/>
  </w:num>
  <w:num w:numId="96">
    <w:abstractNumId w:val="135"/>
  </w:num>
  <w:num w:numId="97">
    <w:abstractNumId w:val="66"/>
  </w:num>
  <w:num w:numId="98">
    <w:abstractNumId w:val="129"/>
  </w:num>
  <w:num w:numId="99">
    <w:abstractNumId w:val="16"/>
  </w:num>
  <w:num w:numId="100">
    <w:abstractNumId w:val="19"/>
  </w:num>
  <w:num w:numId="101">
    <w:abstractNumId w:val="46"/>
  </w:num>
  <w:num w:numId="102">
    <w:abstractNumId w:val="21"/>
  </w:num>
  <w:num w:numId="103">
    <w:abstractNumId w:val="104"/>
  </w:num>
  <w:num w:numId="104">
    <w:abstractNumId w:val="47"/>
  </w:num>
  <w:num w:numId="105">
    <w:abstractNumId w:val="112"/>
  </w:num>
  <w:num w:numId="106">
    <w:abstractNumId w:val="106"/>
  </w:num>
  <w:num w:numId="107">
    <w:abstractNumId w:val="23"/>
  </w:num>
  <w:num w:numId="108">
    <w:abstractNumId w:val="109"/>
  </w:num>
  <w:num w:numId="109">
    <w:abstractNumId w:val="83"/>
  </w:num>
  <w:num w:numId="110">
    <w:abstractNumId w:val="45"/>
  </w:num>
  <w:num w:numId="111">
    <w:abstractNumId w:val="1"/>
  </w:num>
  <w:num w:numId="112">
    <w:abstractNumId w:val="43"/>
  </w:num>
  <w:num w:numId="113">
    <w:abstractNumId w:val="90"/>
  </w:num>
  <w:num w:numId="114">
    <w:abstractNumId w:val="60"/>
  </w:num>
  <w:num w:numId="115">
    <w:abstractNumId w:val="111"/>
  </w:num>
  <w:num w:numId="116">
    <w:abstractNumId w:val="11"/>
  </w:num>
  <w:num w:numId="117">
    <w:abstractNumId w:val="25"/>
  </w:num>
  <w:num w:numId="118">
    <w:abstractNumId w:val="132"/>
  </w:num>
  <w:num w:numId="119">
    <w:abstractNumId w:val="33"/>
  </w:num>
  <w:num w:numId="120">
    <w:abstractNumId w:val="10"/>
  </w:num>
  <w:num w:numId="121">
    <w:abstractNumId w:val="35"/>
  </w:num>
  <w:num w:numId="122">
    <w:abstractNumId w:val="140"/>
  </w:num>
  <w:num w:numId="123">
    <w:abstractNumId w:val="67"/>
  </w:num>
  <w:num w:numId="124">
    <w:abstractNumId w:val="113"/>
  </w:num>
  <w:num w:numId="125">
    <w:abstractNumId w:val="34"/>
  </w:num>
  <w:num w:numId="126">
    <w:abstractNumId w:val="94"/>
  </w:num>
  <w:num w:numId="127">
    <w:abstractNumId w:val="49"/>
  </w:num>
  <w:num w:numId="128">
    <w:abstractNumId w:val="101"/>
  </w:num>
  <w:num w:numId="129">
    <w:abstractNumId w:val="12"/>
  </w:num>
  <w:num w:numId="130">
    <w:abstractNumId w:val="81"/>
  </w:num>
  <w:num w:numId="131">
    <w:abstractNumId w:val="24"/>
  </w:num>
  <w:num w:numId="132">
    <w:abstractNumId w:val="80"/>
  </w:num>
  <w:num w:numId="133">
    <w:abstractNumId w:val="36"/>
  </w:num>
  <w:num w:numId="134">
    <w:abstractNumId w:val="127"/>
  </w:num>
  <w:num w:numId="135">
    <w:abstractNumId w:val="95"/>
  </w:num>
  <w:num w:numId="136">
    <w:abstractNumId w:val="79"/>
  </w:num>
  <w:num w:numId="137">
    <w:abstractNumId w:val="97"/>
  </w:num>
  <w:num w:numId="138">
    <w:abstractNumId w:val="128"/>
  </w:num>
  <w:num w:numId="139">
    <w:abstractNumId w:val="75"/>
  </w:num>
  <w:num w:numId="140">
    <w:abstractNumId w:val="78"/>
  </w:num>
  <w:num w:numId="141">
    <w:abstractNumId w:val="27"/>
  </w:num>
  <w:num w:numId="142">
    <w:abstractNumId w:val="138"/>
  </w:num>
  <w:num w:numId="143">
    <w:abstractNumId w:val="121"/>
  </w:num>
  <w:num w:numId="144">
    <w:abstractNumId w:val="6"/>
  </w:num>
  <w:num w:numId="145">
    <w:abstractNumId w:val="131"/>
  </w:num>
  <w:num w:numId="146">
    <w:abstractNumId w:val="103"/>
  </w:num>
  <w:num w:numId="147">
    <w:abstractNumId w:val="105"/>
  </w:num>
  <w:num w:numId="148">
    <w:abstractNumId w:val="22"/>
  </w:num>
  <w:num w:numId="149">
    <w:abstractNumId w:val="98"/>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2B"/>
    <w:rsid w:val="000023A6"/>
    <w:rsid w:val="00003C62"/>
    <w:rsid w:val="000053E2"/>
    <w:rsid w:val="000064A7"/>
    <w:rsid w:val="00007381"/>
    <w:rsid w:val="000105AC"/>
    <w:rsid w:val="000112AA"/>
    <w:rsid w:val="00013792"/>
    <w:rsid w:val="000159BF"/>
    <w:rsid w:val="00016C82"/>
    <w:rsid w:val="0002034A"/>
    <w:rsid w:val="00020358"/>
    <w:rsid w:val="00020C46"/>
    <w:rsid w:val="000214BA"/>
    <w:rsid w:val="00022CC1"/>
    <w:rsid w:val="00022F75"/>
    <w:rsid w:val="00023EF9"/>
    <w:rsid w:val="000244EB"/>
    <w:rsid w:val="00026097"/>
    <w:rsid w:val="000301A1"/>
    <w:rsid w:val="000308BF"/>
    <w:rsid w:val="00031E5B"/>
    <w:rsid w:val="000335DC"/>
    <w:rsid w:val="00034516"/>
    <w:rsid w:val="00034F32"/>
    <w:rsid w:val="00036CD7"/>
    <w:rsid w:val="00037782"/>
    <w:rsid w:val="000379DD"/>
    <w:rsid w:val="000404A6"/>
    <w:rsid w:val="00040D0F"/>
    <w:rsid w:val="00047F64"/>
    <w:rsid w:val="00050F18"/>
    <w:rsid w:val="00051387"/>
    <w:rsid w:val="00051568"/>
    <w:rsid w:val="000531C0"/>
    <w:rsid w:val="00057E1F"/>
    <w:rsid w:val="00061AAB"/>
    <w:rsid w:val="00062FFC"/>
    <w:rsid w:val="00064E18"/>
    <w:rsid w:val="00065D58"/>
    <w:rsid w:val="0006675B"/>
    <w:rsid w:val="00066AAA"/>
    <w:rsid w:val="000704FD"/>
    <w:rsid w:val="00070C61"/>
    <w:rsid w:val="0007154A"/>
    <w:rsid w:val="00071693"/>
    <w:rsid w:val="000734E2"/>
    <w:rsid w:val="00073A25"/>
    <w:rsid w:val="00074C09"/>
    <w:rsid w:val="00075D36"/>
    <w:rsid w:val="000805F0"/>
    <w:rsid w:val="000807F3"/>
    <w:rsid w:val="00085324"/>
    <w:rsid w:val="000866DE"/>
    <w:rsid w:val="00086DC6"/>
    <w:rsid w:val="000874EB"/>
    <w:rsid w:val="0009182D"/>
    <w:rsid w:val="00091DD1"/>
    <w:rsid w:val="00092BD6"/>
    <w:rsid w:val="00093677"/>
    <w:rsid w:val="0009515E"/>
    <w:rsid w:val="00095CE2"/>
    <w:rsid w:val="000976F6"/>
    <w:rsid w:val="000A00EB"/>
    <w:rsid w:val="000A06C1"/>
    <w:rsid w:val="000A36AD"/>
    <w:rsid w:val="000A598F"/>
    <w:rsid w:val="000A5BAF"/>
    <w:rsid w:val="000A6C36"/>
    <w:rsid w:val="000A7EEC"/>
    <w:rsid w:val="000B272B"/>
    <w:rsid w:val="000B49C8"/>
    <w:rsid w:val="000B61CF"/>
    <w:rsid w:val="000B6D99"/>
    <w:rsid w:val="000C321B"/>
    <w:rsid w:val="000C3F18"/>
    <w:rsid w:val="000C5AC9"/>
    <w:rsid w:val="000C7326"/>
    <w:rsid w:val="000C7BDD"/>
    <w:rsid w:val="000D56FF"/>
    <w:rsid w:val="000D5DE1"/>
    <w:rsid w:val="000D5E57"/>
    <w:rsid w:val="000D7BBE"/>
    <w:rsid w:val="000E0350"/>
    <w:rsid w:val="000E20B6"/>
    <w:rsid w:val="000E2118"/>
    <w:rsid w:val="000E21CF"/>
    <w:rsid w:val="000E54DC"/>
    <w:rsid w:val="000E5B90"/>
    <w:rsid w:val="000E7528"/>
    <w:rsid w:val="000F05DC"/>
    <w:rsid w:val="000F0D72"/>
    <w:rsid w:val="000F10B8"/>
    <w:rsid w:val="000F54E6"/>
    <w:rsid w:val="000F5D06"/>
    <w:rsid w:val="000F7450"/>
    <w:rsid w:val="00102BBE"/>
    <w:rsid w:val="00107B42"/>
    <w:rsid w:val="00114515"/>
    <w:rsid w:val="0011538D"/>
    <w:rsid w:val="00115986"/>
    <w:rsid w:val="00116BA5"/>
    <w:rsid w:val="00117B36"/>
    <w:rsid w:val="0012190B"/>
    <w:rsid w:val="00122DAE"/>
    <w:rsid w:val="00124F3E"/>
    <w:rsid w:val="001305A6"/>
    <w:rsid w:val="00135558"/>
    <w:rsid w:val="001362A3"/>
    <w:rsid w:val="001366F5"/>
    <w:rsid w:val="0013698F"/>
    <w:rsid w:val="0014095A"/>
    <w:rsid w:val="00141007"/>
    <w:rsid w:val="00144D77"/>
    <w:rsid w:val="00145574"/>
    <w:rsid w:val="001466C7"/>
    <w:rsid w:val="0015053D"/>
    <w:rsid w:val="001512FC"/>
    <w:rsid w:val="00152DAD"/>
    <w:rsid w:val="00153268"/>
    <w:rsid w:val="001553B8"/>
    <w:rsid w:val="00157579"/>
    <w:rsid w:val="0015776D"/>
    <w:rsid w:val="00160664"/>
    <w:rsid w:val="00165329"/>
    <w:rsid w:val="001655E0"/>
    <w:rsid w:val="00165962"/>
    <w:rsid w:val="001711C8"/>
    <w:rsid w:val="00172807"/>
    <w:rsid w:val="00174293"/>
    <w:rsid w:val="00177179"/>
    <w:rsid w:val="0018005C"/>
    <w:rsid w:val="0018136F"/>
    <w:rsid w:val="001824BE"/>
    <w:rsid w:val="00184694"/>
    <w:rsid w:val="001873AF"/>
    <w:rsid w:val="00192D8D"/>
    <w:rsid w:val="001930FC"/>
    <w:rsid w:val="00193521"/>
    <w:rsid w:val="00194076"/>
    <w:rsid w:val="00197509"/>
    <w:rsid w:val="001A0C69"/>
    <w:rsid w:val="001A1618"/>
    <w:rsid w:val="001A335C"/>
    <w:rsid w:val="001A6C14"/>
    <w:rsid w:val="001A79C5"/>
    <w:rsid w:val="001A7D90"/>
    <w:rsid w:val="001B1C95"/>
    <w:rsid w:val="001B1D87"/>
    <w:rsid w:val="001B4997"/>
    <w:rsid w:val="001B5F7F"/>
    <w:rsid w:val="001B7237"/>
    <w:rsid w:val="001C089A"/>
    <w:rsid w:val="001C17FD"/>
    <w:rsid w:val="001C3F25"/>
    <w:rsid w:val="001C45FF"/>
    <w:rsid w:val="001C6B85"/>
    <w:rsid w:val="001D3278"/>
    <w:rsid w:val="001D40D3"/>
    <w:rsid w:val="001D56AE"/>
    <w:rsid w:val="001D66F4"/>
    <w:rsid w:val="001D710C"/>
    <w:rsid w:val="001E020C"/>
    <w:rsid w:val="001E0396"/>
    <w:rsid w:val="001E15E6"/>
    <w:rsid w:val="001E1F40"/>
    <w:rsid w:val="001E3000"/>
    <w:rsid w:val="001E344D"/>
    <w:rsid w:val="001E666A"/>
    <w:rsid w:val="001E6D06"/>
    <w:rsid w:val="001E6FCB"/>
    <w:rsid w:val="001E77F4"/>
    <w:rsid w:val="001F1686"/>
    <w:rsid w:val="001F2781"/>
    <w:rsid w:val="001F461F"/>
    <w:rsid w:val="001F545E"/>
    <w:rsid w:val="00200599"/>
    <w:rsid w:val="00201FA1"/>
    <w:rsid w:val="00203574"/>
    <w:rsid w:val="00205D44"/>
    <w:rsid w:val="002070A8"/>
    <w:rsid w:val="00211E22"/>
    <w:rsid w:val="00212D59"/>
    <w:rsid w:val="002135D8"/>
    <w:rsid w:val="00214D86"/>
    <w:rsid w:val="0021646A"/>
    <w:rsid w:val="00221136"/>
    <w:rsid w:val="002222EB"/>
    <w:rsid w:val="00222A53"/>
    <w:rsid w:val="00225E1A"/>
    <w:rsid w:val="00227433"/>
    <w:rsid w:val="00231F0C"/>
    <w:rsid w:val="00232983"/>
    <w:rsid w:val="00233AFE"/>
    <w:rsid w:val="00235528"/>
    <w:rsid w:val="00235CC3"/>
    <w:rsid w:val="00237A20"/>
    <w:rsid w:val="0024007A"/>
    <w:rsid w:val="00240353"/>
    <w:rsid w:val="00242641"/>
    <w:rsid w:val="00242B5C"/>
    <w:rsid w:val="00242CF4"/>
    <w:rsid w:val="00242ECB"/>
    <w:rsid w:val="00243E44"/>
    <w:rsid w:val="002449AE"/>
    <w:rsid w:val="00246DCF"/>
    <w:rsid w:val="00247774"/>
    <w:rsid w:val="00250AB1"/>
    <w:rsid w:val="00251DBB"/>
    <w:rsid w:val="002520E0"/>
    <w:rsid w:val="00254A4B"/>
    <w:rsid w:val="002554E8"/>
    <w:rsid w:val="002604CD"/>
    <w:rsid w:val="00260B82"/>
    <w:rsid w:val="00260C5D"/>
    <w:rsid w:val="00261BA0"/>
    <w:rsid w:val="00264C9E"/>
    <w:rsid w:val="00264DE2"/>
    <w:rsid w:val="0026702D"/>
    <w:rsid w:val="00270742"/>
    <w:rsid w:val="00273ED7"/>
    <w:rsid w:val="00275144"/>
    <w:rsid w:val="002754BF"/>
    <w:rsid w:val="0027793F"/>
    <w:rsid w:val="00280C5C"/>
    <w:rsid w:val="00282040"/>
    <w:rsid w:val="00283585"/>
    <w:rsid w:val="00283E22"/>
    <w:rsid w:val="002857DE"/>
    <w:rsid w:val="00286C41"/>
    <w:rsid w:val="00291056"/>
    <w:rsid w:val="0029159F"/>
    <w:rsid w:val="0029162A"/>
    <w:rsid w:val="0029297B"/>
    <w:rsid w:val="00295450"/>
    <w:rsid w:val="002973B4"/>
    <w:rsid w:val="002A128E"/>
    <w:rsid w:val="002A2EF4"/>
    <w:rsid w:val="002A4ED2"/>
    <w:rsid w:val="002A5244"/>
    <w:rsid w:val="002A6190"/>
    <w:rsid w:val="002A638A"/>
    <w:rsid w:val="002A7F3C"/>
    <w:rsid w:val="002B02FE"/>
    <w:rsid w:val="002B1A4B"/>
    <w:rsid w:val="002B4174"/>
    <w:rsid w:val="002B634F"/>
    <w:rsid w:val="002C0D35"/>
    <w:rsid w:val="002C17AA"/>
    <w:rsid w:val="002C1D47"/>
    <w:rsid w:val="002C3E71"/>
    <w:rsid w:val="002C5191"/>
    <w:rsid w:val="002C64EC"/>
    <w:rsid w:val="002D25FB"/>
    <w:rsid w:val="002D2F5F"/>
    <w:rsid w:val="002D4C29"/>
    <w:rsid w:val="002D5ADE"/>
    <w:rsid w:val="002D6C32"/>
    <w:rsid w:val="002E0C13"/>
    <w:rsid w:val="002E11CC"/>
    <w:rsid w:val="002E27B8"/>
    <w:rsid w:val="002E3288"/>
    <w:rsid w:val="002E57BB"/>
    <w:rsid w:val="002E73CB"/>
    <w:rsid w:val="002E7D6C"/>
    <w:rsid w:val="002F051F"/>
    <w:rsid w:val="002F6F07"/>
    <w:rsid w:val="002F78A9"/>
    <w:rsid w:val="002F7D19"/>
    <w:rsid w:val="00301622"/>
    <w:rsid w:val="003039CE"/>
    <w:rsid w:val="00305874"/>
    <w:rsid w:val="00305CA5"/>
    <w:rsid w:val="00306BD9"/>
    <w:rsid w:val="00310407"/>
    <w:rsid w:val="0031080E"/>
    <w:rsid w:val="00311B68"/>
    <w:rsid w:val="0031234F"/>
    <w:rsid w:val="003123B9"/>
    <w:rsid w:val="00312956"/>
    <w:rsid w:val="003149DA"/>
    <w:rsid w:val="00316217"/>
    <w:rsid w:val="003171E2"/>
    <w:rsid w:val="003172CA"/>
    <w:rsid w:val="00320405"/>
    <w:rsid w:val="00320502"/>
    <w:rsid w:val="003208E6"/>
    <w:rsid w:val="00321601"/>
    <w:rsid w:val="00322DE3"/>
    <w:rsid w:val="003231D5"/>
    <w:rsid w:val="00323645"/>
    <w:rsid w:val="00323CBA"/>
    <w:rsid w:val="00324DE2"/>
    <w:rsid w:val="0032555A"/>
    <w:rsid w:val="00325879"/>
    <w:rsid w:val="00326227"/>
    <w:rsid w:val="003268D3"/>
    <w:rsid w:val="00327537"/>
    <w:rsid w:val="00327E9A"/>
    <w:rsid w:val="0033004A"/>
    <w:rsid w:val="003318F5"/>
    <w:rsid w:val="003328CA"/>
    <w:rsid w:val="00333409"/>
    <w:rsid w:val="003339A9"/>
    <w:rsid w:val="00337CDA"/>
    <w:rsid w:val="003415C1"/>
    <w:rsid w:val="003420F8"/>
    <w:rsid w:val="00343935"/>
    <w:rsid w:val="00344D89"/>
    <w:rsid w:val="003457E0"/>
    <w:rsid w:val="003504CA"/>
    <w:rsid w:val="003539D7"/>
    <w:rsid w:val="0036320C"/>
    <w:rsid w:val="0036540D"/>
    <w:rsid w:val="00371C45"/>
    <w:rsid w:val="00372829"/>
    <w:rsid w:val="00373138"/>
    <w:rsid w:val="003731C3"/>
    <w:rsid w:val="00373E3D"/>
    <w:rsid w:val="00373FA7"/>
    <w:rsid w:val="00374770"/>
    <w:rsid w:val="00377091"/>
    <w:rsid w:val="00377492"/>
    <w:rsid w:val="00381A7E"/>
    <w:rsid w:val="00382325"/>
    <w:rsid w:val="00385579"/>
    <w:rsid w:val="003858A7"/>
    <w:rsid w:val="0039046C"/>
    <w:rsid w:val="00390F27"/>
    <w:rsid w:val="00394735"/>
    <w:rsid w:val="00396B06"/>
    <w:rsid w:val="00396E15"/>
    <w:rsid w:val="003A0E36"/>
    <w:rsid w:val="003A27DF"/>
    <w:rsid w:val="003A2EC2"/>
    <w:rsid w:val="003A37D2"/>
    <w:rsid w:val="003A3C44"/>
    <w:rsid w:val="003A45E7"/>
    <w:rsid w:val="003A4947"/>
    <w:rsid w:val="003A4E15"/>
    <w:rsid w:val="003A6BFD"/>
    <w:rsid w:val="003A6E44"/>
    <w:rsid w:val="003A73F3"/>
    <w:rsid w:val="003B1200"/>
    <w:rsid w:val="003B2131"/>
    <w:rsid w:val="003B2C93"/>
    <w:rsid w:val="003B6B09"/>
    <w:rsid w:val="003B7110"/>
    <w:rsid w:val="003C09CC"/>
    <w:rsid w:val="003C10A1"/>
    <w:rsid w:val="003C150A"/>
    <w:rsid w:val="003C248F"/>
    <w:rsid w:val="003C7722"/>
    <w:rsid w:val="003D199B"/>
    <w:rsid w:val="003D37C1"/>
    <w:rsid w:val="003D49DC"/>
    <w:rsid w:val="003D78F3"/>
    <w:rsid w:val="003E2AA7"/>
    <w:rsid w:val="003E3569"/>
    <w:rsid w:val="003E444B"/>
    <w:rsid w:val="003E44AD"/>
    <w:rsid w:val="003E5EA1"/>
    <w:rsid w:val="003F6B47"/>
    <w:rsid w:val="00403483"/>
    <w:rsid w:val="00404703"/>
    <w:rsid w:val="00405C7B"/>
    <w:rsid w:val="00407BDB"/>
    <w:rsid w:val="004117A7"/>
    <w:rsid w:val="004120F8"/>
    <w:rsid w:val="00415253"/>
    <w:rsid w:val="0041769D"/>
    <w:rsid w:val="00420197"/>
    <w:rsid w:val="00421521"/>
    <w:rsid w:val="00422DD9"/>
    <w:rsid w:val="004230E5"/>
    <w:rsid w:val="004231E7"/>
    <w:rsid w:val="004237F9"/>
    <w:rsid w:val="00424B14"/>
    <w:rsid w:val="00424F05"/>
    <w:rsid w:val="00427333"/>
    <w:rsid w:val="00427EFE"/>
    <w:rsid w:val="00427FA6"/>
    <w:rsid w:val="00430DE8"/>
    <w:rsid w:val="004317F3"/>
    <w:rsid w:val="00432176"/>
    <w:rsid w:val="00433A78"/>
    <w:rsid w:val="004377CE"/>
    <w:rsid w:val="00441046"/>
    <w:rsid w:val="00441803"/>
    <w:rsid w:val="0044493B"/>
    <w:rsid w:val="004467F1"/>
    <w:rsid w:val="00446A12"/>
    <w:rsid w:val="004477CB"/>
    <w:rsid w:val="00450253"/>
    <w:rsid w:val="00450627"/>
    <w:rsid w:val="00452727"/>
    <w:rsid w:val="0045276D"/>
    <w:rsid w:val="00462F95"/>
    <w:rsid w:val="00463988"/>
    <w:rsid w:val="00465379"/>
    <w:rsid w:val="004655E7"/>
    <w:rsid w:val="00465F14"/>
    <w:rsid w:val="004666F0"/>
    <w:rsid w:val="004669F8"/>
    <w:rsid w:val="00470A25"/>
    <w:rsid w:val="004726BF"/>
    <w:rsid w:val="0047357B"/>
    <w:rsid w:val="00474A01"/>
    <w:rsid w:val="00476D9D"/>
    <w:rsid w:val="00480CA3"/>
    <w:rsid w:val="00482377"/>
    <w:rsid w:val="00483ED2"/>
    <w:rsid w:val="00484A95"/>
    <w:rsid w:val="00487543"/>
    <w:rsid w:val="00493B7B"/>
    <w:rsid w:val="00494373"/>
    <w:rsid w:val="00494DC6"/>
    <w:rsid w:val="004A3D74"/>
    <w:rsid w:val="004A41D8"/>
    <w:rsid w:val="004A74C5"/>
    <w:rsid w:val="004A776F"/>
    <w:rsid w:val="004B1883"/>
    <w:rsid w:val="004B21CE"/>
    <w:rsid w:val="004B34C3"/>
    <w:rsid w:val="004B51AA"/>
    <w:rsid w:val="004B5A13"/>
    <w:rsid w:val="004B5A61"/>
    <w:rsid w:val="004B6014"/>
    <w:rsid w:val="004B6D8D"/>
    <w:rsid w:val="004B6E38"/>
    <w:rsid w:val="004B7048"/>
    <w:rsid w:val="004B711E"/>
    <w:rsid w:val="004C1A4B"/>
    <w:rsid w:val="004C1DB1"/>
    <w:rsid w:val="004C31D7"/>
    <w:rsid w:val="004C38C2"/>
    <w:rsid w:val="004C45B3"/>
    <w:rsid w:val="004C568D"/>
    <w:rsid w:val="004C596D"/>
    <w:rsid w:val="004C5BE0"/>
    <w:rsid w:val="004C74A0"/>
    <w:rsid w:val="004D1B73"/>
    <w:rsid w:val="004D20B5"/>
    <w:rsid w:val="004D2E82"/>
    <w:rsid w:val="004E0810"/>
    <w:rsid w:val="004E4749"/>
    <w:rsid w:val="004F1363"/>
    <w:rsid w:val="004F407E"/>
    <w:rsid w:val="004F5E94"/>
    <w:rsid w:val="004F5FD4"/>
    <w:rsid w:val="004F6427"/>
    <w:rsid w:val="004F67D0"/>
    <w:rsid w:val="0050091B"/>
    <w:rsid w:val="00502EA7"/>
    <w:rsid w:val="00503E0B"/>
    <w:rsid w:val="00504433"/>
    <w:rsid w:val="0050445A"/>
    <w:rsid w:val="0050686E"/>
    <w:rsid w:val="0050723E"/>
    <w:rsid w:val="0050748E"/>
    <w:rsid w:val="005103C4"/>
    <w:rsid w:val="00511BB9"/>
    <w:rsid w:val="00511E66"/>
    <w:rsid w:val="00515B77"/>
    <w:rsid w:val="00515DDB"/>
    <w:rsid w:val="00516845"/>
    <w:rsid w:val="00516F22"/>
    <w:rsid w:val="00517A76"/>
    <w:rsid w:val="00517BD2"/>
    <w:rsid w:val="00521E71"/>
    <w:rsid w:val="00524DF7"/>
    <w:rsid w:val="00525C11"/>
    <w:rsid w:val="00527506"/>
    <w:rsid w:val="005275D2"/>
    <w:rsid w:val="00530463"/>
    <w:rsid w:val="00537BA0"/>
    <w:rsid w:val="00540309"/>
    <w:rsid w:val="0054030F"/>
    <w:rsid w:val="00542E63"/>
    <w:rsid w:val="00544FB3"/>
    <w:rsid w:val="005455D1"/>
    <w:rsid w:val="005508A9"/>
    <w:rsid w:val="00551073"/>
    <w:rsid w:val="00551EB9"/>
    <w:rsid w:val="005524C3"/>
    <w:rsid w:val="00552D6B"/>
    <w:rsid w:val="00555447"/>
    <w:rsid w:val="00555FA7"/>
    <w:rsid w:val="00557616"/>
    <w:rsid w:val="00564ED1"/>
    <w:rsid w:val="00565518"/>
    <w:rsid w:val="00566F70"/>
    <w:rsid w:val="0056775D"/>
    <w:rsid w:val="00570DCE"/>
    <w:rsid w:val="0057150C"/>
    <w:rsid w:val="005715E6"/>
    <w:rsid w:val="00572681"/>
    <w:rsid w:val="005734CE"/>
    <w:rsid w:val="00575AD7"/>
    <w:rsid w:val="0058209C"/>
    <w:rsid w:val="0058254C"/>
    <w:rsid w:val="00582D44"/>
    <w:rsid w:val="00582FFB"/>
    <w:rsid w:val="00583DFD"/>
    <w:rsid w:val="005865C8"/>
    <w:rsid w:val="0058696B"/>
    <w:rsid w:val="005869A8"/>
    <w:rsid w:val="005905A2"/>
    <w:rsid w:val="0059253D"/>
    <w:rsid w:val="00593155"/>
    <w:rsid w:val="005957CE"/>
    <w:rsid w:val="00595B0D"/>
    <w:rsid w:val="005968FF"/>
    <w:rsid w:val="00596F27"/>
    <w:rsid w:val="00597257"/>
    <w:rsid w:val="005977F1"/>
    <w:rsid w:val="00597BEE"/>
    <w:rsid w:val="005A01E3"/>
    <w:rsid w:val="005A0726"/>
    <w:rsid w:val="005A1A5A"/>
    <w:rsid w:val="005A5066"/>
    <w:rsid w:val="005A5E11"/>
    <w:rsid w:val="005A6B78"/>
    <w:rsid w:val="005B449A"/>
    <w:rsid w:val="005B6003"/>
    <w:rsid w:val="005C111F"/>
    <w:rsid w:val="005C3078"/>
    <w:rsid w:val="005C4888"/>
    <w:rsid w:val="005C48D5"/>
    <w:rsid w:val="005C732B"/>
    <w:rsid w:val="005D0344"/>
    <w:rsid w:val="005D0F5F"/>
    <w:rsid w:val="005D24EA"/>
    <w:rsid w:val="005D4545"/>
    <w:rsid w:val="005D45B6"/>
    <w:rsid w:val="005D470C"/>
    <w:rsid w:val="005D5BF2"/>
    <w:rsid w:val="005D6677"/>
    <w:rsid w:val="005D7249"/>
    <w:rsid w:val="005E1C46"/>
    <w:rsid w:val="005E20D6"/>
    <w:rsid w:val="005E24DA"/>
    <w:rsid w:val="005E4A54"/>
    <w:rsid w:val="005E4B4F"/>
    <w:rsid w:val="005E5374"/>
    <w:rsid w:val="005E54FA"/>
    <w:rsid w:val="005E666C"/>
    <w:rsid w:val="005E6A82"/>
    <w:rsid w:val="005F0A2E"/>
    <w:rsid w:val="005F221C"/>
    <w:rsid w:val="005F4976"/>
    <w:rsid w:val="005F5427"/>
    <w:rsid w:val="005F543C"/>
    <w:rsid w:val="005F6E2E"/>
    <w:rsid w:val="006007CE"/>
    <w:rsid w:val="00600E92"/>
    <w:rsid w:val="00601829"/>
    <w:rsid w:val="00603666"/>
    <w:rsid w:val="0060450F"/>
    <w:rsid w:val="006051E1"/>
    <w:rsid w:val="00605F2C"/>
    <w:rsid w:val="006062A2"/>
    <w:rsid w:val="00606535"/>
    <w:rsid w:val="0061064D"/>
    <w:rsid w:val="0061093E"/>
    <w:rsid w:val="00612AD0"/>
    <w:rsid w:val="00615DCC"/>
    <w:rsid w:val="006162F4"/>
    <w:rsid w:val="0062030D"/>
    <w:rsid w:val="00620AC6"/>
    <w:rsid w:val="006229FF"/>
    <w:rsid w:val="00622A6D"/>
    <w:rsid w:val="006233C6"/>
    <w:rsid w:val="00623DC5"/>
    <w:rsid w:val="00626163"/>
    <w:rsid w:val="0063122F"/>
    <w:rsid w:val="00632582"/>
    <w:rsid w:val="006325A0"/>
    <w:rsid w:val="00634120"/>
    <w:rsid w:val="00634AA1"/>
    <w:rsid w:val="00635733"/>
    <w:rsid w:val="00636398"/>
    <w:rsid w:val="00637935"/>
    <w:rsid w:val="006406AB"/>
    <w:rsid w:val="006407D0"/>
    <w:rsid w:val="00640A2D"/>
    <w:rsid w:val="00643108"/>
    <w:rsid w:val="006469D1"/>
    <w:rsid w:val="00647F1D"/>
    <w:rsid w:val="00652C18"/>
    <w:rsid w:val="006544DC"/>
    <w:rsid w:val="00656511"/>
    <w:rsid w:val="006570C8"/>
    <w:rsid w:val="006636D3"/>
    <w:rsid w:val="00664330"/>
    <w:rsid w:val="0066442B"/>
    <w:rsid w:val="006654F4"/>
    <w:rsid w:val="00666530"/>
    <w:rsid w:val="00666E25"/>
    <w:rsid w:val="00671001"/>
    <w:rsid w:val="00680E5B"/>
    <w:rsid w:val="00683584"/>
    <w:rsid w:val="00684093"/>
    <w:rsid w:val="0069185E"/>
    <w:rsid w:val="006920C7"/>
    <w:rsid w:val="00693B49"/>
    <w:rsid w:val="0069597A"/>
    <w:rsid w:val="00695B7E"/>
    <w:rsid w:val="00697416"/>
    <w:rsid w:val="006A0113"/>
    <w:rsid w:val="006A0C7F"/>
    <w:rsid w:val="006A406E"/>
    <w:rsid w:val="006A5400"/>
    <w:rsid w:val="006A5A20"/>
    <w:rsid w:val="006A5FE9"/>
    <w:rsid w:val="006A7074"/>
    <w:rsid w:val="006A7419"/>
    <w:rsid w:val="006A7625"/>
    <w:rsid w:val="006B0C43"/>
    <w:rsid w:val="006B6799"/>
    <w:rsid w:val="006B6F69"/>
    <w:rsid w:val="006B7F6E"/>
    <w:rsid w:val="006C0150"/>
    <w:rsid w:val="006C0265"/>
    <w:rsid w:val="006C2B94"/>
    <w:rsid w:val="006C494D"/>
    <w:rsid w:val="006C6A24"/>
    <w:rsid w:val="006D1377"/>
    <w:rsid w:val="006D1933"/>
    <w:rsid w:val="006D2173"/>
    <w:rsid w:val="006D4D05"/>
    <w:rsid w:val="006D5307"/>
    <w:rsid w:val="006D6675"/>
    <w:rsid w:val="006D7FA1"/>
    <w:rsid w:val="006E04EB"/>
    <w:rsid w:val="006E05E1"/>
    <w:rsid w:val="006E0CDD"/>
    <w:rsid w:val="006E1EC3"/>
    <w:rsid w:val="006E34B8"/>
    <w:rsid w:val="006E45F1"/>
    <w:rsid w:val="006E6565"/>
    <w:rsid w:val="006E7DE5"/>
    <w:rsid w:val="006E7F73"/>
    <w:rsid w:val="006E7F77"/>
    <w:rsid w:val="006F11D6"/>
    <w:rsid w:val="006F17D3"/>
    <w:rsid w:val="006F3825"/>
    <w:rsid w:val="006F59B3"/>
    <w:rsid w:val="006F720B"/>
    <w:rsid w:val="006F792D"/>
    <w:rsid w:val="0070039E"/>
    <w:rsid w:val="00702485"/>
    <w:rsid w:val="007038B8"/>
    <w:rsid w:val="00707160"/>
    <w:rsid w:val="00710975"/>
    <w:rsid w:val="0071113D"/>
    <w:rsid w:val="00711F68"/>
    <w:rsid w:val="00712256"/>
    <w:rsid w:val="007133C7"/>
    <w:rsid w:val="007143E9"/>
    <w:rsid w:val="0072192C"/>
    <w:rsid w:val="00722B8D"/>
    <w:rsid w:val="00723C67"/>
    <w:rsid w:val="00724351"/>
    <w:rsid w:val="007254C2"/>
    <w:rsid w:val="00726746"/>
    <w:rsid w:val="00726B6D"/>
    <w:rsid w:val="007300F2"/>
    <w:rsid w:val="00733388"/>
    <w:rsid w:val="00733738"/>
    <w:rsid w:val="007359A3"/>
    <w:rsid w:val="00736570"/>
    <w:rsid w:val="00740221"/>
    <w:rsid w:val="00741E9D"/>
    <w:rsid w:val="007435ED"/>
    <w:rsid w:val="0074465C"/>
    <w:rsid w:val="007448C5"/>
    <w:rsid w:val="00746756"/>
    <w:rsid w:val="00746D52"/>
    <w:rsid w:val="00747380"/>
    <w:rsid w:val="007529DB"/>
    <w:rsid w:val="00753D54"/>
    <w:rsid w:val="00753F79"/>
    <w:rsid w:val="007545B4"/>
    <w:rsid w:val="00756E92"/>
    <w:rsid w:val="007577C6"/>
    <w:rsid w:val="00764ED0"/>
    <w:rsid w:val="00765191"/>
    <w:rsid w:val="0076556A"/>
    <w:rsid w:val="00772057"/>
    <w:rsid w:val="00773469"/>
    <w:rsid w:val="00774531"/>
    <w:rsid w:val="00774E62"/>
    <w:rsid w:val="007751F9"/>
    <w:rsid w:val="00782892"/>
    <w:rsid w:val="0078363E"/>
    <w:rsid w:val="00783981"/>
    <w:rsid w:val="00785EA9"/>
    <w:rsid w:val="00787523"/>
    <w:rsid w:val="00787761"/>
    <w:rsid w:val="00790BE2"/>
    <w:rsid w:val="00791D2E"/>
    <w:rsid w:val="007A0414"/>
    <w:rsid w:val="007A18E2"/>
    <w:rsid w:val="007A2916"/>
    <w:rsid w:val="007A470B"/>
    <w:rsid w:val="007A4CB2"/>
    <w:rsid w:val="007A66C7"/>
    <w:rsid w:val="007A77F1"/>
    <w:rsid w:val="007A7B9F"/>
    <w:rsid w:val="007B1CA8"/>
    <w:rsid w:val="007B3E96"/>
    <w:rsid w:val="007C32E0"/>
    <w:rsid w:val="007C35F9"/>
    <w:rsid w:val="007C6E0F"/>
    <w:rsid w:val="007C7D1C"/>
    <w:rsid w:val="007D0B52"/>
    <w:rsid w:val="007D16C1"/>
    <w:rsid w:val="007D1F4E"/>
    <w:rsid w:val="007D5220"/>
    <w:rsid w:val="007D6CCE"/>
    <w:rsid w:val="007D7064"/>
    <w:rsid w:val="007D7870"/>
    <w:rsid w:val="007D7CA5"/>
    <w:rsid w:val="007E3C99"/>
    <w:rsid w:val="007E62EB"/>
    <w:rsid w:val="007E6692"/>
    <w:rsid w:val="007E7562"/>
    <w:rsid w:val="007F06AE"/>
    <w:rsid w:val="007F241E"/>
    <w:rsid w:val="007F3108"/>
    <w:rsid w:val="007F374C"/>
    <w:rsid w:val="007F5C4F"/>
    <w:rsid w:val="007F61B5"/>
    <w:rsid w:val="007F698A"/>
    <w:rsid w:val="007F750D"/>
    <w:rsid w:val="008005CF"/>
    <w:rsid w:val="00800FE4"/>
    <w:rsid w:val="008036C0"/>
    <w:rsid w:val="008059B9"/>
    <w:rsid w:val="00811A8E"/>
    <w:rsid w:val="008133E2"/>
    <w:rsid w:val="0081412F"/>
    <w:rsid w:val="008144FE"/>
    <w:rsid w:val="00814EB0"/>
    <w:rsid w:val="00823A86"/>
    <w:rsid w:val="00823A9E"/>
    <w:rsid w:val="00823C2A"/>
    <w:rsid w:val="00824A59"/>
    <w:rsid w:val="00824C2A"/>
    <w:rsid w:val="00825173"/>
    <w:rsid w:val="008272FF"/>
    <w:rsid w:val="008275B5"/>
    <w:rsid w:val="00833E29"/>
    <w:rsid w:val="00834A1F"/>
    <w:rsid w:val="00834B18"/>
    <w:rsid w:val="008352F6"/>
    <w:rsid w:val="00836FAF"/>
    <w:rsid w:val="008401DC"/>
    <w:rsid w:val="00840611"/>
    <w:rsid w:val="00841DF9"/>
    <w:rsid w:val="00841F7C"/>
    <w:rsid w:val="00842690"/>
    <w:rsid w:val="008462F8"/>
    <w:rsid w:val="00854175"/>
    <w:rsid w:val="00854860"/>
    <w:rsid w:val="00856459"/>
    <w:rsid w:val="00862219"/>
    <w:rsid w:val="0086722D"/>
    <w:rsid w:val="00867EF5"/>
    <w:rsid w:val="00871879"/>
    <w:rsid w:val="008727E9"/>
    <w:rsid w:val="00873D27"/>
    <w:rsid w:val="0087445E"/>
    <w:rsid w:val="008752D5"/>
    <w:rsid w:val="0088124C"/>
    <w:rsid w:val="00882C99"/>
    <w:rsid w:val="0088408F"/>
    <w:rsid w:val="00884108"/>
    <w:rsid w:val="008847DD"/>
    <w:rsid w:val="0088493A"/>
    <w:rsid w:val="00886D33"/>
    <w:rsid w:val="008A05BE"/>
    <w:rsid w:val="008A0704"/>
    <w:rsid w:val="008A1C56"/>
    <w:rsid w:val="008A425F"/>
    <w:rsid w:val="008A579B"/>
    <w:rsid w:val="008B0316"/>
    <w:rsid w:val="008B45A2"/>
    <w:rsid w:val="008B5EBD"/>
    <w:rsid w:val="008C04AE"/>
    <w:rsid w:val="008C1F5C"/>
    <w:rsid w:val="008C2379"/>
    <w:rsid w:val="008C2D6F"/>
    <w:rsid w:val="008C4584"/>
    <w:rsid w:val="008C613B"/>
    <w:rsid w:val="008C6947"/>
    <w:rsid w:val="008C6DC8"/>
    <w:rsid w:val="008D04F1"/>
    <w:rsid w:val="008D0BA6"/>
    <w:rsid w:val="008D11A7"/>
    <w:rsid w:val="008D2ADD"/>
    <w:rsid w:val="008E046E"/>
    <w:rsid w:val="008E1594"/>
    <w:rsid w:val="008E2502"/>
    <w:rsid w:val="008E3F0B"/>
    <w:rsid w:val="008E4065"/>
    <w:rsid w:val="008E5F58"/>
    <w:rsid w:val="008F0A62"/>
    <w:rsid w:val="008F1687"/>
    <w:rsid w:val="008F1A79"/>
    <w:rsid w:val="008F3D0F"/>
    <w:rsid w:val="008F4AD9"/>
    <w:rsid w:val="008F599A"/>
    <w:rsid w:val="008F63FB"/>
    <w:rsid w:val="008F792F"/>
    <w:rsid w:val="00900FE4"/>
    <w:rsid w:val="00901342"/>
    <w:rsid w:val="00904F5E"/>
    <w:rsid w:val="0091241F"/>
    <w:rsid w:val="00922770"/>
    <w:rsid w:val="00923CA0"/>
    <w:rsid w:val="00925166"/>
    <w:rsid w:val="009271EA"/>
    <w:rsid w:val="00934611"/>
    <w:rsid w:val="0093586E"/>
    <w:rsid w:val="00940ED1"/>
    <w:rsid w:val="009427E5"/>
    <w:rsid w:val="0094613B"/>
    <w:rsid w:val="00947116"/>
    <w:rsid w:val="009524C0"/>
    <w:rsid w:val="0095374F"/>
    <w:rsid w:val="00953A5D"/>
    <w:rsid w:val="00954841"/>
    <w:rsid w:val="00961037"/>
    <w:rsid w:val="0096390A"/>
    <w:rsid w:val="00963A36"/>
    <w:rsid w:val="009660D2"/>
    <w:rsid w:val="0096633F"/>
    <w:rsid w:val="0096655A"/>
    <w:rsid w:val="00967A16"/>
    <w:rsid w:val="00967B6C"/>
    <w:rsid w:val="00967D95"/>
    <w:rsid w:val="00970EAD"/>
    <w:rsid w:val="00976496"/>
    <w:rsid w:val="00977719"/>
    <w:rsid w:val="00980066"/>
    <w:rsid w:val="00980BDF"/>
    <w:rsid w:val="00981384"/>
    <w:rsid w:val="0098343B"/>
    <w:rsid w:val="0098458E"/>
    <w:rsid w:val="00985A84"/>
    <w:rsid w:val="009861EA"/>
    <w:rsid w:val="00992D38"/>
    <w:rsid w:val="00994EBF"/>
    <w:rsid w:val="009968AF"/>
    <w:rsid w:val="0099752C"/>
    <w:rsid w:val="00997997"/>
    <w:rsid w:val="009A1018"/>
    <w:rsid w:val="009A1C10"/>
    <w:rsid w:val="009A28F5"/>
    <w:rsid w:val="009A419C"/>
    <w:rsid w:val="009A4E28"/>
    <w:rsid w:val="009A7253"/>
    <w:rsid w:val="009A72EC"/>
    <w:rsid w:val="009B052E"/>
    <w:rsid w:val="009B2AE6"/>
    <w:rsid w:val="009B3223"/>
    <w:rsid w:val="009B651B"/>
    <w:rsid w:val="009B6592"/>
    <w:rsid w:val="009B7D8C"/>
    <w:rsid w:val="009C0662"/>
    <w:rsid w:val="009C09A4"/>
    <w:rsid w:val="009C36B6"/>
    <w:rsid w:val="009C4E63"/>
    <w:rsid w:val="009C5A8C"/>
    <w:rsid w:val="009C7898"/>
    <w:rsid w:val="009D7A47"/>
    <w:rsid w:val="009D7CE4"/>
    <w:rsid w:val="009E19FA"/>
    <w:rsid w:val="009E37A3"/>
    <w:rsid w:val="009F0C99"/>
    <w:rsid w:val="009F0E7F"/>
    <w:rsid w:val="009F1D77"/>
    <w:rsid w:val="009F3570"/>
    <w:rsid w:val="009F6066"/>
    <w:rsid w:val="009F61F6"/>
    <w:rsid w:val="009F6C51"/>
    <w:rsid w:val="009F79ED"/>
    <w:rsid w:val="009F7DBA"/>
    <w:rsid w:val="00A00D26"/>
    <w:rsid w:val="00A06C16"/>
    <w:rsid w:val="00A11612"/>
    <w:rsid w:val="00A11741"/>
    <w:rsid w:val="00A13D29"/>
    <w:rsid w:val="00A209CA"/>
    <w:rsid w:val="00A2170A"/>
    <w:rsid w:val="00A22AC8"/>
    <w:rsid w:val="00A22D5C"/>
    <w:rsid w:val="00A25ABE"/>
    <w:rsid w:val="00A27694"/>
    <w:rsid w:val="00A306D9"/>
    <w:rsid w:val="00A30F18"/>
    <w:rsid w:val="00A31EE7"/>
    <w:rsid w:val="00A33D59"/>
    <w:rsid w:val="00A35B8C"/>
    <w:rsid w:val="00A36DB8"/>
    <w:rsid w:val="00A37C33"/>
    <w:rsid w:val="00A42A3A"/>
    <w:rsid w:val="00A42D6E"/>
    <w:rsid w:val="00A440FA"/>
    <w:rsid w:val="00A45579"/>
    <w:rsid w:val="00A457DD"/>
    <w:rsid w:val="00A47517"/>
    <w:rsid w:val="00A50C3A"/>
    <w:rsid w:val="00A535C7"/>
    <w:rsid w:val="00A549E6"/>
    <w:rsid w:val="00A55418"/>
    <w:rsid w:val="00A557B0"/>
    <w:rsid w:val="00A57786"/>
    <w:rsid w:val="00A61DC1"/>
    <w:rsid w:val="00A63B30"/>
    <w:rsid w:val="00A6593F"/>
    <w:rsid w:val="00A6652E"/>
    <w:rsid w:val="00A66C2E"/>
    <w:rsid w:val="00A672C6"/>
    <w:rsid w:val="00A67C89"/>
    <w:rsid w:val="00A7628B"/>
    <w:rsid w:val="00A76435"/>
    <w:rsid w:val="00A76F3F"/>
    <w:rsid w:val="00A810AE"/>
    <w:rsid w:val="00A838C8"/>
    <w:rsid w:val="00A84703"/>
    <w:rsid w:val="00A876FB"/>
    <w:rsid w:val="00A90B42"/>
    <w:rsid w:val="00A90D69"/>
    <w:rsid w:val="00A92799"/>
    <w:rsid w:val="00A93C78"/>
    <w:rsid w:val="00A94A46"/>
    <w:rsid w:val="00A95F06"/>
    <w:rsid w:val="00AA02CD"/>
    <w:rsid w:val="00AA0520"/>
    <w:rsid w:val="00AA1E4E"/>
    <w:rsid w:val="00AA434A"/>
    <w:rsid w:val="00AB1167"/>
    <w:rsid w:val="00AB4F03"/>
    <w:rsid w:val="00AC1A14"/>
    <w:rsid w:val="00AC1B2F"/>
    <w:rsid w:val="00AC1BD1"/>
    <w:rsid w:val="00AC28E1"/>
    <w:rsid w:val="00AC3D74"/>
    <w:rsid w:val="00AC6B81"/>
    <w:rsid w:val="00AC7EDF"/>
    <w:rsid w:val="00AD020A"/>
    <w:rsid w:val="00AD0AAB"/>
    <w:rsid w:val="00AD60ED"/>
    <w:rsid w:val="00AD6BA9"/>
    <w:rsid w:val="00AE0799"/>
    <w:rsid w:val="00AE0DA4"/>
    <w:rsid w:val="00AE1606"/>
    <w:rsid w:val="00AE2CB7"/>
    <w:rsid w:val="00AE4EA6"/>
    <w:rsid w:val="00AE6C3E"/>
    <w:rsid w:val="00AE72FB"/>
    <w:rsid w:val="00AF1D2F"/>
    <w:rsid w:val="00AF2BD8"/>
    <w:rsid w:val="00AF402B"/>
    <w:rsid w:val="00AF7D67"/>
    <w:rsid w:val="00B003EC"/>
    <w:rsid w:val="00B004CA"/>
    <w:rsid w:val="00B02C46"/>
    <w:rsid w:val="00B0317E"/>
    <w:rsid w:val="00B0453A"/>
    <w:rsid w:val="00B04F86"/>
    <w:rsid w:val="00B05E33"/>
    <w:rsid w:val="00B06414"/>
    <w:rsid w:val="00B069F6"/>
    <w:rsid w:val="00B10585"/>
    <w:rsid w:val="00B10C20"/>
    <w:rsid w:val="00B10CFA"/>
    <w:rsid w:val="00B16450"/>
    <w:rsid w:val="00B17DDC"/>
    <w:rsid w:val="00B2069E"/>
    <w:rsid w:val="00B206F4"/>
    <w:rsid w:val="00B20CF6"/>
    <w:rsid w:val="00B2234B"/>
    <w:rsid w:val="00B347A9"/>
    <w:rsid w:val="00B36A3D"/>
    <w:rsid w:val="00B37913"/>
    <w:rsid w:val="00B40D56"/>
    <w:rsid w:val="00B426FE"/>
    <w:rsid w:val="00B432B4"/>
    <w:rsid w:val="00B4352A"/>
    <w:rsid w:val="00B454A0"/>
    <w:rsid w:val="00B46D85"/>
    <w:rsid w:val="00B532D4"/>
    <w:rsid w:val="00B5559A"/>
    <w:rsid w:val="00B56C30"/>
    <w:rsid w:val="00B57E75"/>
    <w:rsid w:val="00B6103D"/>
    <w:rsid w:val="00B614AF"/>
    <w:rsid w:val="00B650E8"/>
    <w:rsid w:val="00B67963"/>
    <w:rsid w:val="00B7079B"/>
    <w:rsid w:val="00B70A0F"/>
    <w:rsid w:val="00B723C4"/>
    <w:rsid w:val="00B72820"/>
    <w:rsid w:val="00B75692"/>
    <w:rsid w:val="00B779C9"/>
    <w:rsid w:val="00B77B98"/>
    <w:rsid w:val="00B8071E"/>
    <w:rsid w:val="00B80B3D"/>
    <w:rsid w:val="00B81532"/>
    <w:rsid w:val="00B85B2B"/>
    <w:rsid w:val="00B860C1"/>
    <w:rsid w:val="00B8732D"/>
    <w:rsid w:val="00B87E85"/>
    <w:rsid w:val="00B91F36"/>
    <w:rsid w:val="00B92790"/>
    <w:rsid w:val="00B92A3E"/>
    <w:rsid w:val="00B951E5"/>
    <w:rsid w:val="00B95527"/>
    <w:rsid w:val="00B9644E"/>
    <w:rsid w:val="00B975D2"/>
    <w:rsid w:val="00BA0522"/>
    <w:rsid w:val="00BA0576"/>
    <w:rsid w:val="00BA0627"/>
    <w:rsid w:val="00BA06A0"/>
    <w:rsid w:val="00BA10D4"/>
    <w:rsid w:val="00BA4088"/>
    <w:rsid w:val="00BA6D07"/>
    <w:rsid w:val="00BA6F44"/>
    <w:rsid w:val="00BB0180"/>
    <w:rsid w:val="00BB0A57"/>
    <w:rsid w:val="00BB1BDB"/>
    <w:rsid w:val="00BB40A6"/>
    <w:rsid w:val="00BB4832"/>
    <w:rsid w:val="00BC00DC"/>
    <w:rsid w:val="00BC1A01"/>
    <w:rsid w:val="00BC20F1"/>
    <w:rsid w:val="00BC25CA"/>
    <w:rsid w:val="00BC29B2"/>
    <w:rsid w:val="00BC33EC"/>
    <w:rsid w:val="00BC4A2C"/>
    <w:rsid w:val="00BC5DE3"/>
    <w:rsid w:val="00BC650C"/>
    <w:rsid w:val="00BC6DA7"/>
    <w:rsid w:val="00BC7732"/>
    <w:rsid w:val="00BD5E8E"/>
    <w:rsid w:val="00BE368A"/>
    <w:rsid w:val="00BE39FF"/>
    <w:rsid w:val="00BE4D90"/>
    <w:rsid w:val="00BE62EB"/>
    <w:rsid w:val="00BF1F57"/>
    <w:rsid w:val="00BF2020"/>
    <w:rsid w:val="00BF27C3"/>
    <w:rsid w:val="00BF2B55"/>
    <w:rsid w:val="00BF2C1C"/>
    <w:rsid w:val="00BF5D12"/>
    <w:rsid w:val="00BF74E7"/>
    <w:rsid w:val="00C0134C"/>
    <w:rsid w:val="00C0255D"/>
    <w:rsid w:val="00C029C1"/>
    <w:rsid w:val="00C02D19"/>
    <w:rsid w:val="00C02E7D"/>
    <w:rsid w:val="00C03053"/>
    <w:rsid w:val="00C059FB"/>
    <w:rsid w:val="00C065B3"/>
    <w:rsid w:val="00C0673A"/>
    <w:rsid w:val="00C0696E"/>
    <w:rsid w:val="00C1198F"/>
    <w:rsid w:val="00C12E5B"/>
    <w:rsid w:val="00C13C4F"/>
    <w:rsid w:val="00C1410F"/>
    <w:rsid w:val="00C1421A"/>
    <w:rsid w:val="00C14C6C"/>
    <w:rsid w:val="00C15068"/>
    <w:rsid w:val="00C154C4"/>
    <w:rsid w:val="00C17C3A"/>
    <w:rsid w:val="00C20382"/>
    <w:rsid w:val="00C2129E"/>
    <w:rsid w:val="00C226ED"/>
    <w:rsid w:val="00C228B4"/>
    <w:rsid w:val="00C22994"/>
    <w:rsid w:val="00C23145"/>
    <w:rsid w:val="00C24A6B"/>
    <w:rsid w:val="00C25BC0"/>
    <w:rsid w:val="00C30637"/>
    <w:rsid w:val="00C34268"/>
    <w:rsid w:val="00C405D0"/>
    <w:rsid w:val="00C41783"/>
    <w:rsid w:val="00C418EB"/>
    <w:rsid w:val="00C42DA0"/>
    <w:rsid w:val="00C44BAF"/>
    <w:rsid w:val="00C46563"/>
    <w:rsid w:val="00C4714F"/>
    <w:rsid w:val="00C5081A"/>
    <w:rsid w:val="00C508A0"/>
    <w:rsid w:val="00C51E8C"/>
    <w:rsid w:val="00C53DBA"/>
    <w:rsid w:val="00C563FB"/>
    <w:rsid w:val="00C574D9"/>
    <w:rsid w:val="00C575D4"/>
    <w:rsid w:val="00C57955"/>
    <w:rsid w:val="00C60554"/>
    <w:rsid w:val="00C60FF1"/>
    <w:rsid w:val="00C6213E"/>
    <w:rsid w:val="00C63160"/>
    <w:rsid w:val="00C640EE"/>
    <w:rsid w:val="00C643C3"/>
    <w:rsid w:val="00C661CE"/>
    <w:rsid w:val="00C6728C"/>
    <w:rsid w:val="00C677A9"/>
    <w:rsid w:val="00C67A90"/>
    <w:rsid w:val="00C74905"/>
    <w:rsid w:val="00C74A3D"/>
    <w:rsid w:val="00C75A7A"/>
    <w:rsid w:val="00C80C6A"/>
    <w:rsid w:val="00C81583"/>
    <w:rsid w:val="00C818D5"/>
    <w:rsid w:val="00C81A98"/>
    <w:rsid w:val="00C82407"/>
    <w:rsid w:val="00C83156"/>
    <w:rsid w:val="00C85205"/>
    <w:rsid w:val="00C8576C"/>
    <w:rsid w:val="00C86604"/>
    <w:rsid w:val="00C869DE"/>
    <w:rsid w:val="00C86AB9"/>
    <w:rsid w:val="00C90D79"/>
    <w:rsid w:val="00C92A6A"/>
    <w:rsid w:val="00C92E1B"/>
    <w:rsid w:val="00C949B9"/>
    <w:rsid w:val="00C95450"/>
    <w:rsid w:val="00C95AB4"/>
    <w:rsid w:val="00CA02EC"/>
    <w:rsid w:val="00CA1EF2"/>
    <w:rsid w:val="00CA3094"/>
    <w:rsid w:val="00CA435B"/>
    <w:rsid w:val="00CA45CB"/>
    <w:rsid w:val="00CA538E"/>
    <w:rsid w:val="00CB1C9B"/>
    <w:rsid w:val="00CB5847"/>
    <w:rsid w:val="00CB6410"/>
    <w:rsid w:val="00CB6593"/>
    <w:rsid w:val="00CB7B1D"/>
    <w:rsid w:val="00CC065C"/>
    <w:rsid w:val="00CC1B24"/>
    <w:rsid w:val="00CC20D4"/>
    <w:rsid w:val="00CC713B"/>
    <w:rsid w:val="00CC7F44"/>
    <w:rsid w:val="00CD1519"/>
    <w:rsid w:val="00CD353E"/>
    <w:rsid w:val="00CD3E8C"/>
    <w:rsid w:val="00CD67BF"/>
    <w:rsid w:val="00CE06AA"/>
    <w:rsid w:val="00CE074B"/>
    <w:rsid w:val="00CE099D"/>
    <w:rsid w:val="00CE0B03"/>
    <w:rsid w:val="00CE2FF0"/>
    <w:rsid w:val="00CE5F99"/>
    <w:rsid w:val="00CE6904"/>
    <w:rsid w:val="00CE6CB9"/>
    <w:rsid w:val="00CE7193"/>
    <w:rsid w:val="00CF2186"/>
    <w:rsid w:val="00CF2DEB"/>
    <w:rsid w:val="00CF4DB0"/>
    <w:rsid w:val="00CF58DE"/>
    <w:rsid w:val="00CF6F2E"/>
    <w:rsid w:val="00CF7CE0"/>
    <w:rsid w:val="00CF7F88"/>
    <w:rsid w:val="00D004EF"/>
    <w:rsid w:val="00D018D0"/>
    <w:rsid w:val="00D04FCF"/>
    <w:rsid w:val="00D053F3"/>
    <w:rsid w:val="00D05D11"/>
    <w:rsid w:val="00D10F20"/>
    <w:rsid w:val="00D111C5"/>
    <w:rsid w:val="00D11A72"/>
    <w:rsid w:val="00D12EFD"/>
    <w:rsid w:val="00D13368"/>
    <w:rsid w:val="00D14040"/>
    <w:rsid w:val="00D162AC"/>
    <w:rsid w:val="00D2265E"/>
    <w:rsid w:val="00D2427E"/>
    <w:rsid w:val="00D251B5"/>
    <w:rsid w:val="00D26013"/>
    <w:rsid w:val="00D27A8D"/>
    <w:rsid w:val="00D3012F"/>
    <w:rsid w:val="00D3060A"/>
    <w:rsid w:val="00D32C5D"/>
    <w:rsid w:val="00D32E66"/>
    <w:rsid w:val="00D3401C"/>
    <w:rsid w:val="00D35543"/>
    <w:rsid w:val="00D36790"/>
    <w:rsid w:val="00D36809"/>
    <w:rsid w:val="00D409F5"/>
    <w:rsid w:val="00D41370"/>
    <w:rsid w:val="00D426F5"/>
    <w:rsid w:val="00D427FC"/>
    <w:rsid w:val="00D42D0B"/>
    <w:rsid w:val="00D433AB"/>
    <w:rsid w:val="00D44FA4"/>
    <w:rsid w:val="00D45C3D"/>
    <w:rsid w:val="00D45F90"/>
    <w:rsid w:val="00D46F04"/>
    <w:rsid w:val="00D52695"/>
    <w:rsid w:val="00D530A7"/>
    <w:rsid w:val="00D53168"/>
    <w:rsid w:val="00D53197"/>
    <w:rsid w:val="00D56A2C"/>
    <w:rsid w:val="00D60827"/>
    <w:rsid w:val="00D61138"/>
    <w:rsid w:val="00D6120A"/>
    <w:rsid w:val="00D61D9F"/>
    <w:rsid w:val="00D61F07"/>
    <w:rsid w:val="00D63C26"/>
    <w:rsid w:val="00D65114"/>
    <w:rsid w:val="00D72D9A"/>
    <w:rsid w:val="00D73025"/>
    <w:rsid w:val="00D73C5E"/>
    <w:rsid w:val="00D742F6"/>
    <w:rsid w:val="00D759B7"/>
    <w:rsid w:val="00D76DE9"/>
    <w:rsid w:val="00D80283"/>
    <w:rsid w:val="00D80FBB"/>
    <w:rsid w:val="00D81D30"/>
    <w:rsid w:val="00D8246E"/>
    <w:rsid w:val="00D841A7"/>
    <w:rsid w:val="00D847AC"/>
    <w:rsid w:val="00D84C9E"/>
    <w:rsid w:val="00D86102"/>
    <w:rsid w:val="00D90EBC"/>
    <w:rsid w:val="00D91DE6"/>
    <w:rsid w:val="00D95D98"/>
    <w:rsid w:val="00D966FE"/>
    <w:rsid w:val="00D9726C"/>
    <w:rsid w:val="00D97347"/>
    <w:rsid w:val="00D9740C"/>
    <w:rsid w:val="00D97427"/>
    <w:rsid w:val="00DA0A76"/>
    <w:rsid w:val="00DA0BEC"/>
    <w:rsid w:val="00DA1EF2"/>
    <w:rsid w:val="00DA3A9B"/>
    <w:rsid w:val="00DA50E1"/>
    <w:rsid w:val="00DA58D4"/>
    <w:rsid w:val="00DA7E94"/>
    <w:rsid w:val="00DB01FE"/>
    <w:rsid w:val="00DB10A3"/>
    <w:rsid w:val="00DC0A6C"/>
    <w:rsid w:val="00DC36C3"/>
    <w:rsid w:val="00DC3CD2"/>
    <w:rsid w:val="00DC408F"/>
    <w:rsid w:val="00DC40DC"/>
    <w:rsid w:val="00DC5E95"/>
    <w:rsid w:val="00DD14E8"/>
    <w:rsid w:val="00DD1C0A"/>
    <w:rsid w:val="00DD21CC"/>
    <w:rsid w:val="00DD23AA"/>
    <w:rsid w:val="00DD2D79"/>
    <w:rsid w:val="00DD4A1E"/>
    <w:rsid w:val="00DD5E12"/>
    <w:rsid w:val="00DD6D23"/>
    <w:rsid w:val="00DD6E24"/>
    <w:rsid w:val="00DD720F"/>
    <w:rsid w:val="00DE0EEA"/>
    <w:rsid w:val="00DE35D3"/>
    <w:rsid w:val="00DE391D"/>
    <w:rsid w:val="00DE4201"/>
    <w:rsid w:val="00DE6080"/>
    <w:rsid w:val="00DE65C1"/>
    <w:rsid w:val="00DE71D7"/>
    <w:rsid w:val="00DF088A"/>
    <w:rsid w:val="00DF4FA8"/>
    <w:rsid w:val="00DF5339"/>
    <w:rsid w:val="00DF546A"/>
    <w:rsid w:val="00DF67DE"/>
    <w:rsid w:val="00DF6F2F"/>
    <w:rsid w:val="00DF762A"/>
    <w:rsid w:val="00E00C9D"/>
    <w:rsid w:val="00E03F9B"/>
    <w:rsid w:val="00E052DC"/>
    <w:rsid w:val="00E0553D"/>
    <w:rsid w:val="00E142D9"/>
    <w:rsid w:val="00E16B4C"/>
    <w:rsid w:val="00E16DDD"/>
    <w:rsid w:val="00E2005C"/>
    <w:rsid w:val="00E22006"/>
    <w:rsid w:val="00E24EA2"/>
    <w:rsid w:val="00E24FDF"/>
    <w:rsid w:val="00E258B4"/>
    <w:rsid w:val="00E272ED"/>
    <w:rsid w:val="00E3532D"/>
    <w:rsid w:val="00E36108"/>
    <w:rsid w:val="00E36D66"/>
    <w:rsid w:val="00E37679"/>
    <w:rsid w:val="00E40BB4"/>
    <w:rsid w:val="00E41009"/>
    <w:rsid w:val="00E410BC"/>
    <w:rsid w:val="00E410C6"/>
    <w:rsid w:val="00E45DBC"/>
    <w:rsid w:val="00E47432"/>
    <w:rsid w:val="00E47B1C"/>
    <w:rsid w:val="00E530C6"/>
    <w:rsid w:val="00E53C73"/>
    <w:rsid w:val="00E55689"/>
    <w:rsid w:val="00E55D95"/>
    <w:rsid w:val="00E638A3"/>
    <w:rsid w:val="00E65CFE"/>
    <w:rsid w:val="00E67597"/>
    <w:rsid w:val="00E67843"/>
    <w:rsid w:val="00E70799"/>
    <w:rsid w:val="00E70FB5"/>
    <w:rsid w:val="00E717CA"/>
    <w:rsid w:val="00E723D6"/>
    <w:rsid w:val="00E74C5A"/>
    <w:rsid w:val="00E7695F"/>
    <w:rsid w:val="00E81827"/>
    <w:rsid w:val="00E8256A"/>
    <w:rsid w:val="00E82F0C"/>
    <w:rsid w:val="00E83566"/>
    <w:rsid w:val="00E85CC3"/>
    <w:rsid w:val="00E86663"/>
    <w:rsid w:val="00E9013E"/>
    <w:rsid w:val="00E905FF"/>
    <w:rsid w:val="00E9168E"/>
    <w:rsid w:val="00E91B2E"/>
    <w:rsid w:val="00E921A3"/>
    <w:rsid w:val="00E925DC"/>
    <w:rsid w:val="00E93D45"/>
    <w:rsid w:val="00E95181"/>
    <w:rsid w:val="00E96C31"/>
    <w:rsid w:val="00E97A04"/>
    <w:rsid w:val="00EA440D"/>
    <w:rsid w:val="00EA4D5C"/>
    <w:rsid w:val="00EA5763"/>
    <w:rsid w:val="00EA67F2"/>
    <w:rsid w:val="00EA6ADE"/>
    <w:rsid w:val="00EA7A49"/>
    <w:rsid w:val="00EB216A"/>
    <w:rsid w:val="00EB2999"/>
    <w:rsid w:val="00EB333A"/>
    <w:rsid w:val="00EB3D0C"/>
    <w:rsid w:val="00EB450C"/>
    <w:rsid w:val="00EB511A"/>
    <w:rsid w:val="00EB6DFA"/>
    <w:rsid w:val="00EC0381"/>
    <w:rsid w:val="00EC1344"/>
    <w:rsid w:val="00EC1B2E"/>
    <w:rsid w:val="00EC2B05"/>
    <w:rsid w:val="00EC48D2"/>
    <w:rsid w:val="00EC5C81"/>
    <w:rsid w:val="00EC5E32"/>
    <w:rsid w:val="00EC70B8"/>
    <w:rsid w:val="00EC70C9"/>
    <w:rsid w:val="00ED0780"/>
    <w:rsid w:val="00ED0B49"/>
    <w:rsid w:val="00ED287B"/>
    <w:rsid w:val="00ED59C0"/>
    <w:rsid w:val="00ED60A5"/>
    <w:rsid w:val="00ED744F"/>
    <w:rsid w:val="00EE0044"/>
    <w:rsid w:val="00EE0522"/>
    <w:rsid w:val="00EE076D"/>
    <w:rsid w:val="00EE187E"/>
    <w:rsid w:val="00EE2DF5"/>
    <w:rsid w:val="00EE3684"/>
    <w:rsid w:val="00EE3A21"/>
    <w:rsid w:val="00EE406E"/>
    <w:rsid w:val="00EE4413"/>
    <w:rsid w:val="00EE6005"/>
    <w:rsid w:val="00EE6152"/>
    <w:rsid w:val="00EE7D95"/>
    <w:rsid w:val="00EE7DF3"/>
    <w:rsid w:val="00EF1912"/>
    <w:rsid w:val="00EF36AC"/>
    <w:rsid w:val="00F01B3E"/>
    <w:rsid w:val="00F02DB6"/>
    <w:rsid w:val="00F02FA5"/>
    <w:rsid w:val="00F035ED"/>
    <w:rsid w:val="00F0378E"/>
    <w:rsid w:val="00F038E6"/>
    <w:rsid w:val="00F0555F"/>
    <w:rsid w:val="00F07037"/>
    <w:rsid w:val="00F11136"/>
    <w:rsid w:val="00F12427"/>
    <w:rsid w:val="00F13A3D"/>
    <w:rsid w:val="00F1427B"/>
    <w:rsid w:val="00F14B30"/>
    <w:rsid w:val="00F14C99"/>
    <w:rsid w:val="00F1506C"/>
    <w:rsid w:val="00F152D5"/>
    <w:rsid w:val="00F16540"/>
    <w:rsid w:val="00F167F7"/>
    <w:rsid w:val="00F174E0"/>
    <w:rsid w:val="00F17893"/>
    <w:rsid w:val="00F234D1"/>
    <w:rsid w:val="00F26AC8"/>
    <w:rsid w:val="00F27512"/>
    <w:rsid w:val="00F27C25"/>
    <w:rsid w:val="00F3225F"/>
    <w:rsid w:val="00F323E8"/>
    <w:rsid w:val="00F36621"/>
    <w:rsid w:val="00F36A45"/>
    <w:rsid w:val="00F37BA0"/>
    <w:rsid w:val="00F42909"/>
    <w:rsid w:val="00F50BFE"/>
    <w:rsid w:val="00F52990"/>
    <w:rsid w:val="00F52E43"/>
    <w:rsid w:val="00F5799A"/>
    <w:rsid w:val="00F61012"/>
    <w:rsid w:val="00F66A94"/>
    <w:rsid w:val="00F714EF"/>
    <w:rsid w:val="00F7585F"/>
    <w:rsid w:val="00F76526"/>
    <w:rsid w:val="00F77AFE"/>
    <w:rsid w:val="00F77CAE"/>
    <w:rsid w:val="00F80105"/>
    <w:rsid w:val="00F80907"/>
    <w:rsid w:val="00F8210E"/>
    <w:rsid w:val="00F836DE"/>
    <w:rsid w:val="00F83B5A"/>
    <w:rsid w:val="00F83E93"/>
    <w:rsid w:val="00F841CC"/>
    <w:rsid w:val="00F85A4A"/>
    <w:rsid w:val="00F85AFC"/>
    <w:rsid w:val="00F86753"/>
    <w:rsid w:val="00F8680A"/>
    <w:rsid w:val="00F86CA7"/>
    <w:rsid w:val="00F87C9A"/>
    <w:rsid w:val="00F90588"/>
    <w:rsid w:val="00F90D5F"/>
    <w:rsid w:val="00F90F5B"/>
    <w:rsid w:val="00FA09E3"/>
    <w:rsid w:val="00FA3783"/>
    <w:rsid w:val="00FA4273"/>
    <w:rsid w:val="00FA4F77"/>
    <w:rsid w:val="00FB2A14"/>
    <w:rsid w:val="00FB3325"/>
    <w:rsid w:val="00FB46A6"/>
    <w:rsid w:val="00FB48BE"/>
    <w:rsid w:val="00FB7C54"/>
    <w:rsid w:val="00FC063F"/>
    <w:rsid w:val="00FC2B95"/>
    <w:rsid w:val="00FC47B9"/>
    <w:rsid w:val="00FC5859"/>
    <w:rsid w:val="00FC5D2F"/>
    <w:rsid w:val="00FC70DA"/>
    <w:rsid w:val="00FC71BF"/>
    <w:rsid w:val="00FC7C2B"/>
    <w:rsid w:val="00FD07A9"/>
    <w:rsid w:val="00FD2165"/>
    <w:rsid w:val="00FD35F8"/>
    <w:rsid w:val="00FD4AAB"/>
    <w:rsid w:val="00FD4F59"/>
    <w:rsid w:val="00FD6FB5"/>
    <w:rsid w:val="00FE1289"/>
    <w:rsid w:val="00FE1567"/>
    <w:rsid w:val="00FE2838"/>
    <w:rsid w:val="00FE7BCC"/>
    <w:rsid w:val="00FF099C"/>
    <w:rsid w:val="00FF158E"/>
    <w:rsid w:val="00FF1A65"/>
    <w:rsid w:val="00FF41C8"/>
    <w:rsid w:val="00FF58A6"/>
    <w:rsid w:val="00FF6B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6C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unhideWhenUsed="1" w:qFormat="1"/>
    <w:lsdException w:name="List Number" w:uiPriority="15"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AB"/>
    <w:pPr>
      <w:spacing w:after="240" w:line="240" w:lineRule="atLeast"/>
    </w:pPr>
    <w:rPr>
      <w:rFonts w:ascii="Verdana" w:eastAsia="Verdana" w:hAnsi="Verdana"/>
      <w:color w:val="00000A"/>
      <w:sz w:val="18"/>
      <w:lang w:val="cs-CZ"/>
    </w:rPr>
  </w:style>
  <w:style w:type="paragraph" w:styleId="Heading1">
    <w:name w:val="heading 1"/>
    <w:basedOn w:val="Normal"/>
    <w:next w:val="Normal"/>
    <w:link w:val="Heading1Char"/>
    <w:qFormat/>
    <w:rsid w:val="00793D5A"/>
    <w:pPr>
      <w:keepNext/>
      <w:keepLines/>
      <w:spacing w:after="0"/>
      <w:outlineLvl w:val="0"/>
    </w:pPr>
    <w:rPr>
      <w:rFonts w:asciiTheme="majorHAnsi" w:eastAsiaTheme="majorEastAsia" w:hAnsiTheme="majorHAnsi" w:cstheme="majorBidi"/>
      <w:b/>
      <w:bCs/>
      <w:color w:val="62B5E5" w:themeColor="accent3"/>
      <w:szCs w:val="28"/>
    </w:rPr>
  </w:style>
  <w:style w:type="paragraph" w:styleId="Heading2">
    <w:name w:val="heading 2"/>
    <w:basedOn w:val="Normal"/>
    <w:next w:val="Normal"/>
    <w:link w:val="Heading2Char"/>
    <w:uiPriority w:val="9"/>
    <w:qFormat/>
    <w:rsid w:val="00793D5A"/>
    <w:pPr>
      <w:keepNext/>
      <w:keepLines/>
      <w:numPr>
        <w:ilvl w:val="2"/>
        <w:numId w:val="1"/>
      </w:numPr>
      <w:spacing w:after="0"/>
      <w:ind w:left="720" w:hanging="720"/>
      <w:outlineLvl w:val="1"/>
    </w:pPr>
    <w:rPr>
      <w:rFonts w:asciiTheme="majorHAnsi" w:eastAsiaTheme="majorEastAsia" w:hAnsiTheme="majorHAnsi" w:cstheme="majorBidi"/>
      <w:b/>
      <w:bCs/>
      <w:color w:val="000000" w:themeColor="text1"/>
      <w:szCs w:val="26"/>
    </w:rPr>
  </w:style>
  <w:style w:type="paragraph" w:styleId="Heading3">
    <w:name w:val="heading 3"/>
    <w:basedOn w:val="Normal"/>
    <w:next w:val="Normal"/>
    <w:link w:val="Heading3Char"/>
    <w:uiPriority w:val="9"/>
    <w:qFormat/>
    <w:rsid w:val="00793D5A"/>
    <w:pPr>
      <w:keepNext/>
      <w:keepLines/>
      <w:spacing w:after="0"/>
      <w:outlineLvl w:val="2"/>
    </w:pPr>
    <w:rPr>
      <w:rFonts w:asciiTheme="majorHAnsi" w:eastAsiaTheme="majorEastAsia" w:hAnsiTheme="majorHAnsi" w:cstheme="majorBidi"/>
      <w:b/>
      <w:bCs/>
      <w:color w:val="75787B" w:themeColor="accent6"/>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793D5A"/>
    <w:rPr>
      <w:rFonts w:asciiTheme="majorHAnsi" w:eastAsiaTheme="majorEastAsia" w:hAnsiTheme="majorHAnsi" w:cstheme="majorBidi"/>
      <w:b/>
      <w:bCs/>
      <w:color w:val="62B5E5" w:themeColor="accent3"/>
      <w:sz w:val="18"/>
      <w:szCs w:val="28"/>
      <w:lang w:val="cs-CZ"/>
    </w:rPr>
  </w:style>
  <w:style w:type="character" w:customStyle="1" w:styleId="Heading2Char">
    <w:name w:val="Heading 2 Char"/>
    <w:basedOn w:val="DefaultParagraphFont"/>
    <w:link w:val="Heading2"/>
    <w:uiPriority w:val="9"/>
    <w:qFormat/>
    <w:rsid w:val="00793D5A"/>
    <w:rPr>
      <w:rFonts w:asciiTheme="majorHAnsi" w:eastAsiaTheme="majorEastAsia" w:hAnsiTheme="majorHAnsi" w:cstheme="majorBidi"/>
      <w:b/>
      <w:bCs/>
      <w:color w:val="000000" w:themeColor="text1"/>
      <w:sz w:val="18"/>
      <w:szCs w:val="26"/>
      <w:lang w:val="cs-CZ"/>
    </w:rPr>
  </w:style>
  <w:style w:type="character" w:customStyle="1" w:styleId="HeaderChar">
    <w:name w:val="Header Char"/>
    <w:basedOn w:val="DefaultParagraphFont"/>
    <w:link w:val="Header"/>
    <w:uiPriority w:val="99"/>
    <w:qFormat/>
    <w:rsid w:val="008631CE"/>
    <w:rPr>
      <w:b/>
      <w:sz w:val="14"/>
      <w:lang w:val="en-US"/>
    </w:rPr>
  </w:style>
  <w:style w:type="character" w:customStyle="1" w:styleId="FooterChar">
    <w:name w:val="Footer Char"/>
    <w:basedOn w:val="DefaultParagraphFont"/>
    <w:link w:val="Footer"/>
    <w:uiPriority w:val="99"/>
    <w:qFormat/>
    <w:rsid w:val="007550AB"/>
    <w:rPr>
      <w:sz w:val="16"/>
      <w:lang w:val="en-US"/>
    </w:rPr>
  </w:style>
  <w:style w:type="character" w:customStyle="1" w:styleId="BalloonTextChar">
    <w:name w:val="Balloon Text Char"/>
    <w:basedOn w:val="DefaultParagraphFont"/>
    <w:link w:val="BalloonText"/>
    <w:uiPriority w:val="99"/>
    <w:semiHidden/>
    <w:qFormat/>
    <w:rsid w:val="00C702C7"/>
    <w:rPr>
      <w:rFonts w:ascii="Tahoma" w:hAnsi="Tahoma" w:cs="Tahoma"/>
      <w:sz w:val="16"/>
      <w:szCs w:val="16"/>
    </w:rPr>
  </w:style>
  <w:style w:type="character" w:styleId="PlaceholderText">
    <w:name w:val="Placeholder Text"/>
    <w:basedOn w:val="DefaultParagraphFont"/>
    <w:uiPriority w:val="99"/>
    <w:semiHidden/>
    <w:qFormat/>
    <w:rsid w:val="001975EF"/>
    <w:rPr>
      <w:color w:val="808080"/>
    </w:rPr>
  </w:style>
  <w:style w:type="character" w:customStyle="1" w:styleId="Heading3Char">
    <w:name w:val="Heading 3 Char"/>
    <w:basedOn w:val="DefaultParagraphFont"/>
    <w:link w:val="Heading3"/>
    <w:uiPriority w:val="9"/>
    <w:qFormat/>
    <w:rsid w:val="00793D5A"/>
    <w:rPr>
      <w:rFonts w:asciiTheme="majorHAnsi" w:eastAsiaTheme="majorEastAsia" w:hAnsiTheme="majorHAnsi" w:cstheme="majorBidi"/>
      <w:b/>
      <w:bCs/>
      <w:color w:val="75787B" w:themeColor="accent6"/>
      <w:sz w:val="18"/>
      <w:lang w:val="cs-CZ"/>
    </w:rPr>
  </w:style>
  <w:style w:type="character" w:customStyle="1" w:styleId="Heading4Char">
    <w:name w:val="Heading 4 Char"/>
    <w:basedOn w:val="DefaultParagraphFont"/>
    <w:link w:val="Heading4"/>
    <w:uiPriority w:val="9"/>
    <w:semiHidden/>
    <w:qFormat/>
    <w:rsid w:val="007550AB"/>
    <w:rPr>
      <w:rFonts w:asciiTheme="majorHAnsi" w:eastAsiaTheme="majorEastAsia" w:hAnsiTheme="majorHAnsi" w:cstheme="majorBidi"/>
      <w:b/>
      <w:bCs/>
      <w:iCs/>
      <w:color w:val="000000" w:themeColor="text1"/>
      <w:sz w:val="18"/>
      <w:lang w:val="en-US"/>
    </w:rPr>
  </w:style>
  <w:style w:type="character" w:customStyle="1" w:styleId="FootnoteTextChar">
    <w:name w:val="Footnote Text Char"/>
    <w:basedOn w:val="DefaultParagraphFont"/>
    <w:uiPriority w:val="99"/>
    <w:qFormat/>
    <w:rsid w:val="007550AB"/>
    <w:rPr>
      <w:sz w:val="16"/>
      <w:szCs w:val="20"/>
      <w:lang w:val="en-US"/>
    </w:rPr>
  </w:style>
  <w:style w:type="character" w:styleId="FootnoteReference">
    <w:name w:val="footnote reference"/>
    <w:basedOn w:val="DefaultParagraphFont"/>
    <w:uiPriority w:val="99"/>
    <w:qFormat/>
    <w:rsid w:val="00412EA0"/>
    <w:rPr>
      <w:vertAlign w:val="superscript"/>
    </w:rPr>
  </w:style>
  <w:style w:type="character" w:customStyle="1" w:styleId="Internetovodkaz">
    <w:name w:val="Internetový odkaz"/>
    <w:basedOn w:val="DefaultParagraphFont"/>
    <w:uiPriority w:val="99"/>
    <w:unhideWhenUsed/>
    <w:rsid w:val="000B062A"/>
    <w:rPr>
      <w:color w:val="00A3E0" w:themeColor="hyperlink"/>
      <w:u w:val="single"/>
    </w:rPr>
  </w:style>
  <w:style w:type="character" w:customStyle="1" w:styleId="Smlouvaheading1Char">
    <w:name w:val="Smlouva heading 1 Char"/>
    <w:link w:val="Smlouvaheading1"/>
    <w:qFormat/>
    <w:rsid w:val="00793D5A"/>
    <w:rPr>
      <w:rFonts w:ascii="Verdana" w:eastAsia="Verdana" w:hAnsi="Verdana" w:cs="Times New Roman"/>
      <w:b/>
      <w:sz w:val="18"/>
      <w:lang w:val="cs-CZ"/>
    </w:rPr>
  </w:style>
  <w:style w:type="character" w:customStyle="1" w:styleId="Smlouvaheading2Char">
    <w:name w:val="Smlouva heading 2 Char"/>
    <w:link w:val="Smlouvaheading2"/>
    <w:qFormat/>
    <w:rsid w:val="00793D5A"/>
    <w:rPr>
      <w:rFonts w:ascii="Verdana" w:eastAsia="Verdana" w:hAnsi="Verdana" w:cs="Times New Roman"/>
      <w:sz w:val="18"/>
      <w:lang w:val="en-US"/>
    </w:rPr>
  </w:style>
  <w:style w:type="character" w:styleId="CommentReference">
    <w:name w:val="annotation reference"/>
    <w:basedOn w:val="DefaultParagraphFont"/>
    <w:uiPriority w:val="99"/>
    <w:qFormat/>
    <w:rsid w:val="00360B71"/>
    <w:rPr>
      <w:sz w:val="16"/>
      <w:szCs w:val="16"/>
    </w:rPr>
  </w:style>
  <w:style w:type="character" w:customStyle="1" w:styleId="CommentTextChar">
    <w:name w:val="Comment Text Char"/>
    <w:basedOn w:val="DefaultParagraphFont"/>
    <w:link w:val="CommentText"/>
    <w:qFormat/>
    <w:rsid w:val="00360B71"/>
    <w:rPr>
      <w:sz w:val="20"/>
      <w:szCs w:val="20"/>
      <w:lang w:val="cs-CZ"/>
    </w:rPr>
  </w:style>
  <w:style w:type="character" w:customStyle="1" w:styleId="CommentSubjectChar">
    <w:name w:val="Comment Subject Char"/>
    <w:basedOn w:val="CommentTextChar"/>
    <w:link w:val="CommentSubject"/>
    <w:uiPriority w:val="99"/>
    <w:semiHidden/>
    <w:qFormat/>
    <w:rsid w:val="00360B71"/>
    <w:rPr>
      <w:b/>
      <w:bCs/>
      <w:sz w:val="20"/>
      <w:szCs w:val="20"/>
      <w:lang w:val="cs-CZ"/>
    </w:rPr>
  </w:style>
  <w:style w:type="character" w:customStyle="1" w:styleId="BodytextChar">
    <w:name w:val="Body text Char"/>
    <w:link w:val="BodyText1"/>
    <w:qFormat/>
    <w:locked/>
    <w:rsid w:val="00F37163"/>
    <w:rPr>
      <w:rFonts w:ascii="Arial" w:hAnsi="Arial" w:cs="Times New Roman"/>
      <w:color w:val="000000"/>
      <w:sz w:val="18"/>
      <w:szCs w:val="48"/>
      <w:lang w:val="cs-CZ"/>
    </w:rPr>
  </w:style>
  <w:style w:type="character" w:customStyle="1" w:styleId="ListParagraphChar">
    <w:name w:val="List Paragraph Char"/>
    <w:aliases w:val="A-Odrážky1 Char,Odstavec_muj Char,Nad Char,_Odstavec se seznamem Char,Odstavec_muj1 Char,Odstavec_muj2 Char,Odstavec_muj3 Char,Nad1 Char,Odstavec_muj4 Char,Nad2 Char,List Paragraph2 Char,Odstavec_muj5 Char,Odstavec_muj6 Char"/>
    <w:link w:val="ListParagraph"/>
    <w:uiPriority w:val="34"/>
    <w:qFormat/>
    <w:locked/>
    <w:rsid w:val="00123A50"/>
    <w:rPr>
      <w:sz w:val="18"/>
      <w:lang w:val="cs-CZ"/>
    </w:rPr>
  </w:style>
  <w:style w:type="character" w:customStyle="1" w:styleId="Ukotvenpoznmkypodarou">
    <w:name w:val="Ukotvení poznámky pod čarou"/>
    <w:rsid w:val="00040989"/>
    <w:rPr>
      <w:vertAlign w:val="superscript"/>
    </w:rPr>
  </w:style>
  <w:style w:type="character" w:customStyle="1" w:styleId="ListLabel1">
    <w:name w:val="ListLabel 1"/>
    <w:qFormat/>
    <w:rsid w:val="009861EA"/>
    <w:rPr>
      <w:rFonts w:cs="Courier New"/>
    </w:rPr>
  </w:style>
  <w:style w:type="character" w:customStyle="1" w:styleId="ListLabel2">
    <w:name w:val="ListLabel 2"/>
    <w:qFormat/>
    <w:rsid w:val="009861EA"/>
    <w:rPr>
      <w:rFonts w:cs="Courier New"/>
    </w:rPr>
  </w:style>
  <w:style w:type="character" w:customStyle="1" w:styleId="ListLabel3">
    <w:name w:val="ListLabel 3"/>
    <w:qFormat/>
    <w:rsid w:val="009861EA"/>
    <w:rPr>
      <w:rFonts w:cs="Courier New"/>
    </w:rPr>
  </w:style>
  <w:style w:type="character" w:customStyle="1" w:styleId="ListLabel4">
    <w:name w:val="ListLabel 4"/>
    <w:qFormat/>
    <w:rsid w:val="009861EA"/>
    <w:rPr>
      <w:b/>
    </w:rPr>
  </w:style>
  <w:style w:type="character" w:customStyle="1" w:styleId="ListLabel5">
    <w:name w:val="ListLabel 5"/>
    <w:qFormat/>
    <w:rsid w:val="009861EA"/>
    <w:rPr>
      <w:b/>
    </w:rPr>
  </w:style>
  <w:style w:type="character" w:customStyle="1" w:styleId="ListLabel6">
    <w:name w:val="ListLabel 6"/>
    <w:qFormat/>
    <w:rsid w:val="009861EA"/>
    <w:rPr>
      <w:rFonts w:cs="Courier New"/>
    </w:rPr>
  </w:style>
  <w:style w:type="character" w:customStyle="1" w:styleId="ListLabel7">
    <w:name w:val="ListLabel 7"/>
    <w:qFormat/>
    <w:rsid w:val="009861EA"/>
    <w:rPr>
      <w:rFonts w:cs="Courier New"/>
    </w:rPr>
  </w:style>
  <w:style w:type="character" w:customStyle="1" w:styleId="ListLabel8">
    <w:name w:val="ListLabel 8"/>
    <w:qFormat/>
    <w:rsid w:val="009861EA"/>
    <w:rPr>
      <w:rFonts w:cs="Courier New"/>
    </w:rPr>
  </w:style>
  <w:style w:type="character" w:customStyle="1" w:styleId="ListLabel9">
    <w:name w:val="ListLabel 9"/>
    <w:qFormat/>
    <w:rsid w:val="009861EA"/>
    <w:rPr>
      <w:rFonts w:cs="Courier New"/>
    </w:rPr>
  </w:style>
  <w:style w:type="character" w:customStyle="1" w:styleId="ListLabel10">
    <w:name w:val="ListLabel 10"/>
    <w:qFormat/>
    <w:rsid w:val="009861EA"/>
    <w:rPr>
      <w:rFonts w:cs="Courier New"/>
    </w:rPr>
  </w:style>
  <w:style w:type="character" w:customStyle="1" w:styleId="ListLabel11">
    <w:name w:val="ListLabel 11"/>
    <w:qFormat/>
    <w:rsid w:val="009861EA"/>
    <w:rPr>
      <w:rFonts w:cs="Courier New"/>
    </w:rPr>
  </w:style>
  <w:style w:type="character" w:customStyle="1" w:styleId="ListLabel12">
    <w:name w:val="ListLabel 12"/>
    <w:qFormat/>
    <w:rsid w:val="009861EA"/>
    <w:rPr>
      <w:rFonts w:cs="Courier New"/>
    </w:rPr>
  </w:style>
  <w:style w:type="character" w:customStyle="1" w:styleId="ListLabel13">
    <w:name w:val="ListLabel 13"/>
    <w:qFormat/>
    <w:rsid w:val="009861EA"/>
    <w:rPr>
      <w:rFonts w:cs="Courier New"/>
    </w:rPr>
  </w:style>
  <w:style w:type="character" w:customStyle="1" w:styleId="ListLabel14">
    <w:name w:val="ListLabel 14"/>
    <w:qFormat/>
    <w:rsid w:val="009861EA"/>
    <w:rPr>
      <w:rFonts w:cs="Courier New"/>
    </w:rPr>
  </w:style>
  <w:style w:type="character" w:customStyle="1" w:styleId="ListLabel15">
    <w:name w:val="ListLabel 15"/>
    <w:qFormat/>
    <w:rsid w:val="009861EA"/>
    <w:rPr>
      <w:rFonts w:cs="Courier New"/>
    </w:rPr>
  </w:style>
  <w:style w:type="character" w:customStyle="1" w:styleId="ListLabel16">
    <w:name w:val="ListLabel 16"/>
    <w:qFormat/>
    <w:rsid w:val="009861EA"/>
    <w:rPr>
      <w:rFonts w:cs="Courier New"/>
    </w:rPr>
  </w:style>
  <w:style w:type="character" w:customStyle="1" w:styleId="ListLabel17">
    <w:name w:val="ListLabel 17"/>
    <w:qFormat/>
    <w:rsid w:val="009861EA"/>
    <w:rPr>
      <w:rFonts w:cs="Courier New"/>
    </w:rPr>
  </w:style>
  <w:style w:type="character" w:customStyle="1" w:styleId="ListLabel18">
    <w:name w:val="ListLabel 18"/>
    <w:qFormat/>
    <w:rsid w:val="009861EA"/>
    <w:rPr>
      <w:b/>
      <w:color w:val="53565A"/>
      <w:sz w:val="18"/>
    </w:rPr>
  </w:style>
  <w:style w:type="character" w:customStyle="1" w:styleId="ListLabel19">
    <w:name w:val="ListLabel 19"/>
    <w:qFormat/>
    <w:rsid w:val="009861EA"/>
    <w:rPr>
      <w:rFonts w:cs="Courier New"/>
    </w:rPr>
  </w:style>
  <w:style w:type="character" w:customStyle="1" w:styleId="ListLabel20">
    <w:name w:val="ListLabel 20"/>
    <w:qFormat/>
    <w:rsid w:val="009861EA"/>
    <w:rPr>
      <w:rFonts w:cs="Courier New"/>
    </w:rPr>
  </w:style>
  <w:style w:type="character" w:customStyle="1" w:styleId="ListLabel21">
    <w:name w:val="ListLabel 21"/>
    <w:qFormat/>
    <w:rsid w:val="009861EA"/>
    <w:rPr>
      <w:rFonts w:cs="Courier New"/>
    </w:rPr>
  </w:style>
  <w:style w:type="character" w:customStyle="1" w:styleId="ListLabel22">
    <w:name w:val="ListLabel 22"/>
    <w:qFormat/>
    <w:rsid w:val="009861EA"/>
    <w:rPr>
      <w:rFonts w:cs="Courier New"/>
      <w:b/>
    </w:rPr>
  </w:style>
  <w:style w:type="character" w:customStyle="1" w:styleId="ListLabel23">
    <w:name w:val="ListLabel 23"/>
    <w:qFormat/>
    <w:rsid w:val="009861EA"/>
    <w:rPr>
      <w:rFonts w:cs="Courier New"/>
    </w:rPr>
  </w:style>
  <w:style w:type="character" w:customStyle="1" w:styleId="ListLabel24">
    <w:name w:val="ListLabel 24"/>
    <w:qFormat/>
    <w:rsid w:val="009861EA"/>
    <w:rPr>
      <w:rFonts w:cs="Courier New"/>
    </w:rPr>
  </w:style>
  <w:style w:type="character" w:customStyle="1" w:styleId="ListLabel25">
    <w:name w:val="ListLabel 25"/>
    <w:qFormat/>
    <w:rsid w:val="009861EA"/>
    <w:rPr>
      <w:color w:val="00000A"/>
      <w:sz w:val="16"/>
    </w:rPr>
  </w:style>
  <w:style w:type="character" w:customStyle="1" w:styleId="ListLabel26">
    <w:name w:val="ListLabel 26"/>
    <w:qFormat/>
    <w:rsid w:val="009861EA"/>
    <w:rPr>
      <w:rFonts w:cs="Courier New"/>
    </w:rPr>
  </w:style>
  <w:style w:type="character" w:customStyle="1" w:styleId="ListLabel27">
    <w:name w:val="ListLabel 27"/>
    <w:qFormat/>
    <w:rsid w:val="009861EA"/>
    <w:rPr>
      <w:rFonts w:cs="Courier New"/>
    </w:rPr>
  </w:style>
  <w:style w:type="character" w:customStyle="1" w:styleId="ListLabel28">
    <w:name w:val="ListLabel 28"/>
    <w:qFormat/>
    <w:rsid w:val="009861EA"/>
    <w:rPr>
      <w:rFonts w:cs="Courier New"/>
    </w:rPr>
  </w:style>
  <w:style w:type="character" w:customStyle="1" w:styleId="ListLabel29">
    <w:name w:val="ListLabel 29"/>
    <w:qFormat/>
    <w:rsid w:val="009861EA"/>
    <w:rPr>
      <w:color w:val="00000A"/>
      <w:sz w:val="16"/>
    </w:rPr>
  </w:style>
  <w:style w:type="character" w:customStyle="1" w:styleId="ListLabel30">
    <w:name w:val="ListLabel 30"/>
    <w:qFormat/>
    <w:rsid w:val="009861EA"/>
    <w:rPr>
      <w:rFonts w:cs="Courier New"/>
    </w:rPr>
  </w:style>
  <w:style w:type="character" w:customStyle="1" w:styleId="ListLabel31">
    <w:name w:val="ListLabel 31"/>
    <w:qFormat/>
    <w:rsid w:val="009861EA"/>
    <w:rPr>
      <w:rFonts w:cs="Courier New"/>
    </w:rPr>
  </w:style>
  <w:style w:type="character" w:customStyle="1" w:styleId="ListLabel32">
    <w:name w:val="ListLabel 32"/>
    <w:qFormat/>
    <w:rsid w:val="009861EA"/>
    <w:rPr>
      <w:rFonts w:cs="Courier New"/>
    </w:rPr>
  </w:style>
  <w:style w:type="character" w:customStyle="1" w:styleId="ListLabel33">
    <w:name w:val="ListLabel 33"/>
    <w:qFormat/>
    <w:rsid w:val="009861EA"/>
    <w:rPr>
      <w:rFonts w:cs="Courier New"/>
    </w:rPr>
  </w:style>
  <w:style w:type="character" w:customStyle="1" w:styleId="ListLabel34">
    <w:name w:val="ListLabel 34"/>
    <w:qFormat/>
    <w:rsid w:val="009861EA"/>
    <w:rPr>
      <w:rFonts w:cs="Courier New"/>
    </w:rPr>
  </w:style>
  <w:style w:type="character" w:customStyle="1" w:styleId="ListLabel35">
    <w:name w:val="ListLabel 35"/>
    <w:qFormat/>
    <w:rsid w:val="009861EA"/>
    <w:rPr>
      <w:rFonts w:cs="Courier New"/>
    </w:rPr>
  </w:style>
  <w:style w:type="character" w:customStyle="1" w:styleId="ListLabel36">
    <w:name w:val="ListLabel 36"/>
    <w:qFormat/>
    <w:rsid w:val="009861EA"/>
    <w:rPr>
      <w:rFonts w:cs="Courier New"/>
    </w:rPr>
  </w:style>
  <w:style w:type="character" w:customStyle="1" w:styleId="ListLabel37">
    <w:name w:val="ListLabel 37"/>
    <w:qFormat/>
    <w:rsid w:val="009861EA"/>
    <w:rPr>
      <w:rFonts w:cs="Courier New"/>
    </w:rPr>
  </w:style>
  <w:style w:type="character" w:customStyle="1" w:styleId="ListLabel38">
    <w:name w:val="ListLabel 38"/>
    <w:qFormat/>
    <w:rsid w:val="009861EA"/>
    <w:rPr>
      <w:rFonts w:cs="Courier New"/>
    </w:rPr>
  </w:style>
  <w:style w:type="character" w:customStyle="1" w:styleId="ListLabel39">
    <w:name w:val="ListLabel 39"/>
    <w:qFormat/>
    <w:rsid w:val="009861EA"/>
    <w:rPr>
      <w:rFonts w:cs="Courier New"/>
    </w:rPr>
  </w:style>
  <w:style w:type="character" w:customStyle="1" w:styleId="ListLabel40">
    <w:name w:val="ListLabel 40"/>
    <w:qFormat/>
    <w:rsid w:val="009861EA"/>
    <w:rPr>
      <w:rFonts w:cs="Courier New"/>
    </w:rPr>
  </w:style>
  <w:style w:type="character" w:customStyle="1" w:styleId="ListLabel41">
    <w:name w:val="ListLabel 41"/>
    <w:qFormat/>
    <w:rsid w:val="009861EA"/>
    <w:rPr>
      <w:rFonts w:cs="Courier New"/>
    </w:rPr>
  </w:style>
  <w:style w:type="character" w:customStyle="1" w:styleId="ListLabel42">
    <w:name w:val="ListLabel 42"/>
    <w:qFormat/>
    <w:rsid w:val="009861EA"/>
    <w:rPr>
      <w:rFonts w:cs="Courier New"/>
    </w:rPr>
  </w:style>
  <w:style w:type="character" w:customStyle="1" w:styleId="ListLabel43">
    <w:name w:val="ListLabel 43"/>
    <w:qFormat/>
    <w:rsid w:val="009861EA"/>
    <w:rPr>
      <w:rFonts w:cs="Courier New"/>
    </w:rPr>
  </w:style>
  <w:style w:type="character" w:customStyle="1" w:styleId="ListLabel44">
    <w:name w:val="ListLabel 44"/>
    <w:qFormat/>
    <w:rsid w:val="009861EA"/>
    <w:rPr>
      <w:rFonts w:cs="Courier New"/>
    </w:rPr>
  </w:style>
  <w:style w:type="character" w:customStyle="1" w:styleId="ListLabel45">
    <w:name w:val="ListLabel 45"/>
    <w:qFormat/>
    <w:rsid w:val="009861EA"/>
    <w:rPr>
      <w:rFonts w:cs="Courier New"/>
    </w:rPr>
  </w:style>
  <w:style w:type="character" w:customStyle="1" w:styleId="ListLabel46">
    <w:name w:val="ListLabel 46"/>
    <w:qFormat/>
    <w:rsid w:val="009861EA"/>
    <w:rPr>
      <w:rFonts w:cs="Courier New"/>
    </w:rPr>
  </w:style>
  <w:style w:type="character" w:customStyle="1" w:styleId="ListLabel47">
    <w:name w:val="ListLabel 47"/>
    <w:qFormat/>
    <w:rsid w:val="009861EA"/>
    <w:rPr>
      <w:rFonts w:cs="Courier New"/>
    </w:rPr>
  </w:style>
  <w:style w:type="character" w:customStyle="1" w:styleId="ListLabel48">
    <w:name w:val="ListLabel 48"/>
    <w:qFormat/>
    <w:rsid w:val="009861EA"/>
    <w:rPr>
      <w:rFonts w:cs="Courier New"/>
    </w:rPr>
  </w:style>
  <w:style w:type="character" w:customStyle="1" w:styleId="ListLabel49">
    <w:name w:val="ListLabel 49"/>
    <w:qFormat/>
    <w:rsid w:val="009861EA"/>
    <w:rPr>
      <w:rFonts w:cs="Courier New"/>
    </w:rPr>
  </w:style>
  <w:style w:type="character" w:customStyle="1" w:styleId="ListLabel50">
    <w:name w:val="ListLabel 50"/>
    <w:qFormat/>
    <w:rsid w:val="009861EA"/>
    <w:rPr>
      <w:rFonts w:cs="Courier New"/>
    </w:rPr>
  </w:style>
  <w:style w:type="character" w:customStyle="1" w:styleId="ListLabel51">
    <w:name w:val="ListLabel 51"/>
    <w:qFormat/>
    <w:rsid w:val="009861EA"/>
    <w:rPr>
      <w:rFonts w:cs="Courier New"/>
    </w:rPr>
  </w:style>
  <w:style w:type="character" w:customStyle="1" w:styleId="ListLabel52">
    <w:name w:val="ListLabel 52"/>
    <w:qFormat/>
    <w:rsid w:val="009861EA"/>
    <w:rPr>
      <w:rFonts w:cs="Courier New"/>
      <w:color w:val="53565A"/>
      <w:sz w:val="18"/>
    </w:rPr>
  </w:style>
  <w:style w:type="character" w:customStyle="1" w:styleId="ListLabel53">
    <w:name w:val="ListLabel 53"/>
    <w:qFormat/>
    <w:rsid w:val="009861EA"/>
    <w:rPr>
      <w:rFonts w:cs="Courier New"/>
    </w:rPr>
  </w:style>
  <w:style w:type="character" w:customStyle="1" w:styleId="ListLabel54">
    <w:name w:val="ListLabel 54"/>
    <w:qFormat/>
    <w:rsid w:val="009861EA"/>
    <w:rPr>
      <w:rFonts w:cs="Courier New"/>
    </w:rPr>
  </w:style>
  <w:style w:type="character" w:customStyle="1" w:styleId="ListLabel55">
    <w:name w:val="ListLabel 55"/>
    <w:qFormat/>
    <w:rsid w:val="009861EA"/>
    <w:rPr>
      <w:rFonts w:cs="Courier New"/>
    </w:rPr>
  </w:style>
  <w:style w:type="character" w:customStyle="1" w:styleId="ListLabel56">
    <w:name w:val="ListLabel 56"/>
    <w:qFormat/>
    <w:rsid w:val="009861EA"/>
    <w:rPr>
      <w:rFonts w:cs="Courier New"/>
      <w:b/>
      <w:color w:val="53565A"/>
      <w:sz w:val="18"/>
    </w:rPr>
  </w:style>
  <w:style w:type="character" w:customStyle="1" w:styleId="ListLabel57">
    <w:name w:val="ListLabel 57"/>
    <w:qFormat/>
    <w:rsid w:val="009861EA"/>
    <w:rPr>
      <w:rFonts w:cs="Courier New"/>
    </w:rPr>
  </w:style>
  <w:style w:type="character" w:customStyle="1" w:styleId="ListLabel58">
    <w:name w:val="ListLabel 58"/>
    <w:qFormat/>
    <w:rsid w:val="009861EA"/>
    <w:rPr>
      <w:rFonts w:cs="Courier New"/>
    </w:rPr>
  </w:style>
  <w:style w:type="character" w:customStyle="1" w:styleId="ListLabel59">
    <w:name w:val="ListLabel 59"/>
    <w:qFormat/>
    <w:rsid w:val="009861EA"/>
    <w:rPr>
      <w:rFonts w:cs="Courier New"/>
    </w:rPr>
  </w:style>
  <w:style w:type="character" w:customStyle="1" w:styleId="ListLabel60">
    <w:name w:val="ListLabel 60"/>
    <w:qFormat/>
    <w:rsid w:val="009861EA"/>
    <w:rPr>
      <w:rFonts w:cs="OpenSymbol"/>
    </w:rPr>
  </w:style>
  <w:style w:type="character" w:customStyle="1" w:styleId="ListLabel61">
    <w:name w:val="ListLabel 61"/>
    <w:qFormat/>
    <w:rsid w:val="009861EA"/>
    <w:rPr>
      <w:rFonts w:cs="OpenSymbol"/>
    </w:rPr>
  </w:style>
  <w:style w:type="character" w:customStyle="1" w:styleId="ListLabel62">
    <w:name w:val="ListLabel 62"/>
    <w:qFormat/>
    <w:rsid w:val="009861EA"/>
    <w:rPr>
      <w:rFonts w:cs="OpenSymbol"/>
    </w:rPr>
  </w:style>
  <w:style w:type="character" w:customStyle="1" w:styleId="ListLabel63">
    <w:name w:val="ListLabel 63"/>
    <w:qFormat/>
    <w:rsid w:val="009861EA"/>
    <w:rPr>
      <w:rFonts w:cs="OpenSymbol"/>
    </w:rPr>
  </w:style>
  <w:style w:type="character" w:customStyle="1" w:styleId="ListLabel64">
    <w:name w:val="ListLabel 64"/>
    <w:qFormat/>
    <w:rsid w:val="009861EA"/>
    <w:rPr>
      <w:rFonts w:cs="OpenSymbol"/>
    </w:rPr>
  </w:style>
  <w:style w:type="character" w:customStyle="1" w:styleId="ListLabel65">
    <w:name w:val="ListLabel 65"/>
    <w:qFormat/>
    <w:rsid w:val="009861EA"/>
    <w:rPr>
      <w:rFonts w:cs="OpenSymbol"/>
    </w:rPr>
  </w:style>
  <w:style w:type="character" w:customStyle="1" w:styleId="ListLabel66">
    <w:name w:val="ListLabel 66"/>
    <w:qFormat/>
    <w:rsid w:val="009861EA"/>
    <w:rPr>
      <w:rFonts w:cs="OpenSymbol"/>
    </w:rPr>
  </w:style>
  <w:style w:type="character" w:customStyle="1" w:styleId="ListLabel67">
    <w:name w:val="ListLabel 67"/>
    <w:qFormat/>
    <w:rsid w:val="009861EA"/>
    <w:rPr>
      <w:rFonts w:cs="OpenSymbol"/>
    </w:rPr>
  </w:style>
  <w:style w:type="character" w:customStyle="1" w:styleId="ListLabel68">
    <w:name w:val="ListLabel 68"/>
    <w:qFormat/>
    <w:rsid w:val="009861EA"/>
    <w:rPr>
      <w:rFonts w:cs="OpenSymbol"/>
    </w:rPr>
  </w:style>
  <w:style w:type="character" w:customStyle="1" w:styleId="ListLabel69">
    <w:name w:val="ListLabel 69"/>
    <w:qFormat/>
    <w:rsid w:val="009861EA"/>
    <w:rPr>
      <w:rFonts w:cs="OpenSymbol"/>
    </w:rPr>
  </w:style>
  <w:style w:type="character" w:customStyle="1" w:styleId="ListLabel70">
    <w:name w:val="ListLabel 70"/>
    <w:qFormat/>
    <w:rsid w:val="009861EA"/>
    <w:rPr>
      <w:rFonts w:cs="OpenSymbol"/>
    </w:rPr>
  </w:style>
  <w:style w:type="character" w:customStyle="1" w:styleId="ListLabel71">
    <w:name w:val="ListLabel 71"/>
    <w:qFormat/>
    <w:rsid w:val="009861EA"/>
    <w:rPr>
      <w:rFonts w:cs="OpenSymbol"/>
    </w:rPr>
  </w:style>
  <w:style w:type="character" w:customStyle="1" w:styleId="ListLabel72">
    <w:name w:val="ListLabel 72"/>
    <w:qFormat/>
    <w:rsid w:val="009861EA"/>
    <w:rPr>
      <w:rFonts w:cs="OpenSymbol"/>
    </w:rPr>
  </w:style>
  <w:style w:type="character" w:customStyle="1" w:styleId="ListLabel73">
    <w:name w:val="ListLabel 73"/>
    <w:qFormat/>
    <w:rsid w:val="009861EA"/>
    <w:rPr>
      <w:rFonts w:cs="OpenSymbol"/>
    </w:rPr>
  </w:style>
  <w:style w:type="character" w:customStyle="1" w:styleId="ListLabel74">
    <w:name w:val="ListLabel 74"/>
    <w:qFormat/>
    <w:rsid w:val="009861EA"/>
    <w:rPr>
      <w:rFonts w:cs="OpenSymbol"/>
    </w:rPr>
  </w:style>
  <w:style w:type="character" w:customStyle="1" w:styleId="ListLabel75">
    <w:name w:val="ListLabel 75"/>
    <w:qFormat/>
    <w:rsid w:val="009861EA"/>
    <w:rPr>
      <w:rFonts w:cs="OpenSymbol"/>
    </w:rPr>
  </w:style>
  <w:style w:type="character" w:customStyle="1" w:styleId="ListLabel76">
    <w:name w:val="ListLabel 76"/>
    <w:qFormat/>
    <w:rsid w:val="009861EA"/>
    <w:rPr>
      <w:rFonts w:cs="OpenSymbol"/>
    </w:rPr>
  </w:style>
  <w:style w:type="character" w:customStyle="1" w:styleId="ListLabel77">
    <w:name w:val="ListLabel 77"/>
    <w:qFormat/>
    <w:rsid w:val="009861EA"/>
    <w:rPr>
      <w:rFonts w:cs="OpenSymbol"/>
    </w:rPr>
  </w:style>
  <w:style w:type="character" w:customStyle="1" w:styleId="ListLabel78">
    <w:name w:val="ListLabel 78"/>
    <w:qFormat/>
    <w:rsid w:val="009861EA"/>
    <w:rPr>
      <w:rFonts w:cs="OpenSymbol"/>
    </w:rPr>
  </w:style>
  <w:style w:type="character" w:customStyle="1" w:styleId="ListLabel79">
    <w:name w:val="ListLabel 79"/>
    <w:qFormat/>
    <w:rsid w:val="009861EA"/>
    <w:rPr>
      <w:rFonts w:cs="OpenSymbol"/>
    </w:rPr>
  </w:style>
  <w:style w:type="character" w:customStyle="1" w:styleId="ListLabel80">
    <w:name w:val="ListLabel 80"/>
    <w:qFormat/>
    <w:rsid w:val="009861EA"/>
    <w:rPr>
      <w:rFonts w:cs="OpenSymbol"/>
    </w:rPr>
  </w:style>
  <w:style w:type="character" w:customStyle="1" w:styleId="ListLabel81">
    <w:name w:val="ListLabel 81"/>
    <w:qFormat/>
    <w:rsid w:val="009861EA"/>
    <w:rPr>
      <w:rFonts w:cs="OpenSymbol"/>
    </w:rPr>
  </w:style>
  <w:style w:type="character" w:customStyle="1" w:styleId="ListLabel82">
    <w:name w:val="ListLabel 82"/>
    <w:qFormat/>
    <w:rsid w:val="009861EA"/>
    <w:rPr>
      <w:rFonts w:cs="OpenSymbol"/>
    </w:rPr>
  </w:style>
  <w:style w:type="character" w:customStyle="1" w:styleId="ListLabel83">
    <w:name w:val="ListLabel 83"/>
    <w:qFormat/>
    <w:rsid w:val="009861EA"/>
    <w:rPr>
      <w:rFonts w:cs="OpenSymbol"/>
    </w:rPr>
  </w:style>
  <w:style w:type="character" w:customStyle="1" w:styleId="ListLabel84">
    <w:name w:val="ListLabel 84"/>
    <w:qFormat/>
    <w:rsid w:val="009861EA"/>
    <w:rPr>
      <w:rFonts w:cs="OpenSymbol"/>
    </w:rPr>
  </w:style>
  <w:style w:type="character" w:customStyle="1" w:styleId="ListLabel85">
    <w:name w:val="ListLabel 85"/>
    <w:qFormat/>
    <w:rsid w:val="009861EA"/>
    <w:rPr>
      <w:rFonts w:cs="OpenSymbol"/>
    </w:rPr>
  </w:style>
  <w:style w:type="character" w:customStyle="1" w:styleId="ListLabel86">
    <w:name w:val="ListLabel 86"/>
    <w:qFormat/>
    <w:rsid w:val="009861EA"/>
    <w:rPr>
      <w:rFonts w:cs="OpenSymbol"/>
    </w:rPr>
  </w:style>
  <w:style w:type="character" w:customStyle="1" w:styleId="ListLabel87">
    <w:name w:val="ListLabel 87"/>
    <w:qFormat/>
    <w:rsid w:val="009861EA"/>
    <w:rPr>
      <w:rFonts w:cs="Symbol"/>
    </w:rPr>
  </w:style>
  <w:style w:type="character" w:customStyle="1" w:styleId="ListLabel88">
    <w:name w:val="ListLabel 88"/>
    <w:qFormat/>
    <w:rsid w:val="009861EA"/>
    <w:rPr>
      <w:rFonts w:cs="Courier New"/>
    </w:rPr>
  </w:style>
  <w:style w:type="character" w:customStyle="1" w:styleId="ListLabel89">
    <w:name w:val="ListLabel 89"/>
    <w:qFormat/>
    <w:rsid w:val="009861EA"/>
    <w:rPr>
      <w:rFonts w:cs="Wingdings"/>
    </w:rPr>
  </w:style>
  <w:style w:type="character" w:customStyle="1" w:styleId="ListLabel90">
    <w:name w:val="ListLabel 90"/>
    <w:qFormat/>
    <w:rsid w:val="009861EA"/>
    <w:rPr>
      <w:rFonts w:cs="Symbol"/>
    </w:rPr>
  </w:style>
  <w:style w:type="character" w:customStyle="1" w:styleId="ListLabel91">
    <w:name w:val="ListLabel 91"/>
    <w:qFormat/>
    <w:rsid w:val="009861EA"/>
    <w:rPr>
      <w:rFonts w:cs="Courier New"/>
    </w:rPr>
  </w:style>
  <w:style w:type="character" w:customStyle="1" w:styleId="ListLabel92">
    <w:name w:val="ListLabel 92"/>
    <w:qFormat/>
    <w:rsid w:val="009861EA"/>
    <w:rPr>
      <w:rFonts w:cs="Wingdings"/>
    </w:rPr>
  </w:style>
  <w:style w:type="character" w:customStyle="1" w:styleId="ListLabel93">
    <w:name w:val="ListLabel 93"/>
    <w:qFormat/>
    <w:rsid w:val="009861EA"/>
    <w:rPr>
      <w:rFonts w:cs="Symbol"/>
    </w:rPr>
  </w:style>
  <w:style w:type="character" w:customStyle="1" w:styleId="ListLabel94">
    <w:name w:val="ListLabel 94"/>
    <w:qFormat/>
    <w:rsid w:val="009861EA"/>
    <w:rPr>
      <w:rFonts w:cs="Courier New"/>
    </w:rPr>
  </w:style>
  <w:style w:type="character" w:customStyle="1" w:styleId="ListLabel95">
    <w:name w:val="ListLabel 95"/>
    <w:qFormat/>
    <w:rsid w:val="009861EA"/>
    <w:rPr>
      <w:rFonts w:cs="Wingdings"/>
    </w:rPr>
  </w:style>
  <w:style w:type="character" w:customStyle="1" w:styleId="ListLabel96">
    <w:name w:val="ListLabel 96"/>
    <w:qFormat/>
    <w:rsid w:val="009861EA"/>
    <w:rPr>
      <w:rFonts w:cs="OpenSymbol"/>
    </w:rPr>
  </w:style>
  <w:style w:type="character" w:customStyle="1" w:styleId="ListLabel97">
    <w:name w:val="ListLabel 97"/>
    <w:qFormat/>
    <w:rsid w:val="009861EA"/>
    <w:rPr>
      <w:rFonts w:cs="OpenSymbol"/>
    </w:rPr>
  </w:style>
  <w:style w:type="character" w:customStyle="1" w:styleId="ListLabel98">
    <w:name w:val="ListLabel 98"/>
    <w:qFormat/>
    <w:rsid w:val="009861EA"/>
    <w:rPr>
      <w:rFonts w:cs="OpenSymbol"/>
    </w:rPr>
  </w:style>
  <w:style w:type="character" w:customStyle="1" w:styleId="ListLabel99">
    <w:name w:val="ListLabel 99"/>
    <w:qFormat/>
    <w:rsid w:val="009861EA"/>
    <w:rPr>
      <w:rFonts w:cs="OpenSymbol"/>
    </w:rPr>
  </w:style>
  <w:style w:type="character" w:customStyle="1" w:styleId="ListLabel100">
    <w:name w:val="ListLabel 100"/>
    <w:qFormat/>
    <w:rsid w:val="009861EA"/>
    <w:rPr>
      <w:rFonts w:cs="OpenSymbol"/>
    </w:rPr>
  </w:style>
  <w:style w:type="character" w:customStyle="1" w:styleId="ListLabel101">
    <w:name w:val="ListLabel 101"/>
    <w:qFormat/>
    <w:rsid w:val="009861EA"/>
    <w:rPr>
      <w:rFonts w:cs="OpenSymbol"/>
    </w:rPr>
  </w:style>
  <w:style w:type="character" w:customStyle="1" w:styleId="ListLabel102">
    <w:name w:val="ListLabel 102"/>
    <w:qFormat/>
    <w:rsid w:val="009861EA"/>
    <w:rPr>
      <w:rFonts w:cs="OpenSymbol"/>
    </w:rPr>
  </w:style>
  <w:style w:type="character" w:customStyle="1" w:styleId="ListLabel103">
    <w:name w:val="ListLabel 103"/>
    <w:qFormat/>
    <w:rsid w:val="009861EA"/>
    <w:rPr>
      <w:rFonts w:cs="OpenSymbol"/>
    </w:rPr>
  </w:style>
  <w:style w:type="character" w:customStyle="1" w:styleId="ListLabel104">
    <w:name w:val="ListLabel 104"/>
    <w:qFormat/>
    <w:rsid w:val="009861EA"/>
    <w:rPr>
      <w:rFonts w:cs="OpenSymbol"/>
    </w:rPr>
  </w:style>
  <w:style w:type="character" w:customStyle="1" w:styleId="ListLabel105">
    <w:name w:val="ListLabel 105"/>
    <w:qFormat/>
    <w:rsid w:val="009861EA"/>
    <w:rPr>
      <w:rFonts w:cs="OpenSymbol"/>
    </w:rPr>
  </w:style>
  <w:style w:type="character" w:customStyle="1" w:styleId="ListLabel106">
    <w:name w:val="ListLabel 106"/>
    <w:qFormat/>
    <w:rsid w:val="009861EA"/>
    <w:rPr>
      <w:rFonts w:cs="OpenSymbol"/>
    </w:rPr>
  </w:style>
  <w:style w:type="character" w:customStyle="1" w:styleId="ListLabel107">
    <w:name w:val="ListLabel 107"/>
    <w:qFormat/>
    <w:rsid w:val="009861EA"/>
    <w:rPr>
      <w:rFonts w:cs="OpenSymbol"/>
    </w:rPr>
  </w:style>
  <w:style w:type="character" w:customStyle="1" w:styleId="ListLabel108">
    <w:name w:val="ListLabel 108"/>
    <w:qFormat/>
    <w:rsid w:val="009861EA"/>
    <w:rPr>
      <w:rFonts w:cs="OpenSymbol"/>
    </w:rPr>
  </w:style>
  <w:style w:type="character" w:customStyle="1" w:styleId="ListLabel109">
    <w:name w:val="ListLabel 109"/>
    <w:qFormat/>
    <w:rsid w:val="009861EA"/>
    <w:rPr>
      <w:rFonts w:cs="OpenSymbol"/>
    </w:rPr>
  </w:style>
  <w:style w:type="character" w:customStyle="1" w:styleId="ListLabel110">
    <w:name w:val="ListLabel 110"/>
    <w:qFormat/>
    <w:rsid w:val="009861EA"/>
    <w:rPr>
      <w:rFonts w:cs="OpenSymbol"/>
    </w:rPr>
  </w:style>
  <w:style w:type="character" w:customStyle="1" w:styleId="ListLabel111">
    <w:name w:val="ListLabel 111"/>
    <w:qFormat/>
    <w:rsid w:val="009861EA"/>
    <w:rPr>
      <w:rFonts w:cs="OpenSymbol"/>
    </w:rPr>
  </w:style>
  <w:style w:type="character" w:customStyle="1" w:styleId="ListLabel112">
    <w:name w:val="ListLabel 112"/>
    <w:qFormat/>
    <w:rsid w:val="009861EA"/>
    <w:rPr>
      <w:rFonts w:cs="OpenSymbol"/>
    </w:rPr>
  </w:style>
  <w:style w:type="character" w:customStyle="1" w:styleId="ListLabel113">
    <w:name w:val="ListLabel 113"/>
    <w:qFormat/>
    <w:rsid w:val="009861EA"/>
    <w:rPr>
      <w:rFonts w:cs="OpenSymbol"/>
    </w:rPr>
  </w:style>
  <w:style w:type="character" w:customStyle="1" w:styleId="ListLabel114">
    <w:name w:val="ListLabel 114"/>
    <w:qFormat/>
    <w:rsid w:val="009861EA"/>
    <w:rPr>
      <w:rFonts w:cs="OpenSymbol"/>
    </w:rPr>
  </w:style>
  <w:style w:type="character" w:customStyle="1" w:styleId="ListLabel115">
    <w:name w:val="ListLabel 115"/>
    <w:qFormat/>
    <w:rsid w:val="009861EA"/>
    <w:rPr>
      <w:rFonts w:cs="OpenSymbol"/>
    </w:rPr>
  </w:style>
  <w:style w:type="character" w:customStyle="1" w:styleId="ListLabel116">
    <w:name w:val="ListLabel 116"/>
    <w:qFormat/>
    <w:rsid w:val="009861EA"/>
    <w:rPr>
      <w:rFonts w:cs="OpenSymbol"/>
    </w:rPr>
  </w:style>
  <w:style w:type="character" w:customStyle="1" w:styleId="ListLabel117">
    <w:name w:val="ListLabel 117"/>
    <w:qFormat/>
    <w:rsid w:val="009861EA"/>
    <w:rPr>
      <w:rFonts w:cs="OpenSymbol"/>
    </w:rPr>
  </w:style>
  <w:style w:type="character" w:customStyle="1" w:styleId="ListLabel118">
    <w:name w:val="ListLabel 118"/>
    <w:qFormat/>
    <w:rsid w:val="009861EA"/>
    <w:rPr>
      <w:rFonts w:cs="OpenSymbol"/>
    </w:rPr>
  </w:style>
  <w:style w:type="character" w:customStyle="1" w:styleId="ListLabel119">
    <w:name w:val="ListLabel 119"/>
    <w:qFormat/>
    <w:rsid w:val="009861EA"/>
    <w:rPr>
      <w:rFonts w:cs="OpenSymbol"/>
    </w:rPr>
  </w:style>
  <w:style w:type="character" w:customStyle="1" w:styleId="ListLabel120">
    <w:name w:val="ListLabel 120"/>
    <w:qFormat/>
    <w:rsid w:val="009861EA"/>
    <w:rPr>
      <w:rFonts w:cs="OpenSymbol"/>
    </w:rPr>
  </w:style>
  <w:style w:type="character" w:customStyle="1" w:styleId="ListLabel121">
    <w:name w:val="ListLabel 121"/>
    <w:qFormat/>
    <w:rsid w:val="009861EA"/>
    <w:rPr>
      <w:rFonts w:cs="OpenSymbol"/>
    </w:rPr>
  </w:style>
  <w:style w:type="character" w:customStyle="1" w:styleId="ListLabel122">
    <w:name w:val="ListLabel 122"/>
    <w:qFormat/>
    <w:rsid w:val="009861EA"/>
    <w:rPr>
      <w:rFonts w:cs="OpenSymbol"/>
    </w:rPr>
  </w:style>
  <w:style w:type="character" w:customStyle="1" w:styleId="ListLabel123">
    <w:name w:val="ListLabel 123"/>
    <w:qFormat/>
    <w:rsid w:val="009861EA"/>
    <w:rPr>
      <w:b/>
    </w:rPr>
  </w:style>
  <w:style w:type="character" w:customStyle="1" w:styleId="ListLabel124">
    <w:name w:val="ListLabel 124"/>
    <w:qFormat/>
    <w:rsid w:val="009861EA"/>
    <w:rPr>
      <w:rFonts w:cs="OpenSymbol"/>
    </w:rPr>
  </w:style>
  <w:style w:type="character" w:customStyle="1" w:styleId="ListLabel125">
    <w:name w:val="ListLabel 125"/>
    <w:qFormat/>
    <w:rsid w:val="009861EA"/>
    <w:rPr>
      <w:rFonts w:cs="OpenSymbol"/>
    </w:rPr>
  </w:style>
  <w:style w:type="character" w:customStyle="1" w:styleId="ListLabel126">
    <w:name w:val="ListLabel 126"/>
    <w:qFormat/>
    <w:rsid w:val="009861EA"/>
    <w:rPr>
      <w:rFonts w:cs="OpenSymbol"/>
    </w:rPr>
  </w:style>
  <w:style w:type="character" w:customStyle="1" w:styleId="ListLabel127">
    <w:name w:val="ListLabel 127"/>
    <w:qFormat/>
    <w:rsid w:val="009861EA"/>
    <w:rPr>
      <w:rFonts w:cs="OpenSymbol"/>
    </w:rPr>
  </w:style>
  <w:style w:type="character" w:customStyle="1" w:styleId="ListLabel128">
    <w:name w:val="ListLabel 128"/>
    <w:qFormat/>
    <w:rsid w:val="009861EA"/>
    <w:rPr>
      <w:rFonts w:cs="OpenSymbol"/>
    </w:rPr>
  </w:style>
  <w:style w:type="character" w:customStyle="1" w:styleId="ListLabel129">
    <w:name w:val="ListLabel 129"/>
    <w:qFormat/>
    <w:rsid w:val="009861EA"/>
    <w:rPr>
      <w:rFonts w:cs="OpenSymbol"/>
    </w:rPr>
  </w:style>
  <w:style w:type="character" w:customStyle="1" w:styleId="ListLabel130">
    <w:name w:val="ListLabel 130"/>
    <w:qFormat/>
    <w:rsid w:val="009861EA"/>
    <w:rPr>
      <w:rFonts w:cs="OpenSymbol"/>
    </w:rPr>
  </w:style>
  <w:style w:type="character" w:customStyle="1" w:styleId="ListLabel131">
    <w:name w:val="ListLabel 131"/>
    <w:qFormat/>
    <w:rsid w:val="009861EA"/>
    <w:rPr>
      <w:rFonts w:cs="OpenSymbol"/>
    </w:rPr>
  </w:style>
  <w:style w:type="character" w:customStyle="1" w:styleId="ListLabel132">
    <w:name w:val="ListLabel 132"/>
    <w:qFormat/>
    <w:rsid w:val="009861EA"/>
    <w:rPr>
      <w:rFonts w:cs="OpenSymbol"/>
    </w:rPr>
  </w:style>
  <w:style w:type="character" w:customStyle="1" w:styleId="ListLabel133">
    <w:name w:val="ListLabel 133"/>
    <w:qFormat/>
    <w:rsid w:val="009861EA"/>
    <w:rPr>
      <w:color w:val="012169"/>
      <w:sz w:val="18"/>
    </w:rPr>
  </w:style>
  <w:style w:type="character" w:customStyle="1" w:styleId="ListLabel134">
    <w:name w:val="ListLabel 134"/>
    <w:qFormat/>
    <w:rsid w:val="009861EA"/>
    <w:rPr>
      <w:rFonts w:cs="Courier New"/>
    </w:rPr>
  </w:style>
  <w:style w:type="character" w:customStyle="1" w:styleId="ListLabel135">
    <w:name w:val="ListLabel 135"/>
    <w:qFormat/>
    <w:rsid w:val="009861EA"/>
    <w:rPr>
      <w:rFonts w:cs="Courier New"/>
    </w:rPr>
  </w:style>
  <w:style w:type="character" w:customStyle="1" w:styleId="ListLabel136">
    <w:name w:val="ListLabel 136"/>
    <w:qFormat/>
    <w:rsid w:val="009861EA"/>
    <w:rPr>
      <w:rFonts w:cs="Courier New"/>
    </w:rPr>
  </w:style>
  <w:style w:type="character" w:customStyle="1" w:styleId="ListLabel137">
    <w:name w:val="ListLabel 137"/>
    <w:qFormat/>
    <w:rsid w:val="009861EA"/>
    <w:rPr>
      <w:rFonts w:cs="Courier New"/>
    </w:rPr>
  </w:style>
  <w:style w:type="character" w:customStyle="1" w:styleId="ListLabel138">
    <w:name w:val="ListLabel 138"/>
    <w:qFormat/>
    <w:rsid w:val="009861EA"/>
    <w:rPr>
      <w:rFonts w:cs="Courier New"/>
    </w:rPr>
  </w:style>
  <w:style w:type="character" w:customStyle="1" w:styleId="ListLabel139">
    <w:name w:val="ListLabel 139"/>
    <w:qFormat/>
    <w:rsid w:val="009861EA"/>
    <w:rPr>
      <w:rFonts w:cs="Courier New"/>
      <w:color w:val="53565A"/>
      <w:sz w:val="18"/>
    </w:rPr>
  </w:style>
  <w:style w:type="character" w:customStyle="1" w:styleId="ListLabel140">
    <w:name w:val="ListLabel 140"/>
    <w:qFormat/>
    <w:rsid w:val="009861EA"/>
    <w:rPr>
      <w:rFonts w:cs="Courier New"/>
    </w:rPr>
  </w:style>
  <w:style w:type="character" w:customStyle="1" w:styleId="ListLabel141">
    <w:name w:val="ListLabel 141"/>
    <w:qFormat/>
    <w:rsid w:val="009861EA"/>
    <w:rPr>
      <w:rFonts w:cs="Courier New"/>
    </w:rPr>
  </w:style>
  <w:style w:type="character" w:customStyle="1" w:styleId="ListLabel142">
    <w:name w:val="ListLabel 142"/>
    <w:qFormat/>
    <w:rsid w:val="009861EA"/>
    <w:rPr>
      <w:rFonts w:cs="Courier New"/>
    </w:rPr>
  </w:style>
  <w:style w:type="character" w:customStyle="1" w:styleId="ListLabel143">
    <w:name w:val="ListLabel 143"/>
    <w:qFormat/>
    <w:rsid w:val="009861EA"/>
    <w:rPr>
      <w:rFonts w:cs="Symbol"/>
    </w:rPr>
  </w:style>
  <w:style w:type="character" w:customStyle="1" w:styleId="ListLabel144">
    <w:name w:val="ListLabel 144"/>
    <w:qFormat/>
    <w:rsid w:val="009861EA"/>
    <w:rPr>
      <w:color w:val="012169"/>
      <w:sz w:val="18"/>
    </w:rPr>
  </w:style>
  <w:style w:type="character" w:customStyle="1" w:styleId="ListLabel145">
    <w:name w:val="ListLabel 145"/>
    <w:qFormat/>
    <w:rsid w:val="009861EA"/>
    <w:rPr>
      <w:rFonts w:eastAsia="Verdana"/>
    </w:rPr>
  </w:style>
  <w:style w:type="character" w:customStyle="1" w:styleId="ListLabel146">
    <w:name w:val="ListLabel 146"/>
    <w:qFormat/>
    <w:rsid w:val="009861EA"/>
    <w:rPr>
      <w:rFonts w:cs="Courier New"/>
    </w:rPr>
  </w:style>
  <w:style w:type="character" w:customStyle="1" w:styleId="ListLabel147">
    <w:name w:val="ListLabel 147"/>
    <w:qFormat/>
    <w:rsid w:val="009861EA"/>
    <w:rPr>
      <w:rFonts w:cs="Courier New"/>
    </w:rPr>
  </w:style>
  <w:style w:type="character" w:customStyle="1" w:styleId="ListLabel148">
    <w:name w:val="ListLabel 148"/>
    <w:qFormat/>
    <w:rsid w:val="009861EA"/>
    <w:rPr>
      <w:rFonts w:cs="Courier New"/>
    </w:rPr>
  </w:style>
  <w:style w:type="character" w:customStyle="1" w:styleId="Odkaznarejstk">
    <w:name w:val="Odkaz na rejstřík"/>
    <w:qFormat/>
    <w:rsid w:val="009861EA"/>
  </w:style>
  <w:style w:type="character" w:customStyle="1" w:styleId="Znakypropoznmkupodarou">
    <w:name w:val="Znaky pro poznámku pod čarou"/>
    <w:qFormat/>
    <w:rsid w:val="009861EA"/>
  </w:style>
  <w:style w:type="character" w:customStyle="1" w:styleId="Ukotvenvysvtlivky">
    <w:name w:val="Ukotvení vysvětlivky"/>
    <w:rsid w:val="009861EA"/>
    <w:rPr>
      <w:vertAlign w:val="superscript"/>
    </w:rPr>
  </w:style>
  <w:style w:type="character" w:customStyle="1" w:styleId="Znakyprovysvtlivky">
    <w:name w:val="Znaky pro vysvětlivky"/>
    <w:qFormat/>
    <w:rsid w:val="009861EA"/>
  </w:style>
  <w:style w:type="character" w:customStyle="1" w:styleId="ListLabel149">
    <w:name w:val="ListLabel 149"/>
    <w:qFormat/>
    <w:rsid w:val="009861EA"/>
    <w:rPr>
      <w:rFonts w:cs="Symbol"/>
    </w:rPr>
  </w:style>
  <w:style w:type="character" w:customStyle="1" w:styleId="ListLabel150">
    <w:name w:val="ListLabel 150"/>
    <w:qFormat/>
    <w:rsid w:val="009861EA"/>
    <w:rPr>
      <w:rFonts w:ascii="Verdana" w:hAnsi="Verdana" w:cs="Symbol"/>
      <w:sz w:val="16"/>
    </w:rPr>
  </w:style>
  <w:style w:type="character" w:customStyle="1" w:styleId="ListLabel151">
    <w:name w:val="ListLabel 151"/>
    <w:qFormat/>
    <w:rsid w:val="009861EA"/>
    <w:rPr>
      <w:rFonts w:cs="Courier New"/>
    </w:rPr>
  </w:style>
  <w:style w:type="character" w:customStyle="1" w:styleId="ListLabel152">
    <w:name w:val="ListLabel 152"/>
    <w:qFormat/>
    <w:rsid w:val="009861EA"/>
    <w:rPr>
      <w:rFonts w:cs="Wingdings"/>
    </w:rPr>
  </w:style>
  <w:style w:type="character" w:customStyle="1" w:styleId="ListLabel153">
    <w:name w:val="ListLabel 153"/>
    <w:qFormat/>
    <w:rsid w:val="009861EA"/>
    <w:rPr>
      <w:rFonts w:cs="Symbol"/>
    </w:rPr>
  </w:style>
  <w:style w:type="character" w:customStyle="1" w:styleId="ListLabel154">
    <w:name w:val="ListLabel 154"/>
    <w:qFormat/>
    <w:rsid w:val="009861EA"/>
    <w:rPr>
      <w:rFonts w:cs="Courier New"/>
    </w:rPr>
  </w:style>
  <w:style w:type="character" w:customStyle="1" w:styleId="ListLabel155">
    <w:name w:val="ListLabel 155"/>
    <w:qFormat/>
    <w:rsid w:val="009861EA"/>
    <w:rPr>
      <w:rFonts w:cs="Wingdings"/>
    </w:rPr>
  </w:style>
  <w:style w:type="character" w:customStyle="1" w:styleId="ListLabel156">
    <w:name w:val="ListLabel 156"/>
    <w:qFormat/>
    <w:rsid w:val="009861EA"/>
    <w:rPr>
      <w:rFonts w:cs="Symbol"/>
    </w:rPr>
  </w:style>
  <w:style w:type="character" w:customStyle="1" w:styleId="ListLabel157">
    <w:name w:val="ListLabel 157"/>
    <w:qFormat/>
    <w:rsid w:val="009861EA"/>
    <w:rPr>
      <w:rFonts w:cs="Courier New"/>
    </w:rPr>
  </w:style>
  <w:style w:type="character" w:customStyle="1" w:styleId="ListLabel158">
    <w:name w:val="ListLabel 158"/>
    <w:qFormat/>
    <w:rsid w:val="009861EA"/>
    <w:rPr>
      <w:rFonts w:cs="Wingdings"/>
    </w:rPr>
  </w:style>
  <w:style w:type="character" w:customStyle="1" w:styleId="ListLabel159">
    <w:name w:val="ListLabel 159"/>
    <w:qFormat/>
    <w:rsid w:val="009861EA"/>
    <w:rPr>
      <w:rFonts w:ascii="Verdana" w:hAnsi="Verdana"/>
      <w:b/>
    </w:rPr>
  </w:style>
  <w:style w:type="character" w:customStyle="1" w:styleId="ListLabel160">
    <w:name w:val="ListLabel 160"/>
    <w:qFormat/>
    <w:rsid w:val="009861EA"/>
    <w:rPr>
      <w:rFonts w:ascii="Verdana" w:hAnsi="Verdana"/>
      <w:b/>
    </w:rPr>
  </w:style>
  <w:style w:type="character" w:customStyle="1" w:styleId="ListLabel161">
    <w:name w:val="ListLabel 161"/>
    <w:qFormat/>
    <w:rsid w:val="009861EA"/>
    <w:rPr>
      <w:rFonts w:cs="Courier New"/>
    </w:rPr>
  </w:style>
  <w:style w:type="character" w:customStyle="1" w:styleId="ListLabel162">
    <w:name w:val="ListLabel 162"/>
    <w:qFormat/>
    <w:rsid w:val="009861EA"/>
    <w:rPr>
      <w:rFonts w:cs="Wingdings"/>
    </w:rPr>
  </w:style>
  <w:style w:type="character" w:customStyle="1" w:styleId="ListLabel163">
    <w:name w:val="ListLabel 163"/>
    <w:qFormat/>
    <w:rsid w:val="009861EA"/>
    <w:rPr>
      <w:rFonts w:cs="Symbol"/>
    </w:rPr>
  </w:style>
  <w:style w:type="character" w:customStyle="1" w:styleId="ListLabel164">
    <w:name w:val="ListLabel 164"/>
    <w:qFormat/>
    <w:rsid w:val="009861EA"/>
    <w:rPr>
      <w:rFonts w:cs="Courier New"/>
    </w:rPr>
  </w:style>
  <w:style w:type="character" w:customStyle="1" w:styleId="ListLabel165">
    <w:name w:val="ListLabel 165"/>
    <w:qFormat/>
    <w:rsid w:val="009861EA"/>
    <w:rPr>
      <w:rFonts w:cs="Wingdings"/>
    </w:rPr>
  </w:style>
  <w:style w:type="character" w:customStyle="1" w:styleId="ListLabel166">
    <w:name w:val="ListLabel 166"/>
    <w:qFormat/>
    <w:rsid w:val="009861EA"/>
    <w:rPr>
      <w:rFonts w:cs="Symbol"/>
    </w:rPr>
  </w:style>
  <w:style w:type="character" w:customStyle="1" w:styleId="ListLabel167">
    <w:name w:val="ListLabel 167"/>
    <w:qFormat/>
    <w:rsid w:val="009861EA"/>
    <w:rPr>
      <w:rFonts w:cs="Courier New"/>
    </w:rPr>
  </w:style>
  <w:style w:type="character" w:customStyle="1" w:styleId="ListLabel168">
    <w:name w:val="ListLabel 168"/>
    <w:qFormat/>
    <w:rsid w:val="009861EA"/>
    <w:rPr>
      <w:rFonts w:cs="Wingdings"/>
    </w:rPr>
  </w:style>
  <w:style w:type="character" w:customStyle="1" w:styleId="ListLabel169">
    <w:name w:val="ListLabel 169"/>
    <w:qFormat/>
    <w:rsid w:val="009861EA"/>
    <w:rPr>
      <w:rFonts w:ascii="Verdana" w:hAnsi="Verdana" w:cs="Symbol"/>
      <w:b/>
      <w:sz w:val="17"/>
    </w:rPr>
  </w:style>
  <w:style w:type="character" w:customStyle="1" w:styleId="ListLabel170">
    <w:name w:val="ListLabel 170"/>
    <w:qFormat/>
    <w:rsid w:val="009861EA"/>
    <w:rPr>
      <w:rFonts w:cs="Courier New"/>
    </w:rPr>
  </w:style>
  <w:style w:type="character" w:customStyle="1" w:styleId="ListLabel171">
    <w:name w:val="ListLabel 171"/>
    <w:qFormat/>
    <w:rsid w:val="009861EA"/>
    <w:rPr>
      <w:rFonts w:cs="Wingdings"/>
    </w:rPr>
  </w:style>
  <w:style w:type="character" w:customStyle="1" w:styleId="ListLabel172">
    <w:name w:val="ListLabel 172"/>
    <w:qFormat/>
    <w:rsid w:val="009861EA"/>
    <w:rPr>
      <w:rFonts w:cs="Symbol"/>
    </w:rPr>
  </w:style>
  <w:style w:type="character" w:customStyle="1" w:styleId="ListLabel173">
    <w:name w:val="ListLabel 173"/>
    <w:qFormat/>
    <w:rsid w:val="009861EA"/>
    <w:rPr>
      <w:rFonts w:cs="Courier New"/>
    </w:rPr>
  </w:style>
  <w:style w:type="character" w:customStyle="1" w:styleId="ListLabel174">
    <w:name w:val="ListLabel 174"/>
    <w:qFormat/>
    <w:rsid w:val="009861EA"/>
    <w:rPr>
      <w:rFonts w:cs="Wingdings"/>
    </w:rPr>
  </w:style>
  <w:style w:type="character" w:customStyle="1" w:styleId="ListLabel175">
    <w:name w:val="ListLabel 175"/>
    <w:qFormat/>
    <w:rsid w:val="009861EA"/>
    <w:rPr>
      <w:rFonts w:cs="Symbol"/>
    </w:rPr>
  </w:style>
  <w:style w:type="character" w:customStyle="1" w:styleId="ListLabel176">
    <w:name w:val="ListLabel 176"/>
    <w:qFormat/>
    <w:rsid w:val="009861EA"/>
    <w:rPr>
      <w:rFonts w:cs="Courier New"/>
    </w:rPr>
  </w:style>
  <w:style w:type="character" w:customStyle="1" w:styleId="ListLabel177">
    <w:name w:val="ListLabel 177"/>
    <w:qFormat/>
    <w:rsid w:val="009861EA"/>
    <w:rPr>
      <w:rFonts w:cs="Wingdings"/>
    </w:rPr>
  </w:style>
  <w:style w:type="character" w:customStyle="1" w:styleId="ListLabel178">
    <w:name w:val="ListLabel 178"/>
    <w:qFormat/>
    <w:rsid w:val="009861EA"/>
    <w:rPr>
      <w:rFonts w:ascii="Verdana" w:hAnsi="Verdana" w:cs="Symbol"/>
      <w:b/>
      <w:sz w:val="17"/>
    </w:rPr>
  </w:style>
  <w:style w:type="character" w:customStyle="1" w:styleId="ListLabel179">
    <w:name w:val="ListLabel 179"/>
    <w:qFormat/>
    <w:rsid w:val="009861EA"/>
    <w:rPr>
      <w:rFonts w:cs="Courier New"/>
    </w:rPr>
  </w:style>
  <w:style w:type="character" w:customStyle="1" w:styleId="ListLabel180">
    <w:name w:val="ListLabel 180"/>
    <w:qFormat/>
    <w:rsid w:val="009861EA"/>
    <w:rPr>
      <w:rFonts w:cs="Wingdings"/>
    </w:rPr>
  </w:style>
  <w:style w:type="character" w:customStyle="1" w:styleId="ListLabel181">
    <w:name w:val="ListLabel 181"/>
    <w:qFormat/>
    <w:rsid w:val="009861EA"/>
    <w:rPr>
      <w:rFonts w:cs="Symbol"/>
    </w:rPr>
  </w:style>
  <w:style w:type="character" w:customStyle="1" w:styleId="ListLabel182">
    <w:name w:val="ListLabel 182"/>
    <w:qFormat/>
    <w:rsid w:val="009861EA"/>
    <w:rPr>
      <w:rFonts w:cs="Courier New"/>
    </w:rPr>
  </w:style>
  <w:style w:type="character" w:customStyle="1" w:styleId="ListLabel183">
    <w:name w:val="ListLabel 183"/>
    <w:qFormat/>
    <w:rsid w:val="009861EA"/>
    <w:rPr>
      <w:rFonts w:cs="Wingdings"/>
    </w:rPr>
  </w:style>
  <w:style w:type="character" w:customStyle="1" w:styleId="ListLabel184">
    <w:name w:val="ListLabel 184"/>
    <w:qFormat/>
    <w:rsid w:val="009861EA"/>
    <w:rPr>
      <w:rFonts w:cs="Symbol"/>
    </w:rPr>
  </w:style>
  <w:style w:type="character" w:customStyle="1" w:styleId="ListLabel185">
    <w:name w:val="ListLabel 185"/>
    <w:qFormat/>
    <w:rsid w:val="009861EA"/>
    <w:rPr>
      <w:rFonts w:cs="Courier New"/>
    </w:rPr>
  </w:style>
  <w:style w:type="character" w:customStyle="1" w:styleId="ListLabel186">
    <w:name w:val="ListLabel 186"/>
    <w:qFormat/>
    <w:rsid w:val="009861EA"/>
    <w:rPr>
      <w:rFonts w:cs="Wingdings"/>
    </w:rPr>
  </w:style>
  <w:style w:type="character" w:customStyle="1" w:styleId="ListLabel187">
    <w:name w:val="ListLabel 187"/>
    <w:qFormat/>
    <w:rsid w:val="009861EA"/>
    <w:rPr>
      <w:rFonts w:ascii="Verdana" w:hAnsi="Verdana" w:cs="Symbol"/>
      <w:b/>
      <w:sz w:val="17"/>
    </w:rPr>
  </w:style>
  <w:style w:type="character" w:customStyle="1" w:styleId="ListLabel188">
    <w:name w:val="ListLabel 188"/>
    <w:qFormat/>
    <w:rsid w:val="009861EA"/>
    <w:rPr>
      <w:rFonts w:cs="Courier New"/>
    </w:rPr>
  </w:style>
  <w:style w:type="character" w:customStyle="1" w:styleId="ListLabel189">
    <w:name w:val="ListLabel 189"/>
    <w:qFormat/>
    <w:rsid w:val="009861EA"/>
    <w:rPr>
      <w:rFonts w:cs="Wingdings"/>
    </w:rPr>
  </w:style>
  <w:style w:type="character" w:customStyle="1" w:styleId="ListLabel190">
    <w:name w:val="ListLabel 190"/>
    <w:qFormat/>
    <w:rsid w:val="009861EA"/>
    <w:rPr>
      <w:rFonts w:cs="Symbol"/>
    </w:rPr>
  </w:style>
  <w:style w:type="character" w:customStyle="1" w:styleId="ListLabel191">
    <w:name w:val="ListLabel 191"/>
    <w:qFormat/>
    <w:rsid w:val="009861EA"/>
    <w:rPr>
      <w:rFonts w:cs="Courier New"/>
    </w:rPr>
  </w:style>
  <w:style w:type="character" w:customStyle="1" w:styleId="ListLabel192">
    <w:name w:val="ListLabel 192"/>
    <w:qFormat/>
    <w:rsid w:val="009861EA"/>
    <w:rPr>
      <w:rFonts w:cs="Wingdings"/>
    </w:rPr>
  </w:style>
  <w:style w:type="character" w:customStyle="1" w:styleId="ListLabel193">
    <w:name w:val="ListLabel 193"/>
    <w:qFormat/>
    <w:rsid w:val="009861EA"/>
    <w:rPr>
      <w:rFonts w:cs="Symbol"/>
    </w:rPr>
  </w:style>
  <w:style w:type="character" w:customStyle="1" w:styleId="ListLabel194">
    <w:name w:val="ListLabel 194"/>
    <w:qFormat/>
    <w:rsid w:val="009861EA"/>
    <w:rPr>
      <w:rFonts w:cs="Courier New"/>
    </w:rPr>
  </w:style>
  <w:style w:type="character" w:customStyle="1" w:styleId="ListLabel195">
    <w:name w:val="ListLabel 195"/>
    <w:qFormat/>
    <w:rsid w:val="009861EA"/>
    <w:rPr>
      <w:rFonts w:cs="Wingdings"/>
    </w:rPr>
  </w:style>
  <w:style w:type="character" w:customStyle="1" w:styleId="ListLabel196">
    <w:name w:val="ListLabel 196"/>
    <w:qFormat/>
    <w:rsid w:val="009861EA"/>
    <w:rPr>
      <w:rFonts w:cs="Symbol"/>
      <w:b/>
      <w:color w:val="53565A"/>
      <w:sz w:val="18"/>
    </w:rPr>
  </w:style>
  <w:style w:type="character" w:customStyle="1" w:styleId="ListLabel197">
    <w:name w:val="ListLabel 197"/>
    <w:qFormat/>
    <w:rsid w:val="009861EA"/>
    <w:rPr>
      <w:rFonts w:cs="Courier New"/>
    </w:rPr>
  </w:style>
  <w:style w:type="character" w:customStyle="1" w:styleId="ListLabel198">
    <w:name w:val="ListLabel 198"/>
    <w:qFormat/>
    <w:rsid w:val="009861EA"/>
    <w:rPr>
      <w:rFonts w:cs="Wingdings"/>
    </w:rPr>
  </w:style>
  <w:style w:type="character" w:customStyle="1" w:styleId="ListLabel199">
    <w:name w:val="ListLabel 199"/>
    <w:qFormat/>
    <w:rsid w:val="009861EA"/>
    <w:rPr>
      <w:rFonts w:cs="Symbol"/>
    </w:rPr>
  </w:style>
  <w:style w:type="character" w:customStyle="1" w:styleId="ListLabel200">
    <w:name w:val="ListLabel 200"/>
    <w:qFormat/>
    <w:rsid w:val="009861EA"/>
    <w:rPr>
      <w:rFonts w:cs="Courier New"/>
    </w:rPr>
  </w:style>
  <w:style w:type="character" w:customStyle="1" w:styleId="ListLabel201">
    <w:name w:val="ListLabel 201"/>
    <w:qFormat/>
    <w:rsid w:val="009861EA"/>
    <w:rPr>
      <w:rFonts w:cs="Wingdings"/>
    </w:rPr>
  </w:style>
  <w:style w:type="character" w:customStyle="1" w:styleId="ListLabel202">
    <w:name w:val="ListLabel 202"/>
    <w:qFormat/>
    <w:rsid w:val="009861EA"/>
    <w:rPr>
      <w:rFonts w:cs="Symbol"/>
    </w:rPr>
  </w:style>
  <w:style w:type="character" w:customStyle="1" w:styleId="ListLabel203">
    <w:name w:val="ListLabel 203"/>
    <w:qFormat/>
    <w:rsid w:val="009861EA"/>
    <w:rPr>
      <w:rFonts w:cs="Courier New"/>
    </w:rPr>
  </w:style>
  <w:style w:type="character" w:customStyle="1" w:styleId="ListLabel204">
    <w:name w:val="ListLabel 204"/>
    <w:qFormat/>
    <w:rsid w:val="009861EA"/>
    <w:rPr>
      <w:rFonts w:cs="Wingdings"/>
    </w:rPr>
  </w:style>
  <w:style w:type="character" w:customStyle="1" w:styleId="ListLabel205">
    <w:name w:val="ListLabel 205"/>
    <w:qFormat/>
    <w:rsid w:val="009861EA"/>
    <w:rPr>
      <w:rFonts w:cs="Symbol"/>
    </w:rPr>
  </w:style>
  <w:style w:type="character" w:customStyle="1" w:styleId="ListLabel206">
    <w:name w:val="ListLabel 206"/>
    <w:qFormat/>
    <w:rsid w:val="009861EA"/>
    <w:rPr>
      <w:rFonts w:cs="Courier New"/>
      <w:b/>
    </w:rPr>
  </w:style>
  <w:style w:type="character" w:customStyle="1" w:styleId="ListLabel207">
    <w:name w:val="ListLabel 207"/>
    <w:qFormat/>
    <w:rsid w:val="009861EA"/>
    <w:rPr>
      <w:rFonts w:cs="Wingdings"/>
    </w:rPr>
  </w:style>
  <w:style w:type="character" w:customStyle="1" w:styleId="ListLabel208">
    <w:name w:val="ListLabel 208"/>
    <w:qFormat/>
    <w:rsid w:val="009861EA"/>
    <w:rPr>
      <w:rFonts w:cs="Symbol"/>
    </w:rPr>
  </w:style>
  <w:style w:type="character" w:customStyle="1" w:styleId="ListLabel209">
    <w:name w:val="ListLabel 209"/>
    <w:qFormat/>
    <w:rsid w:val="009861EA"/>
    <w:rPr>
      <w:rFonts w:cs="Courier New"/>
    </w:rPr>
  </w:style>
  <w:style w:type="character" w:customStyle="1" w:styleId="ListLabel210">
    <w:name w:val="ListLabel 210"/>
    <w:qFormat/>
    <w:rsid w:val="009861EA"/>
    <w:rPr>
      <w:rFonts w:cs="Wingdings"/>
    </w:rPr>
  </w:style>
  <w:style w:type="character" w:customStyle="1" w:styleId="ListLabel211">
    <w:name w:val="ListLabel 211"/>
    <w:qFormat/>
    <w:rsid w:val="009861EA"/>
    <w:rPr>
      <w:rFonts w:cs="Symbol"/>
    </w:rPr>
  </w:style>
  <w:style w:type="character" w:customStyle="1" w:styleId="ListLabel212">
    <w:name w:val="ListLabel 212"/>
    <w:qFormat/>
    <w:rsid w:val="009861EA"/>
    <w:rPr>
      <w:rFonts w:cs="Courier New"/>
    </w:rPr>
  </w:style>
  <w:style w:type="character" w:customStyle="1" w:styleId="ListLabel213">
    <w:name w:val="ListLabel 213"/>
    <w:qFormat/>
    <w:rsid w:val="009861EA"/>
    <w:rPr>
      <w:rFonts w:cs="Wingdings"/>
    </w:rPr>
  </w:style>
  <w:style w:type="character" w:customStyle="1" w:styleId="ListLabel214">
    <w:name w:val="ListLabel 214"/>
    <w:qFormat/>
    <w:rsid w:val="009861EA"/>
    <w:rPr>
      <w:rFonts w:ascii="Verdana" w:hAnsi="Verdana" w:cs="Symbol"/>
      <w:color w:val="00000A"/>
      <w:sz w:val="16"/>
    </w:rPr>
  </w:style>
  <w:style w:type="character" w:customStyle="1" w:styleId="ListLabel215">
    <w:name w:val="ListLabel 215"/>
    <w:qFormat/>
    <w:rsid w:val="009861EA"/>
    <w:rPr>
      <w:rFonts w:cs="Courier New"/>
    </w:rPr>
  </w:style>
  <w:style w:type="character" w:customStyle="1" w:styleId="ListLabel216">
    <w:name w:val="ListLabel 216"/>
    <w:qFormat/>
    <w:rsid w:val="009861EA"/>
    <w:rPr>
      <w:rFonts w:cs="Wingdings"/>
    </w:rPr>
  </w:style>
  <w:style w:type="character" w:customStyle="1" w:styleId="ListLabel217">
    <w:name w:val="ListLabel 217"/>
    <w:qFormat/>
    <w:rsid w:val="009861EA"/>
    <w:rPr>
      <w:rFonts w:cs="Symbol"/>
    </w:rPr>
  </w:style>
  <w:style w:type="character" w:customStyle="1" w:styleId="ListLabel218">
    <w:name w:val="ListLabel 218"/>
    <w:qFormat/>
    <w:rsid w:val="009861EA"/>
    <w:rPr>
      <w:rFonts w:cs="Courier New"/>
    </w:rPr>
  </w:style>
  <w:style w:type="character" w:customStyle="1" w:styleId="ListLabel219">
    <w:name w:val="ListLabel 219"/>
    <w:qFormat/>
    <w:rsid w:val="009861EA"/>
    <w:rPr>
      <w:rFonts w:cs="Wingdings"/>
    </w:rPr>
  </w:style>
  <w:style w:type="character" w:customStyle="1" w:styleId="ListLabel220">
    <w:name w:val="ListLabel 220"/>
    <w:qFormat/>
    <w:rsid w:val="009861EA"/>
    <w:rPr>
      <w:rFonts w:cs="Symbol"/>
    </w:rPr>
  </w:style>
  <w:style w:type="character" w:customStyle="1" w:styleId="ListLabel221">
    <w:name w:val="ListLabel 221"/>
    <w:qFormat/>
    <w:rsid w:val="009861EA"/>
    <w:rPr>
      <w:rFonts w:cs="Courier New"/>
    </w:rPr>
  </w:style>
  <w:style w:type="character" w:customStyle="1" w:styleId="ListLabel222">
    <w:name w:val="ListLabel 222"/>
    <w:qFormat/>
    <w:rsid w:val="009861EA"/>
    <w:rPr>
      <w:rFonts w:cs="Wingdings"/>
    </w:rPr>
  </w:style>
  <w:style w:type="character" w:customStyle="1" w:styleId="ListLabel223">
    <w:name w:val="ListLabel 223"/>
    <w:qFormat/>
    <w:rsid w:val="009861EA"/>
    <w:rPr>
      <w:rFonts w:ascii="Verdana" w:hAnsi="Verdana" w:cs="Symbol"/>
      <w:color w:val="00000A"/>
      <w:sz w:val="16"/>
    </w:rPr>
  </w:style>
  <w:style w:type="character" w:customStyle="1" w:styleId="ListLabel224">
    <w:name w:val="ListLabel 224"/>
    <w:qFormat/>
    <w:rsid w:val="009861EA"/>
    <w:rPr>
      <w:rFonts w:cs="Courier New"/>
    </w:rPr>
  </w:style>
  <w:style w:type="character" w:customStyle="1" w:styleId="ListLabel225">
    <w:name w:val="ListLabel 225"/>
    <w:qFormat/>
    <w:rsid w:val="009861EA"/>
    <w:rPr>
      <w:rFonts w:cs="Wingdings"/>
    </w:rPr>
  </w:style>
  <w:style w:type="character" w:customStyle="1" w:styleId="ListLabel226">
    <w:name w:val="ListLabel 226"/>
    <w:qFormat/>
    <w:rsid w:val="009861EA"/>
    <w:rPr>
      <w:rFonts w:cs="Symbol"/>
    </w:rPr>
  </w:style>
  <w:style w:type="character" w:customStyle="1" w:styleId="ListLabel227">
    <w:name w:val="ListLabel 227"/>
    <w:qFormat/>
    <w:rsid w:val="009861EA"/>
    <w:rPr>
      <w:rFonts w:cs="Courier New"/>
    </w:rPr>
  </w:style>
  <w:style w:type="character" w:customStyle="1" w:styleId="ListLabel228">
    <w:name w:val="ListLabel 228"/>
    <w:qFormat/>
    <w:rsid w:val="009861EA"/>
    <w:rPr>
      <w:rFonts w:cs="Wingdings"/>
    </w:rPr>
  </w:style>
  <w:style w:type="character" w:customStyle="1" w:styleId="ListLabel229">
    <w:name w:val="ListLabel 229"/>
    <w:qFormat/>
    <w:rsid w:val="009861EA"/>
    <w:rPr>
      <w:rFonts w:cs="Symbol"/>
    </w:rPr>
  </w:style>
  <w:style w:type="character" w:customStyle="1" w:styleId="ListLabel230">
    <w:name w:val="ListLabel 230"/>
    <w:qFormat/>
    <w:rsid w:val="009861EA"/>
    <w:rPr>
      <w:rFonts w:cs="Courier New"/>
    </w:rPr>
  </w:style>
  <w:style w:type="character" w:customStyle="1" w:styleId="ListLabel231">
    <w:name w:val="ListLabel 231"/>
    <w:qFormat/>
    <w:rsid w:val="009861EA"/>
    <w:rPr>
      <w:rFonts w:cs="Wingdings"/>
    </w:rPr>
  </w:style>
  <w:style w:type="character" w:customStyle="1" w:styleId="ListLabel232">
    <w:name w:val="ListLabel 232"/>
    <w:qFormat/>
    <w:rsid w:val="009861EA"/>
    <w:rPr>
      <w:rFonts w:ascii="Verdana" w:hAnsi="Verdana" w:cs="Symbol"/>
      <w:b/>
      <w:sz w:val="17"/>
    </w:rPr>
  </w:style>
  <w:style w:type="character" w:customStyle="1" w:styleId="ListLabel233">
    <w:name w:val="ListLabel 233"/>
    <w:qFormat/>
    <w:rsid w:val="009861EA"/>
    <w:rPr>
      <w:rFonts w:cs="Courier New"/>
    </w:rPr>
  </w:style>
  <w:style w:type="character" w:customStyle="1" w:styleId="ListLabel234">
    <w:name w:val="ListLabel 234"/>
    <w:qFormat/>
    <w:rsid w:val="009861EA"/>
    <w:rPr>
      <w:rFonts w:cs="Wingdings"/>
    </w:rPr>
  </w:style>
  <w:style w:type="character" w:customStyle="1" w:styleId="ListLabel235">
    <w:name w:val="ListLabel 235"/>
    <w:qFormat/>
    <w:rsid w:val="009861EA"/>
    <w:rPr>
      <w:rFonts w:cs="Symbol"/>
    </w:rPr>
  </w:style>
  <w:style w:type="character" w:customStyle="1" w:styleId="ListLabel236">
    <w:name w:val="ListLabel 236"/>
    <w:qFormat/>
    <w:rsid w:val="009861EA"/>
    <w:rPr>
      <w:rFonts w:cs="Courier New"/>
    </w:rPr>
  </w:style>
  <w:style w:type="character" w:customStyle="1" w:styleId="ListLabel237">
    <w:name w:val="ListLabel 237"/>
    <w:qFormat/>
    <w:rsid w:val="009861EA"/>
    <w:rPr>
      <w:rFonts w:cs="Wingdings"/>
    </w:rPr>
  </w:style>
  <w:style w:type="character" w:customStyle="1" w:styleId="ListLabel238">
    <w:name w:val="ListLabel 238"/>
    <w:qFormat/>
    <w:rsid w:val="009861EA"/>
    <w:rPr>
      <w:rFonts w:cs="Symbol"/>
    </w:rPr>
  </w:style>
  <w:style w:type="character" w:customStyle="1" w:styleId="ListLabel239">
    <w:name w:val="ListLabel 239"/>
    <w:qFormat/>
    <w:rsid w:val="009861EA"/>
    <w:rPr>
      <w:rFonts w:cs="Courier New"/>
    </w:rPr>
  </w:style>
  <w:style w:type="character" w:customStyle="1" w:styleId="ListLabel240">
    <w:name w:val="ListLabel 240"/>
    <w:qFormat/>
    <w:rsid w:val="009861EA"/>
    <w:rPr>
      <w:rFonts w:cs="Wingdings"/>
    </w:rPr>
  </w:style>
  <w:style w:type="character" w:customStyle="1" w:styleId="ListLabel241">
    <w:name w:val="ListLabel 241"/>
    <w:qFormat/>
    <w:rsid w:val="009861EA"/>
    <w:rPr>
      <w:rFonts w:cs="Symbol"/>
      <w:b/>
    </w:rPr>
  </w:style>
  <w:style w:type="character" w:customStyle="1" w:styleId="ListLabel242">
    <w:name w:val="ListLabel 242"/>
    <w:qFormat/>
    <w:rsid w:val="009861EA"/>
    <w:rPr>
      <w:rFonts w:cs="Courier New"/>
    </w:rPr>
  </w:style>
  <w:style w:type="character" w:customStyle="1" w:styleId="ListLabel243">
    <w:name w:val="ListLabel 243"/>
    <w:qFormat/>
    <w:rsid w:val="009861EA"/>
    <w:rPr>
      <w:rFonts w:cs="Wingdings"/>
    </w:rPr>
  </w:style>
  <w:style w:type="character" w:customStyle="1" w:styleId="ListLabel244">
    <w:name w:val="ListLabel 244"/>
    <w:qFormat/>
    <w:rsid w:val="009861EA"/>
    <w:rPr>
      <w:rFonts w:cs="Symbol"/>
    </w:rPr>
  </w:style>
  <w:style w:type="character" w:customStyle="1" w:styleId="ListLabel245">
    <w:name w:val="ListLabel 245"/>
    <w:qFormat/>
    <w:rsid w:val="009861EA"/>
    <w:rPr>
      <w:rFonts w:cs="Courier New"/>
    </w:rPr>
  </w:style>
  <w:style w:type="character" w:customStyle="1" w:styleId="ListLabel246">
    <w:name w:val="ListLabel 246"/>
    <w:qFormat/>
    <w:rsid w:val="009861EA"/>
    <w:rPr>
      <w:rFonts w:cs="Wingdings"/>
    </w:rPr>
  </w:style>
  <w:style w:type="character" w:customStyle="1" w:styleId="ListLabel247">
    <w:name w:val="ListLabel 247"/>
    <w:qFormat/>
    <w:rsid w:val="009861EA"/>
    <w:rPr>
      <w:rFonts w:cs="Symbol"/>
    </w:rPr>
  </w:style>
  <w:style w:type="character" w:customStyle="1" w:styleId="ListLabel248">
    <w:name w:val="ListLabel 248"/>
    <w:qFormat/>
    <w:rsid w:val="009861EA"/>
    <w:rPr>
      <w:rFonts w:cs="Courier New"/>
    </w:rPr>
  </w:style>
  <w:style w:type="character" w:customStyle="1" w:styleId="ListLabel249">
    <w:name w:val="ListLabel 249"/>
    <w:qFormat/>
    <w:rsid w:val="009861EA"/>
    <w:rPr>
      <w:rFonts w:cs="Wingdings"/>
    </w:rPr>
  </w:style>
  <w:style w:type="character" w:customStyle="1" w:styleId="ListLabel250">
    <w:name w:val="ListLabel 250"/>
    <w:qFormat/>
    <w:rsid w:val="009861EA"/>
    <w:rPr>
      <w:rFonts w:cs="Symbol"/>
    </w:rPr>
  </w:style>
  <w:style w:type="character" w:customStyle="1" w:styleId="ListLabel251">
    <w:name w:val="ListLabel 251"/>
    <w:qFormat/>
    <w:rsid w:val="009861EA"/>
    <w:rPr>
      <w:rFonts w:cs="Courier New"/>
    </w:rPr>
  </w:style>
  <w:style w:type="character" w:customStyle="1" w:styleId="ListLabel252">
    <w:name w:val="ListLabel 252"/>
    <w:qFormat/>
    <w:rsid w:val="009861EA"/>
    <w:rPr>
      <w:rFonts w:cs="Wingdings"/>
    </w:rPr>
  </w:style>
  <w:style w:type="character" w:customStyle="1" w:styleId="ListLabel253">
    <w:name w:val="ListLabel 253"/>
    <w:qFormat/>
    <w:rsid w:val="009861EA"/>
    <w:rPr>
      <w:rFonts w:cs="Symbol"/>
    </w:rPr>
  </w:style>
  <w:style w:type="character" w:customStyle="1" w:styleId="ListLabel254">
    <w:name w:val="ListLabel 254"/>
    <w:qFormat/>
    <w:rsid w:val="009861EA"/>
    <w:rPr>
      <w:rFonts w:cs="Courier New"/>
    </w:rPr>
  </w:style>
  <w:style w:type="character" w:customStyle="1" w:styleId="ListLabel255">
    <w:name w:val="ListLabel 255"/>
    <w:qFormat/>
    <w:rsid w:val="009861EA"/>
    <w:rPr>
      <w:rFonts w:cs="Wingdings"/>
    </w:rPr>
  </w:style>
  <w:style w:type="character" w:customStyle="1" w:styleId="ListLabel256">
    <w:name w:val="ListLabel 256"/>
    <w:qFormat/>
    <w:rsid w:val="009861EA"/>
    <w:rPr>
      <w:rFonts w:cs="Symbol"/>
    </w:rPr>
  </w:style>
  <w:style w:type="character" w:customStyle="1" w:styleId="ListLabel257">
    <w:name w:val="ListLabel 257"/>
    <w:qFormat/>
    <w:rsid w:val="009861EA"/>
    <w:rPr>
      <w:rFonts w:cs="Courier New"/>
    </w:rPr>
  </w:style>
  <w:style w:type="character" w:customStyle="1" w:styleId="ListLabel258">
    <w:name w:val="ListLabel 258"/>
    <w:qFormat/>
    <w:rsid w:val="009861EA"/>
    <w:rPr>
      <w:rFonts w:cs="Wingdings"/>
    </w:rPr>
  </w:style>
  <w:style w:type="character" w:customStyle="1" w:styleId="ListLabel259">
    <w:name w:val="ListLabel 259"/>
    <w:qFormat/>
    <w:rsid w:val="009861EA"/>
    <w:rPr>
      <w:rFonts w:cs="Symbol"/>
    </w:rPr>
  </w:style>
  <w:style w:type="character" w:customStyle="1" w:styleId="ListLabel260">
    <w:name w:val="ListLabel 260"/>
    <w:qFormat/>
    <w:rsid w:val="009861EA"/>
    <w:rPr>
      <w:rFonts w:cs="Courier New"/>
    </w:rPr>
  </w:style>
  <w:style w:type="character" w:customStyle="1" w:styleId="ListLabel261">
    <w:name w:val="ListLabel 261"/>
    <w:qFormat/>
    <w:rsid w:val="009861EA"/>
    <w:rPr>
      <w:rFonts w:cs="Wingdings"/>
    </w:rPr>
  </w:style>
  <w:style w:type="character" w:customStyle="1" w:styleId="ListLabel262">
    <w:name w:val="ListLabel 262"/>
    <w:qFormat/>
    <w:rsid w:val="009861EA"/>
    <w:rPr>
      <w:rFonts w:cs="Symbol"/>
    </w:rPr>
  </w:style>
  <w:style w:type="character" w:customStyle="1" w:styleId="ListLabel263">
    <w:name w:val="ListLabel 263"/>
    <w:qFormat/>
    <w:rsid w:val="009861EA"/>
    <w:rPr>
      <w:rFonts w:cs="Courier New"/>
    </w:rPr>
  </w:style>
  <w:style w:type="character" w:customStyle="1" w:styleId="ListLabel264">
    <w:name w:val="ListLabel 264"/>
    <w:qFormat/>
    <w:rsid w:val="009861EA"/>
    <w:rPr>
      <w:rFonts w:cs="Wingdings"/>
    </w:rPr>
  </w:style>
  <w:style w:type="character" w:customStyle="1" w:styleId="ListLabel265">
    <w:name w:val="ListLabel 265"/>
    <w:qFormat/>
    <w:rsid w:val="009861EA"/>
    <w:rPr>
      <w:rFonts w:cs="Symbol"/>
    </w:rPr>
  </w:style>
  <w:style w:type="character" w:customStyle="1" w:styleId="ListLabel266">
    <w:name w:val="ListLabel 266"/>
    <w:qFormat/>
    <w:rsid w:val="009861EA"/>
    <w:rPr>
      <w:rFonts w:cs="Courier New"/>
    </w:rPr>
  </w:style>
  <w:style w:type="character" w:customStyle="1" w:styleId="ListLabel267">
    <w:name w:val="ListLabel 267"/>
    <w:qFormat/>
    <w:rsid w:val="009861EA"/>
    <w:rPr>
      <w:rFonts w:cs="Wingdings"/>
    </w:rPr>
  </w:style>
  <w:style w:type="character" w:customStyle="1" w:styleId="ListLabel268">
    <w:name w:val="ListLabel 268"/>
    <w:qFormat/>
    <w:rsid w:val="009861EA"/>
    <w:rPr>
      <w:rFonts w:cs="Symbol"/>
    </w:rPr>
  </w:style>
  <w:style w:type="character" w:customStyle="1" w:styleId="ListLabel269">
    <w:name w:val="ListLabel 269"/>
    <w:qFormat/>
    <w:rsid w:val="009861EA"/>
    <w:rPr>
      <w:rFonts w:cs="Courier New"/>
    </w:rPr>
  </w:style>
  <w:style w:type="character" w:customStyle="1" w:styleId="ListLabel270">
    <w:name w:val="ListLabel 270"/>
    <w:qFormat/>
    <w:rsid w:val="009861EA"/>
    <w:rPr>
      <w:rFonts w:cs="Wingdings"/>
    </w:rPr>
  </w:style>
  <w:style w:type="character" w:customStyle="1" w:styleId="ListLabel271">
    <w:name w:val="ListLabel 271"/>
    <w:qFormat/>
    <w:rsid w:val="009861EA"/>
    <w:rPr>
      <w:rFonts w:cs="Symbol"/>
    </w:rPr>
  </w:style>
  <w:style w:type="character" w:customStyle="1" w:styleId="ListLabel272">
    <w:name w:val="ListLabel 272"/>
    <w:qFormat/>
    <w:rsid w:val="009861EA"/>
    <w:rPr>
      <w:rFonts w:cs="Courier New"/>
    </w:rPr>
  </w:style>
  <w:style w:type="character" w:customStyle="1" w:styleId="ListLabel273">
    <w:name w:val="ListLabel 273"/>
    <w:qFormat/>
    <w:rsid w:val="009861EA"/>
    <w:rPr>
      <w:rFonts w:cs="Wingdings"/>
    </w:rPr>
  </w:style>
  <w:style w:type="character" w:customStyle="1" w:styleId="ListLabel274">
    <w:name w:val="ListLabel 274"/>
    <w:qFormat/>
    <w:rsid w:val="009861EA"/>
    <w:rPr>
      <w:rFonts w:cs="Symbol"/>
    </w:rPr>
  </w:style>
  <w:style w:type="character" w:customStyle="1" w:styleId="ListLabel275">
    <w:name w:val="ListLabel 275"/>
    <w:qFormat/>
    <w:rsid w:val="009861EA"/>
    <w:rPr>
      <w:rFonts w:cs="Courier New"/>
    </w:rPr>
  </w:style>
  <w:style w:type="character" w:customStyle="1" w:styleId="ListLabel276">
    <w:name w:val="ListLabel 276"/>
    <w:qFormat/>
    <w:rsid w:val="009861EA"/>
    <w:rPr>
      <w:rFonts w:cs="Wingdings"/>
    </w:rPr>
  </w:style>
  <w:style w:type="character" w:customStyle="1" w:styleId="ListLabel277">
    <w:name w:val="ListLabel 277"/>
    <w:qFormat/>
    <w:rsid w:val="009861EA"/>
    <w:rPr>
      <w:rFonts w:cs="Courier New"/>
    </w:rPr>
  </w:style>
  <w:style w:type="character" w:customStyle="1" w:styleId="ListLabel278">
    <w:name w:val="ListLabel 278"/>
    <w:qFormat/>
    <w:rsid w:val="009861EA"/>
    <w:rPr>
      <w:rFonts w:cs="Courier New"/>
    </w:rPr>
  </w:style>
  <w:style w:type="character" w:customStyle="1" w:styleId="ListLabel279">
    <w:name w:val="ListLabel 279"/>
    <w:qFormat/>
    <w:rsid w:val="009861EA"/>
    <w:rPr>
      <w:rFonts w:cs="Wingdings"/>
    </w:rPr>
  </w:style>
  <w:style w:type="character" w:customStyle="1" w:styleId="ListLabel280">
    <w:name w:val="ListLabel 280"/>
    <w:qFormat/>
    <w:rsid w:val="009861EA"/>
    <w:rPr>
      <w:rFonts w:cs="Symbol"/>
    </w:rPr>
  </w:style>
  <w:style w:type="character" w:customStyle="1" w:styleId="ListLabel281">
    <w:name w:val="ListLabel 281"/>
    <w:qFormat/>
    <w:rsid w:val="009861EA"/>
    <w:rPr>
      <w:rFonts w:cs="Courier New"/>
    </w:rPr>
  </w:style>
  <w:style w:type="character" w:customStyle="1" w:styleId="ListLabel282">
    <w:name w:val="ListLabel 282"/>
    <w:qFormat/>
    <w:rsid w:val="009861EA"/>
    <w:rPr>
      <w:rFonts w:cs="Wingdings"/>
    </w:rPr>
  </w:style>
  <w:style w:type="character" w:customStyle="1" w:styleId="ListLabel283">
    <w:name w:val="ListLabel 283"/>
    <w:qFormat/>
    <w:rsid w:val="009861EA"/>
    <w:rPr>
      <w:rFonts w:cs="Symbol"/>
    </w:rPr>
  </w:style>
  <w:style w:type="character" w:customStyle="1" w:styleId="ListLabel284">
    <w:name w:val="ListLabel 284"/>
    <w:qFormat/>
    <w:rsid w:val="009861EA"/>
    <w:rPr>
      <w:rFonts w:cs="Courier New"/>
    </w:rPr>
  </w:style>
  <w:style w:type="character" w:customStyle="1" w:styleId="ListLabel285">
    <w:name w:val="ListLabel 285"/>
    <w:qFormat/>
    <w:rsid w:val="009861EA"/>
    <w:rPr>
      <w:rFonts w:cs="Wingdings"/>
    </w:rPr>
  </w:style>
  <w:style w:type="character" w:customStyle="1" w:styleId="ListLabel286">
    <w:name w:val="ListLabel 286"/>
    <w:qFormat/>
    <w:rsid w:val="009861EA"/>
    <w:rPr>
      <w:rFonts w:cs="Courier New"/>
      <w:color w:val="53565A"/>
      <w:sz w:val="18"/>
    </w:rPr>
  </w:style>
  <w:style w:type="character" w:customStyle="1" w:styleId="ListLabel287">
    <w:name w:val="ListLabel 287"/>
    <w:qFormat/>
    <w:rsid w:val="009861EA"/>
    <w:rPr>
      <w:rFonts w:cs="Courier New"/>
    </w:rPr>
  </w:style>
  <w:style w:type="character" w:customStyle="1" w:styleId="ListLabel288">
    <w:name w:val="ListLabel 288"/>
    <w:qFormat/>
    <w:rsid w:val="009861EA"/>
    <w:rPr>
      <w:rFonts w:cs="Wingdings"/>
    </w:rPr>
  </w:style>
  <w:style w:type="character" w:customStyle="1" w:styleId="ListLabel289">
    <w:name w:val="ListLabel 289"/>
    <w:qFormat/>
    <w:rsid w:val="009861EA"/>
    <w:rPr>
      <w:rFonts w:cs="Symbol"/>
    </w:rPr>
  </w:style>
  <w:style w:type="character" w:customStyle="1" w:styleId="ListLabel290">
    <w:name w:val="ListLabel 290"/>
    <w:qFormat/>
    <w:rsid w:val="009861EA"/>
    <w:rPr>
      <w:rFonts w:cs="Courier New"/>
    </w:rPr>
  </w:style>
  <w:style w:type="character" w:customStyle="1" w:styleId="ListLabel291">
    <w:name w:val="ListLabel 291"/>
    <w:qFormat/>
    <w:rsid w:val="009861EA"/>
    <w:rPr>
      <w:rFonts w:cs="Wingdings"/>
    </w:rPr>
  </w:style>
  <w:style w:type="character" w:customStyle="1" w:styleId="ListLabel292">
    <w:name w:val="ListLabel 292"/>
    <w:qFormat/>
    <w:rsid w:val="009861EA"/>
    <w:rPr>
      <w:rFonts w:cs="Symbol"/>
    </w:rPr>
  </w:style>
  <w:style w:type="character" w:customStyle="1" w:styleId="ListLabel293">
    <w:name w:val="ListLabel 293"/>
    <w:qFormat/>
    <w:rsid w:val="009861EA"/>
    <w:rPr>
      <w:rFonts w:cs="Courier New"/>
    </w:rPr>
  </w:style>
  <w:style w:type="character" w:customStyle="1" w:styleId="ListLabel294">
    <w:name w:val="ListLabel 294"/>
    <w:qFormat/>
    <w:rsid w:val="009861EA"/>
    <w:rPr>
      <w:rFonts w:cs="Wingdings"/>
    </w:rPr>
  </w:style>
  <w:style w:type="character" w:customStyle="1" w:styleId="ListLabel295">
    <w:name w:val="ListLabel 295"/>
    <w:qFormat/>
    <w:rsid w:val="009861EA"/>
    <w:rPr>
      <w:rFonts w:cs="Courier New"/>
      <w:b/>
      <w:color w:val="53565A"/>
      <w:sz w:val="18"/>
    </w:rPr>
  </w:style>
  <w:style w:type="character" w:customStyle="1" w:styleId="ListLabel296">
    <w:name w:val="ListLabel 296"/>
    <w:qFormat/>
    <w:rsid w:val="009861EA"/>
    <w:rPr>
      <w:rFonts w:cs="Courier New"/>
    </w:rPr>
  </w:style>
  <w:style w:type="character" w:customStyle="1" w:styleId="ListLabel297">
    <w:name w:val="ListLabel 297"/>
    <w:qFormat/>
    <w:rsid w:val="009861EA"/>
    <w:rPr>
      <w:rFonts w:cs="Wingdings"/>
    </w:rPr>
  </w:style>
  <w:style w:type="character" w:customStyle="1" w:styleId="ListLabel298">
    <w:name w:val="ListLabel 298"/>
    <w:qFormat/>
    <w:rsid w:val="009861EA"/>
    <w:rPr>
      <w:rFonts w:cs="Symbol"/>
    </w:rPr>
  </w:style>
  <w:style w:type="character" w:customStyle="1" w:styleId="ListLabel299">
    <w:name w:val="ListLabel 299"/>
    <w:qFormat/>
    <w:rsid w:val="009861EA"/>
    <w:rPr>
      <w:rFonts w:cs="Courier New"/>
    </w:rPr>
  </w:style>
  <w:style w:type="character" w:customStyle="1" w:styleId="ListLabel300">
    <w:name w:val="ListLabel 300"/>
    <w:qFormat/>
    <w:rsid w:val="009861EA"/>
    <w:rPr>
      <w:rFonts w:cs="Wingdings"/>
    </w:rPr>
  </w:style>
  <w:style w:type="character" w:customStyle="1" w:styleId="ListLabel301">
    <w:name w:val="ListLabel 301"/>
    <w:qFormat/>
    <w:rsid w:val="009861EA"/>
    <w:rPr>
      <w:rFonts w:cs="Symbol"/>
    </w:rPr>
  </w:style>
  <w:style w:type="character" w:customStyle="1" w:styleId="ListLabel302">
    <w:name w:val="ListLabel 302"/>
    <w:qFormat/>
    <w:rsid w:val="009861EA"/>
    <w:rPr>
      <w:rFonts w:cs="Courier New"/>
    </w:rPr>
  </w:style>
  <w:style w:type="character" w:customStyle="1" w:styleId="ListLabel303">
    <w:name w:val="ListLabel 303"/>
    <w:qFormat/>
    <w:rsid w:val="009861EA"/>
    <w:rPr>
      <w:rFonts w:cs="Wingdings"/>
    </w:rPr>
  </w:style>
  <w:style w:type="character" w:customStyle="1" w:styleId="ListLabel304">
    <w:name w:val="ListLabel 304"/>
    <w:qFormat/>
    <w:rsid w:val="009861EA"/>
    <w:rPr>
      <w:rFonts w:cs="OpenSymbol"/>
    </w:rPr>
  </w:style>
  <w:style w:type="character" w:customStyle="1" w:styleId="ListLabel305">
    <w:name w:val="ListLabel 305"/>
    <w:qFormat/>
    <w:rsid w:val="009861EA"/>
    <w:rPr>
      <w:rFonts w:cs="OpenSymbol"/>
    </w:rPr>
  </w:style>
  <w:style w:type="character" w:customStyle="1" w:styleId="ListLabel306">
    <w:name w:val="ListLabel 306"/>
    <w:qFormat/>
    <w:rsid w:val="009861EA"/>
    <w:rPr>
      <w:rFonts w:cs="OpenSymbol"/>
    </w:rPr>
  </w:style>
  <w:style w:type="character" w:customStyle="1" w:styleId="ListLabel307">
    <w:name w:val="ListLabel 307"/>
    <w:qFormat/>
    <w:rsid w:val="009861EA"/>
    <w:rPr>
      <w:rFonts w:cs="OpenSymbol"/>
    </w:rPr>
  </w:style>
  <w:style w:type="character" w:customStyle="1" w:styleId="ListLabel308">
    <w:name w:val="ListLabel 308"/>
    <w:qFormat/>
    <w:rsid w:val="009861EA"/>
    <w:rPr>
      <w:rFonts w:cs="OpenSymbol"/>
    </w:rPr>
  </w:style>
  <w:style w:type="character" w:customStyle="1" w:styleId="ListLabel309">
    <w:name w:val="ListLabel 309"/>
    <w:qFormat/>
    <w:rsid w:val="009861EA"/>
    <w:rPr>
      <w:rFonts w:cs="OpenSymbol"/>
    </w:rPr>
  </w:style>
  <w:style w:type="character" w:customStyle="1" w:styleId="ListLabel310">
    <w:name w:val="ListLabel 310"/>
    <w:qFormat/>
    <w:rsid w:val="009861EA"/>
    <w:rPr>
      <w:rFonts w:cs="OpenSymbol"/>
    </w:rPr>
  </w:style>
  <w:style w:type="character" w:customStyle="1" w:styleId="ListLabel311">
    <w:name w:val="ListLabel 311"/>
    <w:qFormat/>
    <w:rsid w:val="009861EA"/>
    <w:rPr>
      <w:rFonts w:cs="OpenSymbol"/>
    </w:rPr>
  </w:style>
  <w:style w:type="character" w:customStyle="1" w:styleId="ListLabel312">
    <w:name w:val="ListLabel 312"/>
    <w:qFormat/>
    <w:rsid w:val="009861EA"/>
    <w:rPr>
      <w:rFonts w:cs="OpenSymbol"/>
    </w:rPr>
  </w:style>
  <w:style w:type="character" w:customStyle="1" w:styleId="ListLabel313">
    <w:name w:val="ListLabel 313"/>
    <w:qFormat/>
    <w:rsid w:val="009861EA"/>
    <w:rPr>
      <w:rFonts w:cs="OpenSymbol"/>
    </w:rPr>
  </w:style>
  <w:style w:type="character" w:customStyle="1" w:styleId="ListLabel314">
    <w:name w:val="ListLabel 314"/>
    <w:qFormat/>
    <w:rsid w:val="009861EA"/>
    <w:rPr>
      <w:rFonts w:cs="OpenSymbol"/>
    </w:rPr>
  </w:style>
  <w:style w:type="character" w:customStyle="1" w:styleId="ListLabel315">
    <w:name w:val="ListLabel 315"/>
    <w:qFormat/>
    <w:rsid w:val="009861EA"/>
    <w:rPr>
      <w:rFonts w:cs="OpenSymbol"/>
    </w:rPr>
  </w:style>
  <w:style w:type="character" w:customStyle="1" w:styleId="ListLabel316">
    <w:name w:val="ListLabel 316"/>
    <w:qFormat/>
    <w:rsid w:val="009861EA"/>
    <w:rPr>
      <w:rFonts w:cs="OpenSymbol"/>
    </w:rPr>
  </w:style>
  <w:style w:type="character" w:customStyle="1" w:styleId="ListLabel317">
    <w:name w:val="ListLabel 317"/>
    <w:qFormat/>
    <w:rsid w:val="009861EA"/>
    <w:rPr>
      <w:rFonts w:cs="OpenSymbol"/>
    </w:rPr>
  </w:style>
  <w:style w:type="character" w:customStyle="1" w:styleId="ListLabel318">
    <w:name w:val="ListLabel 318"/>
    <w:qFormat/>
    <w:rsid w:val="009861EA"/>
    <w:rPr>
      <w:rFonts w:cs="OpenSymbol"/>
    </w:rPr>
  </w:style>
  <w:style w:type="character" w:customStyle="1" w:styleId="ListLabel319">
    <w:name w:val="ListLabel 319"/>
    <w:qFormat/>
    <w:rsid w:val="009861EA"/>
    <w:rPr>
      <w:rFonts w:cs="OpenSymbol"/>
    </w:rPr>
  </w:style>
  <w:style w:type="character" w:customStyle="1" w:styleId="ListLabel320">
    <w:name w:val="ListLabel 320"/>
    <w:qFormat/>
    <w:rsid w:val="009861EA"/>
    <w:rPr>
      <w:rFonts w:cs="OpenSymbol"/>
    </w:rPr>
  </w:style>
  <w:style w:type="character" w:customStyle="1" w:styleId="ListLabel321">
    <w:name w:val="ListLabel 321"/>
    <w:qFormat/>
    <w:rsid w:val="009861EA"/>
    <w:rPr>
      <w:rFonts w:cs="OpenSymbol"/>
    </w:rPr>
  </w:style>
  <w:style w:type="character" w:customStyle="1" w:styleId="ListLabel322">
    <w:name w:val="ListLabel 322"/>
    <w:qFormat/>
    <w:rsid w:val="009861EA"/>
    <w:rPr>
      <w:rFonts w:cs="OpenSymbol"/>
    </w:rPr>
  </w:style>
  <w:style w:type="character" w:customStyle="1" w:styleId="ListLabel323">
    <w:name w:val="ListLabel 323"/>
    <w:qFormat/>
    <w:rsid w:val="009861EA"/>
    <w:rPr>
      <w:rFonts w:cs="OpenSymbol"/>
    </w:rPr>
  </w:style>
  <w:style w:type="character" w:customStyle="1" w:styleId="ListLabel324">
    <w:name w:val="ListLabel 324"/>
    <w:qFormat/>
    <w:rsid w:val="009861EA"/>
    <w:rPr>
      <w:rFonts w:cs="OpenSymbol"/>
    </w:rPr>
  </w:style>
  <w:style w:type="character" w:customStyle="1" w:styleId="ListLabel325">
    <w:name w:val="ListLabel 325"/>
    <w:qFormat/>
    <w:rsid w:val="009861EA"/>
    <w:rPr>
      <w:rFonts w:cs="OpenSymbol"/>
    </w:rPr>
  </w:style>
  <w:style w:type="character" w:customStyle="1" w:styleId="ListLabel326">
    <w:name w:val="ListLabel 326"/>
    <w:qFormat/>
    <w:rsid w:val="009861EA"/>
    <w:rPr>
      <w:rFonts w:cs="OpenSymbol"/>
    </w:rPr>
  </w:style>
  <w:style w:type="character" w:customStyle="1" w:styleId="ListLabel327">
    <w:name w:val="ListLabel 327"/>
    <w:qFormat/>
    <w:rsid w:val="009861EA"/>
    <w:rPr>
      <w:rFonts w:cs="OpenSymbol"/>
    </w:rPr>
  </w:style>
  <w:style w:type="character" w:customStyle="1" w:styleId="ListLabel328">
    <w:name w:val="ListLabel 328"/>
    <w:qFormat/>
    <w:rsid w:val="009861EA"/>
    <w:rPr>
      <w:rFonts w:cs="OpenSymbol"/>
    </w:rPr>
  </w:style>
  <w:style w:type="character" w:customStyle="1" w:styleId="ListLabel329">
    <w:name w:val="ListLabel 329"/>
    <w:qFormat/>
    <w:rsid w:val="009861EA"/>
    <w:rPr>
      <w:rFonts w:cs="OpenSymbol"/>
    </w:rPr>
  </w:style>
  <w:style w:type="character" w:customStyle="1" w:styleId="ListLabel330">
    <w:name w:val="ListLabel 330"/>
    <w:qFormat/>
    <w:rsid w:val="009861EA"/>
    <w:rPr>
      <w:rFonts w:cs="OpenSymbol"/>
    </w:rPr>
  </w:style>
  <w:style w:type="character" w:customStyle="1" w:styleId="ListLabel331">
    <w:name w:val="ListLabel 331"/>
    <w:qFormat/>
    <w:rsid w:val="009861EA"/>
    <w:rPr>
      <w:rFonts w:ascii="Verdana" w:hAnsi="Verdana" w:cs="Symbol"/>
    </w:rPr>
  </w:style>
  <w:style w:type="character" w:customStyle="1" w:styleId="ListLabel332">
    <w:name w:val="ListLabel 332"/>
    <w:qFormat/>
    <w:rsid w:val="009861EA"/>
    <w:rPr>
      <w:rFonts w:cs="Courier New"/>
    </w:rPr>
  </w:style>
  <w:style w:type="character" w:customStyle="1" w:styleId="ListLabel333">
    <w:name w:val="ListLabel 333"/>
    <w:qFormat/>
    <w:rsid w:val="009861EA"/>
    <w:rPr>
      <w:rFonts w:cs="Wingdings"/>
    </w:rPr>
  </w:style>
  <w:style w:type="character" w:customStyle="1" w:styleId="ListLabel334">
    <w:name w:val="ListLabel 334"/>
    <w:qFormat/>
    <w:rsid w:val="009861EA"/>
    <w:rPr>
      <w:rFonts w:cs="Symbol"/>
    </w:rPr>
  </w:style>
  <w:style w:type="character" w:customStyle="1" w:styleId="ListLabel335">
    <w:name w:val="ListLabel 335"/>
    <w:qFormat/>
    <w:rsid w:val="009861EA"/>
    <w:rPr>
      <w:rFonts w:cs="Courier New"/>
    </w:rPr>
  </w:style>
  <w:style w:type="character" w:customStyle="1" w:styleId="ListLabel336">
    <w:name w:val="ListLabel 336"/>
    <w:qFormat/>
    <w:rsid w:val="009861EA"/>
    <w:rPr>
      <w:rFonts w:cs="Wingdings"/>
    </w:rPr>
  </w:style>
  <w:style w:type="character" w:customStyle="1" w:styleId="ListLabel337">
    <w:name w:val="ListLabel 337"/>
    <w:qFormat/>
    <w:rsid w:val="009861EA"/>
    <w:rPr>
      <w:rFonts w:cs="Symbol"/>
    </w:rPr>
  </w:style>
  <w:style w:type="character" w:customStyle="1" w:styleId="ListLabel338">
    <w:name w:val="ListLabel 338"/>
    <w:qFormat/>
    <w:rsid w:val="009861EA"/>
    <w:rPr>
      <w:rFonts w:cs="Courier New"/>
    </w:rPr>
  </w:style>
  <w:style w:type="character" w:customStyle="1" w:styleId="ListLabel339">
    <w:name w:val="ListLabel 339"/>
    <w:qFormat/>
    <w:rsid w:val="009861EA"/>
    <w:rPr>
      <w:rFonts w:cs="Wingdings"/>
    </w:rPr>
  </w:style>
  <w:style w:type="character" w:customStyle="1" w:styleId="ListLabel340">
    <w:name w:val="ListLabel 340"/>
    <w:qFormat/>
    <w:rsid w:val="009861EA"/>
    <w:rPr>
      <w:rFonts w:cs="OpenSymbol"/>
    </w:rPr>
  </w:style>
  <w:style w:type="character" w:customStyle="1" w:styleId="ListLabel341">
    <w:name w:val="ListLabel 341"/>
    <w:qFormat/>
    <w:rsid w:val="009861EA"/>
    <w:rPr>
      <w:rFonts w:cs="OpenSymbol"/>
    </w:rPr>
  </w:style>
  <w:style w:type="character" w:customStyle="1" w:styleId="ListLabel342">
    <w:name w:val="ListLabel 342"/>
    <w:qFormat/>
    <w:rsid w:val="009861EA"/>
    <w:rPr>
      <w:rFonts w:cs="OpenSymbol"/>
    </w:rPr>
  </w:style>
  <w:style w:type="character" w:customStyle="1" w:styleId="ListLabel343">
    <w:name w:val="ListLabel 343"/>
    <w:qFormat/>
    <w:rsid w:val="009861EA"/>
    <w:rPr>
      <w:rFonts w:cs="OpenSymbol"/>
    </w:rPr>
  </w:style>
  <w:style w:type="character" w:customStyle="1" w:styleId="ListLabel344">
    <w:name w:val="ListLabel 344"/>
    <w:qFormat/>
    <w:rsid w:val="009861EA"/>
    <w:rPr>
      <w:rFonts w:cs="OpenSymbol"/>
    </w:rPr>
  </w:style>
  <w:style w:type="character" w:customStyle="1" w:styleId="ListLabel345">
    <w:name w:val="ListLabel 345"/>
    <w:qFormat/>
    <w:rsid w:val="009861EA"/>
    <w:rPr>
      <w:rFonts w:cs="OpenSymbol"/>
    </w:rPr>
  </w:style>
  <w:style w:type="character" w:customStyle="1" w:styleId="ListLabel346">
    <w:name w:val="ListLabel 346"/>
    <w:qFormat/>
    <w:rsid w:val="009861EA"/>
    <w:rPr>
      <w:rFonts w:cs="OpenSymbol"/>
    </w:rPr>
  </w:style>
  <w:style w:type="character" w:customStyle="1" w:styleId="ListLabel347">
    <w:name w:val="ListLabel 347"/>
    <w:qFormat/>
    <w:rsid w:val="009861EA"/>
    <w:rPr>
      <w:rFonts w:cs="OpenSymbol"/>
    </w:rPr>
  </w:style>
  <w:style w:type="character" w:customStyle="1" w:styleId="ListLabel348">
    <w:name w:val="ListLabel 348"/>
    <w:qFormat/>
    <w:rsid w:val="009861EA"/>
    <w:rPr>
      <w:rFonts w:cs="OpenSymbol"/>
    </w:rPr>
  </w:style>
  <w:style w:type="character" w:customStyle="1" w:styleId="ListLabel349">
    <w:name w:val="ListLabel 349"/>
    <w:qFormat/>
    <w:rsid w:val="009861EA"/>
    <w:rPr>
      <w:rFonts w:cs="OpenSymbol"/>
    </w:rPr>
  </w:style>
  <w:style w:type="character" w:customStyle="1" w:styleId="ListLabel350">
    <w:name w:val="ListLabel 350"/>
    <w:qFormat/>
    <w:rsid w:val="009861EA"/>
    <w:rPr>
      <w:rFonts w:cs="OpenSymbol"/>
    </w:rPr>
  </w:style>
  <w:style w:type="character" w:customStyle="1" w:styleId="ListLabel351">
    <w:name w:val="ListLabel 351"/>
    <w:qFormat/>
    <w:rsid w:val="009861EA"/>
    <w:rPr>
      <w:rFonts w:cs="OpenSymbol"/>
    </w:rPr>
  </w:style>
  <w:style w:type="character" w:customStyle="1" w:styleId="ListLabel352">
    <w:name w:val="ListLabel 352"/>
    <w:qFormat/>
    <w:rsid w:val="009861EA"/>
    <w:rPr>
      <w:rFonts w:cs="OpenSymbol"/>
    </w:rPr>
  </w:style>
  <w:style w:type="character" w:customStyle="1" w:styleId="ListLabel353">
    <w:name w:val="ListLabel 353"/>
    <w:qFormat/>
    <w:rsid w:val="009861EA"/>
    <w:rPr>
      <w:rFonts w:cs="OpenSymbol"/>
    </w:rPr>
  </w:style>
  <w:style w:type="character" w:customStyle="1" w:styleId="ListLabel354">
    <w:name w:val="ListLabel 354"/>
    <w:qFormat/>
    <w:rsid w:val="009861EA"/>
    <w:rPr>
      <w:rFonts w:cs="OpenSymbol"/>
    </w:rPr>
  </w:style>
  <w:style w:type="character" w:customStyle="1" w:styleId="ListLabel355">
    <w:name w:val="ListLabel 355"/>
    <w:qFormat/>
    <w:rsid w:val="009861EA"/>
    <w:rPr>
      <w:rFonts w:cs="OpenSymbol"/>
    </w:rPr>
  </w:style>
  <w:style w:type="character" w:customStyle="1" w:styleId="ListLabel356">
    <w:name w:val="ListLabel 356"/>
    <w:qFormat/>
    <w:rsid w:val="009861EA"/>
    <w:rPr>
      <w:rFonts w:cs="OpenSymbol"/>
    </w:rPr>
  </w:style>
  <w:style w:type="character" w:customStyle="1" w:styleId="ListLabel357">
    <w:name w:val="ListLabel 357"/>
    <w:qFormat/>
    <w:rsid w:val="009861EA"/>
    <w:rPr>
      <w:rFonts w:cs="OpenSymbol"/>
    </w:rPr>
  </w:style>
  <w:style w:type="character" w:customStyle="1" w:styleId="ListLabel358">
    <w:name w:val="ListLabel 358"/>
    <w:qFormat/>
    <w:rsid w:val="009861EA"/>
    <w:rPr>
      <w:rFonts w:cs="OpenSymbol"/>
    </w:rPr>
  </w:style>
  <w:style w:type="character" w:customStyle="1" w:styleId="ListLabel359">
    <w:name w:val="ListLabel 359"/>
    <w:qFormat/>
    <w:rsid w:val="009861EA"/>
    <w:rPr>
      <w:rFonts w:cs="OpenSymbol"/>
    </w:rPr>
  </w:style>
  <w:style w:type="character" w:customStyle="1" w:styleId="ListLabel360">
    <w:name w:val="ListLabel 360"/>
    <w:qFormat/>
    <w:rsid w:val="009861EA"/>
    <w:rPr>
      <w:rFonts w:cs="OpenSymbol"/>
    </w:rPr>
  </w:style>
  <w:style w:type="character" w:customStyle="1" w:styleId="ListLabel361">
    <w:name w:val="ListLabel 361"/>
    <w:qFormat/>
    <w:rsid w:val="009861EA"/>
    <w:rPr>
      <w:rFonts w:cs="OpenSymbol"/>
    </w:rPr>
  </w:style>
  <w:style w:type="character" w:customStyle="1" w:styleId="ListLabel362">
    <w:name w:val="ListLabel 362"/>
    <w:qFormat/>
    <w:rsid w:val="009861EA"/>
    <w:rPr>
      <w:rFonts w:cs="OpenSymbol"/>
    </w:rPr>
  </w:style>
  <w:style w:type="character" w:customStyle="1" w:styleId="ListLabel363">
    <w:name w:val="ListLabel 363"/>
    <w:qFormat/>
    <w:rsid w:val="009861EA"/>
    <w:rPr>
      <w:rFonts w:cs="OpenSymbol"/>
    </w:rPr>
  </w:style>
  <w:style w:type="character" w:customStyle="1" w:styleId="ListLabel364">
    <w:name w:val="ListLabel 364"/>
    <w:qFormat/>
    <w:rsid w:val="009861EA"/>
    <w:rPr>
      <w:rFonts w:cs="OpenSymbol"/>
    </w:rPr>
  </w:style>
  <w:style w:type="character" w:customStyle="1" w:styleId="ListLabel365">
    <w:name w:val="ListLabel 365"/>
    <w:qFormat/>
    <w:rsid w:val="009861EA"/>
    <w:rPr>
      <w:rFonts w:cs="OpenSymbol"/>
    </w:rPr>
  </w:style>
  <w:style w:type="character" w:customStyle="1" w:styleId="ListLabel366">
    <w:name w:val="ListLabel 366"/>
    <w:qFormat/>
    <w:rsid w:val="009861EA"/>
    <w:rPr>
      <w:rFonts w:cs="OpenSymbol"/>
    </w:rPr>
  </w:style>
  <w:style w:type="character" w:customStyle="1" w:styleId="ListLabel367">
    <w:name w:val="ListLabel 367"/>
    <w:qFormat/>
    <w:rsid w:val="009861EA"/>
    <w:rPr>
      <w:rFonts w:ascii="Verdana" w:hAnsi="Verdana"/>
      <w:b/>
    </w:rPr>
  </w:style>
  <w:style w:type="character" w:customStyle="1" w:styleId="ListLabel368">
    <w:name w:val="ListLabel 368"/>
    <w:qFormat/>
    <w:rsid w:val="009861EA"/>
    <w:rPr>
      <w:rFonts w:cs="OpenSymbol"/>
    </w:rPr>
  </w:style>
  <w:style w:type="character" w:customStyle="1" w:styleId="ListLabel369">
    <w:name w:val="ListLabel 369"/>
    <w:qFormat/>
    <w:rsid w:val="009861EA"/>
    <w:rPr>
      <w:rFonts w:cs="OpenSymbol"/>
    </w:rPr>
  </w:style>
  <w:style w:type="character" w:customStyle="1" w:styleId="ListLabel370">
    <w:name w:val="ListLabel 370"/>
    <w:qFormat/>
    <w:rsid w:val="009861EA"/>
    <w:rPr>
      <w:rFonts w:cs="OpenSymbol"/>
    </w:rPr>
  </w:style>
  <w:style w:type="character" w:customStyle="1" w:styleId="ListLabel371">
    <w:name w:val="ListLabel 371"/>
    <w:qFormat/>
    <w:rsid w:val="009861EA"/>
    <w:rPr>
      <w:rFonts w:cs="OpenSymbol"/>
    </w:rPr>
  </w:style>
  <w:style w:type="character" w:customStyle="1" w:styleId="ListLabel372">
    <w:name w:val="ListLabel 372"/>
    <w:qFormat/>
    <w:rsid w:val="009861EA"/>
    <w:rPr>
      <w:rFonts w:cs="OpenSymbol"/>
    </w:rPr>
  </w:style>
  <w:style w:type="character" w:customStyle="1" w:styleId="ListLabel373">
    <w:name w:val="ListLabel 373"/>
    <w:qFormat/>
    <w:rsid w:val="009861EA"/>
    <w:rPr>
      <w:rFonts w:cs="OpenSymbol"/>
    </w:rPr>
  </w:style>
  <w:style w:type="character" w:customStyle="1" w:styleId="ListLabel374">
    <w:name w:val="ListLabel 374"/>
    <w:qFormat/>
    <w:rsid w:val="009861EA"/>
    <w:rPr>
      <w:rFonts w:cs="OpenSymbol"/>
    </w:rPr>
  </w:style>
  <w:style w:type="character" w:customStyle="1" w:styleId="ListLabel375">
    <w:name w:val="ListLabel 375"/>
    <w:qFormat/>
    <w:rsid w:val="009861EA"/>
    <w:rPr>
      <w:rFonts w:cs="OpenSymbol"/>
    </w:rPr>
  </w:style>
  <w:style w:type="character" w:customStyle="1" w:styleId="ListLabel376">
    <w:name w:val="ListLabel 376"/>
    <w:qFormat/>
    <w:rsid w:val="009861EA"/>
    <w:rPr>
      <w:rFonts w:cs="OpenSymbol"/>
    </w:rPr>
  </w:style>
  <w:style w:type="character" w:customStyle="1" w:styleId="ListLabel377">
    <w:name w:val="ListLabel 377"/>
    <w:qFormat/>
    <w:rsid w:val="009861EA"/>
    <w:rPr>
      <w:color w:val="012169"/>
      <w:sz w:val="18"/>
    </w:rPr>
  </w:style>
  <w:style w:type="character" w:customStyle="1" w:styleId="ListLabel378">
    <w:name w:val="ListLabel 378"/>
    <w:qFormat/>
    <w:rsid w:val="009861EA"/>
    <w:rPr>
      <w:rFonts w:cs="Wingdings"/>
    </w:rPr>
  </w:style>
  <w:style w:type="character" w:customStyle="1" w:styleId="ListLabel379">
    <w:name w:val="ListLabel 379"/>
    <w:qFormat/>
    <w:rsid w:val="009861EA"/>
    <w:rPr>
      <w:rFonts w:cs="Symbol"/>
    </w:rPr>
  </w:style>
  <w:style w:type="character" w:customStyle="1" w:styleId="ListLabel380">
    <w:name w:val="ListLabel 380"/>
    <w:qFormat/>
    <w:rsid w:val="009861EA"/>
    <w:rPr>
      <w:rFonts w:cs="Courier New"/>
    </w:rPr>
  </w:style>
  <w:style w:type="character" w:customStyle="1" w:styleId="ListLabel381">
    <w:name w:val="ListLabel 381"/>
    <w:qFormat/>
    <w:rsid w:val="009861EA"/>
    <w:rPr>
      <w:rFonts w:cs="Wingdings"/>
    </w:rPr>
  </w:style>
  <w:style w:type="character" w:customStyle="1" w:styleId="ListLabel382">
    <w:name w:val="ListLabel 382"/>
    <w:qFormat/>
    <w:rsid w:val="009861EA"/>
    <w:rPr>
      <w:rFonts w:cs="Symbol"/>
    </w:rPr>
  </w:style>
  <w:style w:type="character" w:customStyle="1" w:styleId="ListLabel383">
    <w:name w:val="ListLabel 383"/>
    <w:qFormat/>
    <w:rsid w:val="009861EA"/>
    <w:rPr>
      <w:rFonts w:cs="Courier New"/>
    </w:rPr>
  </w:style>
  <w:style w:type="character" w:customStyle="1" w:styleId="ListLabel384">
    <w:name w:val="ListLabel 384"/>
    <w:qFormat/>
    <w:rsid w:val="009861EA"/>
    <w:rPr>
      <w:rFonts w:cs="Wingdings"/>
    </w:rPr>
  </w:style>
  <w:style w:type="character" w:customStyle="1" w:styleId="ListLabel385">
    <w:name w:val="ListLabel 385"/>
    <w:qFormat/>
    <w:rsid w:val="009861EA"/>
    <w:rPr>
      <w:rFonts w:cs="Symbol"/>
    </w:rPr>
  </w:style>
  <w:style w:type="character" w:customStyle="1" w:styleId="ListLabel386">
    <w:name w:val="ListLabel 386"/>
    <w:qFormat/>
    <w:rsid w:val="009861EA"/>
    <w:rPr>
      <w:rFonts w:cs="Courier New"/>
    </w:rPr>
  </w:style>
  <w:style w:type="character" w:customStyle="1" w:styleId="ListLabel387">
    <w:name w:val="ListLabel 387"/>
    <w:qFormat/>
    <w:rsid w:val="009861EA"/>
    <w:rPr>
      <w:rFonts w:cs="Wingdings"/>
    </w:rPr>
  </w:style>
  <w:style w:type="character" w:customStyle="1" w:styleId="ListLabel388">
    <w:name w:val="ListLabel 388"/>
    <w:qFormat/>
    <w:rsid w:val="009861EA"/>
    <w:rPr>
      <w:rFonts w:cs="Symbol"/>
    </w:rPr>
  </w:style>
  <w:style w:type="character" w:customStyle="1" w:styleId="ListLabel389">
    <w:name w:val="ListLabel 389"/>
    <w:qFormat/>
    <w:rsid w:val="009861EA"/>
    <w:rPr>
      <w:rFonts w:cs="Courier New"/>
    </w:rPr>
  </w:style>
  <w:style w:type="character" w:customStyle="1" w:styleId="ListLabel390">
    <w:name w:val="ListLabel 390"/>
    <w:qFormat/>
    <w:rsid w:val="009861EA"/>
    <w:rPr>
      <w:rFonts w:cs="Wingdings"/>
    </w:rPr>
  </w:style>
  <w:style w:type="character" w:customStyle="1" w:styleId="ListLabel391">
    <w:name w:val="ListLabel 391"/>
    <w:qFormat/>
    <w:rsid w:val="009861EA"/>
    <w:rPr>
      <w:rFonts w:cs="Symbol"/>
    </w:rPr>
  </w:style>
  <w:style w:type="character" w:customStyle="1" w:styleId="ListLabel392">
    <w:name w:val="ListLabel 392"/>
    <w:qFormat/>
    <w:rsid w:val="009861EA"/>
    <w:rPr>
      <w:rFonts w:cs="Courier New"/>
    </w:rPr>
  </w:style>
  <w:style w:type="character" w:customStyle="1" w:styleId="ListLabel393">
    <w:name w:val="ListLabel 393"/>
    <w:qFormat/>
    <w:rsid w:val="009861EA"/>
    <w:rPr>
      <w:rFonts w:cs="Wingdings"/>
    </w:rPr>
  </w:style>
  <w:style w:type="character" w:customStyle="1" w:styleId="ListLabel394">
    <w:name w:val="ListLabel 394"/>
    <w:qFormat/>
    <w:rsid w:val="009861EA"/>
    <w:rPr>
      <w:rFonts w:cs="Courier New"/>
      <w:color w:val="53565A"/>
      <w:sz w:val="18"/>
    </w:rPr>
  </w:style>
  <w:style w:type="character" w:customStyle="1" w:styleId="ListLabel395">
    <w:name w:val="ListLabel 395"/>
    <w:qFormat/>
    <w:rsid w:val="009861EA"/>
    <w:rPr>
      <w:rFonts w:cs="Courier New"/>
    </w:rPr>
  </w:style>
  <w:style w:type="character" w:customStyle="1" w:styleId="ListLabel396">
    <w:name w:val="ListLabel 396"/>
    <w:qFormat/>
    <w:rsid w:val="009861EA"/>
    <w:rPr>
      <w:rFonts w:cs="Wingdings"/>
    </w:rPr>
  </w:style>
  <w:style w:type="character" w:customStyle="1" w:styleId="ListLabel397">
    <w:name w:val="ListLabel 397"/>
    <w:qFormat/>
    <w:rsid w:val="009861EA"/>
    <w:rPr>
      <w:rFonts w:cs="Symbol"/>
    </w:rPr>
  </w:style>
  <w:style w:type="character" w:customStyle="1" w:styleId="ListLabel398">
    <w:name w:val="ListLabel 398"/>
    <w:qFormat/>
    <w:rsid w:val="009861EA"/>
    <w:rPr>
      <w:rFonts w:cs="Courier New"/>
    </w:rPr>
  </w:style>
  <w:style w:type="character" w:customStyle="1" w:styleId="ListLabel399">
    <w:name w:val="ListLabel 399"/>
    <w:qFormat/>
    <w:rsid w:val="009861EA"/>
    <w:rPr>
      <w:rFonts w:cs="Wingdings"/>
    </w:rPr>
  </w:style>
  <w:style w:type="character" w:customStyle="1" w:styleId="ListLabel400">
    <w:name w:val="ListLabel 400"/>
    <w:qFormat/>
    <w:rsid w:val="009861EA"/>
    <w:rPr>
      <w:rFonts w:cs="Symbol"/>
    </w:rPr>
  </w:style>
  <w:style w:type="character" w:customStyle="1" w:styleId="ListLabel401">
    <w:name w:val="ListLabel 401"/>
    <w:qFormat/>
    <w:rsid w:val="009861EA"/>
    <w:rPr>
      <w:rFonts w:cs="Courier New"/>
    </w:rPr>
  </w:style>
  <w:style w:type="character" w:customStyle="1" w:styleId="ListLabel402">
    <w:name w:val="ListLabel 402"/>
    <w:qFormat/>
    <w:rsid w:val="009861EA"/>
    <w:rPr>
      <w:rFonts w:cs="Wingdings"/>
    </w:rPr>
  </w:style>
  <w:style w:type="character" w:customStyle="1" w:styleId="ListLabel403">
    <w:name w:val="ListLabel 403"/>
    <w:qFormat/>
    <w:rsid w:val="009861EA"/>
    <w:rPr>
      <w:rFonts w:cs="Symbol"/>
    </w:rPr>
  </w:style>
  <w:style w:type="character" w:customStyle="1" w:styleId="ListLabel404">
    <w:name w:val="ListLabel 404"/>
    <w:qFormat/>
    <w:rsid w:val="009861EA"/>
    <w:rPr>
      <w:color w:val="012169"/>
      <w:sz w:val="18"/>
    </w:rPr>
  </w:style>
  <w:style w:type="character" w:customStyle="1" w:styleId="ListLabel405">
    <w:name w:val="ListLabel 405"/>
    <w:qFormat/>
    <w:rsid w:val="009861EA"/>
    <w:rPr>
      <w:rFonts w:eastAsia="Verdana"/>
    </w:rPr>
  </w:style>
  <w:style w:type="character" w:customStyle="1" w:styleId="ListLabel406">
    <w:name w:val="ListLabel 406"/>
    <w:qFormat/>
    <w:rsid w:val="009861EA"/>
    <w:rPr>
      <w:rFonts w:cs="Symbol"/>
    </w:rPr>
  </w:style>
  <w:style w:type="character" w:customStyle="1" w:styleId="ListLabel407">
    <w:name w:val="ListLabel 407"/>
    <w:qFormat/>
    <w:rsid w:val="009861EA"/>
    <w:rPr>
      <w:rFonts w:cs="Courier New"/>
    </w:rPr>
  </w:style>
  <w:style w:type="character" w:customStyle="1" w:styleId="ListLabel408">
    <w:name w:val="ListLabel 408"/>
    <w:qFormat/>
    <w:rsid w:val="009861EA"/>
    <w:rPr>
      <w:rFonts w:cs="Wingdings"/>
    </w:rPr>
  </w:style>
  <w:style w:type="character" w:customStyle="1" w:styleId="ListLabel409">
    <w:name w:val="ListLabel 409"/>
    <w:qFormat/>
    <w:rsid w:val="009861EA"/>
    <w:rPr>
      <w:rFonts w:cs="Symbol"/>
    </w:rPr>
  </w:style>
  <w:style w:type="character" w:customStyle="1" w:styleId="ListLabel410">
    <w:name w:val="ListLabel 410"/>
    <w:qFormat/>
    <w:rsid w:val="009861EA"/>
    <w:rPr>
      <w:rFonts w:cs="Courier New"/>
    </w:rPr>
  </w:style>
  <w:style w:type="character" w:customStyle="1" w:styleId="ListLabel411">
    <w:name w:val="ListLabel 411"/>
    <w:qFormat/>
    <w:rsid w:val="009861EA"/>
    <w:rPr>
      <w:rFonts w:cs="Wingdings"/>
    </w:rPr>
  </w:style>
  <w:style w:type="character" w:customStyle="1" w:styleId="ListLabel412">
    <w:name w:val="ListLabel 412"/>
    <w:qFormat/>
    <w:rsid w:val="009861EA"/>
    <w:rPr>
      <w:rFonts w:cs="Symbol"/>
    </w:rPr>
  </w:style>
  <w:style w:type="character" w:customStyle="1" w:styleId="ListLabel413">
    <w:name w:val="ListLabel 413"/>
    <w:qFormat/>
    <w:rsid w:val="009861EA"/>
    <w:rPr>
      <w:rFonts w:cs="Courier New"/>
    </w:rPr>
  </w:style>
  <w:style w:type="character" w:customStyle="1" w:styleId="ListLabel414">
    <w:name w:val="ListLabel 414"/>
    <w:qFormat/>
    <w:rsid w:val="009861EA"/>
    <w:rPr>
      <w:rFonts w:cs="Wingdings"/>
    </w:rPr>
  </w:style>
  <w:style w:type="character" w:customStyle="1" w:styleId="ListLabel415">
    <w:name w:val="ListLabel 415"/>
    <w:qFormat/>
    <w:rsid w:val="009861EA"/>
    <w:rPr>
      <w:rFonts w:cs="Symbol"/>
    </w:rPr>
  </w:style>
  <w:style w:type="character" w:customStyle="1" w:styleId="ListLabel416">
    <w:name w:val="ListLabel 416"/>
    <w:qFormat/>
    <w:rsid w:val="009861EA"/>
    <w:rPr>
      <w:rFonts w:cs="Symbol"/>
      <w:b/>
      <w:sz w:val="16"/>
    </w:rPr>
  </w:style>
  <w:style w:type="character" w:customStyle="1" w:styleId="ListLabel417">
    <w:name w:val="ListLabel 417"/>
    <w:qFormat/>
    <w:rsid w:val="009861EA"/>
    <w:rPr>
      <w:rFonts w:cs="Courier New"/>
    </w:rPr>
  </w:style>
  <w:style w:type="character" w:customStyle="1" w:styleId="ListLabel418">
    <w:name w:val="ListLabel 418"/>
    <w:qFormat/>
    <w:rsid w:val="009861EA"/>
    <w:rPr>
      <w:rFonts w:cs="Wingdings"/>
    </w:rPr>
  </w:style>
  <w:style w:type="character" w:customStyle="1" w:styleId="ListLabel419">
    <w:name w:val="ListLabel 419"/>
    <w:qFormat/>
    <w:rsid w:val="009861EA"/>
    <w:rPr>
      <w:rFonts w:cs="Symbol"/>
    </w:rPr>
  </w:style>
  <w:style w:type="character" w:customStyle="1" w:styleId="ListLabel420">
    <w:name w:val="ListLabel 420"/>
    <w:qFormat/>
    <w:rsid w:val="009861EA"/>
    <w:rPr>
      <w:rFonts w:cs="Courier New"/>
    </w:rPr>
  </w:style>
  <w:style w:type="character" w:customStyle="1" w:styleId="ListLabel421">
    <w:name w:val="ListLabel 421"/>
    <w:qFormat/>
    <w:rsid w:val="009861EA"/>
    <w:rPr>
      <w:rFonts w:cs="Wingdings"/>
    </w:rPr>
  </w:style>
  <w:style w:type="character" w:customStyle="1" w:styleId="ListLabel422">
    <w:name w:val="ListLabel 422"/>
    <w:qFormat/>
    <w:rsid w:val="009861EA"/>
    <w:rPr>
      <w:rFonts w:cs="Symbol"/>
    </w:rPr>
  </w:style>
  <w:style w:type="character" w:customStyle="1" w:styleId="ListLabel423">
    <w:name w:val="ListLabel 423"/>
    <w:qFormat/>
    <w:rsid w:val="009861EA"/>
    <w:rPr>
      <w:rFonts w:cs="Courier New"/>
    </w:rPr>
  </w:style>
  <w:style w:type="character" w:customStyle="1" w:styleId="ListLabel424">
    <w:name w:val="ListLabel 424"/>
    <w:qFormat/>
    <w:rsid w:val="009861EA"/>
    <w:rPr>
      <w:rFonts w:cs="Wingdings"/>
    </w:rPr>
  </w:style>
  <w:style w:type="character" w:customStyle="1" w:styleId="ListLabel425">
    <w:name w:val="ListLabel 425"/>
    <w:qFormat/>
    <w:rsid w:val="009861EA"/>
    <w:rPr>
      <w:b/>
    </w:rPr>
  </w:style>
  <w:style w:type="character" w:customStyle="1" w:styleId="ListLabel426">
    <w:name w:val="ListLabel 426"/>
    <w:qFormat/>
    <w:rsid w:val="009861EA"/>
    <w:rPr>
      <w:b/>
    </w:rPr>
  </w:style>
  <w:style w:type="character" w:customStyle="1" w:styleId="ListLabel427">
    <w:name w:val="ListLabel 427"/>
    <w:qFormat/>
    <w:rsid w:val="009861EA"/>
    <w:rPr>
      <w:rFonts w:cs="Courier New"/>
    </w:rPr>
  </w:style>
  <w:style w:type="character" w:customStyle="1" w:styleId="ListLabel428">
    <w:name w:val="ListLabel 428"/>
    <w:qFormat/>
    <w:rsid w:val="009861EA"/>
    <w:rPr>
      <w:rFonts w:cs="Wingdings"/>
    </w:rPr>
  </w:style>
  <w:style w:type="character" w:customStyle="1" w:styleId="ListLabel429">
    <w:name w:val="ListLabel 429"/>
    <w:qFormat/>
    <w:rsid w:val="009861EA"/>
    <w:rPr>
      <w:rFonts w:cs="Symbol"/>
    </w:rPr>
  </w:style>
  <w:style w:type="character" w:customStyle="1" w:styleId="ListLabel430">
    <w:name w:val="ListLabel 430"/>
    <w:qFormat/>
    <w:rsid w:val="009861EA"/>
    <w:rPr>
      <w:rFonts w:cs="Courier New"/>
    </w:rPr>
  </w:style>
  <w:style w:type="character" w:customStyle="1" w:styleId="ListLabel431">
    <w:name w:val="ListLabel 431"/>
    <w:qFormat/>
    <w:rsid w:val="009861EA"/>
    <w:rPr>
      <w:rFonts w:cs="Wingdings"/>
    </w:rPr>
  </w:style>
  <w:style w:type="character" w:customStyle="1" w:styleId="ListLabel432">
    <w:name w:val="ListLabel 432"/>
    <w:qFormat/>
    <w:rsid w:val="009861EA"/>
    <w:rPr>
      <w:rFonts w:cs="Symbol"/>
    </w:rPr>
  </w:style>
  <w:style w:type="character" w:customStyle="1" w:styleId="ListLabel433">
    <w:name w:val="ListLabel 433"/>
    <w:qFormat/>
    <w:rsid w:val="009861EA"/>
    <w:rPr>
      <w:rFonts w:cs="Courier New"/>
    </w:rPr>
  </w:style>
  <w:style w:type="character" w:customStyle="1" w:styleId="ListLabel434">
    <w:name w:val="ListLabel 434"/>
    <w:qFormat/>
    <w:rsid w:val="009861EA"/>
    <w:rPr>
      <w:rFonts w:cs="Wingdings"/>
    </w:rPr>
  </w:style>
  <w:style w:type="character" w:customStyle="1" w:styleId="ListLabel435">
    <w:name w:val="ListLabel 435"/>
    <w:qFormat/>
    <w:rsid w:val="009861EA"/>
    <w:rPr>
      <w:rFonts w:cs="Symbol"/>
      <w:b/>
      <w:sz w:val="17"/>
    </w:rPr>
  </w:style>
  <w:style w:type="character" w:customStyle="1" w:styleId="ListLabel436">
    <w:name w:val="ListLabel 436"/>
    <w:qFormat/>
    <w:rsid w:val="009861EA"/>
    <w:rPr>
      <w:rFonts w:cs="Courier New"/>
    </w:rPr>
  </w:style>
  <w:style w:type="character" w:customStyle="1" w:styleId="ListLabel437">
    <w:name w:val="ListLabel 437"/>
    <w:qFormat/>
    <w:rsid w:val="009861EA"/>
    <w:rPr>
      <w:rFonts w:cs="Wingdings"/>
    </w:rPr>
  </w:style>
  <w:style w:type="character" w:customStyle="1" w:styleId="ListLabel438">
    <w:name w:val="ListLabel 438"/>
    <w:qFormat/>
    <w:rsid w:val="009861EA"/>
    <w:rPr>
      <w:rFonts w:cs="Symbol"/>
    </w:rPr>
  </w:style>
  <w:style w:type="character" w:customStyle="1" w:styleId="ListLabel439">
    <w:name w:val="ListLabel 439"/>
    <w:qFormat/>
    <w:rsid w:val="009861EA"/>
    <w:rPr>
      <w:rFonts w:cs="Courier New"/>
    </w:rPr>
  </w:style>
  <w:style w:type="character" w:customStyle="1" w:styleId="ListLabel440">
    <w:name w:val="ListLabel 440"/>
    <w:qFormat/>
    <w:rsid w:val="009861EA"/>
    <w:rPr>
      <w:rFonts w:cs="Wingdings"/>
    </w:rPr>
  </w:style>
  <w:style w:type="character" w:customStyle="1" w:styleId="ListLabel441">
    <w:name w:val="ListLabel 441"/>
    <w:qFormat/>
    <w:rsid w:val="009861EA"/>
    <w:rPr>
      <w:rFonts w:cs="Symbol"/>
    </w:rPr>
  </w:style>
  <w:style w:type="character" w:customStyle="1" w:styleId="ListLabel442">
    <w:name w:val="ListLabel 442"/>
    <w:qFormat/>
    <w:rsid w:val="009861EA"/>
    <w:rPr>
      <w:rFonts w:cs="Courier New"/>
    </w:rPr>
  </w:style>
  <w:style w:type="character" w:customStyle="1" w:styleId="ListLabel443">
    <w:name w:val="ListLabel 443"/>
    <w:qFormat/>
    <w:rsid w:val="009861EA"/>
    <w:rPr>
      <w:rFonts w:cs="Wingdings"/>
    </w:rPr>
  </w:style>
  <w:style w:type="character" w:customStyle="1" w:styleId="ListLabel444">
    <w:name w:val="ListLabel 444"/>
    <w:qFormat/>
    <w:rsid w:val="009861EA"/>
    <w:rPr>
      <w:rFonts w:cs="Symbol"/>
      <w:b/>
      <w:sz w:val="17"/>
    </w:rPr>
  </w:style>
  <w:style w:type="character" w:customStyle="1" w:styleId="ListLabel445">
    <w:name w:val="ListLabel 445"/>
    <w:qFormat/>
    <w:rsid w:val="009861EA"/>
    <w:rPr>
      <w:rFonts w:cs="Courier New"/>
    </w:rPr>
  </w:style>
  <w:style w:type="character" w:customStyle="1" w:styleId="ListLabel446">
    <w:name w:val="ListLabel 446"/>
    <w:qFormat/>
    <w:rsid w:val="009861EA"/>
    <w:rPr>
      <w:rFonts w:cs="Wingdings"/>
    </w:rPr>
  </w:style>
  <w:style w:type="character" w:customStyle="1" w:styleId="ListLabel447">
    <w:name w:val="ListLabel 447"/>
    <w:qFormat/>
    <w:rsid w:val="009861EA"/>
    <w:rPr>
      <w:rFonts w:cs="Symbol"/>
    </w:rPr>
  </w:style>
  <w:style w:type="character" w:customStyle="1" w:styleId="ListLabel448">
    <w:name w:val="ListLabel 448"/>
    <w:qFormat/>
    <w:rsid w:val="009861EA"/>
    <w:rPr>
      <w:rFonts w:cs="Courier New"/>
    </w:rPr>
  </w:style>
  <w:style w:type="character" w:customStyle="1" w:styleId="ListLabel449">
    <w:name w:val="ListLabel 449"/>
    <w:qFormat/>
    <w:rsid w:val="009861EA"/>
    <w:rPr>
      <w:rFonts w:cs="Wingdings"/>
    </w:rPr>
  </w:style>
  <w:style w:type="character" w:customStyle="1" w:styleId="ListLabel450">
    <w:name w:val="ListLabel 450"/>
    <w:qFormat/>
    <w:rsid w:val="009861EA"/>
    <w:rPr>
      <w:rFonts w:cs="Symbol"/>
    </w:rPr>
  </w:style>
  <w:style w:type="character" w:customStyle="1" w:styleId="ListLabel451">
    <w:name w:val="ListLabel 451"/>
    <w:qFormat/>
    <w:rsid w:val="009861EA"/>
    <w:rPr>
      <w:rFonts w:cs="Courier New"/>
    </w:rPr>
  </w:style>
  <w:style w:type="character" w:customStyle="1" w:styleId="ListLabel452">
    <w:name w:val="ListLabel 452"/>
    <w:qFormat/>
    <w:rsid w:val="009861EA"/>
    <w:rPr>
      <w:rFonts w:cs="Wingdings"/>
    </w:rPr>
  </w:style>
  <w:style w:type="character" w:customStyle="1" w:styleId="ListLabel453">
    <w:name w:val="ListLabel 453"/>
    <w:qFormat/>
    <w:rsid w:val="009861EA"/>
    <w:rPr>
      <w:rFonts w:cs="Symbol"/>
      <w:b/>
      <w:sz w:val="17"/>
    </w:rPr>
  </w:style>
  <w:style w:type="character" w:customStyle="1" w:styleId="ListLabel454">
    <w:name w:val="ListLabel 454"/>
    <w:qFormat/>
    <w:rsid w:val="009861EA"/>
    <w:rPr>
      <w:rFonts w:cs="Courier New"/>
    </w:rPr>
  </w:style>
  <w:style w:type="character" w:customStyle="1" w:styleId="ListLabel455">
    <w:name w:val="ListLabel 455"/>
    <w:qFormat/>
    <w:rsid w:val="009861EA"/>
    <w:rPr>
      <w:rFonts w:cs="Wingdings"/>
    </w:rPr>
  </w:style>
  <w:style w:type="character" w:customStyle="1" w:styleId="ListLabel456">
    <w:name w:val="ListLabel 456"/>
    <w:qFormat/>
    <w:rsid w:val="009861EA"/>
    <w:rPr>
      <w:rFonts w:cs="Symbol"/>
    </w:rPr>
  </w:style>
  <w:style w:type="character" w:customStyle="1" w:styleId="ListLabel457">
    <w:name w:val="ListLabel 457"/>
    <w:qFormat/>
    <w:rsid w:val="009861EA"/>
    <w:rPr>
      <w:rFonts w:cs="Courier New"/>
    </w:rPr>
  </w:style>
  <w:style w:type="character" w:customStyle="1" w:styleId="ListLabel458">
    <w:name w:val="ListLabel 458"/>
    <w:qFormat/>
    <w:rsid w:val="009861EA"/>
    <w:rPr>
      <w:rFonts w:cs="Wingdings"/>
    </w:rPr>
  </w:style>
  <w:style w:type="character" w:customStyle="1" w:styleId="ListLabel459">
    <w:name w:val="ListLabel 459"/>
    <w:qFormat/>
    <w:rsid w:val="009861EA"/>
    <w:rPr>
      <w:rFonts w:cs="Symbol"/>
    </w:rPr>
  </w:style>
  <w:style w:type="character" w:customStyle="1" w:styleId="ListLabel460">
    <w:name w:val="ListLabel 460"/>
    <w:qFormat/>
    <w:rsid w:val="009861EA"/>
    <w:rPr>
      <w:rFonts w:cs="Courier New"/>
    </w:rPr>
  </w:style>
  <w:style w:type="character" w:customStyle="1" w:styleId="ListLabel461">
    <w:name w:val="ListLabel 461"/>
    <w:qFormat/>
    <w:rsid w:val="009861EA"/>
    <w:rPr>
      <w:rFonts w:cs="Wingdings"/>
    </w:rPr>
  </w:style>
  <w:style w:type="character" w:customStyle="1" w:styleId="ListLabel462">
    <w:name w:val="ListLabel 462"/>
    <w:qFormat/>
    <w:rsid w:val="009861EA"/>
    <w:rPr>
      <w:rFonts w:cs="Symbol"/>
      <w:b/>
      <w:color w:val="53565A"/>
      <w:sz w:val="18"/>
    </w:rPr>
  </w:style>
  <w:style w:type="character" w:customStyle="1" w:styleId="ListLabel463">
    <w:name w:val="ListLabel 463"/>
    <w:qFormat/>
    <w:rsid w:val="009861EA"/>
    <w:rPr>
      <w:rFonts w:cs="Courier New"/>
    </w:rPr>
  </w:style>
  <w:style w:type="character" w:customStyle="1" w:styleId="ListLabel464">
    <w:name w:val="ListLabel 464"/>
    <w:qFormat/>
    <w:rsid w:val="009861EA"/>
    <w:rPr>
      <w:rFonts w:cs="Wingdings"/>
    </w:rPr>
  </w:style>
  <w:style w:type="character" w:customStyle="1" w:styleId="ListLabel465">
    <w:name w:val="ListLabel 465"/>
    <w:qFormat/>
    <w:rsid w:val="009861EA"/>
    <w:rPr>
      <w:rFonts w:cs="Symbol"/>
    </w:rPr>
  </w:style>
  <w:style w:type="character" w:customStyle="1" w:styleId="ListLabel466">
    <w:name w:val="ListLabel 466"/>
    <w:qFormat/>
    <w:rsid w:val="009861EA"/>
    <w:rPr>
      <w:rFonts w:cs="Courier New"/>
    </w:rPr>
  </w:style>
  <w:style w:type="character" w:customStyle="1" w:styleId="ListLabel467">
    <w:name w:val="ListLabel 467"/>
    <w:qFormat/>
    <w:rsid w:val="009861EA"/>
    <w:rPr>
      <w:rFonts w:cs="Wingdings"/>
    </w:rPr>
  </w:style>
  <w:style w:type="character" w:customStyle="1" w:styleId="ListLabel468">
    <w:name w:val="ListLabel 468"/>
    <w:qFormat/>
    <w:rsid w:val="009861EA"/>
    <w:rPr>
      <w:rFonts w:cs="Symbol"/>
    </w:rPr>
  </w:style>
  <w:style w:type="character" w:customStyle="1" w:styleId="ListLabel469">
    <w:name w:val="ListLabel 469"/>
    <w:qFormat/>
    <w:rsid w:val="009861EA"/>
    <w:rPr>
      <w:rFonts w:cs="Courier New"/>
    </w:rPr>
  </w:style>
  <w:style w:type="character" w:customStyle="1" w:styleId="ListLabel470">
    <w:name w:val="ListLabel 470"/>
    <w:qFormat/>
    <w:rsid w:val="009861EA"/>
    <w:rPr>
      <w:rFonts w:cs="Wingdings"/>
    </w:rPr>
  </w:style>
  <w:style w:type="character" w:customStyle="1" w:styleId="ListLabel471">
    <w:name w:val="ListLabel 471"/>
    <w:qFormat/>
    <w:rsid w:val="009861EA"/>
    <w:rPr>
      <w:rFonts w:cs="Symbol"/>
    </w:rPr>
  </w:style>
  <w:style w:type="character" w:customStyle="1" w:styleId="ListLabel472">
    <w:name w:val="ListLabel 472"/>
    <w:qFormat/>
    <w:rsid w:val="009861EA"/>
    <w:rPr>
      <w:rFonts w:cs="Courier New"/>
      <w:b/>
    </w:rPr>
  </w:style>
  <w:style w:type="character" w:customStyle="1" w:styleId="ListLabel473">
    <w:name w:val="ListLabel 473"/>
    <w:qFormat/>
    <w:rsid w:val="009861EA"/>
    <w:rPr>
      <w:rFonts w:cs="Wingdings"/>
    </w:rPr>
  </w:style>
  <w:style w:type="character" w:customStyle="1" w:styleId="ListLabel474">
    <w:name w:val="ListLabel 474"/>
    <w:qFormat/>
    <w:rsid w:val="009861EA"/>
    <w:rPr>
      <w:rFonts w:cs="Symbol"/>
    </w:rPr>
  </w:style>
  <w:style w:type="character" w:customStyle="1" w:styleId="ListLabel475">
    <w:name w:val="ListLabel 475"/>
    <w:qFormat/>
    <w:rsid w:val="009861EA"/>
    <w:rPr>
      <w:rFonts w:cs="Courier New"/>
    </w:rPr>
  </w:style>
  <w:style w:type="character" w:customStyle="1" w:styleId="ListLabel476">
    <w:name w:val="ListLabel 476"/>
    <w:qFormat/>
    <w:rsid w:val="009861EA"/>
    <w:rPr>
      <w:rFonts w:cs="Wingdings"/>
    </w:rPr>
  </w:style>
  <w:style w:type="character" w:customStyle="1" w:styleId="ListLabel477">
    <w:name w:val="ListLabel 477"/>
    <w:qFormat/>
    <w:rsid w:val="009861EA"/>
    <w:rPr>
      <w:rFonts w:cs="Symbol"/>
    </w:rPr>
  </w:style>
  <w:style w:type="character" w:customStyle="1" w:styleId="ListLabel478">
    <w:name w:val="ListLabel 478"/>
    <w:qFormat/>
    <w:rsid w:val="009861EA"/>
    <w:rPr>
      <w:rFonts w:cs="Courier New"/>
    </w:rPr>
  </w:style>
  <w:style w:type="character" w:customStyle="1" w:styleId="ListLabel479">
    <w:name w:val="ListLabel 479"/>
    <w:qFormat/>
    <w:rsid w:val="009861EA"/>
    <w:rPr>
      <w:rFonts w:cs="Wingdings"/>
    </w:rPr>
  </w:style>
  <w:style w:type="character" w:customStyle="1" w:styleId="ListLabel480">
    <w:name w:val="ListLabel 480"/>
    <w:qFormat/>
    <w:rsid w:val="009861EA"/>
    <w:rPr>
      <w:rFonts w:cs="Symbol"/>
      <w:color w:val="00000A"/>
      <w:sz w:val="16"/>
    </w:rPr>
  </w:style>
  <w:style w:type="character" w:customStyle="1" w:styleId="ListLabel481">
    <w:name w:val="ListLabel 481"/>
    <w:qFormat/>
    <w:rsid w:val="009861EA"/>
    <w:rPr>
      <w:rFonts w:cs="Courier New"/>
    </w:rPr>
  </w:style>
  <w:style w:type="character" w:customStyle="1" w:styleId="ListLabel482">
    <w:name w:val="ListLabel 482"/>
    <w:qFormat/>
    <w:rsid w:val="009861EA"/>
    <w:rPr>
      <w:rFonts w:cs="Wingdings"/>
    </w:rPr>
  </w:style>
  <w:style w:type="character" w:customStyle="1" w:styleId="ListLabel483">
    <w:name w:val="ListLabel 483"/>
    <w:qFormat/>
    <w:rsid w:val="009861EA"/>
    <w:rPr>
      <w:rFonts w:cs="Symbol"/>
    </w:rPr>
  </w:style>
  <w:style w:type="character" w:customStyle="1" w:styleId="ListLabel484">
    <w:name w:val="ListLabel 484"/>
    <w:qFormat/>
    <w:rsid w:val="009861EA"/>
    <w:rPr>
      <w:rFonts w:cs="Courier New"/>
    </w:rPr>
  </w:style>
  <w:style w:type="character" w:customStyle="1" w:styleId="ListLabel485">
    <w:name w:val="ListLabel 485"/>
    <w:qFormat/>
    <w:rsid w:val="009861EA"/>
    <w:rPr>
      <w:rFonts w:cs="Wingdings"/>
    </w:rPr>
  </w:style>
  <w:style w:type="character" w:customStyle="1" w:styleId="ListLabel486">
    <w:name w:val="ListLabel 486"/>
    <w:qFormat/>
    <w:rsid w:val="009861EA"/>
    <w:rPr>
      <w:rFonts w:cs="Symbol"/>
    </w:rPr>
  </w:style>
  <w:style w:type="character" w:customStyle="1" w:styleId="ListLabel487">
    <w:name w:val="ListLabel 487"/>
    <w:qFormat/>
    <w:rsid w:val="009861EA"/>
    <w:rPr>
      <w:rFonts w:cs="Courier New"/>
    </w:rPr>
  </w:style>
  <w:style w:type="character" w:customStyle="1" w:styleId="ListLabel488">
    <w:name w:val="ListLabel 488"/>
    <w:qFormat/>
    <w:rsid w:val="009861EA"/>
    <w:rPr>
      <w:rFonts w:cs="Wingdings"/>
    </w:rPr>
  </w:style>
  <w:style w:type="character" w:customStyle="1" w:styleId="ListLabel489">
    <w:name w:val="ListLabel 489"/>
    <w:qFormat/>
    <w:rsid w:val="009861EA"/>
    <w:rPr>
      <w:rFonts w:cs="Symbol"/>
      <w:color w:val="00000A"/>
      <w:sz w:val="16"/>
    </w:rPr>
  </w:style>
  <w:style w:type="character" w:customStyle="1" w:styleId="ListLabel490">
    <w:name w:val="ListLabel 490"/>
    <w:qFormat/>
    <w:rsid w:val="009861EA"/>
    <w:rPr>
      <w:rFonts w:cs="Courier New"/>
    </w:rPr>
  </w:style>
  <w:style w:type="character" w:customStyle="1" w:styleId="ListLabel491">
    <w:name w:val="ListLabel 491"/>
    <w:qFormat/>
    <w:rsid w:val="009861EA"/>
    <w:rPr>
      <w:rFonts w:cs="Wingdings"/>
    </w:rPr>
  </w:style>
  <w:style w:type="character" w:customStyle="1" w:styleId="ListLabel492">
    <w:name w:val="ListLabel 492"/>
    <w:qFormat/>
    <w:rsid w:val="009861EA"/>
    <w:rPr>
      <w:rFonts w:cs="Symbol"/>
    </w:rPr>
  </w:style>
  <w:style w:type="character" w:customStyle="1" w:styleId="ListLabel493">
    <w:name w:val="ListLabel 493"/>
    <w:qFormat/>
    <w:rsid w:val="009861EA"/>
    <w:rPr>
      <w:rFonts w:cs="Courier New"/>
    </w:rPr>
  </w:style>
  <w:style w:type="character" w:customStyle="1" w:styleId="ListLabel494">
    <w:name w:val="ListLabel 494"/>
    <w:qFormat/>
    <w:rsid w:val="009861EA"/>
    <w:rPr>
      <w:rFonts w:cs="Wingdings"/>
    </w:rPr>
  </w:style>
  <w:style w:type="character" w:customStyle="1" w:styleId="ListLabel495">
    <w:name w:val="ListLabel 495"/>
    <w:qFormat/>
    <w:rsid w:val="009861EA"/>
    <w:rPr>
      <w:rFonts w:cs="Symbol"/>
    </w:rPr>
  </w:style>
  <w:style w:type="character" w:customStyle="1" w:styleId="ListLabel496">
    <w:name w:val="ListLabel 496"/>
    <w:qFormat/>
    <w:rsid w:val="009861EA"/>
    <w:rPr>
      <w:rFonts w:cs="Courier New"/>
    </w:rPr>
  </w:style>
  <w:style w:type="character" w:customStyle="1" w:styleId="ListLabel497">
    <w:name w:val="ListLabel 497"/>
    <w:qFormat/>
    <w:rsid w:val="009861EA"/>
    <w:rPr>
      <w:rFonts w:cs="Wingdings"/>
    </w:rPr>
  </w:style>
  <w:style w:type="character" w:customStyle="1" w:styleId="ListLabel498">
    <w:name w:val="ListLabel 498"/>
    <w:qFormat/>
    <w:rsid w:val="009861EA"/>
    <w:rPr>
      <w:rFonts w:cs="Symbol"/>
      <w:b/>
    </w:rPr>
  </w:style>
  <w:style w:type="character" w:customStyle="1" w:styleId="ListLabel499">
    <w:name w:val="ListLabel 499"/>
    <w:qFormat/>
    <w:rsid w:val="009861EA"/>
    <w:rPr>
      <w:rFonts w:cs="Courier New"/>
    </w:rPr>
  </w:style>
  <w:style w:type="character" w:customStyle="1" w:styleId="ListLabel500">
    <w:name w:val="ListLabel 500"/>
    <w:qFormat/>
    <w:rsid w:val="009861EA"/>
    <w:rPr>
      <w:rFonts w:cs="Wingdings"/>
    </w:rPr>
  </w:style>
  <w:style w:type="character" w:customStyle="1" w:styleId="ListLabel501">
    <w:name w:val="ListLabel 501"/>
    <w:qFormat/>
    <w:rsid w:val="009861EA"/>
    <w:rPr>
      <w:rFonts w:cs="Symbol"/>
    </w:rPr>
  </w:style>
  <w:style w:type="character" w:customStyle="1" w:styleId="ListLabel502">
    <w:name w:val="ListLabel 502"/>
    <w:qFormat/>
    <w:rsid w:val="009861EA"/>
    <w:rPr>
      <w:rFonts w:cs="Courier New"/>
    </w:rPr>
  </w:style>
  <w:style w:type="character" w:customStyle="1" w:styleId="ListLabel503">
    <w:name w:val="ListLabel 503"/>
    <w:qFormat/>
    <w:rsid w:val="009861EA"/>
    <w:rPr>
      <w:rFonts w:cs="Wingdings"/>
    </w:rPr>
  </w:style>
  <w:style w:type="character" w:customStyle="1" w:styleId="ListLabel504">
    <w:name w:val="ListLabel 504"/>
    <w:qFormat/>
    <w:rsid w:val="009861EA"/>
    <w:rPr>
      <w:rFonts w:cs="Symbol"/>
    </w:rPr>
  </w:style>
  <w:style w:type="character" w:customStyle="1" w:styleId="ListLabel505">
    <w:name w:val="ListLabel 505"/>
    <w:qFormat/>
    <w:rsid w:val="009861EA"/>
    <w:rPr>
      <w:rFonts w:cs="Courier New"/>
    </w:rPr>
  </w:style>
  <w:style w:type="character" w:customStyle="1" w:styleId="ListLabel506">
    <w:name w:val="ListLabel 506"/>
    <w:qFormat/>
    <w:rsid w:val="009861EA"/>
    <w:rPr>
      <w:rFonts w:cs="Wingdings"/>
    </w:rPr>
  </w:style>
  <w:style w:type="character" w:customStyle="1" w:styleId="ListLabel507">
    <w:name w:val="ListLabel 507"/>
    <w:qFormat/>
    <w:rsid w:val="009861EA"/>
    <w:rPr>
      <w:rFonts w:cs="Symbol"/>
    </w:rPr>
  </w:style>
  <w:style w:type="character" w:customStyle="1" w:styleId="ListLabel508">
    <w:name w:val="ListLabel 508"/>
    <w:qFormat/>
    <w:rsid w:val="009861EA"/>
    <w:rPr>
      <w:rFonts w:cs="Courier New"/>
    </w:rPr>
  </w:style>
  <w:style w:type="character" w:customStyle="1" w:styleId="ListLabel509">
    <w:name w:val="ListLabel 509"/>
    <w:qFormat/>
    <w:rsid w:val="009861EA"/>
    <w:rPr>
      <w:rFonts w:cs="Wingdings"/>
    </w:rPr>
  </w:style>
  <w:style w:type="character" w:customStyle="1" w:styleId="ListLabel510">
    <w:name w:val="ListLabel 510"/>
    <w:qFormat/>
    <w:rsid w:val="009861EA"/>
    <w:rPr>
      <w:rFonts w:cs="Symbol"/>
    </w:rPr>
  </w:style>
  <w:style w:type="character" w:customStyle="1" w:styleId="ListLabel511">
    <w:name w:val="ListLabel 511"/>
    <w:qFormat/>
    <w:rsid w:val="009861EA"/>
    <w:rPr>
      <w:rFonts w:cs="Courier New"/>
    </w:rPr>
  </w:style>
  <w:style w:type="character" w:customStyle="1" w:styleId="ListLabel512">
    <w:name w:val="ListLabel 512"/>
    <w:qFormat/>
    <w:rsid w:val="009861EA"/>
    <w:rPr>
      <w:rFonts w:cs="Wingdings"/>
    </w:rPr>
  </w:style>
  <w:style w:type="character" w:customStyle="1" w:styleId="ListLabel513">
    <w:name w:val="ListLabel 513"/>
    <w:qFormat/>
    <w:rsid w:val="009861EA"/>
    <w:rPr>
      <w:rFonts w:cs="Symbol"/>
    </w:rPr>
  </w:style>
  <w:style w:type="character" w:customStyle="1" w:styleId="ListLabel514">
    <w:name w:val="ListLabel 514"/>
    <w:qFormat/>
    <w:rsid w:val="009861EA"/>
    <w:rPr>
      <w:rFonts w:cs="Courier New"/>
    </w:rPr>
  </w:style>
  <w:style w:type="character" w:customStyle="1" w:styleId="ListLabel515">
    <w:name w:val="ListLabel 515"/>
    <w:qFormat/>
    <w:rsid w:val="009861EA"/>
    <w:rPr>
      <w:rFonts w:cs="Wingdings"/>
    </w:rPr>
  </w:style>
  <w:style w:type="character" w:customStyle="1" w:styleId="ListLabel516">
    <w:name w:val="ListLabel 516"/>
    <w:qFormat/>
    <w:rsid w:val="009861EA"/>
    <w:rPr>
      <w:rFonts w:cs="Symbol"/>
    </w:rPr>
  </w:style>
  <w:style w:type="character" w:customStyle="1" w:styleId="ListLabel517">
    <w:name w:val="ListLabel 517"/>
    <w:qFormat/>
    <w:rsid w:val="009861EA"/>
    <w:rPr>
      <w:rFonts w:cs="Courier New"/>
    </w:rPr>
  </w:style>
  <w:style w:type="character" w:customStyle="1" w:styleId="ListLabel518">
    <w:name w:val="ListLabel 518"/>
    <w:qFormat/>
    <w:rsid w:val="009861EA"/>
    <w:rPr>
      <w:rFonts w:cs="Wingdings"/>
    </w:rPr>
  </w:style>
  <w:style w:type="character" w:customStyle="1" w:styleId="ListLabel519">
    <w:name w:val="ListLabel 519"/>
    <w:qFormat/>
    <w:rsid w:val="009861EA"/>
    <w:rPr>
      <w:rFonts w:cs="Symbol"/>
    </w:rPr>
  </w:style>
  <w:style w:type="character" w:customStyle="1" w:styleId="ListLabel520">
    <w:name w:val="ListLabel 520"/>
    <w:qFormat/>
    <w:rsid w:val="009861EA"/>
    <w:rPr>
      <w:rFonts w:cs="Courier New"/>
    </w:rPr>
  </w:style>
  <w:style w:type="character" w:customStyle="1" w:styleId="ListLabel521">
    <w:name w:val="ListLabel 521"/>
    <w:qFormat/>
    <w:rsid w:val="009861EA"/>
    <w:rPr>
      <w:rFonts w:cs="Wingdings"/>
    </w:rPr>
  </w:style>
  <w:style w:type="character" w:customStyle="1" w:styleId="ListLabel522">
    <w:name w:val="ListLabel 522"/>
    <w:qFormat/>
    <w:rsid w:val="009861EA"/>
    <w:rPr>
      <w:rFonts w:cs="Symbol"/>
    </w:rPr>
  </w:style>
  <w:style w:type="character" w:customStyle="1" w:styleId="ListLabel523">
    <w:name w:val="ListLabel 523"/>
    <w:qFormat/>
    <w:rsid w:val="009861EA"/>
    <w:rPr>
      <w:rFonts w:cs="Courier New"/>
    </w:rPr>
  </w:style>
  <w:style w:type="character" w:customStyle="1" w:styleId="ListLabel524">
    <w:name w:val="ListLabel 524"/>
    <w:qFormat/>
    <w:rsid w:val="009861EA"/>
    <w:rPr>
      <w:rFonts w:cs="Wingdings"/>
    </w:rPr>
  </w:style>
  <w:style w:type="character" w:customStyle="1" w:styleId="ListLabel525">
    <w:name w:val="ListLabel 525"/>
    <w:qFormat/>
    <w:rsid w:val="009861EA"/>
    <w:rPr>
      <w:rFonts w:cs="Symbol"/>
    </w:rPr>
  </w:style>
  <w:style w:type="character" w:customStyle="1" w:styleId="ListLabel526">
    <w:name w:val="ListLabel 526"/>
    <w:qFormat/>
    <w:rsid w:val="009861EA"/>
    <w:rPr>
      <w:rFonts w:cs="Courier New"/>
    </w:rPr>
  </w:style>
  <w:style w:type="character" w:customStyle="1" w:styleId="ListLabel527">
    <w:name w:val="ListLabel 527"/>
    <w:qFormat/>
    <w:rsid w:val="009861EA"/>
    <w:rPr>
      <w:rFonts w:cs="Wingdings"/>
    </w:rPr>
  </w:style>
  <w:style w:type="character" w:customStyle="1" w:styleId="ListLabel528">
    <w:name w:val="ListLabel 528"/>
    <w:qFormat/>
    <w:rsid w:val="009861EA"/>
    <w:rPr>
      <w:rFonts w:cs="Symbol"/>
    </w:rPr>
  </w:style>
  <w:style w:type="character" w:customStyle="1" w:styleId="ListLabel529">
    <w:name w:val="ListLabel 529"/>
    <w:qFormat/>
    <w:rsid w:val="009861EA"/>
    <w:rPr>
      <w:rFonts w:cs="Courier New"/>
    </w:rPr>
  </w:style>
  <w:style w:type="character" w:customStyle="1" w:styleId="ListLabel530">
    <w:name w:val="ListLabel 530"/>
    <w:qFormat/>
    <w:rsid w:val="009861EA"/>
    <w:rPr>
      <w:rFonts w:cs="Wingdings"/>
    </w:rPr>
  </w:style>
  <w:style w:type="character" w:customStyle="1" w:styleId="ListLabel531">
    <w:name w:val="ListLabel 531"/>
    <w:qFormat/>
    <w:rsid w:val="009861EA"/>
    <w:rPr>
      <w:rFonts w:cs="Symbol"/>
    </w:rPr>
  </w:style>
  <w:style w:type="character" w:customStyle="1" w:styleId="ListLabel532">
    <w:name w:val="ListLabel 532"/>
    <w:qFormat/>
    <w:rsid w:val="009861EA"/>
    <w:rPr>
      <w:rFonts w:cs="Courier New"/>
    </w:rPr>
  </w:style>
  <w:style w:type="character" w:customStyle="1" w:styleId="ListLabel533">
    <w:name w:val="ListLabel 533"/>
    <w:qFormat/>
    <w:rsid w:val="009861EA"/>
    <w:rPr>
      <w:rFonts w:cs="Wingdings"/>
    </w:rPr>
  </w:style>
  <w:style w:type="character" w:customStyle="1" w:styleId="ListLabel534">
    <w:name w:val="ListLabel 534"/>
    <w:qFormat/>
    <w:rsid w:val="009861EA"/>
    <w:rPr>
      <w:rFonts w:cs="Courier New"/>
    </w:rPr>
  </w:style>
  <w:style w:type="character" w:customStyle="1" w:styleId="ListLabel535">
    <w:name w:val="ListLabel 535"/>
    <w:qFormat/>
    <w:rsid w:val="009861EA"/>
    <w:rPr>
      <w:rFonts w:cs="Courier New"/>
    </w:rPr>
  </w:style>
  <w:style w:type="character" w:customStyle="1" w:styleId="ListLabel536">
    <w:name w:val="ListLabel 536"/>
    <w:qFormat/>
    <w:rsid w:val="009861EA"/>
    <w:rPr>
      <w:rFonts w:cs="Wingdings"/>
    </w:rPr>
  </w:style>
  <w:style w:type="character" w:customStyle="1" w:styleId="ListLabel537">
    <w:name w:val="ListLabel 537"/>
    <w:qFormat/>
    <w:rsid w:val="009861EA"/>
    <w:rPr>
      <w:rFonts w:cs="Symbol"/>
    </w:rPr>
  </w:style>
  <w:style w:type="character" w:customStyle="1" w:styleId="ListLabel538">
    <w:name w:val="ListLabel 538"/>
    <w:qFormat/>
    <w:rsid w:val="009861EA"/>
    <w:rPr>
      <w:rFonts w:cs="Courier New"/>
    </w:rPr>
  </w:style>
  <w:style w:type="character" w:customStyle="1" w:styleId="ListLabel539">
    <w:name w:val="ListLabel 539"/>
    <w:qFormat/>
    <w:rsid w:val="009861EA"/>
    <w:rPr>
      <w:rFonts w:cs="Wingdings"/>
    </w:rPr>
  </w:style>
  <w:style w:type="character" w:customStyle="1" w:styleId="ListLabel540">
    <w:name w:val="ListLabel 540"/>
    <w:qFormat/>
    <w:rsid w:val="009861EA"/>
    <w:rPr>
      <w:rFonts w:cs="Symbol"/>
    </w:rPr>
  </w:style>
  <w:style w:type="character" w:customStyle="1" w:styleId="ListLabel541">
    <w:name w:val="ListLabel 541"/>
    <w:qFormat/>
    <w:rsid w:val="009861EA"/>
    <w:rPr>
      <w:rFonts w:cs="Courier New"/>
    </w:rPr>
  </w:style>
  <w:style w:type="character" w:customStyle="1" w:styleId="ListLabel542">
    <w:name w:val="ListLabel 542"/>
    <w:qFormat/>
    <w:rsid w:val="009861EA"/>
    <w:rPr>
      <w:rFonts w:cs="Wingdings"/>
    </w:rPr>
  </w:style>
  <w:style w:type="character" w:customStyle="1" w:styleId="ListLabel543">
    <w:name w:val="ListLabel 543"/>
    <w:qFormat/>
    <w:rsid w:val="009861EA"/>
    <w:rPr>
      <w:rFonts w:cs="Courier New"/>
      <w:color w:val="53565A"/>
      <w:sz w:val="18"/>
    </w:rPr>
  </w:style>
  <w:style w:type="character" w:customStyle="1" w:styleId="ListLabel544">
    <w:name w:val="ListLabel 544"/>
    <w:qFormat/>
    <w:rsid w:val="009861EA"/>
    <w:rPr>
      <w:rFonts w:cs="Courier New"/>
    </w:rPr>
  </w:style>
  <w:style w:type="character" w:customStyle="1" w:styleId="ListLabel545">
    <w:name w:val="ListLabel 545"/>
    <w:qFormat/>
    <w:rsid w:val="009861EA"/>
    <w:rPr>
      <w:rFonts w:cs="Wingdings"/>
    </w:rPr>
  </w:style>
  <w:style w:type="character" w:customStyle="1" w:styleId="ListLabel546">
    <w:name w:val="ListLabel 546"/>
    <w:qFormat/>
    <w:rsid w:val="009861EA"/>
    <w:rPr>
      <w:rFonts w:cs="Symbol"/>
    </w:rPr>
  </w:style>
  <w:style w:type="character" w:customStyle="1" w:styleId="ListLabel547">
    <w:name w:val="ListLabel 547"/>
    <w:qFormat/>
    <w:rsid w:val="009861EA"/>
    <w:rPr>
      <w:rFonts w:cs="Courier New"/>
    </w:rPr>
  </w:style>
  <w:style w:type="character" w:customStyle="1" w:styleId="ListLabel548">
    <w:name w:val="ListLabel 548"/>
    <w:qFormat/>
    <w:rsid w:val="009861EA"/>
    <w:rPr>
      <w:rFonts w:cs="Wingdings"/>
    </w:rPr>
  </w:style>
  <w:style w:type="character" w:customStyle="1" w:styleId="ListLabel549">
    <w:name w:val="ListLabel 549"/>
    <w:qFormat/>
    <w:rsid w:val="009861EA"/>
    <w:rPr>
      <w:rFonts w:cs="Symbol"/>
    </w:rPr>
  </w:style>
  <w:style w:type="character" w:customStyle="1" w:styleId="ListLabel550">
    <w:name w:val="ListLabel 550"/>
    <w:qFormat/>
    <w:rsid w:val="009861EA"/>
    <w:rPr>
      <w:rFonts w:cs="Courier New"/>
    </w:rPr>
  </w:style>
  <w:style w:type="character" w:customStyle="1" w:styleId="ListLabel551">
    <w:name w:val="ListLabel 551"/>
    <w:qFormat/>
    <w:rsid w:val="009861EA"/>
    <w:rPr>
      <w:rFonts w:cs="Wingdings"/>
    </w:rPr>
  </w:style>
  <w:style w:type="character" w:customStyle="1" w:styleId="ListLabel552">
    <w:name w:val="ListLabel 552"/>
    <w:qFormat/>
    <w:rsid w:val="009861EA"/>
    <w:rPr>
      <w:rFonts w:cs="Courier New"/>
      <w:b/>
      <w:color w:val="53565A"/>
      <w:sz w:val="18"/>
    </w:rPr>
  </w:style>
  <w:style w:type="character" w:customStyle="1" w:styleId="ListLabel553">
    <w:name w:val="ListLabel 553"/>
    <w:qFormat/>
    <w:rsid w:val="009861EA"/>
    <w:rPr>
      <w:rFonts w:cs="Courier New"/>
    </w:rPr>
  </w:style>
  <w:style w:type="character" w:customStyle="1" w:styleId="ListLabel554">
    <w:name w:val="ListLabel 554"/>
    <w:qFormat/>
    <w:rsid w:val="009861EA"/>
    <w:rPr>
      <w:rFonts w:cs="Wingdings"/>
    </w:rPr>
  </w:style>
  <w:style w:type="character" w:customStyle="1" w:styleId="ListLabel555">
    <w:name w:val="ListLabel 555"/>
    <w:qFormat/>
    <w:rsid w:val="009861EA"/>
    <w:rPr>
      <w:rFonts w:cs="Symbol"/>
    </w:rPr>
  </w:style>
  <w:style w:type="character" w:customStyle="1" w:styleId="ListLabel556">
    <w:name w:val="ListLabel 556"/>
    <w:qFormat/>
    <w:rsid w:val="009861EA"/>
    <w:rPr>
      <w:rFonts w:cs="Courier New"/>
    </w:rPr>
  </w:style>
  <w:style w:type="character" w:customStyle="1" w:styleId="ListLabel557">
    <w:name w:val="ListLabel 557"/>
    <w:qFormat/>
    <w:rsid w:val="009861EA"/>
    <w:rPr>
      <w:rFonts w:cs="Wingdings"/>
    </w:rPr>
  </w:style>
  <w:style w:type="character" w:customStyle="1" w:styleId="ListLabel558">
    <w:name w:val="ListLabel 558"/>
    <w:qFormat/>
    <w:rsid w:val="009861EA"/>
    <w:rPr>
      <w:rFonts w:cs="Symbol"/>
    </w:rPr>
  </w:style>
  <w:style w:type="character" w:customStyle="1" w:styleId="ListLabel559">
    <w:name w:val="ListLabel 559"/>
    <w:qFormat/>
    <w:rsid w:val="009861EA"/>
    <w:rPr>
      <w:rFonts w:cs="Courier New"/>
    </w:rPr>
  </w:style>
  <w:style w:type="character" w:customStyle="1" w:styleId="ListLabel560">
    <w:name w:val="ListLabel 560"/>
    <w:qFormat/>
    <w:rsid w:val="009861EA"/>
    <w:rPr>
      <w:rFonts w:cs="Wingdings"/>
    </w:rPr>
  </w:style>
  <w:style w:type="character" w:customStyle="1" w:styleId="ListLabel561">
    <w:name w:val="ListLabel 561"/>
    <w:qFormat/>
    <w:rsid w:val="009861EA"/>
    <w:rPr>
      <w:rFonts w:cs="OpenSymbol"/>
    </w:rPr>
  </w:style>
  <w:style w:type="character" w:customStyle="1" w:styleId="ListLabel562">
    <w:name w:val="ListLabel 562"/>
    <w:qFormat/>
    <w:rsid w:val="009861EA"/>
    <w:rPr>
      <w:rFonts w:cs="OpenSymbol"/>
    </w:rPr>
  </w:style>
  <w:style w:type="character" w:customStyle="1" w:styleId="ListLabel563">
    <w:name w:val="ListLabel 563"/>
    <w:qFormat/>
    <w:rsid w:val="009861EA"/>
    <w:rPr>
      <w:rFonts w:cs="OpenSymbol"/>
    </w:rPr>
  </w:style>
  <w:style w:type="character" w:customStyle="1" w:styleId="ListLabel564">
    <w:name w:val="ListLabel 564"/>
    <w:qFormat/>
    <w:rsid w:val="009861EA"/>
    <w:rPr>
      <w:rFonts w:cs="OpenSymbol"/>
    </w:rPr>
  </w:style>
  <w:style w:type="character" w:customStyle="1" w:styleId="ListLabel565">
    <w:name w:val="ListLabel 565"/>
    <w:qFormat/>
    <w:rsid w:val="009861EA"/>
    <w:rPr>
      <w:rFonts w:cs="OpenSymbol"/>
    </w:rPr>
  </w:style>
  <w:style w:type="character" w:customStyle="1" w:styleId="ListLabel566">
    <w:name w:val="ListLabel 566"/>
    <w:qFormat/>
    <w:rsid w:val="009861EA"/>
    <w:rPr>
      <w:rFonts w:cs="OpenSymbol"/>
    </w:rPr>
  </w:style>
  <w:style w:type="character" w:customStyle="1" w:styleId="ListLabel567">
    <w:name w:val="ListLabel 567"/>
    <w:qFormat/>
    <w:rsid w:val="009861EA"/>
    <w:rPr>
      <w:rFonts w:cs="OpenSymbol"/>
    </w:rPr>
  </w:style>
  <w:style w:type="character" w:customStyle="1" w:styleId="ListLabel568">
    <w:name w:val="ListLabel 568"/>
    <w:qFormat/>
    <w:rsid w:val="009861EA"/>
    <w:rPr>
      <w:rFonts w:cs="OpenSymbol"/>
    </w:rPr>
  </w:style>
  <w:style w:type="character" w:customStyle="1" w:styleId="ListLabel569">
    <w:name w:val="ListLabel 569"/>
    <w:qFormat/>
    <w:rsid w:val="009861EA"/>
    <w:rPr>
      <w:rFonts w:cs="OpenSymbol"/>
    </w:rPr>
  </w:style>
  <w:style w:type="character" w:customStyle="1" w:styleId="ListLabel570">
    <w:name w:val="ListLabel 570"/>
    <w:qFormat/>
    <w:rsid w:val="009861EA"/>
    <w:rPr>
      <w:rFonts w:cs="OpenSymbol"/>
    </w:rPr>
  </w:style>
  <w:style w:type="character" w:customStyle="1" w:styleId="ListLabel571">
    <w:name w:val="ListLabel 571"/>
    <w:qFormat/>
    <w:rsid w:val="009861EA"/>
    <w:rPr>
      <w:rFonts w:cs="OpenSymbol"/>
    </w:rPr>
  </w:style>
  <w:style w:type="character" w:customStyle="1" w:styleId="ListLabel572">
    <w:name w:val="ListLabel 572"/>
    <w:qFormat/>
    <w:rsid w:val="009861EA"/>
    <w:rPr>
      <w:rFonts w:cs="OpenSymbol"/>
    </w:rPr>
  </w:style>
  <w:style w:type="character" w:customStyle="1" w:styleId="ListLabel573">
    <w:name w:val="ListLabel 573"/>
    <w:qFormat/>
    <w:rsid w:val="009861EA"/>
    <w:rPr>
      <w:rFonts w:cs="OpenSymbol"/>
    </w:rPr>
  </w:style>
  <w:style w:type="character" w:customStyle="1" w:styleId="ListLabel574">
    <w:name w:val="ListLabel 574"/>
    <w:qFormat/>
    <w:rsid w:val="009861EA"/>
    <w:rPr>
      <w:rFonts w:cs="OpenSymbol"/>
    </w:rPr>
  </w:style>
  <w:style w:type="character" w:customStyle="1" w:styleId="ListLabel575">
    <w:name w:val="ListLabel 575"/>
    <w:qFormat/>
    <w:rsid w:val="009861EA"/>
    <w:rPr>
      <w:rFonts w:cs="OpenSymbol"/>
    </w:rPr>
  </w:style>
  <w:style w:type="character" w:customStyle="1" w:styleId="ListLabel576">
    <w:name w:val="ListLabel 576"/>
    <w:qFormat/>
    <w:rsid w:val="009861EA"/>
    <w:rPr>
      <w:rFonts w:cs="OpenSymbol"/>
    </w:rPr>
  </w:style>
  <w:style w:type="character" w:customStyle="1" w:styleId="ListLabel577">
    <w:name w:val="ListLabel 577"/>
    <w:qFormat/>
    <w:rsid w:val="009861EA"/>
    <w:rPr>
      <w:rFonts w:cs="OpenSymbol"/>
    </w:rPr>
  </w:style>
  <w:style w:type="character" w:customStyle="1" w:styleId="ListLabel578">
    <w:name w:val="ListLabel 578"/>
    <w:qFormat/>
    <w:rsid w:val="009861EA"/>
    <w:rPr>
      <w:rFonts w:cs="OpenSymbol"/>
    </w:rPr>
  </w:style>
  <w:style w:type="character" w:customStyle="1" w:styleId="ListLabel579">
    <w:name w:val="ListLabel 579"/>
    <w:qFormat/>
    <w:rsid w:val="009861EA"/>
    <w:rPr>
      <w:rFonts w:cs="OpenSymbol"/>
    </w:rPr>
  </w:style>
  <w:style w:type="character" w:customStyle="1" w:styleId="ListLabel580">
    <w:name w:val="ListLabel 580"/>
    <w:qFormat/>
    <w:rsid w:val="009861EA"/>
    <w:rPr>
      <w:rFonts w:cs="OpenSymbol"/>
    </w:rPr>
  </w:style>
  <w:style w:type="character" w:customStyle="1" w:styleId="ListLabel581">
    <w:name w:val="ListLabel 581"/>
    <w:qFormat/>
    <w:rsid w:val="009861EA"/>
    <w:rPr>
      <w:rFonts w:cs="OpenSymbol"/>
    </w:rPr>
  </w:style>
  <w:style w:type="character" w:customStyle="1" w:styleId="ListLabel582">
    <w:name w:val="ListLabel 582"/>
    <w:qFormat/>
    <w:rsid w:val="009861EA"/>
    <w:rPr>
      <w:rFonts w:cs="OpenSymbol"/>
    </w:rPr>
  </w:style>
  <w:style w:type="character" w:customStyle="1" w:styleId="ListLabel583">
    <w:name w:val="ListLabel 583"/>
    <w:qFormat/>
    <w:rsid w:val="009861EA"/>
    <w:rPr>
      <w:rFonts w:cs="OpenSymbol"/>
    </w:rPr>
  </w:style>
  <w:style w:type="character" w:customStyle="1" w:styleId="ListLabel584">
    <w:name w:val="ListLabel 584"/>
    <w:qFormat/>
    <w:rsid w:val="009861EA"/>
    <w:rPr>
      <w:rFonts w:cs="OpenSymbol"/>
    </w:rPr>
  </w:style>
  <w:style w:type="character" w:customStyle="1" w:styleId="ListLabel585">
    <w:name w:val="ListLabel 585"/>
    <w:qFormat/>
    <w:rsid w:val="009861EA"/>
    <w:rPr>
      <w:rFonts w:cs="OpenSymbol"/>
    </w:rPr>
  </w:style>
  <w:style w:type="character" w:customStyle="1" w:styleId="ListLabel586">
    <w:name w:val="ListLabel 586"/>
    <w:qFormat/>
    <w:rsid w:val="009861EA"/>
    <w:rPr>
      <w:rFonts w:cs="OpenSymbol"/>
    </w:rPr>
  </w:style>
  <w:style w:type="character" w:customStyle="1" w:styleId="ListLabel587">
    <w:name w:val="ListLabel 587"/>
    <w:qFormat/>
    <w:rsid w:val="009861EA"/>
    <w:rPr>
      <w:rFonts w:cs="OpenSymbol"/>
    </w:rPr>
  </w:style>
  <w:style w:type="character" w:customStyle="1" w:styleId="ListLabel588">
    <w:name w:val="ListLabel 588"/>
    <w:qFormat/>
    <w:rsid w:val="009861EA"/>
    <w:rPr>
      <w:rFonts w:cs="Symbol"/>
    </w:rPr>
  </w:style>
  <w:style w:type="character" w:customStyle="1" w:styleId="ListLabel589">
    <w:name w:val="ListLabel 589"/>
    <w:qFormat/>
    <w:rsid w:val="009861EA"/>
    <w:rPr>
      <w:rFonts w:cs="Courier New"/>
    </w:rPr>
  </w:style>
  <w:style w:type="character" w:customStyle="1" w:styleId="ListLabel590">
    <w:name w:val="ListLabel 590"/>
    <w:qFormat/>
    <w:rsid w:val="009861EA"/>
    <w:rPr>
      <w:rFonts w:cs="Wingdings"/>
    </w:rPr>
  </w:style>
  <w:style w:type="character" w:customStyle="1" w:styleId="ListLabel591">
    <w:name w:val="ListLabel 591"/>
    <w:qFormat/>
    <w:rsid w:val="009861EA"/>
    <w:rPr>
      <w:rFonts w:cs="Symbol"/>
    </w:rPr>
  </w:style>
  <w:style w:type="character" w:customStyle="1" w:styleId="ListLabel592">
    <w:name w:val="ListLabel 592"/>
    <w:qFormat/>
    <w:rsid w:val="009861EA"/>
    <w:rPr>
      <w:rFonts w:cs="Courier New"/>
    </w:rPr>
  </w:style>
  <w:style w:type="character" w:customStyle="1" w:styleId="ListLabel593">
    <w:name w:val="ListLabel 593"/>
    <w:qFormat/>
    <w:rsid w:val="009861EA"/>
    <w:rPr>
      <w:rFonts w:cs="Wingdings"/>
    </w:rPr>
  </w:style>
  <w:style w:type="character" w:customStyle="1" w:styleId="ListLabel594">
    <w:name w:val="ListLabel 594"/>
    <w:qFormat/>
    <w:rsid w:val="009861EA"/>
    <w:rPr>
      <w:rFonts w:cs="Symbol"/>
    </w:rPr>
  </w:style>
  <w:style w:type="character" w:customStyle="1" w:styleId="ListLabel595">
    <w:name w:val="ListLabel 595"/>
    <w:qFormat/>
    <w:rsid w:val="009861EA"/>
    <w:rPr>
      <w:rFonts w:cs="Courier New"/>
    </w:rPr>
  </w:style>
  <w:style w:type="character" w:customStyle="1" w:styleId="ListLabel596">
    <w:name w:val="ListLabel 596"/>
    <w:qFormat/>
    <w:rsid w:val="009861EA"/>
    <w:rPr>
      <w:rFonts w:cs="Wingdings"/>
    </w:rPr>
  </w:style>
  <w:style w:type="character" w:customStyle="1" w:styleId="ListLabel597">
    <w:name w:val="ListLabel 597"/>
    <w:qFormat/>
    <w:rsid w:val="009861EA"/>
    <w:rPr>
      <w:rFonts w:cs="OpenSymbol"/>
    </w:rPr>
  </w:style>
  <w:style w:type="character" w:customStyle="1" w:styleId="ListLabel598">
    <w:name w:val="ListLabel 598"/>
    <w:qFormat/>
    <w:rsid w:val="009861EA"/>
    <w:rPr>
      <w:rFonts w:cs="OpenSymbol"/>
    </w:rPr>
  </w:style>
  <w:style w:type="character" w:customStyle="1" w:styleId="ListLabel599">
    <w:name w:val="ListLabel 599"/>
    <w:qFormat/>
    <w:rsid w:val="009861EA"/>
    <w:rPr>
      <w:rFonts w:cs="OpenSymbol"/>
    </w:rPr>
  </w:style>
  <w:style w:type="character" w:customStyle="1" w:styleId="ListLabel600">
    <w:name w:val="ListLabel 600"/>
    <w:qFormat/>
    <w:rsid w:val="009861EA"/>
    <w:rPr>
      <w:rFonts w:cs="OpenSymbol"/>
    </w:rPr>
  </w:style>
  <w:style w:type="character" w:customStyle="1" w:styleId="ListLabel601">
    <w:name w:val="ListLabel 601"/>
    <w:qFormat/>
    <w:rsid w:val="009861EA"/>
    <w:rPr>
      <w:rFonts w:cs="OpenSymbol"/>
    </w:rPr>
  </w:style>
  <w:style w:type="character" w:customStyle="1" w:styleId="ListLabel602">
    <w:name w:val="ListLabel 602"/>
    <w:qFormat/>
    <w:rsid w:val="009861EA"/>
    <w:rPr>
      <w:rFonts w:cs="OpenSymbol"/>
    </w:rPr>
  </w:style>
  <w:style w:type="character" w:customStyle="1" w:styleId="ListLabel603">
    <w:name w:val="ListLabel 603"/>
    <w:qFormat/>
    <w:rsid w:val="009861EA"/>
    <w:rPr>
      <w:rFonts w:cs="OpenSymbol"/>
    </w:rPr>
  </w:style>
  <w:style w:type="character" w:customStyle="1" w:styleId="ListLabel604">
    <w:name w:val="ListLabel 604"/>
    <w:qFormat/>
    <w:rsid w:val="009861EA"/>
    <w:rPr>
      <w:rFonts w:cs="OpenSymbol"/>
    </w:rPr>
  </w:style>
  <w:style w:type="character" w:customStyle="1" w:styleId="ListLabel605">
    <w:name w:val="ListLabel 605"/>
    <w:qFormat/>
    <w:rsid w:val="009861EA"/>
    <w:rPr>
      <w:rFonts w:cs="OpenSymbol"/>
    </w:rPr>
  </w:style>
  <w:style w:type="character" w:customStyle="1" w:styleId="ListLabel606">
    <w:name w:val="ListLabel 606"/>
    <w:qFormat/>
    <w:rsid w:val="009861EA"/>
    <w:rPr>
      <w:rFonts w:cs="OpenSymbol"/>
    </w:rPr>
  </w:style>
  <w:style w:type="character" w:customStyle="1" w:styleId="ListLabel607">
    <w:name w:val="ListLabel 607"/>
    <w:qFormat/>
    <w:rsid w:val="009861EA"/>
    <w:rPr>
      <w:rFonts w:cs="OpenSymbol"/>
    </w:rPr>
  </w:style>
  <w:style w:type="character" w:customStyle="1" w:styleId="ListLabel608">
    <w:name w:val="ListLabel 608"/>
    <w:qFormat/>
    <w:rsid w:val="009861EA"/>
    <w:rPr>
      <w:rFonts w:cs="OpenSymbol"/>
    </w:rPr>
  </w:style>
  <w:style w:type="character" w:customStyle="1" w:styleId="ListLabel609">
    <w:name w:val="ListLabel 609"/>
    <w:qFormat/>
    <w:rsid w:val="009861EA"/>
    <w:rPr>
      <w:rFonts w:cs="OpenSymbol"/>
    </w:rPr>
  </w:style>
  <w:style w:type="character" w:customStyle="1" w:styleId="ListLabel610">
    <w:name w:val="ListLabel 610"/>
    <w:qFormat/>
    <w:rsid w:val="009861EA"/>
    <w:rPr>
      <w:rFonts w:cs="OpenSymbol"/>
    </w:rPr>
  </w:style>
  <w:style w:type="character" w:customStyle="1" w:styleId="ListLabel611">
    <w:name w:val="ListLabel 611"/>
    <w:qFormat/>
    <w:rsid w:val="009861EA"/>
    <w:rPr>
      <w:rFonts w:cs="OpenSymbol"/>
    </w:rPr>
  </w:style>
  <w:style w:type="character" w:customStyle="1" w:styleId="ListLabel612">
    <w:name w:val="ListLabel 612"/>
    <w:qFormat/>
    <w:rsid w:val="009861EA"/>
    <w:rPr>
      <w:rFonts w:cs="OpenSymbol"/>
    </w:rPr>
  </w:style>
  <w:style w:type="character" w:customStyle="1" w:styleId="ListLabel613">
    <w:name w:val="ListLabel 613"/>
    <w:qFormat/>
    <w:rsid w:val="009861EA"/>
    <w:rPr>
      <w:rFonts w:cs="OpenSymbol"/>
    </w:rPr>
  </w:style>
  <w:style w:type="character" w:customStyle="1" w:styleId="ListLabel614">
    <w:name w:val="ListLabel 614"/>
    <w:qFormat/>
    <w:rsid w:val="009861EA"/>
    <w:rPr>
      <w:rFonts w:cs="OpenSymbol"/>
    </w:rPr>
  </w:style>
  <w:style w:type="character" w:customStyle="1" w:styleId="ListLabel615">
    <w:name w:val="ListLabel 615"/>
    <w:qFormat/>
    <w:rsid w:val="009861EA"/>
    <w:rPr>
      <w:b/>
    </w:rPr>
  </w:style>
  <w:style w:type="character" w:customStyle="1" w:styleId="ListLabel616">
    <w:name w:val="ListLabel 616"/>
    <w:qFormat/>
    <w:rsid w:val="009861EA"/>
    <w:rPr>
      <w:rFonts w:cs="OpenSymbol"/>
    </w:rPr>
  </w:style>
  <w:style w:type="character" w:customStyle="1" w:styleId="ListLabel617">
    <w:name w:val="ListLabel 617"/>
    <w:qFormat/>
    <w:rsid w:val="009861EA"/>
    <w:rPr>
      <w:rFonts w:cs="OpenSymbol"/>
    </w:rPr>
  </w:style>
  <w:style w:type="character" w:customStyle="1" w:styleId="ListLabel618">
    <w:name w:val="ListLabel 618"/>
    <w:qFormat/>
    <w:rsid w:val="009861EA"/>
    <w:rPr>
      <w:rFonts w:cs="OpenSymbol"/>
    </w:rPr>
  </w:style>
  <w:style w:type="character" w:customStyle="1" w:styleId="ListLabel619">
    <w:name w:val="ListLabel 619"/>
    <w:qFormat/>
    <w:rsid w:val="009861EA"/>
    <w:rPr>
      <w:rFonts w:cs="OpenSymbol"/>
    </w:rPr>
  </w:style>
  <w:style w:type="character" w:customStyle="1" w:styleId="ListLabel620">
    <w:name w:val="ListLabel 620"/>
    <w:qFormat/>
    <w:rsid w:val="009861EA"/>
    <w:rPr>
      <w:rFonts w:cs="OpenSymbol"/>
    </w:rPr>
  </w:style>
  <w:style w:type="character" w:customStyle="1" w:styleId="ListLabel621">
    <w:name w:val="ListLabel 621"/>
    <w:qFormat/>
    <w:rsid w:val="009861EA"/>
    <w:rPr>
      <w:rFonts w:cs="OpenSymbol"/>
    </w:rPr>
  </w:style>
  <w:style w:type="character" w:customStyle="1" w:styleId="ListLabel622">
    <w:name w:val="ListLabel 622"/>
    <w:qFormat/>
    <w:rsid w:val="009861EA"/>
    <w:rPr>
      <w:rFonts w:cs="OpenSymbol"/>
    </w:rPr>
  </w:style>
  <w:style w:type="character" w:customStyle="1" w:styleId="ListLabel623">
    <w:name w:val="ListLabel 623"/>
    <w:qFormat/>
    <w:rsid w:val="009861EA"/>
    <w:rPr>
      <w:rFonts w:cs="OpenSymbol"/>
    </w:rPr>
  </w:style>
  <w:style w:type="character" w:customStyle="1" w:styleId="ListLabel624">
    <w:name w:val="ListLabel 624"/>
    <w:qFormat/>
    <w:rsid w:val="009861EA"/>
    <w:rPr>
      <w:rFonts w:cs="OpenSymbol"/>
    </w:rPr>
  </w:style>
  <w:style w:type="character" w:customStyle="1" w:styleId="ListLabel625">
    <w:name w:val="ListLabel 625"/>
    <w:qFormat/>
    <w:rsid w:val="009861EA"/>
    <w:rPr>
      <w:color w:val="012169"/>
      <w:sz w:val="18"/>
    </w:rPr>
  </w:style>
  <w:style w:type="character" w:customStyle="1" w:styleId="ListLabel626">
    <w:name w:val="ListLabel 626"/>
    <w:qFormat/>
    <w:rsid w:val="009861EA"/>
    <w:rPr>
      <w:rFonts w:cs="Wingdings"/>
    </w:rPr>
  </w:style>
  <w:style w:type="character" w:customStyle="1" w:styleId="ListLabel627">
    <w:name w:val="ListLabel 627"/>
    <w:qFormat/>
    <w:rsid w:val="009861EA"/>
    <w:rPr>
      <w:rFonts w:cs="Symbol"/>
    </w:rPr>
  </w:style>
  <w:style w:type="character" w:customStyle="1" w:styleId="ListLabel628">
    <w:name w:val="ListLabel 628"/>
    <w:qFormat/>
    <w:rsid w:val="009861EA"/>
    <w:rPr>
      <w:rFonts w:cs="Courier New"/>
    </w:rPr>
  </w:style>
  <w:style w:type="character" w:customStyle="1" w:styleId="ListLabel629">
    <w:name w:val="ListLabel 629"/>
    <w:qFormat/>
    <w:rsid w:val="009861EA"/>
    <w:rPr>
      <w:rFonts w:cs="Wingdings"/>
    </w:rPr>
  </w:style>
  <w:style w:type="character" w:customStyle="1" w:styleId="ListLabel630">
    <w:name w:val="ListLabel 630"/>
    <w:qFormat/>
    <w:rsid w:val="009861EA"/>
    <w:rPr>
      <w:rFonts w:cs="Symbol"/>
    </w:rPr>
  </w:style>
  <w:style w:type="character" w:customStyle="1" w:styleId="ListLabel631">
    <w:name w:val="ListLabel 631"/>
    <w:qFormat/>
    <w:rsid w:val="009861EA"/>
    <w:rPr>
      <w:rFonts w:cs="Courier New"/>
    </w:rPr>
  </w:style>
  <w:style w:type="character" w:customStyle="1" w:styleId="ListLabel632">
    <w:name w:val="ListLabel 632"/>
    <w:qFormat/>
    <w:rsid w:val="009861EA"/>
    <w:rPr>
      <w:rFonts w:cs="Wingdings"/>
    </w:rPr>
  </w:style>
  <w:style w:type="character" w:customStyle="1" w:styleId="ListLabel633">
    <w:name w:val="ListLabel 633"/>
    <w:qFormat/>
    <w:rsid w:val="009861EA"/>
    <w:rPr>
      <w:rFonts w:cs="Symbol"/>
    </w:rPr>
  </w:style>
  <w:style w:type="character" w:customStyle="1" w:styleId="ListLabel634">
    <w:name w:val="ListLabel 634"/>
    <w:qFormat/>
    <w:rsid w:val="009861EA"/>
    <w:rPr>
      <w:rFonts w:cs="Courier New"/>
    </w:rPr>
  </w:style>
  <w:style w:type="character" w:customStyle="1" w:styleId="ListLabel635">
    <w:name w:val="ListLabel 635"/>
    <w:qFormat/>
    <w:rsid w:val="009861EA"/>
    <w:rPr>
      <w:rFonts w:cs="Wingdings"/>
    </w:rPr>
  </w:style>
  <w:style w:type="character" w:customStyle="1" w:styleId="ListLabel636">
    <w:name w:val="ListLabel 636"/>
    <w:qFormat/>
    <w:rsid w:val="009861EA"/>
    <w:rPr>
      <w:rFonts w:cs="Symbol"/>
    </w:rPr>
  </w:style>
  <w:style w:type="character" w:customStyle="1" w:styleId="ListLabel637">
    <w:name w:val="ListLabel 637"/>
    <w:qFormat/>
    <w:rsid w:val="009861EA"/>
    <w:rPr>
      <w:rFonts w:cs="Courier New"/>
    </w:rPr>
  </w:style>
  <w:style w:type="character" w:customStyle="1" w:styleId="ListLabel638">
    <w:name w:val="ListLabel 638"/>
    <w:qFormat/>
    <w:rsid w:val="009861EA"/>
    <w:rPr>
      <w:rFonts w:cs="Wingdings"/>
    </w:rPr>
  </w:style>
  <w:style w:type="character" w:customStyle="1" w:styleId="ListLabel639">
    <w:name w:val="ListLabel 639"/>
    <w:qFormat/>
    <w:rsid w:val="009861EA"/>
    <w:rPr>
      <w:rFonts w:cs="Symbol"/>
    </w:rPr>
  </w:style>
  <w:style w:type="character" w:customStyle="1" w:styleId="ListLabel640">
    <w:name w:val="ListLabel 640"/>
    <w:qFormat/>
    <w:rsid w:val="009861EA"/>
    <w:rPr>
      <w:rFonts w:cs="Courier New"/>
    </w:rPr>
  </w:style>
  <w:style w:type="character" w:customStyle="1" w:styleId="ListLabel641">
    <w:name w:val="ListLabel 641"/>
    <w:qFormat/>
    <w:rsid w:val="009861EA"/>
    <w:rPr>
      <w:rFonts w:cs="Wingdings"/>
    </w:rPr>
  </w:style>
  <w:style w:type="character" w:customStyle="1" w:styleId="ListLabel642">
    <w:name w:val="ListLabel 642"/>
    <w:qFormat/>
    <w:rsid w:val="009861EA"/>
    <w:rPr>
      <w:rFonts w:cs="Courier New"/>
      <w:color w:val="53565A"/>
      <w:sz w:val="18"/>
    </w:rPr>
  </w:style>
  <w:style w:type="character" w:customStyle="1" w:styleId="ListLabel643">
    <w:name w:val="ListLabel 643"/>
    <w:qFormat/>
    <w:rsid w:val="009861EA"/>
    <w:rPr>
      <w:rFonts w:cs="Courier New"/>
    </w:rPr>
  </w:style>
  <w:style w:type="character" w:customStyle="1" w:styleId="ListLabel644">
    <w:name w:val="ListLabel 644"/>
    <w:qFormat/>
    <w:rsid w:val="009861EA"/>
    <w:rPr>
      <w:rFonts w:cs="Wingdings"/>
    </w:rPr>
  </w:style>
  <w:style w:type="character" w:customStyle="1" w:styleId="ListLabel645">
    <w:name w:val="ListLabel 645"/>
    <w:qFormat/>
    <w:rsid w:val="009861EA"/>
    <w:rPr>
      <w:rFonts w:cs="Symbol"/>
    </w:rPr>
  </w:style>
  <w:style w:type="character" w:customStyle="1" w:styleId="ListLabel646">
    <w:name w:val="ListLabel 646"/>
    <w:qFormat/>
    <w:rsid w:val="009861EA"/>
    <w:rPr>
      <w:rFonts w:cs="Courier New"/>
    </w:rPr>
  </w:style>
  <w:style w:type="character" w:customStyle="1" w:styleId="ListLabel647">
    <w:name w:val="ListLabel 647"/>
    <w:qFormat/>
    <w:rsid w:val="009861EA"/>
    <w:rPr>
      <w:rFonts w:cs="Wingdings"/>
    </w:rPr>
  </w:style>
  <w:style w:type="character" w:customStyle="1" w:styleId="ListLabel648">
    <w:name w:val="ListLabel 648"/>
    <w:qFormat/>
    <w:rsid w:val="009861EA"/>
    <w:rPr>
      <w:rFonts w:cs="Symbol"/>
    </w:rPr>
  </w:style>
  <w:style w:type="character" w:customStyle="1" w:styleId="ListLabel649">
    <w:name w:val="ListLabel 649"/>
    <w:qFormat/>
    <w:rsid w:val="009861EA"/>
    <w:rPr>
      <w:rFonts w:cs="Courier New"/>
    </w:rPr>
  </w:style>
  <w:style w:type="character" w:customStyle="1" w:styleId="ListLabel650">
    <w:name w:val="ListLabel 650"/>
    <w:qFormat/>
    <w:rsid w:val="009861EA"/>
    <w:rPr>
      <w:rFonts w:cs="Wingdings"/>
    </w:rPr>
  </w:style>
  <w:style w:type="character" w:customStyle="1" w:styleId="ListLabel651">
    <w:name w:val="ListLabel 651"/>
    <w:qFormat/>
    <w:rsid w:val="009861EA"/>
    <w:rPr>
      <w:rFonts w:cs="Symbol"/>
    </w:rPr>
  </w:style>
  <w:style w:type="character" w:customStyle="1" w:styleId="ListLabel652">
    <w:name w:val="ListLabel 652"/>
    <w:qFormat/>
    <w:rsid w:val="009861EA"/>
    <w:rPr>
      <w:color w:val="012169"/>
      <w:sz w:val="18"/>
    </w:rPr>
  </w:style>
  <w:style w:type="character" w:customStyle="1" w:styleId="ListLabel653">
    <w:name w:val="ListLabel 653"/>
    <w:qFormat/>
    <w:rsid w:val="009861EA"/>
    <w:rPr>
      <w:rFonts w:eastAsia="Verdana"/>
    </w:rPr>
  </w:style>
  <w:style w:type="character" w:customStyle="1" w:styleId="ListLabel654">
    <w:name w:val="ListLabel 654"/>
    <w:qFormat/>
    <w:rsid w:val="009861EA"/>
    <w:rPr>
      <w:rFonts w:cs="Symbol"/>
    </w:rPr>
  </w:style>
  <w:style w:type="character" w:customStyle="1" w:styleId="ListLabel655">
    <w:name w:val="ListLabel 655"/>
    <w:qFormat/>
    <w:rsid w:val="009861EA"/>
    <w:rPr>
      <w:rFonts w:cs="Courier New"/>
    </w:rPr>
  </w:style>
  <w:style w:type="character" w:customStyle="1" w:styleId="ListLabel656">
    <w:name w:val="ListLabel 656"/>
    <w:qFormat/>
    <w:rsid w:val="009861EA"/>
    <w:rPr>
      <w:rFonts w:cs="Wingdings"/>
    </w:rPr>
  </w:style>
  <w:style w:type="character" w:customStyle="1" w:styleId="ListLabel657">
    <w:name w:val="ListLabel 657"/>
    <w:qFormat/>
    <w:rsid w:val="009861EA"/>
    <w:rPr>
      <w:rFonts w:cs="Symbol"/>
    </w:rPr>
  </w:style>
  <w:style w:type="character" w:customStyle="1" w:styleId="ListLabel658">
    <w:name w:val="ListLabel 658"/>
    <w:qFormat/>
    <w:rsid w:val="009861EA"/>
    <w:rPr>
      <w:rFonts w:cs="Courier New"/>
    </w:rPr>
  </w:style>
  <w:style w:type="character" w:customStyle="1" w:styleId="ListLabel659">
    <w:name w:val="ListLabel 659"/>
    <w:qFormat/>
    <w:rsid w:val="009861EA"/>
    <w:rPr>
      <w:rFonts w:cs="Wingdings"/>
    </w:rPr>
  </w:style>
  <w:style w:type="character" w:customStyle="1" w:styleId="ListLabel660">
    <w:name w:val="ListLabel 660"/>
    <w:qFormat/>
    <w:rsid w:val="009861EA"/>
    <w:rPr>
      <w:rFonts w:cs="Symbol"/>
    </w:rPr>
  </w:style>
  <w:style w:type="character" w:customStyle="1" w:styleId="ListLabel661">
    <w:name w:val="ListLabel 661"/>
    <w:qFormat/>
    <w:rsid w:val="009861EA"/>
    <w:rPr>
      <w:rFonts w:cs="Courier New"/>
    </w:rPr>
  </w:style>
  <w:style w:type="character" w:customStyle="1" w:styleId="ListLabel662">
    <w:name w:val="ListLabel 662"/>
    <w:qFormat/>
    <w:rsid w:val="009861EA"/>
    <w:rPr>
      <w:rFonts w:cs="Wingdings"/>
    </w:rPr>
  </w:style>
  <w:style w:type="character" w:customStyle="1" w:styleId="ListLabel663">
    <w:name w:val="ListLabel 663"/>
    <w:qFormat/>
    <w:rsid w:val="009861EA"/>
    <w:rPr>
      <w:rFonts w:cs="Courier New"/>
    </w:rPr>
  </w:style>
  <w:style w:type="character" w:customStyle="1" w:styleId="ListLabel664">
    <w:name w:val="ListLabel 664"/>
    <w:qFormat/>
    <w:rsid w:val="009861EA"/>
    <w:rPr>
      <w:rFonts w:cs="Courier New"/>
    </w:rPr>
  </w:style>
  <w:style w:type="character" w:customStyle="1" w:styleId="ListLabel665">
    <w:name w:val="ListLabel 665"/>
    <w:qFormat/>
    <w:rsid w:val="009861EA"/>
    <w:rPr>
      <w:rFonts w:cs="Courier New"/>
    </w:rPr>
  </w:style>
  <w:style w:type="character" w:customStyle="1" w:styleId="ListLabel666">
    <w:name w:val="ListLabel 666"/>
    <w:qFormat/>
    <w:rsid w:val="009861EA"/>
    <w:rPr>
      <w:rFonts w:eastAsia="Verdana"/>
    </w:rPr>
  </w:style>
  <w:style w:type="character" w:customStyle="1" w:styleId="ListLabel667">
    <w:name w:val="ListLabel 667"/>
    <w:qFormat/>
    <w:rsid w:val="009861EA"/>
    <w:rPr>
      <w:rFonts w:cs="Courier New"/>
    </w:rPr>
  </w:style>
  <w:style w:type="character" w:customStyle="1" w:styleId="ListLabel668">
    <w:name w:val="ListLabel 668"/>
    <w:qFormat/>
    <w:rsid w:val="009861EA"/>
    <w:rPr>
      <w:rFonts w:cs="Courier New"/>
    </w:rPr>
  </w:style>
  <w:style w:type="character" w:customStyle="1" w:styleId="ListLabel669">
    <w:name w:val="ListLabel 669"/>
    <w:qFormat/>
    <w:rsid w:val="009861EA"/>
    <w:rPr>
      <w:rFonts w:cs="Courier New"/>
    </w:rPr>
  </w:style>
  <w:style w:type="character" w:customStyle="1" w:styleId="Odrky">
    <w:name w:val="Odrážky"/>
    <w:qFormat/>
    <w:rsid w:val="009861EA"/>
    <w:rPr>
      <w:rFonts w:ascii="OpenSymbol" w:eastAsia="OpenSymbol" w:hAnsi="OpenSymbol" w:cs="OpenSymbol"/>
    </w:rPr>
  </w:style>
  <w:style w:type="paragraph" w:customStyle="1" w:styleId="Nadpis">
    <w:name w:val="Nadpis"/>
    <w:basedOn w:val="Normal"/>
    <w:next w:val="BodyText"/>
    <w:qFormat/>
    <w:rsid w:val="009861EA"/>
    <w:pPr>
      <w:keepNext/>
      <w:spacing w:before="240" w:after="120"/>
    </w:pPr>
    <w:rPr>
      <w:rFonts w:ascii="Liberation Sans" w:eastAsia="Microsoft YaHei" w:hAnsi="Liberation Sans" w:cs="Mangal"/>
      <w:sz w:val="28"/>
      <w:szCs w:val="28"/>
    </w:rPr>
  </w:style>
  <w:style w:type="paragraph" w:styleId="BodyText">
    <w:name w:val="Body Text"/>
    <w:basedOn w:val="Normal"/>
    <w:rsid w:val="009861EA"/>
    <w:pPr>
      <w:spacing w:after="140" w:line="288" w:lineRule="auto"/>
    </w:pPr>
  </w:style>
  <w:style w:type="paragraph" w:styleId="List">
    <w:name w:val="List"/>
    <w:basedOn w:val="BodyText"/>
    <w:rsid w:val="009861EA"/>
    <w:rPr>
      <w:rFonts w:cs="Mangal"/>
    </w:rPr>
  </w:style>
  <w:style w:type="paragraph" w:styleId="Caption">
    <w:name w:val="caption"/>
    <w:basedOn w:val="Normal"/>
    <w:next w:val="Normal"/>
    <w:uiPriority w:val="35"/>
    <w:qFormat/>
    <w:rsid w:val="00B46969"/>
    <w:pPr>
      <w:keepNext/>
      <w:spacing w:line="240" w:lineRule="auto"/>
    </w:pPr>
    <w:rPr>
      <w:iCs/>
      <w:color w:val="75787B" w:themeColor="accent6"/>
      <w:sz w:val="17"/>
      <w:szCs w:val="18"/>
    </w:rPr>
  </w:style>
  <w:style w:type="paragraph" w:customStyle="1" w:styleId="Rejstk">
    <w:name w:val="Rejstřík"/>
    <w:basedOn w:val="Normal"/>
    <w:qFormat/>
    <w:rsid w:val="009861EA"/>
    <w:pPr>
      <w:suppressLineNumbers/>
    </w:pPr>
    <w:rPr>
      <w:rFonts w:cs="Mangal"/>
    </w:rPr>
  </w:style>
  <w:style w:type="paragraph" w:styleId="Header">
    <w:name w:val="header"/>
    <w:basedOn w:val="Normal"/>
    <w:link w:val="HeaderChar"/>
    <w:uiPriority w:val="99"/>
    <w:rsid w:val="008631CE"/>
    <w:pPr>
      <w:tabs>
        <w:tab w:val="center" w:pos="4513"/>
        <w:tab w:val="right" w:pos="9026"/>
      </w:tabs>
      <w:spacing w:after="0" w:line="240" w:lineRule="auto"/>
    </w:pPr>
    <w:rPr>
      <w:b/>
      <w:sz w:val="14"/>
      <w:lang w:val="en-US"/>
    </w:rPr>
  </w:style>
  <w:style w:type="paragraph" w:styleId="Footer">
    <w:name w:val="footer"/>
    <w:basedOn w:val="Normal"/>
    <w:link w:val="FooterChar"/>
    <w:uiPriority w:val="99"/>
    <w:rsid w:val="001975EF"/>
    <w:pPr>
      <w:tabs>
        <w:tab w:val="right" w:pos="7371"/>
      </w:tabs>
      <w:spacing w:after="0" w:line="200" w:lineRule="atLeast"/>
    </w:pPr>
    <w:rPr>
      <w:sz w:val="16"/>
    </w:rPr>
  </w:style>
  <w:style w:type="paragraph" w:styleId="BalloonText">
    <w:name w:val="Balloon Text"/>
    <w:basedOn w:val="Normal"/>
    <w:link w:val="BalloonTextChar"/>
    <w:uiPriority w:val="99"/>
    <w:semiHidden/>
    <w:qFormat/>
    <w:rsid w:val="00C702C7"/>
    <w:pPr>
      <w:spacing w:after="0" w:line="240" w:lineRule="auto"/>
    </w:pPr>
    <w:rPr>
      <w:rFonts w:ascii="Tahoma" w:hAnsi="Tahoma" w:cs="Tahoma"/>
      <w:sz w:val="16"/>
      <w:szCs w:val="16"/>
    </w:rPr>
  </w:style>
  <w:style w:type="paragraph" w:customStyle="1" w:styleId="Subject">
    <w:name w:val="Subject"/>
    <w:basedOn w:val="Normal"/>
    <w:semiHidden/>
    <w:qFormat/>
    <w:rsid w:val="00A43B3E"/>
    <w:rPr>
      <w:b/>
    </w:rPr>
  </w:style>
  <w:style w:type="paragraph" w:styleId="ListBullet">
    <w:name w:val="List Bullet"/>
    <w:basedOn w:val="Normal"/>
    <w:uiPriority w:val="99"/>
    <w:qFormat/>
    <w:rsid w:val="00544D24"/>
    <w:pPr>
      <w:spacing w:after="0"/>
      <w:ind w:left="284" w:hanging="284"/>
      <w:contextualSpacing/>
    </w:pPr>
  </w:style>
  <w:style w:type="paragraph" w:styleId="ListBullet2">
    <w:name w:val="List Bullet 2"/>
    <w:basedOn w:val="Normal"/>
    <w:uiPriority w:val="99"/>
    <w:qFormat/>
    <w:rsid w:val="002B4D02"/>
    <w:pPr>
      <w:ind w:left="568" w:hanging="284"/>
      <w:contextualSpacing/>
    </w:pPr>
  </w:style>
  <w:style w:type="paragraph" w:styleId="ListNumber">
    <w:name w:val="List Number"/>
    <w:basedOn w:val="Normal"/>
    <w:uiPriority w:val="15"/>
    <w:qFormat/>
    <w:rsid w:val="00544D24"/>
    <w:pPr>
      <w:spacing w:after="0"/>
      <w:ind w:left="284" w:hanging="284"/>
      <w:contextualSpacing/>
    </w:pPr>
  </w:style>
  <w:style w:type="paragraph" w:styleId="ListNumber2">
    <w:name w:val="List Number 2"/>
    <w:basedOn w:val="Normal"/>
    <w:uiPriority w:val="15"/>
    <w:qFormat/>
    <w:rsid w:val="00D35C72"/>
    <w:pPr>
      <w:ind w:left="568" w:hanging="284"/>
      <w:contextualSpacing/>
    </w:pPr>
  </w:style>
  <w:style w:type="paragraph" w:styleId="FootnoteText">
    <w:name w:val="footnote text"/>
    <w:basedOn w:val="Normal"/>
    <w:link w:val="FootnoteTextChar1"/>
    <w:rsid w:val="009861EA"/>
  </w:style>
  <w:style w:type="paragraph" w:customStyle="1" w:styleId="Documenttitle">
    <w:name w:val="Document title"/>
    <w:qFormat/>
    <w:rsid w:val="00A7281A"/>
    <w:pPr>
      <w:spacing w:line="440" w:lineRule="atLeast"/>
    </w:pPr>
    <w:rPr>
      <w:rFonts w:asciiTheme="majorHAnsi" w:eastAsiaTheme="majorEastAsia" w:hAnsiTheme="majorHAnsi" w:cstheme="majorBidi"/>
      <w:b/>
      <w:bCs/>
      <w:color w:val="000000" w:themeColor="text1"/>
      <w:sz w:val="36"/>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paragraph" w:customStyle="1" w:styleId="Sectionintro">
    <w:name w:val="Section intro"/>
    <w:basedOn w:val="Normal"/>
    <w:next w:val="Normal"/>
    <w:qFormat/>
    <w:rsid w:val="00212852"/>
    <w:pPr>
      <w:spacing w:line="360" w:lineRule="atLeast"/>
    </w:pPr>
    <w:rPr>
      <w:sz w:val="28"/>
    </w:rPr>
  </w:style>
  <w:style w:type="paragraph" w:customStyle="1" w:styleId="Documentdate">
    <w:name w:val="Document date"/>
    <w:qFormat/>
    <w:rsid w:val="007550AB"/>
    <w:pPr>
      <w:spacing w:line="240" w:lineRule="atLeast"/>
    </w:pPr>
    <w:rPr>
      <w:rFonts w:ascii="Verdana" w:eastAsia="Verdana" w:hAnsi="Verdana"/>
      <w:color w:val="00000A"/>
      <w:sz w:val="18"/>
      <w:lang w:val="en-US"/>
    </w:rPr>
  </w:style>
  <w:style w:type="paragraph" w:customStyle="1" w:styleId="Sectiontitle">
    <w:name w:val="Section title"/>
    <w:basedOn w:val="Normal"/>
    <w:next w:val="Normal"/>
    <w:qFormat/>
    <w:rsid w:val="007D009E"/>
    <w:pPr>
      <w:spacing w:after="480" w:line="720" w:lineRule="atLeast"/>
    </w:pPr>
    <w:rPr>
      <w:sz w:val="60"/>
    </w:rPr>
  </w:style>
  <w:style w:type="paragraph" w:customStyle="1" w:styleId="PulloutBlue">
    <w:name w:val="Pullout Blue"/>
    <w:basedOn w:val="Normal"/>
    <w:next w:val="Normal"/>
    <w:qFormat/>
    <w:rsid w:val="00DD5A1B"/>
    <w:pPr>
      <w:spacing w:line="360" w:lineRule="atLeast"/>
    </w:pPr>
    <w:rPr>
      <w:color w:val="62B5E5" w:themeColor="accent3"/>
      <w:sz w:val="28"/>
    </w:rPr>
  </w:style>
  <w:style w:type="paragraph" w:customStyle="1" w:styleId="Contacttext">
    <w:name w:val="Contact text"/>
    <w:basedOn w:val="Normal"/>
    <w:qFormat/>
    <w:rsid w:val="00D7732D"/>
    <w:pPr>
      <w:spacing w:after="0"/>
    </w:pPr>
  </w:style>
  <w:style w:type="paragraph" w:customStyle="1" w:styleId="Contactus">
    <w:name w:val="Contact us"/>
    <w:basedOn w:val="Contacttext"/>
    <w:qFormat/>
    <w:rsid w:val="00D7732D"/>
    <w:pPr>
      <w:spacing w:after="240" w:line="340" w:lineRule="atLeast"/>
    </w:pPr>
    <w:rPr>
      <w:sz w:val="28"/>
    </w:rPr>
  </w:style>
  <w:style w:type="paragraph" w:customStyle="1" w:styleId="PulloutGreen">
    <w:name w:val="Pullout Green"/>
    <w:basedOn w:val="PulloutBlue"/>
    <w:next w:val="Normal"/>
    <w:qFormat/>
    <w:rsid w:val="00822995"/>
    <w:rPr>
      <w:color w:val="86BC25" w:themeColor="accent1"/>
    </w:rPr>
  </w:style>
  <w:style w:type="paragraph" w:customStyle="1" w:styleId="QuotesourceBlue">
    <w:name w:val="Quote source Blue"/>
    <w:basedOn w:val="Normal"/>
    <w:next w:val="Normal"/>
    <w:qFormat/>
    <w:rsid w:val="000516C4"/>
    <w:pPr>
      <w:spacing w:line="200" w:lineRule="atLeast"/>
      <w:contextualSpacing/>
    </w:pPr>
    <w:rPr>
      <w:b/>
      <w:color w:val="62B5E5" w:themeColor="accent3"/>
      <w:sz w:val="17"/>
    </w:rPr>
  </w:style>
  <w:style w:type="paragraph" w:customStyle="1" w:styleId="QuotesourceGreen">
    <w:name w:val="Quote source Green"/>
    <w:basedOn w:val="QuotesourceBlue"/>
    <w:next w:val="Normal"/>
    <w:qFormat/>
    <w:rsid w:val="000516C4"/>
    <w:rPr>
      <w:color w:val="86BC25" w:themeColor="accent1"/>
    </w:rPr>
  </w:style>
  <w:style w:type="paragraph" w:customStyle="1" w:styleId="Paneltext">
    <w:name w:val="Panel text"/>
    <w:basedOn w:val="Normal"/>
    <w:qFormat/>
    <w:rsid w:val="00AE0FC7"/>
    <w:rPr>
      <w:color w:val="FFFFFF" w:themeColor="background1"/>
      <w:sz w:val="17"/>
    </w:rPr>
  </w:style>
  <w:style w:type="paragraph" w:customStyle="1" w:styleId="Paneltitle">
    <w:name w:val="Panel title"/>
    <w:basedOn w:val="Paneltext"/>
    <w:qFormat/>
    <w:rsid w:val="00D0023B"/>
    <w:pPr>
      <w:spacing w:line="360" w:lineRule="atLeast"/>
    </w:pPr>
    <w:rPr>
      <w:b/>
      <w:sz w:val="28"/>
    </w:rPr>
  </w:style>
  <w:style w:type="paragraph" w:customStyle="1" w:styleId="Formoreinfocalloutwhite8512ptPullOutStyles">
    <w:name w:val="For more info call out (white 8.5/12pt) (Pull Out Styles)"/>
    <w:basedOn w:val="Normal"/>
    <w:uiPriority w:val="99"/>
    <w:qFormat/>
    <w:rsid w:val="00AE0FC7"/>
    <w:pPr>
      <w:tabs>
        <w:tab w:val="left" w:pos="283"/>
        <w:tab w:val="left" w:pos="567"/>
      </w:tabs>
      <w:suppressAutoHyphens/>
      <w:spacing w:after="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qFormat/>
    <w:rsid w:val="006528C9"/>
    <w:pPr>
      <w:spacing w:after="120" w:line="440" w:lineRule="atLeast"/>
    </w:pPr>
    <w:rPr>
      <w:sz w:val="36"/>
    </w:rPr>
  </w:style>
  <w:style w:type="paragraph" w:customStyle="1" w:styleId="Contentstitle">
    <w:name w:val="Contents title"/>
    <w:basedOn w:val="Sectiontitle"/>
    <w:next w:val="Normal"/>
    <w:qFormat/>
    <w:rsid w:val="00244010"/>
  </w:style>
  <w:style w:type="paragraph" w:styleId="TOC1">
    <w:name w:val="toc 1"/>
    <w:basedOn w:val="Normal"/>
    <w:next w:val="Normal"/>
    <w:autoRedefine/>
    <w:uiPriority w:val="39"/>
    <w:qFormat/>
    <w:rsid w:val="009261A2"/>
    <w:pPr>
      <w:spacing w:before="120" w:after="120"/>
    </w:pPr>
    <w:rPr>
      <w:rFonts w:asciiTheme="minorHAnsi" w:hAnsiTheme="minorHAnsi"/>
      <w:b/>
      <w:bCs/>
      <w:caps/>
      <w:sz w:val="20"/>
      <w:szCs w:val="20"/>
    </w:rPr>
  </w:style>
  <w:style w:type="paragraph" w:customStyle="1" w:styleId="Quotetext">
    <w:name w:val="Quote text"/>
    <w:basedOn w:val="PulloutBlue"/>
    <w:qFormat/>
    <w:rsid w:val="003E49BA"/>
    <w:pPr>
      <w:spacing w:after="0" w:line="720" w:lineRule="atLeast"/>
    </w:pPr>
    <w:rPr>
      <w:color w:val="FFFFFF" w:themeColor="background1"/>
      <w:sz w:val="60"/>
    </w:rPr>
  </w:style>
  <w:style w:type="paragraph" w:customStyle="1" w:styleId="Legaltext">
    <w:name w:val="Legal text"/>
    <w:basedOn w:val="Normal"/>
    <w:qFormat/>
    <w:rsid w:val="00BF6F8B"/>
    <w:pPr>
      <w:spacing w:after="0" w:line="180" w:lineRule="atLeast"/>
      <w:ind w:right="5387"/>
    </w:pPr>
    <w:rPr>
      <w:sz w:val="14"/>
    </w:rPr>
  </w:style>
  <w:style w:type="paragraph" w:customStyle="1" w:styleId="Tabletext">
    <w:name w:val="Table text"/>
    <w:basedOn w:val="Normal"/>
    <w:qFormat/>
    <w:rsid w:val="004D1F57"/>
    <w:pPr>
      <w:spacing w:after="0" w:line="200" w:lineRule="atLeast"/>
    </w:pPr>
    <w:rPr>
      <w:sz w:val="17"/>
    </w:rPr>
  </w:style>
  <w:style w:type="paragraph" w:customStyle="1" w:styleId="Tabletitle">
    <w:name w:val="Table title"/>
    <w:basedOn w:val="Tabletext"/>
    <w:qFormat/>
    <w:rsid w:val="004D1F57"/>
    <w:rPr>
      <w:b/>
      <w:color w:val="62B5E5" w:themeColor="accent3"/>
    </w:rPr>
  </w:style>
  <w:style w:type="paragraph" w:customStyle="1" w:styleId="SourcetextTableorChart">
    <w:name w:val="Source text Table or Chart"/>
    <w:basedOn w:val="Caption"/>
    <w:next w:val="Normal"/>
    <w:qFormat/>
    <w:rsid w:val="003B3379"/>
    <w:pPr>
      <w:spacing w:before="120"/>
    </w:pPr>
    <w:rPr>
      <w:sz w:val="14"/>
    </w:rPr>
  </w:style>
  <w:style w:type="paragraph" w:customStyle="1" w:styleId="Tablebullets">
    <w:name w:val="Table bullets"/>
    <w:basedOn w:val="Tabletext"/>
    <w:qFormat/>
    <w:rsid w:val="00AD6475"/>
    <w:pPr>
      <w:ind w:left="284" w:hanging="284"/>
    </w:pPr>
  </w:style>
  <w:style w:type="paragraph" w:customStyle="1" w:styleId="Tablenumbered">
    <w:name w:val="Table numbered"/>
    <w:basedOn w:val="Tablebullets"/>
    <w:qFormat/>
    <w:rsid w:val="00AD6475"/>
  </w:style>
  <w:style w:type="paragraph" w:customStyle="1" w:styleId="Charttitle">
    <w:name w:val="Chart title"/>
    <w:basedOn w:val="Heading2"/>
    <w:qFormat/>
    <w:rsid w:val="00B66FC9"/>
    <w:pPr>
      <w:numPr>
        <w:ilvl w:val="0"/>
        <w:numId w:val="0"/>
      </w:numPr>
      <w:ind w:left="720" w:hanging="720"/>
    </w:pPr>
  </w:style>
  <w:style w:type="paragraph" w:customStyle="1" w:styleId="Smlouvaheading1">
    <w:name w:val="Smlouva heading 1"/>
    <w:basedOn w:val="Normal"/>
    <w:link w:val="Smlouvaheading1Char"/>
    <w:qFormat/>
    <w:rsid w:val="00793D5A"/>
    <w:pPr>
      <w:spacing w:before="240" w:after="120"/>
      <w:jc w:val="both"/>
    </w:pPr>
    <w:rPr>
      <w:rFonts w:cs="Times New Roman"/>
      <w:b/>
    </w:rPr>
  </w:style>
  <w:style w:type="paragraph" w:customStyle="1" w:styleId="Smlouvaheading2">
    <w:name w:val="Smlouva heading 2"/>
    <w:link w:val="Smlouvaheading2Char"/>
    <w:qFormat/>
    <w:rsid w:val="00793D5A"/>
    <w:pPr>
      <w:spacing w:before="120" w:after="120" w:line="240" w:lineRule="atLeast"/>
      <w:jc w:val="both"/>
    </w:pPr>
    <w:rPr>
      <w:rFonts w:ascii="Verdana" w:eastAsia="Verdana" w:hAnsi="Verdana" w:cs="Times New Roman"/>
      <w:color w:val="00000A"/>
      <w:sz w:val="18"/>
      <w:lang w:val="en-US"/>
    </w:rPr>
  </w:style>
  <w:style w:type="paragraph" w:customStyle="1" w:styleId="Smlouvaheading3">
    <w:name w:val="Smlouva heading 3"/>
    <w:qFormat/>
    <w:rsid w:val="00793D5A"/>
    <w:pPr>
      <w:spacing w:after="120" w:line="240" w:lineRule="atLeast"/>
      <w:jc w:val="both"/>
    </w:pPr>
    <w:rPr>
      <w:rFonts w:ascii="Verdana" w:eastAsia="Verdana" w:hAnsi="Verdana" w:cs="Times New Roman"/>
      <w:color w:val="00000A"/>
      <w:sz w:val="18"/>
      <w:lang w:val="en-US"/>
    </w:rPr>
  </w:style>
  <w:style w:type="paragraph" w:customStyle="1" w:styleId="Smlouvaheading4">
    <w:name w:val="Smlouva heading 4"/>
    <w:qFormat/>
    <w:rsid w:val="00793D5A"/>
    <w:pPr>
      <w:spacing w:after="120" w:line="240" w:lineRule="atLeast"/>
      <w:jc w:val="both"/>
    </w:pPr>
    <w:rPr>
      <w:rFonts w:ascii="Verdana" w:eastAsia="Verdana" w:hAnsi="Verdana" w:cs="Times New Roman"/>
      <w:color w:val="00000A"/>
      <w:sz w:val="18"/>
      <w:lang w:val="en-US"/>
    </w:rPr>
  </w:style>
  <w:style w:type="paragraph" w:styleId="NormalWeb">
    <w:name w:val="Normal (Web)"/>
    <w:basedOn w:val="Normal"/>
    <w:uiPriority w:val="99"/>
    <w:semiHidden/>
    <w:unhideWhenUsed/>
    <w:qFormat/>
    <w:rsid w:val="003D48BF"/>
    <w:pPr>
      <w:spacing w:beforeAutospacing="1" w:afterAutospacing="1" w:line="240" w:lineRule="auto"/>
    </w:pPr>
    <w:rPr>
      <w:rFonts w:ascii="Times New Roman" w:eastAsia="Times New Roman" w:hAnsi="Times New Roman" w:cs="Times New Roman"/>
      <w:sz w:val="24"/>
      <w:szCs w:val="24"/>
      <w:lang w:eastAsia="cs-CZ"/>
    </w:rPr>
  </w:style>
  <w:style w:type="paragraph" w:styleId="CommentText">
    <w:name w:val="annotation text"/>
    <w:basedOn w:val="Normal"/>
    <w:link w:val="CommentTextChar"/>
    <w:qFormat/>
    <w:rsid w:val="00360B71"/>
    <w:pPr>
      <w:spacing w:line="240" w:lineRule="auto"/>
    </w:pPr>
    <w:rPr>
      <w:sz w:val="20"/>
      <w:szCs w:val="20"/>
    </w:rPr>
  </w:style>
  <w:style w:type="paragraph" w:styleId="CommentSubject">
    <w:name w:val="annotation subject"/>
    <w:basedOn w:val="CommentText"/>
    <w:link w:val="CommentSubjectChar"/>
    <w:uiPriority w:val="99"/>
    <w:semiHidden/>
    <w:qFormat/>
    <w:rsid w:val="00360B71"/>
    <w:rPr>
      <w:b/>
      <w:bCs/>
    </w:rPr>
  </w:style>
  <w:style w:type="paragraph" w:customStyle="1" w:styleId="BodyText1">
    <w:name w:val="Body Text1"/>
    <w:link w:val="BodytextChar"/>
    <w:qFormat/>
    <w:rsid w:val="00F37163"/>
    <w:pPr>
      <w:spacing w:after="180" w:line="250" w:lineRule="atLeast"/>
    </w:pPr>
    <w:rPr>
      <w:rFonts w:ascii="Arial" w:eastAsia="Verdana" w:hAnsi="Arial" w:cs="Times New Roman"/>
      <w:color w:val="000000"/>
      <w:sz w:val="18"/>
      <w:szCs w:val="48"/>
      <w:lang w:val="cs-CZ"/>
    </w:rPr>
  </w:style>
  <w:style w:type="paragraph" w:styleId="ListParagraph">
    <w:name w:val="List Paragraph"/>
    <w:aliases w:val="A-Odrážky1,Odstavec_muj,Nad,_Odstavec se seznamem,Odstavec_muj1,Odstavec_muj2,Odstavec_muj3,Nad1,Odstavec_muj4,Nad2,List Paragraph2,Odstavec_muj5,Odstavec_muj6,Odstavec_muj7,Odstavec_muj8,Odstavec_muj9,List Paragraph1"/>
    <w:basedOn w:val="Normal"/>
    <w:link w:val="ListParagraphChar"/>
    <w:uiPriority w:val="34"/>
    <w:qFormat/>
    <w:rsid w:val="005F08E8"/>
    <w:pPr>
      <w:ind w:left="720"/>
      <w:contextualSpacing/>
    </w:pPr>
  </w:style>
  <w:style w:type="paragraph" w:styleId="ListNumber3">
    <w:name w:val="List Number 3"/>
    <w:basedOn w:val="Normal"/>
    <w:uiPriority w:val="15"/>
    <w:qFormat/>
    <w:rsid w:val="00123A50"/>
    <w:pPr>
      <w:spacing w:after="0" w:line="290" w:lineRule="auto"/>
      <w:ind w:left="1474" w:hanging="623"/>
      <w:contextualSpacing/>
    </w:pPr>
    <w:rPr>
      <w:color w:val="000000" w:themeColor="text1"/>
      <w:sz w:val="22"/>
    </w:rPr>
  </w:style>
  <w:style w:type="paragraph" w:styleId="ListNumber4">
    <w:name w:val="List Number 4"/>
    <w:basedOn w:val="Normal"/>
    <w:uiPriority w:val="15"/>
    <w:qFormat/>
    <w:rsid w:val="00123A50"/>
    <w:pPr>
      <w:tabs>
        <w:tab w:val="left" w:pos="1474"/>
      </w:tabs>
      <w:spacing w:after="0" w:line="290" w:lineRule="auto"/>
      <w:ind w:left="2268" w:hanging="794"/>
      <w:contextualSpacing/>
    </w:pPr>
    <w:rPr>
      <w:color w:val="000000" w:themeColor="text1"/>
      <w:sz w:val="22"/>
    </w:rPr>
  </w:style>
  <w:style w:type="paragraph" w:styleId="ListNumber5">
    <w:name w:val="List Number 5"/>
    <w:basedOn w:val="Normal"/>
    <w:uiPriority w:val="15"/>
    <w:qFormat/>
    <w:rsid w:val="00123A50"/>
    <w:pPr>
      <w:spacing w:after="0" w:line="290" w:lineRule="auto"/>
      <w:ind w:left="3232" w:hanging="964"/>
      <w:contextualSpacing/>
    </w:pPr>
    <w:rPr>
      <w:color w:val="000000" w:themeColor="text1"/>
      <w:sz w:val="22"/>
    </w:rPr>
  </w:style>
  <w:style w:type="paragraph" w:styleId="TOC2">
    <w:name w:val="toc 2"/>
    <w:basedOn w:val="Normal"/>
    <w:next w:val="Normal"/>
    <w:autoRedefine/>
    <w:uiPriority w:val="39"/>
    <w:qFormat/>
    <w:rsid w:val="00117349"/>
    <w:pPr>
      <w:spacing w:after="0"/>
      <w:ind w:left="180"/>
    </w:pPr>
    <w:rPr>
      <w:rFonts w:asciiTheme="minorHAnsi" w:hAnsiTheme="minorHAnsi"/>
      <w:smallCaps/>
      <w:sz w:val="20"/>
      <w:szCs w:val="20"/>
    </w:rPr>
  </w:style>
  <w:style w:type="paragraph" w:customStyle="1" w:styleId="Bodyodsazene">
    <w:name w:val="Body odsazene"/>
    <w:basedOn w:val="BodyText1"/>
    <w:qFormat/>
    <w:rsid w:val="00C47CD5"/>
    <w:pPr>
      <w:spacing w:before="120" w:after="120"/>
    </w:pPr>
  </w:style>
  <w:style w:type="paragraph" w:customStyle="1" w:styleId="Obsahrmce">
    <w:name w:val="Obsah rámce"/>
    <w:basedOn w:val="Normal"/>
    <w:qFormat/>
    <w:rsid w:val="009861EA"/>
  </w:style>
  <w:style w:type="paragraph" w:customStyle="1" w:styleId="Obsahtabulky">
    <w:name w:val="Obsah tabulky"/>
    <w:basedOn w:val="Normal"/>
    <w:qFormat/>
    <w:rsid w:val="009861EA"/>
  </w:style>
  <w:style w:type="paragraph" w:customStyle="1" w:styleId="Nadpistabulky">
    <w:name w:val="Nadpis tabulky"/>
    <w:basedOn w:val="Obsahtabulky"/>
    <w:qFormat/>
    <w:rsid w:val="009861EA"/>
  </w:style>
  <w:style w:type="numbering" w:customStyle="1" w:styleId="VariantaA-sla">
    <w:name w:val="Varianta A - čísla"/>
    <w:uiPriority w:val="99"/>
    <w:qFormat/>
    <w:rsid w:val="00123A50"/>
  </w:style>
  <w:style w:type="table" w:styleId="TableGrid">
    <w:name w:val="Table Grid"/>
    <w:basedOn w:val="TableNormal"/>
    <w:uiPriority w:val="59"/>
    <w:rsid w:val="001E016B"/>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
    <w:name w:val="Deloitte table"/>
    <w:basedOn w:val="TableNormal"/>
    <w:uiPriority w:val="99"/>
    <w:rsid w:val="003B3379"/>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Svtltabulkasmkou1zvraznn51">
    <w:name w:val="Světlá tabulka s mřížkou 1 – zvýraznění 51"/>
    <w:basedOn w:val="TableNormal"/>
    <w:uiPriority w:val="46"/>
    <w:rsid w:val="00902201"/>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0097A9" w:themeColor="accent5"/>
        </w:tcBorders>
      </w:tcPr>
    </w:tblStylePr>
    <w:tblStylePr w:type="lastRow">
      <w:rPr>
        <w:b/>
        <w:bCs/>
      </w:rPr>
      <w:tblPr/>
      <w:tcPr>
        <w:tcBorders>
          <w:top w:val="double" w:sz="2" w:space="0" w:color="0097A9" w:themeColor="accent5"/>
        </w:tcBorders>
      </w:tcPr>
    </w:tblStylePr>
    <w:tblStylePr w:type="firstCol">
      <w:rPr>
        <w:b/>
        <w:bCs/>
      </w:rPr>
    </w:tblStylePr>
    <w:tblStylePr w:type="lastCol">
      <w:rPr>
        <w:b/>
        <w:bCs/>
      </w:rPr>
    </w:tblStylePr>
  </w:style>
  <w:style w:type="table" w:customStyle="1" w:styleId="Tabulkaseznamu3zvraznn31">
    <w:name w:val="Tabulka seznamu 3 – zvýraznění 31"/>
    <w:basedOn w:val="TableNormal"/>
    <w:uiPriority w:val="48"/>
    <w:rsid w:val="00902201"/>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Deloittetable21">
    <w:name w:val="Deloitte table 21"/>
    <w:basedOn w:val="TableNormal"/>
    <w:rsid w:val="008B37B8"/>
    <w:rPr>
      <w:sz w:val="19"/>
      <w:szCs w:val="20"/>
      <w:lang w:val="cs-CZ" w:eastAsia="cs-CZ"/>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b/>
        <w:color w:val="FFFFFF"/>
        <w:sz w:val="19"/>
      </w:rPr>
      <w:tblPr/>
      <w:tcPr>
        <w:shd w:val="clear" w:color="auto" w:fill="00A1DE"/>
      </w:tcPr>
    </w:tblStylePr>
    <w:tblStylePr w:type="firstCol">
      <w:rPr>
        <w:sz w:val="19"/>
      </w:rPr>
    </w:tblStylePr>
  </w:style>
  <w:style w:type="table" w:customStyle="1" w:styleId="Prosttabulka11">
    <w:name w:val="Prostá tabulka 11"/>
    <w:basedOn w:val="TableNormal"/>
    <w:uiPriority w:val="41"/>
    <w:rsid w:val="00CA26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mkatabulky1">
    <w:name w:val="Světlá mřížka tabulky1"/>
    <w:basedOn w:val="TableNormal"/>
    <w:uiPriority w:val="40"/>
    <w:rsid w:val="00CA26FE"/>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vtltabulkasmkou11">
    <w:name w:val="Světlá tabulka s mřížkou 11"/>
    <w:basedOn w:val="TableNormal"/>
    <w:uiPriority w:val="46"/>
    <w:rsid w:val="00590D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9162A"/>
    <w:rPr>
      <w:color w:val="00A3E0" w:themeColor="hyperlink"/>
      <w:u w:val="single"/>
    </w:rPr>
  </w:style>
  <w:style w:type="character" w:customStyle="1" w:styleId="Nevyeenzmnka1">
    <w:name w:val="Nevyřešená zmínka1"/>
    <w:basedOn w:val="DefaultParagraphFont"/>
    <w:uiPriority w:val="99"/>
    <w:semiHidden/>
    <w:unhideWhenUsed/>
    <w:rsid w:val="007300F2"/>
    <w:rPr>
      <w:color w:val="605E5C"/>
      <w:shd w:val="clear" w:color="auto" w:fill="E1DFDD"/>
    </w:rPr>
  </w:style>
  <w:style w:type="paragraph" w:styleId="TOCHeading">
    <w:name w:val="TOC Heading"/>
    <w:basedOn w:val="Heading1"/>
    <w:next w:val="Normal"/>
    <w:uiPriority w:val="39"/>
    <w:unhideWhenUsed/>
    <w:qFormat/>
    <w:rsid w:val="00811A8E"/>
    <w:pPr>
      <w:spacing w:before="240" w:line="259" w:lineRule="auto"/>
      <w:outlineLvl w:val="9"/>
    </w:pPr>
    <w:rPr>
      <w:b w:val="0"/>
      <w:bCs w:val="0"/>
      <w:color w:val="638C1B" w:themeColor="accent1" w:themeShade="BF"/>
      <w:sz w:val="32"/>
      <w:szCs w:val="32"/>
      <w:lang w:eastAsia="cs-CZ"/>
    </w:rPr>
  </w:style>
  <w:style w:type="table" w:customStyle="1" w:styleId="Deloittetable11">
    <w:name w:val="Deloitte table 11"/>
    <w:basedOn w:val="TableNormal"/>
    <w:rsid w:val="001E77F4"/>
    <w:rPr>
      <w:sz w:val="19"/>
      <w:szCs w:val="20"/>
      <w:lang w:val="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sz w:val="19"/>
      </w:rPr>
    </w:tblStylePr>
  </w:style>
  <w:style w:type="paragraph" w:customStyle="1" w:styleId="Bntext">
    <w:name w:val="Běžný text"/>
    <w:basedOn w:val="Normal"/>
    <w:qFormat/>
    <w:rsid w:val="004F6427"/>
    <w:pPr>
      <w:spacing w:before="100" w:after="100" w:line="240" w:lineRule="auto"/>
      <w:jc w:val="both"/>
    </w:pPr>
    <w:rPr>
      <w:rFonts w:ascii="Arial" w:hAnsi="Arial" w:cs="Tahoma"/>
      <w:sz w:val="19"/>
      <w:lang w:eastAsia="cs-CZ"/>
    </w:rPr>
  </w:style>
  <w:style w:type="table" w:customStyle="1" w:styleId="Tabulkaseznamu3zvraznn11">
    <w:name w:val="Tabulka seznamu 3 – zvýraznění 11"/>
    <w:basedOn w:val="TableNormal"/>
    <w:uiPriority w:val="48"/>
    <w:rsid w:val="004F6427"/>
    <w:rPr>
      <w:rFonts w:ascii="Verdana" w:eastAsia="Verdana" w:hAnsi="Verdana" w:cs="Tahoma"/>
      <w:lang w:val="cs-CZ"/>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ghtList-Accent1">
    <w:name w:val="Light List Accent 1"/>
    <w:basedOn w:val="TableNormal"/>
    <w:uiPriority w:val="61"/>
    <w:rsid w:val="0011538D"/>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paragraph" w:styleId="TOC3">
    <w:name w:val="toc 3"/>
    <w:basedOn w:val="Normal"/>
    <w:next w:val="Normal"/>
    <w:autoRedefine/>
    <w:uiPriority w:val="39"/>
    <w:unhideWhenUsed/>
    <w:qFormat/>
    <w:rsid w:val="00F12427"/>
    <w:pPr>
      <w:spacing w:after="0"/>
      <w:ind w:left="360"/>
    </w:pPr>
    <w:rPr>
      <w:rFonts w:asciiTheme="minorHAnsi" w:hAnsiTheme="minorHAnsi"/>
      <w:i/>
      <w:iCs/>
      <w:sz w:val="20"/>
      <w:szCs w:val="20"/>
    </w:rPr>
  </w:style>
  <w:style w:type="paragraph" w:styleId="TOC4">
    <w:name w:val="toc 4"/>
    <w:basedOn w:val="Normal"/>
    <w:next w:val="Normal"/>
    <w:autoRedefine/>
    <w:uiPriority w:val="39"/>
    <w:unhideWhenUsed/>
    <w:rsid w:val="00F12427"/>
    <w:pPr>
      <w:spacing w:after="0"/>
      <w:ind w:left="540"/>
    </w:pPr>
    <w:rPr>
      <w:rFonts w:asciiTheme="minorHAnsi" w:hAnsiTheme="minorHAnsi"/>
      <w:szCs w:val="18"/>
    </w:rPr>
  </w:style>
  <w:style w:type="paragraph" w:styleId="TOC5">
    <w:name w:val="toc 5"/>
    <w:basedOn w:val="Normal"/>
    <w:next w:val="Normal"/>
    <w:autoRedefine/>
    <w:uiPriority w:val="39"/>
    <w:unhideWhenUsed/>
    <w:rsid w:val="00F12427"/>
    <w:pPr>
      <w:spacing w:after="0"/>
      <w:ind w:left="720"/>
    </w:pPr>
    <w:rPr>
      <w:rFonts w:asciiTheme="minorHAnsi" w:hAnsiTheme="minorHAnsi"/>
      <w:szCs w:val="18"/>
    </w:rPr>
  </w:style>
  <w:style w:type="paragraph" w:styleId="TOC6">
    <w:name w:val="toc 6"/>
    <w:basedOn w:val="Normal"/>
    <w:next w:val="Normal"/>
    <w:autoRedefine/>
    <w:uiPriority w:val="39"/>
    <w:unhideWhenUsed/>
    <w:rsid w:val="00F12427"/>
    <w:pPr>
      <w:spacing w:after="0"/>
      <w:ind w:left="900"/>
    </w:pPr>
    <w:rPr>
      <w:rFonts w:asciiTheme="minorHAnsi" w:hAnsiTheme="minorHAnsi"/>
      <w:szCs w:val="18"/>
    </w:rPr>
  </w:style>
  <w:style w:type="paragraph" w:styleId="TOC7">
    <w:name w:val="toc 7"/>
    <w:basedOn w:val="Normal"/>
    <w:next w:val="Normal"/>
    <w:autoRedefine/>
    <w:uiPriority w:val="39"/>
    <w:unhideWhenUsed/>
    <w:rsid w:val="00F12427"/>
    <w:pPr>
      <w:spacing w:after="0"/>
      <w:ind w:left="1080"/>
    </w:pPr>
    <w:rPr>
      <w:rFonts w:asciiTheme="minorHAnsi" w:hAnsiTheme="minorHAnsi"/>
      <w:szCs w:val="18"/>
    </w:rPr>
  </w:style>
  <w:style w:type="paragraph" w:styleId="TOC8">
    <w:name w:val="toc 8"/>
    <w:basedOn w:val="Normal"/>
    <w:next w:val="Normal"/>
    <w:autoRedefine/>
    <w:uiPriority w:val="39"/>
    <w:unhideWhenUsed/>
    <w:rsid w:val="00F12427"/>
    <w:pPr>
      <w:spacing w:after="0"/>
      <w:ind w:left="1260"/>
    </w:pPr>
    <w:rPr>
      <w:rFonts w:asciiTheme="minorHAnsi" w:hAnsiTheme="minorHAnsi"/>
      <w:szCs w:val="18"/>
    </w:rPr>
  </w:style>
  <w:style w:type="paragraph" w:styleId="TOC9">
    <w:name w:val="toc 9"/>
    <w:basedOn w:val="Normal"/>
    <w:next w:val="Normal"/>
    <w:autoRedefine/>
    <w:uiPriority w:val="39"/>
    <w:unhideWhenUsed/>
    <w:rsid w:val="00F12427"/>
    <w:pPr>
      <w:spacing w:after="0"/>
      <w:ind w:left="1440"/>
    </w:pPr>
    <w:rPr>
      <w:rFonts w:asciiTheme="minorHAnsi" w:hAnsiTheme="minorHAnsi"/>
      <w:szCs w:val="18"/>
    </w:rPr>
  </w:style>
  <w:style w:type="character" w:styleId="FollowedHyperlink">
    <w:name w:val="FollowedHyperlink"/>
    <w:basedOn w:val="DefaultParagraphFont"/>
    <w:uiPriority w:val="99"/>
    <w:semiHidden/>
    <w:unhideWhenUsed/>
    <w:rsid w:val="00A11612"/>
    <w:rPr>
      <w:color w:val="53565A" w:themeColor="followedHyperlink"/>
      <w:u w:val="single"/>
    </w:rPr>
  </w:style>
  <w:style w:type="table" w:customStyle="1" w:styleId="ListTable3-Accent31">
    <w:name w:val="List Table 3 - Accent 31"/>
    <w:basedOn w:val="TableNormal"/>
    <w:uiPriority w:val="48"/>
    <w:rsid w:val="00FA4273"/>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Svtltabulkasmkou1zvraznn11">
    <w:name w:val="Světlá tabulka s mřížkou 1 – zvýraznění 11"/>
    <w:basedOn w:val="TableNormal"/>
    <w:uiPriority w:val="46"/>
    <w:rsid w:val="00DC3CD2"/>
    <w:rPr>
      <w:rFonts w:ascii="Verdana" w:eastAsia="Verdana" w:hAnsi="Verdana" w:cs="Times New Roman"/>
      <w:szCs w:val="20"/>
      <w:lang w:val="cs-CZ" w:eastAsia="cs-CZ"/>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Tabulkaseznamu3zvraznn32">
    <w:name w:val="Tabulka seznamu 3 – zvýraznění 32"/>
    <w:basedOn w:val="TableNormal"/>
    <w:uiPriority w:val="48"/>
    <w:rsid w:val="000A00EB"/>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Tabulkasmkou4zvraznn61">
    <w:name w:val="Tabulka s mřížkou 4 – zvýraznění 61"/>
    <w:basedOn w:val="TableNormal"/>
    <w:uiPriority w:val="49"/>
    <w:rsid w:val="000A00EB"/>
    <w:rPr>
      <w:sz w:val="22"/>
      <w:lang w:val="cs-CZ"/>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paragraph" w:styleId="Revision">
    <w:name w:val="Revision"/>
    <w:hidden/>
    <w:uiPriority w:val="99"/>
    <w:semiHidden/>
    <w:rsid w:val="002C64EC"/>
    <w:rPr>
      <w:rFonts w:ascii="Verdana" w:eastAsia="Verdana" w:hAnsi="Verdana"/>
      <w:color w:val="00000A"/>
      <w:sz w:val="18"/>
      <w:lang w:val="cs-CZ"/>
    </w:rPr>
  </w:style>
  <w:style w:type="table" w:customStyle="1" w:styleId="ListTable3-Accent11">
    <w:name w:val="List Table 3 - Accent 11"/>
    <w:basedOn w:val="TableNormal"/>
    <w:uiPriority w:val="48"/>
    <w:rsid w:val="0069185E"/>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12">
    <w:name w:val="List Table 3 - Accent 12"/>
    <w:basedOn w:val="TableNormal"/>
    <w:uiPriority w:val="48"/>
    <w:rsid w:val="009C0662"/>
    <w:rPr>
      <w:rFonts w:ascii="Verdana" w:eastAsia="Verdana" w:hAnsi="Verdana" w:cs="Times New Roman"/>
      <w:szCs w:val="20"/>
      <w:lang w:val="cs-CZ" w:eastAsia="cs-CZ"/>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13">
    <w:name w:val="List Table 3 - Accent 13"/>
    <w:basedOn w:val="TableNormal"/>
    <w:uiPriority w:val="48"/>
    <w:rsid w:val="00494DC6"/>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GridTable3-Accent11">
    <w:name w:val="Grid Table 3 - Accent 11"/>
    <w:basedOn w:val="TableNormal"/>
    <w:uiPriority w:val="48"/>
    <w:rsid w:val="007A77F1"/>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character" w:customStyle="1" w:styleId="FootnoteTextChar1">
    <w:name w:val="Footnote Text Char1"/>
    <w:basedOn w:val="DefaultParagraphFont"/>
    <w:link w:val="FootnoteText"/>
    <w:uiPriority w:val="99"/>
    <w:rsid w:val="003318F5"/>
    <w:rPr>
      <w:rFonts w:ascii="Verdana" w:eastAsia="Verdana" w:hAnsi="Verdana"/>
      <w:color w:val="00000A"/>
      <w:sz w:val="18"/>
      <w:lang w:val="cs-CZ"/>
    </w:rPr>
  </w:style>
  <w:style w:type="table" w:styleId="ListTable3-Accent1">
    <w:name w:val="List Table 3 Accent 1"/>
    <w:basedOn w:val="TableNormal"/>
    <w:uiPriority w:val="48"/>
    <w:rsid w:val="009A72EC"/>
    <w:rPr>
      <w:rFonts w:ascii="Verdana" w:eastAsia="Verdana" w:hAnsi="Verdana" w:cs="Times New Roman"/>
      <w:szCs w:val="20"/>
      <w:lang w:val="cs-CZ" w:eastAsia="cs-CZ"/>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character" w:customStyle="1" w:styleId="value">
    <w:name w:val="value"/>
    <w:basedOn w:val="DefaultParagraphFont"/>
    <w:rsid w:val="0071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519">
      <w:bodyDiv w:val="1"/>
      <w:marLeft w:val="0"/>
      <w:marRight w:val="0"/>
      <w:marTop w:val="0"/>
      <w:marBottom w:val="0"/>
      <w:divBdr>
        <w:top w:val="none" w:sz="0" w:space="0" w:color="auto"/>
        <w:left w:val="none" w:sz="0" w:space="0" w:color="auto"/>
        <w:bottom w:val="none" w:sz="0" w:space="0" w:color="auto"/>
        <w:right w:val="none" w:sz="0" w:space="0" w:color="auto"/>
      </w:divBdr>
    </w:div>
    <w:div w:id="47412638">
      <w:bodyDiv w:val="1"/>
      <w:marLeft w:val="0"/>
      <w:marRight w:val="0"/>
      <w:marTop w:val="0"/>
      <w:marBottom w:val="0"/>
      <w:divBdr>
        <w:top w:val="none" w:sz="0" w:space="0" w:color="auto"/>
        <w:left w:val="none" w:sz="0" w:space="0" w:color="auto"/>
        <w:bottom w:val="none" w:sz="0" w:space="0" w:color="auto"/>
        <w:right w:val="none" w:sz="0" w:space="0" w:color="auto"/>
      </w:divBdr>
    </w:div>
    <w:div w:id="114296182">
      <w:bodyDiv w:val="1"/>
      <w:marLeft w:val="0"/>
      <w:marRight w:val="0"/>
      <w:marTop w:val="0"/>
      <w:marBottom w:val="0"/>
      <w:divBdr>
        <w:top w:val="none" w:sz="0" w:space="0" w:color="auto"/>
        <w:left w:val="none" w:sz="0" w:space="0" w:color="auto"/>
        <w:bottom w:val="none" w:sz="0" w:space="0" w:color="auto"/>
        <w:right w:val="none" w:sz="0" w:space="0" w:color="auto"/>
      </w:divBdr>
    </w:div>
    <w:div w:id="117995070">
      <w:bodyDiv w:val="1"/>
      <w:marLeft w:val="0"/>
      <w:marRight w:val="0"/>
      <w:marTop w:val="0"/>
      <w:marBottom w:val="0"/>
      <w:divBdr>
        <w:top w:val="none" w:sz="0" w:space="0" w:color="auto"/>
        <w:left w:val="none" w:sz="0" w:space="0" w:color="auto"/>
        <w:bottom w:val="none" w:sz="0" w:space="0" w:color="auto"/>
        <w:right w:val="none" w:sz="0" w:space="0" w:color="auto"/>
      </w:divBdr>
    </w:div>
    <w:div w:id="122426972">
      <w:bodyDiv w:val="1"/>
      <w:marLeft w:val="0"/>
      <w:marRight w:val="0"/>
      <w:marTop w:val="0"/>
      <w:marBottom w:val="0"/>
      <w:divBdr>
        <w:top w:val="none" w:sz="0" w:space="0" w:color="auto"/>
        <w:left w:val="none" w:sz="0" w:space="0" w:color="auto"/>
        <w:bottom w:val="none" w:sz="0" w:space="0" w:color="auto"/>
        <w:right w:val="none" w:sz="0" w:space="0" w:color="auto"/>
      </w:divBdr>
    </w:div>
    <w:div w:id="128402281">
      <w:bodyDiv w:val="1"/>
      <w:marLeft w:val="0"/>
      <w:marRight w:val="0"/>
      <w:marTop w:val="0"/>
      <w:marBottom w:val="0"/>
      <w:divBdr>
        <w:top w:val="none" w:sz="0" w:space="0" w:color="auto"/>
        <w:left w:val="none" w:sz="0" w:space="0" w:color="auto"/>
        <w:bottom w:val="none" w:sz="0" w:space="0" w:color="auto"/>
        <w:right w:val="none" w:sz="0" w:space="0" w:color="auto"/>
      </w:divBdr>
    </w:div>
    <w:div w:id="262954571">
      <w:bodyDiv w:val="1"/>
      <w:marLeft w:val="0"/>
      <w:marRight w:val="0"/>
      <w:marTop w:val="0"/>
      <w:marBottom w:val="0"/>
      <w:divBdr>
        <w:top w:val="none" w:sz="0" w:space="0" w:color="auto"/>
        <w:left w:val="none" w:sz="0" w:space="0" w:color="auto"/>
        <w:bottom w:val="none" w:sz="0" w:space="0" w:color="auto"/>
        <w:right w:val="none" w:sz="0" w:space="0" w:color="auto"/>
      </w:divBdr>
    </w:div>
    <w:div w:id="265046293">
      <w:bodyDiv w:val="1"/>
      <w:marLeft w:val="0"/>
      <w:marRight w:val="0"/>
      <w:marTop w:val="0"/>
      <w:marBottom w:val="0"/>
      <w:divBdr>
        <w:top w:val="none" w:sz="0" w:space="0" w:color="auto"/>
        <w:left w:val="none" w:sz="0" w:space="0" w:color="auto"/>
        <w:bottom w:val="none" w:sz="0" w:space="0" w:color="auto"/>
        <w:right w:val="none" w:sz="0" w:space="0" w:color="auto"/>
      </w:divBdr>
      <w:divsChild>
        <w:div w:id="2131511184">
          <w:marLeft w:val="0"/>
          <w:marRight w:val="0"/>
          <w:marTop w:val="0"/>
          <w:marBottom w:val="0"/>
          <w:divBdr>
            <w:top w:val="none" w:sz="0" w:space="0" w:color="auto"/>
            <w:left w:val="none" w:sz="0" w:space="0" w:color="auto"/>
            <w:bottom w:val="none" w:sz="0" w:space="0" w:color="auto"/>
            <w:right w:val="none" w:sz="0" w:space="0" w:color="auto"/>
          </w:divBdr>
          <w:divsChild>
            <w:div w:id="1937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2232">
      <w:bodyDiv w:val="1"/>
      <w:marLeft w:val="0"/>
      <w:marRight w:val="0"/>
      <w:marTop w:val="0"/>
      <w:marBottom w:val="0"/>
      <w:divBdr>
        <w:top w:val="none" w:sz="0" w:space="0" w:color="auto"/>
        <w:left w:val="none" w:sz="0" w:space="0" w:color="auto"/>
        <w:bottom w:val="none" w:sz="0" w:space="0" w:color="auto"/>
        <w:right w:val="none" w:sz="0" w:space="0" w:color="auto"/>
      </w:divBdr>
    </w:div>
    <w:div w:id="288172451">
      <w:bodyDiv w:val="1"/>
      <w:marLeft w:val="0"/>
      <w:marRight w:val="0"/>
      <w:marTop w:val="0"/>
      <w:marBottom w:val="0"/>
      <w:divBdr>
        <w:top w:val="none" w:sz="0" w:space="0" w:color="auto"/>
        <w:left w:val="none" w:sz="0" w:space="0" w:color="auto"/>
        <w:bottom w:val="none" w:sz="0" w:space="0" w:color="auto"/>
        <w:right w:val="none" w:sz="0" w:space="0" w:color="auto"/>
      </w:divBdr>
    </w:div>
    <w:div w:id="336004932">
      <w:bodyDiv w:val="1"/>
      <w:marLeft w:val="0"/>
      <w:marRight w:val="0"/>
      <w:marTop w:val="0"/>
      <w:marBottom w:val="0"/>
      <w:divBdr>
        <w:top w:val="none" w:sz="0" w:space="0" w:color="auto"/>
        <w:left w:val="none" w:sz="0" w:space="0" w:color="auto"/>
        <w:bottom w:val="none" w:sz="0" w:space="0" w:color="auto"/>
        <w:right w:val="none" w:sz="0" w:space="0" w:color="auto"/>
      </w:divBdr>
    </w:div>
    <w:div w:id="341512016">
      <w:bodyDiv w:val="1"/>
      <w:marLeft w:val="0"/>
      <w:marRight w:val="0"/>
      <w:marTop w:val="0"/>
      <w:marBottom w:val="0"/>
      <w:divBdr>
        <w:top w:val="none" w:sz="0" w:space="0" w:color="auto"/>
        <w:left w:val="none" w:sz="0" w:space="0" w:color="auto"/>
        <w:bottom w:val="none" w:sz="0" w:space="0" w:color="auto"/>
        <w:right w:val="none" w:sz="0" w:space="0" w:color="auto"/>
      </w:divBdr>
      <w:divsChild>
        <w:div w:id="418017408">
          <w:marLeft w:val="446"/>
          <w:marRight w:val="0"/>
          <w:marTop w:val="120"/>
          <w:marBottom w:val="0"/>
          <w:divBdr>
            <w:top w:val="none" w:sz="0" w:space="0" w:color="auto"/>
            <w:left w:val="none" w:sz="0" w:space="0" w:color="auto"/>
            <w:bottom w:val="none" w:sz="0" w:space="0" w:color="auto"/>
            <w:right w:val="none" w:sz="0" w:space="0" w:color="auto"/>
          </w:divBdr>
        </w:div>
        <w:div w:id="1012099495">
          <w:marLeft w:val="1166"/>
          <w:marRight w:val="0"/>
          <w:marTop w:val="120"/>
          <w:marBottom w:val="0"/>
          <w:divBdr>
            <w:top w:val="none" w:sz="0" w:space="0" w:color="auto"/>
            <w:left w:val="none" w:sz="0" w:space="0" w:color="auto"/>
            <w:bottom w:val="none" w:sz="0" w:space="0" w:color="auto"/>
            <w:right w:val="none" w:sz="0" w:space="0" w:color="auto"/>
          </w:divBdr>
        </w:div>
        <w:div w:id="639115325">
          <w:marLeft w:val="1166"/>
          <w:marRight w:val="0"/>
          <w:marTop w:val="120"/>
          <w:marBottom w:val="0"/>
          <w:divBdr>
            <w:top w:val="none" w:sz="0" w:space="0" w:color="auto"/>
            <w:left w:val="none" w:sz="0" w:space="0" w:color="auto"/>
            <w:bottom w:val="none" w:sz="0" w:space="0" w:color="auto"/>
            <w:right w:val="none" w:sz="0" w:space="0" w:color="auto"/>
          </w:divBdr>
        </w:div>
        <w:div w:id="979074170">
          <w:marLeft w:val="1166"/>
          <w:marRight w:val="0"/>
          <w:marTop w:val="120"/>
          <w:marBottom w:val="0"/>
          <w:divBdr>
            <w:top w:val="none" w:sz="0" w:space="0" w:color="auto"/>
            <w:left w:val="none" w:sz="0" w:space="0" w:color="auto"/>
            <w:bottom w:val="none" w:sz="0" w:space="0" w:color="auto"/>
            <w:right w:val="none" w:sz="0" w:space="0" w:color="auto"/>
          </w:divBdr>
        </w:div>
      </w:divsChild>
    </w:div>
    <w:div w:id="382213936">
      <w:bodyDiv w:val="1"/>
      <w:marLeft w:val="0"/>
      <w:marRight w:val="0"/>
      <w:marTop w:val="0"/>
      <w:marBottom w:val="0"/>
      <w:divBdr>
        <w:top w:val="none" w:sz="0" w:space="0" w:color="auto"/>
        <w:left w:val="none" w:sz="0" w:space="0" w:color="auto"/>
        <w:bottom w:val="none" w:sz="0" w:space="0" w:color="auto"/>
        <w:right w:val="none" w:sz="0" w:space="0" w:color="auto"/>
      </w:divBdr>
    </w:div>
    <w:div w:id="469445141">
      <w:bodyDiv w:val="1"/>
      <w:marLeft w:val="0"/>
      <w:marRight w:val="0"/>
      <w:marTop w:val="0"/>
      <w:marBottom w:val="0"/>
      <w:divBdr>
        <w:top w:val="none" w:sz="0" w:space="0" w:color="auto"/>
        <w:left w:val="none" w:sz="0" w:space="0" w:color="auto"/>
        <w:bottom w:val="none" w:sz="0" w:space="0" w:color="auto"/>
        <w:right w:val="none" w:sz="0" w:space="0" w:color="auto"/>
      </w:divBdr>
    </w:div>
    <w:div w:id="508907792">
      <w:bodyDiv w:val="1"/>
      <w:marLeft w:val="0"/>
      <w:marRight w:val="0"/>
      <w:marTop w:val="0"/>
      <w:marBottom w:val="0"/>
      <w:divBdr>
        <w:top w:val="none" w:sz="0" w:space="0" w:color="auto"/>
        <w:left w:val="none" w:sz="0" w:space="0" w:color="auto"/>
        <w:bottom w:val="none" w:sz="0" w:space="0" w:color="auto"/>
        <w:right w:val="none" w:sz="0" w:space="0" w:color="auto"/>
      </w:divBdr>
    </w:div>
    <w:div w:id="532888425">
      <w:bodyDiv w:val="1"/>
      <w:marLeft w:val="0"/>
      <w:marRight w:val="0"/>
      <w:marTop w:val="0"/>
      <w:marBottom w:val="0"/>
      <w:divBdr>
        <w:top w:val="none" w:sz="0" w:space="0" w:color="auto"/>
        <w:left w:val="none" w:sz="0" w:space="0" w:color="auto"/>
        <w:bottom w:val="none" w:sz="0" w:space="0" w:color="auto"/>
        <w:right w:val="none" w:sz="0" w:space="0" w:color="auto"/>
      </w:divBdr>
    </w:div>
    <w:div w:id="567957094">
      <w:bodyDiv w:val="1"/>
      <w:marLeft w:val="0"/>
      <w:marRight w:val="0"/>
      <w:marTop w:val="0"/>
      <w:marBottom w:val="0"/>
      <w:divBdr>
        <w:top w:val="none" w:sz="0" w:space="0" w:color="auto"/>
        <w:left w:val="none" w:sz="0" w:space="0" w:color="auto"/>
        <w:bottom w:val="none" w:sz="0" w:space="0" w:color="auto"/>
        <w:right w:val="none" w:sz="0" w:space="0" w:color="auto"/>
      </w:divBdr>
    </w:div>
    <w:div w:id="631709986">
      <w:bodyDiv w:val="1"/>
      <w:marLeft w:val="0"/>
      <w:marRight w:val="0"/>
      <w:marTop w:val="0"/>
      <w:marBottom w:val="0"/>
      <w:divBdr>
        <w:top w:val="none" w:sz="0" w:space="0" w:color="auto"/>
        <w:left w:val="none" w:sz="0" w:space="0" w:color="auto"/>
        <w:bottom w:val="none" w:sz="0" w:space="0" w:color="auto"/>
        <w:right w:val="none" w:sz="0" w:space="0" w:color="auto"/>
      </w:divBdr>
      <w:divsChild>
        <w:div w:id="1207716890">
          <w:marLeft w:val="446"/>
          <w:marRight w:val="0"/>
          <w:marTop w:val="120"/>
          <w:marBottom w:val="0"/>
          <w:divBdr>
            <w:top w:val="none" w:sz="0" w:space="0" w:color="auto"/>
            <w:left w:val="none" w:sz="0" w:space="0" w:color="auto"/>
            <w:bottom w:val="none" w:sz="0" w:space="0" w:color="auto"/>
            <w:right w:val="none" w:sz="0" w:space="0" w:color="auto"/>
          </w:divBdr>
        </w:div>
        <w:div w:id="653803793">
          <w:marLeft w:val="446"/>
          <w:marRight w:val="0"/>
          <w:marTop w:val="120"/>
          <w:marBottom w:val="0"/>
          <w:divBdr>
            <w:top w:val="none" w:sz="0" w:space="0" w:color="auto"/>
            <w:left w:val="none" w:sz="0" w:space="0" w:color="auto"/>
            <w:bottom w:val="none" w:sz="0" w:space="0" w:color="auto"/>
            <w:right w:val="none" w:sz="0" w:space="0" w:color="auto"/>
          </w:divBdr>
        </w:div>
        <w:div w:id="1819414480">
          <w:marLeft w:val="446"/>
          <w:marRight w:val="0"/>
          <w:marTop w:val="120"/>
          <w:marBottom w:val="0"/>
          <w:divBdr>
            <w:top w:val="none" w:sz="0" w:space="0" w:color="auto"/>
            <w:left w:val="none" w:sz="0" w:space="0" w:color="auto"/>
            <w:bottom w:val="none" w:sz="0" w:space="0" w:color="auto"/>
            <w:right w:val="none" w:sz="0" w:space="0" w:color="auto"/>
          </w:divBdr>
        </w:div>
        <w:div w:id="814686482">
          <w:marLeft w:val="1166"/>
          <w:marRight w:val="0"/>
          <w:marTop w:val="120"/>
          <w:marBottom w:val="0"/>
          <w:divBdr>
            <w:top w:val="none" w:sz="0" w:space="0" w:color="auto"/>
            <w:left w:val="none" w:sz="0" w:space="0" w:color="auto"/>
            <w:bottom w:val="none" w:sz="0" w:space="0" w:color="auto"/>
            <w:right w:val="none" w:sz="0" w:space="0" w:color="auto"/>
          </w:divBdr>
        </w:div>
        <w:div w:id="1473329585">
          <w:marLeft w:val="1166"/>
          <w:marRight w:val="0"/>
          <w:marTop w:val="120"/>
          <w:marBottom w:val="0"/>
          <w:divBdr>
            <w:top w:val="none" w:sz="0" w:space="0" w:color="auto"/>
            <w:left w:val="none" w:sz="0" w:space="0" w:color="auto"/>
            <w:bottom w:val="none" w:sz="0" w:space="0" w:color="auto"/>
            <w:right w:val="none" w:sz="0" w:space="0" w:color="auto"/>
          </w:divBdr>
        </w:div>
        <w:div w:id="565186669">
          <w:marLeft w:val="1166"/>
          <w:marRight w:val="0"/>
          <w:marTop w:val="120"/>
          <w:marBottom w:val="0"/>
          <w:divBdr>
            <w:top w:val="none" w:sz="0" w:space="0" w:color="auto"/>
            <w:left w:val="none" w:sz="0" w:space="0" w:color="auto"/>
            <w:bottom w:val="none" w:sz="0" w:space="0" w:color="auto"/>
            <w:right w:val="none" w:sz="0" w:space="0" w:color="auto"/>
          </w:divBdr>
        </w:div>
      </w:divsChild>
    </w:div>
    <w:div w:id="667754914">
      <w:bodyDiv w:val="1"/>
      <w:marLeft w:val="0"/>
      <w:marRight w:val="0"/>
      <w:marTop w:val="0"/>
      <w:marBottom w:val="0"/>
      <w:divBdr>
        <w:top w:val="none" w:sz="0" w:space="0" w:color="auto"/>
        <w:left w:val="none" w:sz="0" w:space="0" w:color="auto"/>
        <w:bottom w:val="none" w:sz="0" w:space="0" w:color="auto"/>
        <w:right w:val="none" w:sz="0" w:space="0" w:color="auto"/>
      </w:divBdr>
    </w:div>
    <w:div w:id="736320535">
      <w:bodyDiv w:val="1"/>
      <w:marLeft w:val="0"/>
      <w:marRight w:val="0"/>
      <w:marTop w:val="0"/>
      <w:marBottom w:val="0"/>
      <w:divBdr>
        <w:top w:val="none" w:sz="0" w:space="0" w:color="auto"/>
        <w:left w:val="none" w:sz="0" w:space="0" w:color="auto"/>
        <w:bottom w:val="none" w:sz="0" w:space="0" w:color="auto"/>
        <w:right w:val="none" w:sz="0" w:space="0" w:color="auto"/>
      </w:divBdr>
    </w:div>
    <w:div w:id="804078868">
      <w:bodyDiv w:val="1"/>
      <w:marLeft w:val="0"/>
      <w:marRight w:val="0"/>
      <w:marTop w:val="0"/>
      <w:marBottom w:val="0"/>
      <w:divBdr>
        <w:top w:val="none" w:sz="0" w:space="0" w:color="auto"/>
        <w:left w:val="none" w:sz="0" w:space="0" w:color="auto"/>
        <w:bottom w:val="none" w:sz="0" w:space="0" w:color="auto"/>
        <w:right w:val="none" w:sz="0" w:space="0" w:color="auto"/>
      </w:divBdr>
    </w:div>
    <w:div w:id="813447780">
      <w:bodyDiv w:val="1"/>
      <w:marLeft w:val="0"/>
      <w:marRight w:val="0"/>
      <w:marTop w:val="0"/>
      <w:marBottom w:val="0"/>
      <w:divBdr>
        <w:top w:val="none" w:sz="0" w:space="0" w:color="auto"/>
        <w:left w:val="none" w:sz="0" w:space="0" w:color="auto"/>
        <w:bottom w:val="none" w:sz="0" w:space="0" w:color="auto"/>
        <w:right w:val="none" w:sz="0" w:space="0" w:color="auto"/>
      </w:divBdr>
    </w:div>
    <w:div w:id="854735802">
      <w:bodyDiv w:val="1"/>
      <w:marLeft w:val="0"/>
      <w:marRight w:val="0"/>
      <w:marTop w:val="0"/>
      <w:marBottom w:val="0"/>
      <w:divBdr>
        <w:top w:val="none" w:sz="0" w:space="0" w:color="auto"/>
        <w:left w:val="none" w:sz="0" w:space="0" w:color="auto"/>
        <w:bottom w:val="none" w:sz="0" w:space="0" w:color="auto"/>
        <w:right w:val="none" w:sz="0" w:space="0" w:color="auto"/>
      </w:divBdr>
    </w:div>
    <w:div w:id="882868026">
      <w:bodyDiv w:val="1"/>
      <w:marLeft w:val="0"/>
      <w:marRight w:val="0"/>
      <w:marTop w:val="0"/>
      <w:marBottom w:val="0"/>
      <w:divBdr>
        <w:top w:val="none" w:sz="0" w:space="0" w:color="auto"/>
        <w:left w:val="none" w:sz="0" w:space="0" w:color="auto"/>
        <w:bottom w:val="none" w:sz="0" w:space="0" w:color="auto"/>
        <w:right w:val="none" w:sz="0" w:space="0" w:color="auto"/>
      </w:divBdr>
    </w:div>
    <w:div w:id="990136706">
      <w:bodyDiv w:val="1"/>
      <w:marLeft w:val="0"/>
      <w:marRight w:val="0"/>
      <w:marTop w:val="0"/>
      <w:marBottom w:val="0"/>
      <w:divBdr>
        <w:top w:val="none" w:sz="0" w:space="0" w:color="auto"/>
        <w:left w:val="none" w:sz="0" w:space="0" w:color="auto"/>
        <w:bottom w:val="none" w:sz="0" w:space="0" w:color="auto"/>
        <w:right w:val="none" w:sz="0" w:space="0" w:color="auto"/>
      </w:divBdr>
    </w:div>
    <w:div w:id="1069424871">
      <w:bodyDiv w:val="1"/>
      <w:marLeft w:val="0"/>
      <w:marRight w:val="0"/>
      <w:marTop w:val="0"/>
      <w:marBottom w:val="0"/>
      <w:divBdr>
        <w:top w:val="none" w:sz="0" w:space="0" w:color="auto"/>
        <w:left w:val="none" w:sz="0" w:space="0" w:color="auto"/>
        <w:bottom w:val="none" w:sz="0" w:space="0" w:color="auto"/>
        <w:right w:val="none" w:sz="0" w:space="0" w:color="auto"/>
      </w:divBdr>
    </w:div>
    <w:div w:id="1142502064">
      <w:bodyDiv w:val="1"/>
      <w:marLeft w:val="0"/>
      <w:marRight w:val="0"/>
      <w:marTop w:val="0"/>
      <w:marBottom w:val="0"/>
      <w:divBdr>
        <w:top w:val="none" w:sz="0" w:space="0" w:color="auto"/>
        <w:left w:val="none" w:sz="0" w:space="0" w:color="auto"/>
        <w:bottom w:val="none" w:sz="0" w:space="0" w:color="auto"/>
        <w:right w:val="none" w:sz="0" w:space="0" w:color="auto"/>
      </w:divBdr>
    </w:div>
    <w:div w:id="1142772637">
      <w:bodyDiv w:val="1"/>
      <w:marLeft w:val="0"/>
      <w:marRight w:val="0"/>
      <w:marTop w:val="0"/>
      <w:marBottom w:val="0"/>
      <w:divBdr>
        <w:top w:val="none" w:sz="0" w:space="0" w:color="auto"/>
        <w:left w:val="none" w:sz="0" w:space="0" w:color="auto"/>
        <w:bottom w:val="none" w:sz="0" w:space="0" w:color="auto"/>
        <w:right w:val="none" w:sz="0" w:space="0" w:color="auto"/>
      </w:divBdr>
    </w:div>
    <w:div w:id="1163156968">
      <w:bodyDiv w:val="1"/>
      <w:marLeft w:val="0"/>
      <w:marRight w:val="0"/>
      <w:marTop w:val="0"/>
      <w:marBottom w:val="0"/>
      <w:divBdr>
        <w:top w:val="none" w:sz="0" w:space="0" w:color="auto"/>
        <w:left w:val="none" w:sz="0" w:space="0" w:color="auto"/>
        <w:bottom w:val="none" w:sz="0" w:space="0" w:color="auto"/>
        <w:right w:val="none" w:sz="0" w:space="0" w:color="auto"/>
      </w:divBdr>
    </w:div>
    <w:div w:id="1213343786">
      <w:bodyDiv w:val="1"/>
      <w:marLeft w:val="0"/>
      <w:marRight w:val="0"/>
      <w:marTop w:val="0"/>
      <w:marBottom w:val="0"/>
      <w:divBdr>
        <w:top w:val="none" w:sz="0" w:space="0" w:color="auto"/>
        <w:left w:val="none" w:sz="0" w:space="0" w:color="auto"/>
        <w:bottom w:val="none" w:sz="0" w:space="0" w:color="auto"/>
        <w:right w:val="none" w:sz="0" w:space="0" w:color="auto"/>
      </w:divBdr>
    </w:div>
    <w:div w:id="1234586130">
      <w:bodyDiv w:val="1"/>
      <w:marLeft w:val="0"/>
      <w:marRight w:val="0"/>
      <w:marTop w:val="0"/>
      <w:marBottom w:val="0"/>
      <w:divBdr>
        <w:top w:val="none" w:sz="0" w:space="0" w:color="auto"/>
        <w:left w:val="none" w:sz="0" w:space="0" w:color="auto"/>
        <w:bottom w:val="none" w:sz="0" w:space="0" w:color="auto"/>
        <w:right w:val="none" w:sz="0" w:space="0" w:color="auto"/>
      </w:divBdr>
    </w:div>
    <w:div w:id="1241330180">
      <w:bodyDiv w:val="1"/>
      <w:marLeft w:val="0"/>
      <w:marRight w:val="0"/>
      <w:marTop w:val="0"/>
      <w:marBottom w:val="0"/>
      <w:divBdr>
        <w:top w:val="none" w:sz="0" w:space="0" w:color="auto"/>
        <w:left w:val="none" w:sz="0" w:space="0" w:color="auto"/>
        <w:bottom w:val="none" w:sz="0" w:space="0" w:color="auto"/>
        <w:right w:val="none" w:sz="0" w:space="0" w:color="auto"/>
      </w:divBdr>
    </w:div>
    <w:div w:id="1329210779">
      <w:bodyDiv w:val="1"/>
      <w:marLeft w:val="0"/>
      <w:marRight w:val="0"/>
      <w:marTop w:val="0"/>
      <w:marBottom w:val="0"/>
      <w:divBdr>
        <w:top w:val="none" w:sz="0" w:space="0" w:color="auto"/>
        <w:left w:val="none" w:sz="0" w:space="0" w:color="auto"/>
        <w:bottom w:val="none" w:sz="0" w:space="0" w:color="auto"/>
        <w:right w:val="none" w:sz="0" w:space="0" w:color="auto"/>
      </w:divBdr>
    </w:div>
    <w:div w:id="1368406319">
      <w:bodyDiv w:val="1"/>
      <w:marLeft w:val="0"/>
      <w:marRight w:val="0"/>
      <w:marTop w:val="0"/>
      <w:marBottom w:val="0"/>
      <w:divBdr>
        <w:top w:val="none" w:sz="0" w:space="0" w:color="auto"/>
        <w:left w:val="none" w:sz="0" w:space="0" w:color="auto"/>
        <w:bottom w:val="none" w:sz="0" w:space="0" w:color="auto"/>
        <w:right w:val="none" w:sz="0" w:space="0" w:color="auto"/>
      </w:divBdr>
    </w:div>
    <w:div w:id="1388601754">
      <w:bodyDiv w:val="1"/>
      <w:marLeft w:val="0"/>
      <w:marRight w:val="0"/>
      <w:marTop w:val="0"/>
      <w:marBottom w:val="0"/>
      <w:divBdr>
        <w:top w:val="none" w:sz="0" w:space="0" w:color="auto"/>
        <w:left w:val="none" w:sz="0" w:space="0" w:color="auto"/>
        <w:bottom w:val="none" w:sz="0" w:space="0" w:color="auto"/>
        <w:right w:val="none" w:sz="0" w:space="0" w:color="auto"/>
      </w:divBdr>
    </w:div>
    <w:div w:id="1438023144">
      <w:bodyDiv w:val="1"/>
      <w:marLeft w:val="0"/>
      <w:marRight w:val="0"/>
      <w:marTop w:val="0"/>
      <w:marBottom w:val="0"/>
      <w:divBdr>
        <w:top w:val="none" w:sz="0" w:space="0" w:color="auto"/>
        <w:left w:val="none" w:sz="0" w:space="0" w:color="auto"/>
        <w:bottom w:val="none" w:sz="0" w:space="0" w:color="auto"/>
        <w:right w:val="none" w:sz="0" w:space="0" w:color="auto"/>
      </w:divBdr>
    </w:div>
    <w:div w:id="1504927483">
      <w:bodyDiv w:val="1"/>
      <w:marLeft w:val="0"/>
      <w:marRight w:val="0"/>
      <w:marTop w:val="0"/>
      <w:marBottom w:val="0"/>
      <w:divBdr>
        <w:top w:val="none" w:sz="0" w:space="0" w:color="auto"/>
        <w:left w:val="none" w:sz="0" w:space="0" w:color="auto"/>
        <w:bottom w:val="none" w:sz="0" w:space="0" w:color="auto"/>
        <w:right w:val="none" w:sz="0" w:space="0" w:color="auto"/>
      </w:divBdr>
    </w:div>
    <w:div w:id="1562714295">
      <w:bodyDiv w:val="1"/>
      <w:marLeft w:val="0"/>
      <w:marRight w:val="0"/>
      <w:marTop w:val="0"/>
      <w:marBottom w:val="0"/>
      <w:divBdr>
        <w:top w:val="none" w:sz="0" w:space="0" w:color="auto"/>
        <w:left w:val="none" w:sz="0" w:space="0" w:color="auto"/>
        <w:bottom w:val="none" w:sz="0" w:space="0" w:color="auto"/>
        <w:right w:val="none" w:sz="0" w:space="0" w:color="auto"/>
      </w:divBdr>
    </w:div>
    <w:div w:id="1585141167">
      <w:bodyDiv w:val="1"/>
      <w:marLeft w:val="0"/>
      <w:marRight w:val="0"/>
      <w:marTop w:val="0"/>
      <w:marBottom w:val="0"/>
      <w:divBdr>
        <w:top w:val="none" w:sz="0" w:space="0" w:color="auto"/>
        <w:left w:val="none" w:sz="0" w:space="0" w:color="auto"/>
        <w:bottom w:val="none" w:sz="0" w:space="0" w:color="auto"/>
        <w:right w:val="none" w:sz="0" w:space="0" w:color="auto"/>
      </w:divBdr>
    </w:div>
    <w:div w:id="1643847438">
      <w:bodyDiv w:val="1"/>
      <w:marLeft w:val="0"/>
      <w:marRight w:val="0"/>
      <w:marTop w:val="0"/>
      <w:marBottom w:val="0"/>
      <w:divBdr>
        <w:top w:val="none" w:sz="0" w:space="0" w:color="auto"/>
        <w:left w:val="none" w:sz="0" w:space="0" w:color="auto"/>
        <w:bottom w:val="none" w:sz="0" w:space="0" w:color="auto"/>
        <w:right w:val="none" w:sz="0" w:space="0" w:color="auto"/>
      </w:divBdr>
    </w:div>
    <w:div w:id="1677226945">
      <w:bodyDiv w:val="1"/>
      <w:marLeft w:val="0"/>
      <w:marRight w:val="0"/>
      <w:marTop w:val="0"/>
      <w:marBottom w:val="0"/>
      <w:divBdr>
        <w:top w:val="none" w:sz="0" w:space="0" w:color="auto"/>
        <w:left w:val="none" w:sz="0" w:space="0" w:color="auto"/>
        <w:bottom w:val="none" w:sz="0" w:space="0" w:color="auto"/>
        <w:right w:val="none" w:sz="0" w:space="0" w:color="auto"/>
      </w:divBdr>
    </w:div>
    <w:div w:id="1683119359">
      <w:bodyDiv w:val="1"/>
      <w:marLeft w:val="0"/>
      <w:marRight w:val="0"/>
      <w:marTop w:val="0"/>
      <w:marBottom w:val="0"/>
      <w:divBdr>
        <w:top w:val="none" w:sz="0" w:space="0" w:color="auto"/>
        <w:left w:val="none" w:sz="0" w:space="0" w:color="auto"/>
        <w:bottom w:val="none" w:sz="0" w:space="0" w:color="auto"/>
        <w:right w:val="none" w:sz="0" w:space="0" w:color="auto"/>
      </w:divBdr>
    </w:div>
    <w:div w:id="1726219615">
      <w:bodyDiv w:val="1"/>
      <w:marLeft w:val="0"/>
      <w:marRight w:val="0"/>
      <w:marTop w:val="0"/>
      <w:marBottom w:val="0"/>
      <w:divBdr>
        <w:top w:val="none" w:sz="0" w:space="0" w:color="auto"/>
        <w:left w:val="none" w:sz="0" w:space="0" w:color="auto"/>
        <w:bottom w:val="none" w:sz="0" w:space="0" w:color="auto"/>
        <w:right w:val="none" w:sz="0" w:space="0" w:color="auto"/>
      </w:divBdr>
    </w:div>
    <w:div w:id="1773932057">
      <w:bodyDiv w:val="1"/>
      <w:marLeft w:val="0"/>
      <w:marRight w:val="0"/>
      <w:marTop w:val="0"/>
      <w:marBottom w:val="0"/>
      <w:divBdr>
        <w:top w:val="none" w:sz="0" w:space="0" w:color="auto"/>
        <w:left w:val="none" w:sz="0" w:space="0" w:color="auto"/>
        <w:bottom w:val="none" w:sz="0" w:space="0" w:color="auto"/>
        <w:right w:val="none" w:sz="0" w:space="0" w:color="auto"/>
      </w:divBdr>
    </w:div>
    <w:div w:id="1816291008">
      <w:bodyDiv w:val="1"/>
      <w:marLeft w:val="0"/>
      <w:marRight w:val="0"/>
      <w:marTop w:val="0"/>
      <w:marBottom w:val="0"/>
      <w:divBdr>
        <w:top w:val="none" w:sz="0" w:space="0" w:color="auto"/>
        <w:left w:val="none" w:sz="0" w:space="0" w:color="auto"/>
        <w:bottom w:val="none" w:sz="0" w:space="0" w:color="auto"/>
        <w:right w:val="none" w:sz="0" w:space="0" w:color="auto"/>
      </w:divBdr>
    </w:div>
    <w:div w:id="1883012879">
      <w:bodyDiv w:val="1"/>
      <w:marLeft w:val="0"/>
      <w:marRight w:val="0"/>
      <w:marTop w:val="0"/>
      <w:marBottom w:val="0"/>
      <w:divBdr>
        <w:top w:val="none" w:sz="0" w:space="0" w:color="auto"/>
        <w:left w:val="none" w:sz="0" w:space="0" w:color="auto"/>
        <w:bottom w:val="none" w:sz="0" w:space="0" w:color="auto"/>
        <w:right w:val="none" w:sz="0" w:space="0" w:color="auto"/>
      </w:divBdr>
    </w:div>
    <w:div w:id="1923292824">
      <w:bodyDiv w:val="1"/>
      <w:marLeft w:val="0"/>
      <w:marRight w:val="0"/>
      <w:marTop w:val="0"/>
      <w:marBottom w:val="0"/>
      <w:divBdr>
        <w:top w:val="none" w:sz="0" w:space="0" w:color="auto"/>
        <w:left w:val="none" w:sz="0" w:space="0" w:color="auto"/>
        <w:bottom w:val="none" w:sz="0" w:space="0" w:color="auto"/>
        <w:right w:val="none" w:sz="0" w:space="0" w:color="auto"/>
      </w:divBdr>
    </w:div>
    <w:div w:id="1963460226">
      <w:bodyDiv w:val="1"/>
      <w:marLeft w:val="0"/>
      <w:marRight w:val="0"/>
      <w:marTop w:val="0"/>
      <w:marBottom w:val="0"/>
      <w:divBdr>
        <w:top w:val="none" w:sz="0" w:space="0" w:color="auto"/>
        <w:left w:val="none" w:sz="0" w:space="0" w:color="auto"/>
        <w:bottom w:val="none" w:sz="0" w:space="0" w:color="auto"/>
        <w:right w:val="none" w:sz="0" w:space="0" w:color="auto"/>
      </w:divBdr>
    </w:div>
    <w:div w:id="2036805006">
      <w:bodyDiv w:val="1"/>
      <w:marLeft w:val="0"/>
      <w:marRight w:val="0"/>
      <w:marTop w:val="0"/>
      <w:marBottom w:val="0"/>
      <w:divBdr>
        <w:top w:val="none" w:sz="0" w:space="0" w:color="auto"/>
        <w:left w:val="none" w:sz="0" w:space="0" w:color="auto"/>
        <w:bottom w:val="none" w:sz="0" w:space="0" w:color="auto"/>
        <w:right w:val="none" w:sz="0" w:space="0" w:color="auto"/>
      </w:divBdr>
    </w:div>
    <w:div w:id="2069452618">
      <w:bodyDiv w:val="1"/>
      <w:marLeft w:val="0"/>
      <w:marRight w:val="0"/>
      <w:marTop w:val="0"/>
      <w:marBottom w:val="0"/>
      <w:divBdr>
        <w:top w:val="none" w:sz="0" w:space="0" w:color="auto"/>
        <w:left w:val="none" w:sz="0" w:space="0" w:color="auto"/>
        <w:bottom w:val="none" w:sz="0" w:space="0" w:color="auto"/>
        <w:right w:val="none" w:sz="0" w:space="0" w:color="auto"/>
      </w:divBdr>
    </w:div>
    <w:div w:id="2098019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oecd.org/science/inno/2367580.pdf" TargetMode="External"/><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hyperlink" Target="https://inkaviz.tacr.cz/" TargetMode="Externa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tarfos.tacr.cz/" TargetMode="Externa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visual.tacr.cz/"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s>
</file>

<file path=word/_rels/footnotes.xml.rels><?xml version="1.0" encoding="UTF-8" standalone="yes"?>
<Relationships xmlns="http://schemas.openxmlformats.org/package/2006/relationships"><Relationship Id="rId3" Type="http://schemas.openxmlformats.org/officeDocument/2006/relationships/hyperlink" Target="https://www.agentura-api.org/op-pik-obecne/" TargetMode="External"/><Relationship Id="rId2" Type="http://schemas.openxmlformats.org/officeDocument/2006/relationships/hyperlink" Target="https://tacr.cz/dokums_raw/prezentace/inka.pdf" TargetMode="External"/><Relationship Id="rId1" Type="http://schemas.openxmlformats.org/officeDocument/2006/relationships/hyperlink" Target="http://ec.europa.eu/environment/pubs/pdf/factsheets/ecoinnovation/c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ZPRG0007\Office\Internal\Projects\Public%20Consulting\MPO%20-%20hodnocen&#237;%20SC%201.1,%202019\Vyhodnocen&#237;%20dotazn&#237;ku\FINAL%20PRACOVNI-Export---Evaluace-OP-PIK-&#8211;-Specifick&#253;-c&#237;l-1%20(Recovered%20I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ZPRG0007\Office\Internal\Projects\Public%20Consulting\MPO%20-%20hodnocen&#237;%20SC%201.1,%202019\Vyhodnocen&#237;%20dotazn&#237;ku\FINAL%20PRACOVNI-Export---Evaluace-OP-PIK-&#8211;-Specifick&#253;-c&#237;l-1%2013.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ZPRG0007\Office\Internal\Projects\Public%20Consulting\MPO%20-%20hodnocen&#237;%20SC%201.1,%202019\Vyhodnocen&#237;%20dotazn&#237;ku\FINAL%20PRACOVNI-Export---Evaluace-OP-PIK-&#8211;-Specifick&#253;-c&#237;l-1%2013.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ZPRG0007\Office\Internal\Projects\Public%20Consulting\MPO%20-%20hodnocen&#237;%20SC%201.1,%202019\Vyhodnocen&#237;%20dotazn&#237;ku\FINAL%20PRACOVNI-Export---Evaluace-OP-PIK-&#8211;-Specifick&#253;-c&#237;l-1%2013.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ZPRG0007\Office\Internal\Projects\Public%20Consulting\MPO%20-%20hodnocen&#237;%20SC%201.1,%202019\Vyhodnocen&#237;%20dotazn&#237;ku\FINAL%20PRACOVNI-Export---Evaluace-OP-PIK-&#8211;-Specifick&#253;-c&#237;l-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ames\AppData\Roaming\Microsoft\Excel\FINAL%20PRACOVNI-Export---Evaluace-OP-PIK-&#8211;-Specifick&#253;-c&#237;l-1%20(version%202).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rames\Downloads\FINAL%20PRACOVNI-Export---Evaluace-OP-PIK-&#8211;-Specifick&#253;-c&#237;l-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Typ inovace</a:t>
            </a:r>
          </a:p>
        </c:rich>
      </c:tx>
      <c:layout/>
      <c:overlay val="0"/>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7BB-46F5-8AB1-B4A37768857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7BB-46F5-8AB1-B4A37768857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7BB-46F5-8AB1-B4A37768857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7BB-46F5-8AB1-B4A377688574}"/>
              </c:ext>
            </c:extLst>
          </c:dPt>
          <c:dLbls>
            <c:dLbl>
              <c:idx val="0"/>
              <c:layout/>
              <c:tx>
                <c:rich>
                  <a:bodyPr rot="0" vert="horz"/>
                  <a:lstStyle/>
                  <a:p>
                    <a:pPr>
                      <a:defRPr/>
                    </a:pPr>
                    <a:r>
                      <a:rPr lang="en-US"/>
                      <a:t>Produktová 66%</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7BB-46F5-8AB1-B4A377688574}"/>
                </c:ext>
              </c:extLst>
            </c:dLbl>
            <c:dLbl>
              <c:idx val="1"/>
              <c:layout/>
              <c:tx>
                <c:rich>
                  <a:bodyPr rot="0" vert="horz"/>
                  <a:lstStyle/>
                  <a:p>
                    <a:pPr>
                      <a:defRPr/>
                    </a:pPr>
                    <a:r>
                      <a:rPr lang="en-US"/>
                      <a:t>Procesní 38%</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7BB-46F5-8AB1-B4A377688574}"/>
                </c:ext>
              </c:extLst>
            </c:dLbl>
            <c:dLbl>
              <c:idx val="2"/>
              <c:layout>
                <c:manualLayout>
                  <c:x val="-9.8504783249315525E-2"/>
                  <c:y val="3.2407407407407406E-2"/>
                </c:manualLayout>
              </c:layout>
              <c:tx>
                <c:rich>
                  <a:bodyPr rot="0" vert="horz"/>
                  <a:lstStyle/>
                  <a:p>
                    <a:pPr>
                      <a:defRPr/>
                    </a:pPr>
                    <a:r>
                      <a:rPr lang="en-US"/>
                      <a:t>Organizační 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3427777777777784"/>
                      <c:h val="0.16347222222222221"/>
                    </c:manualLayout>
                  </c15:layout>
                </c:ext>
                <c:ext xmlns:c16="http://schemas.microsoft.com/office/drawing/2014/chart" uri="{C3380CC4-5D6E-409C-BE32-E72D297353CC}">
                  <c16:uniqueId val="{00000005-07BB-46F5-8AB1-B4A377688574}"/>
                </c:ext>
              </c:extLst>
            </c:dLbl>
            <c:dLbl>
              <c:idx val="3"/>
              <c:layout>
                <c:manualLayout>
                  <c:x val="0.18571494842214489"/>
                  <c:y val="5.4894075740532434E-2"/>
                </c:manualLayout>
              </c:layout>
              <c:tx>
                <c:rich>
                  <a:bodyPr rot="0" vert="horz"/>
                  <a:lstStyle/>
                  <a:p>
                    <a:pPr>
                      <a:defRPr/>
                    </a:pPr>
                    <a:r>
                      <a:rPr lang="en-US"/>
                      <a:t>Marketingová 3%</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35676399825021876"/>
                      <c:h val="0.12643518518518518"/>
                    </c:manualLayout>
                  </c15:layout>
                </c:ext>
                <c:ext xmlns:c16="http://schemas.microsoft.com/office/drawing/2014/chart" uri="{C3380CC4-5D6E-409C-BE32-E72D297353CC}">
                  <c16:uniqueId val="{00000007-07BB-46F5-8AB1-B4A37768857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Sheet1!$A$10:$A$13</c:f>
              <c:strCache>
                <c:ptCount val="4"/>
                <c:pt idx="0">
                  <c:v>Produktová</c:v>
                </c:pt>
                <c:pt idx="1">
                  <c:v>Procesní</c:v>
                </c:pt>
                <c:pt idx="2">
                  <c:v>Organizační</c:v>
                </c:pt>
                <c:pt idx="3">
                  <c:v>Marketingová</c:v>
                </c:pt>
              </c:strCache>
            </c:strRef>
          </c:cat>
          <c:val>
            <c:numRef>
              <c:f>Sheet1!$B$10:$B$13</c:f>
              <c:numCache>
                <c:formatCode>0%</c:formatCode>
                <c:ptCount val="4"/>
                <c:pt idx="0">
                  <c:v>0.66019417475728159</c:v>
                </c:pt>
                <c:pt idx="1">
                  <c:v>0.37864077669902912</c:v>
                </c:pt>
                <c:pt idx="2">
                  <c:v>3.8834951456310676E-2</c:v>
                </c:pt>
                <c:pt idx="3">
                  <c:v>2.9126213592233011E-2</c:v>
                </c:pt>
              </c:numCache>
            </c:numRef>
          </c:val>
          <c:extLst>
            <c:ext xmlns:c16="http://schemas.microsoft.com/office/drawing/2014/chart" uri="{C3380CC4-5D6E-409C-BE32-E72D297353CC}">
              <c16:uniqueId val="{00000008-07BB-46F5-8AB1-B4A37768857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na technologické kapacity podniků</a:t>
            </a:r>
          </a:p>
        </c:rich>
      </c:tx>
      <c:layout/>
      <c:overlay val="0"/>
      <c:spPr>
        <a:noFill/>
        <a:ln>
          <a:noFill/>
        </a:ln>
        <a:effectLst/>
      </c:spPr>
    </c:title>
    <c:autoTitleDeleted val="0"/>
    <c:plotArea>
      <c:layout/>
      <c:barChart>
        <c:barDir val="col"/>
        <c:grouping val="percentStacked"/>
        <c:varyColors val="0"/>
        <c:ser>
          <c:idx val="0"/>
          <c:order val="0"/>
          <c:tx>
            <c:strRef>
              <c:f>Sheet1!$A$84</c:f>
              <c:strCache>
                <c:ptCount val="1"/>
                <c:pt idx="0">
                  <c:v>Nezměnila</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Sheet1!$B$83:$E$83</c:f>
              <c:strCache>
                <c:ptCount val="4"/>
                <c:pt idx="0">
                  <c:v>Malý podnik</c:v>
                </c:pt>
                <c:pt idx="1">
                  <c:v>Mikropodnik</c:v>
                </c:pt>
                <c:pt idx="2">
                  <c:v>Střední podnik</c:v>
                </c:pt>
                <c:pt idx="3">
                  <c:v>Velký podnik</c:v>
                </c:pt>
              </c:strCache>
            </c:strRef>
          </c:cat>
          <c:val>
            <c:numRef>
              <c:f>Sheet1!$B$84:$E$84</c:f>
              <c:numCache>
                <c:formatCode>General</c:formatCode>
                <c:ptCount val="4"/>
                <c:pt idx="0">
                  <c:v>9</c:v>
                </c:pt>
                <c:pt idx="1">
                  <c:v>2</c:v>
                </c:pt>
                <c:pt idx="2">
                  <c:v>9</c:v>
                </c:pt>
                <c:pt idx="3">
                  <c:v>10</c:v>
                </c:pt>
              </c:numCache>
            </c:numRef>
          </c:val>
          <c:extLst>
            <c:ext xmlns:c16="http://schemas.microsoft.com/office/drawing/2014/chart" uri="{C3380CC4-5D6E-409C-BE32-E72D297353CC}">
              <c16:uniqueId val="{00000000-506D-4037-8E3B-FAD714219F98}"/>
            </c:ext>
          </c:extLst>
        </c:ser>
        <c:ser>
          <c:idx val="1"/>
          <c:order val="1"/>
          <c:tx>
            <c:strRef>
              <c:f>Sheet1!$A$85</c:f>
              <c:strCache>
                <c:ptCount val="1"/>
                <c:pt idx="0">
                  <c:v>Do 10 %</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Sheet1!$B$83:$E$83</c:f>
              <c:strCache>
                <c:ptCount val="4"/>
                <c:pt idx="0">
                  <c:v>Malý podnik</c:v>
                </c:pt>
                <c:pt idx="1">
                  <c:v>Mikropodnik</c:v>
                </c:pt>
                <c:pt idx="2">
                  <c:v>Střední podnik</c:v>
                </c:pt>
                <c:pt idx="3">
                  <c:v>Velký podnik</c:v>
                </c:pt>
              </c:strCache>
            </c:strRef>
          </c:cat>
          <c:val>
            <c:numRef>
              <c:f>Sheet1!$B$85:$E$85</c:f>
              <c:numCache>
                <c:formatCode>General</c:formatCode>
                <c:ptCount val="4"/>
                <c:pt idx="0">
                  <c:v>13</c:v>
                </c:pt>
                <c:pt idx="1">
                  <c:v>7</c:v>
                </c:pt>
                <c:pt idx="2">
                  <c:v>8</c:v>
                </c:pt>
                <c:pt idx="3">
                  <c:v>8</c:v>
                </c:pt>
              </c:numCache>
            </c:numRef>
          </c:val>
          <c:extLst>
            <c:ext xmlns:c16="http://schemas.microsoft.com/office/drawing/2014/chart" uri="{C3380CC4-5D6E-409C-BE32-E72D297353CC}">
              <c16:uniqueId val="{00000001-506D-4037-8E3B-FAD714219F98}"/>
            </c:ext>
          </c:extLst>
        </c:ser>
        <c:ser>
          <c:idx val="2"/>
          <c:order val="2"/>
          <c:tx>
            <c:strRef>
              <c:f>Sheet1!$A$86</c:f>
              <c:strCache>
                <c:ptCount val="1"/>
                <c:pt idx="0">
                  <c:v>11 – 25 %</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Sheet1!$B$83:$E$83</c:f>
              <c:strCache>
                <c:ptCount val="4"/>
                <c:pt idx="0">
                  <c:v>Malý podnik</c:v>
                </c:pt>
                <c:pt idx="1">
                  <c:v>Mikropodnik</c:v>
                </c:pt>
                <c:pt idx="2">
                  <c:v>Střední podnik</c:v>
                </c:pt>
                <c:pt idx="3">
                  <c:v>Velký podnik</c:v>
                </c:pt>
              </c:strCache>
            </c:strRef>
          </c:cat>
          <c:val>
            <c:numRef>
              <c:f>Sheet1!$B$86:$E$86</c:f>
              <c:numCache>
                <c:formatCode>General</c:formatCode>
                <c:ptCount val="4"/>
                <c:pt idx="0">
                  <c:v>4</c:v>
                </c:pt>
                <c:pt idx="2">
                  <c:v>6</c:v>
                </c:pt>
                <c:pt idx="3">
                  <c:v>2</c:v>
                </c:pt>
              </c:numCache>
            </c:numRef>
          </c:val>
          <c:extLst>
            <c:ext xmlns:c16="http://schemas.microsoft.com/office/drawing/2014/chart" uri="{C3380CC4-5D6E-409C-BE32-E72D297353CC}">
              <c16:uniqueId val="{00000002-506D-4037-8E3B-FAD714219F98}"/>
            </c:ext>
          </c:extLst>
        </c:ser>
        <c:ser>
          <c:idx val="3"/>
          <c:order val="3"/>
          <c:tx>
            <c:strRef>
              <c:f>Sheet1!$A$87</c:f>
              <c:strCache>
                <c:ptCount val="1"/>
                <c:pt idx="0">
                  <c:v>26 – 50 %</c:v>
                </c:pt>
              </c:strCache>
            </c:strRef>
          </c:tx>
          <c:spPr>
            <a:solidFill>
              <a:schemeClr val="accent4"/>
            </a:solidFill>
            <a:ln>
              <a:noFill/>
            </a:ln>
            <a:effectLst/>
          </c:spPr>
          <c:invertIfNegative val="0"/>
          <c:dLbls>
            <c:spPr>
              <a:noFill/>
              <a:ln>
                <a:noFill/>
              </a:ln>
              <a:effectLst/>
            </c:spPr>
            <c:txPr>
              <a:bodyPr rot="0" vert="horz"/>
              <a:lstStyle/>
              <a:p>
                <a:pPr>
                  <a:defRPr>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Sheet1!$B$83:$E$83</c:f>
              <c:strCache>
                <c:ptCount val="4"/>
                <c:pt idx="0">
                  <c:v>Malý podnik</c:v>
                </c:pt>
                <c:pt idx="1">
                  <c:v>Mikropodnik</c:v>
                </c:pt>
                <c:pt idx="2">
                  <c:v>Střední podnik</c:v>
                </c:pt>
                <c:pt idx="3">
                  <c:v>Velký podnik</c:v>
                </c:pt>
              </c:strCache>
            </c:strRef>
          </c:cat>
          <c:val>
            <c:numRef>
              <c:f>Sheet1!$B$87:$E$87</c:f>
              <c:numCache>
                <c:formatCode>General</c:formatCode>
                <c:ptCount val="4"/>
                <c:pt idx="0">
                  <c:v>3</c:v>
                </c:pt>
                <c:pt idx="1">
                  <c:v>4</c:v>
                </c:pt>
                <c:pt idx="2">
                  <c:v>1</c:v>
                </c:pt>
                <c:pt idx="3">
                  <c:v>1</c:v>
                </c:pt>
              </c:numCache>
            </c:numRef>
          </c:val>
          <c:extLst>
            <c:ext xmlns:c16="http://schemas.microsoft.com/office/drawing/2014/chart" uri="{C3380CC4-5D6E-409C-BE32-E72D297353CC}">
              <c16:uniqueId val="{00000003-506D-4037-8E3B-FAD714219F98}"/>
            </c:ext>
          </c:extLst>
        </c:ser>
        <c:ser>
          <c:idx val="4"/>
          <c:order val="4"/>
          <c:tx>
            <c:strRef>
              <c:f>Sheet1!$A$88</c:f>
              <c:strCache>
                <c:ptCount val="1"/>
                <c:pt idx="0">
                  <c:v>Více než 50 %</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Sheet1!$B$83:$E$83</c:f>
              <c:strCache>
                <c:ptCount val="4"/>
                <c:pt idx="0">
                  <c:v>Malý podnik</c:v>
                </c:pt>
                <c:pt idx="1">
                  <c:v>Mikropodnik</c:v>
                </c:pt>
                <c:pt idx="2">
                  <c:v>Střední podnik</c:v>
                </c:pt>
                <c:pt idx="3">
                  <c:v>Velký podnik</c:v>
                </c:pt>
              </c:strCache>
            </c:strRef>
          </c:cat>
          <c:val>
            <c:numRef>
              <c:f>Sheet1!$B$88:$E$88</c:f>
              <c:numCache>
                <c:formatCode>General</c:formatCode>
                <c:ptCount val="4"/>
                <c:pt idx="0">
                  <c:v>1</c:v>
                </c:pt>
                <c:pt idx="2">
                  <c:v>1</c:v>
                </c:pt>
              </c:numCache>
            </c:numRef>
          </c:val>
          <c:extLst>
            <c:ext xmlns:c16="http://schemas.microsoft.com/office/drawing/2014/chart" uri="{C3380CC4-5D6E-409C-BE32-E72D297353CC}">
              <c16:uniqueId val="{00000004-506D-4037-8E3B-FAD714219F98}"/>
            </c:ext>
          </c:extLst>
        </c:ser>
        <c:dLbls>
          <c:showLegendKey val="0"/>
          <c:showVal val="0"/>
          <c:showCatName val="0"/>
          <c:showSerName val="0"/>
          <c:showPercent val="0"/>
          <c:showBubbleSize val="0"/>
        </c:dLbls>
        <c:gapWidth val="150"/>
        <c:overlap val="100"/>
        <c:axId val="362792960"/>
        <c:axId val="465896576"/>
      </c:barChart>
      <c:catAx>
        <c:axId val="36279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896576"/>
        <c:crosses val="autoZero"/>
        <c:auto val="1"/>
        <c:lblAlgn val="ctr"/>
        <c:lblOffset val="100"/>
        <c:noMultiLvlLbl val="0"/>
      </c:catAx>
      <c:valAx>
        <c:axId val="465896576"/>
        <c:scaling>
          <c:orientation val="minMax"/>
        </c:scaling>
        <c:delete val="1"/>
        <c:axPos val="l"/>
        <c:numFmt formatCode="0%" sourceLinked="1"/>
        <c:majorTickMark val="none"/>
        <c:minorTickMark val="none"/>
        <c:tickLblPos val="nextTo"/>
        <c:crossAx val="362792960"/>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na posílení personální kapacity podniků</a:t>
            </a: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AA0D-4785-8689-A64777F0998B}"/>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Sheet1!$A$77:$A$81</c:f>
              <c:strCache>
                <c:ptCount val="5"/>
                <c:pt idx="0">
                  <c:v>Do 10 %</c:v>
                </c:pt>
                <c:pt idx="1">
                  <c:v>11 – 25 %</c:v>
                </c:pt>
                <c:pt idx="2">
                  <c:v>26 – 50 %</c:v>
                </c:pt>
                <c:pt idx="3">
                  <c:v>Více než 50 %</c:v>
                </c:pt>
                <c:pt idx="4">
                  <c:v>Nezměnila</c:v>
                </c:pt>
              </c:strCache>
            </c:strRef>
          </c:cat>
          <c:val>
            <c:numRef>
              <c:f>Sheet1!$B$77:$B$81</c:f>
              <c:numCache>
                <c:formatCode>0%</c:formatCode>
                <c:ptCount val="5"/>
                <c:pt idx="0">
                  <c:v>0.37931034482758619</c:v>
                </c:pt>
                <c:pt idx="1">
                  <c:v>0.13793103448275862</c:v>
                </c:pt>
                <c:pt idx="2">
                  <c:v>7.7586206896551727E-2</c:v>
                </c:pt>
                <c:pt idx="3">
                  <c:v>3.4482758620689655E-2</c:v>
                </c:pt>
                <c:pt idx="4">
                  <c:v>0.37068965517241381</c:v>
                </c:pt>
              </c:numCache>
            </c:numRef>
          </c:val>
          <c:extLst>
            <c:ext xmlns:c16="http://schemas.microsoft.com/office/drawing/2014/chart" uri="{C3380CC4-5D6E-409C-BE32-E72D297353CC}">
              <c16:uniqueId val="{00000002-AA0D-4785-8689-A64777F0998B}"/>
            </c:ext>
          </c:extLst>
        </c:ser>
        <c:dLbls>
          <c:showLegendKey val="0"/>
          <c:showVal val="0"/>
          <c:showCatName val="0"/>
          <c:showSerName val="0"/>
          <c:showPercent val="0"/>
          <c:showBubbleSize val="0"/>
        </c:dLbls>
        <c:gapWidth val="219"/>
        <c:overlap val="-27"/>
        <c:axId val="362791424"/>
        <c:axId val="465898304"/>
      </c:barChart>
      <c:catAx>
        <c:axId val="3627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898304"/>
        <c:crosses val="autoZero"/>
        <c:auto val="1"/>
        <c:lblAlgn val="ctr"/>
        <c:lblOffset val="100"/>
        <c:noMultiLvlLbl val="0"/>
      </c:catAx>
      <c:valAx>
        <c:axId val="465898304"/>
        <c:scaling>
          <c:orientation val="minMax"/>
        </c:scaling>
        <c:delete val="1"/>
        <c:axPos val="l"/>
        <c:numFmt formatCode="0%" sourceLinked="1"/>
        <c:majorTickMark val="none"/>
        <c:minorTickMark val="none"/>
        <c:tickLblPos val="nextTo"/>
        <c:crossAx val="362791424"/>
        <c:crosses val="autoZero"/>
        <c:crossBetween val="between"/>
      </c:valAx>
      <c:spPr>
        <a:noFill/>
        <a:ln w="25400">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Typ inovace</a:t>
            </a:r>
          </a:p>
        </c:rich>
      </c:tx>
      <c:layout/>
      <c:overlay val="0"/>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769-4859-AE0D-73D9193829A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769-4859-AE0D-73D9193829A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769-4859-AE0D-73D9193829A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769-4859-AE0D-73D9193829A3}"/>
              </c:ext>
            </c:extLst>
          </c:dPt>
          <c:dLbls>
            <c:dLbl>
              <c:idx val="0"/>
              <c:layout/>
              <c:tx>
                <c:rich>
                  <a:bodyPr rot="0" vert="horz"/>
                  <a:lstStyle/>
                  <a:p>
                    <a:pPr>
                      <a:defRPr/>
                    </a:pPr>
                    <a:r>
                      <a:rPr lang="en-US"/>
                      <a:t>Produktová 66%</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69-4859-AE0D-73D9193829A3}"/>
                </c:ext>
              </c:extLst>
            </c:dLbl>
            <c:dLbl>
              <c:idx val="1"/>
              <c:layout/>
              <c:tx>
                <c:rich>
                  <a:bodyPr rot="0" vert="horz"/>
                  <a:lstStyle/>
                  <a:p>
                    <a:pPr>
                      <a:defRPr/>
                    </a:pPr>
                    <a:r>
                      <a:rPr lang="en-US"/>
                      <a:t>Procesní 38%</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769-4859-AE0D-73D9193829A3}"/>
                </c:ext>
              </c:extLst>
            </c:dLbl>
            <c:dLbl>
              <c:idx val="2"/>
              <c:layout>
                <c:manualLayout>
                  <c:x val="-9.8504783249315525E-2"/>
                  <c:y val="3.2407407407407406E-2"/>
                </c:manualLayout>
              </c:layout>
              <c:tx>
                <c:rich>
                  <a:bodyPr rot="0" vert="horz"/>
                  <a:lstStyle/>
                  <a:p>
                    <a:pPr>
                      <a:defRPr/>
                    </a:pPr>
                    <a:r>
                      <a:rPr lang="en-US"/>
                      <a:t>Organizační 4%</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3427777777777784"/>
                      <c:h val="0.16347222222222221"/>
                    </c:manualLayout>
                  </c15:layout>
                </c:ext>
                <c:ext xmlns:c16="http://schemas.microsoft.com/office/drawing/2014/chart" uri="{C3380CC4-5D6E-409C-BE32-E72D297353CC}">
                  <c16:uniqueId val="{00000005-C769-4859-AE0D-73D9193829A3}"/>
                </c:ext>
              </c:extLst>
            </c:dLbl>
            <c:dLbl>
              <c:idx val="3"/>
              <c:layout>
                <c:manualLayout>
                  <c:x val="0.26633511419788669"/>
                  <c:y val="3.7037037037037035E-2"/>
                </c:manualLayout>
              </c:layout>
              <c:tx>
                <c:rich>
                  <a:bodyPr rot="0" vert="horz"/>
                  <a:lstStyle/>
                  <a:p>
                    <a:pPr>
                      <a:defRPr/>
                    </a:pPr>
                    <a:r>
                      <a:rPr lang="en-US"/>
                      <a:t>Marketingová 3%</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35676399825021876"/>
                      <c:h val="0.12643518518518518"/>
                    </c:manualLayout>
                  </c15:layout>
                </c:ext>
                <c:ext xmlns:c16="http://schemas.microsoft.com/office/drawing/2014/chart" uri="{C3380CC4-5D6E-409C-BE32-E72D297353CC}">
                  <c16:uniqueId val="{00000007-C769-4859-AE0D-73D9193829A3}"/>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Sheet1!$A$10:$A$13</c:f>
              <c:strCache>
                <c:ptCount val="4"/>
                <c:pt idx="0">
                  <c:v>Produktová</c:v>
                </c:pt>
                <c:pt idx="1">
                  <c:v>Procesní</c:v>
                </c:pt>
                <c:pt idx="2">
                  <c:v>Organizační</c:v>
                </c:pt>
                <c:pt idx="3">
                  <c:v>Marketingová</c:v>
                </c:pt>
              </c:strCache>
            </c:strRef>
          </c:cat>
          <c:val>
            <c:numRef>
              <c:f>Sheet1!$B$10:$B$13</c:f>
              <c:numCache>
                <c:formatCode>0%</c:formatCode>
                <c:ptCount val="4"/>
                <c:pt idx="0">
                  <c:v>0.66019417475728159</c:v>
                </c:pt>
                <c:pt idx="1">
                  <c:v>0.37864077669902912</c:v>
                </c:pt>
                <c:pt idx="2">
                  <c:v>3.8834951456310676E-2</c:v>
                </c:pt>
                <c:pt idx="3">
                  <c:v>2.9126213592233011E-2</c:v>
                </c:pt>
              </c:numCache>
            </c:numRef>
          </c:val>
          <c:extLst>
            <c:ext xmlns:c16="http://schemas.microsoft.com/office/drawing/2014/chart" uri="{C3380CC4-5D6E-409C-BE32-E72D297353CC}">
              <c16:uniqueId val="{00000008-C769-4859-AE0D-73D9193829A3}"/>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inovace na životní prostředí</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Sheet1!$A$103:$A$107</c:f>
              <c:strCache>
                <c:ptCount val="4"/>
                <c:pt idx="0">
                  <c:v>Inovace nemá vliv na ŽP</c:v>
                </c:pt>
                <c:pt idx="1">
                  <c:v>Zlepšení ŽP je důležitou součástí inovace</c:v>
                </c:pt>
                <c:pt idx="2">
                  <c:v>Zlepšení ŽP je podstatou inovace</c:v>
                </c:pt>
                <c:pt idx="3">
                  <c:v>Zlepšení ŽP se inovace týká pouze částečně</c:v>
                </c:pt>
              </c:strCache>
              <c:extLst/>
            </c:strRef>
          </c:cat>
          <c:val>
            <c:numRef>
              <c:f>Sheet1!$B$103:$B$107</c:f>
              <c:numCache>
                <c:formatCode>0%</c:formatCode>
                <c:ptCount val="4"/>
                <c:pt idx="0">
                  <c:v>0.39215686274509803</c:v>
                </c:pt>
                <c:pt idx="1">
                  <c:v>0.25490196078431371</c:v>
                </c:pt>
                <c:pt idx="2">
                  <c:v>5.8823529411764705E-2</c:v>
                </c:pt>
                <c:pt idx="3">
                  <c:v>0.29411764705882354</c:v>
                </c:pt>
              </c:numCache>
              <c:extLst/>
            </c:numRef>
          </c:val>
          <c:extLst>
            <c:ext xmlns:c16="http://schemas.microsoft.com/office/drawing/2014/chart" uri="{C3380CC4-5D6E-409C-BE32-E72D297353CC}">
              <c16:uniqueId val="{00000000-A32E-4F4E-89F1-FAC025B0EDFC}"/>
            </c:ext>
          </c:extLst>
        </c:ser>
        <c:dLbls>
          <c:showLegendKey val="0"/>
          <c:showVal val="0"/>
          <c:showCatName val="0"/>
          <c:showSerName val="0"/>
          <c:showPercent val="0"/>
          <c:showBubbleSize val="0"/>
        </c:dLbls>
        <c:gapWidth val="219"/>
        <c:overlap val="-27"/>
        <c:axId val="334591488"/>
        <c:axId val="465901184"/>
      </c:barChart>
      <c:catAx>
        <c:axId val="33459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901184"/>
        <c:crosses val="autoZero"/>
        <c:auto val="1"/>
        <c:lblAlgn val="ctr"/>
        <c:lblOffset val="100"/>
        <c:noMultiLvlLbl val="0"/>
      </c:catAx>
      <c:valAx>
        <c:axId val="465901184"/>
        <c:scaling>
          <c:orientation val="minMax"/>
        </c:scaling>
        <c:delete val="1"/>
        <c:axPos val="l"/>
        <c:numFmt formatCode="0%" sourceLinked="1"/>
        <c:majorTickMark val="none"/>
        <c:minorTickMark val="none"/>
        <c:tickLblPos val="nextTo"/>
        <c:crossAx val="33459148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Úspěšnost při uvádění inovací na trh</a:t>
            </a:r>
          </a:p>
        </c:rich>
      </c:tx>
      <c:layout/>
      <c:overlay val="0"/>
      <c:spPr>
        <a:noFill/>
        <a:ln>
          <a:noFill/>
        </a:ln>
        <a:effectLst/>
      </c:spPr>
    </c:title>
    <c:autoTitleDeleted val="0"/>
    <c:plotArea>
      <c:layout/>
      <c:barChart>
        <c:barDir val="col"/>
        <c:grouping val="clustered"/>
        <c:varyColors val="0"/>
        <c:ser>
          <c:idx val="0"/>
          <c:order val="0"/>
          <c:tx>
            <c:strRef>
              <c:f>Sheet1!$B$125</c:f>
              <c:strCache>
                <c:ptCount val="1"/>
                <c:pt idx="0">
                  <c:v>ČR</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Sheet1!$A$126:$A$127</c:f>
              <c:strCache>
                <c:ptCount val="2"/>
                <c:pt idx="0">
                  <c:v>Úspěšné</c:v>
                </c:pt>
                <c:pt idx="1">
                  <c:v>S problémy</c:v>
                </c:pt>
              </c:strCache>
            </c:strRef>
          </c:cat>
          <c:val>
            <c:numRef>
              <c:f>Sheet1!$B$126:$B$127</c:f>
              <c:numCache>
                <c:formatCode>0%</c:formatCode>
                <c:ptCount val="2"/>
                <c:pt idx="0">
                  <c:v>0.63934426229508201</c:v>
                </c:pt>
                <c:pt idx="1">
                  <c:v>8.1967213114754092E-2</c:v>
                </c:pt>
              </c:numCache>
            </c:numRef>
          </c:val>
          <c:extLst>
            <c:ext xmlns:c16="http://schemas.microsoft.com/office/drawing/2014/chart" uri="{C3380CC4-5D6E-409C-BE32-E72D297353CC}">
              <c16:uniqueId val="{00000000-9C9C-4163-A240-505A8CA23967}"/>
            </c:ext>
          </c:extLst>
        </c:ser>
        <c:ser>
          <c:idx val="1"/>
          <c:order val="1"/>
          <c:tx>
            <c:strRef>
              <c:f>Sheet1!$C$125</c:f>
              <c:strCache>
                <c:ptCount val="1"/>
                <c:pt idx="0">
                  <c:v>Zahraničí</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Sheet1!$A$126:$A$127</c:f>
              <c:strCache>
                <c:ptCount val="2"/>
                <c:pt idx="0">
                  <c:v>Úspěšné</c:v>
                </c:pt>
                <c:pt idx="1">
                  <c:v>S problémy</c:v>
                </c:pt>
              </c:strCache>
            </c:strRef>
          </c:cat>
          <c:val>
            <c:numRef>
              <c:f>Sheet1!$C$126:$C$127</c:f>
              <c:numCache>
                <c:formatCode>0%</c:formatCode>
                <c:ptCount val="2"/>
                <c:pt idx="0">
                  <c:v>0.75</c:v>
                </c:pt>
                <c:pt idx="1">
                  <c:v>0.14285714285714285</c:v>
                </c:pt>
              </c:numCache>
            </c:numRef>
          </c:val>
          <c:extLst>
            <c:ext xmlns:c16="http://schemas.microsoft.com/office/drawing/2014/chart" uri="{C3380CC4-5D6E-409C-BE32-E72D297353CC}">
              <c16:uniqueId val="{00000001-9C9C-4163-A240-505A8CA23967}"/>
            </c:ext>
          </c:extLst>
        </c:ser>
        <c:dLbls>
          <c:showLegendKey val="0"/>
          <c:showVal val="0"/>
          <c:showCatName val="0"/>
          <c:showSerName val="0"/>
          <c:showPercent val="0"/>
          <c:showBubbleSize val="0"/>
        </c:dLbls>
        <c:gapWidth val="219"/>
        <c:overlap val="-27"/>
        <c:axId val="362792448"/>
        <c:axId val="465911808"/>
      </c:barChart>
      <c:catAx>
        <c:axId val="3627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911808"/>
        <c:crosses val="autoZero"/>
        <c:auto val="1"/>
        <c:lblAlgn val="ctr"/>
        <c:lblOffset val="100"/>
        <c:noMultiLvlLbl val="0"/>
      </c:catAx>
      <c:valAx>
        <c:axId val="465911808"/>
        <c:scaling>
          <c:orientation val="minMax"/>
        </c:scaling>
        <c:delete val="1"/>
        <c:axPos val="l"/>
        <c:numFmt formatCode="0%" sourceLinked="1"/>
        <c:majorTickMark val="none"/>
        <c:minorTickMark val="none"/>
        <c:tickLblPos val="nextTo"/>
        <c:crossAx val="362792448"/>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Bariéry uvedení produktu na trh v ČR</a:t>
            </a:r>
          </a:p>
        </c:rich>
      </c:tx>
      <c:layout/>
      <c:overlay val="0"/>
      <c:spPr>
        <a:noFill/>
        <a:ln>
          <a:noFill/>
        </a:ln>
        <a:effectLst/>
      </c:spPr>
    </c:title>
    <c:autoTitleDeleted val="0"/>
    <c:plotArea>
      <c:layout/>
      <c:barChart>
        <c:barDir val="bar"/>
        <c:grouping val="percentStacked"/>
        <c:varyColors val="0"/>
        <c:ser>
          <c:idx val="0"/>
          <c:order val="0"/>
          <c:tx>
            <c:strRef>
              <c:f>Sheet8!$C$50</c:f>
              <c:strCache>
                <c:ptCount val="1"/>
                <c:pt idx="0">
                  <c:v>Nedokáži posoudit</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Sheet8!$B$51:$B$58</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Sheet8!$C$51:$C$58</c:f>
              <c:numCache>
                <c:formatCode>0%</c:formatCode>
                <c:ptCount val="8"/>
                <c:pt idx="0">
                  <c:v>7.0000000000000007E-2</c:v>
                </c:pt>
                <c:pt idx="1">
                  <c:v>0.05</c:v>
                </c:pt>
                <c:pt idx="2">
                  <c:v>0.08</c:v>
                </c:pt>
                <c:pt idx="3">
                  <c:v>0.06</c:v>
                </c:pt>
                <c:pt idx="4">
                  <c:v>7.0000000000000007E-2</c:v>
                </c:pt>
                <c:pt idx="5">
                  <c:v>0.08</c:v>
                </c:pt>
                <c:pt idx="6">
                  <c:v>7.0000000000000007E-2</c:v>
                </c:pt>
                <c:pt idx="7">
                  <c:v>0.11</c:v>
                </c:pt>
              </c:numCache>
            </c:numRef>
          </c:val>
          <c:extLst>
            <c:ext xmlns:c16="http://schemas.microsoft.com/office/drawing/2014/chart" uri="{C3380CC4-5D6E-409C-BE32-E72D297353CC}">
              <c16:uniqueId val="{00000000-17F2-4093-87C3-AE36C0FD7D8F}"/>
            </c:ext>
          </c:extLst>
        </c:ser>
        <c:ser>
          <c:idx val="1"/>
          <c:order val="1"/>
          <c:tx>
            <c:strRef>
              <c:f>Sheet8!$D$50</c:f>
              <c:strCache>
                <c:ptCount val="1"/>
                <c:pt idx="0">
                  <c:v>Spíše nesouhlasím</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Sheet8!$B$51:$B$58</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Sheet8!$D$51:$D$58</c:f>
              <c:numCache>
                <c:formatCode>0%</c:formatCode>
                <c:ptCount val="8"/>
                <c:pt idx="0">
                  <c:v>0.2</c:v>
                </c:pt>
                <c:pt idx="1">
                  <c:v>0.23</c:v>
                </c:pt>
                <c:pt idx="2">
                  <c:v>0.38</c:v>
                </c:pt>
                <c:pt idx="3">
                  <c:v>0.28999999999999998</c:v>
                </c:pt>
                <c:pt idx="4">
                  <c:v>0.28000000000000003</c:v>
                </c:pt>
                <c:pt idx="5">
                  <c:v>0.27</c:v>
                </c:pt>
                <c:pt idx="6">
                  <c:v>0.16</c:v>
                </c:pt>
                <c:pt idx="7">
                  <c:v>0.32</c:v>
                </c:pt>
              </c:numCache>
            </c:numRef>
          </c:val>
          <c:extLst>
            <c:ext xmlns:c16="http://schemas.microsoft.com/office/drawing/2014/chart" uri="{C3380CC4-5D6E-409C-BE32-E72D297353CC}">
              <c16:uniqueId val="{00000001-17F2-4093-87C3-AE36C0FD7D8F}"/>
            </c:ext>
          </c:extLst>
        </c:ser>
        <c:ser>
          <c:idx val="2"/>
          <c:order val="2"/>
          <c:tx>
            <c:strRef>
              <c:f>Sheet8!$E$50</c:f>
              <c:strCache>
                <c:ptCount val="1"/>
                <c:pt idx="0">
                  <c:v>Určitě nesouhlasím</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Sheet8!$B$51:$B$58</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Sheet8!$E$51:$E$58</c:f>
              <c:numCache>
                <c:formatCode>0%</c:formatCode>
                <c:ptCount val="8"/>
                <c:pt idx="0">
                  <c:v>7.0000000000000007E-2</c:v>
                </c:pt>
                <c:pt idx="1">
                  <c:v>0.52</c:v>
                </c:pt>
                <c:pt idx="2">
                  <c:v>0.11</c:v>
                </c:pt>
                <c:pt idx="3">
                  <c:v>0.35</c:v>
                </c:pt>
                <c:pt idx="4">
                  <c:v>0.1</c:v>
                </c:pt>
                <c:pt idx="5">
                  <c:v>0.26</c:v>
                </c:pt>
                <c:pt idx="6">
                  <c:v>0.04</c:v>
                </c:pt>
                <c:pt idx="7">
                  <c:v>0.13</c:v>
                </c:pt>
              </c:numCache>
            </c:numRef>
          </c:val>
          <c:extLst>
            <c:ext xmlns:c16="http://schemas.microsoft.com/office/drawing/2014/chart" uri="{C3380CC4-5D6E-409C-BE32-E72D297353CC}">
              <c16:uniqueId val="{00000002-17F2-4093-87C3-AE36C0FD7D8F}"/>
            </c:ext>
          </c:extLst>
        </c:ser>
        <c:ser>
          <c:idx val="3"/>
          <c:order val="3"/>
          <c:tx>
            <c:strRef>
              <c:f>Sheet8!$F$50</c:f>
              <c:strCache>
                <c:ptCount val="1"/>
                <c:pt idx="0">
                  <c:v>Spíše souhlasím</c:v>
                </c:pt>
              </c:strCache>
            </c:strRef>
          </c:tx>
          <c:spPr>
            <a:solidFill>
              <a:schemeClr val="accent4"/>
            </a:solidFill>
            <a:ln>
              <a:noFill/>
            </a:ln>
            <a:effectLst/>
          </c:spPr>
          <c:invertIfNegative val="0"/>
          <c:dLbls>
            <c:spPr>
              <a:noFill/>
              <a:ln>
                <a:noFill/>
              </a:ln>
              <a:effectLst/>
            </c:spPr>
            <c:txPr>
              <a:bodyPr rot="0" vert="horz"/>
              <a:lstStyle/>
              <a:p>
                <a:pPr>
                  <a:defRPr>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Sheet8!$B$51:$B$58</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Sheet8!$F$51:$F$58</c:f>
              <c:numCache>
                <c:formatCode>0%</c:formatCode>
                <c:ptCount val="8"/>
                <c:pt idx="0">
                  <c:v>0.32</c:v>
                </c:pt>
                <c:pt idx="1">
                  <c:v>0.13</c:v>
                </c:pt>
                <c:pt idx="2">
                  <c:v>0.35</c:v>
                </c:pt>
                <c:pt idx="3">
                  <c:v>0.16</c:v>
                </c:pt>
                <c:pt idx="4">
                  <c:v>0.28000000000000003</c:v>
                </c:pt>
                <c:pt idx="5">
                  <c:v>0.22</c:v>
                </c:pt>
                <c:pt idx="6">
                  <c:v>0.41</c:v>
                </c:pt>
                <c:pt idx="7">
                  <c:v>0.33</c:v>
                </c:pt>
              </c:numCache>
            </c:numRef>
          </c:val>
          <c:extLst>
            <c:ext xmlns:c16="http://schemas.microsoft.com/office/drawing/2014/chart" uri="{C3380CC4-5D6E-409C-BE32-E72D297353CC}">
              <c16:uniqueId val="{00000003-17F2-4093-87C3-AE36C0FD7D8F}"/>
            </c:ext>
          </c:extLst>
        </c:ser>
        <c:ser>
          <c:idx val="4"/>
          <c:order val="4"/>
          <c:tx>
            <c:strRef>
              <c:f>Sheet8!$G$50</c:f>
              <c:strCache>
                <c:ptCount val="1"/>
                <c:pt idx="0">
                  <c:v>Určitě souhlasím</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Sheet8!$B$51:$B$58</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Sheet8!$G$51:$G$58</c:f>
              <c:numCache>
                <c:formatCode>0%</c:formatCode>
                <c:ptCount val="8"/>
                <c:pt idx="0">
                  <c:v>0.34</c:v>
                </c:pt>
                <c:pt idx="1">
                  <c:v>7.0000000000000007E-2</c:v>
                </c:pt>
                <c:pt idx="2">
                  <c:v>0.09</c:v>
                </c:pt>
                <c:pt idx="3">
                  <c:v>0.13</c:v>
                </c:pt>
                <c:pt idx="4">
                  <c:v>0.27</c:v>
                </c:pt>
                <c:pt idx="5">
                  <c:v>0.17</c:v>
                </c:pt>
                <c:pt idx="6">
                  <c:v>0.33</c:v>
                </c:pt>
                <c:pt idx="7">
                  <c:v>0.11</c:v>
                </c:pt>
              </c:numCache>
            </c:numRef>
          </c:val>
          <c:extLst>
            <c:ext xmlns:c16="http://schemas.microsoft.com/office/drawing/2014/chart" uri="{C3380CC4-5D6E-409C-BE32-E72D297353CC}">
              <c16:uniqueId val="{00000004-17F2-4093-87C3-AE36C0FD7D8F}"/>
            </c:ext>
          </c:extLst>
        </c:ser>
        <c:dLbls>
          <c:showLegendKey val="0"/>
          <c:showVal val="0"/>
          <c:showCatName val="0"/>
          <c:showSerName val="0"/>
          <c:showPercent val="0"/>
          <c:showBubbleSize val="0"/>
        </c:dLbls>
        <c:gapWidth val="150"/>
        <c:overlap val="100"/>
        <c:axId val="443851776"/>
        <c:axId val="465913536"/>
      </c:barChart>
      <c:catAx>
        <c:axId val="443851776"/>
        <c:scaling>
          <c:orientation val="minMax"/>
        </c:scaling>
        <c:delete val="0"/>
        <c:axPos val="l"/>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913536"/>
        <c:crosses val="autoZero"/>
        <c:auto val="1"/>
        <c:lblAlgn val="ctr"/>
        <c:lblOffset val="100"/>
        <c:noMultiLvlLbl val="0"/>
      </c:catAx>
      <c:valAx>
        <c:axId val="465913536"/>
        <c:scaling>
          <c:orientation val="minMax"/>
        </c:scaling>
        <c:delete val="0"/>
        <c:axPos val="b"/>
        <c:numFmt formatCode="0%" sourceLinked="1"/>
        <c:majorTickMark val="none"/>
        <c:minorTickMark val="none"/>
        <c:tickLblPos val="nextTo"/>
        <c:spPr>
          <a:noFill/>
          <a:ln>
            <a:noFill/>
          </a:ln>
          <a:effectLst/>
        </c:spPr>
        <c:txPr>
          <a:bodyPr rot="-60000000" vert="horz"/>
          <a:lstStyle/>
          <a:p>
            <a:pPr>
              <a:defRPr/>
            </a:pPr>
            <a:endParaRPr lang="cs-CZ"/>
          </a:p>
        </c:txPr>
        <c:crossAx val="443851776"/>
        <c:crosses val="autoZero"/>
        <c:crossBetween val="between"/>
      </c:valAx>
      <c:spPr>
        <a:noFill/>
        <a:ln>
          <a:noFill/>
        </a:ln>
        <a:effectLst/>
      </c:spPr>
    </c:plotArea>
    <c:legend>
      <c:legendPos val="r"/>
      <c:layout>
        <c:manualLayout>
          <c:xMode val="edge"/>
          <c:yMode val="edge"/>
          <c:x val="0.82984747302929762"/>
          <c:y val="0.28856511116591066"/>
          <c:w val="0.14201170703547067"/>
          <c:h val="0.23336870744734278"/>
        </c:manualLayout>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Bariéry uvedení produktu na trh v zahraničí</a:t>
            </a:r>
          </a:p>
        </c:rich>
      </c:tx>
      <c:layout/>
      <c:overlay val="0"/>
      <c:spPr>
        <a:noFill/>
        <a:ln>
          <a:noFill/>
        </a:ln>
        <a:effectLst/>
      </c:spPr>
    </c:title>
    <c:autoTitleDeleted val="0"/>
    <c:plotArea>
      <c:layout/>
      <c:barChart>
        <c:barDir val="bar"/>
        <c:grouping val="percentStacked"/>
        <c:varyColors val="0"/>
        <c:ser>
          <c:idx val="0"/>
          <c:order val="0"/>
          <c:tx>
            <c:strRef>
              <c:f>Sheet8!$C$61</c:f>
              <c:strCache>
                <c:ptCount val="1"/>
                <c:pt idx="0">
                  <c:v>Nedokáži posoudit</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Sheet8!$B$62:$B$69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Sheet8!$C$62:$C$69</c:f>
              <c:numCache>
                <c:formatCode>0%</c:formatCode>
                <c:ptCount val="8"/>
                <c:pt idx="0">
                  <c:v>0.09</c:v>
                </c:pt>
                <c:pt idx="1">
                  <c:v>0.08</c:v>
                </c:pt>
                <c:pt idx="2">
                  <c:v>0.1</c:v>
                </c:pt>
                <c:pt idx="3">
                  <c:v>0.09</c:v>
                </c:pt>
                <c:pt idx="4">
                  <c:v>0.11</c:v>
                </c:pt>
                <c:pt idx="5">
                  <c:v>0.1</c:v>
                </c:pt>
                <c:pt idx="6">
                  <c:v>0.09</c:v>
                </c:pt>
                <c:pt idx="7">
                  <c:v>0.12</c:v>
                </c:pt>
              </c:numCache>
            </c:numRef>
          </c:val>
          <c:extLst>
            <c:ext xmlns:c16="http://schemas.microsoft.com/office/drawing/2014/chart" uri="{C3380CC4-5D6E-409C-BE32-E72D297353CC}">
              <c16:uniqueId val="{00000000-FBF8-414E-A482-989ED933A4E9}"/>
            </c:ext>
          </c:extLst>
        </c:ser>
        <c:ser>
          <c:idx val="1"/>
          <c:order val="1"/>
          <c:tx>
            <c:strRef>
              <c:f>Sheet8!$D$61</c:f>
              <c:strCache>
                <c:ptCount val="1"/>
                <c:pt idx="0">
                  <c:v>Spíše nesouhlasím</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Sheet8!$B$62:$B$69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Sheet8!$D$62:$D$69</c:f>
              <c:numCache>
                <c:formatCode>0%</c:formatCode>
                <c:ptCount val="8"/>
                <c:pt idx="0">
                  <c:v>0.13</c:v>
                </c:pt>
                <c:pt idx="1">
                  <c:v>0.17</c:v>
                </c:pt>
                <c:pt idx="2">
                  <c:v>0.38</c:v>
                </c:pt>
                <c:pt idx="3">
                  <c:v>0.24</c:v>
                </c:pt>
                <c:pt idx="4">
                  <c:v>0.18</c:v>
                </c:pt>
                <c:pt idx="5">
                  <c:v>0.23</c:v>
                </c:pt>
                <c:pt idx="6">
                  <c:v>0.11</c:v>
                </c:pt>
                <c:pt idx="7">
                  <c:v>0.26</c:v>
                </c:pt>
              </c:numCache>
            </c:numRef>
          </c:val>
          <c:extLst>
            <c:ext xmlns:c16="http://schemas.microsoft.com/office/drawing/2014/chart" uri="{C3380CC4-5D6E-409C-BE32-E72D297353CC}">
              <c16:uniqueId val="{00000001-FBF8-414E-A482-989ED933A4E9}"/>
            </c:ext>
          </c:extLst>
        </c:ser>
        <c:ser>
          <c:idx val="2"/>
          <c:order val="2"/>
          <c:tx>
            <c:strRef>
              <c:f>Sheet8!$E$61</c:f>
              <c:strCache>
                <c:ptCount val="1"/>
                <c:pt idx="0">
                  <c:v>Určitě nesouhlasím</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Sheet8!$B$62:$B$69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Sheet8!$E$62:$E$69</c:f>
              <c:numCache>
                <c:formatCode>0%</c:formatCode>
                <c:ptCount val="8"/>
                <c:pt idx="0">
                  <c:v>0.05</c:v>
                </c:pt>
                <c:pt idx="1">
                  <c:v>0.37</c:v>
                </c:pt>
                <c:pt idx="2">
                  <c:v>7.0000000000000007E-2</c:v>
                </c:pt>
                <c:pt idx="3">
                  <c:v>0.25</c:v>
                </c:pt>
                <c:pt idx="4">
                  <c:v>7.0000000000000007E-2</c:v>
                </c:pt>
                <c:pt idx="5">
                  <c:v>0.21</c:v>
                </c:pt>
                <c:pt idx="6">
                  <c:v>0.02</c:v>
                </c:pt>
                <c:pt idx="7">
                  <c:v>0.12</c:v>
                </c:pt>
              </c:numCache>
            </c:numRef>
          </c:val>
          <c:extLst>
            <c:ext xmlns:c16="http://schemas.microsoft.com/office/drawing/2014/chart" uri="{C3380CC4-5D6E-409C-BE32-E72D297353CC}">
              <c16:uniqueId val="{00000002-FBF8-414E-A482-989ED933A4E9}"/>
            </c:ext>
          </c:extLst>
        </c:ser>
        <c:ser>
          <c:idx val="3"/>
          <c:order val="3"/>
          <c:tx>
            <c:strRef>
              <c:f>Sheet8!$F$61</c:f>
              <c:strCache>
                <c:ptCount val="1"/>
                <c:pt idx="0">
                  <c:v>Spíše souhlasím</c:v>
                </c:pt>
              </c:strCache>
            </c:strRef>
          </c:tx>
          <c:spPr>
            <a:solidFill>
              <a:schemeClr val="accent4"/>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Sheet8!$B$62:$B$69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Sheet8!$F$62:$F$69</c:f>
              <c:numCache>
                <c:formatCode>0%</c:formatCode>
                <c:ptCount val="8"/>
                <c:pt idx="0">
                  <c:v>0.32</c:v>
                </c:pt>
                <c:pt idx="1">
                  <c:v>0.22</c:v>
                </c:pt>
                <c:pt idx="2">
                  <c:v>0.35</c:v>
                </c:pt>
                <c:pt idx="3">
                  <c:v>0.2</c:v>
                </c:pt>
                <c:pt idx="4">
                  <c:v>0.28999999999999998</c:v>
                </c:pt>
                <c:pt idx="5">
                  <c:v>0.19</c:v>
                </c:pt>
                <c:pt idx="6">
                  <c:v>0.39</c:v>
                </c:pt>
                <c:pt idx="7">
                  <c:v>0.35</c:v>
                </c:pt>
              </c:numCache>
            </c:numRef>
          </c:val>
          <c:extLst>
            <c:ext xmlns:c16="http://schemas.microsoft.com/office/drawing/2014/chart" uri="{C3380CC4-5D6E-409C-BE32-E72D297353CC}">
              <c16:uniqueId val="{00000003-FBF8-414E-A482-989ED933A4E9}"/>
            </c:ext>
          </c:extLst>
        </c:ser>
        <c:ser>
          <c:idx val="4"/>
          <c:order val="4"/>
          <c:tx>
            <c:strRef>
              <c:f>Sheet8!$G$61</c:f>
              <c:strCache>
                <c:ptCount val="1"/>
                <c:pt idx="0">
                  <c:v>Určitě souhlasím</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Sheet8!$B$62:$B$69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Sheet8!$G$62:$G$69</c:f>
              <c:numCache>
                <c:formatCode>0%</c:formatCode>
                <c:ptCount val="8"/>
                <c:pt idx="0">
                  <c:v>0.41</c:v>
                </c:pt>
                <c:pt idx="1">
                  <c:v>0.17</c:v>
                </c:pt>
                <c:pt idx="2">
                  <c:v>0.1</c:v>
                </c:pt>
                <c:pt idx="3">
                  <c:v>0.23</c:v>
                </c:pt>
                <c:pt idx="4">
                  <c:v>0.35</c:v>
                </c:pt>
                <c:pt idx="5">
                  <c:v>0.27</c:v>
                </c:pt>
                <c:pt idx="6">
                  <c:v>0.39</c:v>
                </c:pt>
                <c:pt idx="7">
                  <c:v>0.14000000000000001</c:v>
                </c:pt>
              </c:numCache>
            </c:numRef>
          </c:val>
          <c:extLst>
            <c:ext xmlns:c16="http://schemas.microsoft.com/office/drawing/2014/chart" uri="{C3380CC4-5D6E-409C-BE32-E72D297353CC}">
              <c16:uniqueId val="{00000004-FBF8-414E-A482-989ED933A4E9}"/>
            </c:ext>
          </c:extLst>
        </c:ser>
        <c:dLbls>
          <c:showLegendKey val="0"/>
          <c:showVal val="0"/>
          <c:showCatName val="0"/>
          <c:showSerName val="0"/>
          <c:showPercent val="0"/>
          <c:showBubbleSize val="0"/>
        </c:dLbls>
        <c:gapWidth val="150"/>
        <c:overlap val="100"/>
        <c:axId val="443852288"/>
        <c:axId val="465915264"/>
      </c:barChart>
      <c:catAx>
        <c:axId val="44385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915264"/>
        <c:crosses val="autoZero"/>
        <c:auto val="1"/>
        <c:lblAlgn val="ctr"/>
        <c:lblOffset val="100"/>
        <c:noMultiLvlLbl val="0"/>
      </c:catAx>
      <c:valAx>
        <c:axId val="465915264"/>
        <c:scaling>
          <c:orientation val="minMax"/>
        </c:scaling>
        <c:delete val="0"/>
        <c:axPos val="b"/>
        <c:numFmt formatCode="0%" sourceLinked="1"/>
        <c:majorTickMark val="none"/>
        <c:minorTickMark val="none"/>
        <c:tickLblPos val="nextTo"/>
        <c:spPr>
          <a:noFill/>
          <a:ln>
            <a:noFill/>
          </a:ln>
          <a:effectLst/>
        </c:spPr>
        <c:txPr>
          <a:bodyPr rot="-60000000" vert="horz"/>
          <a:lstStyle/>
          <a:p>
            <a:pPr>
              <a:defRPr/>
            </a:pPr>
            <a:endParaRPr lang="cs-CZ"/>
          </a:p>
        </c:txPr>
        <c:crossAx val="443852288"/>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SC 1.1 na překonávání těchto bariér na trhu v ČR</a:t>
            </a:r>
          </a:p>
        </c:rich>
      </c:tx>
      <c:layout/>
      <c:overlay val="0"/>
      <c:spPr>
        <a:noFill/>
        <a:ln>
          <a:noFill/>
        </a:ln>
        <a:effectLst/>
      </c:spPr>
    </c:title>
    <c:autoTitleDeleted val="0"/>
    <c:plotArea>
      <c:layout/>
      <c:barChart>
        <c:barDir val="bar"/>
        <c:grouping val="percentStacked"/>
        <c:varyColors val="0"/>
        <c:ser>
          <c:idx val="0"/>
          <c:order val="0"/>
          <c:tx>
            <c:strRef>
              <c:f>Sheet6!$B$31</c:f>
              <c:strCache>
                <c:ptCount val="1"/>
                <c:pt idx="0">
                  <c:v>Vůbec nepřispěl</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Sheet6!$A$32:$A$39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Sheet6!$B$32:$B$39</c:f>
              <c:numCache>
                <c:formatCode>0%</c:formatCode>
                <c:ptCount val="8"/>
                <c:pt idx="0">
                  <c:v>0.09</c:v>
                </c:pt>
                <c:pt idx="1">
                  <c:v>0.21</c:v>
                </c:pt>
                <c:pt idx="2">
                  <c:v>0.1</c:v>
                </c:pt>
                <c:pt idx="3">
                  <c:v>0.27</c:v>
                </c:pt>
                <c:pt idx="4">
                  <c:v>0.31</c:v>
                </c:pt>
                <c:pt idx="5">
                  <c:v>0.3</c:v>
                </c:pt>
                <c:pt idx="6">
                  <c:v>0.18</c:v>
                </c:pt>
                <c:pt idx="7">
                  <c:v>0.27</c:v>
                </c:pt>
              </c:numCache>
            </c:numRef>
          </c:val>
          <c:extLst>
            <c:ext xmlns:c16="http://schemas.microsoft.com/office/drawing/2014/chart" uri="{C3380CC4-5D6E-409C-BE32-E72D297353CC}">
              <c16:uniqueId val="{00000000-BC49-4874-BD4C-12EA7289487A}"/>
            </c:ext>
          </c:extLst>
        </c:ser>
        <c:ser>
          <c:idx val="1"/>
          <c:order val="1"/>
          <c:tx>
            <c:strRef>
              <c:f>Sheet6!$C$31</c:f>
              <c:strCache>
                <c:ptCount val="1"/>
                <c:pt idx="0">
                  <c:v>přispěl částečně</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Sheet6!$A$32:$A$39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Sheet6!$C$32:$C$39</c:f>
              <c:numCache>
                <c:formatCode>0%</c:formatCode>
                <c:ptCount val="8"/>
                <c:pt idx="0">
                  <c:v>0.31</c:v>
                </c:pt>
                <c:pt idx="1">
                  <c:v>0.32</c:v>
                </c:pt>
                <c:pt idx="2">
                  <c:v>0.37</c:v>
                </c:pt>
                <c:pt idx="3">
                  <c:v>0.26</c:v>
                </c:pt>
                <c:pt idx="4">
                  <c:v>0.27</c:v>
                </c:pt>
                <c:pt idx="5">
                  <c:v>0.28000000000000003</c:v>
                </c:pt>
                <c:pt idx="6">
                  <c:v>0.39</c:v>
                </c:pt>
                <c:pt idx="7">
                  <c:v>0.24</c:v>
                </c:pt>
              </c:numCache>
            </c:numRef>
          </c:val>
          <c:extLst>
            <c:ext xmlns:c16="http://schemas.microsoft.com/office/drawing/2014/chart" uri="{C3380CC4-5D6E-409C-BE32-E72D297353CC}">
              <c16:uniqueId val="{00000001-BC49-4874-BD4C-12EA7289487A}"/>
            </c:ext>
          </c:extLst>
        </c:ser>
        <c:ser>
          <c:idx val="2"/>
          <c:order val="2"/>
          <c:tx>
            <c:strRef>
              <c:f>Sheet6!$D$31</c:f>
              <c:strCache>
                <c:ptCount val="1"/>
                <c:pt idx="0">
                  <c:v>přispěl podstatně</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Sheet6!$A$32:$A$39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Sheet6!$D$32:$D$39</c:f>
              <c:numCache>
                <c:formatCode>0%</c:formatCode>
                <c:ptCount val="8"/>
                <c:pt idx="0">
                  <c:v>0.28000000000000003</c:v>
                </c:pt>
                <c:pt idx="1">
                  <c:v>0.06</c:v>
                </c:pt>
                <c:pt idx="2">
                  <c:v>0.21</c:v>
                </c:pt>
                <c:pt idx="3">
                  <c:v>7.0000000000000007E-2</c:v>
                </c:pt>
                <c:pt idx="4">
                  <c:v>0.04</c:v>
                </c:pt>
                <c:pt idx="5">
                  <c:v>0.04</c:v>
                </c:pt>
                <c:pt idx="6">
                  <c:v>0.11</c:v>
                </c:pt>
                <c:pt idx="7">
                  <c:v>7.0000000000000007E-2</c:v>
                </c:pt>
              </c:numCache>
            </c:numRef>
          </c:val>
          <c:extLst>
            <c:ext xmlns:c16="http://schemas.microsoft.com/office/drawing/2014/chart" uri="{C3380CC4-5D6E-409C-BE32-E72D297353CC}">
              <c16:uniqueId val="{00000002-BC49-4874-BD4C-12EA7289487A}"/>
            </c:ext>
          </c:extLst>
        </c:ser>
        <c:ser>
          <c:idx val="3"/>
          <c:order val="3"/>
          <c:tx>
            <c:strRef>
              <c:f>Sheet6!$E$31</c:f>
              <c:strCache>
                <c:ptCount val="1"/>
                <c:pt idx="0">
                  <c:v>Odstranil problém</c:v>
                </c:pt>
              </c:strCache>
            </c:strRef>
          </c:tx>
          <c:spPr>
            <a:solidFill>
              <a:schemeClr val="accent4"/>
            </a:solidFill>
            <a:ln>
              <a:noFill/>
            </a:ln>
            <a:effectLst/>
          </c:spPr>
          <c:invertIfNegative val="0"/>
          <c:cat>
            <c:strRef>
              <c:f>Sheet6!$A$32:$A$39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Sheet6!$E$32:$E$39</c:f>
              <c:numCache>
                <c:formatCode>0%</c:formatCode>
                <c:ptCount val="8"/>
                <c:pt idx="0">
                  <c:v>0.04</c:v>
                </c:pt>
                <c:pt idx="1">
                  <c:v>0</c:v>
                </c:pt>
                <c:pt idx="2">
                  <c:v>0.01</c:v>
                </c:pt>
                <c:pt idx="3">
                  <c:v>0</c:v>
                </c:pt>
                <c:pt idx="4">
                  <c:v>0</c:v>
                </c:pt>
                <c:pt idx="5">
                  <c:v>0</c:v>
                </c:pt>
                <c:pt idx="6">
                  <c:v>0.03</c:v>
                </c:pt>
                <c:pt idx="7">
                  <c:v>0.01</c:v>
                </c:pt>
              </c:numCache>
            </c:numRef>
          </c:val>
          <c:extLst>
            <c:ext xmlns:c16="http://schemas.microsoft.com/office/drawing/2014/chart" uri="{C3380CC4-5D6E-409C-BE32-E72D297353CC}">
              <c16:uniqueId val="{00000003-BC49-4874-BD4C-12EA7289487A}"/>
            </c:ext>
          </c:extLst>
        </c:ser>
        <c:ser>
          <c:idx val="4"/>
          <c:order val="4"/>
          <c:tx>
            <c:strRef>
              <c:f>Sheet6!$F$31</c:f>
              <c:strCache>
                <c:ptCount val="1"/>
                <c:pt idx="0">
                  <c:v>Nelze posoudit</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Sheet6!$A$32:$A$39</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Sheet6!$F$32:$F$39</c:f>
              <c:numCache>
                <c:formatCode>0%</c:formatCode>
                <c:ptCount val="8"/>
                <c:pt idx="0">
                  <c:v>0.28999999999999998</c:v>
                </c:pt>
                <c:pt idx="1">
                  <c:v>0.4</c:v>
                </c:pt>
                <c:pt idx="2">
                  <c:v>0.31</c:v>
                </c:pt>
                <c:pt idx="3">
                  <c:v>0.4</c:v>
                </c:pt>
                <c:pt idx="4">
                  <c:v>0.39</c:v>
                </c:pt>
                <c:pt idx="5">
                  <c:v>0.38</c:v>
                </c:pt>
                <c:pt idx="6">
                  <c:v>0.3</c:v>
                </c:pt>
                <c:pt idx="7">
                  <c:v>0.41</c:v>
                </c:pt>
              </c:numCache>
            </c:numRef>
          </c:val>
          <c:extLst>
            <c:ext xmlns:c16="http://schemas.microsoft.com/office/drawing/2014/chart" uri="{C3380CC4-5D6E-409C-BE32-E72D297353CC}">
              <c16:uniqueId val="{00000004-BC49-4874-BD4C-12EA7289487A}"/>
            </c:ext>
          </c:extLst>
        </c:ser>
        <c:dLbls>
          <c:showLegendKey val="0"/>
          <c:showVal val="0"/>
          <c:showCatName val="0"/>
          <c:showSerName val="0"/>
          <c:showPercent val="0"/>
          <c:showBubbleSize val="0"/>
        </c:dLbls>
        <c:gapWidth val="150"/>
        <c:overlap val="100"/>
        <c:axId val="444215296"/>
        <c:axId val="467445440"/>
      </c:barChart>
      <c:catAx>
        <c:axId val="44421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7445440"/>
        <c:crosses val="autoZero"/>
        <c:auto val="1"/>
        <c:lblAlgn val="ctr"/>
        <c:lblOffset val="100"/>
        <c:noMultiLvlLbl val="0"/>
      </c:catAx>
      <c:valAx>
        <c:axId val="467445440"/>
        <c:scaling>
          <c:orientation val="minMax"/>
        </c:scaling>
        <c:delete val="0"/>
        <c:axPos val="b"/>
        <c:numFmt formatCode="0%" sourceLinked="1"/>
        <c:majorTickMark val="none"/>
        <c:minorTickMark val="none"/>
        <c:tickLblPos val="nextTo"/>
        <c:spPr>
          <a:noFill/>
          <a:ln>
            <a:noFill/>
          </a:ln>
          <a:effectLst/>
        </c:spPr>
        <c:txPr>
          <a:bodyPr rot="-60000000" vert="horz"/>
          <a:lstStyle/>
          <a:p>
            <a:pPr>
              <a:defRPr/>
            </a:pPr>
            <a:endParaRPr lang="cs-CZ"/>
          </a:p>
        </c:txPr>
        <c:crossAx val="444215296"/>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SC 1.1 na překonávání těchto bariér na trhu v zahraničí</a:t>
            </a:r>
          </a:p>
        </c:rich>
      </c:tx>
      <c:layout/>
      <c:overlay val="0"/>
      <c:spPr>
        <a:noFill/>
        <a:ln>
          <a:noFill/>
        </a:ln>
        <a:effectLst/>
      </c:spPr>
    </c:title>
    <c:autoTitleDeleted val="0"/>
    <c:plotArea>
      <c:layout/>
      <c:barChart>
        <c:barDir val="bar"/>
        <c:grouping val="percentStacked"/>
        <c:varyColors val="0"/>
        <c:ser>
          <c:idx val="0"/>
          <c:order val="0"/>
          <c:tx>
            <c:strRef>
              <c:f>Sheet6!$B$42</c:f>
              <c:strCache>
                <c:ptCount val="1"/>
                <c:pt idx="0">
                  <c:v>Vůbec nepřispěl</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Sheet6!$A$43:$A$50</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Sheet6!$B$43:$B$50</c:f>
              <c:numCache>
                <c:formatCode>0%</c:formatCode>
                <c:ptCount val="8"/>
                <c:pt idx="0">
                  <c:v>0.08</c:v>
                </c:pt>
                <c:pt idx="1">
                  <c:v>0.24</c:v>
                </c:pt>
                <c:pt idx="2">
                  <c:v>0.1</c:v>
                </c:pt>
                <c:pt idx="3">
                  <c:v>0.28000000000000003</c:v>
                </c:pt>
                <c:pt idx="4">
                  <c:v>0.31</c:v>
                </c:pt>
                <c:pt idx="5">
                  <c:v>0.28999999999999998</c:v>
                </c:pt>
                <c:pt idx="6">
                  <c:v>0.2</c:v>
                </c:pt>
                <c:pt idx="7">
                  <c:v>0.28999999999999998</c:v>
                </c:pt>
              </c:numCache>
            </c:numRef>
          </c:val>
          <c:extLst>
            <c:ext xmlns:c16="http://schemas.microsoft.com/office/drawing/2014/chart" uri="{C3380CC4-5D6E-409C-BE32-E72D297353CC}">
              <c16:uniqueId val="{00000000-677F-40FC-8111-665AD89C9B38}"/>
            </c:ext>
          </c:extLst>
        </c:ser>
        <c:ser>
          <c:idx val="1"/>
          <c:order val="1"/>
          <c:tx>
            <c:strRef>
              <c:f>Sheet6!$C$42</c:f>
              <c:strCache>
                <c:ptCount val="1"/>
                <c:pt idx="0">
                  <c:v>přispěl částečně</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Sheet6!$A$43:$A$50</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Sheet6!$C$43:$C$50</c:f>
              <c:numCache>
                <c:formatCode>0%</c:formatCode>
                <c:ptCount val="8"/>
                <c:pt idx="0">
                  <c:v>0.26</c:v>
                </c:pt>
                <c:pt idx="1">
                  <c:v>0.28000000000000003</c:v>
                </c:pt>
                <c:pt idx="2">
                  <c:v>0.36</c:v>
                </c:pt>
                <c:pt idx="3">
                  <c:v>0.23</c:v>
                </c:pt>
                <c:pt idx="4">
                  <c:v>0.23</c:v>
                </c:pt>
                <c:pt idx="5">
                  <c:v>0.21</c:v>
                </c:pt>
                <c:pt idx="6">
                  <c:v>0.31</c:v>
                </c:pt>
                <c:pt idx="7">
                  <c:v>0.2</c:v>
                </c:pt>
              </c:numCache>
            </c:numRef>
          </c:val>
          <c:extLst>
            <c:ext xmlns:c16="http://schemas.microsoft.com/office/drawing/2014/chart" uri="{C3380CC4-5D6E-409C-BE32-E72D297353CC}">
              <c16:uniqueId val="{00000001-677F-40FC-8111-665AD89C9B38}"/>
            </c:ext>
          </c:extLst>
        </c:ser>
        <c:ser>
          <c:idx val="2"/>
          <c:order val="2"/>
          <c:tx>
            <c:strRef>
              <c:f>Sheet6!$D$42</c:f>
              <c:strCache>
                <c:ptCount val="1"/>
                <c:pt idx="0">
                  <c:v>přispěl podstatně</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Sheet6!$A$43:$A$50</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Sheet6!$D$43:$D$50</c:f>
              <c:numCache>
                <c:formatCode>0%</c:formatCode>
                <c:ptCount val="8"/>
                <c:pt idx="0">
                  <c:v>0.3</c:v>
                </c:pt>
                <c:pt idx="1">
                  <c:v>0.05</c:v>
                </c:pt>
                <c:pt idx="2">
                  <c:v>0.2</c:v>
                </c:pt>
                <c:pt idx="3">
                  <c:v>0.06</c:v>
                </c:pt>
                <c:pt idx="4">
                  <c:v>0.04</c:v>
                </c:pt>
                <c:pt idx="5">
                  <c:v>7.0000000000000007E-2</c:v>
                </c:pt>
                <c:pt idx="6">
                  <c:v>0.13</c:v>
                </c:pt>
                <c:pt idx="7">
                  <c:v>0.06</c:v>
                </c:pt>
              </c:numCache>
            </c:numRef>
          </c:val>
          <c:extLst>
            <c:ext xmlns:c16="http://schemas.microsoft.com/office/drawing/2014/chart" uri="{C3380CC4-5D6E-409C-BE32-E72D297353CC}">
              <c16:uniqueId val="{00000002-677F-40FC-8111-665AD89C9B38}"/>
            </c:ext>
          </c:extLst>
        </c:ser>
        <c:ser>
          <c:idx val="3"/>
          <c:order val="3"/>
          <c:tx>
            <c:strRef>
              <c:f>Sheet6!$E$42</c:f>
              <c:strCache>
                <c:ptCount val="1"/>
                <c:pt idx="0">
                  <c:v>Odstranil problém</c:v>
                </c:pt>
              </c:strCache>
            </c:strRef>
          </c:tx>
          <c:spPr>
            <a:solidFill>
              <a:schemeClr val="accent4"/>
            </a:solidFill>
            <a:ln>
              <a:noFill/>
            </a:ln>
            <a:effectLst/>
          </c:spPr>
          <c:invertIfNegative val="0"/>
          <c:cat>
            <c:strRef>
              <c:f>Sheet6!$A$43:$A$50</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Sheet6!$E$43:$E$50</c:f>
              <c:numCache>
                <c:formatCode>0%</c:formatCode>
                <c:ptCount val="8"/>
                <c:pt idx="0">
                  <c:v>0.05</c:v>
                </c:pt>
                <c:pt idx="1">
                  <c:v>0</c:v>
                </c:pt>
                <c:pt idx="2">
                  <c:v>0</c:v>
                </c:pt>
                <c:pt idx="3">
                  <c:v>0</c:v>
                </c:pt>
                <c:pt idx="4">
                  <c:v>0.01</c:v>
                </c:pt>
                <c:pt idx="5">
                  <c:v>0.02</c:v>
                </c:pt>
                <c:pt idx="6">
                  <c:v>0.02</c:v>
                </c:pt>
                <c:pt idx="7">
                  <c:v>0.02</c:v>
                </c:pt>
              </c:numCache>
            </c:numRef>
          </c:val>
          <c:extLst>
            <c:ext xmlns:c16="http://schemas.microsoft.com/office/drawing/2014/chart" uri="{C3380CC4-5D6E-409C-BE32-E72D297353CC}">
              <c16:uniqueId val="{00000003-677F-40FC-8111-665AD89C9B38}"/>
            </c:ext>
          </c:extLst>
        </c:ser>
        <c:ser>
          <c:idx val="4"/>
          <c:order val="4"/>
          <c:tx>
            <c:strRef>
              <c:f>Sheet6!$F$42</c:f>
              <c:strCache>
                <c:ptCount val="1"/>
                <c:pt idx="0">
                  <c:v>Nelze posoudit</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Sheet6!$A$43:$A$50</c:f>
              <c:strCache>
                <c:ptCount val="8"/>
                <c:pt idx="0">
                  <c:v>Trh inovovaného produktu je vysoce konkurenční</c:v>
                </c:pt>
                <c:pt idx="1">
                  <c:v>Naše společnost na trhu ještě není zavedena.</c:v>
                </c:pt>
                <c:pt idx="2">
                  <c:v>U inovovaného produktu se na trhu snažíme konkurovat především cenou.</c:v>
                </c:pt>
                <c:pt idx="3">
                  <c:v>Pro uvedení inovovaného produktu na trh nemáme vybudované dostatečné distribuční kanály.</c:v>
                </c:pt>
                <c:pt idx="4">
                  <c:v>S uvedením na trh je spojená vysoká administrativní zátěž (povolení, certifikace apod.).</c:v>
                </c:pt>
                <c:pt idx="5">
                  <c:v>Naše společnost nemá dostatečné personální kapacity v oblasti marketingu a prodeje.</c:v>
                </c:pt>
                <c:pt idx="6">
                  <c:v>S uvedením na trh jsou spojené vysoké vstupní náklady.</c:v>
                </c:pt>
                <c:pt idx="7">
                  <c:v>Uvedení na trh je problematické z hlediska ochrany práv (patenty, licence atd.).</c:v>
                </c:pt>
              </c:strCache>
            </c:strRef>
          </c:cat>
          <c:val>
            <c:numRef>
              <c:f>Sheet6!$F$43:$F$50</c:f>
              <c:numCache>
                <c:formatCode>0%</c:formatCode>
                <c:ptCount val="8"/>
                <c:pt idx="0">
                  <c:v>0.31</c:v>
                </c:pt>
                <c:pt idx="1">
                  <c:v>0.43</c:v>
                </c:pt>
                <c:pt idx="2">
                  <c:v>0.33</c:v>
                </c:pt>
                <c:pt idx="3">
                  <c:v>0.43</c:v>
                </c:pt>
                <c:pt idx="4">
                  <c:v>0.42</c:v>
                </c:pt>
                <c:pt idx="5">
                  <c:v>0.42</c:v>
                </c:pt>
                <c:pt idx="6">
                  <c:v>0.33</c:v>
                </c:pt>
                <c:pt idx="7">
                  <c:v>0.44</c:v>
                </c:pt>
              </c:numCache>
            </c:numRef>
          </c:val>
          <c:extLst>
            <c:ext xmlns:c16="http://schemas.microsoft.com/office/drawing/2014/chart" uri="{C3380CC4-5D6E-409C-BE32-E72D297353CC}">
              <c16:uniqueId val="{00000004-677F-40FC-8111-665AD89C9B38}"/>
            </c:ext>
          </c:extLst>
        </c:ser>
        <c:dLbls>
          <c:showLegendKey val="0"/>
          <c:showVal val="0"/>
          <c:showCatName val="0"/>
          <c:showSerName val="0"/>
          <c:showPercent val="0"/>
          <c:showBubbleSize val="0"/>
        </c:dLbls>
        <c:gapWidth val="150"/>
        <c:overlap val="100"/>
        <c:axId val="444216320"/>
        <c:axId val="467447168"/>
      </c:barChart>
      <c:catAx>
        <c:axId val="44421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7447168"/>
        <c:crosses val="autoZero"/>
        <c:auto val="1"/>
        <c:lblAlgn val="ctr"/>
        <c:lblOffset val="100"/>
        <c:noMultiLvlLbl val="0"/>
      </c:catAx>
      <c:valAx>
        <c:axId val="467447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cs-CZ"/>
          </a:p>
        </c:txPr>
        <c:crossAx val="444216320"/>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Zapojení podniku od zahájení realizace projektu do evropských programů na podporu VaV</a:t>
            </a:r>
          </a:p>
        </c:rich>
      </c:tx>
      <c:layout/>
      <c:overlay val="0"/>
      <c:spPr>
        <a:noFill/>
        <a:ln>
          <a:noFill/>
        </a:ln>
        <a:effectLst/>
      </c:spPr>
    </c:title>
    <c:autoTitleDeleted val="0"/>
    <c:plotArea>
      <c:layout/>
      <c:barChart>
        <c:barDir val="col"/>
        <c:grouping val="clustered"/>
        <c:varyColors val="0"/>
        <c:ser>
          <c:idx val="0"/>
          <c:order val="0"/>
          <c:tx>
            <c:strRef>
              <c:f>Sheet7!$A$19</c:f>
              <c:strCache>
                <c:ptCount val="1"/>
                <c:pt idx="0">
                  <c:v>Zapojen</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Sheet7!$B$18:$E$18</c:f>
              <c:strCache>
                <c:ptCount val="4"/>
                <c:pt idx="0">
                  <c:v>Aplikace</c:v>
                </c:pt>
                <c:pt idx="1">
                  <c:v>Inovace</c:v>
                </c:pt>
                <c:pt idx="2">
                  <c:v>Potenciál</c:v>
                </c:pt>
                <c:pt idx="3">
                  <c:v>Celkem</c:v>
                </c:pt>
              </c:strCache>
            </c:strRef>
          </c:cat>
          <c:val>
            <c:numRef>
              <c:f>Sheet7!$B$19:$E$19</c:f>
              <c:numCache>
                <c:formatCode>General</c:formatCode>
                <c:ptCount val="4"/>
                <c:pt idx="0">
                  <c:v>20</c:v>
                </c:pt>
                <c:pt idx="1">
                  <c:v>12</c:v>
                </c:pt>
                <c:pt idx="2">
                  <c:v>4</c:v>
                </c:pt>
                <c:pt idx="3">
                  <c:v>36</c:v>
                </c:pt>
              </c:numCache>
            </c:numRef>
          </c:val>
          <c:extLst>
            <c:ext xmlns:c16="http://schemas.microsoft.com/office/drawing/2014/chart" uri="{C3380CC4-5D6E-409C-BE32-E72D297353CC}">
              <c16:uniqueId val="{00000000-F329-43F1-A4B2-AB2700D41827}"/>
            </c:ext>
          </c:extLst>
        </c:ser>
        <c:ser>
          <c:idx val="1"/>
          <c:order val="1"/>
          <c:tx>
            <c:strRef>
              <c:f>Sheet7!$A$20</c:f>
              <c:strCache>
                <c:ptCount val="1"/>
                <c:pt idx="0">
                  <c:v>Nezapojen</c:v>
                </c:pt>
              </c:strCache>
            </c:strRef>
          </c:tx>
          <c:spPr>
            <a:solidFill>
              <a:schemeClr val="accent1">
                <a:lumMod val="40000"/>
                <a:lumOff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Sheet7!$B$18:$E$18</c:f>
              <c:strCache>
                <c:ptCount val="4"/>
                <c:pt idx="0">
                  <c:v>Aplikace</c:v>
                </c:pt>
                <c:pt idx="1">
                  <c:v>Inovace</c:v>
                </c:pt>
                <c:pt idx="2">
                  <c:v>Potenciál</c:v>
                </c:pt>
                <c:pt idx="3">
                  <c:v>Celkem</c:v>
                </c:pt>
              </c:strCache>
            </c:strRef>
          </c:cat>
          <c:val>
            <c:numRef>
              <c:f>Sheet7!$B$20:$E$20</c:f>
              <c:numCache>
                <c:formatCode>General</c:formatCode>
                <c:ptCount val="4"/>
                <c:pt idx="0">
                  <c:v>33</c:v>
                </c:pt>
                <c:pt idx="1">
                  <c:v>40</c:v>
                </c:pt>
                <c:pt idx="2">
                  <c:v>13</c:v>
                </c:pt>
                <c:pt idx="3">
                  <c:v>86</c:v>
                </c:pt>
              </c:numCache>
            </c:numRef>
          </c:val>
          <c:extLst>
            <c:ext xmlns:c16="http://schemas.microsoft.com/office/drawing/2014/chart" uri="{C3380CC4-5D6E-409C-BE32-E72D297353CC}">
              <c16:uniqueId val="{00000001-F329-43F1-A4B2-AB2700D41827}"/>
            </c:ext>
          </c:extLst>
        </c:ser>
        <c:dLbls>
          <c:showLegendKey val="0"/>
          <c:showVal val="0"/>
          <c:showCatName val="0"/>
          <c:showSerName val="0"/>
          <c:showPercent val="0"/>
          <c:showBubbleSize val="0"/>
        </c:dLbls>
        <c:gapWidth val="219"/>
        <c:overlap val="-27"/>
        <c:axId val="444216832"/>
        <c:axId val="467448896"/>
      </c:barChart>
      <c:catAx>
        <c:axId val="4442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7448896"/>
        <c:crosses val="autoZero"/>
        <c:auto val="1"/>
        <c:lblAlgn val="ctr"/>
        <c:lblOffset val="100"/>
        <c:noMultiLvlLbl val="0"/>
      </c:catAx>
      <c:valAx>
        <c:axId val="467448896"/>
        <c:scaling>
          <c:orientation val="minMax"/>
        </c:scaling>
        <c:delete val="1"/>
        <c:axPos val="l"/>
        <c:numFmt formatCode="General" sourceLinked="1"/>
        <c:majorTickMark val="none"/>
        <c:minorTickMark val="none"/>
        <c:tickLblPos val="nextTo"/>
        <c:crossAx val="444216832"/>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Zastoupení programů podpory mezi respondenty DŠ v porovnání s celkovým rozložením projektů dle programů podpory</a:t>
            </a:r>
          </a:p>
        </c:rich>
      </c:tx>
      <c:layout/>
      <c:overlay val="0"/>
      <c:spPr>
        <a:noFill/>
        <a:ln>
          <a:noFill/>
        </a:ln>
        <a:effectLst/>
      </c:spPr>
    </c:title>
    <c:autoTitleDeleted val="0"/>
    <c:plotArea>
      <c:layout/>
      <c:barChart>
        <c:barDir val="col"/>
        <c:grouping val="clustered"/>
        <c:varyColors val="0"/>
        <c:ser>
          <c:idx val="0"/>
          <c:order val="0"/>
          <c:tx>
            <c:strRef>
              <c:f>Sheet1!$B$20</c:f>
              <c:strCache>
                <c:ptCount val="1"/>
                <c:pt idx="0">
                  <c:v>Respondenti DŠ</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Sheet1!$A$21:$A$23</c:f>
              <c:strCache>
                <c:ptCount val="3"/>
                <c:pt idx="0">
                  <c:v>Aplikace</c:v>
                </c:pt>
                <c:pt idx="1">
                  <c:v>Inovace</c:v>
                </c:pt>
                <c:pt idx="2">
                  <c:v>Potenciál</c:v>
                </c:pt>
              </c:strCache>
            </c:strRef>
          </c:cat>
          <c:val>
            <c:numRef>
              <c:f>Sheet1!$B$21:$B$23</c:f>
              <c:numCache>
                <c:formatCode>0%</c:formatCode>
                <c:ptCount val="3"/>
                <c:pt idx="0">
                  <c:v>0.4344262295081967</c:v>
                </c:pt>
                <c:pt idx="1">
                  <c:v>0.42622950819672129</c:v>
                </c:pt>
                <c:pt idx="2">
                  <c:v>0.13934426229508196</c:v>
                </c:pt>
              </c:numCache>
            </c:numRef>
          </c:val>
          <c:extLst>
            <c:ext xmlns:c16="http://schemas.microsoft.com/office/drawing/2014/chart" uri="{C3380CC4-5D6E-409C-BE32-E72D297353CC}">
              <c16:uniqueId val="{00000000-8FA5-4745-BC6B-B8EB5BF4B48D}"/>
            </c:ext>
          </c:extLst>
        </c:ser>
        <c:ser>
          <c:idx val="1"/>
          <c:order val="1"/>
          <c:tx>
            <c:strRef>
              <c:f>Sheet1!$C$20</c:f>
              <c:strCache>
                <c:ptCount val="1"/>
                <c:pt idx="0">
                  <c:v>Příjemci podpory celkem</c:v>
                </c:pt>
              </c:strCache>
            </c:strRef>
          </c:tx>
          <c:spPr>
            <a:solidFill>
              <a:schemeClr val="accent1">
                <a:lumMod val="40000"/>
                <a:lumOff val="60000"/>
              </a:schemeClr>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Sheet1!$A$21:$A$23</c:f>
              <c:strCache>
                <c:ptCount val="3"/>
                <c:pt idx="0">
                  <c:v>Aplikace</c:v>
                </c:pt>
                <c:pt idx="1">
                  <c:v>Inovace</c:v>
                </c:pt>
                <c:pt idx="2">
                  <c:v>Potenciál</c:v>
                </c:pt>
              </c:strCache>
            </c:strRef>
          </c:cat>
          <c:val>
            <c:numRef>
              <c:f>Sheet1!$C$21:$C$23</c:f>
              <c:numCache>
                <c:formatCode>0%</c:formatCode>
                <c:ptCount val="3"/>
                <c:pt idx="0">
                  <c:v>0.37756714060031593</c:v>
                </c:pt>
                <c:pt idx="1">
                  <c:v>0.45497630331753552</c:v>
                </c:pt>
                <c:pt idx="2">
                  <c:v>0.16745655608214849</c:v>
                </c:pt>
              </c:numCache>
            </c:numRef>
          </c:val>
          <c:extLst>
            <c:ext xmlns:c16="http://schemas.microsoft.com/office/drawing/2014/chart" uri="{C3380CC4-5D6E-409C-BE32-E72D297353CC}">
              <c16:uniqueId val="{00000001-8FA5-4745-BC6B-B8EB5BF4B48D}"/>
            </c:ext>
          </c:extLst>
        </c:ser>
        <c:dLbls>
          <c:showLegendKey val="0"/>
          <c:showVal val="0"/>
          <c:showCatName val="0"/>
          <c:showSerName val="0"/>
          <c:showPercent val="0"/>
          <c:showBubbleSize val="0"/>
        </c:dLbls>
        <c:gapWidth val="219"/>
        <c:overlap val="-27"/>
        <c:axId val="227272704"/>
        <c:axId val="465602240"/>
      </c:barChart>
      <c:catAx>
        <c:axId val="2272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02240"/>
        <c:crosses val="autoZero"/>
        <c:auto val="1"/>
        <c:lblAlgn val="ctr"/>
        <c:lblOffset val="100"/>
        <c:noMultiLvlLbl val="0"/>
      </c:catAx>
      <c:valAx>
        <c:axId val="465602240"/>
        <c:scaling>
          <c:orientation val="minMax"/>
        </c:scaling>
        <c:delete val="1"/>
        <c:axPos val="l"/>
        <c:numFmt formatCode="0%" sourceLinked="1"/>
        <c:majorTickMark val="none"/>
        <c:minorTickMark val="none"/>
        <c:tickLblPos val="nextTo"/>
        <c:crossAx val="22727270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Fáze projektů zapojených do evropských programů podpory</a:t>
            </a: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Sheet7!$A$36:$F$36</c:f>
              <c:strCache>
                <c:ptCount val="6"/>
                <c:pt idx="0">
                  <c:v>Nepodpořený</c:v>
                </c:pt>
                <c:pt idx="1">
                  <c:v>Plánovaný</c:v>
                </c:pt>
                <c:pt idx="2">
                  <c:v>Podaný</c:v>
                </c:pt>
                <c:pt idx="3">
                  <c:v>Připravovaný</c:v>
                </c:pt>
                <c:pt idx="4">
                  <c:v>Ukončený</c:v>
                </c:pt>
                <c:pt idx="5">
                  <c:v>V realizaci</c:v>
                </c:pt>
              </c:strCache>
            </c:strRef>
          </c:cat>
          <c:val>
            <c:numRef>
              <c:f>Sheet7!$A$37:$F$37</c:f>
              <c:numCache>
                <c:formatCode>0%</c:formatCode>
                <c:ptCount val="6"/>
                <c:pt idx="0">
                  <c:v>0.11764705882352941</c:v>
                </c:pt>
                <c:pt idx="1">
                  <c:v>0.17647058823529413</c:v>
                </c:pt>
                <c:pt idx="2">
                  <c:v>5.8823529411764705E-2</c:v>
                </c:pt>
                <c:pt idx="3">
                  <c:v>0.11764705882352941</c:v>
                </c:pt>
                <c:pt idx="4">
                  <c:v>2.9411764705882353E-2</c:v>
                </c:pt>
                <c:pt idx="5">
                  <c:v>0.5</c:v>
                </c:pt>
              </c:numCache>
            </c:numRef>
          </c:val>
          <c:extLst>
            <c:ext xmlns:c16="http://schemas.microsoft.com/office/drawing/2014/chart" uri="{C3380CC4-5D6E-409C-BE32-E72D297353CC}">
              <c16:uniqueId val="{00000000-B840-41D7-BE7B-AF31817BF0D6}"/>
            </c:ext>
          </c:extLst>
        </c:ser>
        <c:dLbls>
          <c:showLegendKey val="0"/>
          <c:showVal val="0"/>
          <c:showCatName val="0"/>
          <c:showSerName val="0"/>
          <c:showPercent val="0"/>
          <c:showBubbleSize val="0"/>
        </c:dLbls>
        <c:gapWidth val="219"/>
        <c:overlap val="-27"/>
        <c:axId val="340160000"/>
        <c:axId val="467450624"/>
      </c:barChart>
      <c:catAx>
        <c:axId val="34016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7450624"/>
        <c:crosses val="autoZero"/>
        <c:auto val="1"/>
        <c:lblAlgn val="ctr"/>
        <c:lblOffset val="100"/>
        <c:noMultiLvlLbl val="0"/>
      </c:catAx>
      <c:valAx>
        <c:axId val="467450624"/>
        <c:scaling>
          <c:orientation val="minMax"/>
        </c:scaling>
        <c:delete val="1"/>
        <c:axPos val="l"/>
        <c:numFmt formatCode="0%" sourceLinked="1"/>
        <c:majorTickMark val="none"/>
        <c:minorTickMark val="none"/>
        <c:tickLblPos val="nextTo"/>
        <c:crossAx val="34016000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cs-CZ"/>
              <a:t>Vliv realizace projektu OP PIK</a:t>
            </a:r>
          </a:p>
          <a:p>
            <a:pPr algn="ctr" rtl="0">
              <a:defRPr/>
            </a:pPr>
            <a:r>
              <a:rPr lang="cs-CZ"/>
              <a:t>na zapojení do evropského programu podpory</a:t>
            </a:r>
          </a:p>
        </c:rich>
      </c:tx>
      <c:layout/>
      <c:overlay val="0"/>
      <c:spPr>
        <a:noFill/>
        <a:ln>
          <a:noFill/>
        </a:ln>
        <a:effectLst/>
      </c:spPr>
    </c:title>
    <c:autoTitleDeleted val="0"/>
    <c:plotArea>
      <c:layout/>
      <c:barChart>
        <c:barDir val="col"/>
        <c:grouping val="clustered"/>
        <c:varyColors val="0"/>
        <c:ser>
          <c:idx val="0"/>
          <c:order val="0"/>
          <c:spPr>
            <a:solidFill>
              <a:schemeClr val="accent2"/>
            </a:solidFill>
            <a:ln w="19050">
              <a:solidFill>
                <a:schemeClr val="lt1"/>
              </a:solidFill>
            </a:ln>
            <a:effectLst/>
          </c:spPr>
          <c:invertIfNegative val="0"/>
          <c:dPt>
            <c:idx val="2"/>
            <c:invertIfNegative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7771-4412-81A7-6D998075E130}"/>
              </c:ext>
            </c:extLst>
          </c:dPt>
          <c:dPt>
            <c:idx val="3"/>
            <c:invertIfNegative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7771-4412-81A7-6D998075E130}"/>
              </c:ext>
            </c:extLst>
          </c:dPt>
          <c:dPt>
            <c:idx val="4"/>
            <c:invertIfNegative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5-7771-4412-81A7-6D998075E130}"/>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Sheet7!$A$68:$A$72</c:f>
              <c:strCache>
                <c:ptCount val="5"/>
                <c:pt idx="0">
                  <c:v>Určitě ano</c:v>
                </c:pt>
                <c:pt idx="1">
                  <c:v>Spíše ano</c:v>
                </c:pt>
                <c:pt idx="2">
                  <c:v>Spíše ne</c:v>
                </c:pt>
                <c:pt idx="3">
                  <c:v>Určitě ne</c:v>
                </c:pt>
                <c:pt idx="4">
                  <c:v>Nedokáži posoudit</c:v>
                </c:pt>
              </c:strCache>
            </c:strRef>
          </c:cat>
          <c:val>
            <c:numRef>
              <c:f>Sheet7!$B$68:$B$72</c:f>
              <c:numCache>
                <c:formatCode>0%</c:formatCode>
                <c:ptCount val="5"/>
                <c:pt idx="0">
                  <c:v>0.29411764705882354</c:v>
                </c:pt>
                <c:pt idx="1">
                  <c:v>8.8235294117647065E-2</c:v>
                </c:pt>
                <c:pt idx="2">
                  <c:v>0.29411764705882354</c:v>
                </c:pt>
                <c:pt idx="3">
                  <c:v>0.20588235294117646</c:v>
                </c:pt>
                <c:pt idx="4">
                  <c:v>0.11764705882352941</c:v>
                </c:pt>
              </c:numCache>
            </c:numRef>
          </c:val>
          <c:extLst>
            <c:ext xmlns:c16="http://schemas.microsoft.com/office/drawing/2014/chart" uri="{C3380CC4-5D6E-409C-BE32-E72D297353CC}">
              <c16:uniqueId val="{00000006-7771-4412-81A7-6D998075E130}"/>
            </c:ext>
          </c:extLst>
        </c:ser>
        <c:dLbls>
          <c:showLegendKey val="0"/>
          <c:showVal val="0"/>
          <c:showCatName val="0"/>
          <c:showSerName val="0"/>
          <c:showPercent val="0"/>
          <c:showBubbleSize val="0"/>
        </c:dLbls>
        <c:gapWidth val="150"/>
        <c:axId val="362793472"/>
        <c:axId val="471410368"/>
      </c:barChart>
      <c:catAx>
        <c:axId val="362793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71410368"/>
        <c:crosses val="autoZero"/>
        <c:auto val="1"/>
        <c:lblAlgn val="ctr"/>
        <c:lblOffset val="100"/>
        <c:noMultiLvlLbl val="0"/>
      </c:catAx>
      <c:valAx>
        <c:axId val="471410368"/>
        <c:scaling>
          <c:orientation val="minMax"/>
        </c:scaling>
        <c:delete val="1"/>
        <c:axPos val="l"/>
        <c:numFmt formatCode="0%" sourceLinked="1"/>
        <c:majorTickMark val="out"/>
        <c:minorTickMark val="none"/>
        <c:tickLblPos val="nextTo"/>
        <c:crossAx val="362793472"/>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Velikost podniků mezi respondenty DŠ</a:t>
            </a:r>
          </a:p>
        </c:rich>
      </c:tx>
      <c:layout/>
      <c:overlay val="0"/>
      <c:spPr>
        <a:noFill/>
        <a:ln>
          <a:noFill/>
        </a:ln>
        <a:effectLst/>
      </c:spPr>
    </c:title>
    <c:autoTitleDeleted val="0"/>
    <c:plotArea>
      <c:layout/>
      <c:barChart>
        <c:barDir val="col"/>
        <c:grouping val="clustered"/>
        <c:varyColors val="0"/>
        <c:ser>
          <c:idx val="0"/>
          <c:order val="0"/>
          <c:tx>
            <c:strRef>
              <c:f>'Export - Evaluace OP PIK – Spec'!$B$163</c:f>
              <c:strCache>
                <c:ptCount val="1"/>
                <c:pt idx="0">
                  <c:v>Vyplněné dotazníky</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'Export - Evaluace OP PIK – Spec'!$A$164:$A$167</c:f>
              <c:strCache>
                <c:ptCount val="4"/>
                <c:pt idx="0">
                  <c:v>Mikropodnik</c:v>
                </c:pt>
                <c:pt idx="1">
                  <c:v>Malý podnik</c:v>
                </c:pt>
                <c:pt idx="2">
                  <c:v>Střední podnik</c:v>
                </c:pt>
                <c:pt idx="3">
                  <c:v>Velký podnik</c:v>
                </c:pt>
              </c:strCache>
            </c:strRef>
          </c:cat>
          <c:val>
            <c:numRef>
              <c:f>'Export - Evaluace OP PIK – Spec'!$B$164:$B$167</c:f>
              <c:numCache>
                <c:formatCode>0%</c:formatCode>
                <c:ptCount val="4"/>
                <c:pt idx="0">
                  <c:v>0.12396694214876033</c:v>
                </c:pt>
                <c:pt idx="1">
                  <c:v>0.30578512396694213</c:v>
                </c:pt>
                <c:pt idx="2">
                  <c:v>0.28925619834710742</c:v>
                </c:pt>
                <c:pt idx="3">
                  <c:v>0.20661157024793389</c:v>
                </c:pt>
              </c:numCache>
            </c:numRef>
          </c:val>
          <c:extLst>
            <c:ext xmlns:c16="http://schemas.microsoft.com/office/drawing/2014/chart" uri="{C3380CC4-5D6E-409C-BE32-E72D297353CC}">
              <c16:uniqueId val="{00000000-9027-4F73-8FB1-F2A0E0BC6D3C}"/>
            </c:ext>
          </c:extLst>
        </c:ser>
        <c:ser>
          <c:idx val="1"/>
          <c:order val="1"/>
          <c:tx>
            <c:strRef>
              <c:f>'Export - Evaluace OP PIK – Spec'!$C$163</c:f>
              <c:strCache>
                <c:ptCount val="1"/>
                <c:pt idx="0">
                  <c:v>Oslovení respondenti celkem</c:v>
                </c:pt>
              </c:strCache>
            </c:strRef>
          </c:tx>
          <c:spPr>
            <a:solidFill>
              <a:schemeClr val="accent1">
                <a:lumMod val="40000"/>
                <a:lumOff val="60000"/>
              </a:schemeClr>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'Export - Evaluace OP PIK – Spec'!$A$164:$A$167</c:f>
              <c:strCache>
                <c:ptCount val="4"/>
                <c:pt idx="0">
                  <c:v>Mikropodnik</c:v>
                </c:pt>
                <c:pt idx="1">
                  <c:v>Malý podnik</c:v>
                </c:pt>
                <c:pt idx="2">
                  <c:v>Střední podnik</c:v>
                </c:pt>
                <c:pt idx="3">
                  <c:v>Velký podnik</c:v>
                </c:pt>
              </c:strCache>
            </c:strRef>
          </c:cat>
          <c:val>
            <c:numRef>
              <c:f>'Export - Evaluace OP PIK – Spec'!$C$164:$C$167</c:f>
              <c:numCache>
                <c:formatCode>0%</c:formatCode>
                <c:ptCount val="4"/>
                <c:pt idx="0">
                  <c:v>0.1045016077170418</c:v>
                </c:pt>
                <c:pt idx="1">
                  <c:v>0.34083601286173631</c:v>
                </c:pt>
                <c:pt idx="2">
                  <c:v>0.3086816720257235</c:v>
                </c:pt>
                <c:pt idx="3">
                  <c:v>0.23311897106109325</c:v>
                </c:pt>
              </c:numCache>
            </c:numRef>
          </c:val>
          <c:extLst>
            <c:ext xmlns:c16="http://schemas.microsoft.com/office/drawing/2014/chart" uri="{C3380CC4-5D6E-409C-BE32-E72D297353CC}">
              <c16:uniqueId val="{00000001-9027-4F73-8FB1-F2A0E0BC6D3C}"/>
            </c:ext>
          </c:extLst>
        </c:ser>
        <c:dLbls>
          <c:showLegendKey val="0"/>
          <c:showVal val="0"/>
          <c:showCatName val="0"/>
          <c:showSerName val="0"/>
          <c:showPercent val="0"/>
          <c:showBubbleSize val="0"/>
        </c:dLbls>
        <c:gapWidth val="219"/>
        <c:overlap val="-27"/>
        <c:axId val="248943104"/>
        <c:axId val="465603968"/>
      </c:barChart>
      <c:catAx>
        <c:axId val="2489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03968"/>
        <c:crosses val="autoZero"/>
        <c:auto val="1"/>
        <c:lblAlgn val="ctr"/>
        <c:lblOffset val="100"/>
        <c:noMultiLvlLbl val="0"/>
      </c:catAx>
      <c:valAx>
        <c:axId val="465603968"/>
        <c:scaling>
          <c:orientation val="minMax"/>
        </c:scaling>
        <c:delete val="1"/>
        <c:axPos val="l"/>
        <c:numFmt formatCode="0%" sourceLinked="1"/>
        <c:majorTickMark val="none"/>
        <c:minorTickMark val="none"/>
        <c:tickLblPos val="nextTo"/>
        <c:crossAx val="248943104"/>
        <c:crosses val="autoZero"/>
        <c:crossBetween val="between"/>
      </c:valAx>
      <c:spPr>
        <a:noFill/>
        <a:ln>
          <a:noFill/>
        </a:ln>
        <a:effectLst/>
      </c:spPr>
    </c:plotArea>
    <c:legend>
      <c:legendPos val="b"/>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Krajské zastoupení</a:t>
            </a:r>
          </a:p>
        </c:rich>
      </c:tx>
      <c:layout/>
      <c:overlay val="0"/>
      <c:spPr>
        <a:noFill/>
        <a:ln>
          <a:noFill/>
        </a:ln>
        <a:effectLst/>
      </c:spPr>
    </c:title>
    <c:autoTitleDeleted val="0"/>
    <c:plotArea>
      <c:layout/>
      <c:barChart>
        <c:barDir val="bar"/>
        <c:grouping val="clustered"/>
        <c:varyColors val="0"/>
        <c:ser>
          <c:idx val="0"/>
          <c:order val="0"/>
          <c:tx>
            <c:strRef>
              <c:f>Sheet2!$B$27</c:f>
              <c:strCache>
                <c:ptCount val="1"/>
                <c:pt idx="0">
                  <c:v>Všichni příjemci podpory</c:v>
                </c:pt>
              </c:strCache>
            </c:strRef>
          </c:tx>
          <c:spPr>
            <a:solidFill>
              <a:schemeClr val="accent1">
                <a:lumMod val="40000"/>
                <a:lumOff val="60000"/>
              </a:schemeClr>
            </a:solidFill>
            <a:ln>
              <a:noFill/>
            </a:ln>
            <a:effectLst/>
          </c:spPr>
          <c:invertIfNegative val="0"/>
          <c:cat>
            <c:strRef>
              <c:f>Sheet2!$A$28:$A$41</c:f>
              <c:strCache>
                <c:ptCount val="14"/>
                <c:pt idx="0">
                  <c:v>Karlovarský kraj</c:v>
                </c:pt>
                <c:pt idx="1">
                  <c:v>Ústecký kraj</c:v>
                </c:pt>
                <c:pt idx="2">
                  <c:v>Jihočeský kraj</c:v>
                </c:pt>
                <c:pt idx="3">
                  <c:v>Liberecký kraj</c:v>
                </c:pt>
                <c:pt idx="4">
                  <c:v>Královéhradecký kraj</c:v>
                </c:pt>
                <c:pt idx="5">
                  <c:v>Plzeňský kraj</c:v>
                </c:pt>
                <c:pt idx="6">
                  <c:v>Kraj Vysočina</c:v>
                </c:pt>
                <c:pt idx="7">
                  <c:v>Pardubický kraj</c:v>
                </c:pt>
                <c:pt idx="8">
                  <c:v>Olomoucký kraj</c:v>
                </c:pt>
                <c:pt idx="9">
                  <c:v>Hlavní město Praha</c:v>
                </c:pt>
                <c:pt idx="10">
                  <c:v>Zlínský kraj</c:v>
                </c:pt>
                <c:pt idx="11">
                  <c:v>Středočeský kraj</c:v>
                </c:pt>
                <c:pt idx="12">
                  <c:v>Moravskoslezský kraj</c:v>
                </c:pt>
                <c:pt idx="13">
                  <c:v>Jihomoravský kraj</c:v>
                </c:pt>
              </c:strCache>
            </c:strRef>
          </c:cat>
          <c:val>
            <c:numRef>
              <c:f>Sheet2!$B$28:$B$41</c:f>
              <c:numCache>
                <c:formatCode>General</c:formatCode>
                <c:ptCount val="14"/>
                <c:pt idx="0">
                  <c:v>77</c:v>
                </c:pt>
                <c:pt idx="1">
                  <c:v>28</c:v>
                </c:pt>
                <c:pt idx="2">
                  <c:v>111</c:v>
                </c:pt>
                <c:pt idx="3">
                  <c:v>9</c:v>
                </c:pt>
                <c:pt idx="4">
                  <c:v>34</c:v>
                </c:pt>
                <c:pt idx="5">
                  <c:v>28</c:v>
                </c:pt>
                <c:pt idx="6">
                  <c:v>20</c:v>
                </c:pt>
                <c:pt idx="7">
                  <c:v>72</c:v>
                </c:pt>
                <c:pt idx="8">
                  <c:v>29</c:v>
                </c:pt>
                <c:pt idx="9">
                  <c:v>42</c:v>
                </c:pt>
                <c:pt idx="10">
                  <c:v>40</c:v>
                </c:pt>
                <c:pt idx="11">
                  <c:v>67</c:v>
                </c:pt>
                <c:pt idx="12">
                  <c:v>10</c:v>
                </c:pt>
                <c:pt idx="13">
                  <c:v>66</c:v>
                </c:pt>
              </c:numCache>
            </c:numRef>
          </c:val>
          <c:extLst>
            <c:ext xmlns:c16="http://schemas.microsoft.com/office/drawing/2014/chart" uri="{C3380CC4-5D6E-409C-BE32-E72D297353CC}">
              <c16:uniqueId val="{00000000-5C5B-48CA-9BEA-439A9D4A4778}"/>
            </c:ext>
          </c:extLst>
        </c:ser>
        <c:ser>
          <c:idx val="1"/>
          <c:order val="1"/>
          <c:tx>
            <c:strRef>
              <c:f>Sheet2!$C$27</c:f>
              <c:strCache>
                <c:ptCount val="1"/>
                <c:pt idx="0">
                  <c:v>Respondenti DŠ</c:v>
                </c:pt>
              </c:strCache>
            </c:strRef>
          </c:tx>
          <c:spPr>
            <a:solidFill>
              <a:schemeClr val="accent2"/>
            </a:solidFill>
            <a:ln>
              <a:noFill/>
            </a:ln>
            <a:effectLst/>
          </c:spPr>
          <c:invertIfNegative val="0"/>
          <c:cat>
            <c:strRef>
              <c:f>Sheet2!$A$28:$A$41</c:f>
              <c:strCache>
                <c:ptCount val="14"/>
                <c:pt idx="0">
                  <c:v>Karlovarský kraj</c:v>
                </c:pt>
                <c:pt idx="1">
                  <c:v>Ústecký kraj</c:v>
                </c:pt>
                <c:pt idx="2">
                  <c:v>Jihočeský kraj</c:v>
                </c:pt>
                <c:pt idx="3">
                  <c:v>Liberecký kraj</c:v>
                </c:pt>
                <c:pt idx="4">
                  <c:v>Královéhradecký kraj</c:v>
                </c:pt>
                <c:pt idx="5">
                  <c:v>Plzeňský kraj</c:v>
                </c:pt>
                <c:pt idx="6">
                  <c:v>Kraj Vysočina</c:v>
                </c:pt>
                <c:pt idx="7">
                  <c:v>Pardubický kraj</c:v>
                </c:pt>
                <c:pt idx="8">
                  <c:v>Olomoucký kraj</c:v>
                </c:pt>
                <c:pt idx="9">
                  <c:v>Hlavní město Praha</c:v>
                </c:pt>
                <c:pt idx="10">
                  <c:v>Zlínský kraj</c:v>
                </c:pt>
                <c:pt idx="11">
                  <c:v>Středočeský kraj</c:v>
                </c:pt>
                <c:pt idx="12">
                  <c:v>Moravskoslezský kraj</c:v>
                </c:pt>
                <c:pt idx="13">
                  <c:v>Jihomoravský kraj</c:v>
                </c:pt>
              </c:strCache>
            </c:strRef>
          </c:cat>
          <c:val>
            <c:numRef>
              <c:f>Sheet2!$C$28:$C$41</c:f>
              <c:numCache>
                <c:formatCode>General</c:formatCode>
                <c:ptCount val="14"/>
                <c:pt idx="0">
                  <c:v>0</c:v>
                </c:pt>
                <c:pt idx="1">
                  <c:v>2</c:v>
                </c:pt>
                <c:pt idx="2">
                  <c:v>2</c:v>
                </c:pt>
                <c:pt idx="3">
                  <c:v>3</c:v>
                </c:pt>
                <c:pt idx="4">
                  <c:v>3</c:v>
                </c:pt>
                <c:pt idx="5">
                  <c:v>5</c:v>
                </c:pt>
                <c:pt idx="6">
                  <c:v>5</c:v>
                </c:pt>
                <c:pt idx="7">
                  <c:v>6</c:v>
                </c:pt>
                <c:pt idx="8">
                  <c:v>7</c:v>
                </c:pt>
                <c:pt idx="9">
                  <c:v>9</c:v>
                </c:pt>
                <c:pt idx="10">
                  <c:v>12</c:v>
                </c:pt>
                <c:pt idx="11">
                  <c:v>13</c:v>
                </c:pt>
                <c:pt idx="12">
                  <c:v>13</c:v>
                </c:pt>
                <c:pt idx="13">
                  <c:v>22</c:v>
                </c:pt>
              </c:numCache>
            </c:numRef>
          </c:val>
          <c:extLst>
            <c:ext xmlns:c16="http://schemas.microsoft.com/office/drawing/2014/chart" uri="{C3380CC4-5D6E-409C-BE32-E72D297353CC}">
              <c16:uniqueId val="{00000001-5C5B-48CA-9BEA-439A9D4A4778}"/>
            </c:ext>
          </c:extLst>
        </c:ser>
        <c:dLbls>
          <c:showLegendKey val="0"/>
          <c:showVal val="0"/>
          <c:showCatName val="0"/>
          <c:showSerName val="0"/>
          <c:showPercent val="0"/>
          <c:showBubbleSize val="0"/>
        </c:dLbls>
        <c:gapWidth val="219"/>
        <c:axId val="334593536"/>
        <c:axId val="465606272"/>
      </c:barChart>
      <c:catAx>
        <c:axId val="33459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06272"/>
        <c:crosses val="autoZero"/>
        <c:auto val="1"/>
        <c:lblAlgn val="ctr"/>
        <c:lblOffset val="100"/>
        <c:noMultiLvlLbl val="0"/>
      </c:catAx>
      <c:valAx>
        <c:axId val="46560627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cs-CZ"/>
          </a:p>
        </c:txPr>
        <c:crossAx val="33459353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Nárůst inovační výkonnosti podniku díky podpoře SC 1.1 </a:t>
            </a:r>
          </a:p>
        </c:rich>
      </c:tx>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Pt>
            <c:idx val="5"/>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B270-4CB1-8337-825F532468C8}"/>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'Export - Evaluace OP PIK – Spec'!$A$138:$A$143</c:f>
              <c:strCache>
                <c:ptCount val="6"/>
                <c:pt idx="0">
                  <c:v>Do 10 %</c:v>
                </c:pt>
                <c:pt idx="1">
                  <c:v>11 – 25 %</c:v>
                </c:pt>
                <c:pt idx="2">
                  <c:v>26 – 50 %</c:v>
                </c:pt>
                <c:pt idx="3">
                  <c:v>Více než 50 %</c:v>
                </c:pt>
                <c:pt idx="4">
                  <c:v>Podnik výzkum dříve neprováděl</c:v>
                </c:pt>
                <c:pt idx="5">
                  <c:v>Není relevantní</c:v>
                </c:pt>
              </c:strCache>
            </c:strRef>
          </c:cat>
          <c:val>
            <c:numRef>
              <c:f>'Export - Evaluace OP PIK – Spec'!$B$138:$B$143</c:f>
              <c:numCache>
                <c:formatCode>0%</c:formatCode>
                <c:ptCount val="6"/>
                <c:pt idx="0">
                  <c:v>0.22500000000000001</c:v>
                </c:pt>
                <c:pt idx="1">
                  <c:v>0.36666666666666664</c:v>
                </c:pt>
                <c:pt idx="2">
                  <c:v>0.16666666666666666</c:v>
                </c:pt>
                <c:pt idx="3">
                  <c:v>6.6666666666666666E-2</c:v>
                </c:pt>
                <c:pt idx="4">
                  <c:v>8.3333333333333329E-2</c:v>
                </c:pt>
                <c:pt idx="5">
                  <c:v>9.166666666666666E-2</c:v>
                </c:pt>
              </c:numCache>
            </c:numRef>
          </c:val>
          <c:extLst>
            <c:ext xmlns:c16="http://schemas.microsoft.com/office/drawing/2014/chart" uri="{C3380CC4-5D6E-409C-BE32-E72D297353CC}">
              <c16:uniqueId val="{00000002-B270-4CB1-8337-825F532468C8}"/>
            </c:ext>
          </c:extLst>
        </c:ser>
        <c:dLbls>
          <c:showLegendKey val="0"/>
          <c:showVal val="0"/>
          <c:showCatName val="0"/>
          <c:showSerName val="0"/>
          <c:showPercent val="0"/>
          <c:showBubbleSize val="0"/>
        </c:dLbls>
        <c:gapWidth val="219"/>
        <c:overlap val="-27"/>
        <c:axId val="227273216"/>
        <c:axId val="465608000"/>
      </c:barChart>
      <c:catAx>
        <c:axId val="22727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08000"/>
        <c:crosses val="autoZero"/>
        <c:auto val="1"/>
        <c:lblAlgn val="ctr"/>
        <c:lblOffset val="100"/>
        <c:noMultiLvlLbl val="0"/>
      </c:catAx>
      <c:valAx>
        <c:axId val="465608000"/>
        <c:scaling>
          <c:orientation val="minMax"/>
        </c:scaling>
        <c:delete val="1"/>
        <c:axPos val="l"/>
        <c:numFmt formatCode="0%" sourceLinked="1"/>
        <c:majorTickMark val="none"/>
        <c:minorTickMark val="none"/>
        <c:tickLblPos val="nextTo"/>
        <c:crossAx val="227273216"/>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na inovační výkonnost podniku</a:t>
            </a:r>
          </a:p>
        </c:rich>
      </c:tx>
      <c:layout/>
      <c:overlay val="0"/>
      <c:spPr>
        <a:noFill/>
        <a:ln>
          <a:noFill/>
        </a:ln>
        <a:effectLst/>
      </c:spPr>
    </c:title>
    <c:autoTitleDeleted val="0"/>
    <c:plotArea>
      <c:layout/>
      <c:barChart>
        <c:barDir val="col"/>
        <c:grouping val="percentStacked"/>
        <c:varyColors val="0"/>
        <c:ser>
          <c:idx val="0"/>
          <c:order val="0"/>
          <c:tx>
            <c:strRef>
              <c:f>Sheet1!$B$27</c:f>
              <c:strCache>
                <c:ptCount val="1"/>
                <c:pt idx="0">
                  <c:v>Není relevantní</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Sheet1!$A$28:$A$31</c:f>
              <c:strCache>
                <c:ptCount val="4"/>
                <c:pt idx="0">
                  <c:v>Malý podnik</c:v>
                </c:pt>
                <c:pt idx="1">
                  <c:v>Mikropodnik</c:v>
                </c:pt>
                <c:pt idx="2">
                  <c:v>Střední podnik</c:v>
                </c:pt>
                <c:pt idx="3">
                  <c:v>Velký podnik</c:v>
                </c:pt>
              </c:strCache>
            </c:strRef>
          </c:cat>
          <c:val>
            <c:numRef>
              <c:f>Sheet1!$B$28:$B$31</c:f>
              <c:numCache>
                <c:formatCode>General</c:formatCode>
                <c:ptCount val="4"/>
                <c:pt idx="0">
                  <c:v>2</c:v>
                </c:pt>
                <c:pt idx="1">
                  <c:v>1</c:v>
                </c:pt>
                <c:pt idx="2">
                  <c:v>6</c:v>
                </c:pt>
                <c:pt idx="3">
                  <c:v>3</c:v>
                </c:pt>
              </c:numCache>
            </c:numRef>
          </c:val>
          <c:extLst>
            <c:ext xmlns:c16="http://schemas.microsoft.com/office/drawing/2014/chart" uri="{C3380CC4-5D6E-409C-BE32-E72D297353CC}">
              <c16:uniqueId val="{00000000-DB23-4B2E-B3BE-D2B1B562B204}"/>
            </c:ext>
          </c:extLst>
        </c:ser>
        <c:ser>
          <c:idx val="1"/>
          <c:order val="1"/>
          <c:tx>
            <c:strRef>
              <c:f>Sheet1!$C$27</c:f>
              <c:strCache>
                <c:ptCount val="1"/>
                <c:pt idx="0">
                  <c:v>Do 10 %</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Sheet1!$A$28:$A$31</c:f>
              <c:strCache>
                <c:ptCount val="4"/>
                <c:pt idx="0">
                  <c:v>Malý podnik</c:v>
                </c:pt>
                <c:pt idx="1">
                  <c:v>Mikropodnik</c:v>
                </c:pt>
                <c:pt idx="2">
                  <c:v>Střední podnik</c:v>
                </c:pt>
                <c:pt idx="3">
                  <c:v>Velký podnik</c:v>
                </c:pt>
              </c:strCache>
            </c:strRef>
          </c:cat>
          <c:val>
            <c:numRef>
              <c:f>Sheet1!$C$28:$C$31</c:f>
              <c:numCache>
                <c:formatCode>General</c:formatCode>
                <c:ptCount val="4"/>
                <c:pt idx="0">
                  <c:v>5</c:v>
                </c:pt>
                <c:pt idx="1">
                  <c:v>2</c:v>
                </c:pt>
                <c:pt idx="2">
                  <c:v>5</c:v>
                </c:pt>
                <c:pt idx="3">
                  <c:v>9</c:v>
                </c:pt>
              </c:numCache>
            </c:numRef>
          </c:val>
          <c:extLst>
            <c:ext xmlns:c16="http://schemas.microsoft.com/office/drawing/2014/chart" uri="{C3380CC4-5D6E-409C-BE32-E72D297353CC}">
              <c16:uniqueId val="{00000001-DB23-4B2E-B3BE-D2B1B562B204}"/>
            </c:ext>
          </c:extLst>
        </c:ser>
        <c:ser>
          <c:idx val="2"/>
          <c:order val="2"/>
          <c:tx>
            <c:strRef>
              <c:f>Sheet1!$D$27</c:f>
              <c:strCache>
                <c:ptCount val="1"/>
                <c:pt idx="0">
                  <c:v>11 – 25 %</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Sheet1!$A$28:$A$31</c:f>
              <c:strCache>
                <c:ptCount val="4"/>
                <c:pt idx="0">
                  <c:v>Malý podnik</c:v>
                </c:pt>
                <c:pt idx="1">
                  <c:v>Mikropodnik</c:v>
                </c:pt>
                <c:pt idx="2">
                  <c:v>Střední podnik</c:v>
                </c:pt>
                <c:pt idx="3">
                  <c:v>Velký podnik</c:v>
                </c:pt>
              </c:strCache>
            </c:strRef>
          </c:cat>
          <c:val>
            <c:numRef>
              <c:f>Sheet1!$D$28:$D$31</c:f>
              <c:numCache>
                <c:formatCode>General</c:formatCode>
                <c:ptCount val="4"/>
                <c:pt idx="0">
                  <c:v>13</c:v>
                </c:pt>
                <c:pt idx="1">
                  <c:v>3</c:v>
                </c:pt>
                <c:pt idx="2">
                  <c:v>10</c:v>
                </c:pt>
                <c:pt idx="3">
                  <c:v>6</c:v>
                </c:pt>
              </c:numCache>
            </c:numRef>
          </c:val>
          <c:extLst>
            <c:ext xmlns:c16="http://schemas.microsoft.com/office/drawing/2014/chart" uri="{C3380CC4-5D6E-409C-BE32-E72D297353CC}">
              <c16:uniqueId val="{00000002-DB23-4B2E-B3BE-D2B1B562B204}"/>
            </c:ext>
          </c:extLst>
        </c:ser>
        <c:ser>
          <c:idx val="3"/>
          <c:order val="3"/>
          <c:tx>
            <c:strRef>
              <c:f>Sheet1!$E$27</c:f>
              <c:strCache>
                <c:ptCount val="1"/>
                <c:pt idx="0">
                  <c:v>26 – 50 %</c:v>
                </c:pt>
              </c:strCache>
            </c:strRef>
          </c:tx>
          <c:spPr>
            <a:solidFill>
              <a:schemeClr val="accent4"/>
            </a:solidFill>
            <a:ln>
              <a:noFill/>
            </a:ln>
            <a:effectLst/>
          </c:spPr>
          <c:invertIfNegative val="0"/>
          <c:dLbls>
            <c:spPr>
              <a:noFill/>
              <a:ln>
                <a:noFill/>
              </a:ln>
              <a:effectLst/>
            </c:spPr>
            <c:txPr>
              <a:bodyPr rot="0" vert="horz"/>
              <a:lstStyle/>
              <a:p>
                <a:pPr>
                  <a:defRPr>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Sheet1!$A$28:$A$31</c:f>
              <c:strCache>
                <c:ptCount val="4"/>
                <c:pt idx="0">
                  <c:v>Malý podnik</c:v>
                </c:pt>
                <c:pt idx="1">
                  <c:v>Mikropodnik</c:v>
                </c:pt>
                <c:pt idx="2">
                  <c:v>Střední podnik</c:v>
                </c:pt>
                <c:pt idx="3">
                  <c:v>Velký podnik</c:v>
                </c:pt>
              </c:strCache>
            </c:strRef>
          </c:cat>
          <c:val>
            <c:numRef>
              <c:f>Sheet1!$E$28:$E$31</c:f>
              <c:numCache>
                <c:formatCode>General</c:formatCode>
                <c:ptCount val="4"/>
                <c:pt idx="0">
                  <c:v>5</c:v>
                </c:pt>
                <c:pt idx="1">
                  <c:v>6</c:v>
                </c:pt>
                <c:pt idx="2">
                  <c:v>4</c:v>
                </c:pt>
                <c:pt idx="3">
                  <c:v>3</c:v>
                </c:pt>
              </c:numCache>
            </c:numRef>
          </c:val>
          <c:extLst>
            <c:ext xmlns:c16="http://schemas.microsoft.com/office/drawing/2014/chart" uri="{C3380CC4-5D6E-409C-BE32-E72D297353CC}">
              <c16:uniqueId val="{00000003-DB23-4B2E-B3BE-D2B1B562B204}"/>
            </c:ext>
          </c:extLst>
        </c:ser>
        <c:ser>
          <c:idx val="4"/>
          <c:order val="4"/>
          <c:tx>
            <c:strRef>
              <c:f>Sheet1!$F$27</c:f>
              <c:strCache>
                <c:ptCount val="1"/>
                <c:pt idx="0">
                  <c:v>Více než 50 %</c:v>
                </c:pt>
              </c:strCache>
            </c:strRef>
          </c:tx>
          <c:spPr>
            <a:solidFill>
              <a:schemeClr val="accent5"/>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Sheet1!$A$28:$A$31</c:f>
              <c:strCache>
                <c:ptCount val="4"/>
                <c:pt idx="0">
                  <c:v>Malý podnik</c:v>
                </c:pt>
                <c:pt idx="1">
                  <c:v>Mikropodnik</c:v>
                </c:pt>
                <c:pt idx="2">
                  <c:v>Střední podnik</c:v>
                </c:pt>
                <c:pt idx="3">
                  <c:v>Velký podnik</c:v>
                </c:pt>
              </c:strCache>
            </c:strRef>
          </c:cat>
          <c:val>
            <c:numRef>
              <c:f>Sheet1!$F$28:$F$31</c:f>
              <c:numCache>
                <c:formatCode>General</c:formatCode>
                <c:ptCount val="4"/>
                <c:pt idx="0">
                  <c:v>5</c:v>
                </c:pt>
                <c:pt idx="1">
                  <c:v>1</c:v>
                </c:pt>
                <c:pt idx="2">
                  <c:v>2</c:v>
                </c:pt>
              </c:numCache>
            </c:numRef>
          </c:val>
          <c:extLst>
            <c:ext xmlns:c16="http://schemas.microsoft.com/office/drawing/2014/chart" uri="{C3380CC4-5D6E-409C-BE32-E72D297353CC}">
              <c16:uniqueId val="{00000004-DB23-4B2E-B3BE-D2B1B562B204}"/>
            </c:ext>
          </c:extLst>
        </c:ser>
        <c:dLbls>
          <c:showLegendKey val="0"/>
          <c:showVal val="0"/>
          <c:showCatName val="0"/>
          <c:showSerName val="0"/>
          <c:showPercent val="0"/>
          <c:showBubbleSize val="0"/>
        </c:dLbls>
        <c:gapWidth val="150"/>
        <c:overlap val="100"/>
        <c:axId val="340158976"/>
        <c:axId val="465610432"/>
      </c:barChart>
      <c:catAx>
        <c:axId val="3401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10432"/>
        <c:crosses val="autoZero"/>
        <c:auto val="1"/>
        <c:lblAlgn val="ctr"/>
        <c:lblOffset val="100"/>
        <c:noMultiLvlLbl val="0"/>
      </c:catAx>
      <c:valAx>
        <c:axId val="465610432"/>
        <c:scaling>
          <c:orientation val="minMax"/>
        </c:scaling>
        <c:delete val="1"/>
        <c:axPos val="l"/>
        <c:numFmt formatCode="0%" sourceLinked="1"/>
        <c:majorTickMark val="none"/>
        <c:minorTickMark val="none"/>
        <c:tickLblPos val="nextTo"/>
        <c:crossAx val="340158976"/>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projektu na inovační výkonnost podniku</a:t>
            </a:r>
          </a:p>
        </c:rich>
      </c:tx>
      <c:layout/>
      <c:overlay val="0"/>
      <c:spPr>
        <a:noFill/>
        <a:ln>
          <a:noFill/>
        </a:ln>
        <a:effectLst/>
      </c:spPr>
    </c:title>
    <c:autoTitleDeleted val="0"/>
    <c:plotArea>
      <c:layout/>
      <c:barChart>
        <c:barDir val="col"/>
        <c:grouping val="percentStacked"/>
        <c:varyColors val="0"/>
        <c:ser>
          <c:idx val="0"/>
          <c:order val="0"/>
          <c:tx>
            <c:strRef>
              <c:f>Sheet1!$B$36</c:f>
              <c:strCache>
                <c:ptCount val="1"/>
                <c:pt idx="0">
                  <c:v>Do 10 %</c:v>
                </c:pt>
              </c:strCache>
            </c:strRef>
          </c:tx>
          <c:spPr>
            <a:solidFill>
              <a:schemeClr val="accent1"/>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Sheet1!$A$37:$A$39</c:f>
              <c:strCache>
                <c:ptCount val="3"/>
                <c:pt idx="0">
                  <c:v>Aplikace</c:v>
                </c:pt>
                <c:pt idx="1">
                  <c:v>Inovace</c:v>
                </c:pt>
                <c:pt idx="2">
                  <c:v>Potenciál</c:v>
                </c:pt>
              </c:strCache>
            </c:strRef>
          </c:cat>
          <c:val>
            <c:numRef>
              <c:f>Sheet1!$B$37:$B$39</c:f>
              <c:numCache>
                <c:formatCode>General</c:formatCode>
                <c:ptCount val="3"/>
                <c:pt idx="0">
                  <c:v>11</c:v>
                </c:pt>
                <c:pt idx="1">
                  <c:v>12</c:v>
                </c:pt>
                <c:pt idx="2">
                  <c:v>4</c:v>
                </c:pt>
              </c:numCache>
            </c:numRef>
          </c:val>
          <c:extLst>
            <c:ext xmlns:c16="http://schemas.microsoft.com/office/drawing/2014/chart" uri="{C3380CC4-5D6E-409C-BE32-E72D297353CC}">
              <c16:uniqueId val="{00000000-98E4-40EF-8C00-1E3134D53A74}"/>
            </c:ext>
          </c:extLst>
        </c:ser>
        <c:ser>
          <c:idx val="1"/>
          <c:order val="1"/>
          <c:tx>
            <c:strRef>
              <c:f>Sheet1!$C$36</c:f>
              <c:strCache>
                <c:ptCount val="1"/>
                <c:pt idx="0">
                  <c:v>11 – 25 %</c:v>
                </c:pt>
              </c:strCache>
            </c:strRef>
          </c:tx>
          <c:spPr>
            <a:solidFill>
              <a:schemeClr val="accent2"/>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Sheet1!$A$37:$A$39</c:f>
              <c:strCache>
                <c:ptCount val="3"/>
                <c:pt idx="0">
                  <c:v>Aplikace</c:v>
                </c:pt>
                <c:pt idx="1">
                  <c:v>Inovace</c:v>
                </c:pt>
                <c:pt idx="2">
                  <c:v>Potenciál</c:v>
                </c:pt>
              </c:strCache>
            </c:strRef>
          </c:cat>
          <c:val>
            <c:numRef>
              <c:f>Sheet1!$C$37:$C$39</c:f>
              <c:numCache>
                <c:formatCode>General</c:formatCode>
                <c:ptCount val="3"/>
                <c:pt idx="0">
                  <c:v>14</c:v>
                </c:pt>
                <c:pt idx="1">
                  <c:v>25</c:v>
                </c:pt>
                <c:pt idx="2">
                  <c:v>5</c:v>
                </c:pt>
              </c:numCache>
            </c:numRef>
          </c:val>
          <c:extLst>
            <c:ext xmlns:c16="http://schemas.microsoft.com/office/drawing/2014/chart" uri="{C3380CC4-5D6E-409C-BE32-E72D297353CC}">
              <c16:uniqueId val="{00000001-98E4-40EF-8C00-1E3134D53A74}"/>
            </c:ext>
          </c:extLst>
        </c:ser>
        <c:ser>
          <c:idx val="2"/>
          <c:order val="2"/>
          <c:tx>
            <c:strRef>
              <c:f>Sheet1!$D$36</c:f>
              <c:strCache>
                <c:ptCount val="1"/>
                <c:pt idx="0">
                  <c:v>26 – 50 %</c:v>
                </c:pt>
              </c:strCache>
            </c:strRef>
          </c:tx>
          <c:spPr>
            <a:solidFill>
              <a:schemeClr val="accent3"/>
            </a:solidFill>
            <a:ln>
              <a:noFill/>
            </a:ln>
            <a:effectLst/>
          </c:spPr>
          <c:invertIfNegative val="0"/>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Sheet1!$A$37:$A$39</c:f>
              <c:strCache>
                <c:ptCount val="3"/>
                <c:pt idx="0">
                  <c:v>Aplikace</c:v>
                </c:pt>
                <c:pt idx="1">
                  <c:v>Inovace</c:v>
                </c:pt>
                <c:pt idx="2">
                  <c:v>Potenciál</c:v>
                </c:pt>
              </c:strCache>
            </c:strRef>
          </c:cat>
          <c:val>
            <c:numRef>
              <c:f>Sheet1!$D$37:$D$39</c:f>
              <c:numCache>
                <c:formatCode>General</c:formatCode>
                <c:ptCount val="3"/>
                <c:pt idx="0">
                  <c:v>11</c:v>
                </c:pt>
                <c:pt idx="1">
                  <c:v>4</c:v>
                </c:pt>
                <c:pt idx="2">
                  <c:v>5</c:v>
                </c:pt>
              </c:numCache>
            </c:numRef>
          </c:val>
          <c:extLst>
            <c:ext xmlns:c16="http://schemas.microsoft.com/office/drawing/2014/chart" uri="{C3380CC4-5D6E-409C-BE32-E72D297353CC}">
              <c16:uniqueId val="{00000002-98E4-40EF-8C00-1E3134D53A74}"/>
            </c:ext>
          </c:extLst>
        </c:ser>
        <c:ser>
          <c:idx val="3"/>
          <c:order val="3"/>
          <c:tx>
            <c:strRef>
              <c:f>Sheet1!$E$36</c:f>
              <c:strCache>
                <c:ptCount val="1"/>
                <c:pt idx="0">
                  <c:v>Více než 50 %</c:v>
                </c:pt>
              </c:strCache>
            </c:strRef>
          </c:tx>
          <c:spPr>
            <a:solidFill>
              <a:schemeClr val="accent4"/>
            </a:solidFill>
            <a:ln>
              <a:noFill/>
            </a:ln>
            <a:effectLst/>
          </c:spPr>
          <c:invertIfNegative val="0"/>
          <c:dLbls>
            <c:spPr>
              <a:noFill/>
              <a:ln>
                <a:noFill/>
              </a:ln>
              <a:effectLst/>
            </c:spPr>
            <c:txPr>
              <a:bodyPr rot="0" vert="horz"/>
              <a:lstStyle/>
              <a:p>
                <a:pPr>
                  <a:defRPr>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Sheet1!$A$37:$A$39</c:f>
              <c:strCache>
                <c:ptCount val="3"/>
                <c:pt idx="0">
                  <c:v>Aplikace</c:v>
                </c:pt>
                <c:pt idx="1">
                  <c:v>Inovace</c:v>
                </c:pt>
                <c:pt idx="2">
                  <c:v>Potenciál</c:v>
                </c:pt>
              </c:strCache>
            </c:strRef>
          </c:cat>
          <c:val>
            <c:numRef>
              <c:f>Sheet1!$E$37:$E$39</c:f>
              <c:numCache>
                <c:formatCode>General</c:formatCode>
                <c:ptCount val="3"/>
                <c:pt idx="0">
                  <c:v>3</c:v>
                </c:pt>
                <c:pt idx="1">
                  <c:v>3</c:v>
                </c:pt>
                <c:pt idx="2">
                  <c:v>2</c:v>
                </c:pt>
              </c:numCache>
            </c:numRef>
          </c:val>
          <c:extLst>
            <c:ext xmlns:c16="http://schemas.microsoft.com/office/drawing/2014/chart" uri="{C3380CC4-5D6E-409C-BE32-E72D297353CC}">
              <c16:uniqueId val="{00000003-98E4-40EF-8C00-1E3134D53A74}"/>
            </c:ext>
          </c:extLst>
        </c:ser>
        <c:dLbls>
          <c:showLegendKey val="0"/>
          <c:showVal val="0"/>
          <c:showCatName val="0"/>
          <c:showSerName val="0"/>
          <c:showPercent val="0"/>
          <c:showBubbleSize val="0"/>
        </c:dLbls>
        <c:gapWidth val="219"/>
        <c:overlap val="100"/>
        <c:axId val="340159488"/>
        <c:axId val="465612160"/>
      </c:barChart>
      <c:catAx>
        <c:axId val="34015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12160"/>
        <c:crosses val="autoZero"/>
        <c:auto val="1"/>
        <c:lblAlgn val="ctr"/>
        <c:lblOffset val="100"/>
        <c:noMultiLvlLbl val="0"/>
      </c:catAx>
      <c:valAx>
        <c:axId val="465612160"/>
        <c:scaling>
          <c:orientation val="minMax"/>
        </c:scaling>
        <c:delete val="1"/>
        <c:axPos val="l"/>
        <c:numFmt formatCode="0%" sourceLinked="1"/>
        <c:majorTickMark val="none"/>
        <c:minorTickMark val="none"/>
        <c:tickLblPos val="nextTo"/>
        <c:crossAx val="340159488"/>
        <c:crosses val="autoZero"/>
        <c:crossBetween val="between"/>
      </c:valAx>
      <c:spPr>
        <a:noFill/>
        <a:ln w="25400">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cs-CZ"/>
              <a:t>Vliv podpory na nárůst technologické kapacity pro výzkum</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3CA-4A2D-BA24-295BBB2BCB4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3CA-4A2D-BA24-295BBB2BCB4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13CA-4A2D-BA24-295BBB2BCB4C}"/>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13CA-4A2D-BA24-295BBB2BCB4C}"/>
              </c:ext>
            </c:extLst>
          </c:dPt>
          <c:dPt>
            <c:idx val="4"/>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13CA-4A2D-BA24-295BBB2BCB4C}"/>
              </c:ext>
            </c:extLst>
          </c:dPt>
          <c:dLbls>
            <c:spPr>
              <a:noFill/>
              <a:ln>
                <a:noFill/>
              </a:ln>
              <a:effectLst/>
            </c:spPr>
            <c:txPr>
              <a:bodyPr rot="0" vert="horz"/>
              <a:lstStyle/>
              <a:p>
                <a:pPr>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Sheet1!$A$42:$A$46</c:f>
              <c:strCache>
                <c:ptCount val="5"/>
                <c:pt idx="0">
                  <c:v>Do 10 %</c:v>
                </c:pt>
                <c:pt idx="1">
                  <c:v>11 – 25 %</c:v>
                </c:pt>
                <c:pt idx="2">
                  <c:v>26 – 50 %</c:v>
                </c:pt>
                <c:pt idx="3">
                  <c:v>Více než 50 %</c:v>
                </c:pt>
                <c:pt idx="4">
                  <c:v>Nezměnila</c:v>
                </c:pt>
              </c:strCache>
            </c:strRef>
          </c:cat>
          <c:val>
            <c:numRef>
              <c:f>Sheet1!$B$42:$B$46</c:f>
              <c:numCache>
                <c:formatCode>0%</c:formatCode>
                <c:ptCount val="5"/>
                <c:pt idx="0">
                  <c:v>0.36206896551724138</c:v>
                </c:pt>
                <c:pt idx="1">
                  <c:v>0.27586206896551724</c:v>
                </c:pt>
                <c:pt idx="2">
                  <c:v>6.8965517241379309E-2</c:v>
                </c:pt>
                <c:pt idx="3">
                  <c:v>6.0344827586206899E-2</c:v>
                </c:pt>
                <c:pt idx="4">
                  <c:v>0.23275862068965517</c:v>
                </c:pt>
              </c:numCache>
            </c:numRef>
          </c:val>
          <c:extLst>
            <c:ext xmlns:c16="http://schemas.microsoft.com/office/drawing/2014/chart" uri="{C3380CC4-5D6E-409C-BE32-E72D297353CC}">
              <c16:uniqueId val="{0000000A-13CA-4A2D-BA24-295BBB2BCB4C}"/>
            </c:ext>
          </c:extLst>
        </c:ser>
        <c:dLbls>
          <c:showLegendKey val="0"/>
          <c:showVal val="0"/>
          <c:showCatName val="0"/>
          <c:showSerName val="0"/>
          <c:showPercent val="0"/>
          <c:showBubbleSize val="0"/>
        </c:dLbls>
        <c:gapWidth val="219"/>
        <c:overlap val="-27"/>
        <c:axId val="248944128"/>
        <c:axId val="465613888"/>
      </c:barChart>
      <c:catAx>
        <c:axId val="2489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13888"/>
        <c:crosses val="autoZero"/>
        <c:auto val="1"/>
        <c:lblAlgn val="ctr"/>
        <c:lblOffset val="100"/>
        <c:noMultiLvlLbl val="0"/>
      </c:catAx>
      <c:valAx>
        <c:axId val="465613888"/>
        <c:scaling>
          <c:orientation val="minMax"/>
        </c:scaling>
        <c:delete val="1"/>
        <c:axPos val="l"/>
        <c:numFmt formatCode="0%" sourceLinked="1"/>
        <c:majorTickMark val="none"/>
        <c:minorTickMark val="none"/>
        <c:tickLblPos val="nextTo"/>
        <c:crossAx val="248944128"/>
        <c:crosses val="autoZero"/>
        <c:crossBetween val="between"/>
      </c:valAx>
      <c:spPr>
        <a:noFill/>
        <a:ln>
          <a:noFill/>
        </a:ln>
        <a:effectLst/>
      </c:spPr>
    </c:plotArea>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Vliv na technologickou kapacitu dle program</a:t>
            </a:r>
            <a:r>
              <a:rPr lang="cs-CZ"/>
              <a:t>ů</a:t>
            </a:r>
            <a:r>
              <a:rPr lang="en-US"/>
              <a:t> podpory</a:t>
            </a:r>
            <a:endParaRPr lang="cs-CZ"/>
          </a:p>
        </c:rich>
      </c:tx>
      <c:layout/>
      <c:overlay val="0"/>
      <c:spPr>
        <a:noFill/>
        <a:ln>
          <a:noFill/>
        </a:ln>
        <a:effectLst/>
      </c:spPr>
    </c:title>
    <c:autoTitleDeleted val="0"/>
    <c:plotArea>
      <c:layout/>
      <c:barChart>
        <c:barDir val="col"/>
        <c:grouping val="clustered"/>
        <c:varyColors val="0"/>
        <c:ser>
          <c:idx val="0"/>
          <c:order val="0"/>
          <c:tx>
            <c:strRef>
              <c:f>Sheet1!$B$61</c:f>
              <c:strCache>
                <c:ptCount val="1"/>
                <c:pt idx="0">
                  <c:v>Nezměnila</c:v>
                </c:pt>
              </c:strCache>
            </c:strRef>
          </c:tx>
          <c:spPr>
            <a:solidFill>
              <a:schemeClr val="accent1"/>
            </a:solidFill>
            <a:ln>
              <a:noFill/>
            </a:ln>
            <a:effectLst/>
          </c:spPr>
          <c:invertIfNegative val="0"/>
          <c:cat>
            <c:strRef>
              <c:f>Sheet1!$A$62:$A$64</c:f>
              <c:strCache>
                <c:ptCount val="3"/>
                <c:pt idx="0">
                  <c:v>Aplikace</c:v>
                </c:pt>
                <c:pt idx="1">
                  <c:v>Inovace</c:v>
                </c:pt>
                <c:pt idx="2">
                  <c:v>Potenciál</c:v>
                </c:pt>
              </c:strCache>
            </c:strRef>
          </c:cat>
          <c:val>
            <c:numRef>
              <c:f>Sheet1!$B$62:$B$64</c:f>
              <c:numCache>
                <c:formatCode>General</c:formatCode>
                <c:ptCount val="3"/>
                <c:pt idx="0">
                  <c:v>16</c:v>
                </c:pt>
                <c:pt idx="1">
                  <c:v>11</c:v>
                </c:pt>
              </c:numCache>
            </c:numRef>
          </c:val>
          <c:extLst>
            <c:ext xmlns:c16="http://schemas.microsoft.com/office/drawing/2014/chart" uri="{C3380CC4-5D6E-409C-BE32-E72D297353CC}">
              <c16:uniqueId val="{00000000-41C1-41E0-999F-2F645F5341A0}"/>
            </c:ext>
          </c:extLst>
        </c:ser>
        <c:ser>
          <c:idx val="1"/>
          <c:order val="1"/>
          <c:tx>
            <c:strRef>
              <c:f>Sheet1!$C$61</c:f>
              <c:strCache>
                <c:ptCount val="1"/>
                <c:pt idx="0">
                  <c:v>Do 10 %</c:v>
                </c:pt>
              </c:strCache>
            </c:strRef>
          </c:tx>
          <c:spPr>
            <a:solidFill>
              <a:schemeClr val="accent2"/>
            </a:solidFill>
            <a:ln>
              <a:noFill/>
            </a:ln>
            <a:effectLst/>
          </c:spPr>
          <c:invertIfNegative val="0"/>
          <c:cat>
            <c:strRef>
              <c:f>Sheet1!$A$62:$A$64</c:f>
              <c:strCache>
                <c:ptCount val="3"/>
                <c:pt idx="0">
                  <c:v>Aplikace</c:v>
                </c:pt>
                <c:pt idx="1">
                  <c:v>Inovace</c:v>
                </c:pt>
                <c:pt idx="2">
                  <c:v>Potenciál</c:v>
                </c:pt>
              </c:strCache>
            </c:strRef>
          </c:cat>
          <c:val>
            <c:numRef>
              <c:f>Sheet1!$C$62:$C$64</c:f>
              <c:numCache>
                <c:formatCode>General</c:formatCode>
                <c:ptCount val="3"/>
                <c:pt idx="0">
                  <c:v>19</c:v>
                </c:pt>
                <c:pt idx="1">
                  <c:v>20</c:v>
                </c:pt>
                <c:pt idx="2">
                  <c:v>3</c:v>
                </c:pt>
              </c:numCache>
            </c:numRef>
          </c:val>
          <c:extLst>
            <c:ext xmlns:c16="http://schemas.microsoft.com/office/drawing/2014/chart" uri="{C3380CC4-5D6E-409C-BE32-E72D297353CC}">
              <c16:uniqueId val="{00000001-41C1-41E0-999F-2F645F5341A0}"/>
            </c:ext>
          </c:extLst>
        </c:ser>
        <c:ser>
          <c:idx val="2"/>
          <c:order val="2"/>
          <c:tx>
            <c:strRef>
              <c:f>Sheet1!$D$61</c:f>
              <c:strCache>
                <c:ptCount val="1"/>
                <c:pt idx="0">
                  <c:v>11 – 25 %</c:v>
                </c:pt>
              </c:strCache>
            </c:strRef>
          </c:tx>
          <c:spPr>
            <a:solidFill>
              <a:schemeClr val="accent3"/>
            </a:solidFill>
            <a:ln>
              <a:noFill/>
            </a:ln>
            <a:effectLst/>
          </c:spPr>
          <c:invertIfNegative val="0"/>
          <c:cat>
            <c:strRef>
              <c:f>Sheet1!$A$62:$A$64</c:f>
              <c:strCache>
                <c:ptCount val="3"/>
                <c:pt idx="0">
                  <c:v>Aplikace</c:v>
                </c:pt>
                <c:pt idx="1">
                  <c:v>Inovace</c:v>
                </c:pt>
                <c:pt idx="2">
                  <c:v>Potenciál</c:v>
                </c:pt>
              </c:strCache>
            </c:strRef>
          </c:cat>
          <c:val>
            <c:numRef>
              <c:f>Sheet1!$D$62:$D$64</c:f>
              <c:numCache>
                <c:formatCode>General</c:formatCode>
                <c:ptCount val="3"/>
                <c:pt idx="0">
                  <c:v>8</c:v>
                </c:pt>
                <c:pt idx="1">
                  <c:v>15</c:v>
                </c:pt>
                <c:pt idx="2">
                  <c:v>9</c:v>
                </c:pt>
              </c:numCache>
            </c:numRef>
          </c:val>
          <c:extLst>
            <c:ext xmlns:c16="http://schemas.microsoft.com/office/drawing/2014/chart" uri="{C3380CC4-5D6E-409C-BE32-E72D297353CC}">
              <c16:uniqueId val="{00000002-41C1-41E0-999F-2F645F5341A0}"/>
            </c:ext>
          </c:extLst>
        </c:ser>
        <c:ser>
          <c:idx val="3"/>
          <c:order val="3"/>
          <c:tx>
            <c:strRef>
              <c:f>Sheet1!$E$61</c:f>
              <c:strCache>
                <c:ptCount val="1"/>
                <c:pt idx="0">
                  <c:v>26 – 50 %</c:v>
                </c:pt>
              </c:strCache>
            </c:strRef>
          </c:tx>
          <c:spPr>
            <a:solidFill>
              <a:schemeClr val="accent4"/>
            </a:solidFill>
            <a:ln>
              <a:noFill/>
            </a:ln>
            <a:effectLst/>
          </c:spPr>
          <c:invertIfNegative val="0"/>
          <c:cat>
            <c:strRef>
              <c:f>Sheet1!$A$62:$A$64</c:f>
              <c:strCache>
                <c:ptCount val="3"/>
                <c:pt idx="0">
                  <c:v>Aplikace</c:v>
                </c:pt>
                <c:pt idx="1">
                  <c:v>Inovace</c:v>
                </c:pt>
                <c:pt idx="2">
                  <c:v>Potenciál</c:v>
                </c:pt>
              </c:strCache>
            </c:strRef>
          </c:cat>
          <c:val>
            <c:numRef>
              <c:f>Sheet1!$E$62:$E$64</c:f>
              <c:numCache>
                <c:formatCode>General</c:formatCode>
                <c:ptCount val="3"/>
                <c:pt idx="0">
                  <c:v>5</c:v>
                </c:pt>
                <c:pt idx="1">
                  <c:v>2</c:v>
                </c:pt>
                <c:pt idx="2">
                  <c:v>1</c:v>
                </c:pt>
              </c:numCache>
            </c:numRef>
          </c:val>
          <c:extLst>
            <c:ext xmlns:c16="http://schemas.microsoft.com/office/drawing/2014/chart" uri="{C3380CC4-5D6E-409C-BE32-E72D297353CC}">
              <c16:uniqueId val="{00000003-41C1-41E0-999F-2F645F5341A0}"/>
            </c:ext>
          </c:extLst>
        </c:ser>
        <c:ser>
          <c:idx val="4"/>
          <c:order val="4"/>
          <c:tx>
            <c:strRef>
              <c:f>Sheet1!$F$61</c:f>
              <c:strCache>
                <c:ptCount val="1"/>
                <c:pt idx="0">
                  <c:v>Více než 50 %</c:v>
                </c:pt>
              </c:strCache>
            </c:strRef>
          </c:tx>
          <c:spPr>
            <a:solidFill>
              <a:schemeClr val="accent5"/>
            </a:solidFill>
            <a:ln>
              <a:noFill/>
            </a:ln>
            <a:effectLst/>
          </c:spPr>
          <c:invertIfNegative val="0"/>
          <c:cat>
            <c:strRef>
              <c:f>Sheet1!$A$62:$A$64</c:f>
              <c:strCache>
                <c:ptCount val="3"/>
                <c:pt idx="0">
                  <c:v>Aplikace</c:v>
                </c:pt>
                <c:pt idx="1">
                  <c:v>Inovace</c:v>
                </c:pt>
                <c:pt idx="2">
                  <c:v>Potenciál</c:v>
                </c:pt>
              </c:strCache>
            </c:strRef>
          </c:cat>
          <c:val>
            <c:numRef>
              <c:f>Sheet1!$F$62:$F$64</c:f>
              <c:numCache>
                <c:formatCode>General</c:formatCode>
                <c:ptCount val="3"/>
                <c:pt idx="0">
                  <c:v>3</c:v>
                </c:pt>
                <c:pt idx="1">
                  <c:v>1</c:v>
                </c:pt>
                <c:pt idx="2">
                  <c:v>3</c:v>
                </c:pt>
              </c:numCache>
            </c:numRef>
          </c:val>
          <c:extLst>
            <c:ext xmlns:c16="http://schemas.microsoft.com/office/drawing/2014/chart" uri="{C3380CC4-5D6E-409C-BE32-E72D297353CC}">
              <c16:uniqueId val="{00000004-41C1-41E0-999F-2F645F5341A0}"/>
            </c:ext>
          </c:extLst>
        </c:ser>
        <c:dLbls>
          <c:showLegendKey val="0"/>
          <c:showVal val="0"/>
          <c:showCatName val="0"/>
          <c:showSerName val="0"/>
          <c:showPercent val="0"/>
          <c:showBubbleSize val="0"/>
        </c:dLbls>
        <c:gapWidth val="219"/>
        <c:overlap val="-27"/>
        <c:axId val="340158464"/>
        <c:axId val="465615616"/>
      </c:barChart>
      <c:catAx>
        <c:axId val="3401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cs-CZ"/>
          </a:p>
        </c:txPr>
        <c:crossAx val="465615616"/>
        <c:crosses val="autoZero"/>
        <c:auto val="1"/>
        <c:lblAlgn val="ctr"/>
        <c:lblOffset val="100"/>
        <c:noMultiLvlLbl val="0"/>
      </c:catAx>
      <c:valAx>
        <c:axId val="465615616"/>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cs-CZ"/>
          </a:p>
        </c:txPr>
        <c:crossAx val="340158464"/>
        <c:crosses val="autoZero"/>
        <c:crossBetween val="between"/>
      </c:valAx>
      <c:spPr>
        <a:noFill/>
        <a:ln>
          <a:noFill/>
        </a:ln>
        <a:effectLst/>
      </c:spPr>
    </c:plotArea>
    <c:legend>
      <c:legendPos val="r"/>
      <c:layout/>
      <c:overlay val="0"/>
      <c:spPr>
        <a:noFill/>
        <a:ln>
          <a:noFill/>
        </a:ln>
        <a:effectLst/>
      </c:spPr>
      <c:txPr>
        <a:bodyPr rot="0" vert="horz"/>
        <a:lstStyle/>
        <a:p>
          <a:pPr>
            <a:defRPr/>
          </a:pPr>
          <a:endParaRPr lang="cs-CZ"/>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theme/theme1.xml><?xml version="1.0" encoding="utf-8"?>
<a:theme xmlns:a="http://schemas.openxmlformats.org/drawingml/2006/main" name="Office Theme">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A036A-60DC-46D1-A69D-B481600A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35865</Words>
  <Characters>211606</Characters>
  <Application>Microsoft Office Word</Application>
  <DocSecurity>0</DocSecurity>
  <Lines>1763</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2019-06-19T07:32:00Z</dcterms:created>
  <dcterms:modified xsi:type="dcterms:W3CDTF">2019-06-19T07:35:00Z</dcterms:modified>
  <dc:language/>
</cp:coreProperties>
</file>