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D2570" w14:textId="77777777" w:rsidR="001041B1" w:rsidRPr="00B61281" w:rsidRDefault="001041B1" w:rsidP="00E118FD">
      <w:pPr>
        <w:pStyle w:val="Nzev"/>
        <w:spacing w:line="276" w:lineRule="auto"/>
        <w:jc w:val="center"/>
        <w:rPr>
          <w:rFonts w:ascii="Calibri" w:hAnsi="Calibri" w:cs="Calibri"/>
        </w:rPr>
      </w:pPr>
      <w:bookmarkStart w:id="0" w:name="_GoBack"/>
      <w:bookmarkEnd w:id="0"/>
    </w:p>
    <w:p w14:paraId="71820570" w14:textId="77777777" w:rsidR="00367B11" w:rsidRPr="00B61281" w:rsidRDefault="00367B11" w:rsidP="00E118FD">
      <w:pPr>
        <w:pStyle w:val="Nzev"/>
        <w:spacing w:line="276" w:lineRule="auto"/>
        <w:jc w:val="center"/>
        <w:rPr>
          <w:rFonts w:ascii="Calibri" w:hAnsi="Calibri" w:cs="Calibri"/>
        </w:rPr>
      </w:pPr>
    </w:p>
    <w:p w14:paraId="24178C08" w14:textId="77777777" w:rsidR="007A372D" w:rsidRPr="00B61281" w:rsidRDefault="007A372D" w:rsidP="00E118FD">
      <w:pPr>
        <w:pStyle w:val="Nzev"/>
        <w:spacing w:line="276" w:lineRule="auto"/>
        <w:jc w:val="center"/>
        <w:rPr>
          <w:rFonts w:ascii="Calibri" w:hAnsi="Calibri" w:cs="Calibri"/>
        </w:rPr>
      </w:pPr>
    </w:p>
    <w:p w14:paraId="3663C993" w14:textId="77777777" w:rsidR="007A372D" w:rsidRPr="00B61281" w:rsidRDefault="007A372D" w:rsidP="00E118FD">
      <w:pPr>
        <w:pStyle w:val="Nzev"/>
        <w:spacing w:line="276" w:lineRule="auto"/>
        <w:jc w:val="center"/>
        <w:rPr>
          <w:rFonts w:ascii="Calibri" w:hAnsi="Calibri" w:cs="Calibri"/>
        </w:rPr>
      </w:pPr>
    </w:p>
    <w:p w14:paraId="2D38EEDC" w14:textId="77777777" w:rsidR="00C41C92" w:rsidRPr="00B61281" w:rsidRDefault="00C41C92" w:rsidP="00E118FD">
      <w:pPr>
        <w:pStyle w:val="Nzev"/>
        <w:spacing w:line="276" w:lineRule="auto"/>
        <w:jc w:val="center"/>
        <w:rPr>
          <w:rFonts w:ascii="Calibri" w:hAnsi="Calibri" w:cs="Calibri"/>
        </w:rPr>
      </w:pPr>
    </w:p>
    <w:p w14:paraId="7C303B52" w14:textId="77777777" w:rsidR="007A372D" w:rsidRPr="00B61281" w:rsidRDefault="007A372D" w:rsidP="00E118FD">
      <w:pPr>
        <w:pStyle w:val="Nzev"/>
        <w:spacing w:line="276" w:lineRule="auto"/>
        <w:jc w:val="center"/>
        <w:rPr>
          <w:rFonts w:ascii="Calibri" w:hAnsi="Calibri" w:cs="Calibri"/>
        </w:rPr>
      </w:pPr>
    </w:p>
    <w:p w14:paraId="6160AAFA" w14:textId="77777777" w:rsidR="00830835" w:rsidRPr="00B61281" w:rsidRDefault="00111433" w:rsidP="00E118FD">
      <w:pPr>
        <w:pStyle w:val="Nzev"/>
        <w:spacing w:line="276" w:lineRule="auto"/>
        <w:jc w:val="center"/>
        <w:rPr>
          <w:rFonts w:ascii="Calibri" w:hAnsi="Calibri" w:cs="Calibri"/>
        </w:rPr>
      </w:pPr>
      <w:r>
        <w:rPr>
          <w:rFonts w:ascii="Calibri" w:hAnsi="Calibri" w:cs="Calibri"/>
        </w:rPr>
        <w:t>ZÁVĚREČNÁ</w:t>
      </w:r>
      <w:r w:rsidR="00C255A9" w:rsidRPr="00B61281">
        <w:rPr>
          <w:rFonts w:ascii="Calibri" w:hAnsi="Calibri" w:cs="Calibri"/>
        </w:rPr>
        <w:t xml:space="preserve"> ZPRÁVA</w:t>
      </w:r>
      <w:r w:rsidR="00830835" w:rsidRPr="00B61281">
        <w:rPr>
          <w:rFonts w:ascii="Calibri" w:hAnsi="Calibri" w:cs="Calibri"/>
        </w:rPr>
        <w:t xml:space="preserve"> </w:t>
      </w:r>
    </w:p>
    <w:p w14:paraId="548C3221" w14:textId="77777777" w:rsidR="00830835" w:rsidRPr="00B61281" w:rsidRDefault="00830835" w:rsidP="00E118FD">
      <w:pPr>
        <w:pStyle w:val="Nzev"/>
        <w:spacing w:line="276" w:lineRule="auto"/>
        <w:jc w:val="center"/>
        <w:rPr>
          <w:rFonts w:ascii="Calibri" w:hAnsi="Calibri" w:cs="Calibri"/>
          <w:sz w:val="32"/>
        </w:rPr>
      </w:pPr>
    </w:p>
    <w:p w14:paraId="216BF8C0" w14:textId="24864253" w:rsidR="0034096B" w:rsidRPr="00B61281" w:rsidRDefault="0034096B" w:rsidP="00E118FD">
      <w:pPr>
        <w:pStyle w:val="Nzev"/>
        <w:spacing w:line="276" w:lineRule="auto"/>
        <w:jc w:val="center"/>
        <w:rPr>
          <w:rFonts w:ascii="Calibri" w:hAnsi="Calibri" w:cs="Calibri"/>
        </w:rPr>
      </w:pPr>
      <w:r w:rsidRPr="00B61281">
        <w:rPr>
          <w:rFonts w:ascii="Calibri" w:hAnsi="Calibri" w:cs="Calibri"/>
        </w:rPr>
        <w:t xml:space="preserve">Výsledková evaluace specifických cílů </w:t>
      </w:r>
      <w:r w:rsidR="006D6074">
        <w:rPr>
          <w:rFonts w:ascii="Calibri" w:hAnsi="Calibri" w:cs="Calibri"/>
        </w:rPr>
        <w:t>3</w:t>
      </w:r>
      <w:r w:rsidR="00111433">
        <w:rPr>
          <w:rFonts w:ascii="Calibri" w:hAnsi="Calibri" w:cs="Calibri"/>
        </w:rPr>
        <w:t>.1</w:t>
      </w:r>
      <w:r w:rsidR="006D6074">
        <w:rPr>
          <w:rFonts w:ascii="Calibri" w:hAnsi="Calibri" w:cs="Calibri"/>
        </w:rPr>
        <w:t xml:space="preserve">, 3.2 </w:t>
      </w:r>
      <w:r w:rsidR="00111433">
        <w:rPr>
          <w:rFonts w:ascii="Calibri" w:hAnsi="Calibri" w:cs="Calibri"/>
        </w:rPr>
        <w:t xml:space="preserve">a </w:t>
      </w:r>
      <w:r w:rsidR="006D6074">
        <w:rPr>
          <w:rFonts w:ascii="Calibri" w:hAnsi="Calibri" w:cs="Calibri"/>
        </w:rPr>
        <w:t>3.4</w:t>
      </w:r>
      <w:r w:rsidR="00B61281">
        <w:rPr>
          <w:rFonts w:ascii="Calibri" w:hAnsi="Calibri" w:cs="Calibri"/>
        </w:rPr>
        <w:t xml:space="preserve"> </w:t>
      </w:r>
      <w:r w:rsidRPr="00B61281">
        <w:rPr>
          <w:rFonts w:ascii="Calibri" w:hAnsi="Calibri" w:cs="Calibri"/>
        </w:rPr>
        <w:t>OP PIK</w:t>
      </w:r>
    </w:p>
    <w:p w14:paraId="4632B2A5" w14:textId="77777777" w:rsidR="001041B1" w:rsidRPr="00B61281" w:rsidRDefault="001041B1" w:rsidP="00E118FD">
      <w:pPr>
        <w:pStyle w:val="Nzev"/>
        <w:spacing w:line="276" w:lineRule="auto"/>
        <w:jc w:val="center"/>
        <w:rPr>
          <w:rFonts w:ascii="Calibri" w:hAnsi="Calibri" w:cs="Calibri"/>
          <w:b w:val="0"/>
        </w:rPr>
      </w:pPr>
    </w:p>
    <w:p w14:paraId="21FC3611" w14:textId="77777777" w:rsidR="00C41C92" w:rsidRDefault="00C41C92" w:rsidP="00E118FD">
      <w:pPr>
        <w:pStyle w:val="Nzev"/>
        <w:spacing w:line="276" w:lineRule="auto"/>
        <w:jc w:val="center"/>
        <w:rPr>
          <w:rFonts w:ascii="Calibri" w:hAnsi="Calibri" w:cs="Calibri"/>
          <w:b w:val="0"/>
        </w:rPr>
      </w:pPr>
    </w:p>
    <w:p w14:paraId="6C90E468" w14:textId="77777777" w:rsidR="00502D83" w:rsidRPr="00B61281" w:rsidRDefault="00502D83" w:rsidP="00E118FD">
      <w:pPr>
        <w:pStyle w:val="Nzev"/>
        <w:spacing w:line="276" w:lineRule="auto"/>
        <w:jc w:val="center"/>
        <w:rPr>
          <w:rFonts w:ascii="Calibri" w:hAnsi="Calibri" w:cs="Calibri"/>
          <w:b w:val="0"/>
        </w:rPr>
      </w:pPr>
    </w:p>
    <w:p w14:paraId="63B2E0A6" w14:textId="77777777" w:rsidR="00C41C92" w:rsidRDefault="00C41C92" w:rsidP="00E118FD">
      <w:pPr>
        <w:pStyle w:val="Nzev"/>
        <w:spacing w:line="276" w:lineRule="auto"/>
        <w:jc w:val="center"/>
        <w:rPr>
          <w:rFonts w:ascii="Calibri" w:hAnsi="Calibri" w:cs="Calibri"/>
          <w:b w:val="0"/>
        </w:rPr>
      </w:pPr>
    </w:p>
    <w:p w14:paraId="60611C2A" w14:textId="77777777" w:rsidR="00D3770C" w:rsidRPr="00B61281" w:rsidRDefault="00D3770C" w:rsidP="00E118FD">
      <w:pPr>
        <w:pStyle w:val="Nzev"/>
        <w:spacing w:line="276" w:lineRule="auto"/>
        <w:jc w:val="center"/>
        <w:rPr>
          <w:rFonts w:ascii="Calibri" w:hAnsi="Calibri" w:cs="Calibri"/>
          <w:b w:val="0"/>
        </w:rPr>
      </w:pPr>
    </w:p>
    <w:p w14:paraId="08826BA0" w14:textId="77777777" w:rsidR="007A372D" w:rsidRPr="00B61281" w:rsidRDefault="00C41C92" w:rsidP="00E118FD">
      <w:pPr>
        <w:pStyle w:val="Nzev"/>
        <w:spacing w:line="276" w:lineRule="auto"/>
        <w:jc w:val="center"/>
        <w:rPr>
          <w:rFonts w:ascii="Calibri" w:hAnsi="Calibri" w:cs="Calibri"/>
        </w:rPr>
      </w:pPr>
      <w:r w:rsidRPr="00B61281">
        <w:rPr>
          <w:rFonts w:ascii="Calibri" w:hAnsi="Calibri" w:cs="Calibri"/>
          <w:noProof/>
          <w:lang w:eastAsia="cs-CZ"/>
        </w:rPr>
        <w:drawing>
          <wp:inline distT="0" distB="0" distL="0" distR="0" wp14:anchorId="5C614E2D" wp14:editId="1C010079">
            <wp:extent cx="1597025" cy="1109345"/>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7025" cy="1109345"/>
                    </a:xfrm>
                    <a:prstGeom prst="rect">
                      <a:avLst/>
                    </a:prstGeom>
                    <a:noFill/>
                  </pic:spPr>
                </pic:pic>
              </a:graphicData>
            </a:graphic>
          </wp:inline>
        </w:drawing>
      </w:r>
    </w:p>
    <w:p w14:paraId="0E678FFA" w14:textId="77777777" w:rsidR="007A372D" w:rsidRPr="00B61281" w:rsidRDefault="007A372D" w:rsidP="00E118FD">
      <w:pPr>
        <w:pStyle w:val="Nzev"/>
        <w:spacing w:line="276" w:lineRule="auto"/>
        <w:jc w:val="center"/>
        <w:rPr>
          <w:rFonts w:ascii="Calibri" w:hAnsi="Calibri" w:cs="Calibri"/>
        </w:rPr>
      </w:pPr>
    </w:p>
    <w:p w14:paraId="360B1BCC" w14:textId="77777777" w:rsidR="007A372D" w:rsidRPr="00B61281" w:rsidRDefault="007A372D" w:rsidP="00E118FD">
      <w:pPr>
        <w:pStyle w:val="Nzev"/>
        <w:spacing w:line="276" w:lineRule="auto"/>
        <w:jc w:val="center"/>
        <w:rPr>
          <w:rFonts w:ascii="Calibri" w:hAnsi="Calibri" w:cs="Calibri"/>
        </w:rPr>
      </w:pPr>
    </w:p>
    <w:p w14:paraId="336363BC" w14:textId="2423DCD6" w:rsidR="00830835" w:rsidRDefault="00131C2F" w:rsidP="00E118FD">
      <w:pPr>
        <w:spacing w:after="0"/>
        <w:jc w:val="center"/>
        <w:rPr>
          <w:rFonts w:ascii="Calibri" w:hAnsi="Calibri" w:cs="Calibri"/>
        </w:rPr>
      </w:pPr>
      <w:r>
        <w:rPr>
          <w:rFonts w:ascii="Calibri" w:hAnsi="Calibri" w:cs="Calibri"/>
        </w:rPr>
        <w:t>červ</w:t>
      </w:r>
      <w:r w:rsidR="002F0F2C">
        <w:rPr>
          <w:rFonts w:ascii="Calibri" w:hAnsi="Calibri" w:cs="Calibri"/>
        </w:rPr>
        <w:t>e</w:t>
      </w:r>
      <w:r>
        <w:rPr>
          <w:rFonts w:ascii="Calibri" w:hAnsi="Calibri" w:cs="Calibri"/>
        </w:rPr>
        <w:t>n</w:t>
      </w:r>
      <w:r w:rsidR="007A372D" w:rsidRPr="00B61281">
        <w:rPr>
          <w:rFonts w:ascii="Calibri" w:hAnsi="Calibri" w:cs="Calibri"/>
        </w:rPr>
        <w:t xml:space="preserve"> 201</w:t>
      </w:r>
      <w:r w:rsidR="00B61281">
        <w:rPr>
          <w:rFonts w:ascii="Calibri" w:hAnsi="Calibri" w:cs="Calibri"/>
        </w:rPr>
        <w:t>9</w:t>
      </w:r>
      <w:r w:rsidR="00830835" w:rsidRPr="00B61281">
        <w:rPr>
          <w:rFonts w:ascii="Calibri" w:hAnsi="Calibri" w:cs="Calibri"/>
        </w:rPr>
        <w:t xml:space="preserve"> </w:t>
      </w:r>
    </w:p>
    <w:p w14:paraId="06F5EA08" w14:textId="77777777" w:rsidR="00D3770C" w:rsidRPr="00B61281" w:rsidRDefault="00D3770C" w:rsidP="00E118FD">
      <w:pPr>
        <w:spacing w:after="0"/>
        <w:jc w:val="center"/>
        <w:rPr>
          <w:rFonts w:ascii="Calibri" w:hAnsi="Calibri" w:cs="Calibri"/>
        </w:rPr>
      </w:pPr>
    </w:p>
    <w:bookmarkStart w:id="1" w:name="_Toc518115754" w:displacedByCustomXml="next"/>
    <w:sdt>
      <w:sdtPr>
        <w:rPr>
          <w:rFonts w:ascii="Calibri" w:hAnsi="Calibri" w:cs="Calibri"/>
          <w:b/>
          <w:bCs/>
          <w:caps/>
        </w:rPr>
        <w:id w:val="1056892766"/>
        <w:docPartObj>
          <w:docPartGallery w:val="Table of Contents"/>
          <w:docPartUnique/>
        </w:docPartObj>
      </w:sdtPr>
      <w:sdtEndPr>
        <w:rPr>
          <w:b w:val="0"/>
          <w:bCs w:val="0"/>
          <w:caps w:val="0"/>
        </w:rPr>
      </w:sdtEndPr>
      <w:sdtContent>
        <w:p w14:paraId="231FFA5E" w14:textId="77777777" w:rsidR="00E118FD" w:rsidRDefault="00E118FD" w:rsidP="00E118FD">
          <w:pPr>
            <w:spacing w:after="0"/>
            <w:rPr>
              <w:rFonts w:ascii="Calibri" w:hAnsi="Calibri" w:cs="Calibri"/>
              <w:b/>
              <w:bCs/>
              <w:caps/>
            </w:rPr>
          </w:pPr>
        </w:p>
        <w:p w14:paraId="1CD4AA3D" w14:textId="77777777" w:rsidR="00E118FD" w:rsidRDefault="00E118FD">
          <w:pPr>
            <w:rPr>
              <w:rFonts w:ascii="Calibri" w:hAnsi="Calibri" w:cs="Calibri"/>
              <w:b/>
              <w:bCs/>
              <w:caps/>
            </w:rPr>
          </w:pPr>
          <w:r>
            <w:rPr>
              <w:rFonts w:ascii="Calibri" w:hAnsi="Calibri" w:cs="Calibri"/>
              <w:b/>
              <w:bCs/>
              <w:caps/>
            </w:rPr>
            <w:br w:type="page"/>
          </w:r>
        </w:p>
        <w:p w14:paraId="2593A195" w14:textId="77777777" w:rsidR="001041B1" w:rsidRDefault="001041B1" w:rsidP="00EC3461">
          <w:pPr>
            <w:spacing w:after="0"/>
            <w:rPr>
              <w:rFonts w:eastAsia="Times New Roman" w:cstheme="minorHAnsi"/>
              <w:b/>
              <w:bCs/>
              <w:caps/>
              <w:color w:val="232E83"/>
              <w:kern w:val="32"/>
              <w:sz w:val="26"/>
              <w:szCs w:val="32"/>
              <w:lang w:eastAsia="sk-SK"/>
            </w:rPr>
          </w:pPr>
          <w:r w:rsidRPr="00EC3461">
            <w:rPr>
              <w:rFonts w:eastAsia="Times New Roman" w:cstheme="minorHAnsi"/>
              <w:b/>
              <w:bCs/>
              <w:caps/>
              <w:color w:val="232E83"/>
              <w:kern w:val="32"/>
              <w:sz w:val="26"/>
              <w:szCs w:val="32"/>
              <w:lang w:eastAsia="sk-SK"/>
            </w:rPr>
            <w:lastRenderedPageBreak/>
            <w:t>OBSAH</w:t>
          </w:r>
          <w:bookmarkEnd w:id="1"/>
        </w:p>
        <w:p w14:paraId="43DB18A6" w14:textId="77777777" w:rsidR="00501FB8" w:rsidRPr="00EC3461" w:rsidRDefault="00501FB8" w:rsidP="00EC3461">
          <w:pPr>
            <w:spacing w:after="0"/>
            <w:rPr>
              <w:rFonts w:eastAsia="Times New Roman" w:cstheme="minorHAnsi"/>
              <w:b/>
              <w:bCs/>
              <w:caps/>
              <w:color w:val="232E83"/>
              <w:kern w:val="32"/>
              <w:sz w:val="26"/>
              <w:szCs w:val="32"/>
              <w:lang w:eastAsia="sk-SK"/>
            </w:rPr>
          </w:pPr>
        </w:p>
        <w:p w14:paraId="1E5D83E4" w14:textId="1EBD5B3D" w:rsidR="00A96932" w:rsidRPr="00E2612F" w:rsidRDefault="001E5696">
          <w:pPr>
            <w:pStyle w:val="Obsah2"/>
            <w:tabs>
              <w:tab w:val="right" w:leader="dot" w:pos="9316"/>
            </w:tabs>
            <w:rPr>
              <w:rFonts w:eastAsiaTheme="minorEastAsia" w:cstheme="minorHAnsi"/>
              <w:noProof/>
              <w:lang w:eastAsia="cs-CZ"/>
            </w:rPr>
          </w:pPr>
          <w:r w:rsidRPr="00E2612F">
            <w:rPr>
              <w:rFonts w:cstheme="minorHAnsi"/>
            </w:rPr>
            <w:fldChar w:fldCharType="begin"/>
          </w:r>
          <w:r w:rsidR="001041B1" w:rsidRPr="00E2612F">
            <w:rPr>
              <w:rFonts w:cstheme="minorHAnsi"/>
            </w:rPr>
            <w:instrText xml:space="preserve"> TOC \o "1-3" \h \z \u </w:instrText>
          </w:r>
          <w:r w:rsidRPr="00E2612F">
            <w:rPr>
              <w:rFonts w:cstheme="minorHAnsi"/>
            </w:rPr>
            <w:fldChar w:fldCharType="separate"/>
          </w:r>
          <w:hyperlink w:anchor="_Toc10729902" w:history="1">
            <w:r w:rsidR="00A96932" w:rsidRPr="00E2612F">
              <w:rPr>
                <w:rStyle w:val="Hypertextovodkaz"/>
                <w:rFonts w:cstheme="minorHAnsi"/>
                <w:noProof/>
              </w:rPr>
              <w:t>Seznam zkratek</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_Toc10729902 \h </w:instrText>
            </w:r>
            <w:r w:rsidR="00A96932" w:rsidRPr="00E2612F">
              <w:rPr>
                <w:rFonts w:cstheme="minorHAnsi"/>
                <w:noProof/>
                <w:webHidden/>
              </w:rPr>
            </w:r>
            <w:r w:rsidR="00A96932" w:rsidRPr="00E2612F">
              <w:rPr>
                <w:rFonts w:cstheme="minorHAnsi"/>
                <w:noProof/>
                <w:webHidden/>
              </w:rPr>
              <w:fldChar w:fldCharType="separate"/>
            </w:r>
            <w:r w:rsidR="00E12F39">
              <w:rPr>
                <w:rFonts w:cstheme="minorHAnsi"/>
                <w:noProof/>
                <w:webHidden/>
              </w:rPr>
              <w:t>6</w:t>
            </w:r>
            <w:r w:rsidR="00A96932" w:rsidRPr="00E2612F">
              <w:rPr>
                <w:rFonts w:cstheme="minorHAnsi"/>
                <w:noProof/>
                <w:webHidden/>
              </w:rPr>
              <w:fldChar w:fldCharType="end"/>
            </w:r>
          </w:hyperlink>
        </w:p>
        <w:p w14:paraId="049976F5" w14:textId="7006E773" w:rsidR="00A96932" w:rsidRPr="00E2612F" w:rsidRDefault="00E12F39">
          <w:pPr>
            <w:pStyle w:val="Obsah1"/>
            <w:rPr>
              <w:rFonts w:asciiTheme="minorHAnsi" w:hAnsiTheme="minorHAnsi" w:cstheme="minorHAnsi"/>
              <w:b w:val="0"/>
              <w:caps w:val="0"/>
              <w:lang w:eastAsia="cs-CZ"/>
            </w:rPr>
          </w:pPr>
          <w:hyperlink w:anchor="_Toc10729903" w:history="1">
            <w:r w:rsidR="00A96932" w:rsidRPr="00E2612F">
              <w:rPr>
                <w:rStyle w:val="Hypertextovodkaz"/>
                <w:rFonts w:asciiTheme="minorHAnsi" w:hAnsiTheme="minorHAnsi" w:cstheme="minorHAnsi"/>
              </w:rPr>
              <w:t>1</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úvod</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_Toc10729903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8</w:t>
            </w:r>
            <w:r w:rsidR="00A96932" w:rsidRPr="00E2612F">
              <w:rPr>
                <w:rFonts w:asciiTheme="minorHAnsi" w:hAnsiTheme="minorHAnsi" w:cstheme="minorHAnsi"/>
                <w:webHidden/>
              </w:rPr>
              <w:fldChar w:fldCharType="end"/>
            </w:r>
          </w:hyperlink>
        </w:p>
        <w:p w14:paraId="0E75402A" w14:textId="58568365" w:rsidR="00A96932" w:rsidRPr="00E2612F" w:rsidRDefault="00E12F39">
          <w:pPr>
            <w:pStyle w:val="Obsah2"/>
            <w:tabs>
              <w:tab w:val="left" w:pos="880"/>
              <w:tab w:val="right" w:leader="dot" w:pos="9316"/>
            </w:tabs>
            <w:rPr>
              <w:rFonts w:eastAsiaTheme="minorEastAsia" w:cstheme="minorHAnsi"/>
              <w:noProof/>
              <w:lang w:eastAsia="cs-CZ"/>
            </w:rPr>
          </w:pPr>
          <w:hyperlink w:anchor="_Toc10729904" w:history="1">
            <w:r w:rsidR="00A96932" w:rsidRPr="00E2612F">
              <w:rPr>
                <w:rStyle w:val="Hypertextovodkaz"/>
                <w:rFonts w:cstheme="minorHAnsi"/>
                <w:noProof/>
              </w:rPr>
              <w:t>1.1</w:t>
            </w:r>
            <w:r w:rsidR="00A96932" w:rsidRPr="00E2612F">
              <w:rPr>
                <w:rFonts w:eastAsiaTheme="minorEastAsia" w:cstheme="minorHAnsi"/>
                <w:noProof/>
                <w:lang w:eastAsia="cs-CZ"/>
              </w:rPr>
              <w:tab/>
            </w:r>
            <w:r w:rsidR="00A96932" w:rsidRPr="00E2612F">
              <w:rPr>
                <w:rStyle w:val="Hypertextovodkaz"/>
                <w:rFonts w:cstheme="minorHAnsi"/>
                <w:noProof/>
              </w:rPr>
              <w:t>Identifikace objednatele a dodavatele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_Toc10729904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w:t>
            </w:r>
            <w:r w:rsidR="00A96932" w:rsidRPr="00E2612F">
              <w:rPr>
                <w:rFonts w:cstheme="minorHAnsi"/>
                <w:noProof/>
                <w:webHidden/>
              </w:rPr>
              <w:fldChar w:fldCharType="end"/>
            </w:r>
          </w:hyperlink>
        </w:p>
        <w:p w14:paraId="432B56B6" w14:textId="1673D642" w:rsidR="00A96932" w:rsidRPr="00E2612F" w:rsidRDefault="00E12F39">
          <w:pPr>
            <w:pStyle w:val="Obsah2"/>
            <w:tabs>
              <w:tab w:val="left" w:pos="880"/>
              <w:tab w:val="right" w:leader="dot" w:pos="9316"/>
            </w:tabs>
            <w:rPr>
              <w:rFonts w:eastAsiaTheme="minorEastAsia" w:cstheme="minorHAnsi"/>
              <w:noProof/>
              <w:lang w:eastAsia="cs-CZ"/>
            </w:rPr>
          </w:pPr>
          <w:hyperlink w:anchor="_Toc10729905" w:history="1">
            <w:r w:rsidR="00A96932" w:rsidRPr="00E2612F">
              <w:rPr>
                <w:rStyle w:val="Hypertextovodkaz"/>
                <w:rFonts w:cstheme="minorHAnsi"/>
                <w:noProof/>
              </w:rPr>
              <w:t>1.2</w:t>
            </w:r>
            <w:r w:rsidR="00A96932" w:rsidRPr="00E2612F">
              <w:rPr>
                <w:rFonts w:eastAsiaTheme="minorEastAsia" w:cstheme="minorHAnsi"/>
                <w:noProof/>
                <w:lang w:eastAsia="cs-CZ"/>
              </w:rPr>
              <w:tab/>
            </w:r>
            <w:r w:rsidR="00A96932" w:rsidRPr="00E2612F">
              <w:rPr>
                <w:rStyle w:val="Hypertextovodkaz"/>
                <w:rFonts w:cstheme="minorHAnsi"/>
                <w:noProof/>
              </w:rPr>
              <w:t>Cíle evaluačního projektu</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_Toc10729905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w:t>
            </w:r>
            <w:r w:rsidR="00A96932" w:rsidRPr="00E2612F">
              <w:rPr>
                <w:rFonts w:cstheme="minorHAnsi"/>
                <w:noProof/>
                <w:webHidden/>
              </w:rPr>
              <w:fldChar w:fldCharType="end"/>
            </w:r>
          </w:hyperlink>
        </w:p>
        <w:p w14:paraId="70AA5A95" w14:textId="1E04256D" w:rsidR="00A96932" w:rsidRPr="00E2612F" w:rsidRDefault="00E12F39">
          <w:pPr>
            <w:pStyle w:val="Obsah2"/>
            <w:tabs>
              <w:tab w:val="left" w:pos="880"/>
              <w:tab w:val="right" w:leader="dot" w:pos="9316"/>
            </w:tabs>
            <w:rPr>
              <w:rFonts w:eastAsiaTheme="minorEastAsia" w:cstheme="minorHAnsi"/>
              <w:noProof/>
              <w:lang w:eastAsia="cs-CZ"/>
            </w:rPr>
          </w:pPr>
          <w:hyperlink w:anchor="_Toc10729906" w:history="1">
            <w:r w:rsidR="00A96932" w:rsidRPr="00E2612F">
              <w:rPr>
                <w:rStyle w:val="Hypertextovodkaz"/>
                <w:rFonts w:cstheme="minorHAnsi"/>
                <w:noProof/>
              </w:rPr>
              <w:t>1.3</w:t>
            </w:r>
            <w:r w:rsidR="00A96932" w:rsidRPr="00E2612F">
              <w:rPr>
                <w:rFonts w:eastAsiaTheme="minorEastAsia" w:cstheme="minorHAnsi"/>
                <w:noProof/>
                <w:lang w:eastAsia="cs-CZ"/>
              </w:rPr>
              <w:tab/>
            </w:r>
            <w:r w:rsidR="00A96932" w:rsidRPr="00E2612F">
              <w:rPr>
                <w:rStyle w:val="Hypertextovodkaz"/>
                <w:rFonts w:cstheme="minorHAnsi"/>
                <w:noProof/>
              </w:rPr>
              <w:t>Účel zprávy</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_Toc10729906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w:t>
            </w:r>
            <w:r w:rsidR="00A96932" w:rsidRPr="00E2612F">
              <w:rPr>
                <w:rFonts w:cstheme="minorHAnsi"/>
                <w:noProof/>
                <w:webHidden/>
              </w:rPr>
              <w:fldChar w:fldCharType="end"/>
            </w:r>
          </w:hyperlink>
        </w:p>
        <w:p w14:paraId="5261F77F" w14:textId="00B4AEDF" w:rsidR="00A96932" w:rsidRPr="00E2612F" w:rsidRDefault="00E12F39">
          <w:pPr>
            <w:pStyle w:val="Obsah2"/>
            <w:tabs>
              <w:tab w:val="left" w:pos="880"/>
              <w:tab w:val="right" w:leader="dot" w:pos="9316"/>
            </w:tabs>
            <w:rPr>
              <w:rFonts w:eastAsiaTheme="minorEastAsia" w:cstheme="minorHAnsi"/>
              <w:noProof/>
              <w:lang w:eastAsia="cs-CZ"/>
            </w:rPr>
          </w:pPr>
          <w:hyperlink w:anchor="_Toc10729907" w:history="1">
            <w:r w:rsidR="00A96932" w:rsidRPr="00E2612F">
              <w:rPr>
                <w:rStyle w:val="Hypertextovodkaz"/>
                <w:rFonts w:cstheme="minorHAnsi"/>
                <w:noProof/>
              </w:rPr>
              <w:t>1.4</w:t>
            </w:r>
            <w:r w:rsidR="00A96932" w:rsidRPr="00E2612F">
              <w:rPr>
                <w:rFonts w:eastAsiaTheme="minorEastAsia" w:cstheme="minorHAnsi"/>
                <w:noProof/>
                <w:lang w:eastAsia="cs-CZ"/>
              </w:rPr>
              <w:tab/>
            </w:r>
            <w:r w:rsidR="00A96932" w:rsidRPr="00E2612F">
              <w:rPr>
                <w:rStyle w:val="Hypertextovodkaz"/>
                <w:rFonts w:cstheme="minorHAnsi"/>
                <w:noProof/>
              </w:rPr>
              <w:t>Průběh realizace evaluačního projektu a použitá metodologie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_Toc10729907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w:t>
            </w:r>
            <w:r w:rsidR="00A96932" w:rsidRPr="00E2612F">
              <w:rPr>
                <w:rFonts w:cstheme="minorHAnsi"/>
                <w:noProof/>
                <w:webHidden/>
              </w:rPr>
              <w:fldChar w:fldCharType="end"/>
            </w:r>
          </w:hyperlink>
        </w:p>
        <w:p w14:paraId="1360963C" w14:textId="155CAB78" w:rsidR="00A96932" w:rsidRPr="00E2612F" w:rsidRDefault="00E12F39">
          <w:pPr>
            <w:pStyle w:val="Obsah1"/>
            <w:rPr>
              <w:rFonts w:asciiTheme="minorHAnsi" w:hAnsiTheme="minorHAnsi" w:cstheme="minorHAnsi"/>
              <w:b w:val="0"/>
              <w:caps w:val="0"/>
              <w:lang w:eastAsia="cs-CZ"/>
            </w:rPr>
          </w:pPr>
          <w:hyperlink w:anchor="_Toc10729908" w:history="1">
            <w:r w:rsidR="00A96932" w:rsidRPr="00E2612F">
              <w:rPr>
                <w:rStyle w:val="Hypertextovodkaz"/>
                <w:rFonts w:asciiTheme="minorHAnsi" w:hAnsiTheme="minorHAnsi" w:cstheme="minorHAnsi"/>
              </w:rPr>
              <w:t>2</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Manažerské shrnutí</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_Toc10729908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11</w:t>
            </w:r>
            <w:r w:rsidR="00A96932" w:rsidRPr="00E2612F">
              <w:rPr>
                <w:rFonts w:asciiTheme="minorHAnsi" w:hAnsiTheme="minorHAnsi" w:cstheme="minorHAnsi"/>
                <w:webHidden/>
              </w:rPr>
              <w:fldChar w:fldCharType="end"/>
            </w:r>
          </w:hyperlink>
        </w:p>
        <w:p w14:paraId="7B704021" w14:textId="4959DCD3" w:rsidR="00A96932" w:rsidRPr="00E2612F" w:rsidRDefault="00E12F39">
          <w:pPr>
            <w:pStyle w:val="Obsah1"/>
            <w:rPr>
              <w:rFonts w:asciiTheme="minorHAnsi" w:hAnsiTheme="minorHAnsi" w:cstheme="minorHAnsi"/>
              <w:b w:val="0"/>
              <w:caps w:val="0"/>
              <w:lang w:eastAsia="cs-CZ"/>
            </w:rPr>
          </w:pPr>
          <w:hyperlink w:anchor="_Toc10729909" w:history="1">
            <w:r w:rsidR="00A96932" w:rsidRPr="00E2612F">
              <w:rPr>
                <w:rStyle w:val="Hypertextovodkaz"/>
                <w:rFonts w:asciiTheme="minorHAnsi" w:hAnsiTheme="minorHAnsi" w:cstheme="minorHAnsi"/>
              </w:rPr>
              <w:t>3</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 (OZE)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_Toc10729909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14</w:t>
            </w:r>
            <w:r w:rsidR="00A96932" w:rsidRPr="00E2612F">
              <w:rPr>
                <w:rFonts w:asciiTheme="minorHAnsi" w:hAnsiTheme="minorHAnsi" w:cstheme="minorHAnsi"/>
                <w:webHidden/>
              </w:rPr>
              <w:fldChar w:fldCharType="end"/>
            </w:r>
          </w:hyperlink>
        </w:p>
        <w:p w14:paraId="1C592501" w14:textId="2931BEFA" w:rsidR="00A96932" w:rsidRPr="00E2612F" w:rsidRDefault="00E12F39">
          <w:pPr>
            <w:pStyle w:val="Obsah2"/>
            <w:tabs>
              <w:tab w:val="left" w:pos="880"/>
              <w:tab w:val="right" w:leader="dot" w:pos="9316"/>
            </w:tabs>
            <w:rPr>
              <w:rFonts w:eastAsiaTheme="minorEastAsia" w:cstheme="minorHAnsi"/>
              <w:noProof/>
              <w:lang w:eastAsia="cs-CZ"/>
            </w:rPr>
          </w:pPr>
          <w:hyperlink w:anchor="_Toc10729910" w:history="1">
            <w:r w:rsidR="00A96932" w:rsidRPr="00E2612F">
              <w:rPr>
                <w:rStyle w:val="Hypertextovodkaz"/>
                <w:rFonts w:cstheme="minorHAnsi"/>
                <w:noProof/>
              </w:rPr>
              <w:t>3.1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14</w:t>
            </w:r>
            <w:r w:rsidR="00A96932" w:rsidRPr="00E2612F">
              <w:rPr>
                <w:rFonts w:cstheme="minorHAnsi"/>
                <w:noProof/>
                <w:webHidden/>
              </w:rPr>
              <w:fldChar w:fldCharType="end"/>
            </w:r>
          </w:hyperlink>
        </w:p>
        <w:p w14:paraId="22ED6A50" w14:textId="4609356E" w:rsidR="00A96932" w:rsidRPr="00E2612F" w:rsidRDefault="00E12F39">
          <w:pPr>
            <w:pStyle w:val="Obsah2"/>
            <w:tabs>
              <w:tab w:val="left" w:pos="880"/>
              <w:tab w:val="right" w:leader="dot" w:pos="9316"/>
            </w:tabs>
            <w:rPr>
              <w:rFonts w:eastAsiaTheme="minorEastAsia" w:cstheme="minorHAnsi"/>
              <w:noProof/>
              <w:lang w:eastAsia="cs-CZ"/>
            </w:rPr>
          </w:pPr>
          <w:hyperlink w:anchor="_Toc10729911" w:history="1">
            <w:r w:rsidR="00A96932" w:rsidRPr="00E2612F">
              <w:rPr>
                <w:rStyle w:val="Hypertextovodkaz"/>
                <w:rFonts w:cstheme="minorHAnsi"/>
                <w:noProof/>
              </w:rPr>
              <w:t>3.2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14</w:t>
            </w:r>
            <w:r w:rsidR="00A96932" w:rsidRPr="00E2612F">
              <w:rPr>
                <w:rFonts w:cstheme="minorHAnsi"/>
                <w:noProof/>
                <w:webHidden/>
              </w:rPr>
              <w:fldChar w:fldCharType="end"/>
            </w:r>
          </w:hyperlink>
        </w:p>
        <w:p w14:paraId="09143577" w14:textId="2531781C" w:rsidR="00A96932" w:rsidRPr="00E2612F" w:rsidRDefault="00E12F39">
          <w:pPr>
            <w:pStyle w:val="Obsah2"/>
            <w:tabs>
              <w:tab w:val="left" w:pos="880"/>
              <w:tab w:val="right" w:leader="dot" w:pos="9316"/>
            </w:tabs>
            <w:rPr>
              <w:rFonts w:eastAsiaTheme="minorEastAsia" w:cstheme="minorHAnsi"/>
              <w:noProof/>
              <w:lang w:eastAsia="cs-CZ"/>
            </w:rPr>
          </w:pPr>
          <w:hyperlink w:anchor="_Toc10729912" w:history="1">
            <w:r w:rsidR="00A96932" w:rsidRPr="00E2612F">
              <w:rPr>
                <w:rStyle w:val="Hypertextovodkaz"/>
                <w:rFonts w:cstheme="minorHAnsi"/>
                <w:noProof/>
              </w:rPr>
              <w:t>3.3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14</w:t>
            </w:r>
            <w:r w:rsidR="00A96932" w:rsidRPr="00E2612F">
              <w:rPr>
                <w:rFonts w:cstheme="minorHAnsi"/>
                <w:noProof/>
                <w:webHidden/>
              </w:rPr>
              <w:fldChar w:fldCharType="end"/>
            </w:r>
          </w:hyperlink>
        </w:p>
        <w:p w14:paraId="6753C4C2" w14:textId="378D2EBF" w:rsidR="00A96932" w:rsidRPr="00E2612F" w:rsidRDefault="00E12F39">
          <w:pPr>
            <w:pStyle w:val="Obsah2"/>
            <w:tabs>
              <w:tab w:val="left" w:pos="880"/>
              <w:tab w:val="right" w:leader="dot" w:pos="9316"/>
            </w:tabs>
            <w:rPr>
              <w:rFonts w:eastAsiaTheme="minorEastAsia" w:cstheme="minorHAnsi"/>
              <w:noProof/>
              <w:lang w:eastAsia="cs-CZ"/>
            </w:rPr>
          </w:pPr>
          <w:hyperlink w:anchor="_Toc10729913" w:history="1">
            <w:r w:rsidR="00A96932" w:rsidRPr="00E2612F">
              <w:rPr>
                <w:rStyle w:val="Hypertextovodkaz"/>
                <w:rFonts w:cstheme="minorHAnsi"/>
                <w:noProof/>
              </w:rPr>
              <w:t>3.4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15</w:t>
            </w:r>
            <w:r w:rsidR="00A96932" w:rsidRPr="00E2612F">
              <w:rPr>
                <w:rFonts w:cstheme="minorHAnsi"/>
                <w:noProof/>
                <w:webHidden/>
              </w:rPr>
              <w:fldChar w:fldCharType="end"/>
            </w:r>
          </w:hyperlink>
        </w:p>
        <w:p w14:paraId="13B03EF7" w14:textId="4D5B8530" w:rsidR="00A96932" w:rsidRPr="00E2612F" w:rsidRDefault="00E12F39">
          <w:pPr>
            <w:pStyle w:val="Obsah3"/>
            <w:tabs>
              <w:tab w:val="left" w:pos="1320"/>
              <w:tab w:val="right" w:leader="dot" w:pos="9316"/>
            </w:tabs>
            <w:rPr>
              <w:rFonts w:eastAsiaTheme="minorEastAsia" w:cstheme="minorHAnsi"/>
              <w:noProof/>
              <w:lang w:eastAsia="cs-CZ"/>
            </w:rPr>
          </w:pPr>
          <w:hyperlink w:anchor="_Toc10729914" w:history="1">
            <w:r w:rsidR="00A96932" w:rsidRPr="00E2612F">
              <w:rPr>
                <w:rStyle w:val="Hypertextovodkaz"/>
                <w:rFonts w:cstheme="minorHAnsi"/>
                <w:noProof/>
              </w:rPr>
              <w:t>3.4.1</w:t>
            </w:r>
            <w:r w:rsidR="00A96932" w:rsidRPr="00E2612F">
              <w:rPr>
                <w:rFonts w:eastAsiaTheme="minorEastAsia" w:cstheme="minorHAnsi"/>
                <w:noProof/>
                <w:lang w:eastAsia="cs-CZ"/>
              </w:rPr>
              <w:tab/>
            </w:r>
            <w:r w:rsidR="00A96932" w:rsidRPr="00E2612F">
              <w:rPr>
                <w:rStyle w:val="Hypertextovodkaz"/>
                <w:rFonts w:cstheme="minorHAnsi"/>
                <w:noProof/>
              </w:rPr>
              <w:t>Kvantitativní vyhodnocení plnění SC</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15</w:t>
            </w:r>
            <w:r w:rsidR="00A96932" w:rsidRPr="00E2612F">
              <w:rPr>
                <w:rFonts w:cstheme="minorHAnsi"/>
                <w:noProof/>
                <w:webHidden/>
              </w:rPr>
              <w:fldChar w:fldCharType="end"/>
            </w:r>
          </w:hyperlink>
        </w:p>
        <w:p w14:paraId="6B6C4033" w14:textId="756C91AF" w:rsidR="00A96932" w:rsidRPr="00E2612F" w:rsidRDefault="00E12F39">
          <w:pPr>
            <w:pStyle w:val="Obsah3"/>
            <w:tabs>
              <w:tab w:val="left" w:pos="1320"/>
              <w:tab w:val="right" w:leader="dot" w:pos="9316"/>
            </w:tabs>
            <w:rPr>
              <w:rFonts w:eastAsiaTheme="minorEastAsia" w:cstheme="minorHAnsi"/>
              <w:noProof/>
              <w:lang w:eastAsia="cs-CZ"/>
            </w:rPr>
          </w:pPr>
          <w:hyperlink w:anchor="_Toc10729915" w:history="1">
            <w:r w:rsidR="00A96932" w:rsidRPr="00E2612F">
              <w:rPr>
                <w:rStyle w:val="Hypertextovodkaz"/>
                <w:rFonts w:cstheme="minorHAnsi"/>
                <w:noProof/>
              </w:rPr>
              <w:t>3.4.2</w:t>
            </w:r>
            <w:r w:rsidR="00A96932" w:rsidRPr="00E2612F">
              <w:rPr>
                <w:rFonts w:eastAsiaTheme="minorEastAsia" w:cstheme="minorHAnsi"/>
                <w:noProof/>
                <w:lang w:eastAsia="cs-CZ"/>
              </w:rPr>
              <w:tab/>
            </w:r>
            <w:r w:rsidR="00A96932" w:rsidRPr="00E2612F">
              <w:rPr>
                <w:rStyle w:val="Hypertextovodkaz"/>
                <w:rFonts w:cstheme="minorHAnsi"/>
                <w:noProof/>
              </w:rPr>
              <w:t>Vyhodnocení výsledků, kterých chce ČR dosáhnout s podporou Unie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16</w:t>
            </w:r>
            <w:r w:rsidR="00A96932" w:rsidRPr="00E2612F">
              <w:rPr>
                <w:rFonts w:cstheme="minorHAnsi"/>
                <w:noProof/>
                <w:webHidden/>
              </w:rPr>
              <w:fldChar w:fldCharType="end"/>
            </w:r>
          </w:hyperlink>
        </w:p>
        <w:p w14:paraId="32E7E6C1" w14:textId="527EB9CC" w:rsidR="00A96932" w:rsidRPr="00E2612F" w:rsidRDefault="00E12F39">
          <w:pPr>
            <w:pStyle w:val="Obsah3"/>
            <w:tabs>
              <w:tab w:val="left" w:pos="1320"/>
              <w:tab w:val="right" w:leader="dot" w:pos="9316"/>
            </w:tabs>
            <w:rPr>
              <w:rFonts w:eastAsiaTheme="minorEastAsia" w:cstheme="minorHAnsi"/>
              <w:noProof/>
              <w:lang w:eastAsia="cs-CZ"/>
            </w:rPr>
          </w:pPr>
          <w:hyperlink w:anchor="_Toc10729916" w:history="1">
            <w:r w:rsidR="00A96932" w:rsidRPr="00E2612F">
              <w:rPr>
                <w:rStyle w:val="Hypertextovodkaz"/>
                <w:rFonts w:cstheme="minorHAnsi"/>
                <w:noProof/>
              </w:rPr>
              <w:t>3.4.3</w:t>
            </w:r>
            <w:r w:rsidR="00A96932" w:rsidRPr="00E2612F">
              <w:rPr>
                <w:rFonts w:eastAsiaTheme="minorEastAsia" w:cstheme="minorHAnsi"/>
                <w:noProof/>
                <w:lang w:eastAsia="cs-CZ"/>
              </w:rPr>
              <w:tab/>
            </w:r>
            <w:r w:rsidR="00A96932" w:rsidRPr="00E2612F">
              <w:rPr>
                <w:rStyle w:val="Hypertextovodkaz"/>
                <w:rFonts w:cstheme="minorHAnsi"/>
                <w:noProof/>
              </w:rPr>
              <w:t>Reflexe plnění SC ze strany příjemců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17</w:t>
            </w:r>
            <w:r w:rsidR="00A96932" w:rsidRPr="00E2612F">
              <w:rPr>
                <w:rFonts w:cstheme="minorHAnsi"/>
                <w:noProof/>
                <w:webHidden/>
              </w:rPr>
              <w:fldChar w:fldCharType="end"/>
            </w:r>
          </w:hyperlink>
        </w:p>
        <w:p w14:paraId="058C4844" w14:textId="4A76D336" w:rsidR="00A96932" w:rsidRPr="00E2612F" w:rsidRDefault="00E12F39">
          <w:pPr>
            <w:pStyle w:val="Obsah1"/>
            <w:rPr>
              <w:rFonts w:asciiTheme="minorHAnsi" w:hAnsiTheme="minorHAnsi" w:cstheme="minorHAnsi"/>
              <w:b w:val="0"/>
              <w:caps w:val="0"/>
              <w:lang w:eastAsia="cs-CZ"/>
            </w:rPr>
          </w:pPr>
          <w:hyperlink w:anchor="_Toc10729917" w:history="1">
            <w:r w:rsidR="00A96932" w:rsidRPr="00E2612F">
              <w:rPr>
                <w:rStyle w:val="Hypertextovodkaz"/>
                <w:rFonts w:asciiTheme="minorHAnsi" w:hAnsiTheme="minorHAnsi" w:cstheme="minorHAnsi"/>
              </w:rPr>
              <w:t>4</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2 (OZE)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_Toc10729917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18</w:t>
            </w:r>
            <w:r w:rsidR="00A96932" w:rsidRPr="00E2612F">
              <w:rPr>
                <w:rFonts w:asciiTheme="minorHAnsi" w:hAnsiTheme="minorHAnsi" w:cstheme="minorHAnsi"/>
                <w:webHidden/>
              </w:rPr>
              <w:fldChar w:fldCharType="end"/>
            </w:r>
          </w:hyperlink>
        </w:p>
        <w:p w14:paraId="71BD1D7C" w14:textId="2C6FE838" w:rsidR="00A96932" w:rsidRPr="00E2612F" w:rsidRDefault="00E12F39">
          <w:pPr>
            <w:pStyle w:val="Obsah2"/>
            <w:tabs>
              <w:tab w:val="left" w:pos="880"/>
              <w:tab w:val="right" w:leader="dot" w:pos="9316"/>
            </w:tabs>
            <w:rPr>
              <w:rFonts w:eastAsiaTheme="minorEastAsia" w:cstheme="minorHAnsi"/>
              <w:noProof/>
              <w:lang w:eastAsia="cs-CZ"/>
            </w:rPr>
          </w:pPr>
          <w:hyperlink w:anchor="_Toc10729918" w:history="1">
            <w:r w:rsidR="00A96932" w:rsidRPr="00E2612F">
              <w:rPr>
                <w:rStyle w:val="Hypertextovodkaz"/>
                <w:rFonts w:cstheme="minorHAnsi"/>
                <w:noProof/>
              </w:rPr>
              <w:t>4.1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18</w:t>
            </w:r>
            <w:r w:rsidR="00A96932" w:rsidRPr="00E2612F">
              <w:rPr>
                <w:rFonts w:cstheme="minorHAnsi"/>
                <w:noProof/>
                <w:webHidden/>
              </w:rPr>
              <w:fldChar w:fldCharType="end"/>
            </w:r>
          </w:hyperlink>
        </w:p>
        <w:p w14:paraId="7F211481" w14:textId="3183BD80" w:rsidR="00A96932" w:rsidRPr="00E2612F" w:rsidRDefault="00E12F39">
          <w:pPr>
            <w:pStyle w:val="Obsah2"/>
            <w:tabs>
              <w:tab w:val="left" w:pos="880"/>
              <w:tab w:val="right" w:leader="dot" w:pos="9316"/>
            </w:tabs>
            <w:rPr>
              <w:rFonts w:eastAsiaTheme="minorEastAsia" w:cstheme="minorHAnsi"/>
              <w:noProof/>
              <w:lang w:eastAsia="cs-CZ"/>
            </w:rPr>
          </w:pPr>
          <w:hyperlink w:anchor="_Toc10729919" w:history="1">
            <w:r w:rsidR="00A96932" w:rsidRPr="00E2612F">
              <w:rPr>
                <w:rStyle w:val="Hypertextovodkaz"/>
                <w:rFonts w:cstheme="minorHAnsi"/>
                <w:noProof/>
              </w:rPr>
              <w:t>4.2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_Toc10729919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18</w:t>
            </w:r>
            <w:r w:rsidR="00A96932" w:rsidRPr="00E2612F">
              <w:rPr>
                <w:rFonts w:cstheme="minorHAnsi"/>
                <w:noProof/>
                <w:webHidden/>
              </w:rPr>
              <w:fldChar w:fldCharType="end"/>
            </w:r>
          </w:hyperlink>
        </w:p>
        <w:p w14:paraId="331C9FCF" w14:textId="5A64251E" w:rsidR="00A96932" w:rsidRPr="00E2612F" w:rsidRDefault="00E12F39">
          <w:pPr>
            <w:pStyle w:val="Obsah2"/>
            <w:tabs>
              <w:tab w:val="left" w:pos="880"/>
              <w:tab w:val="right" w:leader="dot" w:pos="9316"/>
            </w:tabs>
            <w:rPr>
              <w:rFonts w:eastAsiaTheme="minorEastAsia" w:cstheme="minorHAnsi"/>
              <w:noProof/>
              <w:lang w:eastAsia="cs-CZ"/>
            </w:rPr>
          </w:pPr>
          <w:hyperlink w:anchor="_Toc10729920" w:history="1">
            <w:r w:rsidR="00A96932" w:rsidRPr="00E2612F">
              <w:rPr>
                <w:rStyle w:val="Hypertextovodkaz"/>
                <w:rFonts w:cstheme="minorHAnsi"/>
                <w:noProof/>
              </w:rPr>
              <w:t>4.3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18</w:t>
            </w:r>
            <w:r w:rsidR="00A96932" w:rsidRPr="00E2612F">
              <w:rPr>
                <w:rFonts w:cstheme="minorHAnsi"/>
                <w:noProof/>
                <w:webHidden/>
              </w:rPr>
              <w:fldChar w:fldCharType="end"/>
            </w:r>
          </w:hyperlink>
        </w:p>
        <w:p w14:paraId="6C2BA748" w14:textId="0624CD16" w:rsidR="00A96932" w:rsidRPr="00E2612F" w:rsidRDefault="00E12F39">
          <w:pPr>
            <w:pStyle w:val="Obsah2"/>
            <w:tabs>
              <w:tab w:val="left" w:pos="880"/>
              <w:tab w:val="right" w:leader="dot" w:pos="9316"/>
            </w:tabs>
            <w:rPr>
              <w:rFonts w:eastAsiaTheme="minorEastAsia" w:cstheme="minorHAnsi"/>
              <w:noProof/>
              <w:lang w:eastAsia="cs-CZ"/>
            </w:rPr>
          </w:pPr>
          <w:hyperlink w:anchor="_Toc10729921" w:history="1">
            <w:r w:rsidR="00A96932" w:rsidRPr="00E2612F">
              <w:rPr>
                <w:rStyle w:val="Hypertextovodkaz"/>
                <w:rFonts w:cstheme="minorHAnsi"/>
                <w:noProof/>
              </w:rPr>
              <w:t>4.4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19</w:t>
            </w:r>
            <w:r w:rsidR="00A96932" w:rsidRPr="00E2612F">
              <w:rPr>
                <w:rFonts w:cstheme="minorHAnsi"/>
                <w:noProof/>
                <w:webHidden/>
              </w:rPr>
              <w:fldChar w:fldCharType="end"/>
            </w:r>
          </w:hyperlink>
        </w:p>
        <w:p w14:paraId="61BD6240" w14:textId="419EBE69" w:rsidR="00A96932" w:rsidRPr="00E2612F" w:rsidRDefault="00E12F39">
          <w:pPr>
            <w:pStyle w:val="Obsah1"/>
            <w:rPr>
              <w:rFonts w:asciiTheme="minorHAnsi" w:hAnsiTheme="minorHAnsi" w:cstheme="minorHAnsi"/>
              <w:b w:val="0"/>
              <w:caps w:val="0"/>
              <w:lang w:eastAsia="cs-CZ"/>
            </w:rPr>
          </w:pPr>
          <w:hyperlink w:anchor="_Toc10729922" w:history="1">
            <w:r w:rsidR="00A96932" w:rsidRPr="00E2612F">
              <w:rPr>
                <w:rStyle w:val="Hypertextovodkaz"/>
                <w:rFonts w:asciiTheme="minorHAnsi" w:hAnsiTheme="minorHAnsi" w:cstheme="minorHAnsi"/>
              </w:rPr>
              <w:t>5</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3 (OZE)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_Toc10729922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21</w:t>
            </w:r>
            <w:r w:rsidR="00A96932" w:rsidRPr="00E2612F">
              <w:rPr>
                <w:rFonts w:asciiTheme="minorHAnsi" w:hAnsiTheme="minorHAnsi" w:cstheme="minorHAnsi"/>
                <w:webHidden/>
              </w:rPr>
              <w:fldChar w:fldCharType="end"/>
            </w:r>
          </w:hyperlink>
        </w:p>
        <w:p w14:paraId="396F1D13" w14:textId="2E4DF0B1" w:rsidR="00A96932" w:rsidRPr="00E2612F" w:rsidRDefault="00E12F39">
          <w:pPr>
            <w:pStyle w:val="Obsah2"/>
            <w:tabs>
              <w:tab w:val="left" w:pos="880"/>
              <w:tab w:val="right" w:leader="dot" w:pos="9316"/>
            </w:tabs>
            <w:rPr>
              <w:rFonts w:eastAsiaTheme="minorEastAsia" w:cstheme="minorHAnsi"/>
              <w:noProof/>
              <w:lang w:eastAsia="cs-CZ"/>
            </w:rPr>
          </w:pPr>
          <w:hyperlink w:anchor="_Toc10729923" w:history="1">
            <w:r w:rsidR="00A96932" w:rsidRPr="00E2612F">
              <w:rPr>
                <w:rStyle w:val="Hypertextovodkaz"/>
                <w:rFonts w:cstheme="minorHAnsi"/>
                <w:noProof/>
              </w:rPr>
              <w:t>5.1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21</w:t>
            </w:r>
            <w:r w:rsidR="00A96932" w:rsidRPr="00E2612F">
              <w:rPr>
                <w:rFonts w:cstheme="minorHAnsi"/>
                <w:noProof/>
                <w:webHidden/>
              </w:rPr>
              <w:fldChar w:fldCharType="end"/>
            </w:r>
          </w:hyperlink>
        </w:p>
        <w:p w14:paraId="76BB23FC" w14:textId="44AB8D25" w:rsidR="00A96932" w:rsidRPr="00E2612F" w:rsidRDefault="00E12F39">
          <w:pPr>
            <w:pStyle w:val="Obsah2"/>
            <w:tabs>
              <w:tab w:val="left" w:pos="880"/>
              <w:tab w:val="right" w:leader="dot" w:pos="9316"/>
            </w:tabs>
            <w:rPr>
              <w:rFonts w:eastAsiaTheme="minorEastAsia" w:cstheme="minorHAnsi"/>
              <w:noProof/>
              <w:lang w:eastAsia="cs-CZ"/>
            </w:rPr>
          </w:pPr>
          <w:hyperlink w:anchor="_Toc10729924" w:history="1">
            <w:r w:rsidR="00A96932" w:rsidRPr="00E2612F">
              <w:rPr>
                <w:rStyle w:val="Hypertextovodkaz"/>
                <w:rFonts w:cstheme="minorHAnsi"/>
                <w:noProof/>
              </w:rPr>
              <w:t>5.2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21</w:t>
            </w:r>
            <w:r w:rsidR="00A96932" w:rsidRPr="00E2612F">
              <w:rPr>
                <w:rFonts w:cstheme="minorHAnsi"/>
                <w:noProof/>
                <w:webHidden/>
              </w:rPr>
              <w:fldChar w:fldCharType="end"/>
            </w:r>
          </w:hyperlink>
        </w:p>
        <w:p w14:paraId="046082B2" w14:textId="6DE8A059" w:rsidR="00A96932" w:rsidRPr="00E2612F" w:rsidRDefault="00E12F39">
          <w:pPr>
            <w:pStyle w:val="Obsah2"/>
            <w:tabs>
              <w:tab w:val="left" w:pos="880"/>
              <w:tab w:val="right" w:leader="dot" w:pos="9316"/>
            </w:tabs>
            <w:rPr>
              <w:rFonts w:eastAsiaTheme="minorEastAsia" w:cstheme="minorHAnsi"/>
              <w:noProof/>
              <w:lang w:eastAsia="cs-CZ"/>
            </w:rPr>
          </w:pPr>
          <w:hyperlink w:anchor="_Toc10729925" w:history="1">
            <w:r w:rsidR="00A96932" w:rsidRPr="00E2612F">
              <w:rPr>
                <w:rStyle w:val="Hypertextovodkaz"/>
                <w:rFonts w:cstheme="minorHAnsi"/>
                <w:noProof/>
              </w:rPr>
              <w:t>5.3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21</w:t>
            </w:r>
            <w:r w:rsidR="00A96932" w:rsidRPr="00E2612F">
              <w:rPr>
                <w:rFonts w:cstheme="minorHAnsi"/>
                <w:noProof/>
                <w:webHidden/>
              </w:rPr>
              <w:fldChar w:fldCharType="end"/>
            </w:r>
          </w:hyperlink>
        </w:p>
        <w:p w14:paraId="05829BCB" w14:textId="4270A33B" w:rsidR="00A96932" w:rsidRPr="00E2612F" w:rsidRDefault="00E12F39">
          <w:pPr>
            <w:pStyle w:val="Obsah2"/>
            <w:tabs>
              <w:tab w:val="left" w:pos="880"/>
              <w:tab w:val="right" w:leader="dot" w:pos="9316"/>
            </w:tabs>
            <w:rPr>
              <w:rFonts w:eastAsiaTheme="minorEastAsia" w:cstheme="minorHAnsi"/>
              <w:noProof/>
              <w:lang w:eastAsia="cs-CZ"/>
            </w:rPr>
          </w:pPr>
          <w:hyperlink w:anchor="_Toc10729926" w:history="1">
            <w:r w:rsidR="00A96932" w:rsidRPr="00E2612F">
              <w:rPr>
                <w:rStyle w:val="Hypertextovodkaz"/>
                <w:rFonts w:cstheme="minorHAnsi"/>
                <w:noProof/>
              </w:rPr>
              <w:t>5.4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22</w:t>
            </w:r>
            <w:r w:rsidR="00A96932" w:rsidRPr="00E2612F">
              <w:rPr>
                <w:rFonts w:cstheme="minorHAnsi"/>
                <w:noProof/>
                <w:webHidden/>
              </w:rPr>
              <w:fldChar w:fldCharType="end"/>
            </w:r>
          </w:hyperlink>
        </w:p>
        <w:p w14:paraId="7E9F65E7" w14:textId="170619A2" w:rsidR="00A96932" w:rsidRPr="00E2612F" w:rsidRDefault="00E12F39">
          <w:pPr>
            <w:pStyle w:val="Obsah3"/>
            <w:tabs>
              <w:tab w:val="left" w:pos="1320"/>
              <w:tab w:val="right" w:leader="dot" w:pos="9316"/>
            </w:tabs>
            <w:rPr>
              <w:rFonts w:eastAsiaTheme="minorEastAsia" w:cstheme="minorHAnsi"/>
              <w:noProof/>
              <w:lang w:eastAsia="cs-CZ"/>
            </w:rPr>
          </w:pPr>
          <w:hyperlink w:anchor="_Toc10729927" w:history="1">
            <w:r w:rsidR="00A96932" w:rsidRPr="00E2612F">
              <w:rPr>
                <w:rStyle w:val="Hypertextovodkaz"/>
                <w:rFonts w:cstheme="minorHAnsi"/>
                <w:noProof/>
              </w:rPr>
              <w:t>5.4.1</w:t>
            </w:r>
            <w:r w:rsidR="00A96932" w:rsidRPr="00E2612F">
              <w:rPr>
                <w:rFonts w:eastAsiaTheme="minorEastAsia" w:cstheme="minorHAnsi"/>
                <w:noProof/>
                <w:lang w:eastAsia="cs-CZ"/>
              </w:rPr>
              <w:tab/>
            </w:r>
            <w:r w:rsidR="00A96932" w:rsidRPr="00E2612F">
              <w:rPr>
                <w:rStyle w:val="Hypertextovodkaz"/>
                <w:rFonts w:cstheme="minorHAnsi"/>
                <w:noProof/>
              </w:rPr>
              <w:t>Snížení dovozní závislosti na palivech z geopoliticky nestabilních regionů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22</w:t>
            </w:r>
            <w:r w:rsidR="00A96932" w:rsidRPr="00E2612F">
              <w:rPr>
                <w:rFonts w:cstheme="minorHAnsi"/>
                <w:noProof/>
                <w:webHidden/>
              </w:rPr>
              <w:fldChar w:fldCharType="end"/>
            </w:r>
          </w:hyperlink>
        </w:p>
        <w:p w14:paraId="441540BC" w14:textId="33BFAEB3" w:rsidR="00A96932" w:rsidRPr="00E2612F" w:rsidRDefault="00E12F39">
          <w:pPr>
            <w:pStyle w:val="Obsah3"/>
            <w:tabs>
              <w:tab w:val="left" w:pos="1320"/>
              <w:tab w:val="right" w:leader="dot" w:pos="9316"/>
            </w:tabs>
            <w:rPr>
              <w:rFonts w:eastAsiaTheme="minorEastAsia" w:cstheme="minorHAnsi"/>
              <w:noProof/>
              <w:lang w:eastAsia="cs-CZ"/>
            </w:rPr>
          </w:pPr>
          <w:hyperlink w:anchor="_Toc10729928" w:history="1">
            <w:r w:rsidR="00A96932" w:rsidRPr="00E2612F">
              <w:rPr>
                <w:rStyle w:val="Hypertextovodkaz"/>
                <w:rFonts w:cstheme="minorHAnsi"/>
                <w:noProof/>
              </w:rPr>
              <w:t>5.4.2</w:t>
            </w:r>
            <w:r w:rsidR="00A96932" w:rsidRPr="00E2612F">
              <w:rPr>
                <w:rFonts w:eastAsiaTheme="minorEastAsia" w:cstheme="minorHAnsi"/>
                <w:noProof/>
                <w:lang w:eastAsia="cs-CZ"/>
              </w:rPr>
              <w:tab/>
            </w:r>
            <w:r w:rsidR="00A96932" w:rsidRPr="00E2612F">
              <w:rPr>
                <w:rStyle w:val="Hypertextovodkaz"/>
                <w:rFonts w:cstheme="minorHAnsi"/>
                <w:noProof/>
              </w:rPr>
              <w:t>Snížení emisí skleníkových plynů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23</w:t>
            </w:r>
            <w:r w:rsidR="00A96932" w:rsidRPr="00E2612F">
              <w:rPr>
                <w:rFonts w:cstheme="minorHAnsi"/>
                <w:noProof/>
                <w:webHidden/>
              </w:rPr>
              <w:fldChar w:fldCharType="end"/>
            </w:r>
          </w:hyperlink>
        </w:p>
        <w:p w14:paraId="7E6142D6" w14:textId="5348EDFE" w:rsidR="00A96932" w:rsidRPr="00E2612F" w:rsidRDefault="00E12F39">
          <w:pPr>
            <w:pStyle w:val="Obsah3"/>
            <w:tabs>
              <w:tab w:val="left" w:pos="1320"/>
              <w:tab w:val="right" w:leader="dot" w:pos="9316"/>
            </w:tabs>
            <w:rPr>
              <w:rFonts w:eastAsiaTheme="minorEastAsia" w:cstheme="minorHAnsi"/>
              <w:noProof/>
              <w:lang w:eastAsia="cs-CZ"/>
            </w:rPr>
          </w:pPr>
          <w:hyperlink w:anchor="_Toc10729929" w:history="1">
            <w:r w:rsidR="00A96932" w:rsidRPr="00E2612F">
              <w:rPr>
                <w:rStyle w:val="Hypertextovodkaz"/>
                <w:rFonts w:cstheme="minorHAnsi"/>
                <w:noProof/>
              </w:rPr>
              <w:t>5.4.3</w:t>
            </w:r>
            <w:r w:rsidR="00A96932" w:rsidRPr="00E2612F">
              <w:rPr>
                <w:rFonts w:eastAsiaTheme="minorEastAsia" w:cstheme="minorHAnsi"/>
                <w:noProof/>
                <w:lang w:eastAsia="cs-CZ"/>
              </w:rPr>
              <w:tab/>
            </w:r>
            <w:r w:rsidR="00A96932" w:rsidRPr="00E2612F">
              <w:rPr>
                <w:rStyle w:val="Hypertextovodkaz"/>
                <w:rFonts w:cstheme="minorHAnsi"/>
                <w:noProof/>
              </w:rPr>
              <w:t>Rozvoj podnikatelských aktivit v dodavatelském řetězci od vývoje, výroby, přes instalaci zdroje energie až po výrobu energie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_Toc10729929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25</w:t>
            </w:r>
            <w:r w:rsidR="00A96932" w:rsidRPr="00E2612F">
              <w:rPr>
                <w:rFonts w:cstheme="minorHAnsi"/>
                <w:noProof/>
                <w:webHidden/>
              </w:rPr>
              <w:fldChar w:fldCharType="end"/>
            </w:r>
          </w:hyperlink>
        </w:p>
        <w:p w14:paraId="744E0413" w14:textId="19D7BD97" w:rsidR="00A96932" w:rsidRPr="00E2612F" w:rsidRDefault="00E12F39">
          <w:pPr>
            <w:pStyle w:val="Obsah3"/>
            <w:tabs>
              <w:tab w:val="left" w:pos="1320"/>
              <w:tab w:val="right" w:leader="dot" w:pos="9316"/>
            </w:tabs>
            <w:rPr>
              <w:rFonts w:eastAsiaTheme="minorEastAsia" w:cstheme="minorHAnsi"/>
              <w:noProof/>
              <w:lang w:eastAsia="cs-CZ"/>
            </w:rPr>
          </w:pPr>
          <w:hyperlink w:anchor="_Toc10729930" w:history="1">
            <w:r w:rsidR="00A96932" w:rsidRPr="00E2612F">
              <w:rPr>
                <w:rStyle w:val="Hypertextovodkaz"/>
                <w:rFonts w:cstheme="minorHAnsi"/>
                <w:noProof/>
              </w:rPr>
              <w:t>5.4.4</w:t>
            </w:r>
            <w:r w:rsidR="00A96932" w:rsidRPr="00E2612F">
              <w:rPr>
                <w:rFonts w:eastAsiaTheme="minorEastAsia" w:cstheme="minorHAnsi"/>
                <w:noProof/>
                <w:lang w:eastAsia="cs-CZ"/>
              </w:rPr>
              <w:tab/>
            </w:r>
            <w:r w:rsidR="00A96932" w:rsidRPr="00E2612F">
              <w:rPr>
                <w:rStyle w:val="Hypertextovodkaz"/>
                <w:rFonts w:cstheme="minorHAnsi"/>
                <w:noProof/>
              </w:rPr>
              <w:t>Souhrnné hodnocení</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25</w:t>
            </w:r>
            <w:r w:rsidR="00A96932" w:rsidRPr="00E2612F">
              <w:rPr>
                <w:rFonts w:cstheme="minorHAnsi"/>
                <w:noProof/>
                <w:webHidden/>
              </w:rPr>
              <w:fldChar w:fldCharType="end"/>
            </w:r>
          </w:hyperlink>
        </w:p>
        <w:p w14:paraId="6FFF4250" w14:textId="4936B8D8" w:rsidR="00A96932" w:rsidRPr="00E2612F" w:rsidRDefault="00E12F39">
          <w:pPr>
            <w:pStyle w:val="Obsah1"/>
            <w:rPr>
              <w:rFonts w:asciiTheme="minorHAnsi" w:hAnsiTheme="minorHAnsi" w:cstheme="minorHAnsi"/>
              <w:b w:val="0"/>
              <w:caps w:val="0"/>
              <w:lang w:eastAsia="cs-CZ"/>
            </w:rPr>
          </w:pPr>
          <w:hyperlink w:anchor="_Toc10729931" w:history="1">
            <w:r w:rsidR="00A96932" w:rsidRPr="00E2612F">
              <w:rPr>
                <w:rStyle w:val="Hypertextovodkaz"/>
                <w:rFonts w:asciiTheme="minorHAnsi" w:hAnsiTheme="minorHAnsi" w:cstheme="minorHAnsi"/>
              </w:rPr>
              <w:t>6</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4 (ÚE)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_Toc10729931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27</w:t>
            </w:r>
            <w:r w:rsidR="00A96932" w:rsidRPr="00E2612F">
              <w:rPr>
                <w:rFonts w:asciiTheme="minorHAnsi" w:hAnsiTheme="minorHAnsi" w:cstheme="minorHAnsi"/>
                <w:webHidden/>
              </w:rPr>
              <w:fldChar w:fldCharType="end"/>
            </w:r>
          </w:hyperlink>
        </w:p>
        <w:p w14:paraId="2E9FE92E" w14:textId="5B00743B" w:rsidR="00A96932" w:rsidRPr="00E2612F" w:rsidRDefault="00E12F39">
          <w:pPr>
            <w:pStyle w:val="Obsah2"/>
            <w:tabs>
              <w:tab w:val="left" w:pos="880"/>
              <w:tab w:val="right" w:leader="dot" w:pos="9316"/>
            </w:tabs>
            <w:rPr>
              <w:rFonts w:eastAsiaTheme="minorEastAsia" w:cstheme="minorHAnsi"/>
              <w:noProof/>
              <w:lang w:eastAsia="cs-CZ"/>
            </w:rPr>
          </w:pPr>
          <w:hyperlink w:anchor="_Toc10729932" w:history="1">
            <w:r w:rsidR="00A96932" w:rsidRPr="00E2612F">
              <w:rPr>
                <w:rStyle w:val="Hypertextovodkaz"/>
                <w:rFonts w:cstheme="minorHAnsi"/>
                <w:noProof/>
              </w:rPr>
              <w:t>6.1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27</w:t>
            </w:r>
            <w:r w:rsidR="00A96932" w:rsidRPr="00E2612F">
              <w:rPr>
                <w:rFonts w:cstheme="minorHAnsi"/>
                <w:noProof/>
                <w:webHidden/>
              </w:rPr>
              <w:fldChar w:fldCharType="end"/>
            </w:r>
          </w:hyperlink>
        </w:p>
        <w:p w14:paraId="47C155C3" w14:textId="02684BA3" w:rsidR="00A96932" w:rsidRPr="00E2612F" w:rsidRDefault="00E12F39">
          <w:pPr>
            <w:pStyle w:val="Obsah2"/>
            <w:tabs>
              <w:tab w:val="left" w:pos="880"/>
              <w:tab w:val="right" w:leader="dot" w:pos="9316"/>
            </w:tabs>
            <w:rPr>
              <w:rFonts w:eastAsiaTheme="minorEastAsia" w:cstheme="minorHAnsi"/>
              <w:noProof/>
              <w:lang w:eastAsia="cs-CZ"/>
            </w:rPr>
          </w:pPr>
          <w:hyperlink w:anchor="_Toc10729933" w:history="1">
            <w:r w:rsidR="00A96932" w:rsidRPr="00E2612F">
              <w:rPr>
                <w:rStyle w:val="Hypertextovodkaz"/>
                <w:rFonts w:cstheme="minorHAnsi"/>
                <w:noProof/>
              </w:rPr>
              <w:t>6.2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27</w:t>
            </w:r>
            <w:r w:rsidR="00A96932" w:rsidRPr="00E2612F">
              <w:rPr>
                <w:rFonts w:cstheme="minorHAnsi"/>
                <w:noProof/>
                <w:webHidden/>
              </w:rPr>
              <w:fldChar w:fldCharType="end"/>
            </w:r>
          </w:hyperlink>
        </w:p>
        <w:p w14:paraId="5F0401B0" w14:textId="50E56F26" w:rsidR="00A96932" w:rsidRPr="00E2612F" w:rsidRDefault="00E12F39">
          <w:pPr>
            <w:pStyle w:val="Obsah2"/>
            <w:tabs>
              <w:tab w:val="left" w:pos="880"/>
              <w:tab w:val="right" w:leader="dot" w:pos="9316"/>
            </w:tabs>
            <w:rPr>
              <w:rFonts w:eastAsiaTheme="minorEastAsia" w:cstheme="minorHAnsi"/>
              <w:noProof/>
              <w:lang w:eastAsia="cs-CZ"/>
            </w:rPr>
          </w:pPr>
          <w:hyperlink w:anchor="_Toc10729934" w:history="1">
            <w:r w:rsidR="00A96932" w:rsidRPr="00E2612F">
              <w:rPr>
                <w:rStyle w:val="Hypertextovodkaz"/>
                <w:rFonts w:cstheme="minorHAnsi"/>
                <w:noProof/>
              </w:rPr>
              <w:t>6.3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28</w:t>
            </w:r>
            <w:r w:rsidR="00A96932" w:rsidRPr="00E2612F">
              <w:rPr>
                <w:rFonts w:cstheme="minorHAnsi"/>
                <w:noProof/>
                <w:webHidden/>
              </w:rPr>
              <w:fldChar w:fldCharType="end"/>
            </w:r>
          </w:hyperlink>
        </w:p>
        <w:p w14:paraId="37C1B3B3" w14:textId="6B9ADA97" w:rsidR="00A96932" w:rsidRPr="00E2612F" w:rsidRDefault="00E12F39">
          <w:pPr>
            <w:pStyle w:val="Obsah2"/>
            <w:tabs>
              <w:tab w:val="left" w:pos="880"/>
              <w:tab w:val="right" w:leader="dot" w:pos="9316"/>
            </w:tabs>
            <w:rPr>
              <w:rFonts w:eastAsiaTheme="minorEastAsia" w:cstheme="minorHAnsi"/>
              <w:noProof/>
              <w:lang w:eastAsia="cs-CZ"/>
            </w:rPr>
          </w:pPr>
          <w:hyperlink w:anchor="_Toc10729935" w:history="1">
            <w:r w:rsidR="00A96932" w:rsidRPr="00E2612F">
              <w:rPr>
                <w:rStyle w:val="Hypertextovodkaz"/>
                <w:rFonts w:cstheme="minorHAnsi"/>
                <w:noProof/>
              </w:rPr>
              <w:t>6.4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29</w:t>
            </w:r>
            <w:r w:rsidR="00A96932" w:rsidRPr="00E2612F">
              <w:rPr>
                <w:rFonts w:cstheme="minorHAnsi"/>
                <w:noProof/>
                <w:webHidden/>
              </w:rPr>
              <w:fldChar w:fldCharType="end"/>
            </w:r>
          </w:hyperlink>
        </w:p>
        <w:p w14:paraId="1D17B00C" w14:textId="35AA40FE" w:rsidR="00A96932" w:rsidRPr="00E2612F" w:rsidRDefault="00E12F39">
          <w:pPr>
            <w:pStyle w:val="Obsah3"/>
            <w:tabs>
              <w:tab w:val="left" w:pos="1320"/>
              <w:tab w:val="right" w:leader="dot" w:pos="9316"/>
            </w:tabs>
            <w:rPr>
              <w:rFonts w:eastAsiaTheme="minorEastAsia" w:cstheme="minorHAnsi"/>
              <w:noProof/>
              <w:lang w:eastAsia="cs-CZ"/>
            </w:rPr>
          </w:pPr>
          <w:hyperlink w:anchor="_Toc10729936" w:history="1">
            <w:r w:rsidR="00A96932" w:rsidRPr="00E2612F">
              <w:rPr>
                <w:rStyle w:val="Hypertextovodkaz"/>
                <w:rFonts w:cstheme="minorHAnsi"/>
                <w:noProof/>
              </w:rPr>
              <w:t>6.4.1</w:t>
            </w:r>
            <w:r w:rsidR="00A96932" w:rsidRPr="00E2612F">
              <w:rPr>
                <w:rFonts w:eastAsiaTheme="minorEastAsia" w:cstheme="minorHAnsi"/>
                <w:noProof/>
                <w:lang w:eastAsia="cs-CZ"/>
              </w:rPr>
              <w:tab/>
            </w:r>
            <w:r w:rsidR="00A96932" w:rsidRPr="00E2612F">
              <w:rPr>
                <w:rStyle w:val="Hypertextovodkaz"/>
                <w:rFonts w:cstheme="minorHAnsi"/>
                <w:noProof/>
              </w:rPr>
              <w:t>Kvantitativní vyhodnocení plnění SC</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29</w:t>
            </w:r>
            <w:r w:rsidR="00A96932" w:rsidRPr="00E2612F">
              <w:rPr>
                <w:rFonts w:cstheme="minorHAnsi"/>
                <w:noProof/>
                <w:webHidden/>
              </w:rPr>
              <w:fldChar w:fldCharType="end"/>
            </w:r>
          </w:hyperlink>
        </w:p>
        <w:p w14:paraId="30C983EB" w14:textId="1C332F00" w:rsidR="00A96932" w:rsidRPr="00E2612F" w:rsidRDefault="00E12F39">
          <w:pPr>
            <w:pStyle w:val="Obsah3"/>
            <w:tabs>
              <w:tab w:val="left" w:pos="1320"/>
              <w:tab w:val="right" w:leader="dot" w:pos="9316"/>
            </w:tabs>
            <w:rPr>
              <w:rFonts w:eastAsiaTheme="minorEastAsia" w:cstheme="minorHAnsi"/>
              <w:noProof/>
              <w:lang w:eastAsia="cs-CZ"/>
            </w:rPr>
          </w:pPr>
          <w:hyperlink w:anchor="_Toc10729937" w:history="1">
            <w:r w:rsidR="00A96932" w:rsidRPr="00E2612F">
              <w:rPr>
                <w:rStyle w:val="Hypertextovodkaz"/>
                <w:rFonts w:cstheme="minorHAnsi"/>
                <w:noProof/>
              </w:rPr>
              <w:t>6.4.2</w:t>
            </w:r>
            <w:r w:rsidR="00A96932" w:rsidRPr="00E2612F">
              <w:rPr>
                <w:rFonts w:eastAsiaTheme="minorEastAsia" w:cstheme="minorHAnsi"/>
                <w:noProof/>
                <w:lang w:eastAsia="cs-CZ"/>
              </w:rPr>
              <w:tab/>
            </w:r>
            <w:r w:rsidR="00A96932" w:rsidRPr="00E2612F">
              <w:rPr>
                <w:rStyle w:val="Hypertextovodkaz"/>
                <w:rFonts w:cstheme="minorHAnsi"/>
                <w:noProof/>
              </w:rPr>
              <w:t>Vyhodnocení výsledků, kterých chce ČR dosáhnout s podporou Unie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31</w:t>
            </w:r>
            <w:r w:rsidR="00A96932" w:rsidRPr="00E2612F">
              <w:rPr>
                <w:rFonts w:cstheme="minorHAnsi"/>
                <w:noProof/>
                <w:webHidden/>
              </w:rPr>
              <w:fldChar w:fldCharType="end"/>
            </w:r>
          </w:hyperlink>
        </w:p>
        <w:p w14:paraId="3DD693C1" w14:textId="4F876F9F" w:rsidR="00A96932" w:rsidRPr="00E2612F" w:rsidRDefault="00E12F39">
          <w:pPr>
            <w:pStyle w:val="Obsah3"/>
            <w:tabs>
              <w:tab w:val="left" w:pos="1320"/>
              <w:tab w:val="right" w:leader="dot" w:pos="9316"/>
            </w:tabs>
            <w:rPr>
              <w:rFonts w:eastAsiaTheme="minorEastAsia" w:cstheme="minorHAnsi"/>
              <w:noProof/>
              <w:lang w:eastAsia="cs-CZ"/>
            </w:rPr>
          </w:pPr>
          <w:hyperlink w:anchor="_Toc10729938" w:history="1">
            <w:r w:rsidR="00A96932" w:rsidRPr="00E2612F">
              <w:rPr>
                <w:rStyle w:val="Hypertextovodkaz"/>
                <w:rFonts w:cstheme="minorHAnsi"/>
                <w:noProof/>
              </w:rPr>
              <w:t>6.4.3</w:t>
            </w:r>
            <w:r w:rsidR="00A96932" w:rsidRPr="00E2612F">
              <w:rPr>
                <w:rFonts w:eastAsiaTheme="minorEastAsia" w:cstheme="minorHAnsi"/>
                <w:noProof/>
                <w:lang w:eastAsia="cs-CZ"/>
              </w:rPr>
              <w:tab/>
            </w:r>
            <w:r w:rsidR="00A96932" w:rsidRPr="00E2612F">
              <w:rPr>
                <w:rStyle w:val="Hypertextovodkaz"/>
                <w:rFonts w:cstheme="minorHAnsi"/>
                <w:noProof/>
              </w:rPr>
              <w:t>Reflexe plnění SC ze strany příjemců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_Toc10729938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34</w:t>
            </w:r>
            <w:r w:rsidR="00A96932" w:rsidRPr="00E2612F">
              <w:rPr>
                <w:rFonts w:cstheme="minorHAnsi"/>
                <w:noProof/>
                <w:webHidden/>
              </w:rPr>
              <w:fldChar w:fldCharType="end"/>
            </w:r>
          </w:hyperlink>
        </w:p>
        <w:p w14:paraId="6BEF3498" w14:textId="2A50CFE4" w:rsidR="00A96932" w:rsidRPr="00E2612F" w:rsidRDefault="00E12F39">
          <w:pPr>
            <w:pStyle w:val="Obsah1"/>
            <w:rPr>
              <w:rFonts w:asciiTheme="minorHAnsi" w:hAnsiTheme="minorHAnsi" w:cstheme="minorHAnsi"/>
              <w:b w:val="0"/>
              <w:caps w:val="0"/>
              <w:lang w:eastAsia="cs-CZ"/>
            </w:rPr>
          </w:pPr>
          <w:hyperlink w:anchor="_Toc10729939" w:history="1">
            <w:r w:rsidR="00A96932" w:rsidRPr="00E2612F">
              <w:rPr>
                <w:rStyle w:val="Hypertextovodkaz"/>
                <w:rFonts w:asciiTheme="minorHAnsi" w:hAnsiTheme="minorHAnsi" w:cstheme="minorHAnsi"/>
              </w:rPr>
              <w:t>7</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5 (ÚE)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_Toc10729939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36</w:t>
            </w:r>
            <w:r w:rsidR="00A96932" w:rsidRPr="00E2612F">
              <w:rPr>
                <w:rFonts w:asciiTheme="minorHAnsi" w:hAnsiTheme="minorHAnsi" w:cstheme="minorHAnsi"/>
                <w:webHidden/>
              </w:rPr>
              <w:fldChar w:fldCharType="end"/>
            </w:r>
          </w:hyperlink>
        </w:p>
        <w:p w14:paraId="52C1911F" w14:textId="48C230AC" w:rsidR="00A96932" w:rsidRPr="00E2612F" w:rsidRDefault="00E12F39">
          <w:pPr>
            <w:pStyle w:val="Obsah2"/>
            <w:tabs>
              <w:tab w:val="left" w:pos="880"/>
              <w:tab w:val="right" w:leader="dot" w:pos="9316"/>
            </w:tabs>
            <w:rPr>
              <w:rFonts w:eastAsiaTheme="minorEastAsia" w:cstheme="minorHAnsi"/>
              <w:noProof/>
              <w:lang w:eastAsia="cs-CZ"/>
            </w:rPr>
          </w:pPr>
          <w:hyperlink w:anchor="_Toc10729940" w:history="1">
            <w:r w:rsidR="00A96932" w:rsidRPr="00E2612F">
              <w:rPr>
                <w:rStyle w:val="Hypertextovodkaz"/>
                <w:rFonts w:cstheme="minorHAnsi"/>
                <w:noProof/>
              </w:rPr>
              <w:t>7.1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36</w:t>
            </w:r>
            <w:r w:rsidR="00A96932" w:rsidRPr="00E2612F">
              <w:rPr>
                <w:rFonts w:cstheme="minorHAnsi"/>
                <w:noProof/>
                <w:webHidden/>
              </w:rPr>
              <w:fldChar w:fldCharType="end"/>
            </w:r>
          </w:hyperlink>
        </w:p>
        <w:p w14:paraId="66E92D4C" w14:textId="02FF83DC" w:rsidR="00A96932" w:rsidRPr="00E2612F" w:rsidRDefault="00E12F39">
          <w:pPr>
            <w:pStyle w:val="Obsah2"/>
            <w:tabs>
              <w:tab w:val="left" w:pos="880"/>
              <w:tab w:val="right" w:leader="dot" w:pos="9316"/>
            </w:tabs>
            <w:rPr>
              <w:rFonts w:eastAsiaTheme="minorEastAsia" w:cstheme="minorHAnsi"/>
              <w:noProof/>
              <w:lang w:eastAsia="cs-CZ"/>
            </w:rPr>
          </w:pPr>
          <w:hyperlink w:anchor="_Toc10729941" w:history="1">
            <w:r w:rsidR="00A96932" w:rsidRPr="00E2612F">
              <w:rPr>
                <w:rStyle w:val="Hypertextovodkaz"/>
                <w:rFonts w:cstheme="minorHAnsi"/>
                <w:noProof/>
              </w:rPr>
              <w:t>7.2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36</w:t>
            </w:r>
            <w:r w:rsidR="00A96932" w:rsidRPr="00E2612F">
              <w:rPr>
                <w:rFonts w:cstheme="minorHAnsi"/>
                <w:noProof/>
                <w:webHidden/>
              </w:rPr>
              <w:fldChar w:fldCharType="end"/>
            </w:r>
          </w:hyperlink>
        </w:p>
        <w:p w14:paraId="1A7BB10D" w14:textId="7FA33B1E" w:rsidR="00A96932" w:rsidRPr="00E2612F" w:rsidRDefault="00E12F39">
          <w:pPr>
            <w:pStyle w:val="Obsah2"/>
            <w:tabs>
              <w:tab w:val="left" w:pos="880"/>
              <w:tab w:val="right" w:leader="dot" w:pos="9316"/>
            </w:tabs>
            <w:rPr>
              <w:rFonts w:eastAsiaTheme="minorEastAsia" w:cstheme="minorHAnsi"/>
              <w:noProof/>
              <w:lang w:eastAsia="cs-CZ"/>
            </w:rPr>
          </w:pPr>
          <w:hyperlink w:anchor="_Toc10729942" w:history="1">
            <w:r w:rsidR="00A96932" w:rsidRPr="00E2612F">
              <w:rPr>
                <w:rStyle w:val="Hypertextovodkaz"/>
                <w:rFonts w:cstheme="minorHAnsi"/>
                <w:noProof/>
              </w:rPr>
              <w:t>7.3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36</w:t>
            </w:r>
            <w:r w:rsidR="00A96932" w:rsidRPr="00E2612F">
              <w:rPr>
                <w:rFonts w:cstheme="minorHAnsi"/>
                <w:noProof/>
                <w:webHidden/>
              </w:rPr>
              <w:fldChar w:fldCharType="end"/>
            </w:r>
          </w:hyperlink>
        </w:p>
        <w:p w14:paraId="1643FD8B" w14:textId="49D2B830" w:rsidR="00A96932" w:rsidRPr="00E2612F" w:rsidRDefault="00E12F39">
          <w:pPr>
            <w:pStyle w:val="Obsah2"/>
            <w:tabs>
              <w:tab w:val="left" w:pos="880"/>
              <w:tab w:val="right" w:leader="dot" w:pos="9316"/>
            </w:tabs>
            <w:rPr>
              <w:rFonts w:eastAsiaTheme="minorEastAsia" w:cstheme="minorHAnsi"/>
              <w:noProof/>
              <w:lang w:eastAsia="cs-CZ"/>
            </w:rPr>
          </w:pPr>
          <w:hyperlink w:anchor="_Toc10729943" w:history="1">
            <w:r w:rsidR="00A96932" w:rsidRPr="00E2612F">
              <w:rPr>
                <w:rStyle w:val="Hypertextovodkaz"/>
                <w:rFonts w:cstheme="minorHAnsi"/>
                <w:noProof/>
              </w:rPr>
              <w:t>7.4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37</w:t>
            </w:r>
            <w:r w:rsidR="00A96932" w:rsidRPr="00E2612F">
              <w:rPr>
                <w:rFonts w:cstheme="minorHAnsi"/>
                <w:noProof/>
                <w:webHidden/>
              </w:rPr>
              <w:fldChar w:fldCharType="end"/>
            </w:r>
          </w:hyperlink>
        </w:p>
        <w:p w14:paraId="49626B5A" w14:textId="3A6316F1" w:rsidR="00A96932" w:rsidRPr="00E2612F" w:rsidRDefault="00E12F39">
          <w:pPr>
            <w:pStyle w:val="Obsah1"/>
            <w:rPr>
              <w:rFonts w:asciiTheme="minorHAnsi" w:hAnsiTheme="minorHAnsi" w:cstheme="minorHAnsi"/>
              <w:b w:val="0"/>
              <w:caps w:val="0"/>
              <w:lang w:eastAsia="cs-CZ"/>
            </w:rPr>
          </w:pPr>
          <w:hyperlink w:anchor="_Toc10729944" w:history="1">
            <w:r w:rsidR="00A96932" w:rsidRPr="00E2612F">
              <w:rPr>
                <w:rStyle w:val="Hypertextovodkaz"/>
                <w:rFonts w:asciiTheme="minorHAnsi" w:hAnsiTheme="minorHAnsi" w:cstheme="minorHAnsi"/>
              </w:rPr>
              <w:t>8</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6 (ÚE)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_Toc10729944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42</w:t>
            </w:r>
            <w:r w:rsidR="00A96932" w:rsidRPr="00E2612F">
              <w:rPr>
                <w:rFonts w:asciiTheme="minorHAnsi" w:hAnsiTheme="minorHAnsi" w:cstheme="minorHAnsi"/>
                <w:webHidden/>
              </w:rPr>
              <w:fldChar w:fldCharType="end"/>
            </w:r>
          </w:hyperlink>
        </w:p>
        <w:p w14:paraId="5FBD3BD4" w14:textId="27D0C391" w:rsidR="00A96932" w:rsidRPr="00E2612F" w:rsidRDefault="00E12F39">
          <w:pPr>
            <w:pStyle w:val="Obsah2"/>
            <w:tabs>
              <w:tab w:val="left" w:pos="880"/>
              <w:tab w:val="right" w:leader="dot" w:pos="9316"/>
            </w:tabs>
            <w:rPr>
              <w:rFonts w:eastAsiaTheme="minorEastAsia" w:cstheme="minorHAnsi"/>
              <w:noProof/>
              <w:lang w:eastAsia="cs-CZ"/>
            </w:rPr>
          </w:pPr>
          <w:hyperlink w:anchor="_Toc10729945" w:history="1">
            <w:r w:rsidR="00A96932" w:rsidRPr="00E2612F">
              <w:rPr>
                <w:rStyle w:val="Hypertextovodkaz"/>
                <w:rFonts w:cstheme="minorHAnsi"/>
                <w:noProof/>
              </w:rPr>
              <w:t>8.1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42</w:t>
            </w:r>
            <w:r w:rsidR="00A96932" w:rsidRPr="00E2612F">
              <w:rPr>
                <w:rFonts w:cstheme="minorHAnsi"/>
                <w:noProof/>
                <w:webHidden/>
              </w:rPr>
              <w:fldChar w:fldCharType="end"/>
            </w:r>
          </w:hyperlink>
        </w:p>
        <w:p w14:paraId="79AD0F93" w14:textId="732D5650" w:rsidR="00A96932" w:rsidRPr="00E2612F" w:rsidRDefault="00E12F39">
          <w:pPr>
            <w:pStyle w:val="Obsah2"/>
            <w:tabs>
              <w:tab w:val="left" w:pos="880"/>
              <w:tab w:val="right" w:leader="dot" w:pos="9316"/>
            </w:tabs>
            <w:rPr>
              <w:rFonts w:eastAsiaTheme="minorEastAsia" w:cstheme="minorHAnsi"/>
              <w:noProof/>
              <w:lang w:eastAsia="cs-CZ"/>
            </w:rPr>
          </w:pPr>
          <w:hyperlink w:anchor="_Toc10729946" w:history="1">
            <w:r w:rsidR="00A96932" w:rsidRPr="00E2612F">
              <w:rPr>
                <w:rStyle w:val="Hypertextovodkaz"/>
                <w:rFonts w:cstheme="minorHAnsi"/>
                <w:noProof/>
              </w:rPr>
              <w:t>8.2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42</w:t>
            </w:r>
            <w:r w:rsidR="00A96932" w:rsidRPr="00E2612F">
              <w:rPr>
                <w:rFonts w:cstheme="minorHAnsi"/>
                <w:noProof/>
                <w:webHidden/>
              </w:rPr>
              <w:fldChar w:fldCharType="end"/>
            </w:r>
          </w:hyperlink>
        </w:p>
        <w:p w14:paraId="7F3B7941" w14:textId="35600476" w:rsidR="00A96932" w:rsidRPr="00E2612F" w:rsidRDefault="00E12F39">
          <w:pPr>
            <w:pStyle w:val="Obsah2"/>
            <w:tabs>
              <w:tab w:val="left" w:pos="880"/>
              <w:tab w:val="right" w:leader="dot" w:pos="9316"/>
            </w:tabs>
            <w:rPr>
              <w:rFonts w:eastAsiaTheme="minorEastAsia" w:cstheme="minorHAnsi"/>
              <w:noProof/>
              <w:lang w:eastAsia="cs-CZ"/>
            </w:rPr>
          </w:pPr>
          <w:hyperlink w:anchor="_Toc10729947" w:history="1">
            <w:r w:rsidR="00A96932" w:rsidRPr="00E2612F">
              <w:rPr>
                <w:rStyle w:val="Hypertextovodkaz"/>
                <w:rFonts w:cstheme="minorHAnsi"/>
                <w:noProof/>
              </w:rPr>
              <w:t>8.3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42</w:t>
            </w:r>
            <w:r w:rsidR="00A96932" w:rsidRPr="00E2612F">
              <w:rPr>
                <w:rFonts w:cstheme="minorHAnsi"/>
                <w:noProof/>
                <w:webHidden/>
              </w:rPr>
              <w:fldChar w:fldCharType="end"/>
            </w:r>
          </w:hyperlink>
        </w:p>
        <w:p w14:paraId="27A7A063" w14:textId="4170C3D6" w:rsidR="00A96932" w:rsidRPr="00E2612F" w:rsidRDefault="00E12F39">
          <w:pPr>
            <w:pStyle w:val="Obsah2"/>
            <w:tabs>
              <w:tab w:val="left" w:pos="880"/>
              <w:tab w:val="right" w:leader="dot" w:pos="9316"/>
            </w:tabs>
            <w:rPr>
              <w:rFonts w:eastAsiaTheme="minorEastAsia" w:cstheme="minorHAnsi"/>
              <w:noProof/>
              <w:lang w:eastAsia="cs-CZ"/>
            </w:rPr>
          </w:pPr>
          <w:hyperlink w:anchor="_Toc10729948" w:history="1">
            <w:r w:rsidR="00A96932" w:rsidRPr="00E2612F">
              <w:rPr>
                <w:rStyle w:val="Hypertextovodkaz"/>
                <w:rFonts w:cstheme="minorHAnsi"/>
                <w:noProof/>
              </w:rPr>
              <w:t>8.4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_Toc10729948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43</w:t>
            </w:r>
            <w:r w:rsidR="00A96932" w:rsidRPr="00E2612F">
              <w:rPr>
                <w:rFonts w:cstheme="minorHAnsi"/>
                <w:noProof/>
                <w:webHidden/>
              </w:rPr>
              <w:fldChar w:fldCharType="end"/>
            </w:r>
          </w:hyperlink>
        </w:p>
        <w:p w14:paraId="64C0AD7C" w14:textId="433886EA" w:rsidR="00A96932" w:rsidRPr="00E2612F" w:rsidRDefault="00E12F39">
          <w:pPr>
            <w:pStyle w:val="Obsah1"/>
            <w:rPr>
              <w:rFonts w:asciiTheme="minorHAnsi" w:hAnsiTheme="minorHAnsi" w:cstheme="minorHAnsi"/>
              <w:b w:val="0"/>
              <w:caps w:val="0"/>
              <w:lang w:eastAsia="cs-CZ"/>
            </w:rPr>
          </w:pPr>
          <w:hyperlink w:anchor="_Toc10729949" w:history="1">
            <w:r w:rsidR="00A96932" w:rsidRPr="00E2612F">
              <w:rPr>
                <w:rStyle w:val="Hypertextovodkaz"/>
                <w:rFonts w:asciiTheme="minorHAnsi" w:hAnsiTheme="minorHAnsi" w:cstheme="minorHAnsi"/>
              </w:rPr>
              <w:t>9</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7 (ÚE)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_Toc10729949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45</w:t>
            </w:r>
            <w:r w:rsidR="00A96932" w:rsidRPr="00E2612F">
              <w:rPr>
                <w:rFonts w:asciiTheme="minorHAnsi" w:hAnsiTheme="minorHAnsi" w:cstheme="minorHAnsi"/>
                <w:webHidden/>
              </w:rPr>
              <w:fldChar w:fldCharType="end"/>
            </w:r>
          </w:hyperlink>
        </w:p>
        <w:p w14:paraId="4ECC5EBD" w14:textId="1408355C" w:rsidR="00A96932" w:rsidRPr="00E2612F" w:rsidRDefault="00E12F39">
          <w:pPr>
            <w:pStyle w:val="Obsah2"/>
            <w:tabs>
              <w:tab w:val="left" w:pos="880"/>
              <w:tab w:val="right" w:leader="dot" w:pos="9316"/>
            </w:tabs>
            <w:rPr>
              <w:rFonts w:eastAsiaTheme="minorEastAsia" w:cstheme="minorHAnsi"/>
              <w:noProof/>
              <w:lang w:eastAsia="cs-CZ"/>
            </w:rPr>
          </w:pPr>
          <w:hyperlink w:anchor="_Toc10729950" w:history="1">
            <w:r w:rsidR="00A96932" w:rsidRPr="00E2612F">
              <w:rPr>
                <w:rStyle w:val="Hypertextovodkaz"/>
                <w:rFonts w:cstheme="minorHAnsi"/>
                <w:noProof/>
              </w:rPr>
              <w:t>9.1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45</w:t>
            </w:r>
            <w:r w:rsidR="00A96932" w:rsidRPr="00E2612F">
              <w:rPr>
                <w:rFonts w:cstheme="minorHAnsi"/>
                <w:noProof/>
                <w:webHidden/>
              </w:rPr>
              <w:fldChar w:fldCharType="end"/>
            </w:r>
          </w:hyperlink>
        </w:p>
        <w:p w14:paraId="115B59B2" w14:textId="3AB42518" w:rsidR="00A96932" w:rsidRPr="00E2612F" w:rsidRDefault="00E12F39">
          <w:pPr>
            <w:pStyle w:val="Obsah2"/>
            <w:tabs>
              <w:tab w:val="left" w:pos="880"/>
              <w:tab w:val="right" w:leader="dot" w:pos="9316"/>
            </w:tabs>
            <w:rPr>
              <w:rFonts w:eastAsiaTheme="minorEastAsia" w:cstheme="minorHAnsi"/>
              <w:noProof/>
              <w:lang w:eastAsia="cs-CZ"/>
            </w:rPr>
          </w:pPr>
          <w:hyperlink w:anchor="_Toc10729951" w:history="1">
            <w:r w:rsidR="00A96932" w:rsidRPr="00E2612F">
              <w:rPr>
                <w:rStyle w:val="Hypertextovodkaz"/>
                <w:rFonts w:cstheme="minorHAnsi"/>
                <w:noProof/>
              </w:rPr>
              <w:t>9.2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45</w:t>
            </w:r>
            <w:r w:rsidR="00A96932" w:rsidRPr="00E2612F">
              <w:rPr>
                <w:rFonts w:cstheme="minorHAnsi"/>
                <w:noProof/>
                <w:webHidden/>
              </w:rPr>
              <w:fldChar w:fldCharType="end"/>
            </w:r>
          </w:hyperlink>
        </w:p>
        <w:p w14:paraId="788CBDC1" w14:textId="0FE6F7DC" w:rsidR="00A96932" w:rsidRPr="00E2612F" w:rsidRDefault="00E12F39">
          <w:pPr>
            <w:pStyle w:val="Obsah2"/>
            <w:tabs>
              <w:tab w:val="left" w:pos="880"/>
              <w:tab w:val="right" w:leader="dot" w:pos="9316"/>
            </w:tabs>
            <w:rPr>
              <w:rFonts w:eastAsiaTheme="minorEastAsia" w:cstheme="minorHAnsi"/>
              <w:noProof/>
              <w:lang w:eastAsia="cs-CZ"/>
            </w:rPr>
          </w:pPr>
          <w:hyperlink w:anchor="_Toc10729952" w:history="1">
            <w:r w:rsidR="00A96932" w:rsidRPr="00E2612F">
              <w:rPr>
                <w:rStyle w:val="Hypertextovodkaz"/>
                <w:rFonts w:cstheme="minorHAnsi"/>
                <w:noProof/>
              </w:rPr>
              <w:t>9.3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45</w:t>
            </w:r>
            <w:r w:rsidR="00A96932" w:rsidRPr="00E2612F">
              <w:rPr>
                <w:rFonts w:cstheme="minorHAnsi"/>
                <w:noProof/>
                <w:webHidden/>
              </w:rPr>
              <w:fldChar w:fldCharType="end"/>
            </w:r>
          </w:hyperlink>
        </w:p>
        <w:p w14:paraId="4A5888E1" w14:textId="0F34E149" w:rsidR="00A96932" w:rsidRPr="00E2612F" w:rsidRDefault="00E12F39">
          <w:pPr>
            <w:pStyle w:val="Obsah2"/>
            <w:tabs>
              <w:tab w:val="left" w:pos="880"/>
              <w:tab w:val="right" w:leader="dot" w:pos="9316"/>
            </w:tabs>
            <w:rPr>
              <w:rFonts w:eastAsiaTheme="minorEastAsia" w:cstheme="minorHAnsi"/>
              <w:noProof/>
              <w:lang w:eastAsia="cs-CZ"/>
            </w:rPr>
          </w:pPr>
          <w:hyperlink w:anchor="_Toc10729953" w:history="1">
            <w:r w:rsidR="00A96932" w:rsidRPr="00E2612F">
              <w:rPr>
                <w:rStyle w:val="Hypertextovodkaz"/>
                <w:rFonts w:cstheme="minorHAnsi"/>
                <w:noProof/>
              </w:rPr>
              <w:t>9.4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46</w:t>
            </w:r>
            <w:r w:rsidR="00A96932" w:rsidRPr="00E2612F">
              <w:rPr>
                <w:rFonts w:cstheme="minorHAnsi"/>
                <w:noProof/>
                <w:webHidden/>
              </w:rPr>
              <w:fldChar w:fldCharType="end"/>
            </w:r>
          </w:hyperlink>
        </w:p>
        <w:p w14:paraId="4187EBA4" w14:textId="4FE7796F" w:rsidR="00A96932" w:rsidRPr="00E2612F" w:rsidRDefault="00E12F39">
          <w:pPr>
            <w:pStyle w:val="Obsah1"/>
            <w:rPr>
              <w:rFonts w:asciiTheme="minorHAnsi" w:hAnsiTheme="minorHAnsi" w:cstheme="minorHAnsi"/>
              <w:b w:val="0"/>
              <w:caps w:val="0"/>
              <w:lang w:eastAsia="cs-CZ"/>
            </w:rPr>
          </w:pPr>
          <w:hyperlink w:anchor="_Toc10729954" w:history="1">
            <w:r w:rsidR="00A96932" w:rsidRPr="00E2612F">
              <w:rPr>
                <w:rStyle w:val="Hypertextovodkaz"/>
                <w:rFonts w:asciiTheme="minorHAnsi" w:hAnsiTheme="minorHAnsi" w:cstheme="minorHAnsi"/>
              </w:rPr>
              <w:t>10</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8 (ÚE)</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_Toc10729954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49</w:t>
            </w:r>
            <w:r w:rsidR="00A96932" w:rsidRPr="00E2612F">
              <w:rPr>
                <w:rFonts w:asciiTheme="minorHAnsi" w:hAnsiTheme="minorHAnsi" w:cstheme="minorHAnsi"/>
                <w:webHidden/>
              </w:rPr>
              <w:fldChar w:fldCharType="end"/>
            </w:r>
          </w:hyperlink>
        </w:p>
        <w:p w14:paraId="1667CC7F" w14:textId="40ED3FC5" w:rsidR="00A96932" w:rsidRPr="00E2612F" w:rsidRDefault="00E12F39">
          <w:pPr>
            <w:pStyle w:val="Obsah2"/>
            <w:tabs>
              <w:tab w:val="left" w:pos="880"/>
              <w:tab w:val="right" w:leader="dot" w:pos="9316"/>
            </w:tabs>
            <w:rPr>
              <w:rFonts w:eastAsiaTheme="minorEastAsia" w:cstheme="minorHAnsi"/>
              <w:noProof/>
              <w:lang w:eastAsia="cs-CZ"/>
            </w:rPr>
          </w:pPr>
          <w:hyperlink w:anchor="_Toc10729955" w:history="1">
            <w:r w:rsidR="00A96932" w:rsidRPr="00E2612F">
              <w:rPr>
                <w:rStyle w:val="Hypertextovodkaz"/>
                <w:rFonts w:cstheme="minorHAnsi"/>
                <w:noProof/>
              </w:rPr>
              <w:t>10.1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49</w:t>
            </w:r>
            <w:r w:rsidR="00A96932" w:rsidRPr="00E2612F">
              <w:rPr>
                <w:rFonts w:cstheme="minorHAnsi"/>
                <w:noProof/>
                <w:webHidden/>
              </w:rPr>
              <w:fldChar w:fldCharType="end"/>
            </w:r>
          </w:hyperlink>
        </w:p>
        <w:p w14:paraId="271CD66A" w14:textId="66366385" w:rsidR="00A96932" w:rsidRPr="00E2612F" w:rsidRDefault="00E12F39">
          <w:pPr>
            <w:pStyle w:val="Obsah2"/>
            <w:tabs>
              <w:tab w:val="left" w:pos="880"/>
              <w:tab w:val="right" w:leader="dot" w:pos="9316"/>
            </w:tabs>
            <w:rPr>
              <w:rFonts w:eastAsiaTheme="minorEastAsia" w:cstheme="minorHAnsi"/>
              <w:noProof/>
              <w:lang w:eastAsia="cs-CZ"/>
            </w:rPr>
          </w:pPr>
          <w:hyperlink w:anchor="_Toc10729956" w:history="1">
            <w:r w:rsidR="00A96932" w:rsidRPr="00E2612F">
              <w:rPr>
                <w:rStyle w:val="Hypertextovodkaz"/>
                <w:rFonts w:cstheme="minorHAnsi"/>
                <w:noProof/>
              </w:rPr>
              <w:t>10.2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49</w:t>
            </w:r>
            <w:r w:rsidR="00A96932" w:rsidRPr="00E2612F">
              <w:rPr>
                <w:rFonts w:cstheme="minorHAnsi"/>
                <w:noProof/>
                <w:webHidden/>
              </w:rPr>
              <w:fldChar w:fldCharType="end"/>
            </w:r>
          </w:hyperlink>
        </w:p>
        <w:p w14:paraId="185A75C7" w14:textId="1C86C464" w:rsidR="00A96932" w:rsidRPr="00E2612F" w:rsidRDefault="00E12F39">
          <w:pPr>
            <w:pStyle w:val="Obsah2"/>
            <w:tabs>
              <w:tab w:val="left" w:pos="880"/>
              <w:tab w:val="right" w:leader="dot" w:pos="9316"/>
            </w:tabs>
            <w:rPr>
              <w:rFonts w:eastAsiaTheme="minorEastAsia" w:cstheme="minorHAnsi"/>
              <w:noProof/>
              <w:lang w:eastAsia="cs-CZ"/>
            </w:rPr>
          </w:pPr>
          <w:hyperlink w:anchor="_Toc10729957" w:history="1">
            <w:r w:rsidR="00A96932" w:rsidRPr="00E2612F">
              <w:rPr>
                <w:rStyle w:val="Hypertextovodkaz"/>
                <w:rFonts w:cstheme="minorHAnsi"/>
                <w:noProof/>
              </w:rPr>
              <w:t>10.3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49</w:t>
            </w:r>
            <w:r w:rsidR="00A96932" w:rsidRPr="00E2612F">
              <w:rPr>
                <w:rFonts w:cstheme="minorHAnsi"/>
                <w:noProof/>
                <w:webHidden/>
              </w:rPr>
              <w:fldChar w:fldCharType="end"/>
            </w:r>
          </w:hyperlink>
        </w:p>
        <w:p w14:paraId="616521E4" w14:textId="314DA0C9" w:rsidR="00A96932" w:rsidRPr="00E2612F" w:rsidRDefault="00E12F39">
          <w:pPr>
            <w:pStyle w:val="Obsah2"/>
            <w:tabs>
              <w:tab w:val="left" w:pos="880"/>
              <w:tab w:val="right" w:leader="dot" w:pos="9316"/>
            </w:tabs>
            <w:rPr>
              <w:rFonts w:eastAsiaTheme="minorEastAsia" w:cstheme="minorHAnsi"/>
              <w:noProof/>
              <w:lang w:eastAsia="cs-CZ"/>
            </w:rPr>
          </w:pPr>
          <w:hyperlink w:anchor="_Toc10729958" w:history="1">
            <w:r w:rsidR="00A96932" w:rsidRPr="00E2612F">
              <w:rPr>
                <w:rStyle w:val="Hypertextovodkaz"/>
                <w:rFonts w:cstheme="minorHAnsi"/>
                <w:noProof/>
              </w:rPr>
              <w:t>10.4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50</w:t>
            </w:r>
            <w:r w:rsidR="00A96932" w:rsidRPr="00E2612F">
              <w:rPr>
                <w:rFonts w:cstheme="minorHAnsi"/>
                <w:noProof/>
                <w:webHidden/>
              </w:rPr>
              <w:fldChar w:fldCharType="end"/>
            </w:r>
          </w:hyperlink>
        </w:p>
        <w:p w14:paraId="7FD2166B" w14:textId="3C42A8E9" w:rsidR="00A96932" w:rsidRPr="00E2612F" w:rsidRDefault="00E12F39">
          <w:pPr>
            <w:pStyle w:val="Obsah3"/>
            <w:tabs>
              <w:tab w:val="left" w:pos="1320"/>
              <w:tab w:val="right" w:leader="dot" w:pos="9316"/>
            </w:tabs>
            <w:rPr>
              <w:rFonts w:eastAsiaTheme="minorEastAsia" w:cstheme="minorHAnsi"/>
              <w:noProof/>
              <w:lang w:eastAsia="cs-CZ"/>
            </w:rPr>
          </w:pPr>
          <w:hyperlink w:anchor="_Toc10729959" w:history="1">
            <w:r w:rsidR="00A96932" w:rsidRPr="00E2612F">
              <w:rPr>
                <w:rStyle w:val="Hypertextovodkaz"/>
                <w:rFonts w:cstheme="minorHAnsi"/>
                <w:noProof/>
                <w:lang w:eastAsia="sk-SK"/>
              </w:rPr>
              <w:t>10.4.1</w:t>
            </w:r>
            <w:r w:rsidR="00A96932" w:rsidRPr="00E2612F">
              <w:rPr>
                <w:rFonts w:eastAsiaTheme="minorEastAsia" w:cstheme="minorHAnsi"/>
                <w:noProof/>
                <w:lang w:eastAsia="cs-CZ"/>
              </w:rPr>
              <w:tab/>
            </w:r>
            <w:r w:rsidR="00A96932" w:rsidRPr="00E2612F">
              <w:rPr>
                <w:rStyle w:val="Hypertextovodkaz"/>
                <w:rFonts w:cstheme="minorHAnsi"/>
                <w:noProof/>
                <w:lang w:eastAsia="sk-SK"/>
              </w:rPr>
              <w:t>Snížení emisí skleníkových plynů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_Toc10729959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50</w:t>
            </w:r>
            <w:r w:rsidR="00A96932" w:rsidRPr="00E2612F">
              <w:rPr>
                <w:rFonts w:cstheme="minorHAnsi"/>
                <w:noProof/>
                <w:webHidden/>
              </w:rPr>
              <w:fldChar w:fldCharType="end"/>
            </w:r>
          </w:hyperlink>
        </w:p>
        <w:p w14:paraId="39B30AF8" w14:textId="6EE45A41" w:rsidR="00A96932" w:rsidRPr="00E2612F" w:rsidRDefault="00E12F39">
          <w:pPr>
            <w:pStyle w:val="Obsah3"/>
            <w:tabs>
              <w:tab w:val="left" w:pos="1320"/>
              <w:tab w:val="right" w:leader="dot" w:pos="9316"/>
            </w:tabs>
            <w:rPr>
              <w:rFonts w:eastAsiaTheme="minorEastAsia" w:cstheme="minorHAnsi"/>
              <w:noProof/>
              <w:lang w:eastAsia="cs-CZ"/>
            </w:rPr>
          </w:pPr>
          <w:hyperlink w:anchor="_Toc10729960" w:history="1">
            <w:r w:rsidR="00A96932" w:rsidRPr="00E2612F">
              <w:rPr>
                <w:rStyle w:val="Hypertextovodkaz"/>
                <w:rFonts w:cstheme="minorHAnsi"/>
                <w:noProof/>
                <w:lang w:eastAsia="sk-SK"/>
              </w:rPr>
              <w:t>10.4.2</w:t>
            </w:r>
            <w:r w:rsidR="00A96932" w:rsidRPr="00E2612F">
              <w:rPr>
                <w:rFonts w:eastAsiaTheme="minorEastAsia" w:cstheme="minorHAnsi"/>
                <w:noProof/>
                <w:lang w:eastAsia="cs-CZ"/>
              </w:rPr>
              <w:tab/>
            </w:r>
            <w:r w:rsidR="00A96932" w:rsidRPr="00E2612F">
              <w:rPr>
                <w:rStyle w:val="Hypertextovodkaz"/>
                <w:rFonts w:cstheme="minorHAnsi"/>
                <w:noProof/>
                <w:lang w:eastAsia="sk-SK"/>
              </w:rPr>
              <w:t>Energy Performance Contracting (EPC)</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51</w:t>
            </w:r>
            <w:r w:rsidR="00A96932" w:rsidRPr="00E2612F">
              <w:rPr>
                <w:rFonts w:cstheme="minorHAnsi"/>
                <w:noProof/>
                <w:webHidden/>
              </w:rPr>
              <w:fldChar w:fldCharType="end"/>
            </w:r>
          </w:hyperlink>
        </w:p>
        <w:p w14:paraId="24B8AEED" w14:textId="1D931532" w:rsidR="00A96932" w:rsidRPr="00E2612F" w:rsidRDefault="00E12F39">
          <w:pPr>
            <w:pStyle w:val="Obsah1"/>
            <w:rPr>
              <w:rFonts w:asciiTheme="minorHAnsi" w:hAnsiTheme="minorHAnsi" w:cstheme="minorHAnsi"/>
              <w:b w:val="0"/>
              <w:caps w:val="0"/>
              <w:lang w:eastAsia="cs-CZ"/>
            </w:rPr>
          </w:pPr>
          <w:hyperlink w:anchor="_Toc10729961" w:history="1">
            <w:r w:rsidR="00A96932" w:rsidRPr="00E2612F">
              <w:rPr>
                <w:rStyle w:val="Hypertextovodkaz"/>
                <w:rFonts w:asciiTheme="minorHAnsi" w:hAnsiTheme="minorHAnsi" w:cstheme="minorHAnsi"/>
              </w:rPr>
              <w:t>11</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9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_Toc10729961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53</w:t>
            </w:r>
            <w:r w:rsidR="00A96932" w:rsidRPr="00E2612F">
              <w:rPr>
                <w:rFonts w:asciiTheme="minorHAnsi" w:hAnsiTheme="minorHAnsi" w:cstheme="minorHAnsi"/>
                <w:webHidden/>
              </w:rPr>
              <w:fldChar w:fldCharType="end"/>
            </w:r>
          </w:hyperlink>
        </w:p>
        <w:p w14:paraId="5C1B83FA" w14:textId="6DBD2CB8" w:rsidR="00A96932" w:rsidRPr="00E2612F" w:rsidRDefault="00E12F39">
          <w:pPr>
            <w:pStyle w:val="Obsah2"/>
            <w:tabs>
              <w:tab w:val="left" w:pos="880"/>
              <w:tab w:val="right" w:leader="dot" w:pos="9316"/>
            </w:tabs>
            <w:rPr>
              <w:rFonts w:eastAsiaTheme="minorEastAsia" w:cstheme="minorHAnsi"/>
              <w:noProof/>
              <w:lang w:eastAsia="cs-CZ"/>
            </w:rPr>
          </w:pPr>
          <w:hyperlink w:anchor="_Toc10729962" w:history="1">
            <w:r w:rsidR="00A96932" w:rsidRPr="00E2612F">
              <w:rPr>
                <w:rStyle w:val="Hypertextovodkaz"/>
                <w:rFonts w:cstheme="minorHAnsi"/>
                <w:noProof/>
              </w:rPr>
              <w:t>11.1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53</w:t>
            </w:r>
            <w:r w:rsidR="00A96932" w:rsidRPr="00E2612F">
              <w:rPr>
                <w:rFonts w:cstheme="minorHAnsi"/>
                <w:noProof/>
                <w:webHidden/>
              </w:rPr>
              <w:fldChar w:fldCharType="end"/>
            </w:r>
          </w:hyperlink>
        </w:p>
        <w:p w14:paraId="26A2EB68" w14:textId="21A51EF2" w:rsidR="00A96932" w:rsidRPr="00E2612F" w:rsidRDefault="00E12F39">
          <w:pPr>
            <w:pStyle w:val="Obsah2"/>
            <w:tabs>
              <w:tab w:val="left" w:pos="880"/>
              <w:tab w:val="right" w:leader="dot" w:pos="9316"/>
            </w:tabs>
            <w:rPr>
              <w:rFonts w:eastAsiaTheme="minorEastAsia" w:cstheme="minorHAnsi"/>
              <w:noProof/>
              <w:lang w:eastAsia="cs-CZ"/>
            </w:rPr>
          </w:pPr>
          <w:hyperlink w:anchor="_Toc10729963" w:history="1">
            <w:r w:rsidR="00A96932" w:rsidRPr="00E2612F">
              <w:rPr>
                <w:rStyle w:val="Hypertextovodkaz"/>
                <w:rFonts w:cstheme="minorHAnsi"/>
                <w:noProof/>
              </w:rPr>
              <w:t>11.2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53</w:t>
            </w:r>
            <w:r w:rsidR="00A96932" w:rsidRPr="00E2612F">
              <w:rPr>
                <w:rFonts w:cstheme="minorHAnsi"/>
                <w:noProof/>
                <w:webHidden/>
              </w:rPr>
              <w:fldChar w:fldCharType="end"/>
            </w:r>
          </w:hyperlink>
        </w:p>
        <w:p w14:paraId="532DC999" w14:textId="750F2ED9" w:rsidR="00A96932" w:rsidRPr="00E2612F" w:rsidRDefault="00E12F39">
          <w:pPr>
            <w:pStyle w:val="Obsah2"/>
            <w:tabs>
              <w:tab w:val="left" w:pos="880"/>
              <w:tab w:val="right" w:leader="dot" w:pos="9316"/>
            </w:tabs>
            <w:rPr>
              <w:rFonts w:eastAsiaTheme="minorEastAsia" w:cstheme="minorHAnsi"/>
              <w:noProof/>
              <w:lang w:eastAsia="cs-CZ"/>
            </w:rPr>
          </w:pPr>
          <w:hyperlink w:anchor="_Toc10729964" w:history="1">
            <w:r w:rsidR="00A96932" w:rsidRPr="00E2612F">
              <w:rPr>
                <w:rStyle w:val="Hypertextovodkaz"/>
                <w:rFonts w:cstheme="minorHAnsi"/>
                <w:noProof/>
              </w:rPr>
              <w:t>11.3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54</w:t>
            </w:r>
            <w:r w:rsidR="00A96932" w:rsidRPr="00E2612F">
              <w:rPr>
                <w:rFonts w:cstheme="minorHAnsi"/>
                <w:noProof/>
                <w:webHidden/>
              </w:rPr>
              <w:fldChar w:fldCharType="end"/>
            </w:r>
          </w:hyperlink>
        </w:p>
        <w:p w14:paraId="1E9BE41A" w14:textId="2D7B6B54" w:rsidR="00A96932" w:rsidRPr="00E2612F" w:rsidRDefault="00E12F39">
          <w:pPr>
            <w:pStyle w:val="Obsah2"/>
            <w:tabs>
              <w:tab w:val="left" w:pos="880"/>
              <w:tab w:val="right" w:leader="dot" w:pos="9316"/>
            </w:tabs>
            <w:rPr>
              <w:rFonts w:eastAsiaTheme="minorEastAsia" w:cstheme="minorHAnsi"/>
              <w:noProof/>
              <w:lang w:eastAsia="cs-CZ"/>
            </w:rPr>
          </w:pPr>
          <w:hyperlink w:anchor="_Toc10729965" w:history="1">
            <w:r w:rsidR="00A96932" w:rsidRPr="00E2612F">
              <w:rPr>
                <w:rStyle w:val="Hypertextovodkaz"/>
                <w:rFonts w:cstheme="minorHAnsi"/>
                <w:noProof/>
              </w:rPr>
              <w:t>11.4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54</w:t>
            </w:r>
            <w:r w:rsidR="00A96932" w:rsidRPr="00E2612F">
              <w:rPr>
                <w:rFonts w:cstheme="minorHAnsi"/>
                <w:noProof/>
                <w:webHidden/>
              </w:rPr>
              <w:fldChar w:fldCharType="end"/>
            </w:r>
          </w:hyperlink>
        </w:p>
        <w:p w14:paraId="5D8A740A" w14:textId="6200D1B0" w:rsidR="00A96932" w:rsidRPr="00E2612F" w:rsidRDefault="00E12F39">
          <w:pPr>
            <w:pStyle w:val="Obsah3"/>
            <w:tabs>
              <w:tab w:val="left" w:pos="1320"/>
              <w:tab w:val="right" w:leader="dot" w:pos="9316"/>
            </w:tabs>
            <w:rPr>
              <w:rFonts w:eastAsiaTheme="minorEastAsia" w:cstheme="minorHAnsi"/>
              <w:noProof/>
              <w:lang w:eastAsia="cs-CZ"/>
            </w:rPr>
          </w:pPr>
          <w:hyperlink w:anchor="_Toc10729966" w:history="1">
            <w:r w:rsidR="00A96932" w:rsidRPr="00E2612F">
              <w:rPr>
                <w:rStyle w:val="Hypertextovodkaz"/>
                <w:rFonts w:cstheme="minorHAnsi"/>
                <w:noProof/>
              </w:rPr>
              <w:t>11.4.1</w:t>
            </w:r>
            <w:r w:rsidR="00A96932" w:rsidRPr="00E2612F">
              <w:rPr>
                <w:rFonts w:eastAsiaTheme="minorEastAsia" w:cstheme="minorHAnsi"/>
                <w:noProof/>
                <w:lang w:eastAsia="cs-CZ"/>
              </w:rPr>
              <w:tab/>
            </w:r>
            <w:r w:rsidR="00A96932" w:rsidRPr="00E2612F">
              <w:rPr>
                <w:rStyle w:val="Hypertextovodkaz"/>
                <w:rFonts w:cstheme="minorHAnsi"/>
                <w:noProof/>
              </w:rPr>
              <w:t>Kvantitativní vyhodnocení naplňování specifického cíle 3.4</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54</w:t>
            </w:r>
            <w:r w:rsidR="00A96932" w:rsidRPr="00E2612F">
              <w:rPr>
                <w:rFonts w:cstheme="minorHAnsi"/>
                <w:noProof/>
                <w:webHidden/>
              </w:rPr>
              <w:fldChar w:fldCharType="end"/>
            </w:r>
          </w:hyperlink>
        </w:p>
        <w:p w14:paraId="23927F1F" w14:textId="4852A0A3" w:rsidR="00A96932" w:rsidRPr="00E2612F" w:rsidRDefault="00E12F39">
          <w:pPr>
            <w:pStyle w:val="Obsah3"/>
            <w:tabs>
              <w:tab w:val="left" w:pos="1320"/>
              <w:tab w:val="right" w:leader="dot" w:pos="9316"/>
            </w:tabs>
            <w:rPr>
              <w:rFonts w:eastAsiaTheme="minorEastAsia" w:cstheme="minorHAnsi"/>
              <w:noProof/>
              <w:lang w:eastAsia="cs-CZ"/>
            </w:rPr>
          </w:pPr>
          <w:hyperlink w:anchor="_Toc10729967" w:history="1">
            <w:r w:rsidR="00A96932" w:rsidRPr="00E2612F">
              <w:rPr>
                <w:rStyle w:val="Hypertextovodkaz"/>
                <w:rFonts w:cstheme="minorHAnsi"/>
                <w:noProof/>
              </w:rPr>
              <w:t>11.4.1</w:t>
            </w:r>
            <w:r w:rsidR="00A96932" w:rsidRPr="00E2612F">
              <w:rPr>
                <w:rFonts w:eastAsiaTheme="minorEastAsia" w:cstheme="minorHAnsi"/>
                <w:noProof/>
                <w:lang w:eastAsia="cs-CZ"/>
              </w:rPr>
              <w:tab/>
            </w:r>
            <w:r w:rsidR="00A96932" w:rsidRPr="00E2612F">
              <w:rPr>
                <w:rStyle w:val="Hypertextovodkaz"/>
                <w:rFonts w:cstheme="minorHAnsi"/>
                <w:noProof/>
              </w:rPr>
              <w:t>Vyhodnocení výsledků, kterých chce ČR dosáhnout s podporou Unie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55</w:t>
            </w:r>
            <w:r w:rsidR="00A96932" w:rsidRPr="00E2612F">
              <w:rPr>
                <w:rFonts w:cstheme="minorHAnsi"/>
                <w:noProof/>
                <w:webHidden/>
              </w:rPr>
              <w:fldChar w:fldCharType="end"/>
            </w:r>
          </w:hyperlink>
        </w:p>
        <w:p w14:paraId="462399C9" w14:textId="26CD70A9" w:rsidR="00A96932" w:rsidRPr="00E2612F" w:rsidRDefault="00E12F39">
          <w:pPr>
            <w:pStyle w:val="Obsah3"/>
            <w:tabs>
              <w:tab w:val="left" w:pos="1320"/>
              <w:tab w:val="right" w:leader="dot" w:pos="9316"/>
            </w:tabs>
            <w:rPr>
              <w:rFonts w:eastAsiaTheme="minorEastAsia" w:cstheme="minorHAnsi"/>
              <w:noProof/>
              <w:lang w:eastAsia="cs-CZ"/>
            </w:rPr>
          </w:pPr>
          <w:hyperlink w:anchor="_Toc10729968" w:history="1">
            <w:r w:rsidR="00A96932" w:rsidRPr="00E2612F">
              <w:rPr>
                <w:rStyle w:val="Hypertextovodkaz"/>
                <w:rFonts w:cstheme="minorHAnsi"/>
                <w:noProof/>
              </w:rPr>
              <w:t>11.4.2</w:t>
            </w:r>
            <w:r w:rsidR="00A96932" w:rsidRPr="00E2612F">
              <w:rPr>
                <w:rFonts w:eastAsiaTheme="minorEastAsia" w:cstheme="minorHAnsi"/>
                <w:noProof/>
                <w:lang w:eastAsia="cs-CZ"/>
              </w:rPr>
              <w:tab/>
            </w:r>
            <w:r w:rsidR="00A96932" w:rsidRPr="00E2612F">
              <w:rPr>
                <w:rStyle w:val="Hypertextovodkaz"/>
                <w:rFonts w:cstheme="minorHAnsi"/>
                <w:noProof/>
              </w:rPr>
              <w:t>Vliv inovativních nízkouhlíkových technologií na nákladovost a konkurenceschopnost příjemců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_Toc10729968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60</w:t>
            </w:r>
            <w:r w:rsidR="00A96932" w:rsidRPr="00E2612F">
              <w:rPr>
                <w:rFonts w:cstheme="minorHAnsi"/>
                <w:noProof/>
                <w:webHidden/>
              </w:rPr>
              <w:fldChar w:fldCharType="end"/>
            </w:r>
          </w:hyperlink>
        </w:p>
        <w:p w14:paraId="5ECF7F79" w14:textId="51C804B3" w:rsidR="00A96932" w:rsidRPr="00E2612F" w:rsidRDefault="00E12F39">
          <w:pPr>
            <w:pStyle w:val="Obsah1"/>
            <w:rPr>
              <w:rFonts w:asciiTheme="minorHAnsi" w:hAnsiTheme="minorHAnsi" w:cstheme="minorHAnsi"/>
              <w:b w:val="0"/>
              <w:caps w:val="0"/>
              <w:lang w:eastAsia="cs-CZ"/>
            </w:rPr>
          </w:pPr>
          <w:hyperlink w:anchor="_Toc10729969" w:history="1">
            <w:r w:rsidR="00A96932" w:rsidRPr="00E2612F">
              <w:rPr>
                <w:rStyle w:val="Hypertextovodkaz"/>
                <w:rFonts w:asciiTheme="minorHAnsi" w:hAnsiTheme="minorHAnsi" w:cstheme="minorHAnsi"/>
              </w:rPr>
              <w:t>12</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10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_Toc10729969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61</w:t>
            </w:r>
            <w:r w:rsidR="00A96932" w:rsidRPr="00E2612F">
              <w:rPr>
                <w:rFonts w:asciiTheme="minorHAnsi" w:hAnsiTheme="minorHAnsi" w:cstheme="minorHAnsi"/>
                <w:webHidden/>
              </w:rPr>
              <w:fldChar w:fldCharType="end"/>
            </w:r>
          </w:hyperlink>
        </w:p>
        <w:p w14:paraId="595A1B6C" w14:textId="378C486D" w:rsidR="00A96932" w:rsidRPr="00E2612F" w:rsidRDefault="00E12F39">
          <w:pPr>
            <w:pStyle w:val="Obsah2"/>
            <w:tabs>
              <w:tab w:val="left" w:pos="880"/>
              <w:tab w:val="right" w:leader="dot" w:pos="9316"/>
            </w:tabs>
            <w:rPr>
              <w:rFonts w:eastAsiaTheme="minorEastAsia" w:cstheme="minorHAnsi"/>
              <w:noProof/>
              <w:lang w:eastAsia="cs-CZ"/>
            </w:rPr>
          </w:pPr>
          <w:hyperlink w:anchor="_Toc10729970" w:history="1">
            <w:r w:rsidR="00A96932" w:rsidRPr="00E2612F">
              <w:rPr>
                <w:rStyle w:val="Hypertextovodkaz"/>
                <w:rFonts w:cstheme="minorHAnsi"/>
                <w:noProof/>
              </w:rPr>
              <w:t>12.1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61</w:t>
            </w:r>
            <w:r w:rsidR="00A96932" w:rsidRPr="00E2612F">
              <w:rPr>
                <w:rFonts w:cstheme="minorHAnsi"/>
                <w:noProof/>
                <w:webHidden/>
              </w:rPr>
              <w:fldChar w:fldCharType="end"/>
            </w:r>
          </w:hyperlink>
        </w:p>
        <w:p w14:paraId="70DAEF99" w14:textId="30267F04" w:rsidR="00A96932" w:rsidRPr="00E2612F" w:rsidRDefault="00E12F39">
          <w:pPr>
            <w:pStyle w:val="Obsah2"/>
            <w:tabs>
              <w:tab w:val="left" w:pos="880"/>
              <w:tab w:val="right" w:leader="dot" w:pos="9316"/>
            </w:tabs>
            <w:rPr>
              <w:rFonts w:eastAsiaTheme="minorEastAsia" w:cstheme="minorHAnsi"/>
              <w:noProof/>
              <w:lang w:eastAsia="cs-CZ"/>
            </w:rPr>
          </w:pPr>
          <w:hyperlink w:anchor="_Toc10729971" w:history="1">
            <w:r w:rsidR="00A96932" w:rsidRPr="00E2612F">
              <w:rPr>
                <w:rStyle w:val="Hypertextovodkaz"/>
                <w:rFonts w:cstheme="minorHAnsi"/>
                <w:noProof/>
              </w:rPr>
              <w:t>12.2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61</w:t>
            </w:r>
            <w:r w:rsidR="00A96932" w:rsidRPr="00E2612F">
              <w:rPr>
                <w:rFonts w:cstheme="minorHAnsi"/>
                <w:noProof/>
                <w:webHidden/>
              </w:rPr>
              <w:fldChar w:fldCharType="end"/>
            </w:r>
          </w:hyperlink>
        </w:p>
        <w:p w14:paraId="1A26B9F8" w14:textId="64DF1CE5" w:rsidR="00A96932" w:rsidRPr="00E2612F" w:rsidRDefault="00E12F39">
          <w:pPr>
            <w:pStyle w:val="Obsah2"/>
            <w:tabs>
              <w:tab w:val="left" w:pos="880"/>
              <w:tab w:val="right" w:leader="dot" w:pos="9316"/>
            </w:tabs>
            <w:rPr>
              <w:rFonts w:eastAsiaTheme="minorEastAsia" w:cstheme="minorHAnsi"/>
              <w:noProof/>
              <w:lang w:eastAsia="cs-CZ"/>
            </w:rPr>
          </w:pPr>
          <w:hyperlink w:anchor="_Toc10729972" w:history="1">
            <w:r w:rsidR="00A96932" w:rsidRPr="00E2612F">
              <w:rPr>
                <w:rStyle w:val="Hypertextovodkaz"/>
                <w:rFonts w:cstheme="minorHAnsi"/>
                <w:noProof/>
              </w:rPr>
              <w:t>12.3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61</w:t>
            </w:r>
            <w:r w:rsidR="00A96932" w:rsidRPr="00E2612F">
              <w:rPr>
                <w:rFonts w:cstheme="minorHAnsi"/>
                <w:noProof/>
                <w:webHidden/>
              </w:rPr>
              <w:fldChar w:fldCharType="end"/>
            </w:r>
          </w:hyperlink>
        </w:p>
        <w:p w14:paraId="5AB91C75" w14:textId="4F4287D7" w:rsidR="00A96932" w:rsidRPr="00E2612F" w:rsidRDefault="00E12F39">
          <w:pPr>
            <w:pStyle w:val="Obsah2"/>
            <w:tabs>
              <w:tab w:val="left" w:pos="880"/>
              <w:tab w:val="right" w:leader="dot" w:pos="9316"/>
            </w:tabs>
            <w:rPr>
              <w:rFonts w:eastAsiaTheme="minorEastAsia" w:cstheme="minorHAnsi"/>
              <w:noProof/>
              <w:lang w:eastAsia="cs-CZ"/>
            </w:rPr>
          </w:pPr>
          <w:hyperlink w:anchor="_Toc10729973" w:history="1">
            <w:r w:rsidR="00A96932" w:rsidRPr="00E2612F">
              <w:rPr>
                <w:rStyle w:val="Hypertextovodkaz"/>
                <w:rFonts w:cstheme="minorHAnsi"/>
                <w:noProof/>
              </w:rPr>
              <w:t>12.4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62</w:t>
            </w:r>
            <w:r w:rsidR="00A96932" w:rsidRPr="00E2612F">
              <w:rPr>
                <w:rFonts w:cstheme="minorHAnsi"/>
                <w:noProof/>
                <w:webHidden/>
              </w:rPr>
              <w:fldChar w:fldCharType="end"/>
            </w:r>
          </w:hyperlink>
        </w:p>
        <w:p w14:paraId="0A85ABA5" w14:textId="3B343626" w:rsidR="00A96932" w:rsidRPr="00E2612F" w:rsidRDefault="00E12F39">
          <w:pPr>
            <w:pStyle w:val="Obsah1"/>
            <w:rPr>
              <w:rFonts w:asciiTheme="minorHAnsi" w:hAnsiTheme="minorHAnsi" w:cstheme="minorHAnsi"/>
              <w:b w:val="0"/>
              <w:caps w:val="0"/>
              <w:lang w:eastAsia="cs-CZ"/>
            </w:rPr>
          </w:pPr>
          <w:hyperlink w:anchor="_Toc10729974" w:history="1">
            <w:r w:rsidR="00A96932" w:rsidRPr="00E2612F">
              <w:rPr>
                <w:rStyle w:val="Hypertextovodkaz"/>
                <w:rFonts w:asciiTheme="minorHAnsi" w:hAnsiTheme="minorHAnsi" w:cstheme="minorHAnsi"/>
              </w:rPr>
              <w:t>13</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11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_Toc10729974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66</w:t>
            </w:r>
            <w:r w:rsidR="00A96932" w:rsidRPr="00E2612F">
              <w:rPr>
                <w:rFonts w:asciiTheme="minorHAnsi" w:hAnsiTheme="minorHAnsi" w:cstheme="minorHAnsi"/>
                <w:webHidden/>
              </w:rPr>
              <w:fldChar w:fldCharType="end"/>
            </w:r>
          </w:hyperlink>
        </w:p>
        <w:p w14:paraId="45168513" w14:textId="03C50C17" w:rsidR="00A96932" w:rsidRPr="00E2612F" w:rsidRDefault="00E12F39">
          <w:pPr>
            <w:pStyle w:val="Obsah2"/>
            <w:tabs>
              <w:tab w:val="left" w:pos="880"/>
              <w:tab w:val="right" w:leader="dot" w:pos="9316"/>
            </w:tabs>
            <w:rPr>
              <w:rFonts w:eastAsiaTheme="minorEastAsia" w:cstheme="minorHAnsi"/>
              <w:noProof/>
              <w:lang w:eastAsia="cs-CZ"/>
            </w:rPr>
          </w:pPr>
          <w:hyperlink w:anchor="_Toc10729975" w:history="1">
            <w:r w:rsidR="00A96932" w:rsidRPr="00E2612F">
              <w:rPr>
                <w:rStyle w:val="Hypertextovodkaz"/>
                <w:rFonts w:cstheme="minorHAnsi"/>
                <w:noProof/>
              </w:rPr>
              <w:t>13.1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66</w:t>
            </w:r>
            <w:r w:rsidR="00A96932" w:rsidRPr="00E2612F">
              <w:rPr>
                <w:rFonts w:cstheme="minorHAnsi"/>
                <w:noProof/>
                <w:webHidden/>
              </w:rPr>
              <w:fldChar w:fldCharType="end"/>
            </w:r>
          </w:hyperlink>
        </w:p>
        <w:p w14:paraId="0BFC0338" w14:textId="3A6AEAEC" w:rsidR="00A96932" w:rsidRPr="00E2612F" w:rsidRDefault="00E12F39">
          <w:pPr>
            <w:pStyle w:val="Obsah2"/>
            <w:tabs>
              <w:tab w:val="left" w:pos="880"/>
              <w:tab w:val="right" w:leader="dot" w:pos="9316"/>
            </w:tabs>
            <w:rPr>
              <w:rFonts w:eastAsiaTheme="minorEastAsia" w:cstheme="minorHAnsi"/>
              <w:noProof/>
              <w:lang w:eastAsia="cs-CZ"/>
            </w:rPr>
          </w:pPr>
          <w:hyperlink w:anchor="_Toc10729976" w:history="1">
            <w:r w:rsidR="00A96932" w:rsidRPr="00E2612F">
              <w:rPr>
                <w:rStyle w:val="Hypertextovodkaz"/>
                <w:rFonts w:cstheme="minorHAnsi"/>
                <w:noProof/>
              </w:rPr>
              <w:t>13.2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66</w:t>
            </w:r>
            <w:r w:rsidR="00A96932" w:rsidRPr="00E2612F">
              <w:rPr>
                <w:rFonts w:cstheme="minorHAnsi"/>
                <w:noProof/>
                <w:webHidden/>
              </w:rPr>
              <w:fldChar w:fldCharType="end"/>
            </w:r>
          </w:hyperlink>
        </w:p>
        <w:p w14:paraId="5E144299" w14:textId="032ED47D" w:rsidR="00A96932" w:rsidRPr="00E2612F" w:rsidRDefault="00E12F39">
          <w:pPr>
            <w:pStyle w:val="Obsah2"/>
            <w:tabs>
              <w:tab w:val="left" w:pos="880"/>
              <w:tab w:val="right" w:leader="dot" w:pos="9316"/>
            </w:tabs>
            <w:rPr>
              <w:rFonts w:eastAsiaTheme="minorEastAsia" w:cstheme="minorHAnsi"/>
              <w:noProof/>
              <w:lang w:eastAsia="cs-CZ"/>
            </w:rPr>
          </w:pPr>
          <w:hyperlink w:anchor="_Toc10729977" w:history="1">
            <w:r w:rsidR="00A96932" w:rsidRPr="00E2612F">
              <w:rPr>
                <w:rStyle w:val="Hypertextovodkaz"/>
                <w:rFonts w:cstheme="minorHAnsi"/>
                <w:noProof/>
              </w:rPr>
              <w:t>13.3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66</w:t>
            </w:r>
            <w:r w:rsidR="00A96932" w:rsidRPr="00E2612F">
              <w:rPr>
                <w:rFonts w:cstheme="minorHAnsi"/>
                <w:noProof/>
                <w:webHidden/>
              </w:rPr>
              <w:fldChar w:fldCharType="end"/>
            </w:r>
          </w:hyperlink>
        </w:p>
        <w:p w14:paraId="4A4BDDD2" w14:textId="5D982740" w:rsidR="00A96932" w:rsidRPr="00E2612F" w:rsidRDefault="00E12F39">
          <w:pPr>
            <w:pStyle w:val="Obsah2"/>
            <w:tabs>
              <w:tab w:val="left" w:pos="880"/>
              <w:tab w:val="right" w:leader="dot" w:pos="9316"/>
            </w:tabs>
            <w:rPr>
              <w:rFonts w:eastAsiaTheme="minorEastAsia" w:cstheme="minorHAnsi"/>
              <w:noProof/>
              <w:lang w:eastAsia="cs-CZ"/>
            </w:rPr>
          </w:pPr>
          <w:hyperlink w:anchor="_Toc10729978" w:history="1">
            <w:r w:rsidR="00A96932" w:rsidRPr="00E2612F">
              <w:rPr>
                <w:rStyle w:val="Hypertextovodkaz"/>
                <w:rFonts w:cstheme="minorHAnsi"/>
                <w:noProof/>
              </w:rPr>
              <w:t>13.4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_Toc10729978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67</w:t>
            </w:r>
            <w:r w:rsidR="00A96932" w:rsidRPr="00E2612F">
              <w:rPr>
                <w:rFonts w:cstheme="minorHAnsi"/>
                <w:noProof/>
                <w:webHidden/>
              </w:rPr>
              <w:fldChar w:fldCharType="end"/>
            </w:r>
          </w:hyperlink>
        </w:p>
        <w:p w14:paraId="5B898CE4" w14:textId="34190F2E" w:rsidR="00A96932" w:rsidRPr="00E2612F" w:rsidRDefault="00E12F39">
          <w:pPr>
            <w:pStyle w:val="Obsah1"/>
            <w:rPr>
              <w:rFonts w:asciiTheme="minorHAnsi" w:hAnsiTheme="minorHAnsi" w:cstheme="minorHAnsi"/>
              <w:b w:val="0"/>
              <w:caps w:val="0"/>
              <w:lang w:eastAsia="cs-CZ"/>
            </w:rPr>
          </w:pPr>
          <w:hyperlink w:anchor="_Toc10729979" w:history="1">
            <w:r w:rsidR="00A96932" w:rsidRPr="00E2612F">
              <w:rPr>
                <w:rStyle w:val="Hypertextovodkaz"/>
                <w:rFonts w:asciiTheme="minorHAnsi" w:hAnsiTheme="minorHAnsi" w:cstheme="minorHAnsi"/>
              </w:rPr>
              <w:t>14</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12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_Toc10729979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70</w:t>
            </w:r>
            <w:r w:rsidR="00A96932" w:rsidRPr="00E2612F">
              <w:rPr>
                <w:rFonts w:asciiTheme="minorHAnsi" w:hAnsiTheme="minorHAnsi" w:cstheme="minorHAnsi"/>
                <w:webHidden/>
              </w:rPr>
              <w:fldChar w:fldCharType="end"/>
            </w:r>
          </w:hyperlink>
        </w:p>
        <w:p w14:paraId="46EEEB3B" w14:textId="768CD38D" w:rsidR="00A96932" w:rsidRPr="00E2612F" w:rsidRDefault="00E12F39">
          <w:pPr>
            <w:pStyle w:val="Obsah2"/>
            <w:tabs>
              <w:tab w:val="left" w:pos="880"/>
              <w:tab w:val="right" w:leader="dot" w:pos="9316"/>
            </w:tabs>
            <w:rPr>
              <w:rFonts w:eastAsiaTheme="minorEastAsia" w:cstheme="minorHAnsi"/>
              <w:noProof/>
              <w:lang w:eastAsia="cs-CZ"/>
            </w:rPr>
          </w:pPr>
          <w:hyperlink w:anchor="_Toc10729980" w:history="1">
            <w:r w:rsidR="00A96932" w:rsidRPr="00E2612F">
              <w:rPr>
                <w:rStyle w:val="Hypertextovodkaz"/>
                <w:rFonts w:cstheme="minorHAnsi"/>
                <w:noProof/>
              </w:rPr>
              <w:t>14.1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70</w:t>
            </w:r>
            <w:r w:rsidR="00A96932" w:rsidRPr="00E2612F">
              <w:rPr>
                <w:rFonts w:cstheme="minorHAnsi"/>
                <w:noProof/>
                <w:webHidden/>
              </w:rPr>
              <w:fldChar w:fldCharType="end"/>
            </w:r>
          </w:hyperlink>
        </w:p>
        <w:p w14:paraId="56C31F8F" w14:textId="7CD3BC9B" w:rsidR="00A96932" w:rsidRPr="00E2612F" w:rsidRDefault="00E12F39">
          <w:pPr>
            <w:pStyle w:val="Obsah2"/>
            <w:tabs>
              <w:tab w:val="left" w:pos="880"/>
              <w:tab w:val="right" w:leader="dot" w:pos="9316"/>
            </w:tabs>
            <w:rPr>
              <w:rFonts w:eastAsiaTheme="minorEastAsia" w:cstheme="minorHAnsi"/>
              <w:noProof/>
              <w:lang w:eastAsia="cs-CZ"/>
            </w:rPr>
          </w:pPr>
          <w:hyperlink w:anchor="_Toc10729981" w:history="1">
            <w:r w:rsidR="00A96932" w:rsidRPr="00E2612F">
              <w:rPr>
                <w:rStyle w:val="Hypertextovodkaz"/>
                <w:rFonts w:cstheme="minorHAnsi"/>
                <w:noProof/>
              </w:rPr>
              <w:t>14.2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70</w:t>
            </w:r>
            <w:r w:rsidR="00A96932" w:rsidRPr="00E2612F">
              <w:rPr>
                <w:rFonts w:cstheme="minorHAnsi"/>
                <w:noProof/>
                <w:webHidden/>
              </w:rPr>
              <w:fldChar w:fldCharType="end"/>
            </w:r>
          </w:hyperlink>
        </w:p>
        <w:p w14:paraId="169E84B9" w14:textId="6E9A10A6" w:rsidR="00A96932" w:rsidRPr="00E2612F" w:rsidRDefault="00E12F39">
          <w:pPr>
            <w:pStyle w:val="Obsah2"/>
            <w:tabs>
              <w:tab w:val="left" w:pos="880"/>
              <w:tab w:val="right" w:leader="dot" w:pos="9316"/>
            </w:tabs>
            <w:rPr>
              <w:rFonts w:eastAsiaTheme="minorEastAsia" w:cstheme="minorHAnsi"/>
              <w:noProof/>
              <w:lang w:eastAsia="cs-CZ"/>
            </w:rPr>
          </w:pPr>
          <w:hyperlink w:anchor="_Toc10729982" w:history="1">
            <w:r w:rsidR="00A96932" w:rsidRPr="00E2612F">
              <w:rPr>
                <w:rStyle w:val="Hypertextovodkaz"/>
                <w:rFonts w:cstheme="minorHAnsi"/>
                <w:noProof/>
              </w:rPr>
              <w:t>14.3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70</w:t>
            </w:r>
            <w:r w:rsidR="00A96932" w:rsidRPr="00E2612F">
              <w:rPr>
                <w:rFonts w:cstheme="minorHAnsi"/>
                <w:noProof/>
                <w:webHidden/>
              </w:rPr>
              <w:fldChar w:fldCharType="end"/>
            </w:r>
          </w:hyperlink>
        </w:p>
        <w:p w14:paraId="5A566387" w14:textId="1A98EC2F" w:rsidR="00A96932" w:rsidRPr="00E2612F" w:rsidRDefault="00E12F39">
          <w:pPr>
            <w:pStyle w:val="Obsah2"/>
            <w:tabs>
              <w:tab w:val="left" w:pos="880"/>
              <w:tab w:val="right" w:leader="dot" w:pos="9316"/>
            </w:tabs>
            <w:rPr>
              <w:rFonts w:eastAsiaTheme="minorEastAsia" w:cstheme="minorHAnsi"/>
              <w:noProof/>
              <w:lang w:eastAsia="cs-CZ"/>
            </w:rPr>
          </w:pPr>
          <w:hyperlink w:anchor="_Toc10729983" w:history="1">
            <w:r w:rsidR="00A96932" w:rsidRPr="00E2612F">
              <w:rPr>
                <w:rStyle w:val="Hypertextovodkaz"/>
                <w:rFonts w:cstheme="minorHAnsi"/>
                <w:noProof/>
              </w:rPr>
              <w:t>14.4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70</w:t>
            </w:r>
            <w:r w:rsidR="00A96932" w:rsidRPr="00E2612F">
              <w:rPr>
                <w:rFonts w:cstheme="minorHAnsi"/>
                <w:noProof/>
                <w:webHidden/>
              </w:rPr>
              <w:fldChar w:fldCharType="end"/>
            </w:r>
          </w:hyperlink>
        </w:p>
        <w:p w14:paraId="3F352655" w14:textId="3B596A33" w:rsidR="00A96932" w:rsidRPr="00E2612F" w:rsidRDefault="00E12F39">
          <w:pPr>
            <w:pStyle w:val="Obsah1"/>
            <w:rPr>
              <w:rFonts w:asciiTheme="minorHAnsi" w:hAnsiTheme="minorHAnsi" w:cstheme="minorHAnsi"/>
              <w:b w:val="0"/>
              <w:caps w:val="0"/>
              <w:lang w:eastAsia="cs-CZ"/>
            </w:rPr>
          </w:pPr>
          <w:hyperlink w:anchor="_Toc10729984" w:history="1">
            <w:r w:rsidR="00A96932" w:rsidRPr="00E2612F">
              <w:rPr>
                <w:rStyle w:val="Hypertextovodkaz"/>
                <w:rFonts w:asciiTheme="minorHAnsi" w:hAnsiTheme="minorHAnsi" w:cstheme="minorHAnsi"/>
              </w:rPr>
              <w:t>15</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13 (OZE, ÚE,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_Toc10729984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74</w:t>
            </w:r>
            <w:r w:rsidR="00A96932" w:rsidRPr="00E2612F">
              <w:rPr>
                <w:rFonts w:asciiTheme="minorHAnsi" w:hAnsiTheme="minorHAnsi" w:cstheme="minorHAnsi"/>
                <w:webHidden/>
              </w:rPr>
              <w:fldChar w:fldCharType="end"/>
            </w:r>
          </w:hyperlink>
        </w:p>
        <w:p w14:paraId="750C611E" w14:textId="2B3BCFEA" w:rsidR="00A96932" w:rsidRPr="00E2612F" w:rsidRDefault="00E12F39">
          <w:pPr>
            <w:pStyle w:val="Obsah2"/>
            <w:tabs>
              <w:tab w:val="left" w:pos="880"/>
              <w:tab w:val="right" w:leader="dot" w:pos="9316"/>
            </w:tabs>
            <w:rPr>
              <w:rFonts w:eastAsiaTheme="minorEastAsia" w:cstheme="minorHAnsi"/>
              <w:noProof/>
              <w:lang w:eastAsia="cs-CZ"/>
            </w:rPr>
          </w:pPr>
          <w:hyperlink w:anchor="_Toc10729985" w:history="1">
            <w:r w:rsidR="00A96932" w:rsidRPr="00E2612F">
              <w:rPr>
                <w:rStyle w:val="Hypertextovodkaz"/>
                <w:rFonts w:cstheme="minorHAnsi"/>
                <w:noProof/>
              </w:rPr>
              <w:t>15.1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74</w:t>
            </w:r>
            <w:r w:rsidR="00A96932" w:rsidRPr="00E2612F">
              <w:rPr>
                <w:rFonts w:cstheme="minorHAnsi"/>
                <w:noProof/>
                <w:webHidden/>
              </w:rPr>
              <w:fldChar w:fldCharType="end"/>
            </w:r>
          </w:hyperlink>
        </w:p>
        <w:p w14:paraId="76F6BEB8" w14:textId="1F038E95" w:rsidR="00A96932" w:rsidRPr="00E2612F" w:rsidRDefault="00E12F39">
          <w:pPr>
            <w:pStyle w:val="Obsah2"/>
            <w:tabs>
              <w:tab w:val="left" w:pos="880"/>
              <w:tab w:val="right" w:leader="dot" w:pos="9316"/>
            </w:tabs>
            <w:rPr>
              <w:rFonts w:eastAsiaTheme="minorEastAsia" w:cstheme="minorHAnsi"/>
              <w:noProof/>
              <w:lang w:eastAsia="cs-CZ"/>
            </w:rPr>
          </w:pPr>
          <w:hyperlink w:anchor="_Toc10729986" w:history="1">
            <w:r w:rsidR="00A96932" w:rsidRPr="00E2612F">
              <w:rPr>
                <w:rStyle w:val="Hypertextovodkaz"/>
                <w:rFonts w:cstheme="minorHAnsi"/>
                <w:noProof/>
              </w:rPr>
              <w:t>15.2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74</w:t>
            </w:r>
            <w:r w:rsidR="00A96932" w:rsidRPr="00E2612F">
              <w:rPr>
                <w:rFonts w:cstheme="minorHAnsi"/>
                <w:noProof/>
                <w:webHidden/>
              </w:rPr>
              <w:fldChar w:fldCharType="end"/>
            </w:r>
          </w:hyperlink>
        </w:p>
        <w:p w14:paraId="72FF9EBD" w14:textId="160C4F09" w:rsidR="00A96932" w:rsidRPr="00E2612F" w:rsidRDefault="00E12F39">
          <w:pPr>
            <w:pStyle w:val="Obsah2"/>
            <w:tabs>
              <w:tab w:val="left" w:pos="880"/>
              <w:tab w:val="right" w:leader="dot" w:pos="9316"/>
            </w:tabs>
            <w:rPr>
              <w:rFonts w:eastAsiaTheme="minorEastAsia" w:cstheme="minorHAnsi"/>
              <w:noProof/>
              <w:lang w:eastAsia="cs-CZ"/>
            </w:rPr>
          </w:pPr>
          <w:hyperlink w:anchor="_Toc10729987" w:history="1">
            <w:r w:rsidR="00A96932" w:rsidRPr="00E2612F">
              <w:rPr>
                <w:rStyle w:val="Hypertextovodkaz"/>
                <w:rFonts w:cstheme="minorHAnsi"/>
                <w:noProof/>
              </w:rPr>
              <w:t>15.3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74</w:t>
            </w:r>
            <w:r w:rsidR="00A96932" w:rsidRPr="00E2612F">
              <w:rPr>
                <w:rFonts w:cstheme="minorHAnsi"/>
                <w:noProof/>
                <w:webHidden/>
              </w:rPr>
              <w:fldChar w:fldCharType="end"/>
            </w:r>
          </w:hyperlink>
        </w:p>
        <w:p w14:paraId="5379A947" w14:textId="5C4DD0F4" w:rsidR="00A96932" w:rsidRPr="00E2612F" w:rsidRDefault="00E12F39">
          <w:pPr>
            <w:pStyle w:val="Obsah2"/>
            <w:tabs>
              <w:tab w:val="left" w:pos="880"/>
              <w:tab w:val="right" w:leader="dot" w:pos="9316"/>
            </w:tabs>
            <w:rPr>
              <w:rFonts w:eastAsiaTheme="minorEastAsia" w:cstheme="minorHAnsi"/>
              <w:noProof/>
              <w:lang w:eastAsia="cs-CZ"/>
            </w:rPr>
          </w:pPr>
          <w:hyperlink w:anchor="_Toc10729988" w:history="1">
            <w:r w:rsidR="00A96932" w:rsidRPr="00E2612F">
              <w:rPr>
                <w:rStyle w:val="Hypertextovodkaz"/>
                <w:rFonts w:cstheme="minorHAnsi"/>
                <w:noProof/>
              </w:rPr>
              <w:t>15.4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75</w:t>
            </w:r>
            <w:r w:rsidR="00A96932" w:rsidRPr="00E2612F">
              <w:rPr>
                <w:rFonts w:cstheme="minorHAnsi"/>
                <w:noProof/>
                <w:webHidden/>
              </w:rPr>
              <w:fldChar w:fldCharType="end"/>
            </w:r>
          </w:hyperlink>
        </w:p>
        <w:p w14:paraId="7D5FE2EE" w14:textId="6FD876F0" w:rsidR="00A96932" w:rsidRPr="00E2612F" w:rsidRDefault="00E12F39">
          <w:pPr>
            <w:pStyle w:val="Obsah3"/>
            <w:tabs>
              <w:tab w:val="left" w:pos="1320"/>
              <w:tab w:val="right" w:leader="dot" w:pos="9316"/>
            </w:tabs>
            <w:rPr>
              <w:rFonts w:eastAsiaTheme="minorEastAsia" w:cstheme="minorHAnsi"/>
              <w:noProof/>
              <w:lang w:eastAsia="cs-CZ"/>
            </w:rPr>
          </w:pPr>
          <w:hyperlink w:anchor="_Toc10729989" w:history="1">
            <w:r w:rsidR="00A96932" w:rsidRPr="00E2612F">
              <w:rPr>
                <w:rStyle w:val="Hypertextovodkaz"/>
                <w:rFonts w:cstheme="minorHAnsi"/>
                <w:noProof/>
              </w:rPr>
              <w:t>15.4.1</w:t>
            </w:r>
            <w:r w:rsidR="00A96932" w:rsidRPr="00E2612F">
              <w:rPr>
                <w:rFonts w:eastAsiaTheme="minorEastAsia" w:cstheme="minorHAnsi"/>
                <w:noProof/>
                <w:lang w:eastAsia="cs-CZ"/>
              </w:rPr>
              <w:tab/>
            </w:r>
            <w:r w:rsidR="00A96932" w:rsidRPr="00E2612F">
              <w:rPr>
                <w:rStyle w:val="Hypertextovodkaz"/>
                <w:rFonts w:cstheme="minorHAnsi"/>
                <w:noProof/>
              </w:rPr>
              <w:t>Specifický cíl 3.1</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_Toc10729989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75</w:t>
            </w:r>
            <w:r w:rsidR="00A96932" w:rsidRPr="00E2612F">
              <w:rPr>
                <w:rFonts w:cstheme="minorHAnsi"/>
                <w:noProof/>
                <w:webHidden/>
              </w:rPr>
              <w:fldChar w:fldCharType="end"/>
            </w:r>
          </w:hyperlink>
        </w:p>
        <w:p w14:paraId="6291B201" w14:textId="661EA310" w:rsidR="00A96932" w:rsidRPr="00E2612F" w:rsidRDefault="00E12F39">
          <w:pPr>
            <w:pStyle w:val="Obsah3"/>
            <w:tabs>
              <w:tab w:val="left" w:pos="1320"/>
              <w:tab w:val="right" w:leader="dot" w:pos="9316"/>
            </w:tabs>
            <w:rPr>
              <w:rFonts w:eastAsiaTheme="minorEastAsia" w:cstheme="minorHAnsi"/>
              <w:noProof/>
              <w:lang w:eastAsia="cs-CZ"/>
            </w:rPr>
          </w:pPr>
          <w:hyperlink w:anchor="_Toc10729990" w:history="1">
            <w:r w:rsidR="00A96932" w:rsidRPr="00E2612F">
              <w:rPr>
                <w:rStyle w:val="Hypertextovodkaz"/>
                <w:rFonts w:cstheme="minorHAnsi"/>
                <w:noProof/>
              </w:rPr>
              <w:t>15.4.2</w:t>
            </w:r>
            <w:r w:rsidR="00A96932" w:rsidRPr="00E2612F">
              <w:rPr>
                <w:rFonts w:eastAsiaTheme="minorEastAsia" w:cstheme="minorHAnsi"/>
                <w:noProof/>
                <w:lang w:eastAsia="cs-CZ"/>
              </w:rPr>
              <w:tab/>
            </w:r>
            <w:r w:rsidR="00A96932" w:rsidRPr="00E2612F">
              <w:rPr>
                <w:rStyle w:val="Hypertextovodkaz"/>
                <w:rFonts w:cstheme="minorHAnsi"/>
                <w:noProof/>
              </w:rPr>
              <w:t>Specifický cíl 3.2</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75</w:t>
            </w:r>
            <w:r w:rsidR="00A96932" w:rsidRPr="00E2612F">
              <w:rPr>
                <w:rFonts w:cstheme="minorHAnsi"/>
                <w:noProof/>
                <w:webHidden/>
              </w:rPr>
              <w:fldChar w:fldCharType="end"/>
            </w:r>
          </w:hyperlink>
        </w:p>
        <w:p w14:paraId="0A66BFC9" w14:textId="1E76FEEF" w:rsidR="00A96932" w:rsidRPr="00E2612F" w:rsidRDefault="00E12F39">
          <w:pPr>
            <w:pStyle w:val="Obsah3"/>
            <w:tabs>
              <w:tab w:val="left" w:pos="1320"/>
              <w:tab w:val="right" w:leader="dot" w:pos="9316"/>
            </w:tabs>
            <w:rPr>
              <w:rFonts w:eastAsiaTheme="minorEastAsia" w:cstheme="minorHAnsi"/>
              <w:noProof/>
              <w:lang w:eastAsia="cs-CZ"/>
            </w:rPr>
          </w:pPr>
          <w:hyperlink w:anchor="_Toc10729991" w:history="1">
            <w:r w:rsidR="00A96932" w:rsidRPr="00E2612F">
              <w:rPr>
                <w:rStyle w:val="Hypertextovodkaz"/>
                <w:rFonts w:cstheme="minorHAnsi"/>
                <w:noProof/>
              </w:rPr>
              <w:t>15.4.3</w:t>
            </w:r>
            <w:r w:rsidR="00A96932" w:rsidRPr="00E2612F">
              <w:rPr>
                <w:rFonts w:eastAsiaTheme="minorEastAsia" w:cstheme="minorHAnsi"/>
                <w:noProof/>
                <w:lang w:eastAsia="cs-CZ"/>
              </w:rPr>
              <w:tab/>
            </w:r>
            <w:r w:rsidR="00A96932" w:rsidRPr="00E2612F">
              <w:rPr>
                <w:rStyle w:val="Hypertextovodkaz"/>
                <w:rFonts w:cstheme="minorHAnsi"/>
                <w:noProof/>
              </w:rPr>
              <w:t>Specifický cíl 3.4</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76</w:t>
            </w:r>
            <w:r w:rsidR="00A96932" w:rsidRPr="00E2612F">
              <w:rPr>
                <w:rFonts w:cstheme="minorHAnsi"/>
                <w:noProof/>
                <w:webHidden/>
              </w:rPr>
              <w:fldChar w:fldCharType="end"/>
            </w:r>
          </w:hyperlink>
        </w:p>
        <w:p w14:paraId="22D83952" w14:textId="7965B98F" w:rsidR="00A96932" w:rsidRPr="00E2612F" w:rsidRDefault="00E12F39">
          <w:pPr>
            <w:pStyle w:val="Obsah1"/>
            <w:rPr>
              <w:rFonts w:asciiTheme="minorHAnsi" w:hAnsiTheme="minorHAnsi" w:cstheme="minorHAnsi"/>
              <w:b w:val="0"/>
              <w:caps w:val="0"/>
              <w:lang w:eastAsia="cs-CZ"/>
            </w:rPr>
          </w:pPr>
          <w:hyperlink w:anchor="_Toc10729992" w:history="1">
            <w:r w:rsidR="00A96932" w:rsidRPr="00E2612F">
              <w:rPr>
                <w:rStyle w:val="Hypertextovodkaz"/>
                <w:rFonts w:asciiTheme="minorHAnsi" w:hAnsiTheme="minorHAnsi" w:cstheme="minorHAnsi"/>
              </w:rPr>
              <w:t>16</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14 (OZE, ÚE,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_Toc10729992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78</w:t>
            </w:r>
            <w:r w:rsidR="00A96932" w:rsidRPr="00E2612F">
              <w:rPr>
                <w:rFonts w:asciiTheme="minorHAnsi" w:hAnsiTheme="minorHAnsi" w:cstheme="minorHAnsi"/>
                <w:webHidden/>
              </w:rPr>
              <w:fldChar w:fldCharType="end"/>
            </w:r>
          </w:hyperlink>
        </w:p>
        <w:p w14:paraId="5C1BB436" w14:textId="0475BFAE" w:rsidR="00A96932" w:rsidRPr="00E2612F" w:rsidRDefault="00E12F39">
          <w:pPr>
            <w:pStyle w:val="Obsah2"/>
            <w:tabs>
              <w:tab w:val="left" w:pos="880"/>
              <w:tab w:val="right" w:leader="dot" w:pos="9316"/>
            </w:tabs>
            <w:rPr>
              <w:rFonts w:eastAsiaTheme="minorEastAsia" w:cstheme="minorHAnsi"/>
              <w:noProof/>
              <w:lang w:eastAsia="cs-CZ"/>
            </w:rPr>
          </w:pPr>
          <w:hyperlink w:anchor="_Toc10729993" w:history="1">
            <w:r w:rsidR="00A96932" w:rsidRPr="00E2612F">
              <w:rPr>
                <w:rStyle w:val="Hypertextovodkaz"/>
                <w:rFonts w:cstheme="minorHAnsi"/>
                <w:noProof/>
              </w:rPr>
              <w:t>16.1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78</w:t>
            </w:r>
            <w:r w:rsidR="00A96932" w:rsidRPr="00E2612F">
              <w:rPr>
                <w:rFonts w:cstheme="minorHAnsi"/>
                <w:noProof/>
                <w:webHidden/>
              </w:rPr>
              <w:fldChar w:fldCharType="end"/>
            </w:r>
          </w:hyperlink>
        </w:p>
        <w:p w14:paraId="2DDD6904" w14:textId="2936B530" w:rsidR="00A96932" w:rsidRPr="00E2612F" w:rsidRDefault="00E12F39">
          <w:pPr>
            <w:pStyle w:val="Obsah2"/>
            <w:tabs>
              <w:tab w:val="left" w:pos="880"/>
              <w:tab w:val="right" w:leader="dot" w:pos="9316"/>
            </w:tabs>
            <w:rPr>
              <w:rFonts w:eastAsiaTheme="minorEastAsia" w:cstheme="minorHAnsi"/>
              <w:noProof/>
              <w:lang w:eastAsia="cs-CZ"/>
            </w:rPr>
          </w:pPr>
          <w:hyperlink w:anchor="_Toc10729994" w:history="1">
            <w:r w:rsidR="00A96932" w:rsidRPr="00E2612F">
              <w:rPr>
                <w:rStyle w:val="Hypertextovodkaz"/>
                <w:rFonts w:cstheme="minorHAnsi"/>
                <w:noProof/>
              </w:rPr>
              <w:t>16.2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_Toc10729994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78</w:t>
            </w:r>
            <w:r w:rsidR="00A96932" w:rsidRPr="00E2612F">
              <w:rPr>
                <w:rFonts w:cstheme="minorHAnsi"/>
                <w:noProof/>
                <w:webHidden/>
              </w:rPr>
              <w:fldChar w:fldCharType="end"/>
            </w:r>
          </w:hyperlink>
        </w:p>
        <w:p w14:paraId="2212796D" w14:textId="3479FE45" w:rsidR="00A96932" w:rsidRPr="00E2612F" w:rsidRDefault="00E12F39">
          <w:pPr>
            <w:pStyle w:val="Obsah2"/>
            <w:tabs>
              <w:tab w:val="left" w:pos="880"/>
              <w:tab w:val="right" w:leader="dot" w:pos="9316"/>
            </w:tabs>
            <w:rPr>
              <w:rFonts w:eastAsiaTheme="minorEastAsia" w:cstheme="minorHAnsi"/>
              <w:noProof/>
              <w:lang w:eastAsia="cs-CZ"/>
            </w:rPr>
          </w:pPr>
          <w:hyperlink w:anchor="_Toc10729995" w:history="1">
            <w:r w:rsidR="00A96932" w:rsidRPr="00E2612F">
              <w:rPr>
                <w:rStyle w:val="Hypertextovodkaz"/>
                <w:rFonts w:cstheme="minorHAnsi"/>
                <w:noProof/>
              </w:rPr>
              <w:t>16.3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80</w:t>
            </w:r>
            <w:r w:rsidR="00A96932" w:rsidRPr="00E2612F">
              <w:rPr>
                <w:rFonts w:cstheme="minorHAnsi"/>
                <w:noProof/>
                <w:webHidden/>
              </w:rPr>
              <w:fldChar w:fldCharType="end"/>
            </w:r>
          </w:hyperlink>
        </w:p>
        <w:p w14:paraId="39C8FC33" w14:textId="27DFACEA" w:rsidR="00A96932" w:rsidRPr="00E2612F" w:rsidRDefault="00E12F39">
          <w:pPr>
            <w:pStyle w:val="Obsah2"/>
            <w:tabs>
              <w:tab w:val="left" w:pos="880"/>
              <w:tab w:val="right" w:leader="dot" w:pos="9316"/>
            </w:tabs>
            <w:rPr>
              <w:rFonts w:eastAsiaTheme="minorEastAsia" w:cstheme="minorHAnsi"/>
              <w:noProof/>
              <w:lang w:eastAsia="cs-CZ"/>
            </w:rPr>
          </w:pPr>
          <w:hyperlink w:anchor="_Toc10729996" w:history="1">
            <w:r w:rsidR="00A96932" w:rsidRPr="00E2612F">
              <w:rPr>
                <w:rStyle w:val="Hypertextovodkaz"/>
                <w:rFonts w:cstheme="minorHAnsi"/>
                <w:noProof/>
              </w:rPr>
              <w:t>16.4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81</w:t>
            </w:r>
            <w:r w:rsidR="00A96932" w:rsidRPr="00E2612F">
              <w:rPr>
                <w:rFonts w:cstheme="minorHAnsi"/>
                <w:noProof/>
                <w:webHidden/>
              </w:rPr>
              <w:fldChar w:fldCharType="end"/>
            </w:r>
          </w:hyperlink>
        </w:p>
        <w:p w14:paraId="6E8013CE" w14:textId="5B5056FF" w:rsidR="00A96932" w:rsidRPr="00E2612F" w:rsidRDefault="00E12F39">
          <w:pPr>
            <w:pStyle w:val="Obsah3"/>
            <w:tabs>
              <w:tab w:val="left" w:pos="1320"/>
              <w:tab w:val="right" w:leader="dot" w:pos="9316"/>
            </w:tabs>
            <w:rPr>
              <w:rFonts w:eastAsiaTheme="minorEastAsia" w:cstheme="minorHAnsi"/>
              <w:noProof/>
              <w:lang w:eastAsia="cs-CZ"/>
            </w:rPr>
          </w:pPr>
          <w:hyperlink w:anchor="_Toc10729997" w:history="1">
            <w:r w:rsidR="00A96932" w:rsidRPr="00E2612F">
              <w:rPr>
                <w:rStyle w:val="Hypertextovodkaz"/>
                <w:rFonts w:cstheme="minorHAnsi"/>
                <w:noProof/>
              </w:rPr>
              <w:t>16.4.1</w:t>
            </w:r>
            <w:r w:rsidR="00A96932" w:rsidRPr="00E2612F">
              <w:rPr>
                <w:rFonts w:eastAsiaTheme="minorEastAsia" w:cstheme="minorHAnsi"/>
                <w:noProof/>
                <w:lang w:eastAsia="cs-CZ"/>
              </w:rPr>
              <w:tab/>
            </w:r>
            <w:r w:rsidR="00A96932" w:rsidRPr="00E2612F">
              <w:rPr>
                <w:rStyle w:val="Hypertextovodkaz"/>
                <w:rFonts w:cstheme="minorHAnsi"/>
                <w:noProof/>
              </w:rPr>
              <w:t>Relevance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81</w:t>
            </w:r>
            <w:r w:rsidR="00A96932" w:rsidRPr="00E2612F">
              <w:rPr>
                <w:rFonts w:cstheme="minorHAnsi"/>
                <w:noProof/>
                <w:webHidden/>
              </w:rPr>
              <w:fldChar w:fldCharType="end"/>
            </w:r>
          </w:hyperlink>
        </w:p>
        <w:p w14:paraId="4284B986" w14:textId="3E9FF8D8" w:rsidR="00A96932" w:rsidRPr="00E2612F" w:rsidRDefault="00E12F39">
          <w:pPr>
            <w:pStyle w:val="Obsah3"/>
            <w:tabs>
              <w:tab w:val="left" w:pos="1320"/>
              <w:tab w:val="right" w:leader="dot" w:pos="9316"/>
            </w:tabs>
            <w:rPr>
              <w:rFonts w:eastAsiaTheme="minorEastAsia" w:cstheme="minorHAnsi"/>
              <w:noProof/>
              <w:lang w:eastAsia="cs-CZ"/>
            </w:rPr>
          </w:pPr>
          <w:hyperlink w:anchor="_Toc10729998" w:history="1">
            <w:r w:rsidR="00A96932" w:rsidRPr="00E2612F">
              <w:rPr>
                <w:rStyle w:val="Hypertextovodkaz"/>
                <w:rFonts w:cstheme="minorHAnsi"/>
                <w:noProof/>
              </w:rPr>
              <w:t>16.4.2</w:t>
            </w:r>
            <w:r w:rsidR="00A96932" w:rsidRPr="00E2612F">
              <w:rPr>
                <w:rFonts w:eastAsiaTheme="minorEastAsia" w:cstheme="minorHAnsi"/>
                <w:noProof/>
                <w:lang w:eastAsia="cs-CZ"/>
              </w:rPr>
              <w:tab/>
            </w:r>
            <w:r w:rsidR="00A96932" w:rsidRPr="00E2612F">
              <w:rPr>
                <w:rStyle w:val="Hypertextovodkaz"/>
                <w:rFonts w:cstheme="minorHAnsi"/>
                <w:noProof/>
              </w:rPr>
              <w:t>Účelnost (Effectiveness)</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83</w:t>
            </w:r>
            <w:r w:rsidR="00A96932" w:rsidRPr="00E2612F">
              <w:rPr>
                <w:rFonts w:cstheme="minorHAnsi"/>
                <w:noProof/>
                <w:webHidden/>
              </w:rPr>
              <w:fldChar w:fldCharType="end"/>
            </w:r>
          </w:hyperlink>
        </w:p>
        <w:p w14:paraId="78CE34E6" w14:textId="7D262846" w:rsidR="00A96932" w:rsidRPr="00E2612F" w:rsidRDefault="00E12F39">
          <w:pPr>
            <w:pStyle w:val="Obsah3"/>
            <w:tabs>
              <w:tab w:val="left" w:pos="1320"/>
              <w:tab w:val="right" w:leader="dot" w:pos="9316"/>
            </w:tabs>
            <w:rPr>
              <w:rFonts w:eastAsiaTheme="minorEastAsia" w:cstheme="minorHAnsi"/>
              <w:noProof/>
              <w:lang w:eastAsia="cs-CZ"/>
            </w:rPr>
          </w:pPr>
          <w:hyperlink w:anchor="_Toc10729999" w:history="1">
            <w:r w:rsidR="00A96932" w:rsidRPr="00E2612F">
              <w:rPr>
                <w:rStyle w:val="Hypertextovodkaz"/>
                <w:rFonts w:cstheme="minorHAnsi"/>
                <w:noProof/>
              </w:rPr>
              <w:t>16.4.3</w:t>
            </w:r>
            <w:r w:rsidR="00A96932" w:rsidRPr="00E2612F">
              <w:rPr>
                <w:rFonts w:eastAsiaTheme="minorEastAsia" w:cstheme="minorHAnsi"/>
                <w:noProof/>
                <w:lang w:eastAsia="cs-CZ"/>
              </w:rPr>
              <w:tab/>
            </w:r>
            <w:r w:rsidR="00A96932" w:rsidRPr="00E2612F">
              <w:rPr>
                <w:rStyle w:val="Hypertextovodkaz"/>
                <w:rFonts w:cstheme="minorHAnsi"/>
                <w:noProof/>
              </w:rPr>
              <w:t>Účinnost (Efficiency)</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_Toc10729999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88</w:t>
            </w:r>
            <w:r w:rsidR="00A96932" w:rsidRPr="00E2612F">
              <w:rPr>
                <w:rFonts w:cstheme="minorHAnsi"/>
                <w:noProof/>
                <w:webHidden/>
              </w:rPr>
              <w:fldChar w:fldCharType="end"/>
            </w:r>
          </w:hyperlink>
        </w:p>
        <w:p w14:paraId="19D058FD" w14:textId="36E0FC5B" w:rsidR="00A96932" w:rsidRPr="00E2612F" w:rsidRDefault="00E12F39">
          <w:pPr>
            <w:pStyle w:val="Obsah3"/>
            <w:tabs>
              <w:tab w:val="left" w:pos="1320"/>
              <w:tab w:val="right" w:leader="dot" w:pos="9316"/>
            </w:tabs>
            <w:rPr>
              <w:rFonts w:eastAsiaTheme="minorEastAsia" w:cstheme="minorHAnsi"/>
              <w:noProof/>
              <w:lang w:eastAsia="cs-CZ"/>
            </w:rPr>
          </w:pPr>
          <w:hyperlink w:anchor="_Toc10730000" w:history="1">
            <w:r w:rsidR="00A96932" w:rsidRPr="00E2612F">
              <w:rPr>
                <w:rStyle w:val="Hypertextovodkaz"/>
                <w:rFonts w:cstheme="minorHAnsi"/>
                <w:noProof/>
              </w:rPr>
              <w:t>16.4.4</w:t>
            </w:r>
            <w:r w:rsidR="00A96932" w:rsidRPr="00E2612F">
              <w:rPr>
                <w:rFonts w:eastAsiaTheme="minorEastAsia" w:cstheme="minorHAnsi"/>
                <w:noProof/>
                <w:lang w:eastAsia="cs-CZ"/>
              </w:rPr>
              <w:tab/>
            </w:r>
            <w:r w:rsidR="00A96932" w:rsidRPr="00E2612F">
              <w:rPr>
                <w:rStyle w:val="Hypertextovodkaz"/>
                <w:rFonts w:cstheme="minorHAnsi"/>
                <w:noProof/>
              </w:rPr>
              <w:t>Úspornost/hospodárnost (Economy)</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90</w:t>
            </w:r>
            <w:r w:rsidR="00A96932" w:rsidRPr="00E2612F">
              <w:rPr>
                <w:rFonts w:cstheme="minorHAnsi"/>
                <w:noProof/>
                <w:webHidden/>
              </w:rPr>
              <w:fldChar w:fldCharType="end"/>
            </w:r>
          </w:hyperlink>
        </w:p>
        <w:p w14:paraId="68F29815" w14:textId="12CF006F" w:rsidR="00A96932" w:rsidRPr="00E2612F" w:rsidRDefault="00E12F39">
          <w:pPr>
            <w:pStyle w:val="Obsah3"/>
            <w:tabs>
              <w:tab w:val="left" w:pos="1320"/>
              <w:tab w:val="right" w:leader="dot" w:pos="9316"/>
            </w:tabs>
            <w:rPr>
              <w:rFonts w:eastAsiaTheme="minorEastAsia" w:cstheme="minorHAnsi"/>
              <w:noProof/>
              <w:lang w:eastAsia="cs-CZ"/>
            </w:rPr>
          </w:pPr>
          <w:hyperlink w:anchor="_Toc10730001" w:history="1">
            <w:r w:rsidR="00A96932" w:rsidRPr="00E2612F">
              <w:rPr>
                <w:rStyle w:val="Hypertextovodkaz"/>
                <w:rFonts w:cstheme="minorHAnsi"/>
                <w:noProof/>
              </w:rPr>
              <w:t>16.4.5</w:t>
            </w:r>
            <w:r w:rsidR="00A96932" w:rsidRPr="00E2612F">
              <w:rPr>
                <w:rFonts w:eastAsiaTheme="minorEastAsia" w:cstheme="minorHAnsi"/>
                <w:noProof/>
                <w:lang w:eastAsia="cs-CZ"/>
              </w:rPr>
              <w:tab/>
            </w:r>
            <w:r w:rsidR="00A96932" w:rsidRPr="00E2612F">
              <w:rPr>
                <w:rStyle w:val="Hypertextovodkaz"/>
                <w:rFonts w:cstheme="minorHAnsi"/>
                <w:noProof/>
              </w:rPr>
              <w:t>Užitečnost</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92</w:t>
            </w:r>
            <w:r w:rsidR="00A96932" w:rsidRPr="00E2612F">
              <w:rPr>
                <w:rFonts w:cstheme="minorHAnsi"/>
                <w:noProof/>
                <w:webHidden/>
              </w:rPr>
              <w:fldChar w:fldCharType="end"/>
            </w:r>
          </w:hyperlink>
        </w:p>
        <w:p w14:paraId="3DC143FB" w14:textId="681D9DF3" w:rsidR="00A96932" w:rsidRPr="00E2612F" w:rsidRDefault="00E12F39">
          <w:pPr>
            <w:pStyle w:val="Obsah3"/>
            <w:tabs>
              <w:tab w:val="left" w:pos="1320"/>
              <w:tab w:val="right" w:leader="dot" w:pos="9316"/>
            </w:tabs>
            <w:rPr>
              <w:rFonts w:eastAsiaTheme="minorEastAsia" w:cstheme="minorHAnsi"/>
              <w:noProof/>
              <w:lang w:eastAsia="cs-CZ"/>
            </w:rPr>
          </w:pPr>
          <w:hyperlink w:anchor="_Toc10730002" w:history="1">
            <w:r w:rsidR="00A96932" w:rsidRPr="00E2612F">
              <w:rPr>
                <w:rStyle w:val="Hypertextovodkaz"/>
                <w:rFonts w:cstheme="minorHAnsi"/>
                <w:noProof/>
              </w:rPr>
              <w:t>16.4.6</w:t>
            </w:r>
            <w:r w:rsidR="00A96932" w:rsidRPr="00E2612F">
              <w:rPr>
                <w:rFonts w:eastAsiaTheme="minorEastAsia" w:cstheme="minorHAnsi"/>
                <w:noProof/>
                <w:lang w:eastAsia="cs-CZ"/>
              </w:rPr>
              <w:tab/>
            </w:r>
            <w:r w:rsidR="00A96932" w:rsidRPr="00E2612F">
              <w:rPr>
                <w:rStyle w:val="Hypertextovodkaz"/>
                <w:rFonts w:cstheme="minorHAnsi"/>
                <w:noProof/>
              </w:rPr>
              <w:t>Udržitelnost</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94</w:t>
            </w:r>
            <w:r w:rsidR="00A96932" w:rsidRPr="00E2612F">
              <w:rPr>
                <w:rFonts w:cstheme="minorHAnsi"/>
                <w:noProof/>
                <w:webHidden/>
              </w:rPr>
              <w:fldChar w:fldCharType="end"/>
            </w:r>
          </w:hyperlink>
        </w:p>
        <w:p w14:paraId="3A59D2AB" w14:textId="1126054A" w:rsidR="00A96932" w:rsidRPr="00E2612F" w:rsidRDefault="00E12F39">
          <w:pPr>
            <w:pStyle w:val="Obsah3"/>
            <w:tabs>
              <w:tab w:val="left" w:pos="1320"/>
              <w:tab w:val="right" w:leader="dot" w:pos="9316"/>
            </w:tabs>
            <w:rPr>
              <w:rFonts w:eastAsiaTheme="minorEastAsia" w:cstheme="minorHAnsi"/>
              <w:noProof/>
              <w:lang w:eastAsia="cs-CZ"/>
            </w:rPr>
          </w:pPr>
          <w:hyperlink w:anchor="_Toc10730003" w:history="1">
            <w:r w:rsidR="00A96932" w:rsidRPr="00E2612F">
              <w:rPr>
                <w:rStyle w:val="Hypertextovodkaz"/>
                <w:rFonts w:cstheme="minorHAnsi"/>
                <w:noProof/>
              </w:rPr>
              <w:t>16.4.7</w:t>
            </w:r>
            <w:r w:rsidR="00A96932" w:rsidRPr="00E2612F">
              <w:rPr>
                <w:rFonts w:eastAsiaTheme="minorEastAsia" w:cstheme="minorHAnsi"/>
                <w:noProof/>
                <w:lang w:eastAsia="cs-CZ"/>
              </w:rPr>
              <w:tab/>
            </w:r>
            <w:r w:rsidR="00A96932" w:rsidRPr="00E2612F">
              <w:rPr>
                <w:rStyle w:val="Hypertextovodkaz"/>
                <w:rFonts w:cstheme="minorHAnsi"/>
                <w:noProof/>
              </w:rPr>
              <w:t>Nástroje pro naplňování principu 3E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_Toc10730003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95</w:t>
            </w:r>
            <w:r w:rsidR="00A96932" w:rsidRPr="00E2612F">
              <w:rPr>
                <w:rFonts w:cstheme="minorHAnsi"/>
                <w:noProof/>
                <w:webHidden/>
              </w:rPr>
              <w:fldChar w:fldCharType="end"/>
            </w:r>
          </w:hyperlink>
        </w:p>
        <w:p w14:paraId="22F3C5D6" w14:textId="3FD2983F" w:rsidR="00A96932" w:rsidRPr="00E2612F" w:rsidRDefault="00E12F39">
          <w:pPr>
            <w:pStyle w:val="Obsah1"/>
            <w:rPr>
              <w:rFonts w:asciiTheme="minorHAnsi" w:hAnsiTheme="minorHAnsi" w:cstheme="minorHAnsi"/>
              <w:b w:val="0"/>
              <w:caps w:val="0"/>
              <w:lang w:eastAsia="cs-CZ"/>
            </w:rPr>
          </w:pPr>
          <w:hyperlink w:anchor="_Toc10730004" w:history="1">
            <w:r w:rsidR="00A96932" w:rsidRPr="00E2612F">
              <w:rPr>
                <w:rStyle w:val="Hypertextovodkaz"/>
                <w:rFonts w:asciiTheme="minorHAnsi" w:hAnsiTheme="minorHAnsi" w:cstheme="minorHAnsi"/>
              </w:rPr>
              <w:t>17</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Evaluační otázka 15 (OZE, ÚE, NUT)</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_Toc10730004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96</w:t>
            </w:r>
            <w:r w:rsidR="00A96932" w:rsidRPr="00E2612F">
              <w:rPr>
                <w:rFonts w:asciiTheme="minorHAnsi" w:hAnsiTheme="minorHAnsi" w:cstheme="minorHAnsi"/>
                <w:webHidden/>
              </w:rPr>
              <w:fldChar w:fldCharType="end"/>
            </w:r>
          </w:hyperlink>
        </w:p>
        <w:p w14:paraId="7CF962CD" w14:textId="40C06061" w:rsidR="00A96932" w:rsidRPr="00E2612F" w:rsidRDefault="00E12F39">
          <w:pPr>
            <w:pStyle w:val="Obsah2"/>
            <w:tabs>
              <w:tab w:val="left" w:pos="880"/>
              <w:tab w:val="right" w:leader="dot" w:pos="9316"/>
            </w:tabs>
            <w:rPr>
              <w:rFonts w:eastAsiaTheme="minorEastAsia" w:cstheme="minorHAnsi"/>
              <w:noProof/>
              <w:lang w:eastAsia="cs-CZ"/>
            </w:rPr>
          </w:pPr>
          <w:hyperlink w:anchor="_Toc10730005" w:history="1">
            <w:r w:rsidR="00A96932" w:rsidRPr="00E2612F">
              <w:rPr>
                <w:rStyle w:val="Hypertextovodkaz"/>
                <w:rFonts w:cstheme="minorHAnsi"/>
                <w:noProof/>
              </w:rPr>
              <w:t>17.1</w:t>
            </w:r>
            <w:r w:rsidR="00A96932" w:rsidRPr="00E2612F">
              <w:rPr>
                <w:rFonts w:eastAsiaTheme="minorEastAsia" w:cstheme="minorHAnsi"/>
                <w:noProof/>
                <w:lang w:eastAsia="cs-CZ"/>
              </w:rPr>
              <w:tab/>
            </w:r>
            <w:r w:rsidR="00A96932" w:rsidRPr="00E2612F">
              <w:rPr>
                <w:rStyle w:val="Hypertextovodkaz"/>
                <w:rFonts w:cstheme="minorHAnsi"/>
                <w:noProof/>
              </w:rPr>
              <w:t>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_Toc10730005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96</w:t>
            </w:r>
            <w:r w:rsidR="00A96932" w:rsidRPr="00E2612F">
              <w:rPr>
                <w:rFonts w:cstheme="minorHAnsi"/>
                <w:noProof/>
                <w:webHidden/>
              </w:rPr>
              <w:fldChar w:fldCharType="end"/>
            </w:r>
          </w:hyperlink>
        </w:p>
        <w:p w14:paraId="06505E4B" w14:textId="026C6A45" w:rsidR="00A96932" w:rsidRPr="00E2612F" w:rsidRDefault="00E12F39">
          <w:pPr>
            <w:pStyle w:val="Obsah2"/>
            <w:tabs>
              <w:tab w:val="left" w:pos="880"/>
              <w:tab w:val="right" w:leader="dot" w:pos="9316"/>
            </w:tabs>
            <w:rPr>
              <w:rFonts w:eastAsiaTheme="minorEastAsia" w:cstheme="minorHAnsi"/>
              <w:noProof/>
              <w:lang w:eastAsia="cs-CZ"/>
            </w:rPr>
          </w:pPr>
          <w:hyperlink w:anchor="_Toc10730006" w:history="1">
            <w:r w:rsidR="00A96932" w:rsidRPr="00E2612F">
              <w:rPr>
                <w:rStyle w:val="Hypertextovodkaz"/>
                <w:rFonts w:cstheme="minorHAnsi"/>
                <w:noProof/>
              </w:rPr>
              <w:t>17.2</w:t>
            </w:r>
            <w:r w:rsidR="00A96932" w:rsidRPr="00E2612F">
              <w:rPr>
                <w:rFonts w:eastAsiaTheme="minorEastAsia" w:cstheme="minorHAnsi"/>
                <w:noProof/>
                <w:lang w:eastAsia="cs-CZ"/>
              </w:rPr>
              <w:tab/>
            </w:r>
            <w:r w:rsidR="00A96932" w:rsidRPr="00E2612F">
              <w:rPr>
                <w:rStyle w:val="Hypertextovodkaz"/>
                <w:rFonts w:cstheme="minorHAnsi"/>
                <w:noProof/>
              </w:rPr>
              <w:t>Východiska</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96</w:t>
            </w:r>
            <w:r w:rsidR="00A96932" w:rsidRPr="00E2612F">
              <w:rPr>
                <w:rFonts w:cstheme="minorHAnsi"/>
                <w:noProof/>
                <w:webHidden/>
              </w:rPr>
              <w:fldChar w:fldCharType="end"/>
            </w:r>
          </w:hyperlink>
        </w:p>
        <w:p w14:paraId="543E149F" w14:textId="64EA8757" w:rsidR="00A96932" w:rsidRPr="00E2612F" w:rsidRDefault="00E12F39">
          <w:pPr>
            <w:pStyle w:val="Obsah2"/>
            <w:tabs>
              <w:tab w:val="left" w:pos="880"/>
              <w:tab w:val="right" w:leader="dot" w:pos="9316"/>
            </w:tabs>
            <w:rPr>
              <w:rFonts w:eastAsiaTheme="minorEastAsia" w:cstheme="minorHAnsi"/>
              <w:noProof/>
              <w:lang w:eastAsia="cs-CZ"/>
            </w:rPr>
          </w:pPr>
          <w:hyperlink w:anchor="_Toc10730007" w:history="1">
            <w:r w:rsidR="00A96932" w:rsidRPr="00E2612F">
              <w:rPr>
                <w:rStyle w:val="Hypertextovodkaz"/>
                <w:rFonts w:cstheme="minorHAnsi"/>
                <w:noProof/>
              </w:rPr>
              <w:t>17.3</w:t>
            </w:r>
            <w:r w:rsidR="00A96932" w:rsidRPr="00E2612F">
              <w:rPr>
                <w:rFonts w:eastAsiaTheme="minorEastAsia" w:cstheme="minorHAnsi"/>
                <w:noProof/>
                <w:lang w:eastAsia="cs-CZ"/>
              </w:rPr>
              <w:tab/>
            </w:r>
            <w:r w:rsidR="00A96932" w:rsidRPr="00E2612F">
              <w:rPr>
                <w:rStyle w:val="Hypertextovodkaz"/>
                <w:rFonts w:cstheme="minorHAnsi"/>
                <w:noProof/>
              </w:rPr>
              <w:t>Zjištění v návaznosti na evaluační otázku a úkol</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96</w:t>
            </w:r>
            <w:r w:rsidR="00A96932" w:rsidRPr="00E2612F">
              <w:rPr>
                <w:rFonts w:cstheme="minorHAnsi"/>
                <w:noProof/>
                <w:webHidden/>
              </w:rPr>
              <w:fldChar w:fldCharType="end"/>
            </w:r>
          </w:hyperlink>
        </w:p>
        <w:p w14:paraId="6CAA0C7F" w14:textId="6B1C8280" w:rsidR="00A96932" w:rsidRPr="00E2612F" w:rsidRDefault="00E12F39">
          <w:pPr>
            <w:pStyle w:val="Obsah2"/>
            <w:tabs>
              <w:tab w:val="left" w:pos="880"/>
              <w:tab w:val="right" w:leader="dot" w:pos="9316"/>
            </w:tabs>
            <w:rPr>
              <w:rFonts w:eastAsiaTheme="minorEastAsia" w:cstheme="minorHAnsi"/>
              <w:noProof/>
              <w:lang w:eastAsia="cs-CZ"/>
            </w:rPr>
          </w:pPr>
          <w:hyperlink w:anchor="_Toc10730008" w:history="1">
            <w:r w:rsidR="00A96932" w:rsidRPr="00E2612F">
              <w:rPr>
                <w:rStyle w:val="Hypertextovodkaz"/>
                <w:rFonts w:cstheme="minorHAnsi"/>
                <w:noProof/>
              </w:rPr>
              <w:t>17.4</w:t>
            </w:r>
            <w:r w:rsidR="00A96932" w:rsidRPr="00E2612F">
              <w:rPr>
                <w:rFonts w:eastAsiaTheme="minorEastAsia" w:cstheme="minorHAnsi"/>
                <w:noProof/>
                <w:lang w:eastAsia="cs-CZ"/>
              </w:rPr>
              <w:tab/>
            </w:r>
            <w:r w:rsidR="00A96932" w:rsidRPr="00E2612F">
              <w:rPr>
                <w:rStyle w:val="Hypertextovodkaz"/>
                <w:rFonts w:cstheme="minorHAnsi"/>
                <w:noProof/>
              </w:rPr>
              <w:t>Doplňující informace k evaluační otázce</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_Toc10730008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97</w:t>
            </w:r>
            <w:r w:rsidR="00A96932" w:rsidRPr="00E2612F">
              <w:rPr>
                <w:rFonts w:cstheme="minorHAnsi"/>
                <w:noProof/>
                <w:webHidden/>
              </w:rPr>
              <w:fldChar w:fldCharType="end"/>
            </w:r>
          </w:hyperlink>
        </w:p>
        <w:p w14:paraId="52AE6430" w14:textId="5C28DFD4" w:rsidR="00A96932" w:rsidRPr="00E2612F" w:rsidRDefault="00E12F39">
          <w:pPr>
            <w:pStyle w:val="Obsah3"/>
            <w:tabs>
              <w:tab w:val="left" w:pos="1320"/>
              <w:tab w:val="right" w:leader="dot" w:pos="9316"/>
            </w:tabs>
            <w:rPr>
              <w:rFonts w:eastAsiaTheme="minorEastAsia" w:cstheme="minorHAnsi"/>
              <w:noProof/>
              <w:lang w:eastAsia="cs-CZ"/>
            </w:rPr>
          </w:pPr>
          <w:hyperlink w:anchor="_Toc10730009" w:history="1">
            <w:r w:rsidR="00A96932" w:rsidRPr="00E2612F">
              <w:rPr>
                <w:rStyle w:val="Hypertextovodkaz"/>
                <w:rFonts w:cstheme="minorHAnsi"/>
                <w:noProof/>
                <w:lang w:eastAsia="sk-SK"/>
              </w:rPr>
              <w:t>17.4.1</w:t>
            </w:r>
            <w:r w:rsidR="00A96932" w:rsidRPr="00E2612F">
              <w:rPr>
                <w:rFonts w:eastAsiaTheme="minorEastAsia" w:cstheme="minorHAnsi"/>
                <w:noProof/>
                <w:lang w:eastAsia="cs-CZ"/>
              </w:rPr>
              <w:tab/>
            </w:r>
            <w:r w:rsidR="00A96932" w:rsidRPr="00E2612F">
              <w:rPr>
                <w:rStyle w:val="Hypertextovodkaz"/>
                <w:rFonts w:cstheme="minorHAnsi"/>
                <w:noProof/>
                <w:lang w:eastAsia="sk-SK"/>
              </w:rPr>
              <w:t>Specifický cíl 3.1</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_Toc10730009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97</w:t>
            </w:r>
            <w:r w:rsidR="00A96932" w:rsidRPr="00E2612F">
              <w:rPr>
                <w:rFonts w:cstheme="minorHAnsi"/>
                <w:noProof/>
                <w:webHidden/>
              </w:rPr>
              <w:fldChar w:fldCharType="end"/>
            </w:r>
          </w:hyperlink>
        </w:p>
        <w:p w14:paraId="07466F9D" w14:textId="05EFA4F2" w:rsidR="00A96932" w:rsidRPr="00E2612F" w:rsidRDefault="00E12F39">
          <w:pPr>
            <w:pStyle w:val="Obsah3"/>
            <w:tabs>
              <w:tab w:val="left" w:pos="1320"/>
              <w:tab w:val="right" w:leader="dot" w:pos="9316"/>
            </w:tabs>
            <w:rPr>
              <w:rFonts w:eastAsiaTheme="minorEastAsia" w:cstheme="minorHAnsi"/>
              <w:noProof/>
              <w:lang w:eastAsia="cs-CZ"/>
            </w:rPr>
          </w:pPr>
          <w:hyperlink w:anchor="_Toc10730010" w:history="1">
            <w:r w:rsidR="00A96932" w:rsidRPr="00E2612F">
              <w:rPr>
                <w:rStyle w:val="Hypertextovodkaz"/>
                <w:rFonts w:cstheme="minorHAnsi"/>
                <w:noProof/>
                <w:lang w:eastAsia="sk-SK"/>
              </w:rPr>
              <w:t>17.4.2</w:t>
            </w:r>
            <w:r w:rsidR="00A96932" w:rsidRPr="00E2612F">
              <w:rPr>
                <w:rFonts w:eastAsiaTheme="minorEastAsia" w:cstheme="minorHAnsi"/>
                <w:noProof/>
                <w:lang w:eastAsia="cs-CZ"/>
              </w:rPr>
              <w:tab/>
            </w:r>
            <w:r w:rsidR="00A96932" w:rsidRPr="00E2612F">
              <w:rPr>
                <w:rStyle w:val="Hypertextovodkaz"/>
                <w:rFonts w:cstheme="minorHAnsi"/>
                <w:noProof/>
                <w:lang w:eastAsia="sk-SK"/>
              </w:rPr>
              <w:t>Specifický cíl 3.2</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_Toc10730010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98</w:t>
            </w:r>
            <w:r w:rsidR="00A96932" w:rsidRPr="00E2612F">
              <w:rPr>
                <w:rFonts w:cstheme="minorHAnsi"/>
                <w:noProof/>
                <w:webHidden/>
              </w:rPr>
              <w:fldChar w:fldCharType="end"/>
            </w:r>
          </w:hyperlink>
        </w:p>
        <w:p w14:paraId="34349C46" w14:textId="33A597AA" w:rsidR="00A96932" w:rsidRPr="00E2612F" w:rsidRDefault="00E12F39">
          <w:pPr>
            <w:pStyle w:val="Obsah3"/>
            <w:tabs>
              <w:tab w:val="left" w:pos="1320"/>
              <w:tab w:val="right" w:leader="dot" w:pos="9316"/>
            </w:tabs>
            <w:rPr>
              <w:rFonts w:eastAsiaTheme="minorEastAsia" w:cstheme="minorHAnsi"/>
              <w:noProof/>
              <w:lang w:eastAsia="cs-CZ"/>
            </w:rPr>
          </w:pPr>
          <w:hyperlink w:anchor="_Toc10730011" w:history="1">
            <w:r w:rsidR="00A96932" w:rsidRPr="00E2612F">
              <w:rPr>
                <w:rStyle w:val="Hypertextovodkaz"/>
                <w:rFonts w:cstheme="minorHAnsi"/>
                <w:noProof/>
                <w:lang w:eastAsia="sk-SK"/>
              </w:rPr>
              <w:t>17.4.3</w:t>
            </w:r>
            <w:r w:rsidR="00A96932" w:rsidRPr="00E2612F">
              <w:rPr>
                <w:rFonts w:eastAsiaTheme="minorEastAsia" w:cstheme="minorHAnsi"/>
                <w:noProof/>
                <w:lang w:eastAsia="cs-CZ"/>
              </w:rPr>
              <w:tab/>
            </w:r>
            <w:r w:rsidR="00A96932" w:rsidRPr="00E2612F">
              <w:rPr>
                <w:rStyle w:val="Hypertextovodkaz"/>
                <w:rFonts w:cstheme="minorHAnsi"/>
                <w:noProof/>
                <w:lang w:eastAsia="sk-SK"/>
              </w:rPr>
              <w:t>Specifický cíl 3.4</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_Toc10730011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99</w:t>
            </w:r>
            <w:r w:rsidR="00A96932" w:rsidRPr="00E2612F">
              <w:rPr>
                <w:rFonts w:cstheme="minorHAnsi"/>
                <w:noProof/>
                <w:webHidden/>
              </w:rPr>
              <w:fldChar w:fldCharType="end"/>
            </w:r>
          </w:hyperlink>
        </w:p>
        <w:p w14:paraId="615BF2C8" w14:textId="1AA4C603" w:rsidR="00A96932" w:rsidRPr="00E2612F" w:rsidRDefault="00E12F39">
          <w:pPr>
            <w:pStyle w:val="Obsah3"/>
            <w:tabs>
              <w:tab w:val="left" w:pos="1320"/>
              <w:tab w:val="right" w:leader="dot" w:pos="9316"/>
            </w:tabs>
            <w:rPr>
              <w:rFonts w:eastAsiaTheme="minorEastAsia" w:cstheme="minorHAnsi"/>
              <w:noProof/>
              <w:lang w:eastAsia="cs-CZ"/>
            </w:rPr>
          </w:pPr>
          <w:hyperlink w:anchor="_Toc10730012" w:history="1">
            <w:r w:rsidR="00A96932" w:rsidRPr="00E2612F">
              <w:rPr>
                <w:rStyle w:val="Hypertextovodkaz"/>
                <w:rFonts w:cstheme="minorHAnsi"/>
                <w:noProof/>
                <w:lang w:eastAsia="sk-SK"/>
              </w:rPr>
              <w:t>17.4.4</w:t>
            </w:r>
            <w:r w:rsidR="00A96932" w:rsidRPr="00E2612F">
              <w:rPr>
                <w:rFonts w:eastAsiaTheme="minorEastAsia" w:cstheme="minorHAnsi"/>
                <w:noProof/>
                <w:lang w:eastAsia="cs-CZ"/>
              </w:rPr>
              <w:tab/>
            </w:r>
            <w:r w:rsidR="00A96932" w:rsidRPr="00E2612F">
              <w:rPr>
                <w:rStyle w:val="Hypertextovodkaz"/>
                <w:rFonts w:cstheme="minorHAnsi"/>
                <w:noProof/>
                <w:lang w:eastAsia="sk-SK"/>
              </w:rPr>
              <w:t>Příčiny nedostatečného plnění výsledků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_Toc10730012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100</w:t>
            </w:r>
            <w:r w:rsidR="00A96932" w:rsidRPr="00E2612F">
              <w:rPr>
                <w:rFonts w:cstheme="minorHAnsi"/>
                <w:noProof/>
                <w:webHidden/>
              </w:rPr>
              <w:fldChar w:fldCharType="end"/>
            </w:r>
          </w:hyperlink>
        </w:p>
        <w:p w14:paraId="1F7DDC31" w14:textId="30E97004" w:rsidR="00A96932" w:rsidRPr="00E2612F" w:rsidRDefault="00E12F39">
          <w:pPr>
            <w:pStyle w:val="Obsah1"/>
            <w:rPr>
              <w:rFonts w:asciiTheme="minorHAnsi" w:hAnsiTheme="minorHAnsi" w:cstheme="minorHAnsi"/>
              <w:b w:val="0"/>
              <w:caps w:val="0"/>
              <w:lang w:eastAsia="cs-CZ"/>
            </w:rPr>
          </w:pPr>
          <w:hyperlink w:anchor="_Toc10730013" w:history="1">
            <w:r w:rsidR="00A96932" w:rsidRPr="00E2612F">
              <w:rPr>
                <w:rStyle w:val="Hypertextovodkaz"/>
                <w:rFonts w:asciiTheme="minorHAnsi" w:hAnsiTheme="minorHAnsi" w:cstheme="minorHAnsi"/>
              </w:rPr>
              <w:t>18</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Souhrn hlavních závěrů a doporučení</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_Toc10730013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103</w:t>
            </w:r>
            <w:r w:rsidR="00A96932" w:rsidRPr="00E2612F">
              <w:rPr>
                <w:rFonts w:asciiTheme="minorHAnsi" w:hAnsiTheme="minorHAnsi" w:cstheme="minorHAnsi"/>
                <w:webHidden/>
              </w:rPr>
              <w:fldChar w:fldCharType="end"/>
            </w:r>
          </w:hyperlink>
        </w:p>
        <w:p w14:paraId="3A750F1B" w14:textId="3DC93D20" w:rsidR="00A96932" w:rsidRPr="00E2612F" w:rsidRDefault="00E12F39">
          <w:pPr>
            <w:pStyle w:val="Obsah1"/>
            <w:rPr>
              <w:rFonts w:asciiTheme="minorHAnsi" w:hAnsiTheme="minorHAnsi" w:cstheme="minorHAnsi"/>
              <w:b w:val="0"/>
              <w:caps w:val="0"/>
              <w:lang w:eastAsia="cs-CZ"/>
            </w:rPr>
          </w:pPr>
          <w:hyperlink w:anchor="_Toc10730014" w:history="1">
            <w:r w:rsidR="00A96932" w:rsidRPr="00E2612F">
              <w:rPr>
                <w:rStyle w:val="Hypertextovodkaz"/>
                <w:rFonts w:asciiTheme="minorHAnsi" w:hAnsiTheme="minorHAnsi" w:cstheme="minorHAnsi"/>
              </w:rPr>
              <w:t>19</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Seznam použitých zdrojů</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_Toc10730014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114</w:t>
            </w:r>
            <w:r w:rsidR="00A96932" w:rsidRPr="00E2612F">
              <w:rPr>
                <w:rFonts w:asciiTheme="minorHAnsi" w:hAnsiTheme="minorHAnsi" w:cstheme="minorHAnsi"/>
                <w:webHidden/>
              </w:rPr>
              <w:fldChar w:fldCharType="end"/>
            </w:r>
          </w:hyperlink>
        </w:p>
        <w:p w14:paraId="37D14757" w14:textId="253DD1DB" w:rsidR="00A96932" w:rsidRPr="00E2612F" w:rsidRDefault="00E12F39">
          <w:pPr>
            <w:pStyle w:val="Obsah1"/>
            <w:rPr>
              <w:rFonts w:asciiTheme="minorHAnsi" w:hAnsiTheme="minorHAnsi" w:cstheme="minorHAnsi"/>
              <w:b w:val="0"/>
              <w:caps w:val="0"/>
              <w:lang w:eastAsia="cs-CZ"/>
            </w:rPr>
          </w:pPr>
          <w:hyperlink w:anchor="_Toc10730015" w:history="1">
            <w:r w:rsidR="00A96932" w:rsidRPr="00E2612F">
              <w:rPr>
                <w:rStyle w:val="Hypertextovodkaz"/>
                <w:rFonts w:asciiTheme="minorHAnsi" w:hAnsiTheme="minorHAnsi" w:cstheme="minorHAnsi"/>
              </w:rPr>
              <w:t>20</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seznam tabulek a obrázků v textu</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_Toc10730015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115</w:t>
            </w:r>
            <w:r w:rsidR="00A96932" w:rsidRPr="00E2612F">
              <w:rPr>
                <w:rFonts w:asciiTheme="minorHAnsi" w:hAnsiTheme="minorHAnsi" w:cstheme="minorHAnsi"/>
                <w:webHidden/>
              </w:rPr>
              <w:fldChar w:fldCharType="end"/>
            </w:r>
          </w:hyperlink>
        </w:p>
        <w:p w14:paraId="72AAA7D9" w14:textId="0E6A7B14" w:rsidR="00A96932" w:rsidRPr="00E2612F" w:rsidRDefault="00E12F39">
          <w:pPr>
            <w:pStyle w:val="Obsah2"/>
            <w:tabs>
              <w:tab w:val="left" w:pos="880"/>
              <w:tab w:val="right" w:leader="dot" w:pos="9316"/>
            </w:tabs>
            <w:rPr>
              <w:rFonts w:eastAsiaTheme="minorEastAsia" w:cstheme="minorHAnsi"/>
              <w:noProof/>
              <w:lang w:eastAsia="cs-CZ"/>
            </w:rPr>
          </w:pPr>
          <w:hyperlink w:anchor="_Toc10730016" w:history="1">
            <w:r w:rsidR="00A96932" w:rsidRPr="00E2612F">
              <w:rPr>
                <w:rStyle w:val="Hypertextovodkaz"/>
                <w:rFonts w:cstheme="minorHAnsi"/>
                <w:noProof/>
              </w:rPr>
              <w:t>20.1</w:t>
            </w:r>
            <w:r w:rsidR="00A96932" w:rsidRPr="00E2612F">
              <w:rPr>
                <w:rFonts w:eastAsiaTheme="minorEastAsia" w:cstheme="minorHAnsi"/>
                <w:noProof/>
                <w:lang w:eastAsia="cs-CZ"/>
              </w:rPr>
              <w:tab/>
            </w:r>
            <w:r w:rsidR="00A96932" w:rsidRPr="00E2612F">
              <w:rPr>
                <w:rStyle w:val="Hypertextovodkaz"/>
                <w:rFonts w:cstheme="minorHAnsi"/>
                <w:noProof/>
              </w:rPr>
              <w:t>Seznam tabulek</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_Toc10730016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115</w:t>
            </w:r>
            <w:r w:rsidR="00A96932" w:rsidRPr="00E2612F">
              <w:rPr>
                <w:rFonts w:cstheme="minorHAnsi"/>
                <w:noProof/>
                <w:webHidden/>
              </w:rPr>
              <w:fldChar w:fldCharType="end"/>
            </w:r>
          </w:hyperlink>
        </w:p>
        <w:p w14:paraId="17F62878" w14:textId="7A982653" w:rsidR="00A96932" w:rsidRPr="00E2612F" w:rsidRDefault="00E12F39">
          <w:pPr>
            <w:pStyle w:val="Obsah2"/>
            <w:tabs>
              <w:tab w:val="left" w:pos="880"/>
              <w:tab w:val="right" w:leader="dot" w:pos="9316"/>
            </w:tabs>
            <w:rPr>
              <w:rFonts w:eastAsiaTheme="minorEastAsia" w:cstheme="minorHAnsi"/>
              <w:noProof/>
              <w:lang w:eastAsia="cs-CZ"/>
            </w:rPr>
          </w:pPr>
          <w:hyperlink w:anchor="_Toc10730017" w:history="1">
            <w:r w:rsidR="00A96932" w:rsidRPr="00E2612F">
              <w:rPr>
                <w:rStyle w:val="Hypertextovodkaz"/>
                <w:rFonts w:cstheme="minorHAnsi"/>
                <w:noProof/>
              </w:rPr>
              <w:t>20.2</w:t>
            </w:r>
            <w:r w:rsidR="00A96932" w:rsidRPr="00E2612F">
              <w:rPr>
                <w:rFonts w:eastAsiaTheme="minorEastAsia" w:cstheme="minorHAnsi"/>
                <w:noProof/>
                <w:lang w:eastAsia="cs-CZ"/>
              </w:rPr>
              <w:tab/>
            </w:r>
            <w:r w:rsidR="00A96932" w:rsidRPr="00E2612F">
              <w:rPr>
                <w:rStyle w:val="Hypertextovodkaz"/>
                <w:rFonts w:cstheme="minorHAnsi"/>
                <w:noProof/>
              </w:rPr>
              <w:t>Seznam obrázků</w:t>
            </w:r>
            <w:r w:rsidR="00A96932" w:rsidRPr="00E2612F">
              <w:rPr>
                <w:rFonts w:cstheme="minorHAnsi"/>
                <w:noProof/>
                <w:webHidden/>
              </w:rPr>
              <w:tab/>
            </w:r>
            <w:r w:rsidR="00A96932" w:rsidRPr="00E2612F">
              <w:rPr>
                <w:rFonts w:cstheme="minorHAnsi"/>
                <w:noProof/>
                <w:webHidden/>
              </w:rPr>
              <w:fldChar w:fldCharType="begin"/>
            </w:r>
            <w:r w:rsidR="00A96932" w:rsidRPr="00E2612F">
              <w:rPr>
                <w:rFonts w:cstheme="minorHAnsi"/>
                <w:noProof/>
                <w:webHidden/>
              </w:rPr>
              <w:instrText xml:space="preserve"> PAGEREF _Toc10730017 \h </w:instrText>
            </w:r>
            <w:r w:rsidR="00A96932" w:rsidRPr="00E2612F">
              <w:rPr>
                <w:rFonts w:cstheme="minorHAnsi"/>
                <w:noProof/>
                <w:webHidden/>
              </w:rPr>
            </w:r>
            <w:r w:rsidR="00A96932" w:rsidRPr="00E2612F">
              <w:rPr>
                <w:rFonts w:cstheme="minorHAnsi"/>
                <w:noProof/>
                <w:webHidden/>
              </w:rPr>
              <w:fldChar w:fldCharType="separate"/>
            </w:r>
            <w:r>
              <w:rPr>
                <w:rFonts w:cstheme="minorHAnsi"/>
                <w:noProof/>
                <w:webHidden/>
              </w:rPr>
              <w:t>115</w:t>
            </w:r>
            <w:r w:rsidR="00A96932" w:rsidRPr="00E2612F">
              <w:rPr>
                <w:rFonts w:cstheme="minorHAnsi"/>
                <w:noProof/>
                <w:webHidden/>
              </w:rPr>
              <w:fldChar w:fldCharType="end"/>
            </w:r>
          </w:hyperlink>
        </w:p>
        <w:p w14:paraId="597B4827" w14:textId="2B0E68B4" w:rsidR="00A96932" w:rsidRPr="00E2612F" w:rsidRDefault="00E12F39">
          <w:pPr>
            <w:pStyle w:val="Obsah1"/>
            <w:rPr>
              <w:rFonts w:asciiTheme="minorHAnsi" w:hAnsiTheme="minorHAnsi" w:cstheme="minorHAnsi"/>
              <w:b w:val="0"/>
              <w:caps w:val="0"/>
              <w:lang w:eastAsia="cs-CZ"/>
            </w:rPr>
          </w:pPr>
          <w:hyperlink w:anchor="_Toc10730018" w:history="1">
            <w:r w:rsidR="00A96932" w:rsidRPr="00E2612F">
              <w:rPr>
                <w:rStyle w:val="Hypertextovodkaz"/>
                <w:rFonts w:asciiTheme="minorHAnsi" w:hAnsiTheme="minorHAnsi" w:cstheme="minorHAnsi"/>
              </w:rPr>
              <w:t>21</w:t>
            </w:r>
            <w:r w:rsidR="00A96932" w:rsidRPr="00E2612F">
              <w:rPr>
                <w:rFonts w:asciiTheme="minorHAnsi" w:hAnsiTheme="minorHAnsi" w:cstheme="minorHAnsi"/>
                <w:b w:val="0"/>
                <w:caps w:val="0"/>
                <w:lang w:eastAsia="cs-CZ"/>
              </w:rPr>
              <w:tab/>
            </w:r>
            <w:r w:rsidR="00A96932" w:rsidRPr="00E2612F">
              <w:rPr>
                <w:rStyle w:val="Hypertextovodkaz"/>
                <w:rFonts w:asciiTheme="minorHAnsi" w:hAnsiTheme="minorHAnsi" w:cstheme="minorHAnsi"/>
              </w:rPr>
              <w:t>seznam příloh</w:t>
            </w:r>
            <w:r w:rsidR="00A96932" w:rsidRPr="00E2612F">
              <w:rPr>
                <w:rFonts w:asciiTheme="minorHAnsi" w:hAnsiTheme="minorHAnsi" w:cstheme="minorHAnsi"/>
                <w:webHidden/>
              </w:rPr>
              <w:tab/>
            </w:r>
            <w:r w:rsidR="00A96932" w:rsidRPr="00E2612F">
              <w:rPr>
                <w:rFonts w:asciiTheme="minorHAnsi" w:hAnsiTheme="minorHAnsi" w:cstheme="minorHAnsi"/>
                <w:webHidden/>
              </w:rPr>
              <w:fldChar w:fldCharType="begin"/>
            </w:r>
            <w:r w:rsidR="00A96932" w:rsidRPr="00E2612F">
              <w:rPr>
                <w:rFonts w:asciiTheme="minorHAnsi" w:hAnsiTheme="minorHAnsi" w:cstheme="minorHAnsi"/>
                <w:webHidden/>
              </w:rPr>
              <w:instrText xml:space="preserve"> PAGEREF _Toc10730018 \h </w:instrText>
            </w:r>
            <w:r w:rsidR="00A96932" w:rsidRPr="00E2612F">
              <w:rPr>
                <w:rFonts w:asciiTheme="minorHAnsi" w:hAnsiTheme="minorHAnsi" w:cstheme="minorHAnsi"/>
                <w:webHidden/>
              </w:rPr>
            </w:r>
            <w:r w:rsidR="00A96932" w:rsidRPr="00E2612F">
              <w:rPr>
                <w:rFonts w:asciiTheme="minorHAnsi" w:hAnsiTheme="minorHAnsi" w:cstheme="minorHAnsi"/>
                <w:webHidden/>
              </w:rPr>
              <w:fldChar w:fldCharType="separate"/>
            </w:r>
            <w:r>
              <w:rPr>
                <w:rFonts w:asciiTheme="minorHAnsi" w:hAnsiTheme="minorHAnsi" w:cstheme="minorHAnsi"/>
                <w:webHidden/>
              </w:rPr>
              <w:t>117</w:t>
            </w:r>
            <w:r w:rsidR="00A96932" w:rsidRPr="00E2612F">
              <w:rPr>
                <w:rFonts w:asciiTheme="minorHAnsi" w:hAnsiTheme="minorHAnsi" w:cstheme="minorHAnsi"/>
                <w:webHidden/>
              </w:rPr>
              <w:fldChar w:fldCharType="end"/>
            </w:r>
          </w:hyperlink>
        </w:p>
        <w:p w14:paraId="189E8DA2" w14:textId="260163C7" w:rsidR="00A80531" w:rsidRPr="00B61281" w:rsidRDefault="001E5696" w:rsidP="00501FB8">
          <w:pPr>
            <w:spacing w:after="0"/>
            <w:jc w:val="both"/>
            <w:rPr>
              <w:rFonts w:ascii="Calibri" w:hAnsi="Calibri" w:cs="Calibri"/>
              <w:bCs/>
            </w:rPr>
          </w:pPr>
          <w:r w:rsidRPr="00E2612F">
            <w:rPr>
              <w:rFonts w:cstheme="minorHAnsi"/>
              <w:b/>
              <w:bCs/>
            </w:rPr>
            <w:fldChar w:fldCharType="end"/>
          </w:r>
        </w:p>
      </w:sdtContent>
    </w:sdt>
    <w:p w14:paraId="15AC2FE2" w14:textId="77777777" w:rsidR="00A80531" w:rsidRPr="00B61281" w:rsidRDefault="00A80531" w:rsidP="00E118FD">
      <w:pPr>
        <w:spacing w:after="0"/>
        <w:rPr>
          <w:rFonts w:ascii="Calibri" w:hAnsi="Calibri" w:cs="Calibri"/>
        </w:rPr>
      </w:pPr>
    </w:p>
    <w:p w14:paraId="09B5B524" w14:textId="77777777" w:rsidR="00111433" w:rsidRDefault="00111433" w:rsidP="00E118FD">
      <w:pPr>
        <w:spacing w:after="0"/>
        <w:rPr>
          <w:rFonts w:ascii="Calibri" w:hAnsi="Calibri" w:cs="Calibri"/>
        </w:rPr>
      </w:pPr>
      <w:r>
        <w:rPr>
          <w:rFonts w:ascii="Calibri" w:hAnsi="Calibri" w:cs="Calibri"/>
        </w:rPr>
        <w:br w:type="page"/>
      </w:r>
    </w:p>
    <w:p w14:paraId="1AF2D6DC" w14:textId="77777777" w:rsidR="00A80531" w:rsidRDefault="00111433" w:rsidP="00053DA8">
      <w:pPr>
        <w:pStyle w:val="Nadpis2"/>
        <w:numPr>
          <w:ilvl w:val="0"/>
          <w:numId w:val="0"/>
        </w:numPr>
      </w:pPr>
      <w:bookmarkStart w:id="2" w:name="_Toc4596798"/>
      <w:bookmarkStart w:id="3" w:name="_Toc10729902"/>
      <w:r>
        <w:lastRenderedPageBreak/>
        <w:t>Seznam zkratek</w:t>
      </w:r>
      <w:bookmarkEnd w:id="2"/>
      <w:bookmarkEnd w:id="3"/>
    </w:p>
    <w:p w14:paraId="712972E9" w14:textId="77777777" w:rsidR="00E118FD" w:rsidRDefault="00E118FD" w:rsidP="00E118FD">
      <w:pPr>
        <w:spacing w:after="0"/>
        <w:rPr>
          <w:rFonts w:ascii="Calibri" w:hAnsi="Calibri" w:cs="Calibri"/>
        </w:rPr>
      </w:pPr>
    </w:p>
    <w:tbl>
      <w:tblPr>
        <w:tblStyle w:val="Prosttabulka11"/>
        <w:tblW w:w="0" w:type="auto"/>
        <w:tblLook w:val="04A0" w:firstRow="1" w:lastRow="0" w:firstColumn="1" w:lastColumn="0" w:noHBand="0" w:noVBand="1"/>
      </w:tblPr>
      <w:tblGrid>
        <w:gridCol w:w="1526"/>
        <w:gridCol w:w="7513"/>
      </w:tblGrid>
      <w:tr w:rsidR="00352E5B" w:rsidRPr="00352E5B" w14:paraId="088D8E87" w14:textId="77777777" w:rsidTr="00AE0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3A6EC48" w14:textId="1320AE50" w:rsidR="00352E5B" w:rsidRPr="00352E5B" w:rsidRDefault="00352E5B" w:rsidP="008564A9">
            <w:pPr>
              <w:rPr>
                <w:rFonts w:ascii="Calibri" w:eastAsia="Calibri" w:hAnsi="Calibri" w:cs="Times New Roman"/>
                <w:b w:val="0"/>
                <w:sz w:val="20"/>
                <w:szCs w:val="20"/>
              </w:rPr>
            </w:pPr>
            <w:r w:rsidRPr="00352E5B">
              <w:rPr>
                <w:rFonts w:ascii="Calibri" w:eastAsia="Calibri" w:hAnsi="Calibri" w:cs="Times New Roman"/>
                <w:b w:val="0"/>
                <w:sz w:val="20"/>
                <w:szCs w:val="20"/>
              </w:rPr>
              <w:t>API</w:t>
            </w:r>
          </w:p>
        </w:tc>
        <w:tc>
          <w:tcPr>
            <w:tcW w:w="7513" w:type="dxa"/>
          </w:tcPr>
          <w:p w14:paraId="15C38337" w14:textId="4D16C6AC" w:rsidR="00352E5B" w:rsidRPr="00352E5B" w:rsidRDefault="00352E5B" w:rsidP="008564A9">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0"/>
                <w:szCs w:val="20"/>
              </w:rPr>
            </w:pPr>
            <w:r w:rsidRPr="00352E5B">
              <w:rPr>
                <w:rFonts w:ascii="Calibri" w:eastAsia="Calibri" w:hAnsi="Calibri" w:cs="Times New Roman"/>
                <w:b w:val="0"/>
                <w:sz w:val="20"/>
                <w:szCs w:val="20"/>
              </w:rPr>
              <w:t>Agentura pro podnikání a inovace</w:t>
            </w:r>
          </w:p>
        </w:tc>
      </w:tr>
      <w:tr w:rsidR="007D1F5E" w:rsidRPr="00894B8A" w14:paraId="479C98A3"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17A3080" w14:textId="5D9879A8" w:rsidR="007D1F5E" w:rsidRPr="00894B8A" w:rsidRDefault="007D1F5E" w:rsidP="008564A9">
            <w:pPr>
              <w:rPr>
                <w:rFonts w:ascii="Calibri" w:eastAsia="Calibri" w:hAnsi="Calibri" w:cs="Times New Roman"/>
                <w:b w:val="0"/>
                <w:sz w:val="20"/>
                <w:szCs w:val="20"/>
              </w:rPr>
            </w:pPr>
            <w:r w:rsidRPr="00894B8A">
              <w:rPr>
                <w:rFonts w:ascii="Calibri" w:eastAsia="Calibri" w:hAnsi="Calibri" w:cs="Times New Roman"/>
                <w:b w:val="0"/>
                <w:sz w:val="20"/>
                <w:szCs w:val="20"/>
              </w:rPr>
              <w:t>BPS</w:t>
            </w:r>
          </w:p>
        </w:tc>
        <w:tc>
          <w:tcPr>
            <w:tcW w:w="7513" w:type="dxa"/>
          </w:tcPr>
          <w:p w14:paraId="27A387C7" w14:textId="3D801712" w:rsidR="007D1F5E" w:rsidRPr="00894B8A" w:rsidRDefault="007D1F5E"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Bioplynová stanice</w:t>
            </w:r>
          </w:p>
        </w:tc>
      </w:tr>
      <w:tr w:rsidR="003F4E87" w:rsidRPr="00894B8A" w14:paraId="32B93ED7"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08581E7" w14:textId="2532155D" w:rsidR="003F4E87" w:rsidRPr="00894B8A" w:rsidRDefault="003F4E87" w:rsidP="008564A9">
            <w:pPr>
              <w:rPr>
                <w:rFonts w:ascii="Calibri" w:eastAsia="Calibri" w:hAnsi="Calibri" w:cs="Times New Roman"/>
                <w:b w:val="0"/>
                <w:sz w:val="20"/>
                <w:szCs w:val="20"/>
              </w:rPr>
            </w:pPr>
            <w:r>
              <w:rPr>
                <w:rFonts w:ascii="Calibri" w:eastAsia="Calibri" w:hAnsi="Calibri" w:cs="Times New Roman"/>
                <w:b w:val="0"/>
                <w:sz w:val="20"/>
                <w:szCs w:val="20"/>
              </w:rPr>
              <w:t>CDV</w:t>
            </w:r>
          </w:p>
        </w:tc>
        <w:tc>
          <w:tcPr>
            <w:tcW w:w="7513" w:type="dxa"/>
          </w:tcPr>
          <w:p w14:paraId="4CD56CBC" w14:textId="136948DE" w:rsidR="003F4E87" w:rsidRPr="00894B8A" w:rsidRDefault="003F4E87" w:rsidP="008564A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Centrum dopravního výzkumu</w:t>
            </w:r>
          </w:p>
        </w:tc>
      </w:tr>
      <w:tr w:rsidR="003F4E87" w:rsidRPr="00894B8A" w14:paraId="10F52746"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29BBAFA" w14:textId="5ADA2590" w:rsidR="003F4E87" w:rsidRDefault="003F4E87" w:rsidP="008564A9">
            <w:pPr>
              <w:rPr>
                <w:rFonts w:ascii="Calibri" w:eastAsia="Calibri" w:hAnsi="Calibri" w:cs="Times New Roman"/>
                <w:b w:val="0"/>
                <w:sz w:val="20"/>
                <w:szCs w:val="20"/>
              </w:rPr>
            </w:pPr>
            <w:r>
              <w:rPr>
                <w:rFonts w:ascii="Calibri" w:eastAsia="Calibri" w:hAnsi="Calibri" w:cs="Times New Roman"/>
                <w:b w:val="0"/>
                <w:sz w:val="20"/>
                <w:szCs w:val="20"/>
              </w:rPr>
              <w:t>CRV</w:t>
            </w:r>
          </w:p>
        </w:tc>
        <w:tc>
          <w:tcPr>
            <w:tcW w:w="7513" w:type="dxa"/>
          </w:tcPr>
          <w:p w14:paraId="3B60F072" w14:textId="771A0C0C" w:rsidR="003F4E87" w:rsidRDefault="003F4E87"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Centrální registr vozidel</w:t>
            </w:r>
          </w:p>
        </w:tc>
      </w:tr>
      <w:tr w:rsidR="00047EB6" w:rsidRPr="00894B8A" w14:paraId="3044A437"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5E2A4F4D" w14:textId="49BBB552"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CZV</w:t>
            </w:r>
          </w:p>
        </w:tc>
        <w:tc>
          <w:tcPr>
            <w:tcW w:w="7513" w:type="dxa"/>
          </w:tcPr>
          <w:p w14:paraId="18312427" w14:textId="4127E155"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4B8A">
              <w:rPr>
                <w:rFonts w:ascii="Calibri" w:eastAsia="Calibri" w:hAnsi="Calibri" w:cs="Times New Roman"/>
                <w:sz w:val="20"/>
                <w:szCs w:val="20"/>
              </w:rPr>
              <w:t>Celkové způsobilé výdaje</w:t>
            </w:r>
          </w:p>
        </w:tc>
      </w:tr>
      <w:tr w:rsidR="00047EB6" w:rsidRPr="00894B8A" w14:paraId="7E6B5E30"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45CA6B9" w14:textId="31FC4BDA"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ČMZRB</w:t>
            </w:r>
          </w:p>
        </w:tc>
        <w:tc>
          <w:tcPr>
            <w:tcW w:w="7513" w:type="dxa"/>
          </w:tcPr>
          <w:p w14:paraId="0174F1C2" w14:textId="36F6B918"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Českomoravská záruční a rozvojová banka, a.s.</w:t>
            </w:r>
          </w:p>
        </w:tc>
      </w:tr>
      <w:tr w:rsidR="00047EB6" w:rsidRPr="00894B8A" w14:paraId="66A224F0"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80958E9" w14:textId="3227B1D3"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ČR</w:t>
            </w:r>
          </w:p>
        </w:tc>
        <w:tc>
          <w:tcPr>
            <w:tcW w:w="7513" w:type="dxa"/>
          </w:tcPr>
          <w:p w14:paraId="19A4E998" w14:textId="37DDB8E7"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Česká republika</w:t>
            </w:r>
          </w:p>
        </w:tc>
      </w:tr>
      <w:tr w:rsidR="00047EB6" w:rsidRPr="00894B8A" w14:paraId="5EAED858"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56FF848" w14:textId="500B5A2C"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ČSÚ</w:t>
            </w:r>
          </w:p>
        </w:tc>
        <w:tc>
          <w:tcPr>
            <w:tcW w:w="7513" w:type="dxa"/>
          </w:tcPr>
          <w:p w14:paraId="6394CDFA" w14:textId="5E8F252C"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Český statistický úřad</w:t>
            </w:r>
          </w:p>
        </w:tc>
      </w:tr>
      <w:tr w:rsidR="00047EB6" w:rsidRPr="00894B8A" w14:paraId="65DB9BB7"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4AE90B7" w14:textId="3491E4FF"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DŠ</w:t>
            </w:r>
          </w:p>
        </w:tc>
        <w:tc>
          <w:tcPr>
            <w:tcW w:w="7513" w:type="dxa"/>
          </w:tcPr>
          <w:p w14:paraId="67F2BA22" w14:textId="5C0AE693"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Dotazníkové šetření</w:t>
            </w:r>
          </w:p>
        </w:tc>
      </w:tr>
      <w:tr w:rsidR="00047EB6" w:rsidRPr="00894B8A" w14:paraId="1EBA783A"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4F1B4DE" w14:textId="293C6A5F"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EO</w:t>
            </w:r>
          </w:p>
        </w:tc>
        <w:tc>
          <w:tcPr>
            <w:tcW w:w="7513" w:type="dxa"/>
          </w:tcPr>
          <w:p w14:paraId="37B46604" w14:textId="0DC9979B"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Evaluační otázka</w:t>
            </w:r>
          </w:p>
        </w:tc>
      </w:tr>
      <w:tr w:rsidR="00047EB6" w:rsidRPr="00894B8A" w14:paraId="2A937188"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2A31B90" w14:textId="09C9C7AA"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EP</w:t>
            </w:r>
          </w:p>
        </w:tc>
        <w:tc>
          <w:tcPr>
            <w:tcW w:w="7513" w:type="dxa"/>
          </w:tcPr>
          <w:p w14:paraId="766562FD" w14:textId="1CFD7AA2"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Evropský parlament</w:t>
            </w:r>
          </w:p>
        </w:tc>
      </w:tr>
      <w:tr w:rsidR="00894B8A" w:rsidRPr="00894B8A" w14:paraId="0AC8FA12"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AD532F6" w14:textId="357DEAC4" w:rsidR="00894B8A" w:rsidRPr="00894B8A" w:rsidRDefault="00894B8A" w:rsidP="008564A9">
            <w:pPr>
              <w:rPr>
                <w:rFonts w:ascii="Calibri" w:eastAsia="Calibri" w:hAnsi="Calibri" w:cs="Times New Roman"/>
                <w:b w:val="0"/>
                <w:sz w:val="20"/>
                <w:szCs w:val="20"/>
              </w:rPr>
            </w:pPr>
            <w:r w:rsidRPr="00894B8A">
              <w:rPr>
                <w:rFonts w:ascii="Calibri" w:eastAsia="Calibri" w:hAnsi="Calibri" w:cs="Times New Roman"/>
                <w:b w:val="0"/>
                <w:sz w:val="20"/>
                <w:szCs w:val="20"/>
              </w:rPr>
              <w:t>ERÚ</w:t>
            </w:r>
          </w:p>
        </w:tc>
        <w:tc>
          <w:tcPr>
            <w:tcW w:w="7513" w:type="dxa"/>
          </w:tcPr>
          <w:p w14:paraId="3010ACFC" w14:textId="2C980F24" w:rsidR="00894B8A" w:rsidRPr="00894B8A" w:rsidRDefault="00894B8A"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Energetický regulační úřad</w:t>
            </w:r>
          </w:p>
        </w:tc>
      </w:tr>
      <w:tr w:rsidR="00047EB6" w:rsidRPr="00894B8A" w14:paraId="66852FEB"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5773E5A" w14:textId="4356635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ES</w:t>
            </w:r>
          </w:p>
        </w:tc>
        <w:tc>
          <w:tcPr>
            <w:tcW w:w="7513" w:type="dxa"/>
          </w:tcPr>
          <w:p w14:paraId="7A9FFBA0" w14:textId="642D7C7C"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Evropské společenství</w:t>
            </w:r>
          </w:p>
        </w:tc>
      </w:tr>
      <w:tr w:rsidR="00047EB6" w:rsidRPr="00894B8A" w14:paraId="6FCEA5F9"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E8C41E2" w14:textId="400D7B43"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EU</w:t>
            </w:r>
          </w:p>
        </w:tc>
        <w:tc>
          <w:tcPr>
            <w:tcW w:w="7513" w:type="dxa"/>
          </w:tcPr>
          <w:p w14:paraId="05C84A14" w14:textId="603E877D"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Evropská unie</w:t>
            </w:r>
          </w:p>
        </w:tc>
      </w:tr>
      <w:tr w:rsidR="00047EB6" w:rsidRPr="00894B8A" w14:paraId="6094A1F2"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65C230F3" w14:textId="59E0B18E"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FS</w:t>
            </w:r>
          </w:p>
        </w:tc>
        <w:tc>
          <w:tcPr>
            <w:tcW w:w="7513" w:type="dxa"/>
          </w:tcPr>
          <w:p w14:paraId="65DCBEE7" w14:textId="1C088B0D"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Fokusní skupina</w:t>
            </w:r>
          </w:p>
        </w:tc>
      </w:tr>
      <w:tr w:rsidR="00047EB6" w:rsidRPr="00894B8A" w14:paraId="33349254"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115AEAF" w14:textId="0ECB2BDF"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GDPR</w:t>
            </w:r>
          </w:p>
        </w:tc>
        <w:tc>
          <w:tcPr>
            <w:tcW w:w="7513" w:type="dxa"/>
          </w:tcPr>
          <w:p w14:paraId="77DB4D62" w14:textId="235EBBB1"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Obecné nařízení o ochraně osobních údajů (angl. General Data Protection Regulation)</w:t>
            </w:r>
          </w:p>
        </w:tc>
      </w:tr>
      <w:tr w:rsidR="00047EB6" w:rsidRPr="00894B8A" w14:paraId="54B7E4B0"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02DE5F62" w14:textId="04533931"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IČ</w:t>
            </w:r>
          </w:p>
        </w:tc>
        <w:tc>
          <w:tcPr>
            <w:tcW w:w="7513" w:type="dxa"/>
          </w:tcPr>
          <w:p w14:paraId="27FDF54A" w14:textId="07C5AFA5"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Identifikační číslo</w:t>
            </w:r>
          </w:p>
        </w:tc>
      </w:tr>
      <w:tr w:rsidR="00047EB6" w:rsidRPr="00894B8A" w14:paraId="1AAAF55E"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DCD0563" w14:textId="45F0122D"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IR</w:t>
            </w:r>
          </w:p>
        </w:tc>
        <w:tc>
          <w:tcPr>
            <w:tcW w:w="7513" w:type="dxa"/>
          </w:tcPr>
          <w:p w14:paraId="2D546B73" w14:textId="25F61BE5"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Individuální rozhovor</w:t>
            </w:r>
          </w:p>
        </w:tc>
      </w:tr>
      <w:tr w:rsidR="00047EB6" w:rsidRPr="00894B8A" w14:paraId="11D494B8"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2B93E1C7" w14:textId="6D98E7F8"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IS KP14+</w:t>
            </w:r>
          </w:p>
        </w:tc>
        <w:tc>
          <w:tcPr>
            <w:tcW w:w="7513" w:type="dxa"/>
          </w:tcPr>
          <w:p w14:paraId="634965D5" w14:textId="1E0815BF"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Informační systém konečného příjemce (v programovém období 2014 – 2020)</w:t>
            </w:r>
          </w:p>
        </w:tc>
      </w:tr>
      <w:tr w:rsidR="00047EB6" w:rsidRPr="00894B8A" w14:paraId="7A2ACD37"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359FF62" w14:textId="3737159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ISOP</w:t>
            </w:r>
          </w:p>
        </w:tc>
        <w:tc>
          <w:tcPr>
            <w:tcW w:w="7513" w:type="dxa"/>
          </w:tcPr>
          <w:p w14:paraId="4EA71058" w14:textId="5743BCC2"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Informační systém pro OPPI 2007 - 2013</w:t>
            </w:r>
          </w:p>
        </w:tc>
      </w:tr>
      <w:tr w:rsidR="00047EB6" w:rsidRPr="00894B8A" w14:paraId="42BB5252"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570FC199" w14:textId="5CAD5131"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KD</w:t>
            </w:r>
          </w:p>
        </w:tc>
        <w:tc>
          <w:tcPr>
            <w:tcW w:w="7513" w:type="dxa"/>
          </w:tcPr>
          <w:p w14:paraId="1282E5EC" w14:textId="0010A22A"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Kalendářní den</w:t>
            </w:r>
          </w:p>
        </w:tc>
      </w:tr>
      <w:tr w:rsidR="00352E5B" w:rsidRPr="00352E5B" w14:paraId="5E91AC97"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BFC08C4" w14:textId="0E074680" w:rsidR="00352E5B" w:rsidRPr="00352E5B" w:rsidRDefault="00352E5B" w:rsidP="008564A9">
            <w:pPr>
              <w:rPr>
                <w:rFonts w:ascii="Calibri" w:eastAsia="Calibri" w:hAnsi="Calibri" w:cs="Times New Roman"/>
                <w:b w:val="0"/>
                <w:sz w:val="20"/>
                <w:szCs w:val="20"/>
              </w:rPr>
            </w:pPr>
            <w:r w:rsidRPr="00352E5B">
              <w:rPr>
                <w:rFonts w:ascii="Calibri" w:eastAsia="Calibri" w:hAnsi="Calibri" w:cs="Times New Roman"/>
                <w:b w:val="0"/>
                <w:sz w:val="20"/>
                <w:szCs w:val="20"/>
              </w:rPr>
              <w:t>KVET</w:t>
            </w:r>
          </w:p>
        </w:tc>
        <w:tc>
          <w:tcPr>
            <w:tcW w:w="7513" w:type="dxa"/>
          </w:tcPr>
          <w:p w14:paraId="4EE9132E" w14:textId="07F63942" w:rsidR="00352E5B" w:rsidRPr="00352E5B" w:rsidRDefault="00352E5B"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352E5B">
              <w:rPr>
                <w:rFonts w:ascii="Calibri" w:eastAsia="Calibri" w:hAnsi="Calibri" w:cs="Times New Roman"/>
                <w:sz w:val="20"/>
                <w:szCs w:val="20"/>
              </w:rPr>
              <w:t>Kombinovaná výroba elektřiny a tepla</w:t>
            </w:r>
          </w:p>
        </w:tc>
      </w:tr>
      <w:tr w:rsidR="00956E59" w:rsidRPr="00894B8A" w14:paraId="0FFB036D"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22BBE354" w14:textId="01F76582" w:rsidR="00956E59" w:rsidRPr="00894B8A" w:rsidRDefault="00956E59" w:rsidP="00956E59">
            <w:pPr>
              <w:spacing w:line="276" w:lineRule="auto"/>
              <w:rPr>
                <w:rFonts w:ascii="Calibri" w:eastAsia="Calibri" w:hAnsi="Calibri" w:cs="Times New Roman"/>
                <w:b w:val="0"/>
                <w:sz w:val="20"/>
                <w:szCs w:val="20"/>
              </w:rPr>
            </w:pPr>
            <w:r w:rsidRPr="00894B8A">
              <w:rPr>
                <w:rFonts w:ascii="Calibri" w:eastAsia="Calibri" w:hAnsi="Calibri" w:cs="Times New Roman"/>
                <w:b w:val="0"/>
                <w:sz w:val="20"/>
                <w:szCs w:val="20"/>
              </w:rPr>
              <w:t>LULUCF</w:t>
            </w:r>
          </w:p>
        </w:tc>
        <w:tc>
          <w:tcPr>
            <w:tcW w:w="7513" w:type="dxa"/>
          </w:tcPr>
          <w:p w14:paraId="1D0CD2AD" w14:textId="44924578" w:rsidR="00956E59" w:rsidRPr="00894B8A" w:rsidRDefault="00956E59" w:rsidP="00956E5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Využívání krajiny, změny ve využívání krajiny a lesnictví (z angl. Land Use, Land-Use Change and Forestry)</w:t>
            </w:r>
          </w:p>
        </w:tc>
      </w:tr>
      <w:tr w:rsidR="00047EB6" w:rsidRPr="00894B8A" w14:paraId="4F291240"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751E77C" w14:textId="1929E52D"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MPO</w:t>
            </w:r>
          </w:p>
        </w:tc>
        <w:tc>
          <w:tcPr>
            <w:tcW w:w="7513" w:type="dxa"/>
          </w:tcPr>
          <w:p w14:paraId="0C2A55C5" w14:textId="7749A080"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Ministerstvo průmyslu a obchodu</w:t>
            </w:r>
          </w:p>
        </w:tc>
      </w:tr>
      <w:tr w:rsidR="00047EB6" w:rsidRPr="00894B8A" w14:paraId="2263C0CE"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75ADF71D" w14:textId="5E9F3BFD"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MS2014+</w:t>
            </w:r>
          </w:p>
        </w:tc>
        <w:tc>
          <w:tcPr>
            <w:tcW w:w="7513" w:type="dxa"/>
          </w:tcPr>
          <w:p w14:paraId="2DEE19E2" w14:textId="1DCD3958"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Monitorovací systém strukturálních fondů pro období 2014 - 2020</w:t>
            </w:r>
          </w:p>
        </w:tc>
      </w:tr>
      <w:tr w:rsidR="00047EB6" w:rsidRPr="00894B8A" w14:paraId="1A94C376"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7E8602C" w14:textId="651DB60A"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MV</w:t>
            </w:r>
          </w:p>
        </w:tc>
        <w:tc>
          <w:tcPr>
            <w:tcW w:w="7513" w:type="dxa"/>
          </w:tcPr>
          <w:p w14:paraId="58BE60CF" w14:textId="3FDD8C01"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Monitorovací výbor</w:t>
            </w:r>
          </w:p>
        </w:tc>
      </w:tr>
      <w:tr w:rsidR="00047EB6" w:rsidRPr="00894B8A" w14:paraId="402942C2"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581B4CAC" w14:textId="3150CB32"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NPR</w:t>
            </w:r>
          </w:p>
        </w:tc>
        <w:tc>
          <w:tcPr>
            <w:tcW w:w="7513" w:type="dxa"/>
          </w:tcPr>
          <w:p w14:paraId="2A595547" w14:textId="039005EC"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Národní program reforem</w:t>
            </w:r>
          </w:p>
        </w:tc>
      </w:tr>
      <w:tr w:rsidR="00047EB6" w:rsidRPr="00894B8A" w14:paraId="358C1956"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9F2EEA3" w14:textId="473FF08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NUT</w:t>
            </w:r>
          </w:p>
        </w:tc>
        <w:tc>
          <w:tcPr>
            <w:tcW w:w="7513" w:type="dxa"/>
          </w:tcPr>
          <w:p w14:paraId="47B994BE" w14:textId="7AFB0A96"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(program podpory) Nízkouhlíkové technologie</w:t>
            </w:r>
          </w:p>
        </w:tc>
      </w:tr>
      <w:tr w:rsidR="00B9348F" w:rsidRPr="00894B8A" w14:paraId="1185C15F"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62D47A21" w14:textId="5B4BDCA3" w:rsidR="00B9348F" w:rsidRPr="00894B8A" w:rsidRDefault="00B9348F" w:rsidP="008564A9">
            <w:pPr>
              <w:rPr>
                <w:rFonts w:ascii="Calibri" w:eastAsia="Calibri" w:hAnsi="Calibri" w:cs="Times New Roman"/>
                <w:b w:val="0"/>
                <w:sz w:val="20"/>
                <w:szCs w:val="20"/>
              </w:rPr>
            </w:pPr>
            <w:r w:rsidRPr="00894B8A">
              <w:rPr>
                <w:rFonts w:ascii="Calibri" w:eastAsia="Calibri" w:hAnsi="Calibri" w:cs="Times New Roman"/>
                <w:b w:val="0"/>
                <w:sz w:val="20"/>
                <w:szCs w:val="20"/>
              </w:rPr>
              <w:t>OP K</w:t>
            </w:r>
          </w:p>
        </w:tc>
        <w:tc>
          <w:tcPr>
            <w:tcW w:w="7513" w:type="dxa"/>
          </w:tcPr>
          <w:p w14:paraId="0C5E1CDB" w14:textId="4AF5EFE5" w:rsidR="00B9348F" w:rsidRPr="00894B8A" w:rsidRDefault="00B9348F" w:rsidP="008564A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Operační program Konkurenceschopnost 2021 - 2027</w:t>
            </w:r>
          </w:p>
        </w:tc>
      </w:tr>
      <w:tr w:rsidR="00047EB6" w:rsidRPr="00894B8A" w14:paraId="74C3AC9B"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AB4C9B0" w14:textId="0BD20864"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OPPI</w:t>
            </w:r>
          </w:p>
        </w:tc>
        <w:tc>
          <w:tcPr>
            <w:tcW w:w="7513" w:type="dxa"/>
          </w:tcPr>
          <w:p w14:paraId="64AA4FC9" w14:textId="1398AD63"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Operační program Podnikání a inovace 2007 – 2013</w:t>
            </w:r>
          </w:p>
        </w:tc>
      </w:tr>
      <w:tr w:rsidR="00047EB6" w:rsidRPr="00894B8A" w14:paraId="139298ED"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11C1A74E" w14:textId="63406643"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OP PIK</w:t>
            </w:r>
          </w:p>
        </w:tc>
        <w:tc>
          <w:tcPr>
            <w:tcW w:w="7513" w:type="dxa"/>
          </w:tcPr>
          <w:p w14:paraId="4D3C0B84" w14:textId="389FF421"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Operační program Podnikání a inovace pro konkurenceschopnost 2014 - 2020</w:t>
            </w:r>
          </w:p>
        </w:tc>
      </w:tr>
      <w:tr w:rsidR="00047EB6" w:rsidRPr="00894B8A" w14:paraId="76AD1246"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A018AFE" w14:textId="6B655D0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OZE</w:t>
            </w:r>
          </w:p>
        </w:tc>
        <w:tc>
          <w:tcPr>
            <w:tcW w:w="7513" w:type="dxa"/>
          </w:tcPr>
          <w:p w14:paraId="283E3CBE" w14:textId="1E794B91" w:rsidR="00047EB6" w:rsidRPr="00894B8A" w:rsidRDefault="00235A3B"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 xml:space="preserve">(program podpory) </w:t>
            </w:r>
            <w:r w:rsidR="00047EB6" w:rsidRPr="00894B8A">
              <w:rPr>
                <w:rFonts w:ascii="Calibri" w:eastAsia="Calibri" w:hAnsi="Calibri" w:cs="Times New Roman"/>
                <w:sz w:val="20"/>
                <w:szCs w:val="20"/>
              </w:rPr>
              <w:t>Obnovitelné zdroje energie</w:t>
            </w:r>
          </w:p>
        </w:tc>
      </w:tr>
      <w:tr w:rsidR="00047EB6" w:rsidRPr="00894B8A" w14:paraId="09C39B99"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68A2EBAE" w14:textId="002B0BDA"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PD</w:t>
            </w:r>
          </w:p>
        </w:tc>
        <w:tc>
          <w:tcPr>
            <w:tcW w:w="7513" w:type="dxa"/>
          </w:tcPr>
          <w:p w14:paraId="4D3873E9" w14:textId="0E7247B8"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Pracovní den</w:t>
            </w:r>
          </w:p>
        </w:tc>
      </w:tr>
      <w:tr w:rsidR="00235A3B" w:rsidRPr="00894B8A" w14:paraId="5D6D2918"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F627186" w14:textId="1CCA124A" w:rsidR="00235A3B" w:rsidRPr="00894B8A" w:rsidRDefault="00235A3B" w:rsidP="008564A9">
            <w:pPr>
              <w:rPr>
                <w:rFonts w:ascii="Calibri" w:eastAsia="Calibri" w:hAnsi="Calibri" w:cs="Times New Roman"/>
                <w:b w:val="0"/>
                <w:sz w:val="20"/>
                <w:szCs w:val="20"/>
              </w:rPr>
            </w:pPr>
            <w:r w:rsidRPr="00894B8A">
              <w:rPr>
                <w:rFonts w:ascii="Calibri" w:eastAsia="Calibri" w:hAnsi="Calibri" w:cs="Times New Roman"/>
                <w:b w:val="0"/>
                <w:sz w:val="20"/>
                <w:szCs w:val="20"/>
              </w:rPr>
              <w:t>PDS</w:t>
            </w:r>
          </w:p>
        </w:tc>
        <w:tc>
          <w:tcPr>
            <w:tcW w:w="7513" w:type="dxa"/>
          </w:tcPr>
          <w:p w14:paraId="7EAA1178" w14:textId="7640028C" w:rsidR="00235A3B" w:rsidRPr="00894B8A" w:rsidRDefault="00235A3B"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Politika druhotných surovin</w:t>
            </w:r>
          </w:p>
        </w:tc>
      </w:tr>
      <w:tr w:rsidR="00047EB6" w:rsidRPr="00894B8A" w14:paraId="5843309E"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3034E9EA" w14:textId="5136270D"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PP</w:t>
            </w:r>
          </w:p>
        </w:tc>
        <w:tc>
          <w:tcPr>
            <w:tcW w:w="7513" w:type="dxa"/>
          </w:tcPr>
          <w:p w14:paraId="78FE8BB9" w14:textId="2584F153"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Program podpory</w:t>
            </w:r>
          </w:p>
        </w:tc>
      </w:tr>
      <w:tr w:rsidR="00047EB6" w:rsidRPr="00894B8A" w14:paraId="15603275"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4ACF358" w14:textId="782AD3C4"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PS</w:t>
            </w:r>
          </w:p>
        </w:tc>
        <w:tc>
          <w:tcPr>
            <w:tcW w:w="7513" w:type="dxa"/>
          </w:tcPr>
          <w:p w14:paraId="1A00378F" w14:textId="21CA384C"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Př</w:t>
            </w:r>
            <w:r w:rsidR="00F304F8" w:rsidRPr="00894B8A">
              <w:rPr>
                <w:rFonts w:ascii="Calibri" w:eastAsia="Calibri" w:hAnsi="Calibri" w:cs="Times New Roman"/>
                <w:sz w:val="20"/>
                <w:szCs w:val="20"/>
              </w:rPr>
              <w:t>enosová soustava</w:t>
            </w:r>
          </w:p>
        </w:tc>
      </w:tr>
      <w:tr w:rsidR="00131C2F" w:rsidRPr="00894B8A" w14:paraId="13330CB9"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299F9EEE" w14:textId="0FECE8C1" w:rsidR="00131C2F" w:rsidRPr="00894B8A" w:rsidRDefault="00131C2F" w:rsidP="008564A9">
            <w:pPr>
              <w:rPr>
                <w:rFonts w:ascii="Calibri" w:eastAsia="Calibri" w:hAnsi="Calibri" w:cs="Times New Roman"/>
                <w:b w:val="0"/>
                <w:sz w:val="20"/>
                <w:szCs w:val="20"/>
              </w:rPr>
            </w:pPr>
            <w:r w:rsidRPr="00894B8A">
              <w:rPr>
                <w:rFonts w:ascii="Calibri" w:eastAsia="Calibri" w:hAnsi="Calibri" w:cs="Times New Roman"/>
                <w:b w:val="0"/>
                <w:sz w:val="20"/>
                <w:szCs w:val="20"/>
              </w:rPr>
              <w:t>RoPD</w:t>
            </w:r>
          </w:p>
        </w:tc>
        <w:tc>
          <w:tcPr>
            <w:tcW w:w="7513" w:type="dxa"/>
          </w:tcPr>
          <w:p w14:paraId="6BA0CF06" w14:textId="7E9F2AED" w:rsidR="00131C2F" w:rsidRPr="00894B8A" w:rsidRDefault="00131C2F" w:rsidP="008564A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Rozhodnutí o poskytnutí dotace</w:t>
            </w:r>
          </w:p>
        </w:tc>
      </w:tr>
      <w:tr w:rsidR="00047EB6" w:rsidRPr="00894B8A" w14:paraId="2ABE0D58"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67C6D40" w14:textId="27DF171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ŘO</w:t>
            </w:r>
          </w:p>
        </w:tc>
        <w:tc>
          <w:tcPr>
            <w:tcW w:w="7513" w:type="dxa"/>
          </w:tcPr>
          <w:p w14:paraId="0E77F350" w14:textId="348545B7"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Řídící orgán</w:t>
            </w:r>
          </w:p>
        </w:tc>
      </w:tr>
      <w:tr w:rsidR="00047EB6" w:rsidRPr="00894B8A" w14:paraId="53C40C4D"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5812B52B" w14:textId="77D04316"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SC</w:t>
            </w:r>
          </w:p>
        </w:tc>
        <w:tc>
          <w:tcPr>
            <w:tcW w:w="7513" w:type="dxa"/>
          </w:tcPr>
          <w:p w14:paraId="60BD2868" w14:textId="0BAA9962" w:rsidR="00047EB6" w:rsidRPr="00894B8A" w:rsidRDefault="00047EB6" w:rsidP="00FC6E21">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Specifický cíl</w:t>
            </w:r>
          </w:p>
        </w:tc>
      </w:tr>
      <w:tr w:rsidR="00047EB6" w:rsidRPr="00894B8A" w14:paraId="2CC8C1AC"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318BCBE" w14:textId="2ACAF7C7"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SZ</w:t>
            </w:r>
          </w:p>
        </w:tc>
        <w:tc>
          <w:tcPr>
            <w:tcW w:w="7513" w:type="dxa"/>
          </w:tcPr>
          <w:p w14:paraId="070D858A" w14:textId="47906974"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Situační zpráva</w:t>
            </w:r>
          </w:p>
        </w:tc>
      </w:tr>
      <w:tr w:rsidR="00047EB6" w:rsidRPr="00894B8A" w14:paraId="1F219168"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2CBAA25A" w14:textId="0A2A710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ToC</w:t>
            </w:r>
          </w:p>
        </w:tc>
        <w:tc>
          <w:tcPr>
            <w:tcW w:w="7513" w:type="dxa"/>
          </w:tcPr>
          <w:p w14:paraId="0EF31963" w14:textId="193E732F"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Teorie změny</w:t>
            </w:r>
          </w:p>
        </w:tc>
      </w:tr>
      <w:tr w:rsidR="00047EB6" w:rsidRPr="00894B8A" w14:paraId="5AE21886"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5D3FD39" w14:textId="0BD5858E"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ÚE</w:t>
            </w:r>
          </w:p>
        </w:tc>
        <w:tc>
          <w:tcPr>
            <w:tcW w:w="7513" w:type="dxa"/>
          </w:tcPr>
          <w:p w14:paraId="10A667A0" w14:textId="197143E6"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(program podpory) Úspory energie</w:t>
            </w:r>
          </w:p>
        </w:tc>
      </w:tr>
      <w:tr w:rsidR="00047EB6" w:rsidRPr="00894B8A" w14:paraId="3B71B668"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2ED3BDBF" w14:textId="2946819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VZ</w:t>
            </w:r>
          </w:p>
        </w:tc>
        <w:tc>
          <w:tcPr>
            <w:tcW w:w="7513" w:type="dxa"/>
          </w:tcPr>
          <w:p w14:paraId="0C2325E7" w14:textId="10E5FF5B"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Vstupní zpráva</w:t>
            </w:r>
          </w:p>
        </w:tc>
      </w:tr>
      <w:tr w:rsidR="00047EB6" w:rsidRPr="00894B8A" w14:paraId="44D1CF21"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46F830F" w14:textId="628211CF"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ZoR</w:t>
            </w:r>
          </w:p>
        </w:tc>
        <w:tc>
          <w:tcPr>
            <w:tcW w:w="7513" w:type="dxa"/>
          </w:tcPr>
          <w:p w14:paraId="150390AC" w14:textId="32F2248A"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Zpráva o realizaci</w:t>
            </w:r>
          </w:p>
        </w:tc>
      </w:tr>
      <w:tr w:rsidR="00047EB6" w:rsidRPr="00894B8A" w14:paraId="7561FB65"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40040B1E" w14:textId="0E70A305"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lastRenderedPageBreak/>
              <w:t>ZoU</w:t>
            </w:r>
          </w:p>
        </w:tc>
        <w:tc>
          <w:tcPr>
            <w:tcW w:w="7513" w:type="dxa"/>
          </w:tcPr>
          <w:p w14:paraId="762B477A" w14:textId="122AA4FA" w:rsidR="00047EB6" w:rsidRPr="00894B8A" w:rsidRDefault="00047EB6" w:rsidP="008564A9">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 xml:space="preserve">Zpráva o udržitelnosti </w:t>
            </w:r>
          </w:p>
        </w:tc>
      </w:tr>
      <w:tr w:rsidR="00047EB6" w:rsidRPr="00894B8A" w14:paraId="6816B5B0"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F63712" w14:textId="0907BA1B" w:rsidR="00047EB6" w:rsidRPr="00894B8A" w:rsidRDefault="00047EB6" w:rsidP="008564A9">
            <w:pPr>
              <w:spacing w:line="276" w:lineRule="auto"/>
              <w:rPr>
                <w:rFonts w:ascii="Calibri" w:hAnsi="Calibri" w:cs="Calibri"/>
                <w:b w:val="0"/>
              </w:rPr>
            </w:pPr>
            <w:r w:rsidRPr="00894B8A">
              <w:rPr>
                <w:rFonts w:ascii="Calibri" w:eastAsia="Calibri" w:hAnsi="Calibri" w:cs="Times New Roman"/>
                <w:b w:val="0"/>
                <w:sz w:val="20"/>
                <w:szCs w:val="20"/>
              </w:rPr>
              <w:t>ZP</w:t>
            </w:r>
          </w:p>
        </w:tc>
        <w:tc>
          <w:tcPr>
            <w:tcW w:w="7513" w:type="dxa"/>
          </w:tcPr>
          <w:p w14:paraId="62AB7E3C" w14:textId="087B4287" w:rsidR="00047EB6" w:rsidRPr="00894B8A" w:rsidRDefault="00047EB6" w:rsidP="008564A9">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894B8A">
              <w:rPr>
                <w:rFonts w:ascii="Calibri" w:eastAsia="Calibri" w:hAnsi="Calibri" w:cs="Times New Roman"/>
                <w:sz w:val="20"/>
                <w:szCs w:val="20"/>
              </w:rPr>
              <w:t>Zadávací podmínky</w:t>
            </w:r>
          </w:p>
        </w:tc>
      </w:tr>
      <w:tr w:rsidR="00894B8A" w:rsidRPr="00894B8A" w14:paraId="0CB5F72B" w14:textId="77777777" w:rsidTr="00AE0A2F">
        <w:tc>
          <w:tcPr>
            <w:cnfStyle w:val="001000000000" w:firstRow="0" w:lastRow="0" w:firstColumn="1" w:lastColumn="0" w:oddVBand="0" w:evenVBand="0" w:oddHBand="0" w:evenHBand="0" w:firstRowFirstColumn="0" w:firstRowLastColumn="0" w:lastRowFirstColumn="0" w:lastRowLastColumn="0"/>
            <w:tcW w:w="1526" w:type="dxa"/>
          </w:tcPr>
          <w:p w14:paraId="0244F09C" w14:textId="6332F6F6" w:rsidR="00894B8A" w:rsidRPr="00894B8A" w:rsidRDefault="00894B8A" w:rsidP="008564A9">
            <w:pPr>
              <w:rPr>
                <w:rFonts w:ascii="Calibri" w:eastAsia="Calibri" w:hAnsi="Calibri" w:cs="Times New Roman"/>
                <w:b w:val="0"/>
                <w:sz w:val="20"/>
                <w:szCs w:val="20"/>
              </w:rPr>
            </w:pPr>
            <w:r w:rsidRPr="00894B8A">
              <w:rPr>
                <w:rFonts w:ascii="Calibri" w:eastAsia="Calibri" w:hAnsi="Calibri" w:cs="Times New Roman"/>
                <w:b w:val="0"/>
                <w:sz w:val="20"/>
                <w:szCs w:val="20"/>
              </w:rPr>
              <w:t>ZZ</w:t>
            </w:r>
          </w:p>
        </w:tc>
        <w:tc>
          <w:tcPr>
            <w:tcW w:w="7513" w:type="dxa"/>
          </w:tcPr>
          <w:p w14:paraId="29CF31CB" w14:textId="3FC82286" w:rsidR="00894B8A" w:rsidRPr="00894B8A" w:rsidRDefault="00894B8A" w:rsidP="008564A9">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Závěrečná zpráva</w:t>
            </w:r>
          </w:p>
        </w:tc>
      </w:tr>
      <w:tr w:rsidR="00131C2F" w:rsidRPr="00894B8A" w14:paraId="35E33875" w14:textId="77777777" w:rsidTr="00A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269C20C" w14:textId="757754B3" w:rsidR="00131C2F" w:rsidRPr="00894B8A" w:rsidRDefault="00131C2F" w:rsidP="008564A9">
            <w:pPr>
              <w:rPr>
                <w:rFonts w:ascii="Calibri" w:eastAsia="Calibri" w:hAnsi="Calibri" w:cs="Times New Roman"/>
                <w:b w:val="0"/>
                <w:sz w:val="20"/>
                <w:szCs w:val="20"/>
              </w:rPr>
            </w:pPr>
            <w:r w:rsidRPr="00894B8A">
              <w:rPr>
                <w:rFonts w:ascii="Calibri" w:eastAsia="Calibri" w:hAnsi="Calibri" w:cs="Times New Roman"/>
                <w:b w:val="0"/>
                <w:sz w:val="20"/>
                <w:szCs w:val="20"/>
              </w:rPr>
              <w:t>ŽoPl</w:t>
            </w:r>
          </w:p>
        </w:tc>
        <w:tc>
          <w:tcPr>
            <w:tcW w:w="7513" w:type="dxa"/>
          </w:tcPr>
          <w:p w14:paraId="0E46316F" w14:textId="5A64FCC3" w:rsidR="00131C2F" w:rsidRPr="00894B8A" w:rsidRDefault="00131C2F" w:rsidP="008564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894B8A">
              <w:rPr>
                <w:rFonts w:ascii="Calibri" w:eastAsia="Calibri" w:hAnsi="Calibri" w:cs="Times New Roman"/>
                <w:sz w:val="20"/>
                <w:szCs w:val="20"/>
              </w:rPr>
              <w:t>Žádost o platbu</w:t>
            </w:r>
          </w:p>
        </w:tc>
      </w:tr>
    </w:tbl>
    <w:p w14:paraId="5CA8893B" w14:textId="77777777" w:rsidR="001041B1" w:rsidRPr="00B61281" w:rsidRDefault="00A80531" w:rsidP="00E118FD">
      <w:pPr>
        <w:tabs>
          <w:tab w:val="left" w:pos="1740"/>
        </w:tabs>
        <w:spacing w:after="0"/>
        <w:rPr>
          <w:rFonts w:ascii="Calibri" w:hAnsi="Calibri" w:cs="Calibri"/>
        </w:rPr>
      </w:pPr>
      <w:r w:rsidRPr="00B61281">
        <w:rPr>
          <w:rFonts w:ascii="Calibri" w:hAnsi="Calibri" w:cs="Calibri"/>
        </w:rPr>
        <w:tab/>
      </w:r>
    </w:p>
    <w:p w14:paraId="48A589D4" w14:textId="77777777" w:rsidR="00830835" w:rsidRPr="00053DA8" w:rsidRDefault="0092260F" w:rsidP="00053DA8">
      <w:pPr>
        <w:pStyle w:val="Nadpis1"/>
      </w:pPr>
      <w:bookmarkStart w:id="4" w:name="_Toc492628397"/>
      <w:bookmarkStart w:id="5" w:name="_Toc4596799"/>
      <w:bookmarkStart w:id="6" w:name="_Toc10729903"/>
      <w:r w:rsidRPr="00053DA8">
        <w:lastRenderedPageBreak/>
        <w:t>úvod</w:t>
      </w:r>
      <w:bookmarkEnd w:id="4"/>
      <w:bookmarkEnd w:id="5"/>
      <w:bookmarkEnd w:id="6"/>
    </w:p>
    <w:p w14:paraId="11A56B5A" w14:textId="77777777" w:rsidR="00830835" w:rsidRPr="00053DA8" w:rsidRDefault="00830835" w:rsidP="00053DA8">
      <w:pPr>
        <w:pStyle w:val="Nadpis2"/>
      </w:pPr>
      <w:bookmarkStart w:id="7" w:name="_Toc492628398"/>
      <w:bookmarkStart w:id="8" w:name="_Toc518115756"/>
      <w:bookmarkStart w:id="9" w:name="_Toc4596800"/>
      <w:bookmarkStart w:id="10" w:name="_Toc10729904"/>
      <w:r w:rsidRPr="00053DA8">
        <w:t>Identifika</w:t>
      </w:r>
      <w:r w:rsidR="0092260F" w:rsidRPr="00053DA8">
        <w:t>ce objednatele a dodavatele</w:t>
      </w:r>
      <w:bookmarkEnd w:id="7"/>
      <w:bookmarkEnd w:id="8"/>
      <w:bookmarkEnd w:id="9"/>
      <w:bookmarkEnd w:id="10"/>
    </w:p>
    <w:p w14:paraId="45350904" w14:textId="77777777" w:rsidR="00047EB6" w:rsidRPr="002A2B65" w:rsidRDefault="00047EB6" w:rsidP="00047EB6">
      <w:pPr>
        <w:tabs>
          <w:tab w:val="left" w:pos="1843"/>
        </w:tabs>
        <w:spacing w:after="0"/>
        <w:jc w:val="both"/>
        <w:rPr>
          <w:rFonts w:cstheme="minorHAnsi"/>
          <w:u w:val="single"/>
        </w:rPr>
      </w:pPr>
      <w:bookmarkStart w:id="11" w:name="_Toc492628400"/>
      <w:r w:rsidRPr="002A2B65">
        <w:rPr>
          <w:rFonts w:cstheme="minorHAnsi"/>
          <w:u w:val="single"/>
        </w:rPr>
        <w:t>Objednatel:</w:t>
      </w:r>
    </w:p>
    <w:p w14:paraId="1EA7CA5A" w14:textId="77777777" w:rsidR="00047EB6" w:rsidRPr="002A2B65" w:rsidRDefault="00047EB6" w:rsidP="00047EB6">
      <w:pPr>
        <w:tabs>
          <w:tab w:val="left" w:pos="1843"/>
        </w:tabs>
        <w:spacing w:after="0"/>
        <w:jc w:val="both"/>
        <w:rPr>
          <w:rFonts w:cstheme="minorHAnsi"/>
          <w:b/>
        </w:rPr>
      </w:pPr>
      <w:r w:rsidRPr="002A2B65">
        <w:rPr>
          <w:rFonts w:cstheme="minorHAnsi"/>
          <w:b/>
        </w:rPr>
        <w:t>Česká republika - Ministerstvo průmyslu a obchodu</w:t>
      </w:r>
    </w:p>
    <w:p w14:paraId="260AA7C1" w14:textId="77777777" w:rsidR="00047EB6" w:rsidRPr="002A2B65" w:rsidRDefault="00047EB6" w:rsidP="00047EB6">
      <w:pPr>
        <w:tabs>
          <w:tab w:val="left" w:pos="1843"/>
        </w:tabs>
        <w:spacing w:after="0"/>
        <w:jc w:val="both"/>
        <w:rPr>
          <w:rFonts w:cstheme="minorHAnsi"/>
        </w:rPr>
      </w:pPr>
      <w:r w:rsidRPr="002A2B65">
        <w:rPr>
          <w:rFonts w:cstheme="minorHAnsi"/>
        </w:rPr>
        <w:t xml:space="preserve">Na Františku 32 </w:t>
      </w:r>
    </w:p>
    <w:p w14:paraId="01D24E6A" w14:textId="77777777" w:rsidR="00047EB6" w:rsidRPr="002A2B65" w:rsidRDefault="00047EB6" w:rsidP="00047EB6">
      <w:pPr>
        <w:tabs>
          <w:tab w:val="left" w:pos="1843"/>
        </w:tabs>
        <w:spacing w:after="0"/>
        <w:jc w:val="both"/>
        <w:rPr>
          <w:rFonts w:cstheme="minorHAnsi"/>
        </w:rPr>
      </w:pPr>
      <w:r w:rsidRPr="002A2B65">
        <w:rPr>
          <w:rFonts w:cstheme="minorHAnsi"/>
        </w:rPr>
        <w:t>110 15 Praha 1</w:t>
      </w:r>
    </w:p>
    <w:p w14:paraId="7C16EDEE" w14:textId="77777777" w:rsidR="00047EB6" w:rsidRPr="002A2B65" w:rsidRDefault="00E12F39" w:rsidP="00047EB6">
      <w:pPr>
        <w:tabs>
          <w:tab w:val="left" w:pos="1843"/>
        </w:tabs>
        <w:spacing w:after="0"/>
        <w:jc w:val="both"/>
        <w:rPr>
          <w:rFonts w:cstheme="minorHAnsi"/>
        </w:rPr>
      </w:pPr>
      <w:hyperlink r:id="rId9" w:history="1">
        <w:r w:rsidR="00047EB6" w:rsidRPr="002A2B65">
          <w:rPr>
            <w:rStyle w:val="Hypertextovodkaz"/>
            <w:rFonts w:cstheme="minorHAnsi"/>
          </w:rPr>
          <w:t>www.mpo.cz</w:t>
        </w:r>
      </w:hyperlink>
      <w:r w:rsidR="00047EB6" w:rsidRPr="002A2B65">
        <w:rPr>
          <w:rFonts w:cstheme="minorHAnsi"/>
        </w:rPr>
        <w:t xml:space="preserve"> </w:t>
      </w:r>
    </w:p>
    <w:p w14:paraId="16B2B0DD" w14:textId="77777777" w:rsidR="00047EB6" w:rsidRPr="002A2B65" w:rsidRDefault="00047EB6" w:rsidP="00047EB6">
      <w:pPr>
        <w:tabs>
          <w:tab w:val="left" w:pos="1843"/>
        </w:tabs>
        <w:spacing w:after="0"/>
        <w:jc w:val="both"/>
        <w:rPr>
          <w:rFonts w:cstheme="minorHAnsi"/>
        </w:rPr>
      </w:pPr>
    </w:p>
    <w:p w14:paraId="6037B9D1" w14:textId="77777777" w:rsidR="00047EB6" w:rsidRPr="002A2B65" w:rsidRDefault="00047EB6" w:rsidP="00047EB6">
      <w:pPr>
        <w:tabs>
          <w:tab w:val="left" w:pos="1843"/>
        </w:tabs>
        <w:spacing w:after="0"/>
        <w:jc w:val="both"/>
        <w:rPr>
          <w:rFonts w:cstheme="minorHAnsi"/>
          <w:u w:val="single"/>
        </w:rPr>
      </w:pPr>
      <w:r w:rsidRPr="002A2B65">
        <w:rPr>
          <w:rFonts w:cstheme="minorHAnsi"/>
          <w:u w:val="single"/>
        </w:rPr>
        <w:t>Dodavatel</w:t>
      </w:r>
    </w:p>
    <w:p w14:paraId="54E07538" w14:textId="77777777" w:rsidR="00047EB6" w:rsidRPr="002A2B65" w:rsidRDefault="00047EB6" w:rsidP="00047EB6">
      <w:pPr>
        <w:tabs>
          <w:tab w:val="left" w:pos="1843"/>
        </w:tabs>
        <w:spacing w:after="0"/>
        <w:jc w:val="both"/>
        <w:rPr>
          <w:rFonts w:cstheme="minorHAnsi"/>
          <w:b/>
        </w:rPr>
      </w:pPr>
      <w:r w:rsidRPr="002A2B65">
        <w:rPr>
          <w:rFonts w:cstheme="minorHAnsi"/>
          <w:b/>
        </w:rPr>
        <w:t>Asociace pro evropské fondy, z.s.</w:t>
      </w:r>
    </w:p>
    <w:p w14:paraId="41FDCD92" w14:textId="77777777" w:rsidR="00047EB6" w:rsidRPr="002A2B65" w:rsidRDefault="00047EB6" w:rsidP="00047EB6">
      <w:pPr>
        <w:tabs>
          <w:tab w:val="left" w:pos="1843"/>
        </w:tabs>
        <w:spacing w:after="0"/>
        <w:jc w:val="both"/>
        <w:rPr>
          <w:rFonts w:cstheme="minorHAnsi"/>
        </w:rPr>
      </w:pPr>
      <w:r w:rsidRPr="002A2B65">
        <w:rPr>
          <w:rFonts w:cstheme="minorHAnsi"/>
        </w:rPr>
        <w:t>Budějovická 2056/96</w:t>
      </w:r>
    </w:p>
    <w:p w14:paraId="40C426EA" w14:textId="77777777" w:rsidR="00047EB6" w:rsidRPr="002A2B65" w:rsidRDefault="00047EB6" w:rsidP="00047EB6">
      <w:pPr>
        <w:tabs>
          <w:tab w:val="left" w:pos="1843"/>
        </w:tabs>
        <w:spacing w:after="0"/>
        <w:jc w:val="both"/>
        <w:rPr>
          <w:rFonts w:cstheme="minorHAnsi"/>
        </w:rPr>
      </w:pPr>
      <w:r w:rsidRPr="002A2B65">
        <w:rPr>
          <w:rFonts w:cstheme="minorHAnsi"/>
        </w:rPr>
        <w:t>140 00 Praha 4 - Krč</w:t>
      </w:r>
    </w:p>
    <w:p w14:paraId="4015C6C9" w14:textId="77777777" w:rsidR="00047EB6" w:rsidRPr="002A2B65" w:rsidRDefault="00047EB6" w:rsidP="00047EB6">
      <w:pPr>
        <w:tabs>
          <w:tab w:val="left" w:pos="1843"/>
        </w:tabs>
        <w:spacing w:after="0"/>
        <w:jc w:val="both"/>
        <w:rPr>
          <w:rFonts w:cstheme="minorHAnsi"/>
        </w:rPr>
      </w:pPr>
      <w:r w:rsidRPr="002A2B65">
        <w:rPr>
          <w:rFonts w:cstheme="minorHAnsi"/>
        </w:rPr>
        <w:t>IČ: 03104826</w:t>
      </w:r>
    </w:p>
    <w:p w14:paraId="766AD3EA" w14:textId="77777777" w:rsidR="00047EB6" w:rsidRPr="002A2B65" w:rsidRDefault="00E12F39" w:rsidP="00047EB6">
      <w:pPr>
        <w:tabs>
          <w:tab w:val="left" w:pos="1843"/>
        </w:tabs>
        <w:spacing w:after="0"/>
        <w:jc w:val="both"/>
        <w:rPr>
          <w:rFonts w:cstheme="minorHAnsi"/>
        </w:rPr>
      </w:pPr>
      <w:hyperlink r:id="rId10" w:history="1">
        <w:r w:rsidR="00047EB6" w:rsidRPr="002A2B65">
          <w:rPr>
            <w:rStyle w:val="Hypertextovodkaz"/>
            <w:rFonts w:cstheme="minorHAnsi"/>
          </w:rPr>
          <w:t>www.apef.cz</w:t>
        </w:r>
      </w:hyperlink>
      <w:r w:rsidR="00047EB6" w:rsidRPr="002A2B65">
        <w:rPr>
          <w:rFonts w:cstheme="minorHAnsi"/>
        </w:rPr>
        <w:t xml:space="preserve"> </w:t>
      </w:r>
    </w:p>
    <w:p w14:paraId="7B50A58D" w14:textId="77777777" w:rsidR="00047EB6" w:rsidRPr="002A2B65" w:rsidRDefault="00047EB6" w:rsidP="00047EB6">
      <w:pPr>
        <w:tabs>
          <w:tab w:val="left" w:pos="1843"/>
        </w:tabs>
        <w:spacing w:after="0"/>
        <w:jc w:val="both"/>
        <w:rPr>
          <w:rFonts w:cstheme="minorHAnsi"/>
        </w:rPr>
      </w:pPr>
    </w:p>
    <w:p w14:paraId="57E3B65F" w14:textId="77777777" w:rsidR="00047EB6" w:rsidRPr="002A2B65" w:rsidRDefault="00047EB6" w:rsidP="00047EB6">
      <w:pPr>
        <w:tabs>
          <w:tab w:val="left" w:pos="1843"/>
        </w:tabs>
        <w:spacing w:after="0"/>
        <w:jc w:val="both"/>
        <w:rPr>
          <w:rFonts w:cstheme="minorHAnsi"/>
          <w:u w:val="single"/>
        </w:rPr>
      </w:pPr>
      <w:bookmarkStart w:id="12" w:name="_Toc518115758"/>
      <w:bookmarkEnd w:id="11"/>
      <w:r w:rsidRPr="002A2B65">
        <w:rPr>
          <w:rFonts w:cstheme="minorHAnsi"/>
          <w:u w:val="single"/>
        </w:rPr>
        <w:t>Poddodavatelé</w:t>
      </w:r>
      <w:bookmarkEnd w:id="1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83"/>
      </w:tblGrid>
      <w:tr w:rsidR="00047EB6" w:rsidRPr="002A2B65" w14:paraId="4F1BF3A0" w14:textId="77777777" w:rsidTr="00047EB6">
        <w:tc>
          <w:tcPr>
            <w:tcW w:w="4829" w:type="dxa"/>
          </w:tcPr>
          <w:p w14:paraId="55D84EA6" w14:textId="77777777" w:rsidR="00047EB6" w:rsidRPr="002A2B65" w:rsidRDefault="00047EB6" w:rsidP="00047EB6">
            <w:pPr>
              <w:tabs>
                <w:tab w:val="left" w:pos="1843"/>
              </w:tabs>
              <w:jc w:val="both"/>
              <w:rPr>
                <w:rFonts w:cstheme="minorHAnsi"/>
              </w:rPr>
            </w:pPr>
            <w:r w:rsidRPr="002A2B65">
              <w:rPr>
                <w:rFonts w:cstheme="minorHAnsi"/>
              </w:rPr>
              <w:t>EUFC CZ, s.r.o.</w:t>
            </w:r>
          </w:p>
          <w:p w14:paraId="664E24F9" w14:textId="77777777" w:rsidR="00047EB6" w:rsidRPr="002A2B65" w:rsidRDefault="00047EB6" w:rsidP="00047EB6">
            <w:pPr>
              <w:tabs>
                <w:tab w:val="left" w:pos="1843"/>
              </w:tabs>
              <w:jc w:val="both"/>
              <w:rPr>
                <w:rFonts w:cstheme="minorHAnsi"/>
              </w:rPr>
            </w:pPr>
            <w:r w:rsidRPr="002A2B65">
              <w:rPr>
                <w:rFonts w:cstheme="minorHAnsi"/>
              </w:rPr>
              <w:t>Popelova 399/75</w:t>
            </w:r>
          </w:p>
          <w:p w14:paraId="5EED4929" w14:textId="77777777" w:rsidR="00047EB6" w:rsidRPr="002A2B65" w:rsidRDefault="00047EB6" w:rsidP="00047EB6">
            <w:pPr>
              <w:tabs>
                <w:tab w:val="left" w:pos="1843"/>
              </w:tabs>
              <w:jc w:val="both"/>
              <w:rPr>
                <w:rFonts w:cstheme="minorHAnsi"/>
              </w:rPr>
            </w:pPr>
            <w:r w:rsidRPr="002A2B65">
              <w:rPr>
                <w:rFonts w:cstheme="minorHAnsi"/>
              </w:rPr>
              <w:t>620 00 Brno</w:t>
            </w:r>
          </w:p>
          <w:p w14:paraId="501C8887" w14:textId="77777777" w:rsidR="00047EB6" w:rsidRPr="002A2B65" w:rsidRDefault="00047EB6" w:rsidP="00047EB6">
            <w:pPr>
              <w:tabs>
                <w:tab w:val="left" w:pos="1843"/>
              </w:tabs>
              <w:jc w:val="both"/>
              <w:rPr>
                <w:rFonts w:cstheme="minorHAnsi"/>
              </w:rPr>
            </w:pPr>
            <w:r w:rsidRPr="002A2B65">
              <w:rPr>
                <w:rFonts w:cstheme="minorHAnsi"/>
              </w:rPr>
              <w:t>IČ: 26942364</w:t>
            </w:r>
          </w:p>
          <w:p w14:paraId="71AE8CB0" w14:textId="77777777" w:rsidR="00047EB6" w:rsidRPr="002A2B65" w:rsidRDefault="00E12F39" w:rsidP="00047EB6">
            <w:pPr>
              <w:tabs>
                <w:tab w:val="left" w:pos="1843"/>
              </w:tabs>
              <w:jc w:val="both"/>
              <w:rPr>
                <w:rFonts w:cstheme="minorHAnsi"/>
              </w:rPr>
            </w:pPr>
            <w:hyperlink r:id="rId11" w:history="1">
              <w:r w:rsidR="00047EB6" w:rsidRPr="002A2B65">
                <w:rPr>
                  <w:rStyle w:val="Hypertextovodkaz"/>
                  <w:rFonts w:cstheme="minorHAnsi"/>
                </w:rPr>
                <w:t>www.eufc.cz</w:t>
              </w:r>
            </w:hyperlink>
            <w:r w:rsidR="00047EB6" w:rsidRPr="002A2B65">
              <w:rPr>
                <w:rFonts w:cstheme="minorHAnsi"/>
              </w:rPr>
              <w:t xml:space="preserve"> </w:t>
            </w:r>
          </w:p>
          <w:p w14:paraId="5058407C" w14:textId="77777777" w:rsidR="00047EB6" w:rsidRPr="002A2B65" w:rsidRDefault="00047EB6" w:rsidP="00047EB6">
            <w:pPr>
              <w:tabs>
                <w:tab w:val="left" w:pos="1843"/>
              </w:tabs>
              <w:jc w:val="both"/>
              <w:rPr>
                <w:rFonts w:cstheme="minorHAnsi"/>
              </w:rPr>
            </w:pPr>
          </w:p>
        </w:tc>
        <w:tc>
          <w:tcPr>
            <w:tcW w:w="4829" w:type="dxa"/>
          </w:tcPr>
          <w:p w14:paraId="64AEBB52" w14:textId="77777777" w:rsidR="00047EB6" w:rsidRPr="002A2B65" w:rsidRDefault="00047EB6" w:rsidP="00047EB6">
            <w:pPr>
              <w:tabs>
                <w:tab w:val="left" w:pos="1843"/>
              </w:tabs>
              <w:jc w:val="both"/>
              <w:rPr>
                <w:rFonts w:cstheme="minorHAnsi"/>
              </w:rPr>
            </w:pPr>
            <w:r w:rsidRPr="002A2B65">
              <w:rPr>
                <w:rFonts w:cstheme="minorHAnsi"/>
              </w:rPr>
              <w:t>enovation s.r.o.</w:t>
            </w:r>
          </w:p>
          <w:p w14:paraId="1E5536AC" w14:textId="77777777" w:rsidR="00047EB6" w:rsidRPr="002A2B65" w:rsidRDefault="00047EB6" w:rsidP="00047EB6">
            <w:pPr>
              <w:tabs>
                <w:tab w:val="left" w:pos="1843"/>
              </w:tabs>
              <w:jc w:val="both"/>
              <w:rPr>
                <w:rFonts w:cstheme="minorHAnsi"/>
              </w:rPr>
            </w:pPr>
            <w:r w:rsidRPr="002A2B65">
              <w:rPr>
                <w:rFonts w:cstheme="minorHAnsi"/>
              </w:rPr>
              <w:t>Na Příkopě 583/15</w:t>
            </w:r>
          </w:p>
          <w:p w14:paraId="461F1DF4" w14:textId="77777777" w:rsidR="00047EB6" w:rsidRPr="002A2B65" w:rsidRDefault="00047EB6" w:rsidP="00047EB6">
            <w:pPr>
              <w:tabs>
                <w:tab w:val="left" w:pos="1843"/>
              </w:tabs>
              <w:jc w:val="both"/>
              <w:rPr>
                <w:rFonts w:cstheme="minorHAnsi"/>
              </w:rPr>
            </w:pPr>
            <w:r w:rsidRPr="002A2B65">
              <w:rPr>
                <w:rFonts w:cstheme="minorHAnsi"/>
              </w:rPr>
              <w:t>110 00 Praha 1</w:t>
            </w:r>
          </w:p>
          <w:p w14:paraId="32CCFFB2" w14:textId="77777777" w:rsidR="00047EB6" w:rsidRPr="002A2B65" w:rsidRDefault="00047EB6" w:rsidP="00047EB6">
            <w:pPr>
              <w:tabs>
                <w:tab w:val="left" w:pos="1843"/>
              </w:tabs>
              <w:jc w:val="both"/>
              <w:rPr>
                <w:rFonts w:cstheme="minorHAnsi"/>
              </w:rPr>
            </w:pPr>
            <w:r w:rsidRPr="002A2B65">
              <w:rPr>
                <w:rFonts w:cstheme="minorHAnsi"/>
              </w:rPr>
              <w:t>IČ: 27909751</w:t>
            </w:r>
          </w:p>
          <w:p w14:paraId="7D7A1246" w14:textId="77777777" w:rsidR="00047EB6" w:rsidRPr="002A2B65" w:rsidRDefault="00E12F39" w:rsidP="00047EB6">
            <w:pPr>
              <w:tabs>
                <w:tab w:val="left" w:pos="1843"/>
              </w:tabs>
              <w:jc w:val="both"/>
              <w:rPr>
                <w:rFonts w:cstheme="minorHAnsi"/>
              </w:rPr>
            </w:pPr>
            <w:hyperlink r:id="rId12" w:history="1">
              <w:r w:rsidR="00047EB6" w:rsidRPr="002A2B65">
                <w:rPr>
                  <w:rStyle w:val="Hypertextovodkaz"/>
                  <w:rFonts w:cstheme="minorHAnsi"/>
                </w:rPr>
                <w:t>www.enovation.cz</w:t>
              </w:r>
            </w:hyperlink>
          </w:p>
        </w:tc>
      </w:tr>
      <w:tr w:rsidR="00047EB6" w:rsidRPr="002A2B65" w14:paraId="13DCC859" w14:textId="77777777" w:rsidTr="00047EB6">
        <w:tc>
          <w:tcPr>
            <w:tcW w:w="4829" w:type="dxa"/>
          </w:tcPr>
          <w:p w14:paraId="7E5E260D" w14:textId="77777777" w:rsidR="00047EB6" w:rsidRPr="002A2B65" w:rsidRDefault="00047EB6" w:rsidP="00047EB6">
            <w:pPr>
              <w:tabs>
                <w:tab w:val="left" w:pos="1843"/>
              </w:tabs>
              <w:jc w:val="both"/>
              <w:rPr>
                <w:rFonts w:cstheme="minorHAnsi"/>
              </w:rPr>
            </w:pPr>
            <w:r w:rsidRPr="002A2B65">
              <w:rPr>
                <w:rFonts w:cstheme="minorHAnsi"/>
              </w:rPr>
              <w:t>Evaluation Advisory CE s.r.o.</w:t>
            </w:r>
          </w:p>
          <w:p w14:paraId="7CE6B442" w14:textId="77777777" w:rsidR="00047EB6" w:rsidRPr="002A2B65" w:rsidRDefault="00047EB6" w:rsidP="00047EB6">
            <w:pPr>
              <w:tabs>
                <w:tab w:val="left" w:pos="1843"/>
              </w:tabs>
              <w:jc w:val="both"/>
              <w:rPr>
                <w:rFonts w:cstheme="minorHAnsi"/>
              </w:rPr>
            </w:pPr>
            <w:r w:rsidRPr="002A2B65">
              <w:rPr>
                <w:rFonts w:cstheme="minorHAnsi"/>
              </w:rPr>
              <w:t>Křižíkova 2987/70b</w:t>
            </w:r>
          </w:p>
          <w:p w14:paraId="399E4BA0" w14:textId="77777777" w:rsidR="00047EB6" w:rsidRPr="002A2B65" w:rsidRDefault="00047EB6" w:rsidP="00047EB6">
            <w:pPr>
              <w:tabs>
                <w:tab w:val="left" w:pos="1843"/>
              </w:tabs>
              <w:jc w:val="both"/>
              <w:rPr>
                <w:rFonts w:cstheme="minorHAnsi"/>
              </w:rPr>
            </w:pPr>
            <w:r w:rsidRPr="002A2B65">
              <w:rPr>
                <w:rFonts w:cstheme="minorHAnsi"/>
              </w:rPr>
              <w:t>612 00 Brno</w:t>
            </w:r>
          </w:p>
          <w:p w14:paraId="08C81883" w14:textId="77777777" w:rsidR="00047EB6" w:rsidRPr="002A2B65" w:rsidRDefault="00047EB6" w:rsidP="00047EB6">
            <w:pPr>
              <w:tabs>
                <w:tab w:val="left" w:pos="1843"/>
              </w:tabs>
              <w:jc w:val="both"/>
              <w:rPr>
                <w:rFonts w:cstheme="minorHAnsi"/>
              </w:rPr>
            </w:pPr>
            <w:r w:rsidRPr="002A2B65">
              <w:rPr>
                <w:rFonts w:cstheme="minorHAnsi"/>
              </w:rPr>
              <w:t>IČ: 25342282</w:t>
            </w:r>
          </w:p>
          <w:p w14:paraId="7F6115D4" w14:textId="77777777" w:rsidR="00047EB6" w:rsidRPr="002A2B65" w:rsidRDefault="00E12F39" w:rsidP="00047EB6">
            <w:pPr>
              <w:tabs>
                <w:tab w:val="left" w:pos="1843"/>
              </w:tabs>
              <w:jc w:val="both"/>
              <w:rPr>
                <w:rFonts w:cstheme="minorHAnsi"/>
              </w:rPr>
            </w:pPr>
            <w:hyperlink r:id="rId13" w:history="1">
              <w:r w:rsidR="00047EB6" w:rsidRPr="002A2B65">
                <w:rPr>
                  <w:rStyle w:val="Hypertextovodkaz"/>
                  <w:rFonts w:cstheme="minorHAnsi"/>
                </w:rPr>
                <w:t>www.eace.cz</w:t>
              </w:r>
            </w:hyperlink>
            <w:r w:rsidR="00047EB6" w:rsidRPr="002A2B65">
              <w:rPr>
                <w:rFonts w:cstheme="minorHAnsi"/>
              </w:rPr>
              <w:t xml:space="preserve"> </w:t>
            </w:r>
          </w:p>
        </w:tc>
        <w:tc>
          <w:tcPr>
            <w:tcW w:w="4829" w:type="dxa"/>
          </w:tcPr>
          <w:p w14:paraId="4A8F67B7" w14:textId="77777777" w:rsidR="00047EB6" w:rsidRPr="002A2B65" w:rsidRDefault="00047EB6" w:rsidP="00047EB6">
            <w:pPr>
              <w:tabs>
                <w:tab w:val="left" w:pos="1843"/>
              </w:tabs>
              <w:jc w:val="both"/>
              <w:rPr>
                <w:rFonts w:cstheme="minorHAnsi"/>
              </w:rPr>
            </w:pPr>
            <w:r w:rsidRPr="002A2B65">
              <w:rPr>
                <w:rFonts w:cstheme="minorHAnsi"/>
              </w:rPr>
              <w:t>SANCHO PANZA, s.r.o.</w:t>
            </w:r>
          </w:p>
          <w:p w14:paraId="7A8AC180" w14:textId="77777777" w:rsidR="00047EB6" w:rsidRPr="002A2B65" w:rsidRDefault="00047EB6" w:rsidP="00047EB6">
            <w:pPr>
              <w:tabs>
                <w:tab w:val="left" w:pos="1843"/>
              </w:tabs>
              <w:jc w:val="both"/>
              <w:rPr>
                <w:rFonts w:cstheme="minorHAnsi"/>
              </w:rPr>
            </w:pPr>
            <w:r w:rsidRPr="002A2B65">
              <w:rPr>
                <w:rFonts w:cstheme="minorHAnsi"/>
              </w:rPr>
              <w:t>V Aleji 264/2</w:t>
            </w:r>
          </w:p>
          <w:p w14:paraId="382E4C87" w14:textId="77777777" w:rsidR="00047EB6" w:rsidRPr="002A2B65" w:rsidRDefault="00047EB6" w:rsidP="00047EB6">
            <w:pPr>
              <w:tabs>
                <w:tab w:val="left" w:pos="1843"/>
              </w:tabs>
              <w:jc w:val="both"/>
              <w:rPr>
                <w:rFonts w:cstheme="minorHAnsi"/>
              </w:rPr>
            </w:pPr>
            <w:r w:rsidRPr="002A2B65">
              <w:rPr>
                <w:rFonts w:cstheme="minorHAnsi"/>
              </w:rPr>
              <w:t>360 06 Karlovy Vary</w:t>
            </w:r>
          </w:p>
          <w:p w14:paraId="633AA8A3" w14:textId="77777777" w:rsidR="00047EB6" w:rsidRPr="002A2B65" w:rsidRDefault="00047EB6" w:rsidP="00047EB6">
            <w:pPr>
              <w:tabs>
                <w:tab w:val="left" w:pos="1843"/>
              </w:tabs>
              <w:jc w:val="both"/>
              <w:rPr>
                <w:rFonts w:cstheme="minorHAnsi"/>
              </w:rPr>
            </w:pPr>
            <w:r w:rsidRPr="002A2B65">
              <w:rPr>
                <w:rFonts w:cstheme="minorHAnsi"/>
              </w:rPr>
              <w:t>IČ: 25207555</w:t>
            </w:r>
          </w:p>
          <w:p w14:paraId="5C646DFF" w14:textId="77777777" w:rsidR="00047EB6" w:rsidRPr="002A2B65" w:rsidRDefault="00E12F39" w:rsidP="00047EB6">
            <w:pPr>
              <w:tabs>
                <w:tab w:val="left" w:pos="1843"/>
              </w:tabs>
              <w:jc w:val="both"/>
              <w:rPr>
                <w:rFonts w:cstheme="minorHAnsi"/>
              </w:rPr>
            </w:pPr>
            <w:hyperlink r:id="rId14" w:history="1">
              <w:r w:rsidR="00047EB6" w:rsidRPr="002A2B65">
                <w:rPr>
                  <w:rStyle w:val="Hypertextovodkaz"/>
                  <w:rFonts w:cstheme="minorHAnsi"/>
                </w:rPr>
                <w:t>www.sanchopanza.cz</w:t>
              </w:r>
            </w:hyperlink>
            <w:r w:rsidR="00047EB6" w:rsidRPr="002A2B65">
              <w:rPr>
                <w:rFonts w:cstheme="minorHAnsi"/>
              </w:rPr>
              <w:t xml:space="preserve"> </w:t>
            </w:r>
          </w:p>
        </w:tc>
      </w:tr>
    </w:tbl>
    <w:p w14:paraId="080A491D" w14:textId="77777777" w:rsidR="00EC5DAA" w:rsidRDefault="00EC5DAA" w:rsidP="00E118FD">
      <w:pPr>
        <w:tabs>
          <w:tab w:val="left" w:pos="1843"/>
        </w:tabs>
        <w:spacing w:after="0"/>
        <w:jc w:val="both"/>
        <w:rPr>
          <w:rFonts w:ascii="Calibri" w:hAnsi="Calibri" w:cs="Calibri"/>
        </w:rPr>
      </w:pPr>
    </w:p>
    <w:p w14:paraId="0DA38C5E" w14:textId="77777777" w:rsidR="0092260F" w:rsidRPr="00B61281" w:rsidRDefault="0092260F" w:rsidP="00053DA8">
      <w:pPr>
        <w:pStyle w:val="Nadpis2"/>
        <w:ind w:left="578" w:hanging="578"/>
      </w:pPr>
      <w:bookmarkStart w:id="13" w:name="_Toc472871707"/>
      <w:bookmarkStart w:id="14" w:name="_Toc4596801"/>
      <w:bookmarkStart w:id="15" w:name="_Toc10729905"/>
      <w:r w:rsidRPr="00B61281">
        <w:t>Cíle evaluačního projektu</w:t>
      </w:r>
      <w:bookmarkEnd w:id="13"/>
      <w:bookmarkEnd w:id="14"/>
      <w:bookmarkEnd w:id="15"/>
    </w:p>
    <w:p w14:paraId="248D1A9E" w14:textId="354AA412" w:rsidR="00047EB6" w:rsidRDefault="00047EB6" w:rsidP="00131C2F">
      <w:pPr>
        <w:spacing w:after="0"/>
        <w:jc w:val="both"/>
        <w:rPr>
          <w:rFonts w:cstheme="minorHAnsi"/>
        </w:rPr>
      </w:pPr>
      <w:r w:rsidRPr="002A2B65">
        <w:rPr>
          <w:rFonts w:cstheme="minorHAnsi"/>
        </w:rPr>
        <w:t xml:space="preserve">Cílem evaluačního projektu je posoudit, jak podpora z Evropských strukturálních a investičních fondů přispěla a přispívá k dosahování specifických cílů (SC) 3.1, 3.2 a 3.4 Operačního programu Podnikání a inovace pro konkurenceschopnost 2014 – 2020 (OP PIK) na úrovni jednotlivých programů podpory včetně hodnocení principů 3E. </w:t>
      </w:r>
    </w:p>
    <w:p w14:paraId="0B850C87" w14:textId="77777777" w:rsidR="00131C2F" w:rsidRPr="002A2B65" w:rsidRDefault="00131C2F" w:rsidP="00131C2F">
      <w:pPr>
        <w:spacing w:after="0"/>
        <w:jc w:val="both"/>
        <w:rPr>
          <w:rFonts w:cstheme="minorHAnsi"/>
        </w:rPr>
      </w:pPr>
    </w:p>
    <w:p w14:paraId="279106CF" w14:textId="63069FC2" w:rsidR="00047EB6" w:rsidRDefault="00047EB6" w:rsidP="00131C2F">
      <w:pPr>
        <w:spacing w:after="0"/>
        <w:jc w:val="both"/>
        <w:rPr>
          <w:rFonts w:cstheme="minorHAnsi"/>
        </w:rPr>
      </w:pPr>
      <w:r w:rsidRPr="002A2B65">
        <w:rPr>
          <w:rFonts w:cstheme="minorHAnsi"/>
        </w:rPr>
        <w:t>Tato evaluace představuje svým charakterem evaluaci typu ongoing, tj. provádí se plánovaně v průběhu programovacího období pro zlepšení systému realizace operačního programu a efektivnějšího nastavení intervencí v příštích letech.</w:t>
      </w:r>
    </w:p>
    <w:p w14:paraId="102BD41C" w14:textId="77777777" w:rsidR="00131C2F" w:rsidRPr="002A2B65" w:rsidRDefault="00131C2F" w:rsidP="00131C2F">
      <w:pPr>
        <w:spacing w:after="0"/>
        <w:jc w:val="both"/>
        <w:rPr>
          <w:rFonts w:cstheme="minorHAnsi"/>
        </w:rPr>
      </w:pPr>
    </w:p>
    <w:p w14:paraId="01BEFEBB" w14:textId="77777777" w:rsidR="00047EB6" w:rsidRPr="002A2B65" w:rsidRDefault="00047EB6" w:rsidP="00131C2F">
      <w:pPr>
        <w:keepNext/>
        <w:spacing w:after="0"/>
        <w:jc w:val="both"/>
        <w:rPr>
          <w:rFonts w:cstheme="minorHAnsi"/>
        </w:rPr>
      </w:pPr>
      <w:r w:rsidRPr="002A2B65">
        <w:rPr>
          <w:rFonts w:cstheme="minorHAnsi"/>
        </w:rPr>
        <w:t>Předmětem evaluace je:</w:t>
      </w:r>
    </w:p>
    <w:p w14:paraId="173F0302" w14:textId="77777777" w:rsidR="00047EB6" w:rsidRPr="002A2B65" w:rsidRDefault="00047EB6" w:rsidP="00131C2F">
      <w:pPr>
        <w:numPr>
          <w:ilvl w:val="0"/>
          <w:numId w:val="7"/>
        </w:numPr>
        <w:spacing w:after="0"/>
        <w:jc w:val="both"/>
        <w:rPr>
          <w:rFonts w:cstheme="minorHAnsi"/>
        </w:rPr>
      </w:pPr>
      <w:r w:rsidRPr="002A2B65">
        <w:rPr>
          <w:rFonts w:cstheme="minorHAnsi"/>
        </w:rPr>
        <w:t>Provést zhodnocení toho, zda bylo skutečně dosaženo, resp. je dosahováno plánovaných výsledků SC</w:t>
      </w:r>
      <w:r>
        <w:rPr>
          <w:rFonts w:cstheme="minorHAnsi"/>
        </w:rPr>
        <w:t> </w:t>
      </w:r>
      <w:r w:rsidRPr="002A2B65">
        <w:rPr>
          <w:rFonts w:cstheme="minorHAnsi"/>
        </w:rPr>
        <w:t>3.1, 3.2 a 3.4 a</w:t>
      </w:r>
    </w:p>
    <w:p w14:paraId="67632A9C" w14:textId="7C74E898" w:rsidR="00047EB6" w:rsidRDefault="00047EB6" w:rsidP="00131C2F">
      <w:pPr>
        <w:numPr>
          <w:ilvl w:val="0"/>
          <w:numId w:val="7"/>
        </w:numPr>
        <w:spacing w:after="0"/>
        <w:jc w:val="both"/>
        <w:rPr>
          <w:rFonts w:cstheme="minorHAnsi"/>
        </w:rPr>
      </w:pPr>
      <w:r w:rsidRPr="002A2B65">
        <w:rPr>
          <w:rFonts w:cstheme="minorHAnsi"/>
        </w:rPr>
        <w:t>poskytnout objednateli doporučení směřující k efektivnějšímu nastavení intervencí v předmětných SC ve zbývající části programovacího období 2014 – 2020.</w:t>
      </w:r>
    </w:p>
    <w:p w14:paraId="2C0C18CA" w14:textId="77777777" w:rsidR="00131C2F" w:rsidRPr="002A2B65" w:rsidRDefault="00131C2F" w:rsidP="00131C2F">
      <w:pPr>
        <w:spacing w:after="0"/>
        <w:ind w:left="720"/>
        <w:jc w:val="both"/>
        <w:rPr>
          <w:rFonts w:cstheme="minorHAnsi"/>
        </w:rPr>
      </w:pPr>
    </w:p>
    <w:p w14:paraId="40A6FC16" w14:textId="77777777" w:rsidR="0092260F" w:rsidRPr="00B61281" w:rsidRDefault="0092260F" w:rsidP="00053DA8">
      <w:pPr>
        <w:pStyle w:val="Nadpis2"/>
        <w:ind w:left="578" w:hanging="578"/>
      </w:pPr>
      <w:bookmarkStart w:id="16" w:name="_Toc472871708"/>
      <w:bookmarkStart w:id="17" w:name="_Toc4596802"/>
      <w:bookmarkStart w:id="18" w:name="_Toc10729906"/>
      <w:r w:rsidRPr="00B61281">
        <w:t>Účel zprávy</w:t>
      </w:r>
      <w:bookmarkEnd w:id="16"/>
      <w:bookmarkEnd w:id="17"/>
      <w:bookmarkEnd w:id="18"/>
    </w:p>
    <w:p w14:paraId="1DFF309C" w14:textId="18085CC6" w:rsidR="00047EB6" w:rsidRDefault="00047EB6" w:rsidP="00131C2F">
      <w:pPr>
        <w:spacing w:after="0"/>
        <w:rPr>
          <w:rFonts w:ascii="Calibri" w:hAnsi="Calibri" w:cs="Calibri"/>
        </w:rPr>
      </w:pPr>
      <w:bookmarkStart w:id="19" w:name="_Toc4596803"/>
      <w:r w:rsidRPr="00A10392">
        <w:rPr>
          <w:rFonts w:ascii="Calibri" w:hAnsi="Calibri" w:cs="Calibri"/>
        </w:rPr>
        <w:t xml:space="preserve">Účelem této zprávy je shrnout zjištění, ke kterým hodnotitel dospěl při řešení jednotlivých </w:t>
      </w:r>
      <w:r>
        <w:rPr>
          <w:rFonts w:ascii="Calibri" w:hAnsi="Calibri" w:cs="Calibri"/>
        </w:rPr>
        <w:t>evaluačních otázek</w:t>
      </w:r>
      <w:r w:rsidRPr="00A10392">
        <w:rPr>
          <w:rFonts w:ascii="Calibri" w:hAnsi="Calibri" w:cs="Calibri"/>
        </w:rPr>
        <w:t xml:space="preserve">, poskytnout </w:t>
      </w:r>
      <w:r>
        <w:rPr>
          <w:rFonts w:ascii="Calibri" w:hAnsi="Calibri" w:cs="Calibri"/>
        </w:rPr>
        <w:t>objednateli</w:t>
      </w:r>
      <w:r w:rsidRPr="00A10392">
        <w:rPr>
          <w:rFonts w:ascii="Calibri" w:hAnsi="Calibri" w:cs="Calibri"/>
        </w:rPr>
        <w:t xml:space="preserve"> informace o průběhu prací</w:t>
      </w:r>
      <w:r w:rsidR="009B65FC">
        <w:rPr>
          <w:rFonts w:ascii="Calibri" w:hAnsi="Calibri" w:cs="Calibri"/>
        </w:rPr>
        <w:t>,</w:t>
      </w:r>
      <w:r w:rsidRPr="00A10392">
        <w:rPr>
          <w:rFonts w:ascii="Calibri" w:hAnsi="Calibri" w:cs="Calibri"/>
        </w:rPr>
        <w:t xml:space="preserve"> aplikovaným postupem při zpracování zakázky, provedenými aktivitami a zpracovanými výstupy. </w:t>
      </w:r>
    </w:p>
    <w:p w14:paraId="61F8832C" w14:textId="77777777" w:rsidR="00047EB6" w:rsidRPr="00A10392" w:rsidRDefault="00047EB6" w:rsidP="00131C2F">
      <w:pPr>
        <w:spacing w:after="0"/>
        <w:rPr>
          <w:rFonts w:ascii="Calibri" w:hAnsi="Calibri" w:cs="Calibri"/>
        </w:rPr>
      </w:pPr>
    </w:p>
    <w:p w14:paraId="2B83D0B4" w14:textId="77777777" w:rsidR="00131C2F" w:rsidRDefault="00131C2F" w:rsidP="009F01A8">
      <w:pPr>
        <w:spacing w:after="0"/>
        <w:rPr>
          <w:rFonts w:ascii="Calibri" w:hAnsi="Calibri" w:cs="Calibri"/>
        </w:rPr>
      </w:pPr>
      <w:r w:rsidRPr="00A10392">
        <w:rPr>
          <w:rFonts w:ascii="Calibri" w:hAnsi="Calibri" w:cs="Calibri"/>
        </w:rPr>
        <w:t xml:space="preserve">Na základě realizovaných aktivit hodnotitele obsahuje předkládaná Závěrečná zpráva (ZZ) sumarizované informace a </w:t>
      </w:r>
      <w:r>
        <w:rPr>
          <w:rFonts w:ascii="Calibri" w:hAnsi="Calibri" w:cs="Calibri"/>
        </w:rPr>
        <w:t>zjištění týkající se zhodnocení dosažených výsledků OP PIK v části zaměřené na:</w:t>
      </w:r>
    </w:p>
    <w:p w14:paraId="7AEA4AE0" w14:textId="74468E2D" w:rsidR="00131C2F" w:rsidRPr="00DA0282" w:rsidRDefault="00131C2F" w:rsidP="009F01A8">
      <w:pPr>
        <w:pStyle w:val="Odstavecseseznamem"/>
        <w:numPr>
          <w:ilvl w:val="0"/>
          <w:numId w:val="34"/>
        </w:numPr>
        <w:spacing w:line="276" w:lineRule="auto"/>
        <w:rPr>
          <w:rFonts w:ascii="Calibri" w:hAnsi="Calibri" w:cs="Calibri"/>
          <w:sz w:val="22"/>
          <w:szCs w:val="22"/>
        </w:rPr>
      </w:pPr>
      <w:r>
        <w:rPr>
          <w:rFonts w:ascii="Calibri" w:hAnsi="Calibri" w:cs="Calibri"/>
          <w:sz w:val="22"/>
          <w:szCs w:val="22"/>
        </w:rPr>
        <w:t>Z</w:t>
      </w:r>
      <w:r w:rsidRPr="00DA0282">
        <w:rPr>
          <w:rFonts w:ascii="Calibri" w:hAnsi="Calibri" w:cs="Calibri"/>
          <w:sz w:val="22"/>
          <w:szCs w:val="22"/>
        </w:rPr>
        <w:t>výšení podílu výroby energie z obnovitelných zdrojů na hrubé konečné spotřebě energie v ČR</w:t>
      </w:r>
    </w:p>
    <w:p w14:paraId="09476A24" w14:textId="30D4F864" w:rsidR="00131C2F" w:rsidRPr="00DA0282" w:rsidRDefault="00131C2F" w:rsidP="009F01A8">
      <w:pPr>
        <w:pStyle w:val="Odstavecseseznamem"/>
        <w:numPr>
          <w:ilvl w:val="0"/>
          <w:numId w:val="34"/>
        </w:numPr>
        <w:spacing w:line="276" w:lineRule="auto"/>
        <w:rPr>
          <w:rFonts w:ascii="Calibri" w:hAnsi="Calibri" w:cs="Calibri"/>
          <w:sz w:val="22"/>
          <w:szCs w:val="22"/>
        </w:rPr>
      </w:pPr>
      <w:r>
        <w:rPr>
          <w:rFonts w:ascii="Calibri" w:hAnsi="Calibri" w:cs="Calibri"/>
          <w:sz w:val="22"/>
          <w:szCs w:val="22"/>
        </w:rPr>
        <w:t>Z</w:t>
      </w:r>
      <w:r w:rsidRPr="00DA0282">
        <w:rPr>
          <w:rFonts w:ascii="Calibri" w:hAnsi="Calibri" w:cs="Calibri"/>
          <w:sz w:val="22"/>
          <w:szCs w:val="22"/>
        </w:rPr>
        <w:t>výšení energetické účinnosti podnikatelského sektoru</w:t>
      </w:r>
    </w:p>
    <w:p w14:paraId="13BF96CF" w14:textId="2F2BE5D7" w:rsidR="00131C2F" w:rsidRPr="00DA0282" w:rsidRDefault="00131C2F" w:rsidP="009F01A8">
      <w:pPr>
        <w:pStyle w:val="Odstavecseseznamem"/>
        <w:numPr>
          <w:ilvl w:val="0"/>
          <w:numId w:val="34"/>
        </w:numPr>
        <w:spacing w:line="276" w:lineRule="auto"/>
        <w:rPr>
          <w:rFonts w:ascii="Calibri" w:hAnsi="Calibri" w:cs="Calibri"/>
          <w:sz w:val="22"/>
          <w:szCs w:val="22"/>
        </w:rPr>
      </w:pPr>
      <w:r>
        <w:rPr>
          <w:rFonts w:ascii="Calibri" w:hAnsi="Calibri" w:cs="Calibri"/>
          <w:sz w:val="22"/>
          <w:szCs w:val="22"/>
        </w:rPr>
        <w:t>V</w:t>
      </w:r>
      <w:r w:rsidRPr="00DA0282">
        <w:rPr>
          <w:rFonts w:ascii="Calibri" w:hAnsi="Calibri" w:cs="Calibri"/>
          <w:sz w:val="22"/>
          <w:szCs w:val="22"/>
        </w:rPr>
        <w:t>yšší uplatnění inovativních nízkouhlíkových technologií v oblasti nakládání energií a získávání a využívání druhotných surovin</w:t>
      </w:r>
    </w:p>
    <w:p w14:paraId="0187D66B" w14:textId="7439F6A4" w:rsidR="00047EB6" w:rsidRPr="00A10392" w:rsidRDefault="00047EB6" w:rsidP="009F01A8">
      <w:pPr>
        <w:spacing w:after="0"/>
      </w:pPr>
      <w:r>
        <w:t xml:space="preserve"> </w:t>
      </w:r>
    </w:p>
    <w:p w14:paraId="77B80FAF" w14:textId="77777777" w:rsidR="00053DA8" w:rsidRDefault="00053DA8" w:rsidP="00053DA8">
      <w:pPr>
        <w:pStyle w:val="Nadpis2"/>
        <w:ind w:left="578" w:hanging="578"/>
      </w:pPr>
      <w:bookmarkStart w:id="20" w:name="_Toc10729907"/>
      <w:r>
        <w:t>Průběh realizace evaluačního projektu a použitá metodologie</w:t>
      </w:r>
      <w:bookmarkEnd w:id="19"/>
      <w:bookmarkEnd w:id="20"/>
    </w:p>
    <w:p w14:paraId="1A97E2D4" w14:textId="77777777" w:rsidR="00047EB6" w:rsidRPr="007837BC" w:rsidRDefault="00047EB6" w:rsidP="00047EB6">
      <w:pPr>
        <w:spacing w:after="0"/>
        <w:rPr>
          <w:rFonts w:ascii="Calibri" w:hAnsi="Calibri" w:cs="Calibri"/>
        </w:rPr>
      </w:pPr>
      <w:r>
        <w:rPr>
          <w:rFonts w:ascii="Calibri" w:hAnsi="Calibri" w:cs="Calibri"/>
        </w:rPr>
        <w:t>Evaluační projekt byl realizován</w:t>
      </w:r>
      <w:r w:rsidRPr="007837BC">
        <w:rPr>
          <w:rFonts w:ascii="Calibri" w:hAnsi="Calibri" w:cs="Calibri"/>
        </w:rPr>
        <w:t xml:space="preserve"> ve 2 hlavních etapách a v souladu se zadáním obsaženým v zadávacích podmínkách k předmětné zakázce.  </w:t>
      </w:r>
    </w:p>
    <w:p w14:paraId="4FE5AE97" w14:textId="77777777" w:rsidR="00047EB6" w:rsidRDefault="00047EB6" w:rsidP="00047EB6">
      <w:pPr>
        <w:spacing w:after="0"/>
        <w:rPr>
          <w:rFonts w:ascii="Calibri" w:hAnsi="Calibri" w:cs="Calibri"/>
        </w:rPr>
      </w:pPr>
    </w:p>
    <w:p w14:paraId="3967ACF3" w14:textId="77777777" w:rsidR="00047EB6" w:rsidRPr="00F4459F" w:rsidRDefault="00047EB6" w:rsidP="00047EB6">
      <w:pPr>
        <w:spacing w:after="0"/>
        <w:rPr>
          <w:rFonts w:ascii="Calibri" w:hAnsi="Calibri" w:cs="Calibri"/>
          <w:b/>
          <w:i/>
        </w:rPr>
      </w:pPr>
      <w:r w:rsidRPr="00F4459F">
        <w:rPr>
          <w:rFonts w:ascii="Calibri" w:hAnsi="Calibri" w:cs="Calibri"/>
          <w:b/>
          <w:i/>
        </w:rPr>
        <w:t>Etapa 0</w:t>
      </w:r>
    </w:p>
    <w:p w14:paraId="1CD7CF4B" w14:textId="76A143C9" w:rsidR="00047EB6" w:rsidRPr="007837BC" w:rsidRDefault="00047EB6" w:rsidP="00047EB6">
      <w:pPr>
        <w:spacing w:after="0"/>
        <w:rPr>
          <w:rFonts w:ascii="Calibri" w:hAnsi="Calibri" w:cs="Calibri"/>
        </w:rPr>
      </w:pPr>
      <w:r w:rsidRPr="007837BC">
        <w:rPr>
          <w:rFonts w:ascii="Calibri" w:hAnsi="Calibri" w:cs="Calibri"/>
        </w:rPr>
        <w:t xml:space="preserve">Předmětem této etapy bylo uzavření smlouvy o dílo mezi zadavatelem a uchazečem. </w:t>
      </w:r>
      <w:r>
        <w:rPr>
          <w:rFonts w:ascii="Calibri" w:hAnsi="Calibri" w:cs="Calibri"/>
        </w:rPr>
        <w:t>Dnem účinnosti smlouvy o dílo (19. 12. 2018</w:t>
      </w:r>
      <w:r w:rsidRPr="007837BC">
        <w:rPr>
          <w:rFonts w:ascii="Calibri" w:hAnsi="Calibri" w:cs="Calibri"/>
        </w:rPr>
        <w:t>) bylo zahájeno plnění veřejné zakázky. Ve stejný den se uskutečnil rovněž kick-off meeting za účasti zástupců obou stran</w:t>
      </w:r>
      <w:r>
        <w:rPr>
          <w:rFonts w:ascii="Calibri" w:hAnsi="Calibri" w:cs="Calibri"/>
        </w:rPr>
        <w:t xml:space="preserve">. </w:t>
      </w:r>
      <w:r w:rsidRPr="002A2B65">
        <w:rPr>
          <w:rFonts w:cstheme="minorHAnsi"/>
        </w:rPr>
        <w:t>Součástí úvodní schůzky bylo představení záměru obou stran a diskuse o průběhu realizace evaluačního projektu a</w:t>
      </w:r>
      <w:r>
        <w:rPr>
          <w:rFonts w:cstheme="minorHAnsi"/>
        </w:rPr>
        <w:t> </w:t>
      </w:r>
      <w:r w:rsidRPr="002A2B65">
        <w:rPr>
          <w:rFonts w:cstheme="minorHAnsi"/>
        </w:rPr>
        <w:t>součinnosti, zejm. při předávání veřejně nedostupných dat a dalších informačních zdrojů.</w:t>
      </w:r>
    </w:p>
    <w:p w14:paraId="3ABF0419" w14:textId="77777777" w:rsidR="00047EB6" w:rsidRDefault="00047EB6" w:rsidP="00047EB6">
      <w:pPr>
        <w:spacing w:after="0"/>
        <w:rPr>
          <w:rFonts w:ascii="Calibri" w:hAnsi="Calibri" w:cs="Calibri"/>
        </w:rPr>
      </w:pPr>
    </w:p>
    <w:p w14:paraId="4D0D14F0" w14:textId="77777777" w:rsidR="00047EB6" w:rsidRPr="00F4459F" w:rsidRDefault="00047EB6" w:rsidP="00047EB6">
      <w:pPr>
        <w:spacing w:after="0"/>
        <w:rPr>
          <w:rFonts w:ascii="Calibri" w:hAnsi="Calibri" w:cs="Calibri"/>
          <w:b/>
        </w:rPr>
      </w:pPr>
      <w:r w:rsidRPr="00F4459F">
        <w:rPr>
          <w:rFonts w:ascii="Calibri" w:hAnsi="Calibri" w:cs="Calibri"/>
          <w:b/>
        </w:rPr>
        <w:t>Etapa 1</w:t>
      </w:r>
    </w:p>
    <w:p w14:paraId="09E91D92" w14:textId="77777777" w:rsidR="00047EB6" w:rsidRDefault="00047EB6" w:rsidP="00047EB6">
      <w:pPr>
        <w:spacing w:after="0"/>
        <w:rPr>
          <w:rFonts w:ascii="Calibri" w:hAnsi="Calibri" w:cs="Calibri"/>
        </w:rPr>
      </w:pPr>
      <w:r w:rsidRPr="00F4459F">
        <w:rPr>
          <w:rFonts w:ascii="Calibri" w:hAnsi="Calibri" w:cs="Calibri"/>
        </w:rPr>
        <w:t>V rámci první etapy řešení</w:t>
      </w:r>
      <w:r>
        <w:rPr>
          <w:rFonts w:ascii="Calibri" w:hAnsi="Calibri" w:cs="Calibri"/>
        </w:rPr>
        <w:t xml:space="preserve"> evaluačního </w:t>
      </w:r>
      <w:r w:rsidRPr="00F4459F">
        <w:rPr>
          <w:rFonts w:ascii="Calibri" w:hAnsi="Calibri" w:cs="Calibri"/>
        </w:rPr>
        <w:t>projektu byla pozornost zaměřena zejména na sběr a následné třídění dostupných datových zdrojů (veřejně dostupná dokumentace, neveřejné zdroje dat poskytnuté zadavatelem a individuální konzultace). Současně s tím byla prováděna analýza stakeholderů a na základě zjištění byla upřesněna metodika práce s daty. Výstupem první etapy plnění předm</w:t>
      </w:r>
      <w:r>
        <w:rPr>
          <w:rFonts w:ascii="Calibri" w:hAnsi="Calibri" w:cs="Calibri"/>
        </w:rPr>
        <w:t>ětu zakázky byla Vstupní zpráva</w:t>
      </w:r>
      <w:r w:rsidRPr="00F4459F">
        <w:rPr>
          <w:rFonts w:ascii="Calibri" w:hAnsi="Calibri" w:cs="Calibri"/>
        </w:rPr>
        <w:t>.</w:t>
      </w:r>
    </w:p>
    <w:p w14:paraId="4F203079" w14:textId="77777777" w:rsidR="00047EB6" w:rsidRDefault="00047EB6" w:rsidP="00047EB6">
      <w:pPr>
        <w:spacing w:after="0"/>
        <w:rPr>
          <w:rFonts w:ascii="Calibri" w:hAnsi="Calibri" w:cs="Calibri"/>
        </w:rPr>
      </w:pPr>
    </w:p>
    <w:p w14:paraId="20F061E8" w14:textId="77777777" w:rsidR="00047EB6" w:rsidRPr="000722BD" w:rsidRDefault="00047EB6" w:rsidP="00047EB6">
      <w:pPr>
        <w:spacing w:after="0"/>
        <w:rPr>
          <w:rFonts w:ascii="Calibri" w:hAnsi="Calibri" w:cs="Calibri"/>
          <w:b/>
        </w:rPr>
      </w:pPr>
      <w:r w:rsidRPr="000722BD">
        <w:rPr>
          <w:rFonts w:ascii="Calibri" w:hAnsi="Calibri" w:cs="Calibri"/>
          <w:b/>
        </w:rPr>
        <w:t>Etapa 2</w:t>
      </w:r>
    </w:p>
    <w:p w14:paraId="40E8D3DA" w14:textId="77777777" w:rsidR="00047EB6" w:rsidRDefault="00047EB6" w:rsidP="00047EB6">
      <w:pPr>
        <w:spacing w:after="0"/>
        <w:rPr>
          <w:rFonts w:ascii="Calibri" w:hAnsi="Calibri" w:cs="Calibri"/>
        </w:rPr>
      </w:pPr>
      <w:r>
        <w:rPr>
          <w:rFonts w:ascii="Calibri" w:hAnsi="Calibri" w:cs="Calibri"/>
        </w:rPr>
        <w:t>Ve d</w:t>
      </w:r>
      <w:r w:rsidRPr="00F4459F">
        <w:rPr>
          <w:rFonts w:ascii="Calibri" w:hAnsi="Calibri" w:cs="Calibri"/>
        </w:rPr>
        <w:t>ruh</w:t>
      </w:r>
      <w:r>
        <w:rPr>
          <w:rFonts w:ascii="Calibri" w:hAnsi="Calibri" w:cs="Calibri"/>
        </w:rPr>
        <w:t>é</w:t>
      </w:r>
      <w:r w:rsidRPr="00F4459F">
        <w:rPr>
          <w:rFonts w:ascii="Calibri" w:hAnsi="Calibri" w:cs="Calibri"/>
        </w:rPr>
        <w:t xml:space="preserve"> etap</w:t>
      </w:r>
      <w:r>
        <w:rPr>
          <w:rFonts w:ascii="Calibri" w:hAnsi="Calibri" w:cs="Calibri"/>
        </w:rPr>
        <w:t>ě</w:t>
      </w:r>
      <w:r w:rsidRPr="00F4459F">
        <w:rPr>
          <w:rFonts w:ascii="Calibri" w:hAnsi="Calibri" w:cs="Calibri"/>
        </w:rPr>
        <w:t xml:space="preserve"> evalua</w:t>
      </w:r>
      <w:r>
        <w:rPr>
          <w:rFonts w:ascii="Calibri" w:hAnsi="Calibri" w:cs="Calibri"/>
        </w:rPr>
        <w:t xml:space="preserve">čního projektu se zpracovatel zaměřil </w:t>
      </w:r>
      <w:r w:rsidRPr="00F4459F">
        <w:rPr>
          <w:rFonts w:ascii="Calibri" w:hAnsi="Calibri" w:cs="Calibri"/>
        </w:rPr>
        <w:t>na sběr primárních dat, práci se sekundárními zdroji dat a analytickou část prací. První</w:t>
      </w:r>
      <w:r>
        <w:rPr>
          <w:rFonts w:ascii="Calibri" w:hAnsi="Calibri" w:cs="Calibri"/>
        </w:rPr>
        <w:t>m</w:t>
      </w:r>
      <w:r w:rsidRPr="00F4459F">
        <w:rPr>
          <w:rFonts w:ascii="Calibri" w:hAnsi="Calibri" w:cs="Calibri"/>
        </w:rPr>
        <w:t xml:space="preserve"> dílčí</w:t>
      </w:r>
      <w:r>
        <w:rPr>
          <w:rFonts w:ascii="Calibri" w:hAnsi="Calibri" w:cs="Calibri"/>
        </w:rPr>
        <w:t>m</w:t>
      </w:r>
      <w:r w:rsidRPr="00F4459F">
        <w:rPr>
          <w:rFonts w:ascii="Calibri" w:hAnsi="Calibri" w:cs="Calibri"/>
        </w:rPr>
        <w:t xml:space="preserve"> krok</w:t>
      </w:r>
      <w:r>
        <w:rPr>
          <w:rFonts w:ascii="Calibri" w:hAnsi="Calibri" w:cs="Calibri"/>
        </w:rPr>
        <w:t>em</w:t>
      </w:r>
      <w:r w:rsidRPr="00F4459F">
        <w:rPr>
          <w:rFonts w:ascii="Calibri" w:hAnsi="Calibri" w:cs="Calibri"/>
        </w:rPr>
        <w:t xml:space="preserve"> byl</w:t>
      </w:r>
      <w:r>
        <w:rPr>
          <w:rFonts w:ascii="Calibri" w:hAnsi="Calibri" w:cs="Calibri"/>
        </w:rPr>
        <w:t>a analýza</w:t>
      </w:r>
      <w:r w:rsidRPr="00F4459F">
        <w:rPr>
          <w:rFonts w:ascii="Calibri" w:hAnsi="Calibri" w:cs="Calibri"/>
        </w:rPr>
        <w:t xml:space="preserve"> a hodnocení </w:t>
      </w:r>
      <w:r>
        <w:rPr>
          <w:rFonts w:ascii="Calibri" w:hAnsi="Calibri" w:cs="Calibri"/>
        </w:rPr>
        <w:t>informačních zdrojů</w:t>
      </w:r>
      <w:r w:rsidRPr="00F4459F">
        <w:rPr>
          <w:rFonts w:ascii="Calibri" w:hAnsi="Calibri" w:cs="Calibri"/>
        </w:rPr>
        <w:t xml:space="preserve"> vztahující se k zadání a cílům zakázky </w:t>
      </w:r>
      <w:r>
        <w:rPr>
          <w:rFonts w:ascii="Calibri" w:hAnsi="Calibri" w:cs="Calibri"/>
        </w:rPr>
        <w:t>(</w:t>
      </w:r>
      <w:r w:rsidRPr="00F4459F">
        <w:rPr>
          <w:rFonts w:ascii="Calibri" w:hAnsi="Calibri" w:cs="Calibri"/>
        </w:rPr>
        <w:t xml:space="preserve">dokumenty k OP PIK </w:t>
      </w:r>
      <w:r>
        <w:rPr>
          <w:rFonts w:ascii="Calibri" w:hAnsi="Calibri" w:cs="Calibri"/>
        </w:rPr>
        <w:t>a SC</w:t>
      </w:r>
      <w:r w:rsidRPr="00F4459F">
        <w:rPr>
          <w:rFonts w:ascii="Calibri" w:hAnsi="Calibri" w:cs="Calibri"/>
        </w:rPr>
        <w:t>, manuály, výstupy evaluací, studie, analýzy a jiné dokumenty</w:t>
      </w:r>
      <w:r>
        <w:rPr>
          <w:rFonts w:ascii="Calibri" w:hAnsi="Calibri" w:cs="Calibri"/>
        </w:rPr>
        <w:t>)</w:t>
      </w:r>
      <w:r w:rsidRPr="00F4459F">
        <w:rPr>
          <w:rFonts w:ascii="Calibri" w:hAnsi="Calibri" w:cs="Calibri"/>
        </w:rPr>
        <w:t>. Dále se jednalo o analýzy dat ze sekundárních zdrojů, především</w:t>
      </w:r>
      <w:r>
        <w:rPr>
          <w:rFonts w:ascii="Calibri" w:hAnsi="Calibri" w:cs="Calibri"/>
        </w:rPr>
        <w:t xml:space="preserve"> z</w:t>
      </w:r>
      <w:r w:rsidRPr="00F4459F">
        <w:rPr>
          <w:rFonts w:ascii="Calibri" w:hAnsi="Calibri" w:cs="Calibri"/>
        </w:rPr>
        <w:t xml:space="preserve"> monitorovacího systému</w:t>
      </w:r>
      <w:r>
        <w:rPr>
          <w:rFonts w:ascii="Calibri" w:hAnsi="Calibri" w:cs="Calibri"/>
        </w:rPr>
        <w:t xml:space="preserve"> MS2014+. </w:t>
      </w:r>
    </w:p>
    <w:p w14:paraId="3F14327B" w14:textId="77777777" w:rsidR="00047EB6" w:rsidRDefault="00047EB6" w:rsidP="00047EB6">
      <w:pPr>
        <w:spacing w:after="0"/>
        <w:rPr>
          <w:rFonts w:ascii="Calibri" w:hAnsi="Calibri" w:cs="Calibri"/>
        </w:rPr>
      </w:pPr>
    </w:p>
    <w:p w14:paraId="33CD7B3C" w14:textId="77777777" w:rsidR="00131C2F" w:rsidRPr="00640102" w:rsidRDefault="00131C2F" w:rsidP="00131C2F">
      <w:pPr>
        <w:spacing w:after="0"/>
        <w:rPr>
          <w:rFonts w:ascii="Calibri" w:hAnsi="Calibri" w:cs="Calibri"/>
        </w:rPr>
      </w:pPr>
      <w:r w:rsidRPr="00640102">
        <w:rPr>
          <w:rFonts w:ascii="Calibri" w:hAnsi="Calibri" w:cs="Calibri"/>
        </w:rPr>
        <w:t>V souladu se zadáním byla zpracována a předána Situační zpráva, která obsahovala aktuální stav zjištění k těmto oblastem:</w:t>
      </w:r>
    </w:p>
    <w:p w14:paraId="6CFD7A58" w14:textId="77777777" w:rsidR="00131C2F" w:rsidRPr="008647B1" w:rsidRDefault="00131C2F" w:rsidP="009F01A8">
      <w:pPr>
        <w:pStyle w:val="Odstavecseseznamem"/>
        <w:numPr>
          <w:ilvl w:val="0"/>
          <w:numId w:val="35"/>
        </w:numPr>
        <w:spacing w:line="276" w:lineRule="auto"/>
        <w:jc w:val="both"/>
        <w:rPr>
          <w:rFonts w:asciiTheme="minorHAnsi" w:hAnsiTheme="minorHAnsi" w:cstheme="minorHAnsi"/>
          <w:sz w:val="22"/>
          <w:szCs w:val="22"/>
        </w:rPr>
      </w:pPr>
      <w:r w:rsidRPr="008647B1">
        <w:rPr>
          <w:rFonts w:asciiTheme="minorHAnsi" w:hAnsiTheme="minorHAnsi" w:cstheme="minorHAnsi"/>
          <w:sz w:val="22"/>
          <w:szCs w:val="22"/>
        </w:rPr>
        <w:t>Jakých výsledků (nikoliv pouze výstupů) se implementací daného SC dosáhlo? Lze tento výsledek považovat za dostatečný?</w:t>
      </w:r>
    </w:p>
    <w:p w14:paraId="534B8218" w14:textId="77777777" w:rsidR="00131C2F" w:rsidRPr="008647B1" w:rsidRDefault="00131C2F" w:rsidP="009F01A8">
      <w:pPr>
        <w:pStyle w:val="Odstavecseseznamem"/>
        <w:numPr>
          <w:ilvl w:val="0"/>
          <w:numId w:val="35"/>
        </w:numPr>
        <w:spacing w:line="276" w:lineRule="auto"/>
        <w:jc w:val="both"/>
        <w:rPr>
          <w:rFonts w:asciiTheme="minorHAnsi" w:hAnsiTheme="minorHAnsi" w:cstheme="minorHAnsi"/>
          <w:sz w:val="22"/>
          <w:szCs w:val="22"/>
        </w:rPr>
      </w:pPr>
      <w:r w:rsidRPr="008647B1">
        <w:rPr>
          <w:rFonts w:asciiTheme="minorHAnsi" w:hAnsiTheme="minorHAnsi" w:cstheme="minorHAnsi"/>
          <w:sz w:val="22"/>
          <w:szCs w:val="22"/>
        </w:rPr>
        <w:lastRenderedPageBreak/>
        <w:t>Podařilo se naplnit milníky? Pokud ne, jaké jsou důvody nesplnění, jaký je dopad nesplnění milníků a jaký je návrh řešení,</w:t>
      </w:r>
    </w:p>
    <w:p w14:paraId="12CAC3F0" w14:textId="77777777" w:rsidR="00131C2F" w:rsidRPr="008647B1" w:rsidRDefault="00131C2F" w:rsidP="009F01A8">
      <w:pPr>
        <w:pStyle w:val="Odstavecseseznamem"/>
        <w:numPr>
          <w:ilvl w:val="0"/>
          <w:numId w:val="35"/>
        </w:numPr>
        <w:spacing w:line="276" w:lineRule="auto"/>
        <w:jc w:val="both"/>
        <w:rPr>
          <w:rFonts w:asciiTheme="minorHAnsi" w:hAnsiTheme="minorHAnsi" w:cstheme="minorHAnsi"/>
          <w:sz w:val="22"/>
          <w:szCs w:val="22"/>
        </w:rPr>
      </w:pPr>
      <w:r w:rsidRPr="008647B1">
        <w:rPr>
          <w:rFonts w:asciiTheme="minorHAnsi" w:hAnsiTheme="minorHAnsi" w:cstheme="minorHAnsi"/>
          <w:sz w:val="22"/>
          <w:szCs w:val="22"/>
        </w:rPr>
        <w:t>Identifikace 2 příkladů úspěšných, dopadově významných projektů</w:t>
      </w:r>
      <w:r>
        <w:rPr>
          <w:rFonts w:asciiTheme="minorHAnsi" w:hAnsiTheme="minorHAnsi" w:cstheme="minorHAnsi"/>
          <w:sz w:val="22"/>
          <w:szCs w:val="22"/>
        </w:rPr>
        <w:t xml:space="preserve"> nebo </w:t>
      </w:r>
      <w:r w:rsidRPr="008647B1">
        <w:rPr>
          <w:rFonts w:asciiTheme="minorHAnsi" w:hAnsiTheme="minorHAnsi" w:cstheme="minorHAnsi"/>
          <w:sz w:val="22"/>
          <w:szCs w:val="22"/>
        </w:rPr>
        <w:t>projekt</w:t>
      </w:r>
      <w:r>
        <w:rPr>
          <w:rFonts w:asciiTheme="minorHAnsi" w:hAnsiTheme="minorHAnsi" w:cstheme="minorHAnsi"/>
          <w:sz w:val="22"/>
          <w:szCs w:val="22"/>
        </w:rPr>
        <w:t>ů</w:t>
      </w:r>
      <w:r w:rsidRPr="008647B1">
        <w:rPr>
          <w:rFonts w:asciiTheme="minorHAnsi" w:hAnsiTheme="minorHAnsi" w:cstheme="minorHAnsi"/>
          <w:sz w:val="22"/>
          <w:szCs w:val="22"/>
        </w:rPr>
        <w:t xml:space="preserve"> s nejvyšším potenciálem.</w:t>
      </w:r>
    </w:p>
    <w:p w14:paraId="07CB9346" w14:textId="77777777" w:rsidR="00131C2F" w:rsidRPr="008647B1" w:rsidRDefault="00131C2F" w:rsidP="009F01A8">
      <w:pPr>
        <w:spacing w:after="0"/>
        <w:rPr>
          <w:rFonts w:cstheme="minorHAnsi"/>
        </w:rPr>
      </w:pPr>
    </w:p>
    <w:p w14:paraId="27DDAA0A" w14:textId="77777777" w:rsidR="00131C2F" w:rsidRDefault="00131C2F" w:rsidP="00131C2F">
      <w:pPr>
        <w:spacing w:after="0"/>
        <w:rPr>
          <w:rFonts w:ascii="Calibri" w:hAnsi="Calibri" w:cs="Calibri"/>
        </w:rPr>
      </w:pPr>
      <w:r w:rsidRPr="008647B1">
        <w:rPr>
          <w:rFonts w:cstheme="minorHAnsi"/>
        </w:rPr>
        <w:t>V další fázi této etapy evaluačního projektu byla realizována terénní šetření formou dotazníkového šetření mezi cílovými skupinami OP PIK a také individuální rozhovory se zástupci implementační</w:t>
      </w:r>
      <w:r w:rsidRPr="00F4459F">
        <w:rPr>
          <w:rFonts w:ascii="Calibri" w:hAnsi="Calibri" w:cs="Calibri"/>
        </w:rPr>
        <w:t xml:space="preserve"> struktury</w:t>
      </w:r>
      <w:r>
        <w:rPr>
          <w:rFonts w:ascii="Calibri" w:hAnsi="Calibri" w:cs="Calibri"/>
        </w:rPr>
        <w:t xml:space="preserve"> OP PIK a s vybranými příjemci.</w:t>
      </w:r>
      <w:r w:rsidRPr="00F4459F">
        <w:rPr>
          <w:rFonts w:ascii="Calibri" w:hAnsi="Calibri" w:cs="Calibri"/>
        </w:rPr>
        <w:t xml:space="preserve"> </w:t>
      </w:r>
      <w:r>
        <w:rPr>
          <w:rFonts w:ascii="Calibri" w:hAnsi="Calibri" w:cs="Calibri"/>
        </w:rPr>
        <w:t>Poté</w:t>
      </w:r>
      <w:r w:rsidRPr="00F4459F">
        <w:rPr>
          <w:rFonts w:ascii="Calibri" w:hAnsi="Calibri" w:cs="Calibri"/>
        </w:rPr>
        <w:t xml:space="preserve"> proběhlo souhrnné zhodnocení dosažených výsledků analýz a šetření. </w:t>
      </w:r>
      <w:r>
        <w:rPr>
          <w:rFonts w:ascii="Calibri" w:hAnsi="Calibri" w:cs="Calibri"/>
        </w:rPr>
        <w:t>Byly zpracovány případové studie k jednotlivým PP.</w:t>
      </w:r>
    </w:p>
    <w:p w14:paraId="7DD111A7" w14:textId="77777777" w:rsidR="00131C2F" w:rsidRDefault="00131C2F" w:rsidP="00131C2F">
      <w:pPr>
        <w:spacing w:after="0"/>
        <w:rPr>
          <w:rFonts w:ascii="Calibri" w:hAnsi="Calibri" w:cs="Calibri"/>
        </w:rPr>
      </w:pPr>
    </w:p>
    <w:p w14:paraId="04E15BD3" w14:textId="347396AB" w:rsidR="00047EB6" w:rsidRDefault="00131C2F" w:rsidP="00131C2F">
      <w:r>
        <w:rPr>
          <w:rFonts w:ascii="Calibri" w:hAnsi="Calibri" w:cs="Calibri"/>
        </w:rPr>
        <w:t xml:space="preserve">Následně </w:t>
      </w:r>
      <w:r w:rsidRPr="00640102">
        <w:rPr>
          <w:rFonts w:ascii="Calibri" w:hAnsi="Calibri" w:cs="Calibri"/>
        </w:rPr>
        <w:t>provedl hodnotitel odpovídající shrnutí a zformuloval souhrnné závěry a doporučení do podoby této ZZ</w:t>
      </w:r>
      <w:r>
        <w:rPr>
          <w:rFonts w:ascii="Calibri" w:hAnsi="Calibri" w:cs="Calibri"/>
        </w:rPr>
        <w:t>.</w:t>
      </w:r>
    </w:p>
    <w:p w14:paraId="4A2D26E0" w14:textId="7362E838" w:rsidR="000C0C19" w:rsidRDefault="000C0C19" w:rsidP="000C0C19">
      <w:pPr>
        <w:spacing w:after="0"/>
        <w:rPr>
          <w:rFonts w:ascii="Calibri" w:hAnsi="Calibri" w:cs="Calibri"/>
          <w:b/>
          <w:i/>
        </w:rPr>
      </w:pPr>
    </w:p>
    <w:p w14:paraId="03742AD0" w14:textId="77777777" w:rsidR="000C0C19" w:rsidRDefault="000C0C19" w:rsidP="00047EB6">
      <w:pPr>
        <w:spacing w:after="0"/>
        <w:rPr>
          <w:rFonts w:ascii="Calibri" w:hAnsi="Calibri" w:cs="Calibri"/>
        </w:rPr>
      </w:pPr>
    </w:p>
    <w:p w14:paraId="41AB6E71" w14:textId="77777777" w:rsidR="00053DA8" w:rsidRDefault="00053DA8" w:rsidP="007837BC">
      <w:pPr>
        <w:spacing w:after="0"/>
        <w:rPr>
          <w:rFonts w:ascii="Calibri" w:hAnsi="Calibri" w:cs="Calibri"/>
        </w:rPr>
      </w:pPr>
    </w:p>
    <w:p w14:paraId="68B8A975" w14:textId="77777777" w:rsidR="006967DC" w:rsidRDefault="006967DC" w:rsidP="006967DC">
      <w:pPr>
        <w:pStyle w:val="Nadpis1"/>
        <w:ind w:left="431" w:hanging="431"/>
      </w:pPr>
      <w:bookmarkStart w:id="21" w:name="_Toc4596804"/>
      <w:bookmarkStart w:id="22" w:name="_Toc10729908"/>
      <w:r>
        <w:lastRenderedPageBreak/>
        <w:t>Manažerské shrnutí</w:t>
      </w:r>
      <w:bookmarkEnd w:id="21"/>
      <w:bookmarkEnd w:id="22"/>
    </w:p>
    <w:p w14:paraId="0D7959BC" w14:textId="547F523A" w:rsidR="000C0C19" w:rsidRDefault="00796E7C" w:rsidP="000C0C19">
      <w:pPr>
        <w:spacing w:after="0"/>
        <w:rPr>
          <w:rFonts w:ascii="Calibri" w:eastAsia="Calibri" w:hAnsi="Calibri" w:cs="Calibri"/>
          <w:lang w:eastAsia="sk-SK"/>
        </w:rPr>
      </w:pPr>
      <w:r w:rsidRPr="003D3BEB">
        <w:rPr>
          <w:rFonts w:ascii="Calibri" w:eastAsia="Calibri" w:hAnsi="Calibri" w:cs="Calibri"/>
          <w:lang w:eastAsia="sk-SK"/>
        </w:rPr>
        <w:t>Na základě provedených analýz dospěl hodnotitel k níže uvedeným hlavním závěrům</w:t>
      </w:r>
      <w:r w:rsidR="00341ECF">
        <w:rPr>
          <w:rFonts w:ascii="Calibri" w:eastAsia="Calibri" w:hAnsi="Calibri" w:cs="Calibri"/>
          <w:lang w:eastAsia="sk-SK"/>
        </w:rPr>
        <w:t xml:space="preserve"> a zjištěním</w:t>
      </w:r>
      <w:r>
        <w:rPr>
          <w:rFonts w:ascii="Calibri" w:eastAsia="Calibri" w:hAnsi="Calibri" w:cs="Calibri"/>
          <w:lang w:eastAsia="sk-SK"/>
        </w:rPr>
        <w:t>:</w:t>
      </w:r>
    </w:p>
    <w:p w14:paraId="0316C338" w14:textId="77777777" w:rsidR="00796E7C" w:rsidRPr="00583F60" w:rsidRDefault="00796E7C" w:rsidP="000C0C19">
      <w:pPr>
        <w:spacing w:after="0"/>
        <w:rPr>
          <w:rFonts w:ascii="Calibri" w:eastAsia="Calibri" w:hAnsi="Calibri" w:cs="Calibri"/>
          <w:sz w:val="20"/>
          <w:szCs w:val="20"/>
          <w:lang w:eastAsia="sk-SK"/>
        </w:rPr>
      </w:pPr>
    </w:p>
    <w:p w14:paraId="129D00AF" w14:textId="67F57367" w:rsidR="00796E7C" w:rsidRPr="00583F60" w:rsidRDefault="0025072B"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R</w:t>
      </w:r>
      <w:r w:rsidR="00796E7C" w:rsidRPr="00583F60">
        <w:rPr>
          <w:rFonts w:ascii="Calibri" w:eastAsia="Calibri" w:hAnsi="Calibri" w:cs="Calibri"/>
          <w:sz w:val="22"/>
          <w:szCs w:val="22"/>
          <w:lang w:eastAsia="sk-SK"/>
        </w:rPr>
        <w:t>ealizované intervence přispívají k dosahování SC 3.1, byť je tento příspěvek relativně malý. Hodnocení vlivu podpořených projektů na podíl OZE na hrubé konečné spotřebě nelze kvantifikovat z důvodu chybějících dat.</w:t>
      </w:r>
      <w:r w:rsidRPr="00583F60">
        <w:rPr>
          <w:rFonts w:ascii="Calibri" w:eastAsia="Calibri" w:hAnsi="Calibri" w:cs="Calibri"/>
          <w:sz w:val="22"/>
          <w:szCs w:val="22"/>
          <w:lang w:eastAsia="sk-SK"/>
        </w:rPr>
        <w:t xml:space="preserve"> </w:t>
      </w:r>
      <w:r w:rsidR="00796E7C" w:rsidRPr="00583F60">
        <w:rPr>
          <w:rFonts w:ascii="Calibri" w:eastAsia="Calibri" w:hAnsi="Calibri" w:cs="Calibri"/>
          <w:sz w:val="22"/>
          <w:szCs w:val="22"/>
          <w:lang w:eastAsia="sk-SK"/>
        </w:rPr>
        <w:t>Naopak lze konstatovat, že PP OZE podporuje OZE s nejvyšší účinností.</w:t>
      </w:r>
    </w:p>
    <w:p w14:paraId="0DA9DF2D" w14:textId="48E38409" w:rsidR="00796E7C" w:rsidRPr="00583F60" w:rsidRDefault="00796E7C" w:rsidP="00796E7C">
      <w:pPr>
        <w:spacing w:after="0"/>
        <w:rPr>
          <w:rFonts w:ascii="Calibri" w:eastAsia="Calibri" w:hAnsi="Calibri" w:cs="Calibri"/>
          <w:sz w:val="20"/>
          <w:szCs w:val="20"/>
          <w:lang w:eastAsia="sk-SK"/>
        </w:rPr>
      </w:pPr>
    </w:p>
    <w:p w14:paraId="5B4D1A12" w14:textId="2F1F51BB" w:rsidR="00796E7C" w:rsidRPr="00583F60" w:rsidRDefault="00796E7C"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P</w:t>
      </w:r>
      <w:r w:rsidR="0025072B" w:rsidRPr="00583F60">
        <w:rPr>
          <w:rFonts w:ascii="Calibri" w:eastAsia="Calibri" w:hAnsi="Calibri" w:cs="Calibri"/>
          <w:sz w:val="22"/>
          <w:szCs w:val="22"/>
          <w:lang w:eastAsia="sk-SK"/>
        </w:rPr>
        <w:t>P</w:t>
      </w:r>
      <w:r w:rsidRPr="00583F60">
        <w:rPr>
          <w:rFonts w:ascii="Calibri" w:eastAsia="Calibri" w:hAnsi="Calibri" w:cs="Calibri"/>
          <w:sz w:val="22"/>
          <w:szCs w:val="22"/>
          <w:lang w:eastAsia="sk-SK"/>
        </w:rPr>
        <w:t xml:space="preserve"> OZE je nastaven tak, že neumožňuje získání podpory projektům, které by mohly mít negativní vliv na elektrizační soustavu.</w:t>
      </w:r>
      <w:r w:rsidR="0025072B" w:rsidRPr="00583F60">
        <w:rPr>
          <w:rFonts w:ascii="Calibri" w:eastAsia="Calibri" w:hAnsi="Calibri" w:cs="Calibri"/>
          <w:sz w:val="22"/>
          <w:szCs w:val="22"/>
          <w:lang w:eastAsia="sk-SK"/>
        </w:rPr>
        <w:t xml:space="preserve"> U</w:t>
      </w:r>
      <w:r w:rsidRPr="00583F60">
        <w:rPr>
          <w:rFonts w:ascii="Calibri" w:eastAsia="Calibri" w:hAnsi="Calibri" w:cs="Calibri"/>
          <w:sz w:val="22"/>
          <w:szCs w:val="22"/>
          <w:lang w:eastAsia="sk-SK"/>
        </w:rPr>
        <w:t xml:space="preserve"> realizovaných projektů nebyly zaznamenány žádné negativní vlivy na elektrizační soustavu.</w:t>
      </w:r>
    </w:p>
    <w:p w14:paraId="44ABC8A5" w14:textId="758FD7EF" w:rsidR="00796E7C" w:rsidRPr="00583F60" w:rsidRDefault="00796E7C" w:rsidP="00583F60">
      <w:pPr>
        <w:pStyle w:val="Odstavecseseznamem"/>
        <w:rPr>
          <w:rFonts w:ascii="Calibri" w:eastAsia="Calibri" w:hAnsi="Calibri" w:cs="Calibri"/>
          <w:sz w:val="22"/>
          <w:szCs w:val="22"/>
          <w:lang w:eastAsia="sk-SK"/>
        </w:rPr>
      </w:pPr>
    </w:p>
    <w:p w14:paraId="2A5BE582" w14:textId="449E48DD" w:rsidR="00D36B59" w:rsidRPr="00583F60" w:rsidRDefault="002046C7"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Co se týká v</w:t>
      </w:r>
      <w:r w:rsidR="00D36B59" w:rsidRPr="00583F60">
        <w:rPr>
          <w:rFonts w:ascii="Calibri" w:eastAsia="Calibri" w:hAnsi="Calibri" w:cs="Calibri"/>
          <w:sz w:val="22"/>
          <w:szCs w:val="22"/>
          <w:lang w:eastAsia="sk-SK"/>
        </w:rPr>
        <w:t>liv</w:t>
      </w:r>
      <w:r w:rsidRPr="00583F60">
        <w:rPr>
          <w:rFonts w:ascii="Calibri" w:eastAsia="Calibri" w:hAnsi="Calibri" w:cs="Calibri"/>
          <w:sz w:val="22"/>
          <w:szCs w:val="22"/>
          <w:lang w:eastAsia="sk-SK"/>
        </w:rPr>
        <w:t>u</w:t>
      </w:r>
      <w:r w:rsidR="00D36B59" w:rsidRPr="00583F60">
        <w:rPr>
          <w:rFonts w:ascii="Calibri" w:eastAsia="Calibri" w:hAnsi="Calibri" w:cs="Calibri"/>
          <w:sz w:val="22"/>
          <w:szCs w:val="22"/>
          <w:lang w:eastAsia="sk-SK"/>
        </w:rPr>
        <w:t xml:space="preserve"> projektů podpořených v PP OZE na snížení dovozní závislosti na palivech z geopoliticky nestabilních regionů, snížení emisí skleníkových plynů</w:t>
      </w:r>
      <w:r w:rsidR="0025072B" w:rsidRPr="00583F60">
        <w:rPr>
          <w:rFonts w:ascii="Calibri" w:eastAsia="Calibri" w:hAnsi="Calibri" w:cs="Calibri"/>
          <w:sz w:val="22"/>
          <w:szCs w:val="22"/>
          <w:lang w:eastAsia="sk-SK"/>
        </w:rPr>
        <w:t xml:space="preserve"> a n</w:t>
      </w:r>
      <w:r w:rsidR="00D36B59" w:rsidRPr="00583F60">
        <w:rPr>
          <w:rFonts w:ascii="Calibri" w:eastAsia="Calibri" w:hAnsi="Calibri" w:cs="Calibri"/>
          <w:sz w:val="22"/>
          <w:szCs w:val="22"/>
          <w:lang w:eastAsia="sk-SK"/>
        </w:rPr>
        <w:t>a rozvoj podnikatelských aktivit v dodavatelském řetězci od vývoje, výroby, přes instalaci zdroje energie až po výrobu energie</w:t>
      </w:r>
      <w:r w:rsidRPr="00583F60">
        <w:rPr>
          <w:rFonts w:ascii="Calibri" w:eastAsia="Calibri" w:hAnsi="Calibri" w:cs="Calibri"/>
          <w:sz w:val="22"/>
          <w:szCs w:val="22"/>
          <w:lang w:eastAsia="sk-SK"/>
        </w:rPr>
        <w:t>, i</w:t>
      </w:r>
      <w:r w:rsidR="00D36B59" w:rsidRPr="00583F60">
        <w:rPr>
          <w:rFonts w:ascii="Calibri" w:eastAsia="Calibri" w:hAnsi="Calibri" w:cs="Calibri"/>
          <w:sz w:val="22"/>
          <w:szCs w:val="22"/>
          <w:lang w:eastAsia="sk-SK"/>
        </w:rPr>
        <w:t>ntervenční logika programu podpory OZE je nastavena tak, aby realizované projekty vedly k naplňování výše uvedených výsledků. Problémem však je extrémně nízký počet příjemců realizujících projekty z PP OZE a z toho vyplývající velmi slabý, téměř neměřitelný příspěvek k naplnění uvedených výsledků.</w:t>
      </w:r>
      <w:r w:rsidRPr="00583F60">
        <w:rPr>
          <w:rFonts w:ascii="Calibri" w:eastAsia="Calibri" w:hAnsi="Calibri" w:cs="Calibri"/>
          <w:sz w:val="22"/>
          <w:szCs w:val="22"/>
          <w:lang w:eastAsia="sk-SK"/>
        </w:rPr>
        <w:t xml:space="preserve"> </w:t>
      </w:r>
      <w:r w:rsidR="001F16DC" w:rsidRPr="00583F60">
        <w:rPr>
          <w:rFonts w:ascii="Calibri" w:eastAsia="Calibri" w:hAnsi="Calibri" w:cs="Calibri"/>
          <w:sz w:val="22"/>
          <w:szCs w:val="22"/>
          <w:lang w:eastAsia="sk-SK"/>
        </w:rPr>
        <w:t>D</w:t>
      </w:r>
      <w:r w:rsidR="00D36B59" w:rsidRPr="00583F60">
        <w:rPr>
          <w:rFonts w:ascii="Calibri" w:eastAsia="Calibri" w:hAnsi="Calibri" w:cs="Calibri"/>
          <w:sz w:val="22"/>
          <w:szCs w:val="22"/>
          <w:lang w:eastAsia="sk-SK"/>
        </w:rPr>
        <w:t>íky realizovaným projektům dochází ke zvýšení tržeb především dodavatelů technologií OZE, a to nejen v důsledku počáteční investice, ale i následných nákladů na údržbu a pozáruční servis.</w:t>
      </w:r>
    </w:p>
    <w:p w14:paraId="17D3B85A" w14:textId="3054094C" w:rsidR="00341ECF" w:rsidRDefault="00341ECF" w:rsidP="00D36B59">
      <w:pPr>
        <w:spacing w:after="0"/>
        <w:rPr>
          <w:rFonts w:ascii="Calibri" w:eastAsia="Calibri" w:hAnsi="Calibri" w:cs="Calibri"/>
          <w:lang w:eastAsia="sk-SK"/>
        </w:rPr>
      </w:pPr>
    </w:p>
    <w:p w14:paraId="22F56FB8" w14:textId="0573769B" w:rsidR="00341ECF" w:rsidRPr="00583F60" w:rsidRDefault="001F16DC"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I</w:t>
      </w:r>
      <w:r w:rsidR="00341ECF" w:rsidRPr="00583F60">
        <w:rPr>
          <w:rFonts w:ascii="Calibri" w:eastAsia="Calibri" w:hAnsi="Calibri" w:cs="Calibri"/>
          <w:sz w:val="22"/>
          <w:szCs w:val="22"/>
          <w:lang w:eastAsia="sk-SK"/>
        </w:rPr>
        <w:t>ntervenční logika SC 3.2 je nastavena tak, že podporované projekty přispívají ke stanoveným cílům a výsledkům. V důsledku doposud poměrně malého počtu dokončených projektů jsou však i dosažené výsledky nízké.</w:t>
      </w:r>
      <w:r w:rsidR="0025072B" w:rsidRPr="00583F60">
        <w:rPr>
          <w:rFonts w:ascii="Calibri" w:eastAsia="Calibri" w:hAnsi="Calibri" w:cs="Calibri"/>
          <w:sz w:val="22"/>
          <w:szCs w:val="22"/>
          <w:lang w:eastAsia="sk-SK"/>
        </w:rPr>
        <w:t xml:space="preserve"> </w:t>
      </w:r>
      <w:r w:rsidR="00341ECF" w:rsidRPr="00583F60">
        <w:rPr>
          <w:rFonts w:ascii="Calibri" w:eastAsia="Calibri" w:hAnsi="Calibri" w:cs="Calibri"/>
          <w:sz w:val="22"/>
          <w:szCs w:val="22"/>
          <w:lang w:eastAsia="sk-SK"/>
        </w:rPr>
        <w:t>Realizované projekty přispívají především ke snížení konečné spotřeby energie.</w:t>
      </w:r>
      <w:r w:rsidR="002046C7" w:rsidRPr="00583F60">
        <w:rPr>
          <w:rFonts w:ascii="Calibri" w:eastAsia="Calibri" w:hAnsi="Calibri" w:cs="Calibri"/>
          <w:sz w:val="22"/>
          <w:szCs w:val="22"/>
          <w:lang w:eastAsia="sk-SK"/>
        </w:rPr>
        <w:t xml:space="preserve"> </w:t>
      </w:r>
      <w:r w:rsidR="00341ECF" w:rsidRPr="00583F60">
        <w:rPr>
          <w:rFonts w:ascii="Calibri" w:eastAsia="Calibri" w:hAnsi="Calibri" w:cs="Calibri"/>
          <w:sz w:val="22"/>
          <w:szCs w:val="22"/>
          <w:lang w:eastAsia="sk-SK"/>
        </w:rPr>
        <w:t>ČR se v úrovni energetické náročnosti průmyslové výroby přibližuje k ostatním zemím EU, podíl PP ÚE na tomto vývoji je však zatím v důsledku nízkého počtu ukončených projektů minimální.</w:t>
      </w:r>
    </w:p>
    <w:p w14:paraId="7F96AC91" w14:textId="5267462A" w:rsidR="00072645" w:rsidRDefault="00072645" w:rsidP="00341ECF">
      <w:pPr>
        <w:spacing w:after="0"/>
        <w:rPr>
          <w:rFonts w:ascii="Calibri" w:eastAsia="Calibri" w:hAnsi="Calibri" w:cs="Calibri"/>
          <w:lang w:eastAsia="sk-SK"/>
        </w:rPr>
      </w:pPr>
    </w:p>
    <w:p w14:paraId="52A484BD" w14:textId="5C75FD2F" w:rsidR="004B148B" w:rsidRPr="00303B95" w:rsidRDefault="004B148B" w:rsidP="00303B95">
      <w:pPr>
        <w:pStyle w:val="Odstavecseseznamem"/>
        <w:numPr>
          <w:ilvl w:val="0"/>
          <w:numId w:val="63"/>
        </w:numPr>
        <w:rPr>
          <w:rFonts w:ascii="Calibri" w:eastAsia="Calibri" w:hAnsi="Calibri" w:cs="Calibri"/>
          <w:sz w:val="22"/>
          <w:szCs w:val="22"/>
          <w:lang w:eastAsia="sk-SK"/>
        </w:rPr>
      </w:pPr>
      <w:r w:rsidRPr="00303B95">
        <w:rPr>
          <w:rFonts w:ascii="Calibri" w:eastAsia="Calibri" w:hAnsi="Calibri" w:cs="Calibri"/>
          <w:sz w:val="22"/>
          <w:szCs w:val="22"/>
          <w:lang w:eastAsia="sk-SK"/>
        </w:rPr>
        <w:t xml:space="preserve">Intervence u podpořených podniků vedou k vyššímu snížení energetické náročnosti v porovnání s podniky, které podporu nezískaly. Díky obdržené dotaci je dosažení úspor pro podpořené podniky ekonomicky efektivnější, neboť část nákladů získají formou dotace, náklady investované podnikem jsou tedy nižší (ať už se jedná o vlastní zdroje či půjčené) a jejich návratnost je rychlejší než v případě neobdržení dotace. Intervence je pro podpořené podniky motivací k tomu, aby vytvořily komplexnější nebo rozsáhlejší projekt s vyšším dopadem na energetické úspory. </w:t>
      </w:r>
    </w:p>
    <w:p w14:paraId="51545CEF" w14:textId="300EBC4E" w:rsidR="00072645" w:rsidRDefault="00072645" w:rsidP="00341ECF">
      <w:pPr>
        <w:spacing w:after="0"/>
        <w:rPr>
          <w:rFonts w:ascii="Calibri" w:eastAsia="Calibri" w:hAnsi="Calibri" w:cs="Calibri"/>
          <w:lang w:eastAsia="sk-SK"/>
        </w:rPr>
      </w:pPr>
    </w:p>
    <w:p w14:paraId="405AB668" w14:textId="1D7C0057" w:rsidR="00072645" w:rsidRPr="00583F60" w:rsidRDefault="00072645"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Podpora z PP ÚE vede k významnému nebo alespoň částečnému snížení nákladů na energie podpořených podniků, přičemž dosažené úspory jsou signifikantně vyšší než v případě nepodpořených žadatelů, kteří realizovali projekt bez přispění PP ÚE.</w:t>
      </w:r>
      <w:r w:rsidR="001F16D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Firmy účastnící se případových studií potvrdily, že díky snížení váhy nákladů na energie na celkových nákladech společnosti je méně trápí nárůst cen energií, tj. jsou na ně méně citlivé.</w:t>
      </w:r>
    </w:p>
    <w:p w14:paraId="6B9A693F" w14:textId="152BC8C5" w:rsidR="00072645" w:rsidRDefault="00072645" w:rsidP="00341ECF">
      <w:pPr>
        <w:spacing w:after="0"/>
        <w:rPr>
          <w:rFonts w:ascii="Calibri" w:eastAsia="Calibri" w:hAnsi="Calibri" w:cs="Calibri"/>
          <w:lang w:eastAsia="sk-SK"/>
        </w:rPr>
      </w:pPr>
    </w:p>
    <w:p w14:paraId="055D7F08" w14:textId="1014D128" w:rsidR="001E72D1" w:rsidRPr="00583F60" w:rsidRDefault="001E72D1"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 xml:space="preserve">Podporovanou aktivitou, která se v podpořených projektech </w:t>
      </w:r>
      <w:r w:rsidR="002046C7" w:rsidRPr="00583F60">
        <w:rPr>
          <w:rFonts w:ascii="Calibri" w:eastAsia="Calibri" w:hAnsi="Calibri" w:cs="Calibri"/>
          <w:sz w:val="22"/>
          <w:szCs w:val="22"/>
          <w:lang w:eastAsia="sk-SK"/>
        </w:rPr>
        <w:t xml:space="preserve">PP ÚE </w:t>
      </w:r>
      <w:r w:rsidRPr="00583F60">
        <w:rPr>
          <w:rFonts w:ascii="Calibri" w:eastAsia="Calibri" w:hAnsi="Calibri" w:cs="Calibri"/>
          <w:sz w:val="22"/>
          <w:szCs w:val="22"/>
          <w:lang w:eastAsia="sk-SK"/>
        </w:rPr>
        <w:t>vyskytuje nejčastěji</w:t>
      </w:r>
      <w:r w:rsidR="001F16DC" w:rsidRPr="00583F60">
        <w:rPr>
          <w:rFonts w:ascii="Calibri" w:eastAsia="Calibri" w:hAnsi="Calibri" w:cs="Calibri"/>
          <w:sz w:val="22"/>
          <w:szCs w:val="22"/>
          <w:lang w:eastAsia="sk-SK"/>
        </w:rPr>
        <w:t>,</w:t>
      </w:r>
      <w:r w:rsidRPr="00583F60">
        <w:rPr>
          <w:rFonts w:ascii="Calibri" w:eastAsia="Calibri" w:hAnsi="Calibri" w:cs="Calibri"/>
          <w:sz w:val="22"/>
          <w:szCs w:val="22"/>
          <w:lang w:eastAsia="sk-SK"/>
        </w:rPr>
        <w:t xml:space="preserve"> je snižování energetické náročnosti budov. V pořadí druhou aktivitou je modernizace soustav osvětlení budov a průmyslových areálů, třetí je snižování energetické náročnosti, resp. zvyšování energetické účinnosti výrobních a technologických procesů.</w:t>
      </w:r>
      <w:r w:rsidR="002046C7" w:rsidRPr="00583F60">
        <w:rPr>
          <w:rFonts w:ascii="Calibri" w:eastAsia="Calibri" w:hAnsi="Calibri" w:cs="Calibri"/>
          <w:sz w:val="22"/>
          <w:szCs w:val="22"/>
          <w:lang w:eastAsia="sk-SK"/>
        </w:rPr>
        <w:t xml:space="preserve"> </w:t>
      </w:r>
      <w:r w:rsidR="001F16DC" w:rsidRPr="00583F60">
        <w:rPr>
          <w:rFonts w:ascii="Calibri" w:eastAsia="Calibri" w:hAnsi="Calibri" w:cs="Calibri"/>
          <w:sz w:val="22"/>
          <w:szCs w:val="22"/>
          <w:lang w:eastAsia="sk-SK"/>
        </w:rPr>
        <w:t>Z hlediska čerpání podpory má n</w:t>
      </w:r>
      <w:r w:rsidRPr="00583F60">
        <w:rPr>
          <w:rFonts w:ascii="Calibri" w:eastAsia="Calibri" w:hAnsi="Calibri" w:cs="Calibri"/>
          <w:sz w:val="22"/>
          <w:szCs w:val="22"/>
          <w:lang w:eastAsia="sk-SK"/>
        </w:rPr>
        <w:t xml:space="preserve">ejvyšší podíl </w:t>
      </w:r>
      <w:r w:rsidR="001F16DC" w:rsidRPr="00583F60">
        <w:rPr>
          <w:rFonts w:ascii="Calibri" w:eastAsia="Calibri" w:hAnsi="Calibri" w:cs="Calibri"/>
          <w:sz w:val="22"/>
          <w:szCs w:val="22"/>
          <w:lang w:eastAsia="sk-SK"/>
        </w:rPr>
        <w:t xml:space="preserve">aktivita </w:t>
      </w:r>
      <w:r w:rsidRPr="00583F60">
        <w:rPr>
          <w:rFonts w:ascii="Calibri" w:eastAsia="Calibri" w:hAnsi="Calibri" w:cs="Calibri"/>
          <w:sz w:val="22"/>
          <w:szCs w:val="22"/>
          <w:lang w:eastAsia="sk-SK"/>
        </w:rPr>
        <w:t xml:space="preserve">snižování energetické náročnosti budov a snižování energetické </w:t>
      </w:r>
      <w:r w:rsidRPr="00583F60">
        <w:rPr>
          <w:rFonts w:ascii="Calibri" w:eastAsia="Calibri" w:hAnsi="Calibri" w:cs="Calibri"/>
          <w:sz w:val="22"/>
          <w:szCs w:val="22"/>
          <w:lang w:eastAsia="sk-SK"/>
        </w:rPr>
        <w:lastRenderedPageBreak/>
        <w:t xml:space="preserve">náročnosti, resp. zvyšování energetické účinnosti výrobních a technologických procesů. </w:t>
      </w:r>
    </w:p>
    <w:p w14:paraId="393D562F" w14:textId="0120119C" w:rsidR="001E72D1" w:rsidRDefault="001E72D1" w:rsidP="001E72D1">
      <w:pPr>
        <w:spacing w:after="0"/>
        <w:rPr>
          <w:rFonts w:ascii="Calibri" w:eastAsia="Calibri" w:hAnsi="Calibri" w:cs="Calibri"/>
          <w:lang w:eastAsia="sk-SK"/>
        </w:rPr>
      </w:pPr>
    </w:p>
    <w:p w14:paraId="46503A8E" w14:textId="1EA3C1CC" w:rsidR="001E72D1" w:rsidRPr="004B148B" w:rsidRDefault="001E72D1"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 xml:space="preserve">PP ÚE je nastaven tak, aby realizované projekty působily na snižování emise skleníkových plynů. </w:t>
      </w:r>
      <w:r w:rsidR="001F16DC" w:rsidRPr="00583F60">
        <w:rPr>
          <w:rFonts w:ascii="Calibri" w:eastAsia="Calibri" w:hAnsi="Calibri" w:cs="Calibri"/>
          <w:sz w:val="22"/>
          <w:szCs w:val="22"/>
          <w:lang w:eastAsia="sk-SK"/>
        </w:rPr>
        <w:t xml:space="preserve">Míra </w:t>
      </w:r>
      <w:r w:rsidRPr="00583F60">
        <w:rPr>
          <w:rFonts w:ascii="Calibri" w:eastAsia="Calibri" w:hAnsi="Calibri" w:cs="Calibri"/>
          <w:sz w:val="22"/>
          <w:szCs w:val="22"/>
          <w:lang w:eastAsia="sk-SK"/>
        </w:rPr>
        <w:t>napln</w:t>
      </w:r>
      <w:r w:rsidR="001F16DC" w:rsidRPr="00583F60">
        <w:rPr>
          <w:rFonts w:ascii="Calibri" w:eastAsia="Calibri" w:hAnsi="Calibri" w:cs="Calibri"/>
          <w:sz w:val="22"/>
          <w:szCs w:val="22"/>
          <w:lang w:eastAsia="sk-SK"/>
        </w:rPr>
        <w:t xml:space="preserve">ění </w:t>
      </w:r>
      <w:r w:rsidRPr="00583F60">
        <w:rPr>
          <w:rFonts w:ascii="Calibri" w:eastAsia="Calibri" w:hAnsi="Calibri" w:cs="Calibri"/>
          <w:sz w:val="22"/>
          <w:szCs w:val="22"/>
          <w:lang w:eastAsia="sk-SK"/>
        </w:rPr>
        <w:t>cílové hodnoty indikátoru Snížení emisí CO2</w:t>
      </w:r>
      <w:r w:rsidR="001F16DC" w:rsidRPr="00583F60">
        <w:rPr>
          <w:rFonts w:ascii="Calibri" w:eastAsia="Calibri" w:hAnsi="Calibri" w:cs="Calibri"/>
          <w:sz w:val="22"/>
          <w:szCs w:val="22"/>
          <w:lang w:eastAsia="sk-SK"/>
        </w:rPr>
        <w:t xml:space="preserve"> je zatím zanedbatelná</w:t>
      </w:r>
      <w:r w:rsidRPr="004B148B">
        <w:rPr>
          <w:rFonts w:ascii="Calibri" w:eastAsia="Calibri" w:hAnsi="Calibri" w:cs="Calibri"/>
          <w:sz w:val="22"/>
          <w:szCs w:val="22"/>
          <w:lang w:eastAsia="sk-SK"/>
        </w:rPr>
        <w:t>.</w:t>
      </w:r>
      <w:r w:rsidR="002046C7" w:rsidRPr="004B148B">
        <w:rPr>
          <w:rFonts w:ascii="Calibri" w:eastAsia="Calibri" w:hAnsi="Calibri" w:cs="Calibri"/>
          <w:sz w:val="22"/>
          <w:szCs w:val="22"/>
          <w:lang w:eastAsia="sk-SK"/>
        </w:rPr>
        <w:t xml:space="preserve"> </w:t>
      </w:r>
      <w:r w:rsidRPr="00DD3FEF">
        <w:rPr>
          <w:rFonts w:ascii="Calibri" w:eastAsia="Calibri" w:hAnsi="Calibri" w:cs="Calibri"/>
          <w:sz w:val="22"/>
          <w:szCs w:val="22"/>
          <w:lang w:eastAsia="sk-SK"/>
        </w:rPr>
        <w:t>V rámci PP ÚE nedochází k rozvoji energetických služeb se zaručeným výsledkem, neboť v rámci PP doposud nebylo vyřešeno, za jakých podmínek by služby EPC mohly fungovat. V současné době tedy platí, že z PP ÚE nemůže být podpořen projekty využívající EPC</w:t>
      </w:r>
      <w:r w:rsidRPr="004B148B">
        <w:rPr>
          <w:rFonts w:ascii="Calibri" w:eastAsia="Calibri" w:hAnsi="Calibri" w:cs="Calibri"/>
          <w:sz w:val="22"/>
          <w:szCs w:val="22"/>
          <w:lang w:eastAsia="sk-SK"/>
        </w:rPr>
        <w:t>.</w:t>
      </w:r>
    </w:p>
    <w:p w14:paraId="58192C7F" w14:textId="58CCE338" w:rsidR="005B3661" w:rsidRDefault="005B3661" w:rsidP="001E72D1">
      <w:pPr>
        <w:spacing w:after="0"/>
        <w:rPr>
          <w:rFonts w:ascii="Calibri" w:eastAsia="Calibri" w:hAnsi="Calibri" w:cs="Calibri"/>
          <w:lang w:eastAsia="sk-SK"/>
        </w:rPr>
      </w:pPr>
    </w:p>
    <w:p w14:paraId="67B6F621" w14:textId="1D510DAD" w:rsidR="005B3661" w:rsidRPr="00583F60" w:rsidRDefault="005B3661"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Z pohledu definovaných výsledků, kterých chce ČR dosáhnout s podporou Unie</w:t>
      </w:r>
      <w:r w:rsidR="002046C7" w:rsidRPr="00583F60">
        <w:rPr>
          <w:rFonts w:ascii="Calibri" w:eastAsia="Calibri" w:hAnsi="Calibri" w:cs="Calibri"/>
          <w:sz w:val="22"/>
          <w:szCs w:val="22"/>
          <w:lang w:eastAsia="sk-SK"/>
        </w:rPr>
        <w:t xml:space="preserve"> v rámci SC 3.4</w:t>
      </w:r>
      <w:r w:rsidRPr="00583F60">
        <w:rPr>
          <w:rFonts w:ascii="Calibri" w:eastAsia="Calibri" w:hAnsi="Calibri" w:cs="Calibri"/>
          <w:sz w:val="22"/>
          <w:szCs w:val="22"/>
          <w:lang w:eastAsia="sk-SK"/>
        </w:rPr>
        <w:t xml:space="preserve">, lze pozorovat pozitivní vývojové trendy. Vliv intervencí </w:t>
      </w:r>
      <w:r w:rsidR="002046C7" w:rsidRPr="00583F60">
        <w:rPr>
          <w:rFonts w:ascii="Calibri" w:eastAsia="Calibri" w:hAnsi="Calibri" w:cs="Calibri"/>
          <w:sz w:val="22"/>
          <w:szCs w:val="22"/>
          <w:lang w:eastAsia="sk-SK"/>
        </w:rPr>
        <w:t>PP NUT</w:t>
      </w:r>
      <w:r w:rsidRPr="00583F60">
        <w:rPr>
          <w:rFonts w:ascii="Calibri" w:eastAsia="Calibri" w:hAnsi="Calibri" w:cs="Calibri"/>
          <w:sz w:val="22"/>
          <w:szCs w:val="22"/>
          <w:lang w:eastAsia="sk-SK"/>
        </w:rPr>
        <w:t xml:space="preserve"> je však možno považovat spíše za nevýznamný.</w:t>
      </w:r>
      <w:r w:rsidR="002046C7" w:rsidRPr="00583F60">
        <w:rPr>
          <w:rFonts w:ascii="Calibri" w:eastAsia="Calibri" w:hAnsi="Calibri" w:cs="Calibri"/>
          <w:sz w:val="22"/>
          <w:szCs w:val="22"/>
          <w:lang w:eastAsia="sk-SK"/>
        </w:rPr>
        <w:t xml:space="preserve"> </w:t>
      </w:r>
      <w:r w:rsidR="001F16DC" w:rsidRPr="00583F60">
        <w:rPr>
          <w:rFonts w:ascii="Calibri" w:eastAsia="Calibri" w:hAnsi="Calibri" w:cs="Calibri"/>
          <w:sz w:val="22"/>
          <w:szCs w:val="22"/>
          <w:lang w:eastAsia="sk-SK"/>
        </w:rPr>
        <w:t>Z</w:t>
      </w:r>
      <w:r w:rsidRPr="00583F60">
        <w:rPr>
          <w:rFonts w:ascii="Calibri" w:eastAsia="Calibri" w:hAnsi="Calibri" w:cs="Calibri"/>
          <w:sz w:val="22"/>
          <w:szCs w:val="22"/>
          <w:lang w:eastAsia="sk-SK"/>
        </w:rPr>
        <w:t xml:space="preserve">avádění inovativních </w:t>
      </w:r>
      <w:r w:rsidR="001F16DC" w:rsidRPr="00583F60">
        <w:rPr>
          <w:rFonts w:ascii="Calibri" w:eastAsia="Calibri" w:hAnsi="Calibri" w:cs="Calibri"/>
          <w:sz w:val="22"/>
          <w:szCs w:val="22"/>
          <w:lang w:eastAsia="sk-SK"/>
        </w:rPr>
        <w:t>NUT</w:t>
      </w:r>
      <w:r w:rsidRPr="00583F60">
        <w:rPr>
          <w:rFonts w:ascii="Calibri" w:eastAsia="Calibri" w:hAnsi="Calibri" w:cs="Calibri"/>
          <w:sz w:val="22"/>
          <w:szCs w:val="22"/>
          <w:lang w:eastAsia="sk-SK"/>
        </w:rPr>
        <w:t xml:space="preserve"> vede v podpořených podnicích ke snížení nákladů, a tím k růstu konkurenceschopnosti.</w:t>
      </w:r>
    </w:p>
    <w:p w14:paraId="229449F9" w14:textId="77777777" w:rsidR="005B3661" w:rsidRDefault="005B3661" w:rsidP="005B3661">
      <w:pPr>
        <w:spacing w:after="0"/>
        <w:rPr>
          <w:rFonts w:ascii="Calibri" w:eastAsia="Calibri" w:hAnsi="Calibri" w:cs="Calibri"/>
          <w:lang w:eastAsia="sk-SK"/>
        </w:rPr>
      </w:pPr>
    </w:p>
    <w:p w14:paraId="4735C870" w14:textId="535D6190" w:rsidR="005B3661" w:rsidRPr="00583F60" w:rsidRDefault="005B3661"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Mezi hlavní aktuální trendy v zavádění inovativních NUT v oblasti nakládání energií patří zejména:</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koncept Smart Cities,</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nové zdroje energie,</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decentralizace energie,</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akumulace energie,</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modernizace a digitalizace energetických sítí,</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chytré budovy,</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bezemisní doprava nebo</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využití metanu v energetice a v dopravě.</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Trendy v oblasti druhotných surovin jsou širšího charakteru, což je dáno spektrem různých kategorií.</w:t>
      </w:r>
      <w:r w:rsidR="002046C7"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 xml:space="preserve">SC 3.4 reaguje na trendy v zavádění inovativních NUT. V důsledku působení SC 3.4 nebyl zatím pozorován vzestupný trend uplatnění žádné konkrétní inovativní </w:t>
      </w:r>
      <w:r w:rsidR="001F16DC" w:rsidRPr="00583F60">
        <w:rPr>
          <w:rFonts w:ascii="Calibri" w:eastAsia="Calibri" w:hAnsi="Calibri" w:cs="Calibri"/>
          <w:sz w:val="22"/>
          <w:szCs w:val="22"/>
          <w:lang w:eastAsia="sk-SK"/>
        </w:rPr>
        <w:t>NUT</w:t>
      </w:r>
      <w:r w:rsidRPr="00583F60">
        <w:rPr>
          <w:rFonts w:ascii="Calibri" w:eastAsia="Calibri" w:hAnsi="Calibri" w:cs="Calibri"/>
          <w:sz w:val="22"/>
          <w:szCs w:val="22"/>
          <w:lang w:eastAsia="sk-SK"/>
        </w:rPr>
        <w:t xml:space="preserve">, která se dříve běžně v ČR komerčně neuplatňovala. Aktuálně je největší potenciál spatřován zejména v oblasti akumulace energie.    </w:t>
      </w:r>
    </w:p>
    <w:p w14:paraId="771E1E4D" w14:textId="597D775E" w:rsidR="005B3661" w:rsidRDefault="005B3661" w:rsidP="005B3661">
      <w:pPr>
        <w:spacing w:after="0"/>
        <w:rPr>
          <w:rFonts w:ascii="Calibri" w:eastAsia="Calibri" w:hAnsi="Calibri" w:cs="Calibri"/>
          <w:lang w:eastAsia="sk-SK"/>
        </w:rPr>
      </w:pPr>
    </w:p>
    <w:p w14:paraId="3D5933AE" w14:textId="12FA1A33" w:rsidR="005B3661" w:rsidRPr="00583F60" w:rsidRDefault="005B3661"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Hodnotitel neidentifikoval bezprostřední, významný vliv dosud podpořených projektů v typové aktivitě „druhotné suroviny“ na zvýšení soběstačnosti ČR v surovinových zdrojích</w:t>
      </w:r>
      <w:r w:rsidR="001F16DC" w:rsidRPr="00583F60">
        <w:rPr>
          <w:rFonts w:ascii="Calibri" w:eastAsia="Calibri" w:hAnsi="Calibri" w:cs="Calibri"/>
          <w:sz w:val="22"/>
          <w:szCs w:val="22"/>
          <w:lang w:eastAsia="sk-SK"/>
        </w:rPr>
        <w:t>.</w:t>
      </w:r>
      <w:r w:rsidR="002046C7"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K největšímu snížení energetické náročnosti dochází v posledních letech zejména v odvětvích chemického a petrochemického průmyslu, textilního a kožedělného, papírenského a dřevozpracujícího průmyslu.</w:t>
      </w:r>
      <w:r w:rsidR="001F16D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K největšímu snížení materiálové náročnosti došlo v odvětvích výroby tabákových výrobků, výroby usní a souvisejících produktů, výroby chemických látek a přípravků a výroby nápojů.</w:t>
      </w:r>
    </w:p>
    <w:p w14:paraId="09332BFD" w14:textId="0B2B484E" w:rsidR="00A8623A" w:rsidRDefault="00A8623A" w:rsidP="005B3661">
      <w:pPr>
        <w:spacing w:after="0"/>
        <w:rPr>
          <w:rFonts w:ascii="Calibri" w:eastAsia="Calibri" w:hAnsi="Calibri" w:cs="Calibri"/>
          <w:lang w:eastAsia="sk-SK"/>
        </w:rPr>
      </w:pPr>
    </w:p>
    <w:p w14:paraId="16818A94" w14:textId="38271D2E" w:rsidR="00A8623A" w:rsidRPr="00583F60" w:rsidRDefault="00A8623A"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 xml:space="preserve">Největší zastoupení mezi podpořenými projekty </w:t>
      </w:r>
      <w:r w:rsidR="00494A85" w:rsidRPr="00583F60">
        <w:rPr>
          <w:rFonts w:ascii="Calibri" w:eastAsia="Calibri" w:hAnsi="Calibri" w:cs="Calibri"/>
          <w:sz w:val="22"/>
          <w:szCs w:val="22"/>
          <w:lang w:eastAsia="sk-SK"/>
        </w:rPr>
        <w:t xml:space="preserve">v PP NUT </w:t>
      </w:r>
      <w:r w:rsidRPr="00583F60">
        <w:rPr>
          <w:rFonts w:ascii="Calibri" w:eastAsia="Calibri" w:hAnsi="Calibri" w:cs="Calibri"/>
          <w:sz w:val="22"/>
          <w:szCs w:val="22"/>
          <w:lang w:eastAsia="sk-SK"/>
        </w:rPr>
        <w:t>má typová aktivita a) „elektromobilita“, nejmenší naopak typová aktivita d) „úprava bioplynu na biometan a jeho vtláčení do sítě“.</w:t>
      </w:r>
      <w:r w:rsidR="0025072B"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Z hlediska celkového objemu dosud přiznané podpory připadá největší část na aktivitu b) „akumulace energie“ a aktivitu c) „druhotné suroviny“.</w:t>
      </w:r>
      <w:r w:rsidR="0025072B"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Nejvyšší průměrná výše přiznané podpory na 1 projekt je v aktivitě c) „druhotné suroviny“.</w:t>
      </w:r>
    </w:p>
    <w:p w14:paraId="6D3533FF" w14:textId="5CFDD7FF" w:rsidR="00A8623A" w:rsidRDefault="00A8623A" w:rsidP="00A8623A">
      <w:pPr>
        <w:spacing w:after="0"/>
        <w:rPr>
          <w:rFonts w:ascii="Calibri" w:eastAsia="Calibri" w:hAnsi="Calibri" w:cs="Calibri"/>
          <w:lang w:eastAsia="sk-SK"/>
        </w:rPr>
      </w:pPr>
    </w:p>
    <w:p w14:paraId="2947553E" w14:textId="502C40FC" w:rsidR="00861EF9" w:rsidRDefault="00494A85" w:rsidP="00AA1B14">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Zaznamenané pozitivní n</w:t>
      </w:r>
      <w:r w:rsidR="00861EF9" w:rsidRPr="00583F60">
        <w:rPr>
          <w:rFonts w:ascii="Calibri" w:eastAsia="Calibri" w:hAnsi="Calibri" w:cs="Calibri"/>
          <w:sz w:val="22"/>
          <w:szCs w:val="22"/>
          <w:lang w:eastAsia="sk-SK"/>
        </w:rPr>
        <w:t xml:space="preserve">ezamýšlené </w:t>
      </w:r>
      <w:r w:rsidRPr="00583F60">
        <w:rPr>
          <w:rFonts w:ascii="Calibri" w:eastAsia="Calibri" w:hAnsi="Calibri" w:cs="Calibri"/>
          <w:sz w:val="22"/>
          <w:szCs w:val="22"/>
          <w:lang w:eastAsia="sk-SK"/>
        </w:rPr>
        <w:t xml:space="preserve">efekty </w:t>
      </w:r>
      <w:r w:rsidR="00861EF9" w:rsidRPr="00583F60">
        <w:rPr>
          <w:rFonts w:ascii="Calibri" w:eastAsia="Calibri" w:hAnsi="Calibri" w:cs="Calibri"/>
          <w:sz w:val="22"/>
          <w:szCs w:val="22"/>
          <w:lang w:eastAsia="sk-SK"/>
        </w:rPr>
        <w:t>v rámci dosahování specifických cílů</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vyšší účinnost pořízené technologie (SC 3.1)</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snížení nákladů pro odběratele tepla z OZE (SC 3.1)</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zlepšení vzhledu budovy v důsledku jejího zateplení (SC 3.2)</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teplotní pohoda a více světla v provozních prostorách firmy (SC 3.2)</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snížení emisí při výrobě tepla (SC 3.2)</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zájem širšího okolí o pořízené technologie (SC 3.4)</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iniciace dalších nápadů (SC 3.4)</w:t>
      </w:r>
      <w:r>
        <w:rPr>
          <w:rFonts w:ascii="Calibri" w:eastAsia="Calibri" w:hAnsi="Calibri" w:cs="Calibri"/>
          <w:sz w:val="22"/>
          <w:szCs w:val="22"/>
          <w:lang w:eastAsia="sk-SK"/>
        </w:rPr>
        <w:t>.</w:t>
      </w:r>
    </w:p>
    <w:p w14:paraId="3203DFBF" w14:textId="77777777" w:rsidR="00494A85" w:rsidRPr="00583F60" w:rsidRDefault="00494A85" w:rsidP="00583F60">
      <w:pPr>
        <w:pStyle w:val="Odstavecseseznamem"/>
        <w:rPr>
          <w:rFonts w:ascii="Calibri" w:eastAsia="Calibri" w:hAnsi="Calibri" w:cs="Calibri"/>
          <w:sz w:val="22"/>
          <w:szCs w:val="22"/>
          <w:lang w:eastAsia="sk-SK"/>
        </w:rPr>
      </w:pPr>
    </w:p>
    <w:p w14:paraId="11543957" w14:textId="253998EA" w:rsidR="00861EF9" w:rsidRPr="00583F60" w:rsidRDefault="00494A85"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Zaznamenané n</w:t>
      </w:r>
      <w:r w:rsidR="00861EF9" w:rsidRPr="00583F60">
        <w:rPr>
          <w:rFonts w:ascii="Calibri" w:eastAsia="Calibri" w:hAnsi="Calibri" w:cs="Calibri"/>
          <w:sz w:val="22"/>
          <w:szCs w:val="22"/>
          <w:lang w:eastAsia="sk-SK"/>
        </w:rPr>
        <w:t xml:space="preserve">egativní </w:t>
      </w:r>
      <w:r w:rsidRPr="00583F60">
        <w:rPr>
          <w:rFonts w:ascii="Calibri" w:eastAsia="Calibri" w:hAnsi="Calibri" w:cs="Calibri"/>
          <w:sz w:val="22"/>
          <w:szCs w:val="22"/>
          <w:lang w:eastAsia="sk-SK"/>
        </w:rPr>
        <w:t xml:space="preserve">nezamýšlené </w:t>
      </w:r>
      <w:r w:rsidR="00861EF9" w:rsidRPr="00583F60">
        <w:rPr>
          <w:rFonts w:ascii="Calibri" w:eastAsia="Calibri" w:hAnsi="Calibri" w:cs="Calibri"/>
          <w:sz w:val="22"/>
          <w:szCs w:val="22"/>
          <w:lang w:eastAsia="sk-SK"/>
        </w:rPr>
        <w:t>efekty:</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objekty napojené teplovodem na BPS toto teplo nevyužívají a dál topí fosilními palivy (SC 3.1)</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velká administrativní zátěž a dlouhá doba vyhodnocování žádosti o dotaci (SC 3.2, SC 3.4)</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nižší dopad úsporných opatření v důsledku růstu cen energií (SC 3.2)</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oproti plánům vyšší náklady projektu (SC 3.2)</w:t>
      </w:r>
      <w:r w:rsidRPr="00583F60">
        <w:rPr>
          <w:rFonts w:ascii="Calibri" w:eastAsia="Calibri" w:hAnsi="Calibri" w:cs="Calibri"/>
          <w:sz w:val="22"/>
          <w:szCs w:val="22"/>
          <w:lang w:eastAsia="sk-SK"/>
        </w:rPr>
        <w:t xml:space="preserve">, </w:t>
      </w:r>
      <w:r w:rsidR="00861EF9" w:rsidRPr="00583F60">
        <w:rPr>
          <w:rFonts w:ascii="Calibri" w:eastAsia="Calibri" w:hAnsi="Calibri" w:cs="Calibri"/>
          <w:sz w:val="22"/>
          <w:szCs w:val="22"/>
          <w:lang w:eastAsia="sk-SK"/>
        </w:rPr>
        <w:t>omezující podmínky využití výstupů projektu (SC 3.4)</w:t>
      </w:r>
      <w:r>
        <w:rPr>
          <w:rFonts w:ascii="Calibri" w:eastAsia="Calibri" w:hAnsi="Calibri" w:cs="Calibri"/>
          <w:sz w:val="22"/>
          <w:szCs w:val="22"/>
          <w:lang w:eastAsia="sk-SK"/>
        </w:rPr>
        <w:t>.</w:t>
      </w:r>
    </w:p>
    <w:p w14:paraId="1208D46B" w14:textId="77777777" w:rsidR="00861EF9" w:rsidRDefault="00861EF9" w:rsidP="00A8623A">
      <w:pPr>
        <w:spacing w:after="0"/>
        <w:rPr>
          <w:rFonts w:ascii="Calibri" w:eastAsia="Calibri" w:hAnsi="Calibri" w:cs="Calibri"/>
          <w:lang w:eastAsia="sk-SK"/>
        </w:rPr>
      </w:pPr>
    </w:p>
    <w:p w14:paraId="63CB8847" w14:textId="0D61317F" w:rsidR="00861EF9" w:rsidRPr="00583F60" w:rsidRDefault="00861EF9"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 xml:space="preserve">Byla potvrzena existence souvislostí mezi intervencemi a cíli SC 3.1, 3.2 a 3.4 ve smyslu </w:t>
      </w:r>
      <w:r w:rsidRPr="00583F60">
        <w:rPr>
          <w:rFonts w:ascii="Calibri" w:eastAsia="Calibri" w:hAnsi="Calibri" w:cs="Calibri"/>
          <w:sz w:val="22"/>
          <w:szCs w:val="22"/>
          <w:lang w:eastAsia="sk-SK"/>
        </w:rPr>
        <w:lastRenderedPageBreak/>
        <w:t>kauzálního řetězce: vstupy – aktivity – výstupy – okamžité efekty – střednědobé změny – dopady.</w:t>
      </w:r>
      <w:r w:rsidR="00494A85"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 xml:space="preserve">Intervence realizované v rámci sledovaných SC mohou přispět k trvalému zlepšení identifikovaných problémů. Nezbytnou podmínkou je naplnění souvisejících předpokladů a rovněž pozitivní působení externích vlivů. </w:t>
      </w:r>
    </w:p>
    <w:p w14:paraId="10814CB5" w14:textId="77777777" w:rsidR="0025072B" w:rsidRPr="00861EF9" w:rsidRDefault="0025072B" w:rsidP="00861EF9">
      <w:pPr>
        <w:spacing w:after="0"/>
        <w:rPr>
          <w:rFonts w:ascii="Calibri" w:eastAsia="Calibri" w:hAnsi="Calibri" w:cs="Calibri"/>
          <w:lang w:eastAsia="sk-SK"/>
        </w:rPr>
      </w:pPr>
    </w:p>
    <w:p w14:paraId="71A6A0A0" w14:textId="65186E74" w:rsidR="00861EF9" w:rsidRPr="00583F60" w:rsidRDefault="00861EF9"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Vzhledem k tomu, že</w:t>
      </w:r>
      <w:r w:rsidR="00E639FC" w:rsidRPr="00583F60">
        <w:rPr>
          <w:rFonts w:ascii="Calibri" w:eastAsia="Calibri" w:hAnsi="Calibri" w:cs="Calibri"/>
          <w:sz w:val="22"/>
          <w:szCs w:val="22"/>
          <w:lang w:eastAsia="sk-SK"/>
        </w:rPr>
        <w:t xml:space="preserve"> p</w:t>
      </w:r>
      <w:r w:rsidRPr="00583F60">
        <w:rPr>
          <w:rFonts w:ascii="Calibri" w:eastAsia="Calibri" w:hAnsi="Calibri" w:cs="Calibri"/>
          <w:sz w:val="22"/>
          <w:szCs w:val="22"/>
          <w:lang w:eastAsia="sk-SK"/>
        </w:rPr>
        <w:t>lánované cíle SC 3.1, 3.2 a 3.4 nebyly zatím dosaženy a</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při poskytování podpory jsou naplňovány principy 3E</w:t>
      </w:r>
      <w:r w:rsidR="00E639FC" w:rsidRPr="00583F60">
        <w:rPr>
          <w:rFonts w:ascii="Calibri" w:eastAsia="Calibri" w:hAnsi="Calibri" w:cs="Calibri"/>
          <w:sz w:val="22"/>
          <w:szCs w:val="22"/>
          <w:lang w:eastAsia="sk-SK"/>
        </w:rPr>
        <w:t xml:space="preserve">, </w:t>
      </w:r>
      <w:r w:rsidRPr="00583F60">
        <w:rPr>
          <w:rFonts w:ascii="Calibri" w:eastAsia="Calibri" w:hAnsi="Calibri" w:cs="Calibri"/>
          <w:sz w:val="22"/>
          <w:szCs w:val="22"/>
          <w:lang w:eastAsia="sk-SK"/>
        </w:rPr>
        <w:t>je potřebné a smysluplné dané aktivity podporovat i nadále.</w:t>
      </w:r>
    </w:p>
    <w:p w14:paraId="13478979" w14:textId="65BBBFC5" w:rsidR="00861EF9" w:rsidRPr="00583F60" w:rsidRDefault="00861EF9" w:rsidP="00583F60">
      <w:pPr>
        <w:pStyle w:val="Odstavecseseznamem"/>
        <w:rPr>
          <w:rFonts w:ascii="Calibri" w:eastAsia="Calibri" w:hAnsi="Calibri" w:cs="Calibri"/>
          <w:sz w:val="22"/>
          <w:szCs w:val="22"/>
          <w:lang w:eastAsia="sk-SK"/>
        </w:rPr>
      </w:pPr>
    </w:p>
    <w:p w14:paraId="77C42A68" w14:textId="63E2CBE2" w:rsidR="007F3F6E" w:rsidRPr="00583F60" w:rsidRDefault="007F3F6E" w:rsidP="00583F60">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 xml:space="preserve">V tematických, resp. problémových oblastech, na které reagují SC 3.1, 3.2 a 3.4, jsou ve sledovaných obdobích zaznamenávány na úrovni celé ČR spíše pozitivní vývojové tendence. Samotný věcný pokrok předmětných specifických cílů OP PIK ke konci roku 2018 je však hodnocen jako neuspokojivý, v některých případech i rizikový z pohledu plnění kvantifikovaných cílů pro rok 2023. Příčinou není chybné nastavení intervenční logiky těchto SC a/nebo předmětu podpory, ale spíše organizační a administrativní aspekty implementace programů podpory. </w:t>
      </w:r>
    </w:p>
    <w:p w14:paraId="3B9BD91C" w14:textId="77777777" w:rsidR="007F3F6E" w:rsidRPr="00583F60" w:rsidRDefault="007F3F6E" w:rsidP="00583F60">
      <w:pPr>
        <w:pStyle w:val="Odstavecseseznamem"/>
        <w:rPr>
          <w:rFonts w:ascii="Calibri" w:eastAsia="Calibri" w:hAnsi="Calibri" w:cs="Calibri"/>
          <w:sz w:val="22"/>
          <w:szCs w:val="22"/>
          <w:lang w:eastAsia="sk-SK"/>
        </w:rPr>
      </w:pPr>
    </w:p>
    <w:p w14:paraId="07770ABA" w14:textId="4CC49FA0" w:rsidR="007F3F6E" w:rsidRDefault="007F3F6E" w:rsidP="00AA1B14">
      <w:pPr>
        <w:pStyle w:val="Odstavecseseznamem"/>
        <w:numPr>
          <w:ilvl w:val="0"/>
          <w:numId w:val="63"/>
        </w:numPr>
        <w:rPr>
          <w:rFonts w:ascii="Calibri" w:eastAsia="Calibri" w:hAnsi="Calibri" w:cs="Calibri"/>
          <w:sz w:val="22"/>
          <w:szCs w:val="22"/>
          <w:lang w:eastAsia="sk-SK"/>
        </w:rPr>
      </w:pPr>
      <w:r w:rsidRPr="00583F60">
        <w:rPr>
          <w:rFonts w:ascii="Calibri" w:eastAsia="Calibri" w:hAnsi="Calibri" w:cs="Calibri"/>
          <w:sz w:val="22"/>
          <w:szCs w:val="22"/>
          <w:lang w:eastAsia="sk-SK"/>
        </w:rPr>
        <w:t>Jako hlavní příčiny nedostatečného plnění (interních) výsledků i výstupů byly identifikovány:</w:t>
      </w:r>
      <w:r w:rsidR="00494A85" w:rsidRPr="00583F60">
        <w:rPr>
          <w:rFonts w:ascii="Calibri" w:eastAsia="Calibri" w:hAnsi="Calibri" w:cs="Calibri"/>
          <w:sz w:val="22"/>
          <w:szCs w:val="22"/>
          <w:lang w:eastAsia="sk-SK"/>
        </w:rPr>
        <w:t xml:space="preserve"> č</w:t>
      </w:r>
      <w:r w:rsidRPr="00583F60">
        <w:rPr>
          <w:rFonts w:ascii="Calibri" w:eastAsia="Calibri" w:hAnsi="Calibri" w:cs="Calibri"/>
          <w:sz w:val="22"/>
          <w:szCs w:val="22"/>
          <w:lang w:eastAsia="sk-SK"/>
        </w:rPr>
        <w:t>asová zpoždění při zahájení implementace PP</w:t>
      </w:r>
      <w:r w:rsidR="00494A85" w:rsidRPr="00583F60">
        <w:rPr>
          <w:rFonts w:ascii="Calibri" w:eastAsia="Calibri" w:hAnsi="Calibri" w:cs="Calibri"/>
          <w:sz w:val="22"/>
          <w:szCs w:val="22"/>
          <w:lang w:eastAsia="sk-SK"/>
        </w:rPr>
        <w:t>, p</w:t>
      </w:r>
      <w:r w:rsidRPr="00583F60">
        <w:rPr>
          <w:rFonts w:ascii="Calibri" w:eastAsia="Calibri" w:hAnsi="Calibri" w:cs="Calibri"/>
          <w:sz w:val="22"/>
          <w:szCs w:val="22"/>
          <w:lang w:eastAsia="sk-SK"/>
        </w:rPr>
        <w:t>omalý proces hodnocení projektových žádostí</w:t>
      </w:r>
      <w:r w:rsidR="00494A85" w:rsidRPr="00583F60">
        <w:rPr>
          <w:rFonts w:ascii="Calibri" w:eastAsia="Calibri" w:hAnsi="Calibri" w:cs="Calibri"/>
          <w:sz w:val="22"/>
          <w:szCs w:val="22"/>
          <w:lang w:eastAsia="sk-SK"/>
        </w:rPr>
        <w:t>, a</w:t>
      </w:r>
      <w:r w:rsidRPr="00583F60">
        <w:rPr>
          <w:rFonts w:ascii="Calibri" w:eastAsia="Calibri" w:hAnsi="Calibri" w:cs="Calibri"/>
          <w:sz w:val="22"/>
          <w:szCs w:val="22"/>
          <w:lang w:eastAsia="sk-SK"/>
        </w:rPr>
        <w:t>dministrativní zátěž žadatelů</w:t>
      </w:r>
      <w:r w:rsidR="00494A85" w:rsidRPr="00583F60">
        <w:rPr>
          <w:rFonts w:ascii="Calibri" w:eastAsia="Calibri" w:hAnsi="Calibri" w:cs="Calibri"/>
          <w:sz w:val="22"/>
          <w:szCs w:val="22"/>
          <w:lang w:eastAsia="sk-SK"/>
        </w:rPr>
        <w:t>, n</w:t>
      </w:r>
      <w:r w:rsidRPr="00583F60">
        <w:rPr>
          <w:rFonts w:ascii="Calibri" w:eastAsia="Calibri" w:hAnsi="Calibri" w:cs="Calibri"/>
          <w:sz w:val="22"/>
          <w:szCs w:val="22"/>
          <w:lang w:eastAsia="sk-SK"/>
        </w:rPr>
        <w:t>ejednoznačné a netransparentní metodické postupy hodnocení hospodárnosti projektu</w:t>
      </w:r>
      <w:r w:rsidR="00494A85" w:rsidRPr="00583F60">
        <w:rPr>
          <w:rFonts w:ascii="Calibri" w:eastAsia="Calibri" w:hAnsi="Calibri" w:cs="Calibri"/>
          <w:sz w:val="22"/>
          <w:szCs w:val="22"/>
          <w:lang w:eastAsia="sk-SK"/>
        </w:rPr>
        <w:t>, s</w:t>
      </w:r>
      <w:r w:rsidRPr="00583F60">
        <w:rPr>
          <w:rFonts w:ascii="Calibri" w:eastAsia="Calibri" w:hAnsi="Calibri" w:cs="Calibri"/>
          <w:sz w:val="22"/>
          <w:szCs w:val="22"/>
          <w:lang w:eastAsia="sk-SK"/>
        </w:rPr>
        <w:t>ložitá a časově náročná realizace projektů v</w:t>
      </w:r>
      <w:r w:rsidR="00494A85" w:rsidRPr="00583F60">
        <w:rPr>
          <w:rFonts w:ascii="Calibri" w:eastAsia="Calibri" w:hAnsi="Calibri" w:cs="Calibri"/>
          <w:sz w:val="22"/>
          <w:szCs w:val="22"/>
          <w:lang w:eastAsia="sk-SK"/>
        </w:rPr>
        <w:t> </w:t>
      </w:r>
      <w:r w:rsidRPr="00583F60">
        <w:rPr>
          <w:rFonts w:ascii="Calibri" w:eastAsia="Calibri" w:hAnsi="Calibri" w:cs="Calibri"/>
          <w:sz w:val="22"/>
          <w:szCs w:val="22"/>
          <w:lang w:eastAsia="sk-SK"/>
        </w:rPr>
        <w:t>energetice</w:t>
      </w:r>
      <w:r w:rsidR="00494A85" w:rsidRPr="00583F60">
        <w:rPr>
          <w:rFonts w:ascii="Calibri" w:eastAsia="Calibri" w:hAnsi="Calibri" w:cs="Calibri"/>
          <w:sz w:val="22"/>
          <w:szCs w:val="22"/>
          <w:lang w:eastAsia="sk-SK"/>
        </w:rPr>
        <w:t>, l</w:t>
      </w:r>
      <w:r w:rsidRPr="00583F60">
        <w:rPr>
          <w:rFonts w:ascii="Calibri" w:eastAsia="Calibri" w:hAnsi="Calibri" w:cs="Calibri"/>
          <w:sz w:val="22"/>
          <w:szCs w:val="22"/>
          <w:lang w:eastAsia="sk-SK"/>
        </w:rPr>
        <w:t>imit finanční alokace určené pro velké podniky</w:t>
      </w:r>
      <w:r w:rsidR="00494A85" w:rsidRPr="00583F60">
        <w:rPr>
          <w:rFonts w:ascii="Calibri" w:eastAsia="Calibri" w:hAnsi="Calibri" w:cs="Calibri"/>
          <w:sz w:val="22"/>
          <w:szCs w:val="22"/>
          <w:lang w:eastAsia="sk-SK"/>
        </w:rPr>
        <w:t>, n</w:t>
      </w:r>
      <w:r w:rsidRPr="00583F60">
        <w:rPr>
          <w:rFonts w:ascii="Calibri" w:eastAsia="Calibri" w:hAnsi="Calibri" w:cs="Calibri"/>
          <w:sz w:val="22"/>
          <w:szCs w:val="22"/>
          <w:lang w:eastAsia="sk-SK"/>
        </w:rPr>
        <w:t>edostatečně motivující veřejná podpora, nevyhovující systém blokových výjimek</w:t>
      </w:r>
      <w:r w:rsidR="00494A85">
        <w:rPr>
          <w:rFonts w:ascii="Calibri" w:eastAsia="Calibri" w:hAnsi="Calibri" w:cs="Calibri"/>
          <w:sz w:val="22"/>
          <w:szCs w:val="22"/>
          <w:lang w:eastAsia="sk-SK"/>
        </w:rPr>
        <w:t>.</w:t>
      </w:r>
    </w:p>
    <w:p w14:paraId="02D8AEAE" w14:textId="77777777" w:rsidR="00494A85" w:rsidRPr="00583F60" w:rsidRDefault="00494A85" w:rsidP="00583F60">
      <w:pPr>
        <w:pStyle w:val="Odstavecseseznamem"/>
        <w:rPr>
          <w:rFonts w:ascii="Calibri" w:eastAsia="Calibri" w:hAnsi="Calibri" w:cs="Calibri"/>
          <w:sz w:val="22"/>
          <w:szCs w:val="22"/>
          <w:lang w:eastAsia="sk-SK"/>
        </w:rPr>
      </w:pPr>
    </w:p>
    <w:p w14:paraId="6EB8DC67" w14:textId="6A0620EC" w:rsidR="007F3F6E" w:rsidRPr="00583F60" w:rsidRDefault="00303B95" w:rsidP="00583F60">
      <w:pPr>
        <w:pStyle w:val="Odstavecseseznamem"/>
        <w:numPr>
          <w:ilvl w:val="0"/>
          <w:numId w:val="63"/>
        </w:numPr>
        <w:rPr>
          <w:rFonts w:ascii="Calibri" w:eastAsia="Calibri" w:hAnsi="Calibri" w:cs="Calibri"/>
          <w:sz w:val="22"/>
          <w:szCs w:val="22"/>
          <w:lang w:eastAsia="sk-SK"/>
        </w:rPr>
      </w:pPr>
      <w:r w:rsidRPr="00303B95">
        <w:rPr>
          <w:rFonts w:ascii="Calibri" w:eastAsia="Calibri" w:hAnsi="Calibri" w:cs="Calibri"/>
          <w:iCs/>
          <w:sz w:val="22"/>
          <w:szCs w:val="22"/>
          <w:lang w:eastAsia="sk-SK"/>
        </w:rPr>
        <w:t xml:space="preserve">Dosažení stanovených cílů a cílových hodnot indikátorů v SC 3.1 do konce programového období 2014-2020 hodnotitel nepředpokládá. V případě SC 3.2 </w:t>
      </w:r>
      <w:r>
        <w:rPr>
          <w:rFonts w:ascii="Calibri" w:eastAsia="Calibri" w:hAnsi="Calibri" w:cs="Calibri"/>
          <w:iCs/>
          <w:sz w:val="22"/>
          <w:szCs w:val="22"/>
          <w:lang w:eastAsia="sk-SK"/>
        </w:rPr>
        <w:t xml:space="preserve">a 3.4 </w:t>
      </w:r>
      <w:r w:rsidR="007F3F6E" w:rsidRPr="00583F60">
        <w:rPr>
          <w:rFonts w:ascii="Calibri" w:eastAsia="Calibri" w:hAnsi="Calibri" w:cs="Calibri"/>
          <w:sz w:val="22"/>
          <w:szCs w:val="22"/>
          <w:lang w:eastAsia="sk-SK"/>
        </w:rPr>
        <w:t>hodnotitel očekává dosažení stanovených cílů do konce programového období 2014 – 2020.</w:t>
      </w:r>
    </w:p>
    <w:p w14:paraId="66A8B7D7" w14:textId="71A19EED" w:rsidR="007F3F6E" w:rsidRDefault="007F3F6E" w:rsidP="007F3F6E">
      <w:pPr>
        <w:spacing w:after="0"/>
        <w:rPr>
          <w:rFonts w:ascii="Calibri" w:eastAsia="Calibri" w:hAnsi="Calibri" w:cs="Calibri"/>
          <w:lang w:eastAsia="sk-SK"/>
        </w:rPr>
      </w:pPr>
    </w:p>
    <w:p w14:paraId="605AD28C" w14:textId="77777777" w:rsidR="007F3F6E" w:rsidRDefault="007F3F6E" w:rsidP="007F3F6E">
      <w:pPr>
        <w:spacing w:after="0"/>
        <w:rPr>
          <w:rFonts w:ascii="Calibri" w:eastAsia="Calibri" w:hAnsi="Calibri" w:cs="Calibri"/>
          <w:lang w:eastAsia="sk-SK"/>
        </w:rPr>
      </w:pPr>
    </w:p>
    <w:p w14:paraId="63372ABC" w14:textId="77777777" w:rsidR="00796E7C" w:rsidRPr="00583F60" w:rsidRDefault="00796E7C" w:rsidP="000C0C19">
      <w:pPr>
        <w:spacing w:after="0"/>
        <w:rPr>
          <w:rFonts w:ascii="Calibri" w:eastAsia="Calibri" w:hAnsi="Calibri" w:cs="Calibri"/>
          <w:lang w:eastAsia="sk-SK"/>
        </w:rPr>
      </w:pPr>
    </w:p>
    <w:p w14:paraId="169EB462" w14:textId="025F1152" w:rsidR="003D3BEB" w:rsidRPr="003D3BEB" w:rsidRDefault="003D3BEB" w:rsidP="003D3BEB">
      <w:pPr>
        <w:spacing w:after="0"/>
        <w:rPr>
          <w:rFonts w:ascii="Calibri" w:eastAsia="Calibri" w:hAnsi="Calibri" w:cs="Calibri"/>
          <w:lang w:eastAsia="sk-SK"/>
        </w:rPr>
      </w:pPr>
    </w:p>
    <w:p w14:paraId="617AC162" w14:textId="77777777" w:rsidR="003D3BEB" w:rsidRPr="003D3BEB" w:rsidRDefault="003D3BEB" w:rsidP="003D3BEB">
      <w:pPr>
        <w:spacing w:after="0"/>
        <w:rPr>
          <w:rFonts w:ascii="Calibri" w:eastAsia="Calibri" w:hAnsi="Calibri" w:cs="Calibri"/>
          <w:lang w:eastAsia="sk-SK"/>
        </w:rPr>
      </w:pPr>
    </w:p>
    <w:p w14:paraId="7450DAE8" w14:textId="77777777" w:rsidR="003D3BEB" w:rsidRPr="003D3BEB" w:rsidRDefault="003D3BEB" w:rsidP="003D3BEB">
      <w:pPr>
        <w:spacing w:after="0"/>
        <w:rPr>
          <w:rFonts w:ascii="Calibri" w:eastAsia="Calibri" w:hAnsi="Calibri" w:cs="Calibri"/>
          <w:lang w:eastAsia="sk-SK"/>
        </w:rPr>
      </w:pPr>
    </w:p>
    <w:p w14:paraId="0F49E77E" w14:textId="77777777" w:rsidR="00446B47" w:rsidRDefault="00446B47" w:rsidP="00E118FD">
      <w:pPr>
        <w:spacing w:after="0"/>
        <w:rPr>
          <w:rFonts w:ascii="Calibri" w:hAnsi="Calibri" w:cs="Calibri"/>
        </w:rPr>
      </w:pPr>
    </w:p>
    <w:p w14:paraId="21427529" w14:textId="77777777" w:rsidR="00446B47" w:rsidRDefault="00446B47" w:rsidP="00E118FD">
      <w:pPr>
        <w:spacing w:after="0"/>
        <w:rPr>
          <w:rFonts w:ascii="Calibri" w:hAnsi="Calibri" w:cs="Calibri"/>
        </w:rPr>
      </w:pPr>
    </w:p>
    <w:p w14:paraId="0D957C11" w14:textId="3BAD8BE7" w:rsidR="00446B47" w:rsidRDefault="00446B47" w:rsidP="00446B47">
      <w:pPr>
        <w:pStyle w:val="Nadpis1"/>
        <w:ind w:left="431" w:hanging="431"/>
      </w:pPr>
      <w:bookmarkStart w:id="23" w:name="_Toc4596805"/>
      <w:bookmarkStart w:id="24" w:name="_Toc10729909"/>
      <w:r>
        <w:lastRenderedPageBreak/>
        <w:t>Evaluační otázka 1</w:t>
      </w:r>
      <w:r w:rsidR="00F41620">
        <w:t xml:space="preserve"> (OZE)</w:t>
      </w:r>
      <w:bookmarkEnd w:id="23"/>
      <w:bookmarkEnd w:id="24"/>
    </w:p>
    <w:p w14:paraId="3AC5474E" w14:textId="32B4156A" w:rsidR="003772E3" w:rsidRDefault="00F41620" w:rsidP="003772E3">
      <w:pPr>
        <w:spacing w:after="0"/>
        <w:rPr>
          <w:rFonts w:ascii="Calibri" w:hAnsi="Calibri" w:cs="Calibri"/>
          <w:b/>
        </w:rPr>
      </w:pPr>
      <w:r w:rsidRPr="00F41620">
        <w:rPr>
          <w:rFonts w:ascii="Calibri" w:hAnsi="Calibri" w:cs="Calibri"/>
          <w:b/>
        </w:rPr>
        <w:t>Jak přispěly intervence realizované v rámci programu podpory Obnovitelné zdroje energie k dosahování SC 3.1 OP PIK?</w:t>
      </w:r>
      <w:r w:rsidR="00805025">
        <w:rPr>
          <w:rFonts w:ascii="Calibri" w:hAnsi="Calibri" w:cs="Calibri"/>
          <w:b/>
        </w:rPr>
        <w:t xml:space="preserve"> </w:t>
      </w:r>
      <w:r w:rsidR="00805025" w:rsidRPr="00805025">
        <w:rPr>
          <w:rFonts w:ascii="Calibri" w:hAnsi="Calibri" w:cs="Calibri"/>
          <w:b/>
        </w:rPr>
        <w:t>Dodavatel zhodnotí, do jaké míry přispívají intervence realizované v tomto programu podpory ke zvýšení podílu výroby energie z obnovitelných zdrojů na hrubé konečné spotřebě ČR. Bude zhodnocen příspěvek podpořených projektů k naplňování výsledkového indikátoru.</w:t>
      </w:r>
    </w:p>
    <w:p w14:paraId="3D4D5ED7" w14:textId="77777777" w:rsidR="003772E3" w:rsidRDefault="003772E3" w:rsidP="003772E3">
      <w:pPr>
        <w:spacing w:after="0"/>
        <w:rPr>
          <w:rFonts w:ascii="Calibri" w:hAnsi="Calibri" w:cs="Calibri"/>
          <w:b/>
        </w:rPr>
      </w:pPr>
    </w:p>
    <w:p w14:paraId="5C3C4056" w14:textId="77777777" w:rsidR="003772E3" w:rsidRPr="001C50E7" w:rsidRDefault="003772E3" w:rsidP="003772E3">
      <w:pPr>
        <w:pStyle w:val="Nadpis2"/>
      </w:pPr>
      <w:bookmarkStart w:id="25" w:name="_Toc4596806"/>
      <w:bookmarkStart w:id="26" w:name="_Toc10729910"/>
      <w:r w:rsidRPr="001C50E7">
        <w:t>Úkol</w:t>
      </w:r>
      <w:bookmarkEnd w:id="25"/>
      <w:bookmarkEnd w:id="26"/>
    </w:p>
    <w:p w14:paraId="67E1C924" w14:textId="75C027B6" w:rsidR="002F798B" w:rsidRDefault="002F798B" w:rsidP="00436DC0">
      <w:pPr>
        <w:spacing w:after="0"/>
      </w:pPr>
      <w:r w:rsidRPr="00D47B20">
        <w:t>Vyhodnotit příspěvek podpořených a realizovaných projektů k plnění specifických cílů, ověřit platnost kauzálních vazeb.</w:t>
      </w:r>
    </w:p>
    <w:p w14:paraId="67C06375" w14:textId="77777777" w:rsidR="00436DC0" w:rsidRPr="001C50E7" w:rsidRDefault="00436DC0" w:rsidP="00436DC0">
      <w:pPr>
        <w:spacing w:after="0"/>
      </w:pPr>
    </w:p>
    <w:p w14:paraId="14E87A0A" w14:textId="77777777" w:rsidR="003772E3" w:rsidRPr="001C50E7" w:rsidRDefault="003772E3" w:rsidP="003772E3">
      <w:pPr>
        <w:pStyle w:val="Nadpis2"/>
      </w:pPr>
      <w:bookmarkStart w:id="27" w:name="_Toc4596807"/>
      <w:bookmarkStart w:id="28" w:name="_Toc10729911"/>
      <w:r w:rsidRPr="001C50E7">
        <w:t>Východiska</w:t>
      </w:r>
      <w:bookmarkEnd w:id="27"/>
      <w:bookmarkEnd w:id="28"/>
    </w:p>
    <w:p w14:paraId="1CA72406" w14:textId="6B93020F" w:rsidR="003772E3" w:rsidRDefault="00443675" w:rsidP="00436DC0">
      <w:pPr>
        <w:spacing w:after="0"/>
        <w:rPr>
          <w:lang w:eastAsia="cs-CZ"/>
        </w:rPr>
      </w:pPr>
      <w:r>
        <w:rPr>
          <w:rFonts w:ascii="Calibri" w:hAnsi="Calibri" w:cs="Calibri"/>
        </w:rPr>
        <w:t>H</w:t>
      </w:r>
      <w:r w:rsidR="001C415B">
        <w:rPr>
          <w:rFonts w:ascii="Calibri" w:hAnsi="Calibri" w:cs="Calibri"/>
        </w:rPr>
        <w:t xml:space="preserve">lavním cílem </w:t>
      </w:r>
      <w:r>
        <w:rPr>
          <w:rFonts w:ascii="Calibri" w:hAnsi="Calibri" w:cs="Calibri"/>
        </w:rPr>
        <w:t xml:space="preserve">PP Obnovitelné zdroje energie, který je relevantní pro specifický cíl 3.1, </w:t>
      </w:r>
      <w:r w:rsidR="001C415B">
        <w:rPr>
          <w:rFonts w:ascii="Calibri" w:hAnsi="Calibri" w:cs="Calibri"/>
        </w:rPr>
        <w:t xml:space="preserve">je </w:t>
      </w:r>
      <w:r w:rsidR="001C415B" w:rsidRPr="00492793">
        <w:rPr>
          <w:lang w:eastAsia="cs-CZ"/>
        </w:rPr>
        <w:t xml:space="preserve">podpora výroby a distribuce energie pocházející z obnovitelných zdrojů. </w:t>
      </w:r>
      <w:r>
        <w:rPr>
          <w:lang w:eastAsia="cs-CZ"/>
        </w:rPr>
        <w:t xml:space="preserve">Podpora je zaměřena na zařízení s největší efektivitou a bez negativního vlivu na </w:t>
      </w:r>
      <w:r w:rsidR="001C415B" w:rsidRPr="00492793">
        <w:rPr>
          <w:lang w:eastAsia="cs-CZ"/>
        </w:rPr>
        <w:t>elektrizační soustavu.</w:t>
      </w:r>
    </w:p>
    <w:p w14:paraId="5DE64E75" w14:textId="77777777" w:rsidR="00436DC0" w:rsidRDefault="00436DC0" w:rsidP="00436DC0">
      <w:pPr>
        <w:spacing w:after="0"/>
        <w:jc w:val="both"/>
        <w:rPr>
          <w:rFonts w:cstheme="minorHAnsi"/>
          <w:lang w:eastAsia="sk-SK"/>
        </w:rPr>
      </w:pPr>
    </w:p>
    <w:p w14:paraId="74C283AC" w14:textId="42875C22" w:rsidR="008D0636" w:rsidRPr="002A2B65" w:rsidRDefault="008D0636" w:rsidP="00436DC0">
      <w:pPr>
        <w:spacing w:after="0"/>
        <w:jc w:val="both"/>
        <w:rPr>
          <w:rFonts w:cstheme="minorHAnsi"/>
          <w:lang w:eastAsia="sk-SK"/>
        </w:rPr>
      </w:pPr>
      <w:r w:rsidRPr="002A2B65">
        <w:rPr>
          <w:rFonts w:cstheme="minorHAnsi"/>
          <w:lang w:eastAsia="sk-SK"/>
        </w:rPr>
        <w:t>Prostřednictvím realizace tohoto programu má být, jak je uvedeno v programovém dokumentu, dosaženo následujících výsledků:</w:t>
      </w:r>
    </w:p>
    <w:p w14:paraId="654261E1" w14:textId="2BAEDE5B" w:rsidR="008D0636" w:rsidRPr="002A2B65" w:rsidRDefault="00443675" w:rsidP="00436DC0">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Přispět</w:t>
      </w:r>
      <w:r w:rsidR="008D0636" w:rsidRPr="002A2B65">
        <w:rPr>
          <w:rFonts w:asciiTheme="minorHAnsi" w:hAnsiTheme="minorHAnsi" w:cstheme="minorHAnsi"/>
          <w:sz w:val="22"/>
          <w:szCs w:val="22"/>
          <w:lang w:eastAsia="sk-SK"/>
        </w:rPr>
        <w:t xml:space="preserve"> k naplnění cíle dosáhnout podílu energie z OZE na hrubé konečné spotřebě energie ve výši 13 % do r. 2020. S tím souvisí snížení spotřeby primárních zdrojů.</w:t>
      </w:r>
    </w:p>
    <w:p w14:paraId="3EB1F371" w14:textId="78751A74" w:rsidR="008D0636" w:rsidRPr="002A2B65" w:rsidRDefault="00443675" w:rsidP="00436DC0">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 xml:space="preserve">Zvýšit efektivnost </w:t>
      </w:r>
      <w:r w:rsidR="008D0636" w:rsidRPr="002A2B65">
        <w:rPr>
          <w:rFonts w:asciiTheme="minorHAnsi" w:hAnsiTheme="minorHAnsi" w:cstheme="minorHAnsi"/>
          <w:sz w:val="22"/>
          <w:szCs w:val="22"/>
          <w:lang w:eastAsia="sk-SK"/>
        </w:rPr>
        <w:t>využití všech typů energetických zdrojů OZE relevantních pro ČR.</w:t>
      </w:r>
    </w:p>
    <w:p w14:paraId="4BD515CF" w14:textId="12CBDDD4" w:rsidR="008D0636" w:rsidRPr="002A2B65" w:rsidRDefault="00443675" w:rsidP="00436DC0">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Snížit dovozní závislost</w:t>
      </w:r>
      <w:r w:rsidR="008D0636" w:rsidRPr="002A2B65">
        <w:rPr>
          <w:rFonts w:asciiTheme="minorHAnsi" w:hAnsiTheme="minorHAnsi" w:cstheme="minorHAnsi"/>
          <w:sz w:val="22"/>
          <w:szCs w:val="22"/>
          <w:lang w:eastAsia="sk-SK"/>
        </w:rPr>
        <w:t xml:space="preserve"> na palivech z geopoliticky nestabilních regionů.</w:t>
      </w:r>
    </w:p>
    <w:p w14:paraId="48B28548" w14:textId="01F487E8" w:rsidR="008D0636" w:rsidRPr="002A2B65" w:rsidRDefault="00443675" w:rsidP="00436DC0">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 xml:space="preserve">Rozvíjet podnikatelské </w:t>
      </w:r>
      <w:r w:rsidR="008D0636" w:rsidRPr="002A2B65">
        <w:rPr>
          <w:rFonts w:asciiTheme="minorHAnsi" w:hAnsiTheme="minorHAnsi" w:cstheme="minorHAnsi"/>
          <w:sz w:val="22"/>
          <w:szCs w:val="22"/>
          <w:lang w:eastAsia="sk-SK"/>
        </w:rPr>
        <w:t>aktivit</w:t>
      </w:r>
      <w:r>
        <w:rPr>
          <w:rFonts w:asciiTheme="minorHAnsi" w:hAnsiTheme="minorHAnsi" w:cstheme="minorHAnsi"/>
          <w:sz w:val="22"/>
          <w:szCs w:val="22"/>
          <w:lang w:eastAsia="sk-SK"/>
        </w:rPr>
        <w:t>y</w:t>
      </w:r>
      <w:r w:rsidR="008D0636" w:rsidRPr="002A2B65">
        <w:rPr>
          <w:rFonts w:asciiTheme="minorHAnsi" w:hAnsiTheme="minorHAnsi" w:cstheme="minorHAnsi"/>
          <w:sz w:val="22"/>
          <w:szCs w:val="22"/>
          <w:lang w:eastAsia="sk-SK"/>
        </w:rPr>
        <w:t xml:space="preserve"> v dodavatelském řetězci od vývoje, výroby, přes instalaci zdroje energie až po výrobu energie.</w:t>
      </w:r>
    </w:p>
    <w:p w14:paraId="1D0E77D2" w14:textId="77777777" w:rsidR="00443675" w:rsidRDefault="00443675" w:rsidP="00436DC0">
      <w:pPr>
        <w:spacing w:after="0"/>
        <w:rPr>
          <w:rFonts w:cstheme="minorHAnsi"/>
          <w:lang w:eastAsia="sk-SK"/>
        </w:rPr>
      </w:pPr>
    </w:p>
    <w:p w14:paraId="13396B13" w14:textId="675CB844" w:rsidR="008D0636" w:rsidRDefault="008D0636" w:rsidP="00436DC0">
      <w:pPr>
        <w:spacing w:after="0"/>
        <w:rPr>
          <w:rFonts w:cstheme="minorHAnsi"/>
          <w:lang w:eastAsia="sk-SK"/>
        </w:rPr>
      </w:pPr>
      <w:r>
        <w:rPr>
          <w:rFonts w:cstheme="minorHAnsi"/>
          <w:lang w:eastAsia="sk-SK"/>
        </w:rPr>
        <w:t>Kvantifikací specifického cíle 3.1 je celkový instalovaný výkon z OZE.</w:t>
      </w:r>
    </w:p>
    <w:p w14:paraId="6B15F9C5" w14:textId="77777777" w:rsidR="00436DC0" w:rsidRPr="001C50E7" w:rsidRDefault="00436DC0" w:rsidP="00436DC0">
      <w:pPr>
        <w:spacing w:after="0"/>
        <w:rPr>
          <w:rFonts w:ascii="Calibri" w:hAnsi="Calibri" w:cs="Calibri"/>
        </w:rPr>
      </w:pPr>
    </w:p>
    <w:p w14:paraId="531DBAC4" w14:textId="77777777" w:rsidR="003772E3" w:rsidRPr="001C50E7" w:rsidRDefault="003772E3" w:rsidP="003772E3">
      <w:pPr>
        <w:pStyle w:val="Nadpis2"/>
      </w:pPr>
      <w:bookmarkStart w:id="29" w:name="_Toc4596808"/>
      <w:bookmarkStart w:id="30" w:name="_Toc10729912"/>
      <w:r w:rsidRPr="001C50E7">
        <w:t>Zjištění v návaznosti na evaluační otázku a úkol</w:t>
      </w:r>
      <w:bookmarkEnd w:id="29"/>
      <w:bookmarkEnd w:id="30"/>
    </w:p>
    <w:tbl>
      <w:tblPr>
        <w:tblStyle w:val="Prosttabulka11"/>
        <w:tblW w:w="0" w:type="auto"/>
        <w:tblLook w:val="04A0" w:firstRow="1" w:lastRow="0" w:firstColumn="1" w:lastColumn="0" w:noHBand="0" w:noVBand="1"/>
      </w:tblPr>
      <w:tblGrid>
        <w:gridCol w:w="2972"/>
        <w:gridCol w:w="5954"/>
      </w:tblGrid>
      <w:tr w:rsidR="003772E3" w:rsidRPr="001C50E7" w14:paraId="680FB35D"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3692E112" w14:textId="77777777" w:rsidR="003772E3" w:rsidRPr="001C50E7" w:rsidRDefault="003772E3" w:rsidP="005C5EF2">
            <w:pPr>
              <w:rPr>
                <w:rFonts w:ascii="Calibri" w:hAnsi="Calibri" w:cs="Calibri"/>
              </w:rPr>
            </w:pPr>
            <w:r w:rsidRPr="001C50E7">
              <w:rPr>
                <w:rFonts w:ascii="Calibri" w:hAnsi="Calibri" w:cs="Calibri"/>
              </w:rPr>
              <w:t>Evaluační otázka</w:t>
            </w:r>
          </w:p>
        </w:tc>
        <w:tc>
          <w:tcPr>
            <w:tcW w:w="5954" w:type="dxa"/>
            <w:shd w:val="clear" w:color="auto" w:fill="auto"/>
          </w:tcPr>
          <w:p w14:paraId="3BD150A6" w14:textId="6AB00636" w:rsidR="003772E3" w:rsidRPr="001C50E7" w:rsidRDefault="00F41620" w:rsidP="005C5EF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41620">
              <w:rPr>
                <w:rFonts w:ascii="Calibri" w:hAnsi="Calibri" w:cs="Calibri"/>
              </w:rPr>
              <w:t>Jak přispěly intervence realizované v rámci programu podpory Obnovitelné zdroje energie k dosahování SC 3.1 OP PIK?</w:t>
            </w:r>
          </w:p>
        </w:tc>
      </w:tr>
      <w:tr w:rsidR="003772E3" w:rsidRPr="001C50E7" w14:paraId="2248D8AF"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60E66E" w14:textId="77777777" w:rsidR="003772E3" w:rsidRPr="00090237" w:rsidRDefault="003772E3" w:rsidP="005C5EF2">
            <w:pPr>
              <w:rPr>
                <w:rFonts w:ascii="Calibri" w:hAnsi="Calibri" w:cs="Calibri"/>
              </w:rPr>
            </w:pPr>
            <w:r w:rsidRPr="00090237">
              <w:rPr>
                <w:rFonts w:ascii="Calibri" w:hAnsi="Calibri" w:cs="Calibri"/>
              </w:rPr>
              <w:t>Zhodnocení</w:t>
            </w:r>
            <w:r w:rsidRPr="00090237">
              <w:rPr>
                <w:rFonts w:ascii="Calibri" w:hAnsi="Calibri" w:cs="Calibri"/>
              </w:rPr>
              <w:br/>
            </w:r>
            <w:r w:rsidRPr="00090237">
              <w:rPr>
                <w:rFonts w:ascii="Calibri" w:hAnsi="Calibri" w:cs="Calibri"/>
                <w:b w:val="0"/>
              </w:rPr>
              <w:t>(Ano, Spíše ano, Spíše ne, Ne, Není relevantní)</w:t>
            </w:r>
          </w:p>
        </w:tc>
        <w:tc>
          <w:tcPr>
            <w:tcW w:w="5954" w:type="dxa"/>
            <w:shd w:val="clear" w:color="auto" w:fill="auto"/>
          </w:tcPr>
          <w:p w14:paraId="4974D62A" w14:textId="06D70DA8" w:rsidR="003772E3" w:rsidRPr="00090237" w:rsidRDefault="008D0636" w:rsidP="00090237">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90237">
              <w:rPr>
                <w:rFonts w:ascii="Calibri" w:hAnsi="Calibri" w:cs="Calibri"/>
              </w:rPr>
              <w:t>Spíše ano</w:t>
            </w:r>
          </w:p>
        </w:tc>
      </w:tr>
      <w:tr w:rsidR="003772E3" w:rsidRPr="001C50E7" w14:paraId="06143B29"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5FAD79BB" w14:textId="77777777" w:rsidR="003772E3" w:rsidRPr="00443675" w:rsidRDefault="000722BD" w:rsidP="005C5EF2">
            <w:pPr>
              <w:rPr>
                <w:rFonts w:ascii="Calibri" w:hAnsi="Calibri" w:cs="Calibri"/>
                <w:highlight w:val="yellow"/>
              </w:rPr>
            </w:pPr>
            <w:r w:rsidRPr="008645CE">
              <w:rPr>
                <w:rFonts w:ascii="Calibri" w:hAnsi="Calibri" w:cs="Calibri"/>
              </w:rPr>
              <w:t>Hlavní závěry a zjištění</w:t>
            </w:r>
          </w:p>
        </w:tc>
        <w:tc>
          <w:tcPr>
            <w:tcW w:w="5954" w:type="dxa"/>
            <w:shd w:val="clear" w:color="auto" w:fill="auto"/>
          </w:tcPr>
          <w:p w14:paraId="5AE041F4" w14:textId="77777777" w:rsidR="00436DC0" w:rsidRDefault="00090237"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39F9">
              <w:rPr>
                <w:rFonts w:ascii="Calibri" w:hAnsi="Calibri" w:cs="Calibri"/>
              </w:rPr>
              <w:t>Vyhodnocení této evaluační otázky je významně omezeno několika faktory</w:t>
            </w:r>
            <w:r w:rsidR="00436DC0">
              <w:rPr>
                <w:rFonts w:ascii="Calibri" w:hAnsi="Calibri" w:cs="Calibri"/>
              </w:rPr>
              <w:t xml:space="preserve">: </w:t>
            </w:r>
            <w:r w:rsidRPr="000339F9">
              <w:rPr>
                <w:rFonts w:ascii="Calibri" w:hAnsi="Calibri" w:cs="Calibri"/>
              </w:rPr>
              <w:t>příliš malým časovým odstupem od zahájení implementace programu, v důsledku něhož se plně nemohl projevit efekt podpory</w:t>
            </w:r>
            <w:r w:rsidR="00436DC0">
              <w:rPr>
                <w:rFonts w:ascii="Calibri" w:hAnsi="Calibri" w:cs="Calibri"/>
              </w:rPr>
              <w:t>,</w:t>
            </w:r>
            <w:r w:rsidRPr="000339F9">
              <w:rPr>
                <w:rFonts w:ascii="Calibri" w:hAnsi="Calibri" w:cs="Calibri"/>
              </w:rPr>
              <w:t xml:space="preserve"> a prozatím velmi malým počtem ukončených projektů. </w:t>
            </w:r>
          </w:p>
          <w:p w14:paraId="3D938C30" w14:textId="77777777" w:rsidR="00436DC0" w:rsidRDefault="00436DC0"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50E9464" w14:textId="6075EB19" w:rsidR="00090237" w:rsidRDefault="00090237"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39F9">
              <w:rPr>
                <w:rFonts w:ascii="Calibri" w:hAnsi="Calibri" w:cs="Calibri"/>
              </w:rPr>
              <w:t>Na základě poskytnutých dat a informací lze však konstatovat, že realizované intervence v rámci SC 3.1 přispívají k dosahování SC 3.1</w:t>
            </w:r>
            <w:r w:rsidR="000339F9" w:rsidRPr="000339F9">
              <w:rPr>
                <w:rFonts w:ascii="Calibri" w:hAnsi="Calibri" w:cs="Calibri"/>
              </w:rPr>
              <w:t xml:space="preserve">, byť je tento příspěvek relativně </w:t>
            </w:r>
            <w:r w:rsidR="000339F9" w:rsidRPr="008645CE">
              <w:rPr>
                <w:rFonts w:ascii="Calibri" w:hAnsi="Calibri" w:cs="Calibri"/>
              </w:rPr>
              <w:t xml:space="preserve">malý. </w:t>
            </w:r>
          </w:p>
          <w:p w14:paraId="26C8F9DF" w14:textId="77777777" w:rsidR="00436DC0" w:rsidRPr="008645CE" w:rsidRDefault="00436DC0"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7BB4785" w14:textId="3825FE6F" w:rsidR="003D35C7" w:rsidRPr="008645CE" w:rsidRDefault="000339F9"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45CE">
              <w:rPr>
                <w:rFonts w:ascii="Calibri" w:hAnsi="Calibri" w:cs="Calibri"/>
              </w:rPr>
              <w:lastRenderedPageBreak/>
              <w:t xml:space="preserve">To platí především </w:t>
            </w:r>
            <w:r w:rsidR="008645CE" w:rsidRPr="008645CE">
              <w:rPr>
                <w:rFonts w:ascii="Calibri" w:hAnsi="Calibri" w:cs="Calibri"/>
              </w:rPr>
              <w:t xml:space="preserve">z hlediska podílu na celkovém instalovaném výkonu z OZE. </w:t>
            </w:r>
            <w:r w:rsidRPr="008645CE">
              <w:rPr>
                <w:rFonts w:ascii="Calibri" w:hAnsi="Calibri" w:cs="Calibri"/>
              </w:rPr>
              <w:t xml:space="preserve">V důsledku realizace projektů jsou sice instalovány nové výkony OZE, jejich dopad na celkový </w:t>
            </w:r>
            <w:r w:rsidR="008645CE" w:rsidRPr="008645CE">
              <w:rPr>
                <w:rFonts w:ascii="Calibri" w:hAnsi="Calibri" w:cs="Calibri"/>
              </w:rPr>
              <w:t>výkon</w:t>
            </w:r>
            <w:r w:rsidRPr="008645CE">
              <w:rPr>
                <w:rFonts w:ascii="Calibri" w:hAnsi="Calibri" w:cs="Calibri"/>
              </w:rPr>
              <w:t xml:space="preserve"> však nedosahuje ani řádu promile.</w:t>
            </w:r>
            <w:r w:rsidR="009F7B64" w:rsidRPr="008645CE">
              <w:rPr>
                <w:rFonts w:ascii="Calibri" w:hAnsi="Calibri" w:cs="Calibri"/>
              </w:rPr>
              <w:t xml:space="preserve"> </w:t>
            </w:r>
            <w:r w:rsidR="008645CE" w:rsidRPr="008645CE">
              <w:rPr>
                <w:rFonts w:ascii="Calibri" w:hAnsi="Calibri" w:cs="Calibri"/>
              </w:rPr>
              <w:t xml:space="preserve">Hodnocení vlivu podpořených </w:t>
            </w:r>
            <w:r w:rsidR="00C27AC8">
              <w:rPr>
                <w:rFonts w:ascii="Calibri" w:hAnsi="Calibri" w:cs="Calibri"/>
              </w:rPr>
              <w:t>projektů</w:t>
            </w:r>
            <w:r w:rsidR="008645CE" w:rsidRPr="008645CE">
              <w:rPr>
                <w:rFonts w:ascii="Calibri" w:hAnsi="Calibri" w:cs="Calibri"/>
              </w:rPr>
              <w:t xml:space="preserve"> na podíl OZE na hrubé konečné spotřebě nelze kvantifikovat z důvodu chybějících dat.</w:t>
            </w:r>
          </w:p>
          <w:p w14:paraId="70E33253" w14:textId="77777777" w:rsidR="00436DC0" w:rsidRDefault="00436DC0"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F7FD4D2" w14:textId="570E987B" w:rsidR="008D0636" w:rsidRPr="00436DC0" w:rsidRDefault="008645CE" w:rsidP="008D063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45CE">
              <w:rPr>
                <w:rFonts w:ascii="Calibri" w:hAnsi="Calibri" w:cs="Calibri"/>
              </w:rPr>
              <w:t>Naopak lze konstatovat, že PP OZE podporuje OZE s nejvyšší účinností. Využívaným nástrojem jsou bodová hodnotící kritéria účinnosti, které jsou součástí věcného hodnocení žádostí o dotaci a významně ovlivňují celkový počet, který žadatel z věcného hodnocení obdrží.</w:t>
            </w:r>
          </w:p>
        </w:tc>
      </w:tr>
      <w:tr w:rsidR="003772E3" w:rsidRPr="001C50E7" w14:paraId="7C2FE5AE"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12E4738" w14:textId="76B390D4" w:rsidR="003772E3" w:rsidRPr="000339F9" w:rsidRDefault="003772E3" w:rsidP="005C5EF2">
            <w:pPr>
              <w:rPr>
                <w:rFonts w:ascii="Calibri" w:hAnsi="Calibri" w:cs="Calibri"/>
              </w:rPr>
            </w:pPr>
            <w:r w:rsidRPr="000339F9">
              <w:rPr>
                <w:rFonts w:ascii="Calibri" w:hAnsi="Calibri" w:cs="Calibri"/>
              </w:rPr>
              <w:lastRenderedPageBreak/>
              <w:t>Doporučení pro programové období 2014 - 2020</w:t>
            </w:r>
          </w:p>
        </w:tc>
        <w:tc>
          <w:tcPr>
            <w:tcW w:w="5954" w:type="dxa"/>
            <w:shd w:val="clear" w:color="auto" w:fill="auto"/>
          </w:tcPr>
          <w:p w14:paraId="776F1970" w14:textId="33825DD4" w:rsidR="003772E3" w:rsidRPr="000339F9" w:rsidRDefault="008D0636" w:rsidP="005C5EF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339F9">
              <w:rPr>
                <w:rFonts w:ascii="Calibri" w:hAnsi="Calibri" w:cs="Calibri"/>
              </w:rPr>
              <w:t xml:space="preserve">Znovu kvantitativně analyzovat efekty podpory ve smyslu naplňování </w:t>
            </w:r>
            <w:r w:rsidR="001970DD">
              <w:rPr>
                <w:rFonts w:ascii="Calibri" w:hAnsi="Calibri" w:cs="Calibri"/>
              </w:rPr>
              <w:t>SC 3.1</w:t>
            </w:r>
            <w:r w:rsidRPr="000339F9">
              <w:rPr>
                <w:rFonts w:ascii="Calibri" w:hAnsi="Calibri" w:cs="Calibri"/>
              </w:rPr>
              <w:t xml:space="preserve"> s delším časovým odstupem od ukončení hodnocených projektů.</w:t>
            </w:r>
          </w:p>
        </w:tc>
      </w:tr>
      <w:tr w:rsidR="00A05F1B" w:rsidRPr="001C50E7" w14:paraId="00AC8FE8" w14:textId="77777777" w:rsidTr="00752051">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548B3820" w14:textId="6A0B8032" w:rsidR="00A05F1B" w:rsidRPr="000339F9" w:rsidRDefault="00A05F1B" w:rsidP="00A05F1B">
            <w:pPr>
              <w:rPr>
                <w:rFonts w:ascii="Calibri" w:hAnsi="Calibri" w:cs="Calibri"/>
              </w:rPr>
            </w:pPr>
            <w:r w:rsidRPr="000339F9">
              <w:rPr>
                <w:rFonts w:ascii="Calibri" w:hAnsi="Calibri" w:cs="Calibri"/>
              </w:rPr>
              <w:t>Doporučení pro programové období 2021</w:t>
            </w:r>
            <w:r w:rsidR="00752051">
              <w:rPr>
                <w:rFonts w:ascii="Calibri" w:hAnsi="Calibri" w:cs="Calibri"/>
              </w:rPr>
              <w:t xml:space="preserve"> - 2027</w:t>
            </w:r>
          </w:p>
        </w:tc>
        <w:tc>
          <w:tcPr>
            <w:tcW w:w="5954" w:type="dxa"/>
            <w:shd w:val="clear" w:color="auto" w:fill="auto"/>
          </w:tcPr>
          <w:p w14:paraId="7BF4FD76" w14:textId="2B5650EE" w:rsidR="00A05F1B" w:rsidRPr="000339F9" w:rsidRDefault="00DC69BD" w:rsidP="000339F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000339F9" w:rsidRPr="000339F9">
              <w:rPr>
                <w:rFonts w:ascii="Calibri" w:hAnsi="Calibri" w:cs="Calibri"/>
              </w:rPr>
              <w:t>achovat a dále rozvíjet nástroje podpory OZE tak, aby byla zajištěna komplexnost a dlouhodobost těchto aktivit.</w:t>
            </w:r>
          </w:p>
        </w:tc>
      </w:tr>
    </w:tbl>
    <w:p w14:paraId="77196A74" w14:textId="77777777" w:rsidR="003772E3" w:rsidRPr="001C50E7" w:rsidRDefault="003772E3" w:rsidP="003772E3">
      <w:pPr>
        <w:spacing w:after="0"/>
        <w:rPr>
          <w:rFonts w:ascii="Calibri" w:hAnsi="Calibri" w:cs="Calibri"/>
        </w:rPr>
      </w:pPr>
    </w:p>
    <w:p w14:paraId="2515E6AB" w14:textId="77777777" w:rsidR="003772E3" w:rsidRPr="00776124" w:rsidRDefault="003772E3" w:rsidP="003772E3">
      <w:pPr>
        <w:pStyle w:val="Nadpis2"/>
      </w:pPr>
      <w:bookmarkStart w:id="31" w:name="_Toc4596809"/>
      <w:bookmarkStart w:id="32" w:name="_Toc10729913"/>
      <w:r w:rsidRPr="00776124">
        <w:t>Doplňující informace k evaluační otázce</w:t>
      </w:r>
      <w:bookmarkEnd w:id="31"/>
      <w:bookmarkEnd w:id="32"/>
    </w:p>
    <w:p w14:paraId="1DD279BC" w14:textId="77777777" w:rsidR="008D0636" w:rsidRDefault="008D0636" w:rsidP="008D0636">
      <w:pPr>
        <w:pStyle w:val="Nadpis3"/>
      </w:pPr>
      <w:bookmarkStart w:id="33" w:name="_Toc1398402"/>
      <w:bookmarkStart w:id="34" w:name="_Toc10729914"/>
      <w:r>
        <w:t>Kvantitativní vyhodnocení plnění SC</w:t>
      </w:r>
      <w:bookmarkEnd w:id="33"/>
      <w:bookmarkEnd w:id="34"/>
    </w:p>
    <w:p w14:paraId="08EF82A5" w14:textId="5DD0E2AA" w:rsidR="008D0636" w:rsidRPr="00D25C6A" w:rsidRDefault="008D0636" w:rsidP="00436DC0">
      <w:pPr>
        <w:spacing w:after="0"/>
        <w:rPr>
          <w:rFonts w:cstheme="minorHAnsi"/>
        </w:rPr>
      </w:pPr>
      <w:r w:rsidRPr="00D25C6A">
        <w:rPr>
          <w:rFonts w:cstheme="minorHAnsi"/>
        </w:rPr>
        <w:t>Na úrovni SC j</w:t>
      </w:r>
      <w:r w:rsidR="00F92B95">
        <w:rPr>
          <w:rFonts w:cstheme="minorHAnsi"/>
        </w:rPr>
        <w:t>e</w:t>
      </w:r>
      <w:r w:rsidRPr="00D25C6A">
        <w:rPr>
          <w:rFonts w:cstheme="minorHAnsi"/>
        </w:rPr>
        <w:t xml:space="preserve"> formulován</w:t>
      </w:r>
      <w:r w:rsidR="00F92B95">
        <w:rPr>
          <w:rFonts w:cstheme="minorHAnsi"/>
        </w:rPr>
        <w:t>a</w:t>
      </w:r>
      <w:r w:rsidRPr="00D25C6A">
        <w:rPr>
          <w:rFonts w:cstheme="minorHAnsi"/>
        </w:rPr>
        <w:t xml:space="preserve"> následující kvantifikace:</w:t>
      </w:r>
    </w:p>
    <w:p w14:paraId="67739F8C" w14:textId="5F04F3A3" w:rsidR="008D0636" w:rsidRDefault="008D0636" w:rsidP="00436DC0">
      <w:pPr>
        <w:pStyle w:val="Odstavecseseznamem"/>
        <w:numPr>
          <w:ilvl w:val="0"/>
          <w:numId w:val="4"/>
        </w:numPr>
        <w:rPr>
          <w:rFonts w:asciiTheme="minorHAnsi" w:hAnsiTheme="minorHAnsi" w:cstheme="minorHAnsi"/>
          <w:sz w:val="22"/>
          <w:szCs w:val="22"/>
        </w:rPr>
      </w:pPr>
      <w:r>
        <w:rPr>
          <w:rFonts w:asciiTheme="minorHAnsi" w:hAnsiTheme="minorHAnsi" w:cstheme="minorHAnsi"/>
          <w:sz w:val="22"/>
          <w:szCs w:val="22"/>
        </w:rPr>
        <w:t>Celkový instalovaný výkon z OZE</w:t>
      </w:r>
    </w:p>
    <w:p w14:paraId="5D1F3366" w14:textId="77777777" w:rsidR="008D0636" w:rsidRDefault="008D0636" w:rsidP="00436DC0">
      <w:pPr>
        <w:spacing w:after="0"/>
        <w:rPr>
          <w:rFonts w:ascii="Calibri" w:hAnsi="Calibri" w:cs="Calibri"/>
        </w:rPr>
      </w:pPr>
    </w:p>
    <w:p w14:paraId="4AB6CD29" w14:textId="77777777" w:rsidR="00436DC0" w:rsidRDefault="00443675" w:rsidP="00436DC0">
      <w:pPr>
        <w:spacing w:after="0"/>
        <w:rPr>
          <w:rFonts w:ascii="Calibri" w:hAnsi="Calibri" w:cs="Calibri"/>
        </w:rPr>
      </w:pPr>
      <w:r>
        <w:rPr>
          <w:rFonts w:ascii="Calibri" w:hAnsi="Calibri" w:cs="Calibri"/>
        </w:rPr>
        <w:t>Hlavní výsledkový indikátor SC 3.1</w:t>
      </w:r>
      <w:r w:rsidR="0075502B" w:rsidRPr="0075502B">
        <w:t xml:space="preserve"> </w:t>
      </w:r>
      <w:r w:rsidR="0075502B" w:rsidRPr="0075502B">
        <w:rPr>
          <w:rFonts w:ascii="Calibri" w:hAnsi="Calibri" w:cs="Calibri"/>
        </w:rPr>
        <w:t>zahrnuje instalovaný elektrický výkon MVE do 10 MW, instalovaný tepelný výkon v bioplynových stanicích a instalovaný elektrický</w:t>
      </w:r>
      <w:r w:rsidR="0075502B">
        <w:rPr>
          <w:rFonts w:ascii="Calibri" w:hAnsi="Calibri" w:cs="Calibri"/>
        </w:rPr>
        <w:t xml:space="preserve"> výkon KVET Biomasa do 10 MW elektrického</w:t>
      </w:r>
      <w:r w:rsidR="0075502B" w:rsidRPr="0075502B">
        <w:rPr>
          <w:rFonts w:ascii="Calibri" w:hAnsi="Calibri" w:cs="Calibri"/>
        </w:rPr>
        <w:t xml:space="preserve"> výkonu včetně</w:t>
      </w:r>
      <w:r w:rsidR="0075502B">
        <w:rPr>
          <w:rFonts w:ascii="Calibri" w:hAnsi="Calibri" w:cs="Calibri"/>
        </w:rPr>
        <w:t>.</w:t>
      </w:r>
      <w:r>
        <w:rPr>
          <w:rFonts w:ascii="Calibri" w:hAnsi="Calibri" w:cs="Calibri"/>
        </w:rPr>
        <w:t xml:space="preserve"> </w:t>
      </w:r>
      <w:r w:rsidR="0075502B">
        <w:rPr>
          <w:rFonts w:ascii="Calibri" w:hAnsi="Calibri" w:cs="Calibri"/>
        </w:rPr>
        <w:t>V</w:t>
      </w:r>
      <w:r>
        <w:rPr>
          <w:rFonts w:ascii="Calibri" w:hAnsi="Calibri" w:cs="Calibri"/>
        </w:rPr>
        <w:t xml:space="preserve"> jednotlivých sledovaných letech (viz tabulka 1) </w:t>
      </w:r>
      <w:r w:rsidR="0075502B">
        <w:rPr>
          <w:rFonts w:ascii="Calibri" w:hAnsi="Calibri" w:cs="Calibri"/>
        </w:rPr>
        <w:t xml:space="preserve">vykazuje tento indikátor </w:t>
      </w:r>
      <w:r>
        <w:rPr>
          <w:rFonts w:ascii="Calibri" w:hAnsi="Calibri" w:cs="Calibri"/>
        </w:rPr>
        <w:t>pozitivní vývoj hodnot a lze předpokládat, že cílová hodnota pro rok 2023 bude naplněna.</w:t>
      </w:r>
    </w:p>
    <w:p w14:paraId="00F3040E" w14:textId="2F5AD554" w:rsidR="0075502B" w:rsidRDefault="00443675" w:rsidP="00436DC0">
      <w:pPr>
        <w:spacing w:after="0"/>
        <w:rPr>
          <w:rFonts w:ascii="Calibri" w:hAnsi="Calibri" w:cs="Calibri"/>
        </w:rPr>
      </w:pPr>
      <w:r>
        <w:rPr>
          <w:rFonts w:ascii="Calibri" w:hAnsi="Calibri" w:cs="Calibri"/>
        </w:rPr>
        <w:t xml:space="preserve"> </w:t>
      </w:r>
    </w:p>
    <w:p w14:paraId="0139817B" w14:textId="48519C3D" w:rsidR="008D0636" w:rsidRPr="004207CB" w:rsidRDefault="008D0636" w:rsidP="008D0636">
      <w:pPr>
        <w:pStyle w:val="Titulek"/>
      </w:pPr>
      <w:bookmarkStart w:id="35" w:name="_Toc10730020"/>
      <w:r w:rsidRPr="004207CB">
        <w:t xml:space="preserve">Tabulka </w:t>
      </w:r>
      <w:r w:rsidRPr="004207CB">
        <w:rPr>
          <w:noProof/>
        </w:rPr>
        <w:fldChar w:fldCharType="begin"/>
      </w:r>
      <w:r w:rsidRPr="004207CB">
        <w:rPr>
          <w:noProof/>
        </w:rPr>
        <w:instrText xml:space="preserve"> SEQ Tabulka \* ARABIC </w:instrText>
      </w:r>
      <w:r w:rsidRPr="004207CB">
        <w:rPr>
          <w:noProof/>
        </w:rPr>
        <w:fldChar w:fldCharType="separate"/>
      </w:r>
      <w:r w:rsidR="00E12F39">
        <w:rPr>
          <w:noProof/>
        </w:rPr>
        <w:t>1</w:t>
      </w:r>
      <w:r w:rsidRPr="004207CB">
        <w:rPr>
          <w:noProof/>
        </w:rPr>
        <w:fldChar w:fldCharType="end"/>
      </w:r>
      <w:r w:rsidR="00986571" w:rsidRPr="004207CB">
        <w:t>: Hlavní i</w:t>
      </w:r>
      <w:r w:rsidRPr="004207CB">
        <w:t>ndikátor výsledku SC 3.1</w:t>
      </w:r>
      <w:bookmarkEnd w:id="35"/>
    </w:p>
    <w:tbl>
      <w:tblPr>
        <w:tblStyle w:val="Svtlmkatabulky1"/>
        <w:tblW w:w="5000" w:type="pct"/>
        <w:tblLook w:val="04A0" w:firstRow="1" w:lastRow="0" w:firstColumn="1" w:lastColumn="0" w:noHBand="0" w:noVBand="1"/>
      </w:tblPr>
      <w:tblGrid>
        <w:gridCol w:w="774"/>
        <w:gridCol w:w="1246"/>
        <w:gridCol w:w="1004"/>
        <w:gridCol w:w="974"/>
        <w:gridCol w:w="904"/>
        <w:gridCol w:w="973"/>
        <w:gridCol w:w="838"/>
        <w:gridCol w:w="937"/>
        <w:gridCol w:w="835"/>
        <w:gridCol w:w="831"/>
      </w:tblGrid>
      <w:tr w:rsidR="008D0636" w:rsidRPr="004068E3" w14:paraId="77D93A40" w14:textId="77777777" w:rsidTr="00886827">
        <w:trPr>
          <w:trHeight w:val="763"/>
        </w:trPr>
        <w:tc>
          <w:tcPr>
            <w:tcW w:w="415" w:type="pct"/>
            <w:shd w:val="clear" w:color="auto" w:fill="002060"/>
            <w:hideMark/>
          </w:tcPr>
          <w:p w14:paraId="16290143"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ID</w:t>
            </w:r>
          </w:p>
        </w:tc>
        <w:tc>
          <w:tcPr>
            <w:tcW w:w="669" w:type="pct"/>
            <w:shd w:val="clear" w:color="auto" w:fill="002060"/>
            <w:hideMark/>
          </w:tcPr>
          <w:p w14:paraId="3E2215F2"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Indikátor</w:t>
            </w:r>
          </w:p>
        </w:tc>
        <w:tc>
          <w:tcPr>
            <w:tcW w:w="539" w:type="pct"/>
            <w:shd w:val="clear" w:color="auto" w:fill="002060"/>
            <w:hideMark/>
          </w:tcPr>
          <w:p w14:paraId="3CB0C981"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Měrná jednotka</w:t>
            </w:r>
          </w:p>
        </w:tc>
        <w:tc>
          <w:tcPr>
            <w:tcW w:w="523" w:type="pct"/>
            <w:shd w:val="clear" w:color="auto" w:fill="002060"/>
            <w:hideMark/>
          </w:tcPr>
          <w:p w14:paraId="652F4143"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Výchozí hodnota</w:t>
            </w:r>
          </w:p>
        </w:tc>
        <w:tc>
          <w:tcPr>
            <w:tcW w:w="485" w:type="pct"/>
            <w:shd w:val="clear" w:color="auto" w:fill="002060"/>
            <w:hideMark/>
          </w:tcPr>
          <w:p w14:paraId="60E79AA7"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Výchozí rok</w:t>
            </w:r>
          </w:p>
        </w:tc>
        <w:tc>
          <w:tcPr>
            <w:tcW w:w="522" w:type="pct"/>
            <w:shd w:val="clear" w:color="auto" w:fill="002060"/>
            <w:hideMark/>
          </w:tcPr>
          <w:p w14:paraId="3024E76A"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Cílová hodnota (2023)</w:t>
            </w:r>
          </w:p>
        </w:tc>
        <w:tc>
          <w:tcPr>
            <w:tcW w:w="450" w:type="pct"/>
            <w:shd w:val="clear" w:color="auto" w:fill="002060"/>
            <w:hideMark/>
          </w:tcPr>
          <w:p w14:paraId="12CE92D2"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2014</w:t>
            </w:r>
          </w:p>
        </w:tc>
        <w:tc>
          <w:tcPr>
            <w:tcW w:w="503" w:type="pct"/>
            <w:shd w:val="clear" w:color="auto" w:fill="002060"/>
            <w:hideMark/>
          </w:tcPr>
          <w:p w14:paraId="19E33671"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2015</w:t>
            </w:r>
          </w:p>
        </w:tc>
        <w:tc>
          <w:tcPr>
            <w:tcW w:w="448" w:type="pct"/>
            <w:shd w:val="clear" w:color="auto" w:fill="002060"/>
            <w:hideMark/>
          </w:tcPr>
          <w:p w14:paraId="3CAC50B6"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2016</w:t>
            </w:r>
          </w:p>
        </w:tc>
        <w:tc>
          <w:tcPr>
            <w:tcW w:w="446" w:type="pct"/>
            <w:shd w:val="clear" w:color="auto" w:fill="002060"/>
            <w:hideMark/>
          </w:tcPr>
          <w:p w14:paraId="39A130C8" w14:textId="77777777" w:rsidR="008D0636" w:rsidRPr="004068E3" w:rsidRDefault="008D0636" w:rsidP="008D0636">
            <w:pPr>
              <w:jc w:val="center"/>
              <w:rPr>
                <w:rFonts w:ascii="Calibri" w:hAnsi="Calibri" w:cs="Calibri"/>
                <w:b/>
                <w:sz w:val="20"/>
                <w:szCs w:val="20"/>
              </w:rPr>
            </w:pPr>
            <w:r w:rsidRPr="004068E3">
              <w:rPr>
                <w:rFonts w:ascii="Calibri" w:hAnsi="Calibri" w:cs="Calibri"/>
                <w:b/>
                <w:sz w:val="20"/>
                <w:szCs w:val="20"/>
              </w:rPr>
              <w:t>2017</w:t>
            </w:r>
          </w:p>
        </w:tc>
      </w:tr>
      <w:tr w:rsidR="008D0636" w:rsidRPr="00893CF9" w14:paraId="48B8E466" w14:textId="77777777" w:rsidTr="00886827">
        <w:trPr>
          <w:trHeight w:val="703"/>
        </w:trPr>
        <w:tc>
          <w:tcPr>
            <w:tcW w:w="415" w:type="pct"/>
            <w:noWrap/>
            <w:hideMark/>
          </w:tcPr>
          <w:p w14:paraId="639CA208" w14:textId="2B699A38" w:rsidR="008D0636" w:rsidRPr="00893CF9" w:rsidRDefault="008D0636" w:rsidP="008D0636">
            <w:pPr>
              <w:rPr>
                <w:rFonts w:ascii="Calibri" w:hAnsi="Calibri" w:cs="Calibri"/>
                <w:sz w:val="20"/>
                <w:szCs w:val="20"/>
              </w:rPr>
            </w:pPr>
            <w:r w:rsidRPr="00E946D8">
              <w:rPr>
                <w:color w:val="000000"/>
                <w:sz w:val="20"/>
                <w:szCs w:val="20"/>
              </w:rPr>
              <w:t>33910</w:t>
            </w:r>
          </w:p>
        </w:tc>
        <w:tc>
          <w:tcPr>
            <w:tcW w:w="669" w:type="pct"/>
            <w:hideMark/>
          </w:tcPr>
          <w:p w14:paraId="0B01059F" w14:textId="0981C4EF" w:rsidR="008D0636" w:rsidRPr="00893CF9" w:rsidRDefault="008D0636" w:rsidP="008D0636">
            <w:pPr>
              <w:rPr>
                <w:rFonts w:ascii="Calibri" w:hAnsi="Calibri" w:cs="Calibri"/>
                <w:sz w:val="20"/>
                <w:szCs w:val="20"/>
              </w:rPr>
            </w:pPr>
            <w:r w:rsidRPr="00E946D8">
              <w:rPr>
                <w:color w:val="000000"/>
                <w:sz w:val="20"/>
                <w:szCs w:val="20"/>
              </w:rPr>
              <w:t>Celkový</w:t>
            </w:r>
            <w:r w:rsidRPr="00E946D8">
              <w:rPr>
                <w:color w:val="000000"/>
                <w:sz w:val="20"/>
                <w:szCs w:val="20"/>
              </w:rPr>
              <w:br/>
              <w:t>instalovaný</w:t>
            </w:r>
            <w:r w:rsidRPr="00E946D8">
              <w:rPr>
                <w:color w:val="000000"/>
                <w:sz w:val="20"/>
                <w:szCs w:val="20"/>
              </w:rPr>
              <w:br/>
              <w:t>výkon z OZE</w:t>
            </w:r>
          </w:p>
        </w:tc>
        <w:tc>
          <w:tcPr>
            <w:tcW w:w="539" w:type="pct"/>
            <w:noWrap/>
            <w:hideMark/>
          </w:tcPr>
          <w:p w14:paraId="414149C7" w14:textId="30574E9A" w:rsidR="008D0636" w:rsidRPr="00893CF9" w:rsidRDefault="008D0636" w:rsidP="008D0636">
            <w:pPr>
              <w:jc w:val="center"/>
              <w:rPr>
                <w:rFonts w:ascii="Calibri" w:hAnsi="Calibri" w:cs="Calibri"/>
                <w:sz w:val="20"/>
                <w:szCs w:val="20"/>
              </w:rPr>
            </w:pPr>
            <w:r w:rsidRPr="00E946D8">
              <w:rPr>
                <w:color w:val="000000"/>
                <w:sz w:val="20"/>
                <w:szCs w:val="20"/>
              </w:rPr>
              <w:t>MW</w:t>
            </w:r>
          </w:p>
        </w:tc>
        <w:tc>
          <w:tcPr>
            <w:tcW w:w="523" w:type="pct"/>
            <w:noWrap/>
            <w:hideMark/>
          </w:tcPr>
          <w:p w14:paraId="00B826CC" w14:textId="66603503"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667,1</w:t>
            </w:r>
          </w:p>
        </w:tc>
        <w:tc>
          <w:tcPr>
            <w:tcW w:w="485" w:type="pct"/>
            <w:noWrap/>
            <w:hideMark/>
          </w:tcPr>
          <w:p w14:paraId="33B508DF" w14:textId="5C4551A4"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2013</w:t>
            </w:r>
          </w:p>
        </w:tc>
        <w:tc>
          <w:tcPr>
            <w:tcW w:w="522" w:type="pct"/>
            <w:hideMark/>
          </w:tcPr>
          <w:p w14:paraId="100B90CA" w14:textId="149E66BA"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720</w:t>
            </w:r>
          </w:p>
        </w:tc>
        <w:tc>
          <w:tcPr>
            <w:tcW w:w="450" w:type="pct"/>
            <w:noWrap/>
            <w:hideMark/>
          </w:tcPr>
          <w:p w14:paraId="26BE3CB9" w14:textId="3B2D30D1"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686</w:t>
            </w:r>
          </w:p>
        </w:tc>
        <w:tc>
          <w:tcPr>
            <w:tcW w:w="503" w:type="pct"/>
            <w:hideMark/>
          </w:tcPr>
          <w:p w14:paraId="6B2C468B" w14:textId="28A580DB"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695,9</w:t>
            </w:r>
          </w:p>
        </w:tc>
        <w:tc>
          <w:tcPr>
            <w:tcW w:w="448" w:type="pct"/>
            <w:hideMark/>
          </w:tcPr>
          <w:p w14:paraId="1C9B2B53" w14:textId="57F782B9"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709,7</w:t>
            </w:r>
          </w:p>
        </w:tc>
        <w:tc>
          <w:tcPr>
            <w:tcW w:w="446" w:type="pct"/>
            <w:hideMark/>
          </w:tcPr>
          <w:p w14:paraId="07D9C721" w14:textId="492C5430" w:rsidR="008D0636" w:rsidRPr="00893CF9" w:rsidRDefault="008D0636" w:rsidP="008D0636">
            <w:pPr>
              <w:jc w:val="center"/>
              <w:rPr>
                <w:rFonts w:ascii="Calibri" w:hAnsi="Calibri" w:cs="Calibri"/>
                <w:sz w:val="20"/>
                <w:szCs w:val="20"/>
              </w:rPr>
            </w:pPr>
            <w:r w:rsidRPr="00E946D8">
              <w:rPr>
                <w:rFonts w:ascii="Calibri" w:hAnsi="Calibri"/>
                <w:color w:val="000000"/>
                <w:sz w:val="20"/>
                <w:szCs w:val="20"/>
              </w:rPr>
              <w:t>715,9</w:t>
            </w:r>
          </w:p>
        </w:tc>
      </w:tr>
    </w:tbl>
    <w:p w14:paraId="63D187F7" w14:textId="77777777" w:rsidR="008D0636" w:rsidRPr="00893CF9" w:rsidRDefault="008D0636" w:rsidP="008D0636">
      <w:pPr>
        <w:spacing w:after="0"/>
        <w:rPr>
          <w:rFonts w:ascii="Calibri" w:hAnsi="Calibri" w:cs="Calibri"/>
          <w:i/>
          <w:sz w:val="16"/>
          <w:szCs w:val="16"/>
        </w:rPr>
      </w:pPr>
      <w:r w:rsidRPr="00893CF9">
        <w:rPr>
          <w:rFonts w:ascii="Calibri" w:hAnsi="Calibri" w:cs="Calibri"/>
          <w:i/>
          <w:sz w:val="16"/>
          <w:szCs w:val="16"/>
        </w:rPr>
        <w:t>Zdroj: ŘO OP PIK, ČSÚ.</w:t>
      </w:r>
    </w:p>
    <w:p w14:paraId="7859F2AF" w14:textId="77777777" w:rsidR="008D0636" w:rsidRDefault="008D0636" w:rsidP="00436DC0">
      <w:pPr>
        <w:spacing w:after="0"/>
        <w:rPr>
          <w:rFonts w:ascii="Calibri" w:hAnsi="Calibri" w:cs="Calibri"/>
        </w:rPr>
      </w:pPr>
    </w:p>
    <w:p w14:paraId="6BCC10FC" w14:textId="087BB6B9" w:rsidR="0075502B" w:rsidRDefault="0075502B" w:rsidP="00436DC0">
      <w:pPr>
        <w:spacing w:after="0"/>
        <w:rPr>
          <w:rFonts w:ascii="Calibri" w:hAnsi="Calibri" w:cs="Calibri"/>
        </w:rPr>
      </w:pPr>
      <w:r>
        <w:t xml:space="preserve">Vývoj tohoto indikátoru je ovlivňován celou řadou externích faktorů, kdy intervence PP OZE jsou pouze jedním z těchto faktorů. </w:t>
      </w:r>
      <w:r>
        <w:rPr>
          <w:rFonts w:ascii="Calibri" w:hAnsi="Calibri" w:cs="Calibri"/>
        </w:rPr>
        <w:t xml:space="preserve">S ohledem na stav provádění PP OZE, resp. počet realizovaných a ukončených projektů lze ale zároveň konstatovat, že příspěvek intervencí OP PIK k hodnotám hlavního výsledkového indikátoru je zanedbatelný. </w:t>
      </w:r>
    </w:p>
    <w:p w14:paraId="0D1D8345" w14:textId="77777777" w:rsidR="00436DC0" w:rsidRDefault="00436DC0" w:rsidP="00436DC0">
      <w:pPr>
        <w:spacing w:after="0"/>
        <w:rPr>
          <w:rFonts w:ascii="Calibri" w:hAnsi="Calibri" w:cs="Calibri"/>
        </w:rPr>
      </w:pPr>
    </w:p>
    <w:p w14:paraId="1851FACF" w14:textId="1FA60E37" w:rsidR="00436DC0" w:rsidRDefault="0075502B" w:rsidP="00436DC0">
      <w:pPr>
        <w:spacing w:after="0"/>
        <w:rPr>
          <w:rFonts w:cstheme="minorHAnsi"/>
        </w:rPr>
      </w:pPr>
      <w:r w:rsidRPr="007024CF">
        <w:rPr>
          <w:rFonts w:cstheme="minorHAnsi"/>
        </w:rPr>
        <w:t xml:space="preserve">Hlavní indikátor je naplňován indikátorem 34600 </w:t>
      </w:r>
      <w:r w:rsidR="00436DC0">
        <w:rPr>
          <w:rFonts w:cstheme="minorHAnsi"/>
        </w:rPr>
        <w:t>„</w:t>
      </w:r>
      <w:r w:rsidRPr="007024CF">
        <w:rPr>
          <w:rFonts w:cstheme="minorHAnsi"/>
        </w:rPr>
        <w:t>Nová kapacita zařízení pro výrobu energie z</w:t>
      </w:r>
      <w:r w:rsidR="00436DC0">
        <w:rPr>
          <w:rFonts w:cstheme="minorHAnsi"/>
        </w:rPr>
        <w:t> </w:t>
      </w:r>
      <w:r w:rsidRPr="007024CF">
        <w:rPr>
          <w:rFonts w:cstheme="minorHAnsi"/>
        </w:rPr>
        <w:t>OZE</w:t>
      </w:r>
      <w:r w:rsidR="00436DC0">
        <w:rPr>
          <w:rFonts w:cstheme="minorHAnsi"/>
        </w:rPr>
        <w:t>“</w:t>
      </w:r>
      <w:r w:rsidRPr="007024CF">
        <w:rPr>
          <w:rFonts w:cstheme="minorHAnsi"/>
        </w:rPr>
        <w:t xml:space="preserve">, který </w:t>
      </w:r>
      <w:r w:rsidR="00E86EB1" w:rsidRPr="007024CF">
        <w:rPr>
          <w:rFonts w:cstheme="minorHAnsi"/>
        </w:rPr>
        <w:t xml:space="preserve">je načítán z indikátorů 33901 </w:t>
      </w:r>
      <w:r w:rsidR="00436DC0">
        <w:rPr>
          <w:rFonts w:cstheme="minorHAnsi"/>
        </w:rPr>
        <w:t>„</w:t>
      </w:r>
      <w:r w:rsidR="00E86EB1" w:rsidRPr="007024CF">
        <w:rPr>
          <w:rFonts w:cstheme="minorHAnsi"/>
        </w:rPr>
        <w:t>Zvýšení instalovaného tepelného výkonu u podpořených subjektů</w:t>
      </w:r>
      <w:r w:rsidR="00436DC0">
        <w:rPr>
          <w:rFonts w:cstheme="minorHAnsi"/>
        </w:rPr>
        <w:t>“</w:t>
      </w:r>
      <w:r w:rsidR="00E86EB1" w:rsidRPr="007024CF">
        <w:rPr>
          <w:rFonts w:cstheme="minorHAnsi"/>
        </w:rPr>
        <w:t xml:space="preserve"> a 33902 </w:t>
      </w:r>
      <w:r w:rsidR="00436DC0">
        <w:rPr>
          <w:rFonts w:cstheme="minorHAnsi"/>
        </w:rPr>
        <w:t>„</w:t>
      </w:r>
      <w:r w:rsidR="00E86EB1" w:rsidRPr="007024CF">
        <w:rPr>
          <w:rFonts w:cstheme="minorHAnsi"/>
        </w:rPr>
        <w:t>Zvýšení instalovaného elektrického výkonu</w:t>
      </w:r>
      <w:r w:rsidR="00436DC0">
        <w:rPr>
          <w:rFonts w:cstheme="minorHAnsi"/>
        </w:rPr>
        <w:t>“</w:t>
      </w:r>
      <w:r w:rsidR="00E86EB1" w:rsidRPr="007024CF">
        <w:rPr>
          <w:rFonts w:cstheme="minorHAnsi"/>
        </w:rPr>
        <w:t xml:space="preserve"> u podpořených subjektů</w:t>
      </w:r>
      <w:r w:rsidR="00735556" w:rsidRPr="007024CF">
        <w:rPr>
          <w:rFonts w:cstheme="minorHAnsi"/>
        </w:rPr>
        <w:t xml:space="preserve"> vykazovaných</w:t>
      </w:r>
      <w:r w:rsidR="00E86EB1" w:rsidRPr="007024CF">
        <w:rPr>
          <w:rFonts w:cstheme="minorHAnsi"/>
        </w:rPr>
        <w:t xml:space="preserve"> příjemci dotace</w:t>
      </w:r>
      <w:r w:rsidRPr="007024CF">
        <w:rPr>
          <w:rFonts w:cstheme="minorHAnsi"/>
        </w:rPr>
        <w:t>.</w:t>
      </w:r>
      <w:r w:rsidR="007E0CB6" w:rsidRPr="007024CF">
        <w:rPr>
          <w:rFonts w:cstheme="minorHAnsi"/>
        </w:rPr>
        <w:t xml:space="preserve"> Ten</w:t>
      </w:r>
      <w:r w:rsidR="00E86EB1" w:rsidRPr="007024CF">
        <w:rPr>
          <w:rFonts w:cstheme="minorHAnsi"/>
        </w:rPr>
        <w:t>to výsledkový indikátor</w:t>
      </w:r>
      <w:r w:rsidR="007E0CB6" w:rsidRPr="007024CF">
        <w:rPr>
          <w:rFonts w:cstheme="minorHAnsi"/>
        </w:rPr>
        <w:t xml:space="preserve"> byl ke konci roku 2018 vykázán pouze jedním ukončeným projektem.</w:t>
      </w:r>
    </w:p>
    <w:p w14:paraId="407C0F2D" w14:textId="77777777" w:rsidR="00436DC0" w:rsidRDefault="00436DC0" w:rsidP="00436DC0">
      <w:pPr>
        <w:spacing w:after="0"/>
        <w:rPr>
          <w:rFonts w:cstheme="minorHAnsi"/>
        </w:rPr>
      </w:pPr>
    </w:p>
    <w:p w14:paraId="0B0A7325" w14:textId="725EF7DA" w:rsidR="0075502B" w:rsidRDefault="007E0CB6" w:rsidP="00436DC0">
      <w:pPr>
        <w:spacing w:after="0"/>
        <w:rPr>
          <w:rFonts w:cstheme="minorHAnsi"/>
        </w:rPr>
      </w:pPr>
      <w:r w:rsidRPr="007024CF">
        <w:rPr>
          <w:rFonts w:cstheme="minorHAnsi"/>
        </w:rPr>
        <w:t>Dosažená hodnota činila 1,5 MW. Závazek příjemců vycházející z ukončených a realizovaných projektů a projektů s právním aktem činí 5,73 MW.</w:t>
      </w:r>
      <w:r w:rsidR="00E86EB1" w:rsidRPr="007024CF">
        <w:rPr>
          <w:rFonts w:cstheme="minorHAnsi"/>
        </w:rPr>
        <w:t xml:space="preserve"> </w:t>
      </w:r>
      <w:r w:rsidR="00735556" w:rsidRPr="007024CF">
        <w:rPr>
          <w:rFonts w:cstheme="minorHAnsi"/>
        </w:rPr>
        <w:t>Na zvyšování celkového instalovaného výkonu z OZE se ukončené projekty podílí 0,2 %, resp. 0,8 % v případě závazku příjemců.</w:t>
      </w:r>
    </w:p>
    <w:p w14:paraId="4057637A" w14:textId="77777777" w:rsidR="00436DC0" w:rsidRPr="007024CF" w:rsidRDefault="00436DC0" w:rsidP="00436DC0">
      <w:pPr>
        <w:spacing w:after="0"/>
        <w:rPr>
          <w:rFonts w:cstheme="minorHAnsi"/>
        </w:rPr>
      </w:pPr>
    </w:p>
    <w:p w14:paraId="53AC831E" w14:textId="63F8FFC3" w:rsidR="00735556" w:rsidRPr="007024CF" w:rsidRDefault="00735556" w:rsidP="00436DC0">
      <w:pPr>
        <w:spacing w:after="0"/>
        <w:rPr>
          <w:rFonts w:ascii="Calibri" w:hAnsi="Calibri" w:cs="Calibri"/>
        </w:rPr>
      </w:pPr>
      <w:r w:rsidRPr="007024CF">
        <w:rPr>
          <w:rFonts w:ascii="Calibri" w:hAnsi="Calibri" w:cs="Calibri"/>
        </w:rPr>
        <w:t xml:space="preserve">Příčiny malého pokroku v naplňování </w:t>
      </w:r>
      <w:r w:rsidR="007024CF" w:rsidRPr="007024CF">
        <w:rPr>
          <w:rFonts w:ascii="Calibri" w:hAnsi="Calibri" w:cs="Calibri"/>
        </w:rPr>
        <w:t>indikátor</w:t>
      </w:r>
      <w:r w:rsidR="009A5DBA">
        <w:rPr>
          <w:rFonts w:ascii="Calibri" w:hAnsi="Calibri" w:cs="Calibri"/>
        </w:rPr>
        <w:t>u</w:t>
      </w:r>
      <w:r w:rsidR="007024CF" w:rsidRPr="007024CF">
        <w:rPr>
          <w:rFonts w:ascii="Calibri" w:hAnsi="Calibri" w:cs="Calibri"/>
        </w:rPr>
        <w:t xml:space="preserve"> jsou</w:t>
      </w:r>
      <w:r w:rsidR="009A5DBA">
        <w:rPr>
          <w:rFonts w:ascii="Calibri" w:hAnsi="Calibri" w:cs="Calibri"/>
        </w:rPr>
        <w:t xml:space="preserve"> dle rozhovorů s experty</w:t>
      </w:r>
      <w:r w:rsidR="007024CF" w:rsidRPr="007024CF">
        <w:rPr>
          <w:rFonts w:ascii="Calibri" w:hAnsi="Calibri" w:cs="Calibri"/>
        </w:rPr>
        <w:t xml:space="preserve"> spatřovány</w:t>
      </w:r>
      <w:r w:rsidRPr="007024CF">
        <w:rPr>
          <w:rFonts w:ascii="Calibri" w:hAnsi="Calibri" w:cs="Calibri"/>
        </w:rPr>
        <w:t>:</w:t>
      </w:r>
    </w:p>
    <w:p w14:paraId="39C537B3" w14:textId="73900DC4" w:rsidR="009A5DBA" w:rsidRDefault="009A5DBA" w:rsidP="00436DC0">
      <w:pPr>
        <w:pStyle w:val="Odstavecseseznamem"/>
        <w:numPr>
          <w:ilvl w:val="0"/>
          <w:numId w:val="4"/>
        </w:numPr>
        <w:spacing w:line="276" w:lineRule="auto"/>
        <w:ind w:left="714" w:hanging="357"/>
        <w:rPr>
          <w:rFonts w:ascii="Calibri" w:hAnsi="Calibri" w:cs="Calibri"/>
          <w:sz w:val="22"/>
          <w:szCs w:val="22"/>
        </w:rPr>
      </w:pPr>
      <w:r>
        <w:rPr>
          <w:rFonts w:ascii="Calibri" w:hAnsi="Calibri" w:cs="Calibri"/>
          <w:sz w:val="22"/>
          <w:szCs w:val="22"/>
        </w:rPr>
        <w:t>ve zpožděné implementaci PP a v návaznosti na ni i zpožděnému vypisování výzev</w:t>
      </w:r>
      <w:r w:rsidR="00436DC0">
        <w:rPr>
          <w:rFonts w:ascii="Calibri" w:hAnsi="Calibri" w:cs="Calibri"/>
          <w:sz w:val="22"/>
          <w:szCs w:val="22"/>
        </w:rPr>
        <w:t>,</w:t>
      </w:r>
    </w:p>
    <w:p w14:paraId="35D06732" w14:textId="04C85B36" w:rsidR="00735556" w:rsidRPr="007024CF" w:rsidRDefault="007024CF" w:rsidP="00436DC0">
      <w:pPr>
        <w:pStyle w:val="Odstavecseseznamem"/>
        <w:numPr>
          <w:ilvl w:val="0"/>
          <w:numId w:val="4"/>
        </w:numPr>
        <w:spacing w:line="276" w:lineRule="auto"/>
        <w:ind w:left="714" w:hanging="357"/>
        <w:rPr>
          <w:rFonts w:ascii="Calibri" w:hAnsi="Calibri" w:cs="Calibri"/>
          <w:sz w:val="22"/>
          <w:szCs w:val="22"/>
        </w:rPr>
      </w:pPr>
      <w:r w:rsidRPr="007024CF">
        <w:rPr>
          <w:rFonts w:ascii="Calibri" w:hAnsi="Calibri" w:cs="Calibri"/>
          <w:sz w:val="22"/>
          <w:szCs w:val="22"/>
        </w:rPr>
        <w:t>v nízkém zájmu oprávněných žadatelů o poskytnutí dotace, který je umocňován podporou jen vybraných typů OZE a zákazem kumulace investiční a provozní podpory,</w:t>
      </w:r>
    </w:p>
    <w:p w14:paraId="79D285C0" w14:textId="55A95AAE" w:rsidR="007024CF" w:rsidRDefault="007024CF" w:rsidP="00436DC0">
      <w:pPr>
        <w:pStyle w:val="Odstavecseseznamem"/>
        <w:numPr>
          <w:ilvl w:val="0"/>
          <w:numId w:val="4"/>
        </w:numPr>
        <w:spacing w:line="276" w:lineRule="auto"/>
        <w:ind w:left="714" w:hanging="357"/>
        <w:rPr>
          <w:rFonts w:ascii="Calibri" w:hAnsi="Calibri" w:cs="Calibri"/>
          <w:sz w:val="22"/>
          <w:szCs w:val="22"/>
        </w:rPr>
      </w:pPr>
      <w:r w:rsidRPr="007024CF">
        <w:rPr>
          <w:rFonts w:ascii="Calibri" w:hAnsi="Calibri" w:cs="Calibri"/>
          <w:sz w:val="22"/>
          <w:szCs w:val="22"/>
        </w:rPr>
        <w:t xml:space="preserve">v příliš náročné </w:t>
      </w:r>
      <w:r>
        <w:rPr>
          <w:rFonts w:ascii="Calibri" w:hAnsi="Calibri" w:cs="Calibri"/>
          <w:sz w:val="22"/>
          <w:szCs w:val="22"/>
        </w:rPr>
        <w:t xml:space="preserve">přípravě a </w:t>
      </w:r>
      <w:r w:rsidRPr="007024CF">
        <w:rPr>
          <w:rFonts w:ascii="Calibri" w:hAnsi="Calibri" w:cs="Calibri"/>
          <w:sz w:val="22"/>
          <w:szCs w:val="22"/>
        </w:rPr>
        <w:t>administraci projektů</w:t>
      </w:r>
      <w:r w:rsidR="003F00A9">
        <w:rPr>
          <w:rFonts w:ascii="Calibri" w:hAnsi="Calibri" w:cs="Calibri"/>
          <w:sz w:val="22"/>
          <w:szCs w:val="22"/>
        </w:rPr>
        <w:t xml:space="preserve"> ze strany žadatelů,</w:t>
      </w:r>
    </w:p>
    <w:p w14:paraId="5D02F622" w14:textId="2C173E88" w:rsidR="003F00A9" w:rsidRDefault="003F00A9" w:rsidP="00436DC0">
      <w:pPr>
        <w:pStyle w:val="Odstavecseseznamem"/>
        <w:numPr>
          <w:ilvl w:val="0"/>
          <w:numId w:val="4"/>
        </w:numPr>
        <w:spacing w:line="276" w:lineRule="auto"/>
        <w:ind w:left="714" w:hanging="357"/>
        <w:rPr>
          <w:rFonts w:ascii="Calibri" w:hAnsi="Calibri" w:cs="Calibri"/>
          <w:sz w:val="22"/>
          <w:szCs w:val="22"/>
        </w:rPr>
      </w:pPr>
      <w:r>
        <w:rPr>
          <w:rFonts w:ascii="Calibri" w:hAnsi="Calibri" w:cs="Calibri"/>
          <w:sz w:val="22"/>
          <w:szCs w:val="22"/>
        </w:rPr>
        <w:t>v legislativně nestabilním prostředí.</w:t>
      </w:r>
    </w:p>
    <w:p w14:paraId="75BA2462" w14:textId="77777777" w:rsidR="007024CF" w:rsidRDefault="007024CF" w:rsidP="00436DC0">
      <w:pPr>
        <w:spacing w:after="0"/>
        <w:rPr>
          <w:rFonts w:ascii="Calibri" w:hAnsi="Calibri" w:cs="Calibri"/>
        </w:rPr>
      </w:pPr>
    </w:p>
    <w:p w14:paraId="409E7A9A" w14:textId="786D1F39" w:rsidR="007024CF" w:rsidRDefault="007024CF" w:rsidP="00436DC0">
      <w:pPr>
        <w:spacing w:after="0"/>
        <w:rPr>
          <w:rFonts w:ascii="Calibri" w:hAnsi="Calibri" w:cs="Calibri"/>
        </w:rPr>
      </w:pPr>
      <w:r>
        <w:rPr>
          <w:rFonts w:ascii="Calibri" w:hAnsi="Calibri" w:cs="Calibri"/>
        </w:rPr>
        <w:t>V rámci připravované V. výzvy PP OZE je počítáno s rozšířením podporovaných aktivit o větrné elektrárny, tepelná čerpadla a solárně termické systémy.</w:t>
      </w:r>
      <w:r w:rsidR="00250928">
        <w:rPr>
          <w:rFonts w:ascii="Calibri" w:hAnsi="Calibri" w:cs="Calibri"/>
        </w:rPr>
        <w:t xml:space="preserve"> Podporovány by navíc měly být především projekty s platným stavebním povolením tak, aby realizace podpořených projektů byla ukončena nejpozději do konce roku 2022. </w:t>
      </w:r>
      <w:r w:rsidR="009A5DBA">
        <w:rPr>
          <w:rFonts w:ascii="Calibri" w:hAnsi="Calibri" w:cs="Calibri"/>
        </w:rPr>
        <w:t>Z diskuse na fokusní skupině vyplynulo, že t</w:t>
      </w:r>
      <w:r w:rsidR="00250928">
        <w:rPr>
          <w:rFonts w:ascii="Calibri" w:hAnsi="Calibri" w:cs="Calibri"/>
        </w:rPr>
        <w:t>ato plánovaná opatření by měla napomoci k naplňování indikátorů PP OZE</w:t>
      </w:r>
      <w:r w:rsidR="009A5DBA">
        <w:rPr>
          <w:rFonts w:ascii="Calibri" w:hAnsi="Calibri" w:cs="Calibri"/>
        </w:rPr>
        <w:t>, neboť se předpokládá, že dotaci budou čerpat zejména již plně připravené projekty větrných elektráren, které čekají na svou realizaci z důvodu chybějících finančních zdrojů jejich investorů.</w:t>
      </w:r>
    </w:p>
    <w:p w14:paraId="0D53B3D6" w14:textId="77777777" w:rsidR="00436DC0" w:rsidRPr="007024CF" w:rsidRDefault="00436DC0" w:rsidP="00436DC0">
      <w:pPr>
        <w:spacing w:after="0"/>
        <w:rPr>
          <w:rFonts w:ascii="Calibri" w:hAnsi="Calibri" w:cs="Calibri"/>
        </w:rPr>
      </w:pPr>
    </w:p>
    <w:p w14:paraId="69DD9307" w14:textId="5AD9643B" w:rsidR="00F92B95" w:rsidRDefault="00F92B95" w:rsidP="00436DC0">
      <w:pPr>
        <w:spacing w:after="0"/>
        <w:rPr>
          <w:rFonts w:ascii="Calibri" w:hAnsi="Calibri" w:cs="Calibri"/>
        </w:rPr>
      </w:pPr>
      <w:r w:rsidRPr="007024CF">
        <w:rPr>
          <w:rFonts w:ascii="Calibri" w:hAnsi="Calibri" w:cs="Calibri"/>
        </w:rPr>
        <w:t xml:space="preserve">Věcný pokrok SC 3.1 </w:t>
      </w:r>
      <w:r w:rsidR="00250928">
        <w:rPr>
          <w:rFonts w:ascii="Calibri" w:hAnsi="Calibri" w:cs="Calibri"/>
        </w:rPr>
        <w:t>lze na základě výše uvedených skutečností</w:t>
      </w:r>
      <w:r w:rsidRPr="007024CF">
        <w:rPr>
          <w:rFonts w:ascii="Calibri" w:hAnsi="Calibri" w:cs="Calibri"/>
        </w:rPr>
        <w:t xml:space="preserve"> </w:t>
      </w:r>
      <w:r w:rsidR="00250928">
        <w:rPr>
          <w:rFonts w:ascii="Calibri" w:hAnsi="Calibri" w:cs="Calibri"/>
        </w:rPr>
        <w:t xml:space="preserve">v oblasti plnění cílových hodnot indikátorů </w:t>
      </w:r>
      <w:r w:rsidRPr="007024CF">
        <w:rPr>
          <w:rFonts w:ascii="Calibri" w:hAnsi="Calibri" w:cs="Calibri"/>
        </w:rPr>
        <w:t>zatím klasifikov</w:t>
      </w:r>
      <w:r w:rsidR="00250928">
        <w:rPr>
          <w:rFonts w:ascii="Calibri" w:hAnsi="Calibri" w:cs="Calibri"/>
        </w:rPr>
        <w:t>at</w:t>
      </w:r>
      <w:r w:rsidRPr="007024CF">
        <w:rPr>
          <w:rFonts w:ascii="Calibri" w:hAnsi="Calibri" w:cs="Calibri"/>
        </w:rPr>
        <w:t xml:space="preserve"> jako rizikový</w:t>
      </w:r>
      <w:r w:rsidR="00250928">
        <w:rPr>
          <w:rFonts w:ascii="Calibri" w:hAnsi="Calibri" w:cs="Calibri"/>
        </w:rPr>
        <w:t xml:space="preserve"> a</w:t>
      </w:r>
      <w:r w:rsidRPr="007024CF">
        <w:rPr>
          <w:rFonts w:ascii="Calibri" w:hAnsi="Calibri" w:cs="Calibri"/>
        </w:rPr>
        <w:t xml:space="preserve"> </w:t>
      </w:r>
      <w:r w:rsidR="00250928">
        <w:rPr>
          <w:rFonts w:ascii="Calibri" w:hAnsi="Calibri" w:cs="Calibri"/>
        </w:rPr>
        <w:t>d</w:t>
      </w:r>
      <w:r w:rsidRPr="007024CF">
        <w:rPr>
          <w:rFonts w:ascii="Calibri" w:hAnsi="Calibri" w:cs="Calibri"/>
        </w:rPr>
        <w:t>osažené výsledky implementace SC 3.1 lze p</w:t>
      </w:r>
      <w:r w:rsidR="00735556" w:rsidRPr="007024CF">
        <w:rPr>
          <w:rFonts w:ascii="Calibri" w:hAnsi="Calibri" w:cs="Calibri"/>
        </w:rPr>
        <w:t xml:space="preserve">ovažovat za nedostatečné. </w:t>
      </w:r>
      <w:r w:rsidRPr="007024CF">
        <w:rPr>
          <w:rFonts w:ascii="Calibri" w:hAnsi="Calibri" w:cs="Calibri"/>
        </w:rPr>
        <w:t>Existuje</w:t>
      </w:r>
      <w:r w:rsidR="00250928">
        <w:rPr>
          <w:rFonts w:ascii="Calibri" w:hAnsi="Calibri" w:cs="Calibri"/>
        </w:rPr>
        <w:t xml:space="preserve"> však </w:t>
      </w:r>
      <w:r w:rsidRPr="007024CF">
        <w:rPr>
          <w:rFonts w:ascii="Calibri" w:hAnsi="Calibri" w:cs="Calibri"/>
        </w:rPr>
        <w:t>předpoklad, že projekty podpořené z OP PIK v rámci PP OZE mohou v příštích letech přispět k dosažení národního cíle ČR v oblasti výroby energie z OZE.</w:t>
      </w:r>
      <w:r w:rsidR="00D241EA">
        <w:rPr>
          <w:rFonts w:ascii="Calibri" w:hAnsi="Calibri" w:cs="Calibri"/>
        </w:rPr>
        <w:t xml:space="preserve"> Do jaké míry, však nelze kvantifikovat (viz kapitola 3.4.2 níže).</w:t>
      </w:r>
    </w:p>
    <w:p w14:paraId="71C82BBB" w14:textId="77777777" w:rsidR="00436DC0" w:rsidRPr="007024CF" w:rsidRDefault="00436DC0" w:rsidP="00436DC0">
      <w:pPr>
        <w:spacing w:after="0"/>
        <w:rPr>
          <w:rFonts w:ascii="Calibri" w:hAnsi="Calibri" w:cs="Calibri"/>
        </w:rPr>
      </w:pPr>
    </w:p>
    <w:p w14:paraId="184BAADF" w14:textId="002EE901" w:rsidR="008B436A" w:rsidRDefault="008B436A" w:rsidP="00F92B95">
      <w:pPr>
        <w:pStyle w:val="Nadpis3"/>
      </w:pPr>
      <w:bookmarkStart w:id="36" w:name="_Toc10729915"/>
      <w:bookmarkStart w:id="37" w:name="_Toc1398404"/>
      <w:r>
        <w:t>Vyhodnocení výsledků, kterých chce ČR dosáhnout s podporou Unie</w:t>
      </w:r>
      <w:bookmarkEnd w:id="36"/>
    </w:p>
    <w:p w14:paraId="7A49E6F9" w14:textId="379DD703" w:rsidR="008B436A" w:rsidRDefault="008B436A" w:rsidP="00436DC0">
      <w:pPr>
        <w:spacing w:after="0"/>
      </w:pPr>
      <w:r>
        <w:t>V programovém dokumentu jsou stanoveny následující výsledky, kterých by mělo být díky realizaci projektů v rámci PP OZE dosaženo:</w:t>
      </w:r>
    </w:p>
    <w:p w14:paraId="5270F0F9" w14:textId="2FAA7997" w:rsidR="008B436A" w:rsidRPr="008B436A" w:rsidRDefault="008B436A" w:rsidP="00436DC0">
      <w:pPr>
        <w:pStyle w:val="Odstavecseseznamem"/>
        <w:numPr>
          <w:ilvl w:val="0"/>
          <w:numId w:val="4"/>
        </w:numPr>
        <w:spacing w:line="276" w:lineRule="auto"/>
        <w:ind w:left="714" w:hanging="357"/>
        <w:rPr>
          <w:rFonts w:ascii="Calibri" w:hAnsi="Calibri" w:cs="Calibri"/>
          <w:sz w:val="22"/>
          <w:szCs w:val="22"/>
        </w:rPr>
      </w:pPr>
      <w:r w:rsidRPr="008B436A">
        <w:rPr>
          <w:rFonts w:ascii="Calibri" w:hAnsi="Calibri" w:cs="Calibri"/>
          <w:sz w:val="22"/>
          <w:szCs w:val="22"/>
        </w:rPr>
        <w:t>Příspěvek k naplnění cíle dosáhnout podílu energie z OZE na hrubé konečné spotřebě energie ve výši 13 % do r. 2020. S tím souvisí snížení spotřeby primárních zdrojů.</w:t>
      </w:r>
    </w:p>
    <w:p w14:paraId="51D97019" w14:textId="469E7C2A" w:rsidR="008B436A" w:rsidRPr="008B436A" w:rsidRDefault="008B436A" w:rsidP="00436DC0">
      <w:pPr>
        <w:pStyle w:val="Odstavecseseznamem"/>
        <w:numPr>
          <w:ilvl w:val="0"/>
          <w:numId w:val="4"/>
        </w:numPr>
        <w:spacing w:line="276" w:lineRule="auto"/>
        <w:ind w:left="714" w:hanging="357"/>
        <w:rPr>
          <w:rFonts w:ascii="Calibri" w:hAnsi="Calibri" w:cs="Calibri"/>
          <w:sz w:val="22"/>
          <w:szCs w:val="22"/>
        </w:rPr>
      </w:pPr>
      <w:r w:rsidRPr="008B436A">
        <w:rPr>
          <w:rFonts w:ascii="Calibri" w:hAnsi="Calibri" w:cs="Calibri"/>
          <w:sz w:val="22"/>
          <w:szCs w:val="22"/>
        </w:rPr>
        <w:t>Zvýšení efektivnosti využití všech typů energetických zdrojů OZE relevantních pro ČR.</w:t>
      </w:r>
    </w:p>
    <w:p w14:paraId="1DAE61A6" w14:textId="111B1C4E" w:rsidR="008B436A" w:rsidRPr="008B436A" w:rsidRDefault="008B436A" w:rsidP="00436DC0">
      <w:pPr>
        <w:pStyle w:val="Odstavecseseznamem"/>
        <w:numPr>
          <w:ilvl w:val="0"/>
          <w:numId w:val="4"/>
        </w:numPr>
        <w:spacing w:line="276" w:lineRule="auto"/>
        <w:ind w:left="714" w:hanging="357"/>
        <w:rPr>
          <w:rFonts w:ascii="Calibri" w:hAnsi="Calibri" w:cs="Calibri"/>
          <w:sz w:val="22"/>
          <w:szCs w:val="22"/>
        </w:rPr>
      </w:pPr>
      <w:r w:rsidRPr="008B436A">
        <w:rPr>
          <w:rFonts w:ascii="Calibri" w:hAnsi="Calibri" w:cs="Calibri"/>
          <w:sz w:val="22"/>
          <w:szCs w:val="22"/>
        </w:rPr>
        <w:t>Snížení dovozní závislosti na palivech z geopoliticky nestabilních regionů.</w:t>
      </w:r>
    </w:p>
    <w:p w14:paraId="7A5A8A16" w14:textId="36D2AB1A" w:rsidR="008B436A" w:rsidRPr="008B436A" w:rsidRDefault="008B436A" w:rsidP="00436DC0">
      <w:pPr>
        <w:pStyle w:val="Odstavecseseznamem"/>
        <w:numPr>
          <w:ilvl w:val="0"/>
          <w:numId w:val="4"/>
        </w:numPr>
        <w:spacing w:line="276" w:lineRule="auto"/>
        <w:ind w:left="714" w:hanging="357"/>
        <w:rPr>
          <w:rFonts w:ascii="Calibri" w:hAnsi="Calibri" w:cs="Calibri"/>
          <w:sz w:val="22"/>
          <w:szCs w:val="22"/>
        </w:rPr>
      </w:pPr>
      <w:r w:rsidRPr="008B436A">
        <w:rPr>
          <w:rFonts w:ascii="Calibri" w:hAnsi="Calibri" w:cs="Calibri"/>
          <w:sz w:val="22"/>
          <w:szCs w:val="22"/>
        </w:rPr>
        <w:t>Rozvoj podnikatelských aktivit v dodavatelském řetězci od vývoje, výroby, přes instalaci zdroje energie až po výrobu energie.</w:t>
      </w:r>
    </w:p>
    <w:p w14:paraId="277466F0" w14:textId="6625A77B" w:rsidR="008B436A" w:rsidRDefault="008B436A" w:rsidP="00436DC0">
      <w:pPr>
        <w:pStyle w:val="Odstavecseseznamem"/>
        <w:numPr>
          <w:ilvl w:val="0"/>
          <w:numId w:val="4"/>
        </w:numPr>
        <w:spacing w:line="276" w:lineRule="auto"/>
        <w:ind w:left="714" w:hanging="357"/>
        <w:rPr>
          <w:rFonts w:ascii="Calibri" w:hAnsi="Calibri" w:cs="Calibri"/>
          <w:sz w:val="22"/>
          <w:szCs w:val="22"/>
        </w:rPr>
      </w:pPr>
      <w:r w:rsidRPr="008B436A">
        <w:rPr>
          <w:rFonts w:ascii="Calibri" w:hAnsi="Calibri" w:cs="Calibri"/>
          <w:sz w:val="22"/>
          <w:szCs w:val="22"/>
        </w:rPr>
        <w:t>Pozitivní dopad využívání OZE na životní prostředí a ochranu klimatu, např. v podobě snížení emisí skleníkových plynů.</w:t>
      </w:r>
    </w:p>
    <w:p w14:paraId="4D970AD3" w14:textId="77777777" w:rsidR="008B436A" w:rsidRDefault="008B436A" w:rsidP="00436DC0">
      <w:pPr>
        <w:spacing w:after="0"/>
        <w:rPr>
          <w:rFonts w:ascii="Calibri" w:hAnsi="Calibri" w:cs="Calibri"/>
        </w:rPr>
      </w:pPr>
    </w:p>
    <w:p w14:paraId="26878A43" w14:textId="1A84FE32" w:rsidR="008B436A" w:rsidRDefault="008B436A" w:rsidP="00436DC0">
      <w:pPr>
        <w:pStyle w:val="Nadpis4"/>
        <w:numPr>
          <w:ilvl w:val="0"/>
          <w:numId w:val="0"/>
        </w:numPr>
        <w:spacing w:before="0"/>
        <w:ind w:left="864" w:hanging="864"/>
      </w:pPr>
      <w:r>
        <w:t>Zvýšení podílu OZE na hrubé konečné spotřebě</w:t>
      </w:r>
    </w:p>
    <w:p w14:paraId="58D3129F" w14:textId="6C19DE6C" w:rsidR="00886827" w:rsidRDefault="00CA5F0B" w:rsidP="00436DC0">
      <w:pPr>
        <w:spacing w:after="0"/>
      </w:pPr>
      <w:r>
        <w:t>Realizované projekty již logiky věci přispívají ke zvýšení podílu OZE na hrubé konečné spotřebě, který v roce 2017 dosáhl dle metodiky SHARES</w:t>
      </w:r>
      <w:r>
        <w:rPr>
          <w:rStyle w:val="Znakapoznpodarou"/>
        </w:rPr>
        <w:footnoteReference w:id="1"/>
      </w:r>
      <w:r>
        <w:t xml:space="preserve"> hodnoty 14,76 %. Hodnota, jíž </w:t>
      </w:r>
      <w:r w:rsidR="003F00A9">
        <w:t>chce</w:t>
      </w:r>
      <w:r>
        <w:t xml:space="preserve"> dosáhnout programový </w:t>
      </w:r>
      <w:r>
        <w:lastRenderedPageBreak/>
        <w:t>dokument OP PIK</w:t>
      </w:r>
      <w:r w:rsidR="003F00A9">
        <w:t xml:space="preserve"> do roku 2020</w:t>
      </w:r>
      <w:r>
        <w:t>, tj. 13 %, byla překročena již v roce 2013</w:t>
      </w:r>
      <w:r w:rsidR="003F00A9">
        <w:rPr>
          <w:rStyle w:val="Znakapoznpodarou"/>
        </w:rPr>
        <w:footnoteReference w:id="2"/>
      </w:r>
      <w:r>
        <w:t>.</w:t>
      </w:r>
      <w:r w:rsidR="003F00A9">
        <w:t xml:space="preserve"> To, jakou měrou se projekty z PP OZE podílejí na dosahování stanovené hodnoty nelze kvantifikovat z důvodu chybějících údajů o množství vyprodukovaného tepla a elektřiny díky OZE podpořeným z SC 3.1. Tato informace se nepodařila získat ani od příjemců, kteří byli zapojeni do případových studií a individuálních rozhovorů.</w:t>
      </w:r>
    </w:p>
    <w:p w14:paraId="3776C16F" w14:textId="77777777" w:rsidR="00436DC0" w:rsidRPr="00886827" w:rsidRDefault="00436DC0" w:rsidP="00436DC0">
      <w:pPr>
        <w:spacing w:after="0"/>
      </w:pPr>
    </w:p>
    <w:p w14:paraId="38CFE4B0" w14:textId="74BB3FDC" w:rsidR="008B436A" w:rsidRDefault="008B436A" w:rsidP="00436DC0">
      <w:pPr>
        <w:pStyle w:val="Nadpis4"/>
        <w:numPr>
          <w:ilvl w:val="0"/>
          <w:numId w:val="0"/>
        </w:numPr>
        <w:spacing w:before="0"/>
        <w:ind w:left="864" w:hanging="864"/>
      </w:pPr>
      <w:r w:rsidRPr="008B436A">
        <w:t>Zvýšení efektivnosti využití OZE</w:t>
      </w:r>
    </w:p>
    <w:p w14:paraId="347E3AC0" w14:textId="5CDB3779" w:rsidR="00886827" w:rsidRDefault="00886827" w:rsidP="00436DC0">
      <w:pPr>
        <w:spacing w:after="0"/>
      </w:pPr>
      <w:r>
        <w:t xml:space="preserve">Naplňování tohoto výsledku je zakotveno přímo ve znění </w:t>
      </w:r>
      <w:r w:rsidR="00CA312E">
        <w:t xml:space="preserve">SC </w:t>
      </w:r>
      <w:r>
        <w:t xml:space="preserve">3.1. Podpora projektů s maximální účinností je zajišťována prostřednictvím věcného hodnocení žádostí o dotaci. Pro každý typ podporované aktivity jsou stanoveny </w:t>
      </w:r>
      <w:r w:rsidR="008645CE">
        <w:t>bodová hodnotící kritéria</w:t>
      </w:r>
      <w:r>
        <w:t xml:space="preserve"> účinnost</w:t>
      </w:r>
      <w:r w:rsidR="008645CE">
        <w:t>i</w:t>
      </w:r>
      <w:r>
        <w:t xml:space="preserve"> projektu. Posuzovány jsou investiční náklady na snížení emisí CO</w:t>
      </w:r>
      <w:r w:rsidRPr="0084593A">
        <w:rPr>
          <w:vertAlign w:val="subscript"/>
        </w:rPr>
        <w:t>2</w:t>
      </w:r>
      <w:r>
        <w:t>, poměrná doba ročního využití instalovaného výkonu, úspora primární energie a stupeň využití bioplynu.</w:t>
      </w:r>
      <w:r w:rsidR="0084593A">
        <w:t xml:space="preserve"> Výběr </w:t>
      </w:r>
      <w:r w:rsidR="008645CE">
        <w:t>kritérií</w:t>
      </w:r>
      <w:r w:rsidR="0084593A">
        <w:t xml:space="preserve"> je v souladu s podporovanými aktivitami a </w:t>
      </w:r>
      <w:r w:rsidR="008645CE">
        <w:t xml:space="preserve">vzhledem k velké váze (65 bodů ze 100 možných), kterou tato kritéria při věcném hodnocení mají, </w:t>
      </w:r>
      <w:r w:rsidR="0084593A">
        <w:t xml:space="preserve">plní účel, pro nějž byly stanoveny. </w:t>
      </w:r>
    </w:p>
    <w:p w14:paraId="3477FF9D" w14:textId="77777777" w:rsidR="00436DC0" w:rsidRDefault="00436DC0" w:rsidP="00436DC0">
      <w:pPr>
        <w:spacing w:after="0"/>
      </w:pPr>
    </w:p>
    <w:p w14:paraId="28F57530" w14:textId="34E22927" w:rsidR="0084593A" w:rsidRDefault="0084593A" w:rsidP="00436DC0">
      <w:pPr>
        <w:spacing w:after="0"/>
      </w:pPr>
      <w:r>
        <w:t>Hodnocení účinnosti OZE v rámci jednotlivých projektů je možné realizovat pouze na základě informací od jednotlivých příjemců podpory. Ti byli s účinností využité technologie spokojeni, v jednom případě je účinnost kotle na biomasu vyšší, než s jako</w:t>
      </w:r>
      <w:r w:rsidR="00CA312E">
        <w:t>u</w:t>
      </w:r>
      <w:r>
        <w:t xml:space="preserve"> bylo počítáno při přípravě projektu. Díky tomu bude příjemce rozšiřovat svou produkci. </w:t>
      </w:r>
    </w:p>
    <w:p w14:paraId="686476F1" w14:textId="77777777" w:rsidR="00436DC0" w:rsidRPr="00886827" w:rsidRDefault="00436DC0" w:rsidP="00436DC0">
      <w:pPr>
        <w:spacing w:after="0"/>
      </w:pPr>
    </w:p>
    <w:p w14:paraId="7B1877DC" w14:textId="3133825C" w:rsidR="008B436A" w:rsidRDefault="008B436A" w:rsidP="00436DC0">
      <w:pPr>
        <w:pStyle w:val="Nadpis4"/>
        <w:numPr>
          <w:ilvl w:val="0"/>
          <w:numId w:val="0"/>
        </w:numPr>
        <w:spacing w:before="0"/>
        <w:ind w:left="864" w:hanging="864"/>
      </w:pPr>
      <w:r w:rsidRPr="008B436A">
        <w:t>Snížení dovozní závislosti</w:t>
      </w:r>
    </w:p>
    <w:p w14:paraId="4E8DCE63" w14:textId="7DF61704" w:rsidR="008B436A" w:rsidRDefault="008B436A" w:rsidP="00436DC0">
      <w:pPr>
        <w:pStyle w:val="Nadpis4"/>
        <w:numPr>
          <w:ilvl w:val="0"/>
          <w:numId w:val="0"/>
        </w:numPr>
        <w:spacing w:before="0"/>
        <w:ind w:left="864" w:hanging="864"/>
      </w:pPr>
      <w:r w:rsidRPr="008B436A">
        <w:t>Rozvoj podnikatelských aktivit</w:t>
      </w:r>
    </w:p>
    <w:p w14:paraId="201CC776" w14:textId="65CB5F4B" w:rsidR="008B436A" w:rsidRDefault="008B436A" w:rsidP="00436DC0">
      <w:pPr>
        <w:pStyle w:val="Nadpis4"/>
        <w:numPr>
          <w:ilvl w:val="0"/>
          <w:numId w:val="0"/>
        </w:numPr>
        <w:spacing w:before="0"/>
        <w:ind w:left="864" w:hanging="864"/>
      </w:pPr>
      <w:r w:rsidRPr="008B436A">
        <w:t>Snížení emisí skleníkových plynů</w:t>
      </w:r>
    </w:p>
    <w:p w14:paraId="7889A13F" w14:textId="7E6DC178" w:rsidR="00886827" w:rsidRDefault="00886827" w:rsidP="00436DC0">
      <w:pPr>
        <w:spacing w:after="0"/>
      </w:pPr>
      <w:r>
        <w:t xml:space="preserve">Hodnocením </w:t>
      </w:r>
      <w:r w:rsidR="00F13E22">
        <w:t>těchto</w:t>
      </w:r>
      <w:r>
        <w:t xml:space="preserve"> výsledk</w:t>
      </w:r>
      <w:r w:rsidR="00F13E22">
        <w:t>ů</w:t>
      </w:r>
      <w:r>
        <w:t xml:space="preserve"> se zabývá samostatná evaluační otázka, konkrétně EO 3.</w:t>
      </w:r>
    </w:p>
    <w:p w14:paraId="129744EB" w14:textId="77777777" w:rsidR="00436DC0" w:rsidRPr="008B436A" w:rsidRDefault="00436DC0" w:rsidP="00436DC0">
      <w:pPr>
        <w:spacing w:after="0"/>
      </w:pPr>
    </w:p>
    <w:p w14:paraId="6D5F104B" w14:textId="77777777" w:rsidR="00F92B95" w:rsidRDefault="00F92B95" w:rsidP="00F92B95">
      <w:pPr>
        <w:pStyle w:val="Nadpis3"/>
      </w:pPr>
      <w:bookmarkStart w:id="38" w:name="_Toc10729916"/>
      <w:r>
        <w:t>Reflexe plnění SC ze strany příjemců</w:t>
      </w:r>
      <w:bookmarkEnd w:id="37"/>
      <w:bookmarkEnd w:id="38"/>
    </w:p>
    <w:p w14:paraId="1915D77B" w14:textId="72195FAE" w:rsidR="00250928" w:rsidRDefault="00DC1584" w:rsidP="00436DC0">
      <w:pPr>
        <w:spacing w:after="0"/>
      </w:pPr>
      <w:r>
        <w:t xml:space="preserve">Aby mohl hodnotitel posoudit </w:t>
      </w:r>
      <w:r w:rsidR="0097734A">
        <w:t>relevantnost závazku příjemců k naplňování indikátorů</w:t>
      </w:r>
      <w:r>
        <w:t>,</w:t>
      </w:r>
      <w:r w:rsidR="0097734A">
        <w:t xml:space="preserve"> </w:t>
      </w:r>
      <w:r>
        <w:t xml:space="preserve">byla tato cílová skupina oslovena </w:t>
      </w:r>
      <w:r w:rsidR="0097734A">
        <w:t xml:space="preserve">dotazníkovým šetřením. Vzhledem k nízkému počtu </w:t>
      </w:r>
      <w:r>
        <w:t xml:space="preserve">příjemců (12 příjemců s 13 buď ukončenými projekty, nebo projekty ve fázi fyzické realizace) </w:t>
      </w:r>
      <w:r w:rsidR="0097734A">
        <w:t>byla cílová skupina kontaktována telefonicky. Tímto způsobem se podařilo získat vyjádření od 6 příjemců, další 3 příjemci byli zapojeni do případových studií a individuálních rozhovorů, které v rámci nich byly realizovány.</w:t>
      </w:r>
    </w:p>
    <w:p w14:paraId="527880DF" w14:textId="77777777" w:rsidR="00436DC0" w:rsidRDefault="00436DC0" w:rsidP="00436DC0">
      <w:pPr>
        <w:spacing w:after="0"/>
      </w:pPr>
    </w:p>
    <w:p w14:paraId="3B900AC1" w14:textId="487BF47B" w:rsidR="00436DC0" w:rsidRDefault="00DC1584" w:rsidP="00436DC0">
      <w:pPr>
        <w:spacing w:after="0"/>
      </w:pPr>
      <w:r w:rsidRPr="00090237">
        <w:t xml:space="preserve">S výjimkou jednoho příjemce se všichni </w:t>
      </w:r>
      <w:r w:rsidR="0097734A" w:rsidRPr="00090237">
        <w:t xml:space="preserve">oslovení </w:t>
      </w:r>
      <w:r w:rsidRPr="00090237">
        <w:t xml:space="preserve">domnívají, že </w:t>
      </w:r>
      <w:r w:rsidR="0097734A" w:rsidRPr="00090237">
        <w:t>zcela dosáhnou plánovaných výstupů a výsledků projektu</w:t>
      </w:r>
      <w:r w:rsidRPr="00090237">
        <w:t xml:space="preserve">. </w:t>
      </w:r>
      <w:r w:rsidR="0044626B" w:rsidRPr="00090237">
        <w:t xml:space="preserve">V jednom případě bude indikátor naplněn pouze částečně. Jedná se o indikátor 32100 </w:t>
      </w:r>
      <w:r w:rsidR="00F03254">
        <w:t>„</w:t>
      </w:r>
      <w:r w:rsidR="0044626B" w:rsidRPr="00090237">
        <w:t>Užitečné teplo</w:t>
      </w:r>
      <w:r w:rsidR="00F03254">
        <w:t>“</w:t>
      </w:r>
      <w:r w:rsidR="0044626B" w:rsidRPr="00090237">
        <w:t xml:space="preserve">, tj. indikátor, který svou hodnotou neovlivňuje hlavní indikátor výsledku. </w:t>
      </w:r>
    </w:p>
    <w:p w14:paraId="3B472DA5" w14:textId="77777777" w:rsidR="00436DC0" w:rsidRDefault="00436DC0" w:rsidP="00436DC0">
      <w:pPr>
        <w:spacing w:after="0"/>
      </w:pPr>
    </w:p>
    <w:p w14:paraId="7F4C99CE" w14:textId="4ECEA1AC" w:rsidR="0097734A" w:rsidRDefault="0044626B" w:rsidP="00436DC0">
      <w:pPr>
        <w:spacing w:after="0"/>
      </w:pPr>
      <w:r w:rsidRPr="00090237">
        <w:t>Z výše uvedeného je tedy možné konstatovat, že závazk</w:t>
      </w:r>
      <w:r w:rsidR="00090237" w:rsidRPr="00090237">
        <w:t>u</w:t>
      </w:r>
      <w:r w:rsidRPr="00090237">
        <w:t xml:space="preserve"> příjemců k naplnění indikátoru </w:t>
      </w:r>
      <w:r w:rsidR="00F03254">
        <w:t>„</w:t>
      </w:r>
      <w:r w:rsidRPr="00090237">
        <w:rPr>
          <w:rFonts w:cstheme="minorHAnsi"/>
        </w:rPr>
        <w:t>Nová kapacita zařízení pro výrobu energie z</w:t>
      </w:r>
      <w:r w:rsidR="00F03254">
        <w:rPr>
          <w:rFonts w:cstheme="minorHAnsi"/>
        </w:rPr>
        <w:t> </w:t>
      </w:r>
      <w:r w:rsidRPr="00090237">
        <w:rPr>
          <w:rFonts w:cstheme="minorHAnsi"/>
        </w:rPr>
        <w:t>OZE</w:t>
      </w:r>
      <w:r w:rsidR="00F03254">
        <w:rPr>
          <w:rFonts w:cstheme="minorHAnsi"/>
        </w:rPr>
        <w:t>“</w:t>
      </w:r>
      <w:r w:rsidRPr="00090237">
        <w:rPr>
          <w:rFonts w:cstheme="minorHAnsi"/>
        </w:rPr>
        <w:t xml:space="preserve"> vedoucího k naplnění hlavního indikátoru výsledku</w:t>
      </w:r>
      <w:r w:rsidR="00090237" w:rsidRPr="00090237">
        <w:rPr>
          <w:rFonts w:cstheme="minorHAnsi"/>
        </w:rPr>
        <w:t xml:space="preserve"> je reálné dosáhnout.</w:t>
      </w:r>
    </w:p>
    <w:p w14:paraId="6729D99F" w14:textId="532A2252" w:rsidR="00446B47" w:rsidRDefault="00446B47" w:rsidP="00D3770C">
      <w:pPr>
        <w:pStyle w:val="Nadpis1"/>
        <w:ind w:left="431" w:hanging="431"/>
      </w:pPr>
      <w:bookmarkStart w:id="39" w:name="_Toc4596810"/>
      <w:bookmarkStart w:id="40" w:name="_Toc10729917"/>
      <w:r>
        <w:lastRenderedPageBreak/>
        <w:t>Evaluační otázka 2</w:t>
      </w:r>
      <w:r w:rsidR="00F41620">
        <w:t xml:space="preserve"> (OZE)</w:t>
      </w:r>
      <w:bookmarkEnd w:id="39"/>
      <w:bookmarkEnd w:id="40"/>
    </w:p>
    <w:p w14:paraId="4B8E9FAC" w14:textId="67631D3B" w:rsidR="00BA15EB" w:rsidRDefault="00F41620" w:rsidP="00BA15EB">
      <w:pPr>
        <w:spacing w:after="0"/>
        <w:rPr>
          <w:rFonts w:ascii="Calibri" w:hAnsi="Calibri" w:cs="Calibri"/>
          <w:b/>
        </w:rPr>
      </w:pPr>
      <w:r w:rsidRPr="00F41620">
        <w:rPr>
          <w:rFonts w:ascii="Calibri" w:hAnsi="Calibri" w:cs="Calibri"/>
          <w:b/>
        </w:rPr>
        <w:t>Jsou podporovány jen projekty bez negativního vlivu na elektrizační soustavu?</w:t>
      </w:r>
    </w:p>
    <w:p w14:paraId="39906D70" w14:textId="77777777" w:rsidR="00BA15EB" w:rsidRDefault="00BA15EB" w:rsidP="00BA15EB">
      <w:pPr>
        <w:spacing w:after="0"/>
        <w:rPr>
          <w:rFonts w:ascii="Calibri" w:hAnsi="Calibri" w:cs="Calibri"/>
          <w:b/>
        </w:rPr>
      </w:pPr>
    </w:p>
    <w:p w14:paraId="74C3475D" w14:textId="77777777" w:rsidR="00BA15EB" w:rsidRPr="001C50E7" w:rsidRDefault="00BA15EB" w:rsidP="00BA15EB">
      <w:pPr>
        <w:pStyle w:val="Nadpis2"/>
      </w:pPr>
      <w:bookmarkStart w:id="41" w:name="_Toc4596811"/>
      <w:bookmarkStart w:id="42" w:name="_Toc10729918"/>
      <w:r w:rsidRPr="001C50E7">
        <w:t>Úkol</w:t>
      </w:r>
      <w:bookmarkEnd w:id="41"/>
      <w:bookmarkEnd w:id="42"/>
    </w:p>
    <w:p w14:paraId="423F4F98" w14:textId="5073026E" w:rsidR="00BA15EB" w:rsidRDefault="00E04A22" w:rsidP="00F03254">
      <w:pPr>
        <w:spacing w:after="0"/>
      </w:pPr>
      <w:r w:rsidRPr="00E04A22">
        <w:t xml:space="preserve">Prostřednictvím desk-research, </w:t>
      </w:r>
      <w:r w:rsidR="00434E04">
        <w:t xml:space="preserve">a rozhovorů s experty v rámci fokusní skupiny </w:t>
      </w:r>
      <w:r w:rsidRPr="00E04A22">
        <w:t>zjistit, zda podpořené projekty nemají negativní vliv na elektrizační soustavu.</w:t>
      </w:r>
    </w:p>
    <w:p w14:paraId="673108AE" w14:textId="77777777" w:rsidR="00F03254" w:rsidRPr="00E04A22" w:rsidRDefault="00F03254" w:rsidP="00F03254">
      <w:pPr>
        <w:spacing w:after="0"/>
      </w:pPr>
    </w:p>
    <w:p w14:paraId="11DD5D48" w14:textId="77777777" w:rsidR="00BA15EB" w:rsidRPr="001C50E7" w:rsidRDefault="00BA15EB" w:rsidP="00BA15EB">
      <w:pPr>
        <w:pStyle w:val="Nadpis2"/>
      </w:pPr>
      <w:bookmarkStart w:id="43" w:name="_Toc4596812"/>
      <w:bookmarkStart w:id="44" w:name="_Toc10729919"/>
      <w:r w:rsidRPr="001C50E7">
        <w:t>Východiska</w:t>
      </w:r>
      <w:bookmarkEnd w:id="43"/>
      <w:bookmarkEnd w:id="44"/>
    </w:p>
    <w:p w14:paraId="4522F880" w14:textId="000DC04A" w:rsidR="00BA15EB" w:rsidRDefault="00E04A22" w:rsidP="00F03254">
      <w:pPr>
        <w:spacing w:after="0"/>
        <w:rPr>
          <w:lang w:eastAsia="cs-CZ"/>
        </w:rPr>
      </w:pPr>
      <w:r>
        <w:t xml:space="preserve">Hlavním cílem </w:t>
      </w:r>
      <w:r w:rsidR="00F03254">
        <w:t>p</w:t>
      </w:r>
      <w:r>
        <w:t>rogramu podpory O</w:t>
      </w:r>
      <w:r w:rsidR="00F03254">
        <w:t>ZE</w:t>
      </w:r>
      <w:r>
        <w:t xml:space="preserve"> je </w:t>
      </w:r>
      <w:r w:rsidRPr="00492793">
        <w:rPr>
          <w:lang w:eastAsia="cs-CZ"/>
        </w:rPr>
        <w:t>podpora výroby a distribuce energie pocházející z obnovitelných zdrojů.</w:t>
      </w:r>
      <w:r>
        <w:rPr>
          <w:lang w:eastAsia="cs-CZ"/>
        </w:rPr>
        <w:t xml:space="preserve"> Jak vyplývá z programového dokumentu, podporovány mají být pouze projekty, které nebudou mít negativní vliv na elektrizační soustavu</w:t>
      </w:r>
      <w:r w:rsidR="00CF776D">
        <w:rPr>
          <w:lang w:eastAsia="cs-CZ"/>
        </w:rPr>
        <w:t>,</w:t>
      </w:r>
      <w:r>
        <w:rPr>
          <w:lang w:eastAsia="cs-CZ"/>
        </w:rPr>
        <w:t xml:space="preserve"> </w:t>
      </w:r>
      <w:r w:rsidR="00CF776D">
        <w:rPr>
          <w:lang w:eastAsia="cs-CZ"/>
        </w:rPr>
        <w:t xml:space="preserve">a zároveň v jejich rámci budou instalována zařízení s nejvyšší efektivitou. </w:t>
      </w:r>
    </w:p>
    <w:p w14:paraId="7A0DE945" w14:textId="77777777" w:rsidR="00F03254" w:rsidRDefault="00F03254" w:rsidP="00F03254">
      <w:pPr>
        <w:spacing w:after="0"/>
        <w:rPr>
          <w:lang w:eastAsia="cs-CZ"/>
        </w:rPr>
      </w:pPr>
    </w:p>
    <w:p w14:paraId="79F31382" w14:textId="4939FEAE" w:rsidR="00CF776D" w:rsidRDefault="00CF776D" w:rsidP="00F03254">
      <w:pPr>
        <w:spacing w:after="0"/>
      </w:pPr>
      <w:r>
        <w:t>Programový dokument v této souvislosti explicitně jmenuje aktivity, které budou a nebudou podporovány právě např. z důvodu negativního vlivu na elektrizační soustavu.</w:t>
      </w:r>
    </w:p>
    <w:p w14:paraId="50EC3406" w14:textId="77777777" w:rsidR="00F03254" w:rsidRPr="001C50E7" w:rsidRDefault="00F03254" w:rsidP="00F03254">
      <w:pPr>
        <w:spacing w:after="0"/>
      </w:pPr>
    </w:p>
    <w:p w14:paraId="69A41D57" w14:textId="77777777" w:rsidR="00BA15EB" w:rsidRPr="001C50E7" w:rsidRDefault="00BA15EB" w:rsidP="00BA15EB">
      <w:pPr>
        <w:pStyle w:val="Nadpis2"/>
      </w:pPr>
      <w:bookmarkStart w:id="45" w:name="_Toc4596813"/>
      <w:bookmarkStart w:id="46" w:name="_Toc10729920"/>
      <w:r w:rsidRPr="001C50E7">
        <w:t>Zjištění v návaznosti na evaluační otázku a úkol</w:t>
      </w:r>
      <w:bookmarkEnd w:id="45"/>
      <w:bookmarkEnd w:id="46"/>
    </w:p>
    <w:tbl>
      <w:tblPr>
        <w:tblStyle w:val="Prosttabulka11"/>
        <w:tblW w:w="0" w:type="auto"/>
        <w:tblLook w:val="04A0" w:firstRow="1" w:lastRow="0" w:firstColumn="1" w:lastColumn="0" w:noHBand="0" w:noVBand="1"/>
      </w:tblPr>
      <w:tblGrid>
        <w:gridCol w:w="2972"/>
        <w:gridCol w:w="5954"/>
      </w:tblGrid>
      <w:tr w:rsidR="00BA15EB" w:rsidRPr="001C50E7" w14:paraId="576E4D30"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58068073" w14:textId="77777777" w:rsidR="00BA15EB" w:rsidRPr="001C50E7" w:rsidRDefault="00BA15EB" w:rsidP="005C5EF2">
            <w:pPr>
              <w:rPr>
                <w:rFonts w:ascii="Calibri" w:hAnsi="Calibri" w:cs="Calibri"/>
              </w:rPr>
            </w:pPr>
            <w:bookmarkStart w:id="47" w:name="_Hlk12022541"/>
            <w:r w:rsidRPr="001C50E7">
              <w:rPr>
                <w:rFonts w:ascii="Calibri" w:hAnsi="Calibri" w:cs="Calibri"/>
              </w:rPr>
              <w:t>Evaluační otázka</w:t>
            </w:r>
          </w:p>
        </w:tc>
        <w:tc>
          <w:tcPr>
            <w:tcW w:w="5954" w:type="dxa"/>
            <w:shd w:val="clear" w:color="auto" w:fill="auto"/>
          </w:tcPr>
          <w:p w14:paraId="0C7AA08F" w14:textId="6B855A1A" w:rsidR="00BA15EB" w:rsidRPr="001C50E7" w:rsidRDefault="00F41620" w:rsidP="005C5EF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41620">
              <w:rPr>
                <w:rFonts w:ascii="Calibri" w:hAnsi="Calibri" w:cs="Calibri"/>
              </w:rPr>
              <w:t>Jsou podporovány jen projekty bez negativního vlivu na elektrizační soustavu?</w:t>
            </w:r>
          </w:p>
        </w:tc>
      </w:tr>
      <w:tr w:rsidR="00BA15EB" w:rsidRPr="001C50E7" w14:paraId="3D15DA90"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940FF7" w14:textId="77777777" w:rsidR="00BA15EB" w:rsidRPr="001C50E7" w:rsidRDefault="00BA15EB" w:rsidP="005C5EF2">
            <w:pPr>
              <w:rPr>
                <w:rFonts w:ascii="Calibri" w:hAnsi="Calibri" w:cs="Calibri"/>
              </w:rPr>
            </w:pPr>
            <w:r w:rsidRPr="001C50E7">
              <w:rPr>
                <w:rFonts w:ascii="Calibri" w:hAnsi="Calibri" w:cs="Calibri"/>
              </w:rPr>
              <w:t>Zhodnocení</w:t>
            </w:r>
            <w:r w:rsidRPr="001C50E7">
              <w:rPr>
                <w:rFonts w:ascii="Calibri" w:hAnsi="Calibri" w:cs="Calibri"/>
              </w:rPr>
              <w:br/>
            </w:r>
            <w:r w:rsidRPr="001C50E7">
              <w:rPr>
                <w:rFonts w:ascii="Calibri" w:hAnsi="Calibri" w:cs="Calibri"/>
                <w:b w:val="0"/>
              </w:rPr>
              <w:t>(Ano, Spíše ano, Spíše ne, Ne, Není relevantní)</w:t>
            </w:r>
          </w:p>
        </w:tc>
        <w:tc>
          <w:tcPr>
            <w:tcW w:w="5954" w:type="dxa"/>
            <w:shd w:val="clear" w:color="auto" w:fill="auto"/>
          </w:tcPr>
          <w:p w14:paraId="7435554A" w14:textId="59E06E02" w:rsidR="00BA15EB" w:rsidRPr="001C50E7" w:rsidRDefault="00CF776D" w:rsidP="005C5EF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Ano</w:t>
            </w:r>
          </w:p>
        </w:tc>
      </w:tr>
      <w:tr w:rsidR="00BA15EB" w:rsidRPr="001C50E7" w14:paraId="130DA289"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0A6EA8B2" w14:textId="77777777" w:rsidR="00BA15EB" w:rsidRPr="00BD5A24" w:rsidRDefault="000722BD" w:rsidP="005C5EF2">
            <w:pPr>
              <w:rPr>
                <w:rFonts w:ascii="Calibri" w:hAnsi="Calibri" w:cs="Calibri"/>
              </w:rPr>
            </w:pPr>
            <w:r w:rsidRPr="00BD5A24">
              <w:rPr>
                <w:rFonts w:ascii="Calibri" w:hAnsi="Calibri" w:cs="Calibri"/>
              </w:rPr>
              <w:t>Hlavní závěry a zjištění</w:t>
            </w:r>
          </w:p>
        </w:tc>
        <w:tc>
          <w:tcPr>
            <w:tcW w:w="5954" w:type="dxa"/>
            <w:shd w:val="clear" w:color="auto" w:fill="auto"/>
          </w:tcPr>
          <w:p w14:paraId="541DA96E" w14:textId="2A9688DD" w:rsidR="00A22ECC" w:rsidRDefault="00CF776D" w:rsidP="00F416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A24">
              <w:rPr>
                <w:rFonts w:ascii="Calibri" w:hAnsi="Calibri" w:cs="Calibri"/>
              </w:rPr>
              <w:t xml:space="preserve">Program podpory OZE je nastaven tak, že neumožňuje získání podpory projektům, které by mohly mít negativní vliv na elektrizační soustavu. </w:t>
            </w:r>
          </w:p>
          <w:p w14:paraId="6C0D3FAE" w14:textId="77777777" w:rsidR="00F03254" w:rsidRPr="00BD5A24" w:rsidRDefault="00F03254" w:rsidP="00F416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7624485A" w14:textId="1C4A4519" w:rsidR="00CF776D" w:rsidRDefault="00CF776D" w:rsidP="00F416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A24">
              <w:rPr>
                <w:rFonts w:ascii="Calibri" w:hAnsi="Calibri" w:cs="Calibri"/>
              </w:rPr>
              <w:t xml:space="preserve">Podporovány jsou OZE, které ze své podstaty nemají negativní dopad na el. soustavu, navíc jsou podporovány </w:t>
            </w:r>
            <w:r w:rsidR="00042CB3" w:rsidRPr="00BD5A24">
              <w:rPr>
                <w:rFonts w:ascii="Calibri" w:hAnsi="Calibri" w:cs="Calibri"/>
              </w:rPr>
              <w:t xml:space="preserve">nové a rekonstruované </w:t>
            </w:r>
            <w:r w:rsidRPr="00BD5A24">
              <w:rPr>
                <w:rFonts w:ascii="Calibri" w:hAnsi="Calibri" w:cs="Calibri"/>
              </w:rPr>
              <w:t>OZE o výkonu do 10 MW</w:t>
            </w:r>
            <w:r w:rsidR="00042CB3" w:rsidRPr="00BD5A24">
              <w:rPr>
                <w:rFonts w:ascii="Calibri" w:hAnsi="Calibri" w:cs="Calibri"/>
              </w:rPr>
              <w:t xml:space="preserve"> (rekonstrukce a výstavby)</w:t>
            </w:r>
            <w:r w:rsidR="004207CB">
              <w:rPr>
                <w:rFonts w:ascii="Calibri" w:hAnsi="Calibri" w:cs="Calibri"/>
              </w:rPr>
              <w:t>.</w:t>
            </w:r>
          </w:p>
          <w:p w14:paraId="611EB3E1" w14:textId="77777777" w:rsidR="00F03254" w:rsidRPr="00BD5A24" w:rsidRDefault="00F03254" w:rsidP="00F41620">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B07BDEB" w14:textId="0CDD5177" w:rsidR="009C0EEF" w:rsidRPr="00BD5A24" w:rsidRDefault="009C0EEF" w:rsidP="00F4162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5A24">
              <w:rPr>
                <w:rFonts w:ascii="Calibri" w:hAnsi="Calibri" w:cs="Calibri"/>
              </w:rPr>
              <w:t>U realizovaných projektů nebyly zaznamenány žádné negativní vlivy na elektrizační soustavu</w:t>
            </w:r>
            <w:r w:rsidR="00BD5A24">
              <w:rPr>
                <w:rFonts w:ascii="Calibri" w:hAnsi="Calibri" w:cs="Calibri"/>
              </w:rPr>
              <w:t>.</w:t>
            </w:r>
          </w:p>
        </w:tc>
      </w:tr>
      <w:bookmarkEnd w:id="47"/>
      <w:tr w:rsidR="00BA15EB" w:rsidRPr="001C50E7" w14:paraId="5F3B0E94"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212429" w14:textId="77777777" w:rsidR="00BA15EB" w:rsidRPr="00835293" w:rsidRDefault="00BA15EB" w:rsidP="005C5EF2">
            <w:pPr>
              <w:rPr>
                <w:rFonts w:ascii="Calibri" w:hAnsi="Calibri" w:cs="Calibri"/>
              </w:rPr>
            </w:pPr>
            <w:r w:rsidRPr="00835293">
              <w:rPr>
                <w:rFonts w:ascii="Calibri" w:hAnsi="Calibri" w:cs="Calibri"/>
              </w:rPr>
              <w:t>Doporučení pro programové období 2014 - 2020</w:t>
            </w:r>
          </w:p>
        </w:tc>
        <w:tc>
          <w:tcPr>
            <w:tcW w:w="5954" w:type="dxa"/>
            <w:shd w:val="clear" w:color="auto" w:fill="auto"/>
          </w:tcPr>
          <w:p w14:paraId="4B74E9D3" w14:textId="460B016E" w:rsidR="00BA15EB" w:rsidRPr="00835293" w:rsidRDefault="00835293" w:rsidP="0083529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35293">
              <w:rPr>
                <w:rFonts w:ascii="Calibri" w:hAnsi="Calibri" w:cs="Calibri"/>
              </w:rPr>
              <w:t>Rozšířit podporované aktivity PP OZE tak, jak je navrhováno v připravované V. výzvě PP OZE a docílit maximálního příspěvku k navyšování podílu OZE na hrubé konečné spotřebě ČR při nulovém dopadu na elektrizační soustavu.</w:t>
            </w:r>
          </w:p>
        </w:tc>
      </w:tr>
      <w:tr w:rsidR="005251EB" w:rsidRPr="001C50E7" w14:paraId="171C72CE" w14:textId="77777777" w:rsidTr="00830DA2">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0C420DFD" w14:textId="618252A6" w:rsidR="005251EB" w:rsidRPr="00835293" w:rsidRDefault="005251EB" w:rsidP="005251EB">
            <w:pPr>
              <w:rPr>
                <w:rFonts w:ascii="Calibri" w:hAnsi="Calibri" w:cs="Calibri"/>
              </w:rPr>
            </w:pPr>
            <w:r w:rsidRPr="00835293">
              <w:rPr>
                <w:rFonts w:ascii="Calibri" w:hAnsi="Calibri" w:cs="Calibri"/>
              </w:rPr>
              <w:t>Doporučení pro programové období 2021</w:t>
            </w:r>
            <w:r w:rsidR="00830DA2">
              <w:rPr>
                <w:rFonts w:ascii="Calibri" w:hAnsi="Calibri" w:cs="Calibri"/>
              </w:rPr>
              <w:t xml:space="preserve"> - 2027</w:t>
            </w:r>
          </w:p>
        </w:tc>
        <w:tc>
          <w:tcPr>
            <w:tcW w:w="5954" w:type="dxa"/>
            <w:shd w:val="clear" w:color="auto" w:fill="auto"/>
          </w:tcPr>
          <w:p w14:paraId="45C27DC3" w14:textId="65B78E04" w:rsidR="005251EB" w:rsidRDefault="009C0EEF" w:rsidP="0083529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35293">
              <w:rPr>
                <w:rFonts w:ascii="Calibri" w:hAnsi="Calibri" w:cs="Calibri"/>
              </w:rPr>
              <w:t xml:space="preserve">Rozšířit podporované aktivity </w:t>
            </w:r>
            <w:r w:rsidR="00BD5A24" w:rsidRPr="00835293">
              <w:rPr>
                <w:rFonts w:ascii="Calibri" w:hAnsi="Calibri" w:cs="Calibri"/>
              </w:rPr>
              <w:t xml:space="preserve">tak, aby mohlo docházet </w:t>
            </w:r>
            <w:r w:rsidRPr="00835293">
              <w:rPr>
                <w:rFonts w:ascii="Calibri" w:hAnsi="Calibri" w:cs="Calibri"/>
              </w:rPr>
              <w:t>k</w:t>
            </w:r>
            <w:r w:rsidR="00BD5A24" w:rsidRPr="00835293">
              <w:rPr>
                <w:rFonts w:ascii="Calibri" w:hAnsi="Calibri" w:cs="Calibri"/>
              </w:rPr>
              <w:t xml:space="preserve"> intenzivnějšímu </w:t>
            </w:r>
            <w:r w:rsidRPr="00835293">
              <w:rPr>
                <w:rFonts w:ascii="Calibri" w:hAnsi="Calibri" w:cs="Calibri"/>
              </w:rPr>
              <w:t>plnění závazků ČR vůči EU v oblasti OZE</w:t>
            </w:r>
            <w:r w:rsidR="008F0EDF">
              <w:rPr>
                <w:rFonts w:ascii="Calibri" w:hAnsi="Calibri" w:cs="Calibri"/>
              </w:rPr>
              <w:t xml:space="preserve"> </w:t>
            </w:r>
            <w:r w:rsidR="008F0EDF" w:rsidRPr="008F0EDF">
              <w:rPr>
                <w:rFonts w:ascii="Calibri" w:hAnsi="Calibri" w:cs="Calibri"/>
              </w:rPr>
              <w:t>(větrné elektrárny, tepelná čerpadla a solárně termické systémy, využití geotermální energie)</w:t>
            </w:r>
            <w:r w:rsidR="00BD5A24" w:rsidRPr="00835293">
              <w:rPr>
                <w:rFonts w:ascii="Calibri" w:hAnsi="Calibri" w:cs="Calibri"/>
              </w:rPr>
              <w:t>.</w:t>
            </w:r>
            <w:r w:rsidRPr="00835293">
              <w:rPr>
                <w:rFonts w:ascii="Calibri" w:hAnsi="Calibri" w:cs="Calibri"/>
              </w:rPr>
              <w:t xml:space="preserve"> </w:t>
            </w:r>
            <w:r w:rsidR="00BD5A24" w:rsidRPr="00835293">
              <w:rPr>
                <w:rFonts w:ascii="Calibri" w:hAnsi="Calibri" w:cs="Calibri"/>
              </w:rPr>
              <w:t>V</w:t>
            </w:r>
            <w:r w:rsidRPr="00835293">
              <w:rPr>
                <w:rFonts w:ascii="Calibri" w:hAnsi="Calibri" w:cs="Calibri"/>
              </w:rPr>
              <w:t xml:space="preserve"> návaznosti na </w:t>
            </w:r>
            <w:r w:rsidR="00BD5A24" w:rsidRPr="00835293">
              <w:rPr>
                <w:rFonts w:ascii="Calibri" w:hAnsi="Calibri" w:cs="Calibri"/>
              </w:rPr>
              <w:t xml:space="preserve">zvyšující se </w:t>
            </w:r>
            <w:r w:rsidRPr="00835293">
              <w:rPr>
                <w:rFonts w:ascii="Calibri" w:hAnsi="Calibri" w:cs="Calibri"/>
              </w:rPr>
              <w:t>kvalitu a prostupnost el</w:t>
            </w:r>
            <w:r w:rsidR="00BD5A24" w:rsidRPr="00835293">
              <w:rPr>
                <w:rFonts w:ascii="Calibri" w:hAnsi="Calibri" w:cs="Calibri"/>
              </w:rPr>
              <w:t>ektrizační</w:t>
            </w:r>
            <w:r w:rsidRPr="00835293">
              <w:rPr>
                <w:rFonts w:ascii="Calibri" w:hAnsi="Calibri" w:cs="Calibri"/>
              </w:rPr>
              <w:t xml:space="preserve"> soustavy </w:t>
            </w:r>
            <w:r w:rsidR="00BD5A24" w:rsidRPr="00835293">
              <w:rPr>
                <w:rFonts w:ascii="Calibri" w:hAnsi="Calibri" w:cs="Calibri"/>
              </w:rPr>
              <w:t>snižovat omezení podporovaných aktivit např.</w:t>
            </w:r>
            <w:r w:rsidRPr="00835293">
              <w:rPr>
                <w:rFonts w:ascii="Calibri" w:hAnsi="Calibri" w:cs="Calibri"/>
              </w:rPr>
              <w:t xml:space="preserve"> z hlediska výkonu podpořeného OZE</w:t>
            </w:r>
            <w:r w:rsidR="00835293">
              <w:rPr>
                <w:rFonts w:ascii="Calibri" w:hAnsi="Calibri" w:cs="Calibri"/>
              </w:rPr>
              <w:t>.</w:t>
            </w:r>
          </w:p>
          <w:p w14:paraId="5D1F5C15" w14:textId="1321B69C" w:rsidR="00F13E22" w:rsidRPr="001C50E7" w:rsidRDefault="00537F43" w:rsidP="0083529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lastRenderedPageBreak/>
              <w:t>N</w:t>
            </w:r>
            <w:r w:rsidR="00F13E22">
              <w:rPr>
                <w:rFonts w:ascii="Calibri" w:hAnsi="Calibri" w:cs="Calibri"/>
              </w:rPr>
              <w:t xml:space="preserve">astavit omezení pro </w:t>
            </w:r>
            <w:r>
              <w:rPr>
                <w:rFonts w:ascii="Calibri" w:hAnsi="Calibri" w:cs="Calibri"/>
              </w:rPr>
              <w:t xml:space="preserve">podporu </w:t>
            </w:r>
            <w:r w:rsidR="00F13E22">
              <w:rPr>
                <w:rFonts w:ascii="Calibri" w:hAnsi="Calibri" w:cs="Calibri"/>
              </w:rPr>
              <w:t>OZE s potencionálně negativním vlivem na elektrizační soustavu</w:t>
            </w:r>
            <w:r>
              <w:rPr>
                <w:rFonts w:ascii="Calibri" w:hAnsi="Calibri" w:cs="Calibri"/>
              </w:rPr>
              <w:t>, a to např. z hlediska maximálního výkonu těchto zařízení (týká se zejména využití větrné energie, ale i solární).</w:t>
            </w:r>
          </w:p>
        </w:tc>
      </w:tr>
    </w:tbl>
    <w:p w14:paraId="396D0395" w14:textId="77777777" w:rsidR="00BA15EB" w:rsidRPr="001C50E7" w:rsidRDefault="00BA15EB" w:rsidP="00BA15EB">
      <w:pPr>
        <w:spacing w:after="0"/>
        <w:rPr>
          <w:rFonts w:ascii="Calibri" w:hAnsi="Calibri" w:cs="Calibri"/>
        </w:rPr>
      </w:pPr>
    </w:p>
    <w:p w14:paraId="262F2E31" w14:textId="77777777" w:rsidR="00BA15EB" w:rsidRDefault="00BA15EB" w:rsidP="00BA15EB">
      <w:pPr>
        <w:pStyle w:val="Nadpis2"/>
      </w:pPr>
      <w:bookmarkStart w:id="48" w:name="_Toc4596814"/>
      <w:bookmarkStart w:id="49" w:name="_Toc10729921"/>
      <w:r w:rsidRPr="00776124">
        <w:t>Doplňující informace k evaluační otázce</w:t>
      </w:r>
      <w:bookmarkEnd w:id="48"/>
      <w:bookmarkEnd w:id="49"/>
    </w:p>
    <w:p w14:paraId="1D148A74" w14:textId="77777777" w:rsidR="00F03254" w:rsidRDefault="00B836B9" w:rsidP="00F03254">
      <w:pPr>
        <w:spacing w:after="0"/>
        <w:rPr>
          <w:lang w:eastAsia="sk-SK"/>
        </w:rPr>
      </w:pPr>
      <w:r>
        <w:rPr>
          <w:lang w:eastAsia="sk-SK"/>
        </w:rPr>
        <w:t xml:space="preserve">Obnovitelné zdroje energie mohou negativně ovlivňovat elektrizační soustavu především v důsledku výkyvů výroby elektrické energie. Ty nastávají především u OZE, které jsou závislé na počasí, tj. </w:t>
      </w:r>
      <w:r w:rsidR="000139FC">
        <w:rPr>
          <w:lang w:eastAsia="sk-SK"/>
        </w:rPr>
        <w:t>v českých podmínkách u </w:t>
      </w:r>
      <w:r>
        <w:rPr>
          <w:lang w:eastAsia="sk-SK"/>
        </w:rPr>
        <w:t xml:space="preserve">větrných a fotovoltaických elektráren. Vzhledem k tomu, že řízení </w:t>
      </w:r>
      <w:r w:rsidR="000139FC">
        <w:rPr>
          <w:lang w:eastAsia="sk-SK"/>
        </w:rPr>
        <w:t>elektrizační soustavy</w:t>
      </w:r>
      <w:r>
        <w:rPr>
          <w:lang w:eastAsia="sk-SK"/>
        </w:rPr>
        <w:t xml:space="preserve"> se vždy snaží o</w:t>
      </w:r>
      <w:r w:rsidR="000139FC">
        <w:rPr>
          <w:lang w:eastAsia="sk-SK"/>
        </w:rPr>
        <w:t> </w:t>
      </w:r>
      <w:r>
        <w:rPr>
          <w:lang w:eastAsia="sk-SK"/>
        </w:rPr>
        <w:t xml:space="preserve">vyrovnaný poměr mezi výrobou a spotřebou elektrické energie, mohou být tyto výkyvy z hlediska bezpečnosti sítě problematické. </w:t>
      </w:r>
    </w:p>
    <w:p w14:paraId="648B1387" w14:textId="77777777" w:rsidR="00F03254" w:rsidRDefault="00F03254" w:rsidP="00F03254">
      <w:pPr>
        <w:spacing w:after="0"/>
        <w:rPr>
          <w:lang w:eastAsia="sk-SK"/>
        </w:rPr>
      </w:pPr>
    </w:p>
    <w:p w14:paraId="33208FAC" w14:textId="46792159" w:rsidR="00B836B9" w:rsidRDefault="00B836B9" w:rsidP="00F03254">
      <w:pPr>
        <w:spacing w:after="0"/>
        <w:rPr>
          <w:lang w:eastAsia="sk-SK"/>
        </w:rPr>
      </w:pPr>
      <w:r>
        <w:rPr>
          <w:lang w:eastAsia="sk-SK"/>
        </w:rPr>
        <w:t xml:space="preserve">Míra dopadu OZE na elektrizační soustavu závisí jednak na množství OZE napojených do sítě a samozřejmě také na robustnosti a kvalitě samotné sítě. </w:t>
      </w:r>
      <w:r w:rsidR="000139FC">
        <w:rPr>
          <w:lang w:eastAsia="sk-SK"/>
        </w:rPr>
        <w:t xml:space="preserve">Druhotným faktorem pak může být např. </w:t>
      </w:r>
      <w:r w:rsidR="00434E04">
        <w:rPr>
          <w:lang w:eastAsia="sk-SK"/>
        </w:rPr>
        <w:t xml:space="preserve">náhlá změna počasí, </w:t>
      </w:r>
      <w:r w:rsidR="000139FC">
        <w:rPr>
          <w:lang w:eastAsia="sk-SK"/>
        </w:rPr>
        <w:t>chybná či nepřesná předpověď počasí, která ovlivní regulaci poměru mezi výrobou a spotřebou elektrické energie nevhodným směrem</w:t>
      </w:r>
      <w:r w:rsidR="00434E04">
        <w:rPr>
          <w:rStyle w:val="Znakapoznpodarou"/>
          <w:lang w:eastAsia="sk-SK"/>
        </w:rPr>
        <w:footnoteReference w:id="3"/>
      </w:r>
      <w:r w:rsidR="000139FC">
        <w:rPr>
          <w:lang w:eastAsia="sk-SK"/>
        </w:rPr>
        <w:t>.</w:t>
      </w:r>
    </w:p>
    <w:p w14:paraId="30011E1D" w14:textId="77777777" w:rsidR="00F03254" w:rsidRDefault="00F03254" w:rsidP="00F03254">
      <w:pPr>
        <w:spacing w:after="0"/>
        <w:rPr>
          <w:lang w:eastAsia="sk-SK"/>
        </w:rPr>
      </w:pPr>
    </w:p>
    <w:p w14:paraId="60BEDF24" w14:textId="10FAA629" w:rsidR="000139FC" w:rsidRDefault="000139FC" w:rsidP="00F03254">
      <w:pPr>
        <w:spacing w:after="0"/>
        <w:rPr>
          <w:lang w:eastAsia="sk-SK"/>
        </w:rPr>
      </w:pPr>
      <w:r>
        <w:rPr>
          <w:lang w:eastAsia="sk-SK"/>
        </w:rPr>
        <w:t>V rámci aktualizace závěrečné zprávy</w:t>
      </w:r>
      <w:r w:rsidR="00F03254">
        <w:rPr>
          <w:lang w:eastAsia="sk-SK"/>
        </w:rPr>
        <w:t xml:space="preserve"> evaluačního projektu</w:t>
      </w:r>
      <w:r>
        <w:rPr>
          <w:lang w:eastAsia="sk-SK"/>
        </w:rPr>
        <w:t xml:space="preserve"> </w:t>
      </w:r>
      <w:r w:rsidRPr="00F03254">
        <w:rPr>
          <w:i/>
          <w:lang w:eastAsia="sk-SK"/>
        </w:rPr>
        <w:t>OP PIK: Relevance rozvojových potřeb a příspěvek k plnění cílů Dohody o partnerství za léta 2014 - 2016</w:t>
      </w:r>
      <w:r>
        <w:rPr>
          <w:lang w:eastAsia="sk-SK"/>
        </w:rPr>
        <w:t xml:space="preserve"> byly v pilíři 2.3 Energetická infrastruktura </w:t>
      </w:r>
      <w:r w:rsidR="00BE762E">
        <w:rPr>
          <w:lang w:eastAsia="sk-SK"/>
        </w:rPr>
        <w:t>identifikovány následující potřeby rozvoje relevantní pro OP PIK:</w:t>
      </w:r>
    </w:p>
    <w:p w14:paraId="690A3714" w14:textId="7CB32DB5" w:rsidR="00BE762E" w:rsidRPr="00BE762E" w:rsidRDefault="00BE762E" w:rsidP="00F03254">
      <w:pPr>
        <w:pStyle w:val="Odstavecseseznamem"/>
        <w:numPr>
          <w:ilvl w:val="0"/>
          <w:numId w:val="13"/>
        </w:numPr>
        <w:spacing w:line="276" w:lineRule="auto"/>
        <w:ind w:hanging="357"/>
        <w:rPr>
          <w:rFonts w:asciiTheme="minorHAnsi" w:hAnsiTheme="minorHAnsi" w:cstheme="minorHAnsi"/>
          <w:lang w:eastAsia="sk-SK"/>
        </w:rPr>
      </w:pPr>
      <w:r w:rsidRPr="00BE762E">
        <w:rPr>
          <w:rFonts w:asciiTheme="minorHAnsi" w:hAnsiTheme="minorHAnsi" w:cstheme="minorHAnsi"/>
          <w:sz w:val="22"/>
          <w:szCs w:val="22"/>
        </w:rPr>
        <w:t>Závislost na neobnovitelných zdrojích energie, nízká orientace na využití obnovitelných zdrojů energie</w:t>
      </w:r>
    </w:p>
    <w:p w14:paraId="5B4B3D30" w14:textId="77777777" w:rsidR="00BE762E" w:rsidRPr="00BE762E" w:rsidRDefault="00BE762E" w:rsidP="00F03254">
      <w:pPr>
        <w:pStyle w:val="Default"/>
        <w:numPr>
          <w:ilvl w:val="1"/>
          <w:numId w:val="13"/>
        </w:numPr>
        <w:spacing w:line="276" w:lineRule="auto"/>
        <w:ind w:hanging="357"/>
        <w:rPr>
          <w:rFonts w:asciiTheme="minorHAnsi" w:hAnsiTheme="minorHAnsi" w:cstheme="minorHAnsi"/>
          <w:sz w:val="22"/>
          <w:szCs w:val="22"/>
        </w:rPr>
      </w:pPr>
      <w:r w:rsidRPr="00BE762E">
        <w:rPr>
          <w:rFonts w:asciiTheme="minorHAnsi" w:hAnsiTheme="minorHAnsi" w:cstheme="minorHAnsi"/>
          <w:sz w:val="22"/>
          <w:szCs w:val="22"/>
        </w:rPr>
        <w:t xml:space="preserve">Zvyšování podílu obnovitelných zdrojů energie (biomasa, bioplyn, malé vodní elektrárny) na spotřebě. </w:t>
      </w:r>
    </w:p>
    <w:p w14:paraId="00ED62C8" w14:textId="68F8D678" w:rsidR="00BE762E" w:rsidRPr="00BE762E" w:rsidRDefault="00BE762E" w:rsidP="00F03254">
      <w:pPr>
        <w:pStyle w:val="Odstavecseseznamem"/>
        <w:numPr>
          <w:ilvl w:val="0"/>
          <w:numId w:val="13"/>
        </w:numPr>
        <w:spacing w:line="276" w:lineRule="auto"/>
        <w:ind w:hanging="357"/>
        <w:rPr>
          <w:rFonts w:asciiTheme="minorHAnsi" w:hAnsiTheme="minorHAnsi" w:cstheme="minorHAnsi"/>
          <w:lang w:eastAsia="sk-SK"/>
        </w:rPr>
      </w:pPr>
      <w:r w:rsidRPr="00BE762E">
        <w:rPr>
          <w:rFonts w:asciiTheme="minorHAnsi" w:hAnsiTheme="minorHAnsi" w:cstheme="minorHAnsi"/>
          <w:sz w:val="22"/>
          <w:szCs w:val="22"/>
        </w:rPr>
        <w:t>Nedostatečná modernost a kapacita přenosové soustavy (PS)</w:t>
      </w:r>
    </w:p>
    <w:p w14:paraId="594ACEA9" w14:textId="614038FE" w:rsidR="00BE762E" w:rsidRPr="00BE762E" w:rsidRDefault="00BE762E" w:rsidP="00F03254">
      <w:pPr>
        <w:pStyle w:val="Default"/>
        <w:numPr>
          <w:ilvl w:val="1"/>
          <w:numId w:val="13"/>
        </w:numPr>
        <w:spacing w:line="276" w:lineRule="auto"/>
        <w:ind w:hanging="357"/>
        <w:rPr>
          <w:rFonts w:asciiTheme="minorHAnsi" w:hAnsiTheme="minorHAnsi" w:cstheme="minorHAnsi"/>
          <w:sz w:val="22"/>
          <w:szCs w:val="22"/>
        </w:rPr>
      </w:pPr>
      <w:r w:rsidRPr="00BE762E">
        <w:rPr>
          <w:rFonts w:asciiTheme="minorHAnsi" w:hAnsiTheme="minorHAnsi" w:cstheme="minorHAnsi"/>
          <w:sz w:val="22"/>
          <w:szCs w:val="22"/>
        </w:rPr>
        <w:t xml:space="preserve">Posílení a modernizace přenosové soustavy (vedení a transformovny). </w:t>
      </w:r>
    </w:p>
    <w:p w14:paraId="2D48B9C3" w14:textId="792C4508" w:rsidR="00BE762E" w:rsidRPr="00BE762E" w:rsidRDefault="00BE762E" w:rsidP="00F03254">
      <w:pPr>
        <w:pStyle w:val="Odstavecseseznamem"/>
        <w:numPr>
          <w:ilvl w:val="0"/>
          <w:numId w:val="13"/>
        </w:numPr>
        <w:spacing w:line="276" w:lineRule="auto"/>
        <w:ind w:hanging="357"/>
        <w:rPr>
          <w:rFonts w:asciiTheme="minorHAnsi" w:hAnsiTheme="minorHAnsi" w:cstheme="minorHAnsi"/>
          <w:lang w:eastAsia="sk-SK"/>
        </w:rPr>
      </w:pPr>
      <w:r w:rsidRPr="00BE762E">
        <w:rPr>
          <w:rFonts w:asciiTheme="minorHAnsi" w:hAnsiTheme="minorHAnsi" w:cstheme="minorHAnsi"/>
          <w:sz w:val="22"/>
          <w:szCs w:val="22"/>
        </w:rPr>
        <w:t>Nedostatečná modernost a kapacita distribučních soustav</w:t>
      </w:r>
    </w:p>
    <w:p w14:paraId="17210411" w14:textId="0A642E79" w:rsidR="00BE762E" w:rsidRPr="00BE762E" w:rsidRDefault="00BE762E" w:rsidP="00F03254">
      <w:pPr>
        <w:pStyle w:val="Default"/>
        <w:numPr>
          <w:ilvl w:val="1"/>
          <w:numId w:val="13"/>
        </w:numPr>
        <w:spacing w:line="276" w:lineRule="auto"/>
        <w:ind w:hanging="357"/>
        <w:rPr>
          <w:rFonts w:asciiTheme="minorHAnsi" w:hAnsiTheme="minorHAnsi" w:cstheme="minorHAnsi"/>
          <w:sz w:val="22"/>
          <w:szCs w:val="22"/>
        </w:rPr>
      </w:pPr>
      <w:r w:rsidRPr="00BE762E">
        <w:rPr>
          <w:rFonts w:asciiTheme="minorHAnsi" w:hAnsiTheme="minorHAnsi" w:cstheme="minorHAnsi"/>
          <w:sz w:val="22"/>
          <w:szCs w:val="22"/>
        </w:rPr>
        <w:t>Modernizace distribučních soustav s důrazem na zavádění prvků inteligentních sítí (smart</w:t>
      </w:r>
      <w:r>
        <w:rPr>
          <w:rFonts w:asciiTheme="minorHAnsi" w:hAnsiTheme="minorHAnsi" w:cstheme="minorHAnsi"/>
          <w:sz w:val="22"/>
          <w:szCs w:val="22"/>
        </w:rPr>
        <w:t xml:space="preserve"> </w:t>
      </w:r>
      <w:r w:rsidRPr="00BE762E">
        <w:rPr>
          <w:rFonts w:asciiTheme="minorHAnsi" w:hAnsiTheme="minorHAnsi" w:cstheme="minorHAnsi"/>
          <w:sz w:val="22"/>
          <w:szCs w:val="22"/>
        </w:rPr>
        <w:t>grids) za účelem minimalizace úzkých profilů a integrace decentralizovaných zdrojů energie a zlepšování spolehlivosti dodávek elektřiny.</w:t>
      </w:r>
      <w:r>
        <w:rPr>
          <w:rStyle w:val="Znakapoznpodarou"/>
          <w:rFonts w:asciiTheme="minorHAnsi" w:hAnsiTheme="minorHAnsi" w:cstheme="minorHAnsi"/>
          <w:sz w:val="22"/>
          <w:szCs w:val="22"/>
        </w:rPr>
        <w:footnoteReference w:id="4"/>
      </w:r>
      <w:r w:rsidRPr="00BE762E">
        <w:rPr>
          <w:rFonts w:asciiTheme="minorHAnsi" w:hAnsiTheme="minorHAnsi" w:cstheme="minorHAnsi"/>
          <w:sz w:val="22"/>
          <w:szCs w:val="22"/>
        </w:rPr>
        <w:t xml:space="preserve"> </w:t>
      </w:r>
    </w:p>
    <w:p w14:paraId="16405D1E" w14:textId="77777777" w:rsidR="00BE762E" w:rsidRDefault="00BE762E" w:rsidP="00F03254">
      <w:pPr>
        <w:spacing w:after="0"/>
        <w:rPr>
          <w:rFonts w:cstheme="minorHAnsi"/>
          <w:lang w:eastAsia="sk-SK"/>
        </w:rPr>
      </w:pPr>
    </w:p>
    <w:p w14:paraId="09CB2E05" w14:textId="7AC52757" w:rsidR="006E3744" w:rsidRDefault="00BE762E" w:rsidP="00F03254">
      <w:pPr>
        <w:spacing w:after="0"/>
        <w:rPr>
          <w:rFonts w:cstheme="minorHAnsi"/>
          <w:lang w:eastAsia="sk-SK"/>
        </w:rPr>
      </w:pPr>
      <w:r>
        <w:rPr>
          <w:rFonts w:cstheme="minorHAnsi"/>
          <w:lang w:eastAsia="sk-SK"/>
        </w:rPr>
        <w:t xml:space="preserve">Také v návaznosti na takto identifikované potřeby dochází v rámci OP PIK, prioritní osy 3 k podpoře smart grids v přenosových a distribučních sítích. </w:t>
      </w:r>
      <w:r w:rsidR="006E3744">
        <w:rPr>
          <w:rFonts w:cstheme="minorHAnsi"/>
          <w:lang w:eastAsia="sk-SK"/>
        </w:rPr>
        <w:t xml:space="preserve">K intenzivnější modernizaci (alespoň z prostředků OP PIK) dochází v případě přenosových sítí. Realizovány jsou projekty s celkovou dotací převyšující 1,75 mld. Kč. V případě distribučních sítí je čerpání dotací na modernizaci této soustavy výrazně nižší (realizují se </w:t>
      </w:r>
      <w:r w:rsidR="008E045F">
        <w:rPr>
          <w:rFonts w:cstheme="minorHAnsi"/>
          <w:lang w:eastAsia="sk-SK"/>
        </w:rPr>
        <w:t>4</w:t>
      </w:r>
      <w:r w:rsidR="006E3744">
        <w:rPr>
          <w:rFonts w:cstheme="minorHAnsi"/>
          <w:lang w:eastAsia="sk-SK"/>
        </w:rPr>
        <w:t xml:space="preserve"> projekty o celkové dotaci 100 mil. Kč). </w:t>
      </w:r>
    </w:p>
    <w:p w14:paraId="78833A80" w14:textId="77777777" w:rsidR="00F03254" w:rsidRDefault="00F03254" w:rsidP="00F03254">
      <w:pPr>
        <w:spacing w:after="0"/>
        <w:rPr>
          <w:rFonts w:cstheme="minorHAnsi"/>
          <w:lang w:eastAsia="sk-SK"/>
        </w:rPr>
      </w:pPr>
    </w:p>
    <w:p w14:paraId="25E71119" w14:textId="1D142167" w:rsidR="00BE762E" w:rsidRDefault="00AA1B14" w:rsidP="00F03254">
      <w:pPr>
        <w:spacing w:after="0"/>
        <w:rPr>
          <w:rFonts w:cstheme="minorHAnsi"/>
          <w:lang w:eastAsia="sk-SK"/>
        </w:rPr>
      </w:pPr>
      <w:r>
        <w:rPr>
          <w:rFonts w:cstheme="minorHAnsi"/>
          <w:lang w:eastAsia="sk-SK"/>
        </w:rPr>
        <w:t>Jak vyplynulo z diskuse fokusní skupiny, p</w:t>
      </w:r>
      <w:r w:rsidR="006E3744">
        <w:rPr>
          <w:rFonts w:cstheme="minorHAnsi"/>
          <w:lang w:eastAsia="sk-SK"/>
        </w:rPr>
        <w:t xml:space="preserve">okud by v českých podmínkách měly OZE negativně působit na elektrizační soustavu, lze předpokládat, že přenosová soustava by ovlivněna vůbec nebyla. Ovlivnění </w:t>
      </w:r>
      <w:r w:rsidR="006E3744">
        <w:rPr>
          <w:rFonts w:cstheme="minorHAnsi"/>
          <w:lang w:eastAsia="sk-SK"/>
        </w:rPr>
        <w:lastRenderedPageBreak/>
        <w:t xml:space="preserve">distribuční sítě by mohlo nastat v lokálním měřítku v případě, že by došlo k velké koncentraci OZE na malém území. </w:t>
      </w:r>
    </w:p>
    <w:p w14:paraId="0131260B" w14:textId="77777777" w:rsidR="00F03254" w:rsidRDefault="00F03254" w:rsidP="00F03254">
      <w:pPr>
        <w:spacing w:after="0"/>
        <w:rPr>
          <w:rFonts w:cstheme="minorHAnsi"/>
          <w:lang w:eastAsia="sk-SK"/>
        </w:rPr>
      </w:pPr>
    </w:p>
    <w:p w14:paraId="03367233" w14:textId="4596EC91" w:rsidR="00BD5A24" w:rsidRDefault="0072485D" w:rsidP="00F03254">
      <w:pPr>
        <w:spacing w:after="0"/>
        <w:rPr>
          <w:rFonts w:cstheme="minorHAnsi"/>
          <w:lang w:eastAsia="sk-SK"/>
        </w:rPr>
      </w:pPr>
      <w:r>
        <w:rPr>
          <w:rFonts w:cstheme="minorHAnsi"/>
          <w:lang w:eastAsia="sk-SK"/>
        </w:rPr>
        <w:t>Aby bylo toto riziko minimalizováno a také, aby bylo předcházeno dalšímu „solárnímu boomu“, který v Česku nastal v letech 2010-11, bylo záměrem Řídicího orgánu OP PIK podporovat právě OZE bez negativního vlivu na elektrizační soustavu, příp. rozvoj OZE pro vlastní spotřebu</w:t>
      </w:r>
      <w:r w:rsidR="002242CC">
        <w:rPr>
          <w:rFonts w:cstheme="minorHAnsi"/>
          <w:lang w:eastAsia="sk-SK"/>
        </w:rPr>
        <w:t>, tj. bez vstupu do elektrizační sítě.</w:t>
      </w:r>
      <w:r>
        <w:rPr>
          <w:rFonts w:cstheme="minorHAnsi"/>
          <w:lang w:eastAsia="sk-SK"/>
        </w:rPr>
        <w:t xml:space="preserve"> V rámci čtyř doposud vyhlášených výzev OZE byla proto podporována výstavba a rekonstrukce malých vodních elektráren a KVET, instalace kogeneračních jednotek a vyvedení tepla ze stávajících bioplynových stanic. Nová zařízení na výrobu elektřiny a tepla z OZE jsou navíc omezena svým výkonem. Podporována jsou pouze zařízení do instalovaného výkonu 10 MW. </w:t>
      </w:r>
    </w:p>
    <w:p w14:paraId="49FE52B0" w14:textId="77777777" w:rsidR="00F03254" w:rsidRDefault="00F03254" w:rsidP="00F03254">
      <w:pPr>
        <w:spacing w:after="0"/>
        <w:rPr>
          <w:rFonts w:cstheme="minorHAnsi"/>
          <w:lang w:eastAsia="sk-SK"/>
        </w:rPr>
      </w:pPr>
    </w:p>
    <w:p w14:paraId="5FD6DA51" w14:textId="5AC7CA52" w:rsidR="0072485D" w:rsidRDefault="002242CC" w:rsidP="00F03254">
      <w:pPr>
        <w:spacing w:after="0"/>
        <w:rPr>
          <w:rFonts w:cstheme="minorHAnsi"/>
          <w:lang w:eastAsia="sk-SK"/>
        </w:rPr>
      </w:pPr>
      <w:r>
        <w:rPr>
          <w:rFonts w:cstheme="minorHAnsi"/>
          <w:lang w:eastAsia="sk-SK"/>
        </w:rPr>
        <w:t>Experti účastnící se fokusní skupiny se shodli na tom, že t</w:t>
      </w:r>
      <w:r w:rsidR="009303FA">
        <w:rPr>
          <w:rFonts w:cstheme="minorHAnsi"/>
          <w:lang w:eastAsia="sk-SK"/>
        </w:rPr>
        <w:t>akto specifikované podporované aktivity nemohou generovat projekty, které by měly negativní</w:t>
      </w:r>
      <w:r>
        <w:rPr>
          <w:rFonts w:cstheme="minorHAnsi"/>
          <w:lang w:eastAsia="sk-SK"/>
        </w:rPr>
        <w:t xml:space="preserve"> vliv na elektrizační soustavu, a to </w:t>
      </w:r>
      <w:r w:rsidR="00BD5A24">
        <w:rPr>
          <w:rFonts w:cstheme="minorHAnsi"/>
          <w:lang w:eastAsia="sk-SK"/>
        </w:rPr>
        <w:t>z níže uvedených</w:t>
      </w:r>
      <w:r>
        <w:rPr>
          <w:rFonts w:cstheme="minorHAnsi"/>
          <w:lang w:eastAsia="sk-SK"/>
        </w:rPr>
        <w:t xml:space="preserve"> důvodů:</w:t>
      </w:r>
    </w:p>
    <w:p w14:paraId="2639D0A9" w14:textId="76634DB3" w:rsidR="002242CC" w:rsidRPr="00BD5A24" w:rsidRDefault="002242CC" w:rsidP="00F03254">
      <w:pPr>
        <w:pStyle w:val="Odstavecseseznamem"/>
        <w:numPr>
          <w:ilvl w:val="0"/>
          <w:numId w:val="26"/>
        </w:numPr>
        <w:spacing w:line="276" w:lineRule="auto"/>
        <w:ind w:left="714" w:hanging="357"/>
        <w:rPr>
          <w:rFonts w:asciiTheme="minorHAnsi" w:hAnsiTheme="minorHAnsi" w:cstheme="minorHAnsi"/>
          <w:sz w:val="22"/>
          <w:lang w:eastAsia="sk-SK"/>
        </w:rPr>
      </w:pPr>
      <w:r w:rsidRPr="00BD5A24">
        <w:rPr>
          <w:rFonts w:asciiTheme="minorHAnsi" w:hAnsiTheme="minorHAnsi" w:cstheme="minorHAnsi"/>
          <w:sz w:val="22"/>
          <w:lang w:eastAsia="sk-SK"/>
        </w:rPr>
        <w:t>výkony podporovaných OZE nejsou závislé na počasí</w:t>
      </w:r>
      <w:r w:rsidR="00BD5A24">
        <w:rPr>
          <w:rFonts w:asciiTheme="minorHAnsi" w:hAnsiTheme="minorHAnsi" w:cstheme="minorHAnsi"/>
          <w:sz w:val="22"/>
          <w:lang w:eastAsia="sk-SK"/>
        </w:rPr>
        <w:t>,</w:t>
      </w:r>
    </w:p>
    <w:p w14:paraId="66E64315" w14:textId="395B6B76" w:rsidR="00BD5A24" w:rsidRPr="00BD5A24" w:rsidRDefault="002242CC" w:rsidP="00F03254">
      <w:pPr>
        <w:pStyle w:val="Odstavecseseznamem"/>
        <w:numPr>
          <w:ilvl w:val="0"/>
          <w:numId w:val="26"/>
        </w:numPr>
        <w:spacing w:line="276" w:lineRule="auto"/>
        <w:ind w:left="714" w:hanging="357"/>
        <w:rPr>
          <w:rFonts w:asciiTheme="minorHAnsi" w:hAnsiTheme="minorHAnsi" w:cstheme="minorHAnsi"/>
          <w:sz w:val="22"/>
          <w:lang w:eastAsia="sk-SK"/>
        </w:rPr>
      </w:pPr>
      <w:r w:rsidRPr="00BD5A24">
        <w:rPr>
          <w:rFonts w:asciiTheme="minorHAnsi" w:hAnsiTheme="minorHAnsi" w:cstheme="minorHAnsi"/>
          <w:sz w:val="22"/>
          <w:lang w:eastAsia="sk-SK"/>
        </w:rPr>
        <w:t>instalované výkony jsou malé</w:t>
      </w:r>
      <w:r w:rsidR="00BD5A24" w:rsidRPr="00BD5A24">
        <w:rPr>
          <w:rFonts w:asciiTheme="minorHAnsi" w:hAnsiTheme="minorHAnsi" w:cstheme="minorHAnsi"/>
          <w:sz w:val="22"/>
          <w:lang w:eastAsia="sk-SK"/>
        </w:rPr>
        <w:t>, výkyvy jejich produkce nejsou extrémní</w:t>
      </w:r>
      <w:r w:rsidR="00BD5A24">
        <w:rPr>
          <w:rFonts w:asciiTheme="minorHAnsi" w:hAnsiTheme="minorHAnsi" w:cstheme="minorHAnsi"/>
          <w:sz w:val="22"/>
          <w:lang w:eastAsia="sk-SK"/>
        </w:rPr>
        <w:t>,</w:t>
      </w:r>
    </w:p>
    <w:p w14:paraId="6D66976B" w14:textId="1799C4CD" w:rsidR="002242CC" w:rsidRPr="00BD5A24" w:rsidRDefault="00BD5A24" w:rsidP="00F03254">
      <w:pPr>
        <w:pStyle w:val="Odstavecseseznamem"/>
        <w:numPr>
          <w:ilvl w:val="0"/>
          <w:numId w:val="26"/>
        </w:numPr>
        <w:spacing w:line="276" w:lineRule="auto"/>
        <w:ind w:left="714" w:hanging="357"/>
        <w:rPr>
          <w:rFonts w:asciiTheme="minorHAnsi" w:hAnsiTheme="minorHAnsi" w:cstheme="minorHAnsi"/>
          <w:sz w:val="22"/>
          <w:lang w:eastAsia="sk-SK"/>
        </w:rPr>
      </w:pPr>
      <w:r w:rsidRPr="00BD5A24">
        <w:rPr>
          <w:rFonts w:asciiTheme="minorHAnsi" w:hAnsiTheme="minorHAnsi" w:cstheme="minorHAnsi"/>
          <w:sz w:val="22"/>
          <w:lang w:eastAsia="sk-SK"/>
        </w:rPr>
        <w:t xml:space="preserve">podpořené OZE </w:t>
      </w:r>
      <w:r w:rsidR="002242CC" w:rsidRPr="00BD5A24">
        <w:rPr>
          <w:rFonts w:asciiTheme="minorHAnsi" w:hAnsiTheme="minorHAnsi" w:cstheme="minorHAnsi"/>
          <w:sz w:val="22"/>
          <w:lang w:eastAsia="sk-SK"/>
        </w:rPr>
        <w:t>nejsou koncentrovány v jedné lokalitě</w:t>
      </w:r>
    </w:p>
    <w:p w14:paraId="7725ACE5" w14:textId="77777777" w:rsidR="002242CC" w:rsidRPr="00BD5A24" w:rsidRDefault="002242CC" w:rsidP="00F03254">
      <w:pPr>
        <w:spacing w:after="0"/>
        <w:rPr>
          <w:rFonts w:cstheme="minorHAnsi"/>
          <w:sz w:val="20"/>
          <w:lang w:eastAsia="sk-SK"/>
        </w:rPr>
      </w:pPr>
    </w:p>
    <w:p w14:paraId="5444A9C3" w14:textId="3CB705E0" w:rsidR="009303FA" w:rsidRDefault="009303FA" w:rsidP="00F03254">
      <w:pPr>
        <w:spacing w:after="0"/>
        <w:rPr>
          <w:rFonts w:cstheme="minorHAnsi"/>
          <w:lang w:eastAsia="sk-SK"/>
        </w:rPr>
      </w:pPr>
      <w:r>
        <w:rPr>
          <w:rFonts w:cstheme="minorHAnsi"/>
          <w:lang w:eastAsia="sk-SK"/>
        </w:rPr>
        <w:t xml:space="preserve">V rámci připravované V. výzvy OZE budou podporované aktivity rozšířeny o větrné elektrárny, tepelná čerpadla a solárně termické systémy. Negativní vliv na elektrizační soustavu by mohl nastat v případě rozsáhlé a koncentrované podpory větrných elektráren. Tento scénář však </w:t>
      </w:r>
      <w:r w:rsidR="00BD5A24">
        <w:rPr>
          <w:rFonts w:cstheme="minorHAnsi"/>
          <w:lang w:eastAsia="sk-SK"/>
        </w:rPr>
        <w:t xml:space="preserve">bude </w:t>
      </w:r>
      <w:r>
        <w:rPr>
          <w:rFonts w:cstheme="minorHAnsi"/>
          <w:lang w:eastAsia="sk-SK"/>
        </w:rPr>
        <w:t xml:space="preserve">eliminován omezením maximálního výkonu nových zařízení OZE, omezenou alokací výzvy a také dobou realizace - aby projekty stihly být dokončeny do konce roku 2022, budou moct být podpořeny pouze projekty s platným stavebním povolením. </w:t>
      </w:r>
    </w:p>
    <w:p w14:paraId="54693758" w14:textId="77777777" w:rsidR="00F03254" w:rsidRDefault="00F03254" w:rsidP="00F03254">
      <w:pPr>
        <w:spacing w:after="0"/>
        <w:rPr>
          <w:rFonts w:cstheme="minorHAnsi"/>
          <w:lang w:eastAsia="sk-SK"/>
        </w:rPr>
      </w:pPr>
    </w:p>
    <w:p w14:paraId="6384CD34" w14:textId="7340828D" w:rsidR="00BB4A7F" w:rsidRPr="008B1F30" w:rsidRDefault="008B1F30" w:rsidP="00F03254">
      <w:pPr>
        <w:spacing w:after="0"/>
        <w:rPr>
          <w:rFonts w:cstheme="minorHAnsi"/>
          <w:lang w:eastAsia="sk-SK"/>
        </w:rPr>
      </w:pPr>
      <w:r>
        <w:rPr>
          <w:rFonts w:cstheme="minorHAnsi"/>
          <w:lang w:eastAsia="sk-SK"/>
        </w:rPr>
        <w:t xml:space="preserve">Závěrem lze tedy konstatovat, že v rámci PP OZE nejsou podporovány projekty s negativním vlivem na elektrizační soustavu, neboť to neumožňuje nastavení tohoto programu podpory. I v případě, že by počet podpořených projektů byl mnohem vyšší v porovnání se současným stavem, nemělo by docházet k negativnímu vlivu na elektrizační soustavu. Ta </w:t>
      </w:r>
      <w:r w:rsidR="005E1685">
        <w:rPr>
          <w:rFonts w:cstheme="minorHAnsi"/>
          <w:lang w:eastAsia="sk-SK"/>
        </w:rPr>
        <w:t>nebude</w:t>
      </w:r>
      <w:r>
        <w:rPr>
          <w:rFonts w:cstheme="minorHAnsi"/>
          <w:lang w:eastAsia="sk-SK"/>
        </w:rPr>
        <w:t xml:space="preserve"> negativně ovlivněna ani v případě plánované podpory větrných elektráren</w:t>
      </w:r>
      <w:r w:rsidR="00BD5A24">
        <w:rPr>
          <w:rFonts w:cstheme="minorHAnsi"/>
          <w:lang w:eastAsia="sk-SK"/>
        </w:rPr>
        <w:t xml:space="preserve"> tak, jak</w:t>
      </w:r>
      <w:r>
        <w:rPr>
          <w:rFonts w:cstheme="minorHAnsi"/>
          <w:lang w:eastAsia="sk-SK"/>
        </w:rPr>
        <w:t xml:space="preserve"> </w:t>
      </w:r>
      <w:r w:rsidR="00BD5A24">
        <w:rPr>
          <w:rFonts w:cstheme="minorHAnsi"/>
          <w:lang w:eastAsia="sk-SK"/>
        </w:rPr>
        <w:t xml:space="preserve">je tato podpora koncipována </w:t>
      </w:r>
      <w:r>
        <w:rPr>
          <w:rFonts w:cstheme="minorHAnsi"/>
          <w:lang w:eastAsia="sk-SK"/>
        </w:rPr>
        <w:t>v</w:t>
      </w:r>
      <w:r w:rsidR="00BD5A24">
        <w:rPr>
          <w:rFonts w:cstheme="minorHAnsi"/>
          <w:lang w:eastAsia="sk-SK"/>
        </w:rPr>
        <w:t> návrhu V. výzvy</w:t>
      </w:r>
      <w:r>
        <w:rPr>
          <w:rFonts w:cstheme="minorHAnsi"/>
          <w:lang w:eastAsia="sk-SK"/>
        </w:rPr>
        <w:t xml:space="preserve"> PP OZE.</w:t>
      </w:r>
    </w:p>
    <w:p w14:paraId="78C135C7" w14:textId="77777777" w:rsidR="00D3770C" w:rsidRDefault="00D3770C" w:rsidP="00E118FD">
      <w:pPr>
        <w:spacing w:after="0"/>
        <w:rPr>
          <w:rFonts w:ascii="Calibri" w:hAnsi="Calibri" w:cs="Calibri"/>
        </w:rPr>
      </w:pPr>
    </w:p>
    <w:p w14:paraId="27391718" w14:textId="77777777" w:rsidR="00D3770C" w:rsidRDefault="00D3770C" w:rsidP="00E118FD">
      <w:pPr>
        <w:spacing w:after="0"/>
        <w:rPr>
          <w:rFonts w:ascii="Calibri" w:hAnsi="Calibri" w:cs="Calibri"/>
        </w:rPr>
      </w:pPr>
    </w:p>
    <w:p w14:paraId="5437BAAD" w14:textId="2C76BB03" w:rsidR="00D3770C" w:rsidRDefault="00D3770C" w:rsidP="00D3770C">
      <w:pPr>
        <w:pStyle w:val="Nadpis1"/>
        <w:ind w:left="431" w:hanging="431"/>
      </w:pPr>
      <w:bookmarkStart w:id="50" w:name="_Toc4596815"/>
      <w:bookmarkStart w:id="51" w:name="_Toc10729922"/>
      <w:r>
        <w:lastRenderedPageBreak/>
        <w:t>Evaluační otázka 3</w:t>
      </w:r>
      <w:r w:rsidR="00F85BBF">
        <w:t xml:space="preserve"> (OZE)</w:t>
      </w:r>
      <w:bookmarkEnd w:id="50"/>
      <w:bookmarkEnd w:id="51"/>
    </w:p>
    <w:p w14:paraId="78D5C14A" w14:textId="5CB5A941" w:rsidR="00F85BBF" w:rsidRPr="00F85BBF" w:rsidRDefault="00F85BBF" w:rsidP="00F85BBF">
      <w:pPr>
        <w:spacing w:after="0"/>
        <w:rPr>
          <w:rFonts w:ascii="Calibri" w:hAnsi="Calibri" w:cs="Calibri"/>
          <w:b/>
        </w:rPr>
      </w:pPr>
      <w:r w:rsidRPr="00F85BBF">
        <w:rPr>
          <w:rFonts w:ascii="Calibri" w:hAnsi="Calibri" w:cs="Calibri"/>
          <w:b/>
        </w:rPr>
        <w:t xml:space="preserve">Dochází vlivem podpořených projektů ke: </w:t>
      </w:r>
    </w:p>
    <w:p w14:paraId="3B65221A" w14:textId="77777777" w:rsidR="00F85BBF" w:rsidRPr="00F85BBF" w:rsidRDefault="00F85BBF" w:rsidP="00F85BBF">
      <w:pPr>
        <w:spacing w:after="0"/>
        <w:rPr>
          <w:rFonts w:ascii="Calibri" w:hAnsi="Calibri" w:cs="Calibri"/>
          <w:b/>
        </w:rPr>
      </w:pPr>
      <w:r w:rsidRPr="00F85BBF">
        <w:rPr>
          <w:rFonts w:ascii="Calibri" w:hAnsi="Calibri" w:cs="Calibri"/>
          <w:b/>
        </w:rPr>
        <w:t xml:space="preserve">a) snížení dovozní závislosti na palivech z geopoliticky nestabilních regionů?, </w:t>
      </w:r>
    </w:p>
    <w:p w14:paraId="31DA20C7" w14:textId="77777777" w:rsidR="00F85BBF" w:rsidRPr="00F85BBF" w:rsidRDefault="00F85BBF" w:rsidP="00F85BBF">
      <w:pPr>
        <w:spacing w:after="0"/>
        <w:rPr>
          <w:rFonts w:ascii="Calibri" w:hAnsi="Calibri" w:cs="Calibri"/>
          <w:b/>
        </w:rPr>
      </w:pPr>
      <w:r w:rsidRPr="00F85BBF">
        <w:rPr>
          <w:rFonts w:ascii="Calibri" w:hAnsi="Calibri" w:cs="Calibri"/>
          <w:b/>
        </w:rPr>
        <w:t xml:space="preserve">b) snížení emisí skleníkových plynů? Jaký je příspěvek podpořených podniků?, </w:t>
      </w:r>
    </w:p>
    <w:p w14:paraId="79015935" w14:textId="18284A43" w:rsidR="001C50E7" w:rsidRDefault="00F85BBF" w:rsidP="00F85BBF">
      <w:pPr>
        <w:spacing w:after="0"/>
        <w:rPr>
          <w:rFonts w:ascii="Calibri" w:hAnsi="Calibri" w:cs="Calibri"/>
          <w:b/>
        </w:rPr>
      </w:pPr>
      <w:r w:rsidRPr="00F85BBF">
        <w:rPr>
          <w:rFonts w:ascii="Calibri" w:hAnsi="Calibri" w:cs="Calibri"/>
          <w:b/>
        </w:rPr>
        <w:t>c) rozvoji podnikatelských aktivit v dodavatelském řetězci od vývoje, výroby, přes instalaci zdroje energie až po výrobu energie?</w:t>
      </w:r>
    </w:p>
    <w:p w14:paraId="43C848B4" w14:textId="77777777" w:rsidR="001C50E7" w:rsidRDefault="001C50E7" w:rsidP="001C50E7">
      <w:pPr>
        <w:spacing w:after="0"/>
        <w:rPr>
          <w:rFonts w:ascii="Calibri" w:hAnsi="Calibri" w:cs="Calibri"/>
          <w:b/>
        </w:rPr>
      </w:pPr>
    </w:p>
    <w:p w14:paraId="759A045E" w14:textId="77777777" w:rsidR="001C50E7" w:rsidRPr="001C50E7" w:rsidRDefault="001C50E7" w:rsidP="001C50E7">
      <w:pPr>
        <w:pStyle w:val="Nadpis2"/>
      </w:pPr>
      <w:bookmarkStart w:id="52" w:name="_Toc4596816"/>
      <w:bookmarkStart w:id="53" w:name="_Toc10729923"/>
      <w:r w:rsidRPr="001C50E7">
        <w:t>Úkol</w:t>
      </w:r>
      <w:bookmarkEnd w:id="52"/>
      <w:bookmarkEnd w:id="53"/>
    </w:p>
    <w:p w14:paraId="7FC8D3DB" w14:textId="71318C28" w:rsidR="001C50E7" w:rsidRDefault="00923007" w:rsidP="00107503">
      <w:pPr>
        <w:spacing w:after="0"/>
      </w:pPr>
      <w:r>
        <w:t xml:space="preserve">Zhodnotit, zda očekávané efekty programu OZE, které jsou formulovány výše uvedenými </w:t>
      </w:r>
      <w:r w:rsidR="00BA732B">
        <w:t>dílčími podotázkami, jsou díky programu dosahovány.</w:t>
      </w:r>
    </w:p>
    <w:p w14:paraId="14DAD80A" w14:textId="77777777" w:rsidR="00107503" w:rsidRDefault="00107503" w:rsidP="00107503">
      <w:pPr>
        <w:spacing w:after="0"/>
      </w:pPr>
    </w:p>
    <w:p w14:paraId="5674747D" w14:textId="77777777" w:rsidR="001C50E7" w:rsidRPr="001C50E7" w:rsidRDefault="001C50E7" w:rsidP="001C50E7">
      <w:pPr>
        <w:pStyle w:val="Nadpis2"/>
      </w:pPr>
      <w:bookmarkStart w:id="54" w:name="_Toc4596817"/>
      <w:bookmarkStart w:id="55" w:name="_Toc10729924"/>
      <w:r w:rsidRPr="001C50E7">
        <w:t>Východiska</w:t>
      </w:r>
      <w:bookmarkEnd w:id="54"/>
      <w:bookmarkEnd w:id="55"/>
    </w:p>
    <w:p w14:paraId="4618AE65" w14:textId="5CED9090" w:rsidR="00923007" w:rsidRPr="002A2B65" w:rsidRDefault="00923007" w:rsidP="00107503">
      <w:pPr>
        <w:spacing w:after="0"/>
        <w:jc w:val="both"/>
        <w:rPr>
          <w:rFonts w:cstheme="minorHAnsi"/>
          <w:lang w:eastAsia="sk-SK"/>
        </w:rPr>
      </w:pPr>
      <w:r w:rsidRPr="002A2B65">
        <w:rPr>
          <w:rFonts w:cstheme="minorHAnsi"/>
          <w:lang w:eastAsia="sk-SK"/>
        </w:rPr>
        <w:t>V situační analýze, z níž vycházelo nastavení SC 3.1 OPPIK jsou definovány mimo jiné problémové okruhy, k jejichž řešení by měla program OZE přispět</w:t>
      </w:r>
      <w:r w:rsidR="006A2BE6">
        <w:rPr>
          <w:rFonts w:cstheme="minorHAnsi"/>
          <w:lang w:eastAsia="sk-SK"/>
        </w:rPr>
        <w:t>. Jedná se o následující oblasti</w:t>
      </w:r>
      <w:r w:rsidRPr="002A2B65">
        <w:rPr>
          <w:rFonts w:cstheme="minorHAnsi"/>
          <w:lang w:eastAsia="sk-SK"/>
        </w:rPr>
        <w:t>:</w:t>
      </w:r>
    </w:p>
    <w:p w14:paraId="3BE722A5" w14:textId="77777777" w:rsidR="00923007" w:rsidRPr="002A2B65" w:rsidRDefault="00923007"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Závislost na neobnovitelných zdrojích energie, nízká orientace na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využití obnovitelných zdrojů energie</w:t>
      </w:r>
    </w:p>
    <w:p w14:paraId="2D28F87F" w14:textId="77777777" w:rsidR="00923007" w:rsidRPr="002A2B65" w:rsidRDefault="00923007"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Vysoká energetická a surovinová náročnost hospodářství a rostoucí ceny energií</w:t>
      </w:r>
    </w:p>
    <w:p w14:paraId="17D1F0D6" w14:textId="77777777" w:rsidR="00923007" w:rsidRDefault="00923007"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Vysoký podíl ztrát tepelné energie v tepelných rozvodných zařízeních a nevyužitý potenciál kombinované výroby elektřiny a tepla</w:t>
      </w:r>
    </w:p>
    <w:p w14:paraId="0EF7761E" w14:textId="77777777" w:rsidR="00BA732B" w:rsidRDefault="00BA732B" w:rsidP="00107503">
      <w:pPr>
        <w:pStyle w:val="Odstavecseseznamem"/>
        <w:spacing w:line="276" w:lineRule="auto"/>
        <w:jc w:val="both"/>
        <w:rPr>
          <w:rFonts w:asciiTheme="minorHAnsi" w:hAnsiTheme="minorHAnsi" w:cstheme="minorHAnsi"/>
          <w:sz w:val="22"/>
          <w:szCs w:val="22"/>
          <w:lang w:eastAsia="sk-SK"/>
        </w:rPr>
      </w:pPr>
    </w:p>
    <w:p w14:paraId="0656BF0E" w14:textId="77777777" w:rsidR="00BA732B" w:rsidRPr="008F01DF" w:rsidRDefault="00BA732B" w:rsidP="00107503">
      <w:pPr>
        <w:spacing w:after="0"/>
        <w:jc w:val="both"/>
        <w:rPr>
          <w:rFonts w:cstheme="minorHAnsi"/>
          <w:lang w:eastAsia="sk-SK"/>
        </w:rPr>
      </w:pPr>
      <w:r w:rsidRPr="008F01DF">
        <w:rPr>
          <w:rFonts w:cstheme="minorHAnsi"/>
          <w:lang w:eastAsia="sk-SK"/>
        </w:rPr>
        <w:t>Výchozí hypotéza je, že podporované aktivity v rámci SC 3.1 přispívají ke zlepšování stavu v rámci jednotlivých podotázek, tj.:</w:t>
      </w:r>
    </w:p>
    <w:p w14:paraId="48EC33D5" w14:textId="20CFC9A8" w:rsidR="00BA732B" w:rsidRPr="002A2B65" w:rsidRDefault="00BA732B"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ke snížení dovozní závislosti na palivech z geopoliticky nestabilních regionů</w:t>
      </w:r>
    </w:p>
    <w:p w14:paraId="288D519D" w14:textId="4654B66F" w:rsidR="00BA732B" w:rsidRPr="002A2B65" w:rsidRDefault="006A2BE6"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ke s</w:t>
      </w:r>
      <w:r w:rsidR="00BA732B" w:rsidRPr="002A2B65">
        <w:rPr>
          <w:rFonts w:asciiTheme="minorHAnsi" w:hAnsiTheme="minorHAnsi" w:cstheme="minorHAnsi"/>
          <w:sz w:val="22"/>
          <w:szCs w:val="22"/>
          <w:lang w:eastAsia="sk-SK"/>
        </w:rPr>
        <w:t>nížení emisí skleníkových plynů</w:t>
      </w:r>
    </w:p>
    <w:p w14:paraId="5080C8B4" w14:textId="5F772CEF" w:rsidR="00BA732B" w:rsidRPr="002A2B65" w:rsidRDefault="006A2BE6" w:rsidP="00107503">
      <w:pPr>
        <w:pStyle w:val="Odstavecseseznamem"/>
        <w:numPr>
          <w:ilvl w:val="0"/>
          <w:numId w:val="8"/>
        </w:numPr>
        <w:spacing w:line="276" w:lineRule="auto"/>
        <w:ind w:left="714" w:hanging="357"/>
        <w:jc w:val="both"/>
        <w:rPr>
          <w:rFonts w:asciiTheme="minorHAnsi" w:hAnsiTheme="minorHAnsi" w:cstheme="minorHAnsi"/>
          <w:sz w:val="22"/>
          <w:szCs w:val="22"/>
          <w:lang w:eastAsia="sk-SK"/>
        </w:rPr>
      </w:pPr>
      <w:r>
        <w:rPr>
          <w:rFonts w:asciiTheme="minorHAnsi" w:hAnsiTheme="minorHAnsi" w:cstheme="minorHAnsi"/>
          <w:sz w:val="22"/>
          <w:szCs w:val="22"/>
          <w:lang w:eastAsia="sk-SK"/>
        </w:rPr>
        <w:t>k r</w:t>
      </w:r>
      <w:r w:rsidR="00BA732B" w:rsidRPr="002A2B65">
        <w:rPr>
          <w:rFonts w:asciiTheme="minorHAnsi" w:hAnsiTheme="minorHAnsi" w:cstheme="minorHAnsi"/>
          <w:sz w:val="22"/>
          <w:szCs w:val="22"/>
          <w:lang w:eastAsia="sk-SK"/>
        </w:rPr>
        <w:t>ozvoji podnikatelských aktivit v dodavatelském řetězci od vývoje, výroby, přes instalaci zdroje energie až po výrobu energie.</w:t>
      </w:r>
    </w:p>
    <w:p w14:paraId="77A084F8" w14:textId="77777777" w:rsidR="00BA732B" w:rsidRPr="002A2B65" w:rsidRDefault="00BA732B" w:rsidP="00107503">
      <w:pPr>
        <w:spacing w:after="0"/>
        <w:jc w:val="both"/>
        <w:rPr>
          <w:rFonts w:cstheme="minorHAnsi"/>
          <w:lang w:eastAsia="sk-SK"/>
        </w:rPr>
      </w:pPr>
    </w:p>
    <w:p w14:paraId="641A074B" w14:textId="77777777" w:rsidR="00BA732B" w:rsidRPr="002A2B65" w:rsidRDefault="00BA732B" w:rsidP="00107503">
      <w:pPr>
        <w:spacing w:after="0"/>
        <w:jc w:val="both"/>
        <w:rPr>
          <w:rFonts w:cstheme="minorHAnsi"/>
          <w:lang w:eastAsia="sk-SK"/>
        </w:rPr>
      </w:pPr>
      <w:r w:rsidRPr="002A2B65">
        <w:rPr>
          <w:rFonts w:cstheme="minorHAnsi"/>
          <w:lang w:eastAsia="sk-SK"/>
        </w:rPr>
        <w:t xml:space="preserve">To by se mělo projevit mj. pozitivním vývojem sledovaných indikátorů výsledku a výstupu. </w:t>
      </w:r>
    </w:p>
    <w:p w14:paraId="6C110D44" w14:textId="004491C1" w:rsidR="00923007" w:rsidRDefault="00BA732B" w:rsidP="00107503">
      <w:pPr>
        <w:spacing w:after="0"/>
        <w:jc w:val="both"/>
        <w:rPr>
          <w:rFonts w:cstheme="minorHAnsi"/>
          <w:lang w:eastAsia="sk-SK"/>
        </w:rPr>
      </w:pPr>
      <w:r w:rsidRPr="002A2B65">
        <w:rPr>
          <w:rFonts w:cstheme="minorHAnsi"/>
          <w:lang w:eastAsia="sk-SK"/>
        </w:rPr>
        <w:t>Rovněž z aktuálních/aktualizovaných textů relevantních analytických a</w:t>
      </w:r>
      <w:r>
        <w:rPr>
          <w:rFonts w:cstheme="minorHAnsi"/>
          <w:lang w:eastAsia="sk-SK"/>
        </w:rPr>
        <w:t> </w:t>
      </w:r>
      <w:r w:rsidRPr="002A2B65">
        <w:rPr>
          <w:rFonts w:cstheme="minorHAnsi"/>
          <w:lang w:eastAsia="sk-SK"/>
        </w:rPr>
        <w:t>koncepčních dokumentů by měl být identifikovatelný pozitivní vývoj situace.</w:t>
      </w:r>
    </w:p>
    <w:p w14:paraId="619850EF" w14:textId="77777777" w:rsidR="00107503" w:rsidRPr="002A2B65" w:rsidRDefault="00107503" w:rsidP="00107503">
      <w:pPr>
        <w:spacing w:after="0"/>
        <w:jc w:val="both"/>
        <w:rPr>
          <w:rFonts w:cstheme="minorHAnsi"/>
          <w:lang w:eastAsia="sk-SK"/>
        </w:rPr>
      </w:pPr>
    </w:p>
    <w:p w14:paraId="57A5EEAA" w14:textId="77777777" w:rsidR="001C50E7" w:rsidRPr="001C50E7" w:rsidRDefault="001C50E7" w:rsidP="001C50E7">
      <w:pPr>
        <w:pStyle w:val="Nadpis2"/>
      </w:pPr>
      <w:bookmarkStart w:id="56" w:name="_Toc4596818"/>
      <w:bookmarkStart w:id="57" w:name="_Toc10729925"/>
      <w:r w:rsidRPr="001C50E7">
        <w:t>Zjištění v návaznosti na evaluační otázku a úkol</w:t>
      </w:r>
      <w:bookmarkEnd w:id="56"/>
      <w:bookmarkEnd w:id="57"/>
    </w:p>
    <w:tbl>
      <w:tblPr>
        <w:tblStyle w:val="Prosttabulka11"/>
        <w:tblW w:w="0" w:type="auto"/>
        <w:tblLook w:val="04A0" w:firstRow="1" w:lastRow="0" w:firstColumn="1" w:lastColumn="0" w:noHBand="0" w:noVBand="1"/>
      </w:tblPr>
      <w:tblGrid>
        <w:gridCol w:w="2972"/>
        <w:gridCol w:w="5954"/>
      </w:tblGrid>
      <w:tr w:rsidR="001C50E7" w:rsidRPr="001C50E7" w14:paraId="15F83F61" w14:textId="77777777" w:rsidTr="001C5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13C1C69A" w14:textId="77777777" w:rsidR="001C50E7" w:rsidRPr="001C50E7" w:rsidRDefault="001C50E7" w:rsidP="005C5EF2">
            <w:pPr>
              <w:rPr>
                <w:rFonts w:ascii="Calibri" w:hAnsi="Calibri" w:cs="Calibri"/>
              </w:rPr>
            </w:pPr>
            <w:r w:rsidRPr="001C50E7">
              <w:rPr>
                <w:rFonts w:ascii="Calibri" w:hAnsi="Calibri" w:cs="Calibri"/>
              </w:rPr>
              <w:t>Evaluační otázka</w:t>
            </w:r>
          </w:p>
        </w:tc>
        <w:tc>
          <w:tcPr>
            <w:tcW w:w="5954" w:type="dxa"/>
            <w:shd w:val="clear" w:color="auto" w:fill="auto"/>
          </w:tcPr>
          <w:p w14:paraId="36559DD5" w14:textId="77777777" w:rsidR="00F85BBF" w:rsidRPr="00F85BBF" w:rsidRDefault="00F85BBF" w:rsidP="00F85B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85BBF">
              <w:rPr>
                <w:rFonts w:ascii="Calibri" w:hAnsi="Calibri" w:cs="Calibri"/>
              </w:rPr>
              <w:t xml:space="preserve">Dochází vlivem podpořených projektů ke: </w:t>
            </w:r>
          </w:p>
          <w:p w14:paraId="0D94D112" w14:textId="77777777" w:rsidR="00F85BBF" w:rsidRPr="00F85BBF" w:rsidRDefault="00F85BBF" w:rsidP="00F85B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85BBF">
              <w:rPr>
                <w:rFonts w:ascii="Calibri" w:hAnsi="Calibri" w:cs="Calibri"/>
              </w:rPr>
              <w:t xml:space="preserve">a) snížení dovozní závislosti na palivech z geopoliticky nestabilních regionů?, </w:t>
            </w:r>
          </w:p>
          <w:p w14:paraId="2125471A" w14:textId="77777777" w:rsidR="00F85BBF" w:rsidRPr="00F85BBF" w:rsidRDefault="00F85BBF" w:rsidP="00F85B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85BBF">
              <w:rPr>
                <w:rFonts w:ascii="Calibri" w:hAnsi="Calibri" w:cs="Calibri"/>
              </w:rPr>
              <w:t xml:space="preserve">b) snížení emisí skleníkových plynů? Jaký je příspěvek podpořených podniků?, </w:t>
            </w:r>
          </w:p>
          <w:p w14:paraId="0BECC96E" w14:textId="2E2586B0" w:rsidR="001C50E7" w:rsidRPr="001C50E7" w:rsidRDefault="00F85BBF" w:rsidP="00F85B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85BBF">
              <w:rPr>
                <w:rFonts w:ascii="Calibri" w:hAnsi="Calibri" w:cs="Calibri"/>
              </w:rPr>
              <w:t>c) rozvoji podnikatelských aktivit v dodavatelském řetězci od vývoje, výroby, přes instalaci zdroje energie až po výrobu energie?</w:t>
            </w:r>
          </w:p>
        </w:tc>
      </w:tr>
      <w:tr w:rsidR="001C50E7" w:rsidRPr="001C50E7" w14:paraId="06D37F78" w14:textId="77777777" w:rsidTr="001C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A42B7A" w14:textId="77777777" w:rsidR="001C50E7" w:rsidRPr="00760145" w:rsidRDefault="001C50E7" w:rsidP="005C5EF2">
            <w:pPr>
              <w:rPr>
                <w:rFonts w:ascii="Calibri" w:hAnsi="Calibri" w:cs="Calibri"/>
              </w:rPr>
            </w:pPr>
            <w:r w:rsidRPr="00760145">
              <w:rPr>
                <w:rFonts w:ascii="Calibri" w:hAnsi="Calibri" w:cs="Calibri"/>
              </w:rPr>
              <w:lastRenderedPageBreak/>
              <w:t>Zhodnocení</w:t>
            </w:r>
            <w:r w:rsidRPr="00760145">
              <w:rPr>
                <w:rFonts w:ascii="Calibri" w:hAnsi="Calibri" w:cs="Calibri"/>
              </w:rPr>
              <w:br/>
            </w:r>
            <w:r w:rsidRPr="00760145">
              <w:rPr>
                <w:rFonts w:ascii="Calibri" w:hAnsi="Calibri" w:cs="Calibri"/>
                <w:b w:val="0"/>
              </w:rPr>
              <w:t>(Ano, Spíše ano, Spíše ne, Ne, Není relevantní)</w:t>
            </w:r>
          </w:p>
        </w:tc>
        <w:tc>
          <w:tcPr>
            <w:tcW w:w="5954" w:type="dxa"/>
            <w:shd w:val="clear" w:color="auto" w:fill="auto"/>
          </w:tcPr>
          <w:p w14:paraId="0824CCDA" w14:textId="2CF2EC5F" w:rsidR="001C50E7" w:rsidRPr="00760145" w:rsidRDefault="00BA732B" w:rsidP="005C5EF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60145">
              <w:rPr>
                <w:rFonts w:ascii="Calibri" w:hAnsi="Calibri" w:cs="Calibri"/>
              </w:rPr>
              <w:t>Spíše ne</w:t>
            </w:r>
          </w:p>
        </w:tc>
      </w:tr>
      <w:tr w:rsidR="005E1685" w:rsidRPr="001C50E7" w14:paraId="01F7C091" w14:textId="77777777" w:rsidTr="00405289">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7ACDE1E0" w14:textId="77777777" w:rsidR="005E1685" w:rsidRPr="008F01DF" w:rsidRDefault="005E1685" w:rsidP="005C5EF2">
            <w:pPr>
              <w:rPr>
                <w:rFonts w:ascii="Calibri" w:hAnsi="Calibri" w:cs="Calibri"/>
              </w:rPr>
            </w:pPr>
            <w:r w:rsidRPr="008F01DF">
              <w:rPr>
                <w:rFonts w:ascii="Calibri" w:hAnsi="Calibri" w:cs="Calibri"/>
              </w:rPr>
              <w:t>Hlavní závěry a zjištění</w:t>
            </w:r>
          </w:p>
        </w:tc>
        <w:tc>
          <w:tcPr>
            <w:tcW w:w="5954" w:type="dxa"/>
            <w:shd w:val="clear" w:color="auto" w:fill="auto"/>
          </w:tcPr>
          <w:p w14:paraId="3CB44F51" w14:textId="77777777" w:rsidR="00C27AC8" w:rsidRPr="00C27AC8" w:rsidRDefault="00C27AC8" w:rsidP="00C27A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27AC8">
              <w:rPr>
                <w:rFonts w:ascii="Calibri" w:hAnsi="Calibri" w:cs="Calibri"/>
              </w:rPr>
              <w:t>Intervenční logika programu podpory OZE je nastavena tak, aby realizované projekty vedly k naplňování výše uvedených výsledků. Problémem však je extrémně nízký počet příjemců realizujících projekty z PP OZE a z toho vyplývající velmi slabý, téměř neměřitelný příspěvek k naplnění uvedených výsledků.</w:t>
            </w:r>
          </w:p>
          <w:p w14:paraId="6C53AB64" w14:textId="77777777" w:rsidR="00C27AC8" w:rsidRPr="00C27AC8" w:rsidRDefault="00C27AC8" w:rsidP="00C27AC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0E31AC8" w14:textId="77777777" w:rsidR="00C27AC8" w:rsidRPr="00C27AC8" w:rsidRDefault="00C27AC8" w:rsidP="00C27A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27AC8">
              <w:rPr>
                <w:rFonts w:ascii="Calibri" w:hAnsi="Calibri" w:cs="Calibri"/>
              </w:rPr>
              <w:t>Díky realizovaným projektům došlo k nárůstu instalovaného výkonu OZE o 0,22 % hodnoty roku 2013. Jedná se tedy o příliš malou změnu, která by se mohla projevit na výši dovozu fosilních paliv. Příspěvek podpořených projektů ke snížení emisí skleníkových plynů nelze určit, neboť tento indikátor nebyl do konce roku 2018 vykázán žádným z dokončených projektů.</w:t>
            </w:r>
          </w:p>
          <w:p w14:paraId="03874373" w14:textId="77777777" w:rsidR="00C27AC8" w:rsidRPr="00C27AC8" w:rsidRDefault="00C27AC8" w:rsidP="00C27AC8">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58B063F6" w14:textId="200093C3" w:rsidR="00C27AC8" w:rsidRPr="008F01DF" w:rsidRDefault="00C27AC8" w:rsidP="00C27AC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27AC8">
              <w:rPr>
                <w:rFonts w:ascii="Calibri" w:hAnsi="Calibri" w:cs="Calibri"/>
              </w:rPr>
              <w:t xml:space="preserve">V důsledku nedostupnosti dat věnovaných investicím do OZE a do přidružených odvětví není hodnotitel schopen kvantifikovat vliv podpořených projektů na rozvoj podnikatelských aktivit v dodavatelském řetězci. Lze </w:t>
            </w:r>
            <w:r>
              <w:rPr>
                <w:rFonts w:ascii="Calibri" w:hAnsi="Calibri" w:cs="Calibri"/>
              </w:rPr>
              <w:t>jen</w:t>
            </w:r>
            <w:r w:rsidRPr="00C27AC8">
              <w:rPr>
                <w:rFonts w:ascii="Calibri" w:hAnsi="Calibri" w:cs="Calibri"/>
              </w:rPr>
              <w:t xml:space="preserve"> konstatovat, že díky realizovaným projektům dochází ke zvýšení tržeb především dodavatelů technologií OZE, a to nejen v důsledku počáteční investice, ale i následných nákladů na údržbu a pozáruční servis.</w:t>
            </w:r>
          </w:p>
        </w:tc>
      </w:tr>
      <w:tr w:rsidR="005E1685" w:rsidRPr="001C50E7" w14:paraId="172170AC" w14:textId="77777777" w:rsidTr="001C5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8A3393E" w14:textId="1189A124" w:rsidR="005E1685" w:rsidRPr="008E5AB0" w:rsidRDefault="005E1685" w:rsidP="005C5EF2">
            <w:pPr>
              <w:rPr>
                <w:rFonts w:ascii="Calibri" w:hAnsi="Calibri" w:cs="Calibri"/>
              </w:rPr>
            </w:pPr>
            <w:r w:rsidRPr="008E5AB0">
              <w:rPr>
                <w:rFonts w:ascii="Calibri" w:hAnsi="Calibri" w:cs="Calibri"/>
              </w:rPr>
              <w:t>Doporučení pro programové období 2014 - 2020</w:t>
            </w:r>
          </w:p>
        </w:tc>
        <w:tc>
          <w:tcPr>
            <w:tcW w:w="5954" w:type="dxa"/>
            <w:shd w:val="clear" w:color="auto" w:fill="auto"/>
          </w:tcPr>
          <w:p w14:paraId="19D4E352" w14:textId="1A0CED08" w:rsidR="005E1685" w:rsidRPr="008E5AB0" w:rsidRDefault="008E5AB0" w:rsidP="008E5AB0">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E5AB0">
              <w:rPr>
                <w:rFonts w:ascii="Calibri" w:hAnsi="Calibri" w:cs="Calibri"/>
              </w:rPr>
              <w:t xml:space="preserve">Zvýšit zájem a motivaci oprávněných žadatelů k čerpání dotace, a to zejména prostřednictvím snížení administrativní náročnosti zpracování žádosti o dotaci, urychlení hodnocení projektů a podporováním projektů, které </w:t>
            </w:r>
            <w:r w:rsidR="005E1685" w:rsidRPr="008E5AB0">
              <w:rPr>
                <w:rFonts w:ascii="Calibri" w:hAnsi="Calibri" w:cs="Calibri"/>
              </w:rPr>
              <w:t xml:space="preserve">jsou již připravené k realizaci tak, </w:t>
            </w:r>
            <w:r w:rsidR="00107503">
              <w:rPr>
                <w:rFonts w:ascii="Calibri" w:hAnsi="Calibri" w:cs="Calibri"/>
              </w:rPr>
              <w:t>a</w:t>
            </w:r>
            <w:r w:rsidR="005E1685" w:rsidRPr="008E5AB0">
              <w:rPr>
                <w:rFonts w:ascii="Calibri" w:hAnsi="Calibri" w:cs="Calibri"/>
              </w:rPr>
              <w:t xml:space="preserve">by se stihly dokončit do 2022 a měly pozitivní vliv na definované </w:t>
            </w:r>
            <w:r w:rsidRPr="008E5AB0">
              <w:rPr>
                <w:rFonts w:ascii="Calibri" w:hAnsi="Calibri" w:cs="Calibri"/>
              </w:rPr>
              <w:t>výsledky.</w:t>
            </w:r>
          </w:p>
        </w:tc>
      </w:tr>
      <w:tr w:rsidR="005E1685" w:rsidRPr="001C50E7" w14:paraId="4AD3B6FF" w14:textId="77777777" w:rsidTr="005E0356">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0C401E33" w14:textId="0F20F75C" w:rsidR="005E1685" w:rsidRPr="008E5AB0" w:rsidRDefault="005E1685" w:rsidP="005C5EF2">
            <w:pPr>
              <w:rPr>
                <w:rFonts w:ascii="Calibri" w:hAnsi="Calibri" w:cs="Calibri"/>
              </w:rPr>
            </w:pPr>
            <w:r w:rsidRPr="008E5AB0">
              <w:rPr>
                <w:rFonts w:ascii="Calibri" w:hAnsi="Calibri" w:cs="Calibri"/>
              </w:rPr>
              <w:t>Doporučení pro programové období 2021</w:t>
            </w:r>
            <w:r w:rsidR="005E0356">
              <w:rPr>
                <w:rFonts w:ascii="Calibri" w:hAnsi="Calibri" w:cs="Calibri"/>
              </w:rPr>
              <w:t xml:space="preserve"> - 2027</w:t>
            </w:r>
          </w:p>
        </w:tc>
        <w:tc>
          <w:tcPr>
            <w:tcW w:w="5954" w:type="dxa"/>
            <w:shd w:val="clear" w:color="auto" w:fill="auto"/>
          </w:tcPr>
          <w:p w14:paraId="12D32F8C" w14:textId="1755FF83" w:rsidR="005E1685" w:rsidRPr="008E5AB0" w:rsidRDefault="005E1685" w:rsidP="00640F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E5AB0">
              <w:rPr>
                <w:rFonts w:ascii="Calibri" w:hAnsi="Calibri" w:cs="Calibri"/>
              </w:rPr>
              <w:t>Zjednodušení procesu žádosti a následné administrace projektu tak, aby byl vyšší zájem o využití dotace OP</w:t>
            </w:r>
            <w:r w:rsidR="00107503">
              <w:rPr>
                <w:rFonts w:ascii="Calibri" w:hAnsi="Calibri" w:cs="Calibri"/>
              </w:rPr>
              <w:t xml:space="preserve"> </w:t>
            </w:r>
            <w:r w:rsidRPr="008E5AB0">
              <w:rPr>
                <w:rFonts w:ascii="Calibri" w:hAnsi="Calibri" w:cs="Calibri"/>
              </w:rPr>
              <w:t>K, zvážit propojení dotace na investice a provoz, resp. jasně definovat stabilní pravidla pro jejich společné anebo oddělené využití</w:t>
            </w:r>
            <w:r w:rsidR="00640FCC">
              <w:rPr>
                <w:rFonts w:ascii="Calibri" w:hAnsi="Calibri" w:cs="Calibri"/>
              </w:rPr>
              <w:t xml:space="preserve">. </w:t>
            </w:r>
            <w:r w:rsidR="008E5AB0">
              <w:rPr>
                <w:rFonts w:ascii="Calibri" w:hAnsi="Calibri" w:cs="Calibri"/>
              </w:rPr>
              <w:t xml:space="preserve"> </w:t>
            </w:r>
          </w:p>
        </w:tc>
      </w:tr>
    </w:tbl>
    <w:p w14:paraId="3D0AA6FD" w14:textId="77777777" w:rsidR="001C50E7" w:rsidRPr="001C50E7" w:rsidRDefault="001C50E7" w:rsidP="001C50E7">
      <w:pPr>
        <w:spacing w:after="0"/>
        <w:rPr>
          <w:rFonts w:ascii="Calibri" w:hAnsi="Calibri" w:cs="Calibri"/>
        </w:rPr>
      </w:pPr>
    </w:p>
    <w:p w14:paraId="5CB50888" w14:textId="77777777" w:rsidR="001C50E7" w:rsidRPr="00776124" w:rsidRDefault="001C50E7" w:rsidP="00776124">
      <w:pPr>
        <w:pStyle w:val="Nadpis2"/>
      </w:pPr>
      <w:bookmarkStart w:id="58" w:name="_Toc4596819"/>
      <w:bookmarkStart w:id="59" w:name="_Toc10729926"/>
      <w:r w:rsidRPr="00776124">
        <w:t>Doplňující informace k evaluační otázce</w:t>
      </w:r>
      <w:bookmarkEnd w:id="58"/>
      <w:bookmarkEnd w:id="59"/>
    </w:p>
    <w:p w14:paraId="43489A39" w14:textId="134E5658" w:rsidR="001C50E7" w:rsidRDefault="00BA732B" w:rsidP="00BA732B">
      <w:pPr>
        <w:pStyle w:val="Nadpis3"/>
      </w:pPr>
      <w:bookmarkStart w:id="60" w:name="_Toc10729927"/>
      <w:r>
        <w:t>S</w:t>
      </w:r>
      <w:r w:rsidRPr="00BA732B">
        <w:t>nížení dovozní závislosti na palivech z geopoliticky nestabilních regionů</w:t>
      </w:r>
      <w:bookmarkEnd w:id="60"/>
    </w:p>
    <w:p w14:paraId="08F697AC" w14:textId="7FC4C2B1" w:rsidR="005C5B0D" w:rsidRDefault="005C5B0D" w:rsidP="00107503">
      <w:pPr>
        <w:spacing w:after="0"/>
      </w:pPr>
      <w:r>
        <w:t xml:space="preserve">Kauzalita této podotázky vychází ze závislosti mezi podílem OZE na výrobě elektřiny a množstvím spotřebovaných fosilních paliv využívaných pro tuto výrobu. Tj. v případě, že by podíl OZE na výrobě elektřiny byl významný, došlo by i k relevantnímu poklesu spotřebovávaných fosilních paliv a tento vývoj by se promítl i do množství dovážených palivových surovin. </w:t>
      </w:r>
    </w:p>
    <w:p w14:paraId="3A6E09F2" w14:textId="77777777" w:rsidR="00107503" w:rsidRDefault="00107503" w:rsidP="00107503">
      <w:pPr>
        <w:spacing w:after="0"/>
      </w:pPr>
    </w:p>
    <w:p w14:paraId="5F2E8528" w14:textId="7F34EE28" w:rsidR="00195861" w:rsidRDefault="005C5B0D" w:rsidP="00107503">
      <w:pPr>
        <w:spacing w:after="0"/>
      </w:pPr>
      <w:r>
        <w:t>Hlavními fosilními palivy, která Česko dováží, je jaderné palivo a zemní plyn</w:t>
      </w:r>
      <w:r w:rsidR="00E72D3F">
        <w:t>, kdy o</w:t>
      </w:r>
      <w:r>
        <w:t>bě tyto suroviny jsou dováženy z Ruska</w:t>
      </w:r>
      <w:r w:rsidR="005E1685">
        <w:rPr>
          <w:rStyle w:val="Znakapoznpodarou"/>
        </w:rPr>
        <w:footnoteReference w:id="5"/>
      </w:r>
      <w:r>
        <w:t>. Dodávky hnědého uhlí jsou zanedbatelné</w:t>
      </w:r>
      <w:r w:rsidR="00E72D3F">
        <w:t xml:space="preserve"> a v</w:t>
      </w:r>
      <w:r>
        <w:t xml:space="preserve"> produkci černého uhlí je Česko </w:t>
      </w:r>
      <w:r>
        <w:lastRenderedPageBreak/>
        <w:t>soběstačné.</w:t>
      </w:r>
      <w:r w:rsidRPr="005C5B0D">
        <w:t xml:space="preserve"> </w:t>
      </w:r>
      <w:r>
        <w:t xml:space="preserve">Část černého uhlí se vyváží a naopak část se dováží </w:t>
      </w:r>
      <w:r w:rsidR="00E72D3F">
        <w:t xml:space="preserve">(především z Polska) </w:t>
      </w:r>
      <w:r>
        <w:t>v závislosti na požadavcích průmyslu na kvalitu, specifické užití a podle vývoje cen na trhu</w:t>
      </w:r>
      <w:r w:rsidR="00E72D3F">
        <w:rPr>
          <w:rStyle w:val="Znakapoznpodarou"/>
        </w:rPr>
        <w:footnoteReference w:id="6"/>
      </w:r>
      <w:r>
        <w:t xml:space="preserve">. </w:t>
      </w:r>
    </w:p>
    <w:p w14:paraId="2CA17AF4" w14:textId="77777777" w:rsidR="00107503" w:rsidRDefault="00107503" w:rsidP="00107503">
      <w:pPr>
        <w:spacing w:after="0"/>
      </w:pPr>
    </w:p>
    <w:p w14:paraId="715FFE48" w14:textId="49F6B762" w:rsidR="002F099C" w:rsidRDefault="00A803EC" w:rsidP="00107503">
      <w:pPr>
        <w:spacing w:after="0"/>
      </w:pPr>
      <w:r>
        <w:t>Za dovoz z nestabilních regionů</w:t>
      </w:r>
      <w:r w:rsidR="002F099C">
        <w:t xml:space="preserve"> </w:t>
      </w:r>
      <w:r w:rsidR="005E1685">
        <w:t xml:space="preserve">(v podmínkách ČR zejména ze zemí bývalého Sovětského svazu) </w:t>
      </w:r>
      <w:r>
        <w:t xml:space="preserve">lze tedy považovat primárně </w:t>
      </w:r>
      <w:r w:rsidR="002F099C">
        <w:t xml:space="preserve">dovoz </w:t>
      </w:r>
      <w:r w:rsidR="00195861">
        <w:t xml:space="preserve">jaderného paliva a </w:t>
      </w:r>
      <w:r w:rsidR="002F099C">
        <w:t>zemního plynu z</w:t>
      </w:r>
      <w:r w:rsidR="00E72D3F">
        <w:t> </w:t>
      </w:r>
      <w:r w:rsidR="002F099C">
        <w:t>Ruska</w:t>
      </w:r>
      <w:r w:rsidR="00E72D3F">
        <w:t xml:space="preserve">. </w:t>
      </w:r>
      <w:r w:rsidR="00195861">
        <w:t>Zatímco jádro se podílí na výrobě elektřiny 33 % (v roce 2017), zemní plyn pouze 4 %. Jeho hlavní využití spočívá ve výrobě tepla, na níž se podílí 30 %</w:t>
      </w:r>
      <w:r w:rsidR="00195861">
        <w:rPr>
          <w:rStyle w:val="Znakapoznpodarou"/>
        </w:rPr>
        <w:footnoteReference w:id="7"/>
      </w:r>
      <w:r w:rsidR="00195861">
        <w:t xml:space="preserve">. </w:t>
      </w:r>
      <w:r w:rsidR="00F55C13">
        <w:t>Z výše uvedených hodnot vyplývá, že nárůst podílu OZE na výrobě elektřiny a tepla by musel být výrazný, aby mohlo dojít k významnému snížení dovozu zemního plynu a/nebo jaderného paliva.</w:t>
      </w:r>
    </w:p>
    <w:p w14:paraId="18E61527" w14:textId="77777777" w:rsidR="00107503" w:rsidRDefault="00107503" w:rsidP="00107503">
      <w:pPr>
        <w:spacing w:after="0"/>
      </w:pPr>
    </w:p>
    <w:p w14:paraId="7E5FE4A3" w14:textId="4DC637E2" w:rsidR="00417B7E" w:rsidRDefault="00363C24" w:rsidP="00107503">
      <w:pPr>
        <w:spacing w:after="0"/>
        <w:rPr>
          <w:rFonts w:ascii="Calibri" w:hAnsi="Calibri" w:cs="Calibri"/>
        </w:rPr>
      </w:pPr>
      <w:r>
        <w:t>Ačkoliv výroba elektřiny i tepla z OZE roste</w:t>
      </w:r>
      <w:r>
        <w:rPr>
          <w:rStyle w:val="Znakapoznpodarou"/>
        </w:rPr>
        <w:footnoteReference w:id="8"/>
      </w:r>
      <w:r>
        <w:t xml:space="preserve">, projekty podporované PP OZE se na </w:t>
      </w:r>
      <w:r w:rsidR="005E1685">
        <w:t>tomto nárůstu</w:t>
      </w:r>
      <w:r>
        <w:t xml:space="preserve"> podílejí jen nepatrně. </w:t>
      </w:r>
      <w:r w:rsidR="00C33A1A">
        <w:t>Z</w:t>
      </w:r>
      <w:r>
        <w:t xml:space="preserve"> níže uveden</w:t>
      </w:r>
      <w:r w:rsidR="00C33A1A">
        <w:t>ého indikátoru výstupu Nová kapacita zařízení pro výrobu energie z </w:t>
      </w:r>
      <w:r w:rsidR="00C33A1A" w:rsidRPr="00C33A1A">
        <w:t>obnovitelných zdrojů</w:t>
      </w:r>
      <w:r w:rsidR="00C33A1A">
        <w:t xml:space="preserve"> je zřejmé, že doposud bylo dosaženo pouze 2,14 % plánované dosažené hodnoty, a to 1,5 MW.</w:t>
      </w:r>
      <w:r w:rsidR="002D1965">
        <w:t xml:space="preserve"> </w:t>
      </w:r>
      <w:r w:rsidR="00417B7E">
        <w:t xml:space="preserve">V porovnání s celkovým výkonem OZE v roce 2013, který činil 667,1 MW, se jedná o nárůst o 0,22 %. Takto slabý nárůst výkonu OZE je způsoben velmi malým počtem podpořených projektů a samozřejmě nemůže mít </w:t>
      </w:r>
      <w:r w:rsidR="005E1685">
        <w:t xml:space="preserve">relevantní </w:t>
      </w:r>
      <w:r w:rsidR="00417B7E">
        <w:t xml:space="preserve">vliv na snížení dovozní závislosti </w:t>
      </w:r>
      <w:r w:rsidR="00750F21">
        <w:rPr>
          <w:rFonts w:ascii="Calibri" w:hAnsi="Calibri" w:cs="Calibri"/>
        </w:rPr>
        <w:t>na palivech z </w:t>
      </w:r>
      <w:r w:rsidR="00417B7E" w:rsidRPr="00F85BBF">
        <w:rPr>
          <w:rFonts w:ascii="Calibri" w:hAnsi="Calibri" w:cs="Calibri"/>
        </w:rPr>
        <w:t>geopoliticky nestabilních regionů</w:t>
      </w:r>
      <w:r w:rsidR="00417B7E">
        <w:rPr>
          <w:rFonts w:ascii="Calibri" w:hAnsi="Calibri" w:cs="Calibri"/>
        </w:rPr>
        <w:t>.</w:t>
      </w:r>
      <w:r w:rsidR="005E1685">
        <w:rPr>
          <w:rFonts w:ascii="Calibri" w:hAnsi="Calibri" w:cs="Calibri"/>
        </w:rPr>
        <w:t xml:space="preserve"> </w:t>
      </w:r>
    </w:p>
    <w:p w14:paraId="485AB437" w14:textId="77777777" w:rsidR="00107503" w:rsidRDefault="00107503" w:rsidP="00107503">
      <w:pPr>
        <w:spacing w:after="0"/>
        <w:rPr>
          <w:i/>
          <w:iCs/>
          <w:color w:val="1F497D" w:themeColor="text2"/>
          <w:sz w:val="20"/>
          <w:szCs w:val="20"/>
        </w:rPr>
      </w:pPr>
    </w:p>
    <w:p w14:paraId="6EAC92D9" w14:textId="27A9DEE7" w:rsidR="00417B7E" w:rsidRPr="005B5FB4" w:rsidRDefault="00417B7E" w:rsidP="00417B7E">
      <w:pPr>
        <w:pStyle w:val="Titulek"/>
      </w:pPr>
      <w:bookmarkStart w:id="61" w:name="_Toc10730021"/>
      <w:r w:rsidRPr="005B5FB4">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2</w:t>
      </w:r>
      <w:r w:rsidR="00BD754F">
        <w:rPr>
          <w:noProof/>
        </w:rPr>
        <w:fldChar w:fldCharType="end"/>
      </w:r>
      <w:r w:rsidRPr="005B5FB4">
        <w:t xml:space="preserve">: Indikátor </w:t>
      </w:r>
      <w:r w:rsidR="0025375A" w:rsidRPr="005B5FB4">
        <w:t xml:space="preserve">výstupu </w:t>
      </w:r>
      <w:r w:rsidR="00986571" w:rsidRPr="005B5FB4">
        <w:t>Nová kapacita zařízení pro výrobu energie z obnovitelných zdrojů (</w:t>
      </w:r>
      <w:r w:rsidRPr="005B5FB4">
        <w:t>SC 3.</w:t>
      </w:r>
      <w:r w:rsidR="00986571" w:rsidRPr="005B5FB4">
        <w:t>1</w:t>
      </w:r>
      <w:r w:rsidRPr="005B5FB4">
        <w:t>)</w:t>
      </w:r>
      <w:bookmarkEnd w:id="61"/>
    </w:p>
    <w:tbl>
      <w:tblPr>
        <w:tblStyle w:val="Prosttabulka11"/>
        <w:tblW w:w="5000" w:type="pct"/>
        <w:tblLook w:val="06A0" w:firstRow="1" w:lastRow="0" w:firstColumn="1" w:lastColumn="0" w:noHBand="1" w:noVBand="1"/>
      </w:tblPr>
      <w:tblGrid>
        <w:gridCol w:w="3102"/>
        <w:gridCol w:w="6214"/>
      </w:tblGrid>
      <w:tr w:rsidR="00417B7E" w:rsidRPr="00A67559" w14:paraId="5B18FC95" w14:textId="77777777" w:rsidTr="0025375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6D8A7CD3" w14:textId="77777777" w:rsidR="00417B7E" w:rsidRPr="00986571" w:rsidRDefault="00417B7E" w:rsidP="0025375A">
            <w:pPr>
              <w:rPr>
                <w:rFonts w:ascii="Calibri" w:hAnsi="Calibri" w:cs="Calibri"/>
                <w:sz w:val="20"/>
                <w:szCs w:val="20"/>
              </w:rPr>
            </w:pPr>
            <w:r w:rsidRPr="00986571">
              <w:rPr>
                <w:rFonts w:cstheme="minorHAnsi"/>
                <w:sz w:val="20"/>
                <w:szCs w:val="20"/>
              </w:rPr>
              <w:t>Indikátor</w:t>
            </w:r>
          </w:p>
        </w:tc>
        <w:tc>
          <w:tcPr>
            <w:tcW w:w="3335" w:type="pct"/>
            <w:shd w:val="clear" w:color="auto" w:fill="auto"/>
            <w:vAlign w:val="center"/>
          </w:tcPr>
          <w:p w14:paraId="74E39D5D" w14:textId="77777777" w:rsidR="00417B7E" w:rsidRPr="00A67559" w:rsidRDefault="00417B7E" w:rsidP="0025375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34600 Nová kapacita zařízení pro výrobu energie z obnovitelných zdrojů</w:t>
            </w:r>
          </w:p>
        </w:tc>
      </w:tr>
      <w:tr w:rsidR="00417B7E" w:rsidRPr="00A67559" w14:paraId="414C342A" w14:textId="77777777" w:rsidTr="0025375A">
        <w:trPr>
          <w:trHeight w:val="137"/>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689ECD72" w14:textId="77777777" w:rsidR="00417B7E" w:rsidRPr="00986571" w:rsidRDefault="00417B7E" w:rsidP="0025375A">
            <w:pPr>
              <w:rPr>
                <w:rFonts w:ascii="Calibri" w:hAnsi="Calibri" w:cs="Calibri"/>
                <w:sz w:val="20"/>
                <w:szCs w:val="20"/>
              </w:rPr>
            </w:pPr>
            <w:r w:rsidRPr="00986571">
              <w:rPr>
                <w:rFonts w:cstheme="minorHAnsi"/>
                <w:sz w:val="20"/>
                <w:szCs w:val="20"/>
              </w:rPr>
              <w:t>Typ indikátoru</w:t>
            </w:r>
          </w:p>
        </w:tc>
        <w:tc>
          <w:tcPr>
            <w:tcW w:w="3335" w:type="pct"/>
            <w:shd w:val="clear" w:color="auto" w:fill="auto"/>
            <w:vAlign w:val="center"/>
          </w:tcPr>
          <w:p w14:paraId="2F3C8F24"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Výstup</w:t>
            </w:r>
          </w:p>
        </w:tc>
      </w:tr>
      <w:tr w:rsidR="00417B7E" w:rsidRPr="00A67559" w14:paraId="2F4C3346" w14:textId="77777777" w:rsidTr="0025375A">
        <w:trPr>
          <w:trHeight w:val="137"/>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237A122A" w14:textId="77777777" w:rsidR="00417B7E" w:rsidRPr="00986571" w:rsidRDefault="00417B7E" w:rsidP="0025375A">
            <w:pPr>
              <w:rPr>
                <w:rFonts w:cstheme="minorHAnsi"/>
                <w:sz w:val="20"/>
                <w:szCs w:val="20"/>
              </w:rPr>
            </w:pPr>
            <w:r w:rsidRPr="00986571">
              <w:rPr>
                <w:rFonts w:cstheme="minorHAnsi"/>
                <w:sz w:val="20"/>
                <w:szCs w:val="20"/>
              </w:rPr>
              <w:t>Cílová hodnota (2023)</w:t>
            </w:r>
          </w:p>
        </w:tc>
        <w:tc>
          <w:tcPr>
            <w:tcW w:w="3335" w:type="pct"/>
            <w:shd w:val="clear" w:color="auto" w:fill="auto"/>
            <w:vAlign w:val="center"/>
          </w:tcPr>
          <w:p w14:paraId="1D17A61C"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70 MW</w:t>
            </w:r>
          </w:p>
        </w:tc>
      </w:tr>
      <w:tr w:rsidR="00417B7E" w:rsidRPr="00A67559" w14:paraId="14585CD5" w14:textId="77777777" w:rsidTr="0025375A">
        <w:trPr>
          <w:trHeight w:val="311"/>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1957D9A0" w14:textId="77777777" w:rsidR="00417B7E" w:rsidRPr="00986571" w:rsidRDefault="00417B7E" w:rsidP="0025375A">
            <w:pPr>
              <w:rPr>
                <w:rFonts w:cstheme="minorHAnsi"/>
                <w:sz w:val="20"/>
                <w:szCs w:val="20"/>
              </w:rPr>
            </w:pPr>
            <w:r w:rsidRPr="00986571">
              <w:rPr>
                <w:rFonts w:cstheme="minorHAnsi"/>
                <w:sz w:val="20"/>
                <w:szCs w:val="20"/>
              </w:rPr>
              <w:t>Dosažená hodnota (suma)</w:t>
            </w:r>
          </w:p>
        </w:tc>
        <w:tc>
          <w:tcPr>
            <w:tcW w:w="3335" w:type="pct"/>
            <w:shd w:val="clear" w:color="auto" w:fill="auto"/>
            <w:vAlign w:val="center"/>
          </w:tcPr>
          <w:p w14:paraId="5A4496C1"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1,5 MW</w:t>
            </w:r>
          </w:p>
        </w:tc>
      </w:tr>
      <w:tr w:rsidR="00417B7E" w:rsidRPr="00A67559" w14:paraId="6A1132AF" w14:textId="77777777" w:rsidTr="0025375A">
        <w:trPr>
          <w:trHeight w:val="259"/>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1CEE0E61" w14:textId="77777777" w:rsidR="00417B7E" w:rsidRPr="00986571" w:rsidRDefault="00417B7E" w:rsidP="0025375A">
            <w:pPr>
              <w:rPr>
                <w:rFonts w:cstheme="minorHAnsi"/>
                <w:sz w:val="20"/>
                <w:szCs w:val="20"/>
              </w:rPr>
            </w:pPr>
            <w:r w:rsidRPr="00986571">
              <w:rPr>
                <w:rFonts w:cstheme="minorHAnsi"/>
                <w:sz w:val="20"/>
                <w:szCs w:val="20"/>
              </w:rPr>
              <w:t>Závazek příjemců</w:t>
            </w:r>
          </w:p>
        </w:tc>
        <w:tc>
          <w:tcPr>
            <w:tcW w:w="3335" w:type="pct"/>
            <w:shd w:val="clear" w:color="auto" w:fill="auto"/>
            <w:vAlign w:val="center"/>
          </w:tcPr>
          <w:p w14:paraId="73AA5F26"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5,73 MW</w:t>
            </w:r>
          </w:p>
        </w:tc>
      </w:tr>
      <w:tr w:rsidR="00417B7E" w:rsidRPr="00A67559" w14:paraId="3C551E5B" w14:textId="77777777" w:rsidTr="0025375A">
        <w:trPr>
          <w:trHeight w:val="149"/>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30D24369" w14:textId="77777777" w:rsidR="00417B7E" w:rsidRPr="00986571" w:rsidRDefault="00417B7E" w:rsidP="0025375A">
            <w:pPr>
              <w:rPr>
                <w:rFonts w:cstheme="minorHAnsi"/>
                <w:sz w:val="20"/>
                <w:szCs w:val="20"/>
              </w:rPr>
            </w:pPr>
            <w:r w:rsidRPr="00986571">
              <w:rPr>
                <w:rFonts w:cstheme="minorHAnsi"/>
                <w:sz w:val="20"/>
                <w:szCs w:val="20"/>
              </w:rPr>
              <w:t>Míra plnění cílové hodnoty (v %):</w:t>
            </w:r>
          </w:p>
        </w:tc>
        <w:tc>
          <w:tcPr>
            <w:tcW w:w="3335" w:type="pct"/>
            <w:shd w:val="clear" w:color="auto" w:fill="auto"/>
            <w:vAlign w:val="center"/>
          </w:tcPr>
          <w:p w14:paraId="0D70D2D6"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417B7E" w:rsidRPr="00A67559" w14:paraId="3D1990A7" w14:textId="77777777" w:rsidTr="0025375A">
        <w:trPr>
          <w:trHeight w:val="308"/>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287A4EE5" w14:textId="77777777" w:rsidR="00417B7E" w:rsidRPr="00986571" w:rsidRDefault="00417B7E" w:rsidP="0025375A">
            <w:pPr>
              <w:ind w:left="171" w:hanging="171"/>
              <w:rPr>
                <w:rFonts w:cstheme="minorHAnsi"/>
                <w:sz w:val="20"/>
                <w:szCs w:val="20"/>
              </w:rPr>
            </w:pPr>
            <w:r w:rsidRPr="00986571">
              <w:rPr>
                <w:rFonts w:cstheme="minorHAnsi"/>
                <w:sz w:val="20"/>
                <w:szCs w:val="20"/>
              </w:rPr>
              <w:t>Dosažená hodnota</w:t>
            </w:r>
          </w:p>
        </w:tc>
        <w:tc>
          <w:tcPr>
            <w:tcW w:w="3335" w:type="pct"/>
            <w:shd w:val="clear" w:color="auto" w:fill="auto"/>
            <w:vAlign w:val="center"/>
          </w:tcPr>
          <w:p w14:paraId="773165C1"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2,14</w:t>
            </w:r>
            <w:r>
              <w:rPr>
                <w:rFonts w:ascii="Calibri" w:hAnsi="Calibri" w:cs="Calibri"/>
                <w:sz w:val="20"/>
                <w:szCs w:val="20"/>
              </w:rPr>
              <w:t xml:space="preserve"> %</w:t>
            </w:r>
          </w:p>
        </w:tc>
      </w:tr>
      <w:tr w:rsidR="00417B7E" w:rsidRPr="00A67559" w14:paraId="52F6A3EA" w14:textId="77777777" w:rsidTr="0025375A">
        <w:trPr>
          <w:trHeight w:val="271"/>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18CF33F5" w14:textId="77777777" w:rsidR="00417B7E" w:rsidRPr="00986571" w:rsidRDefault="00417B7E" w:rsidP="0025375A">
            <w:pPr>
              <w:ind w:left="171" w:hanging="171"/>
              <w:rPr>
                <w:rFonts w:cstheme="minorHAnsi"/>
                <w:sz w:val="20"/>
                <w:szCs w:val="20"/>
              </w:rPr>
            </w:pPr>
            <w:r w:rsidRPr="00986571">
              <w:rPr>
                <w:rFonts w:cstheme="minorHAnsi"/>
                <w:sz w:val="20"/>
                <w:szCs w:val="20"/>
              </w:rPr>
              <w:t>Závazek příjemců</w:t>
            </w:r>
          </w:p>
        </w:tc>
        <w:tc>
          <w:tcPr>
            <w:tcW w:w="3335" w:type="pct"/>
            <w:shd w:val="clear" w:color="auto" w:fill="auto"/>
            <w:vAlign w:val="center"/>
          </w:tcPr>
          <w:p w14:paraId="6008F6F3"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8,19</w:t>
            </w:r>
            <w:r>
              <w:rPr>
                <w:rFonts w:ascii="Calibri" w:hAnsi="Calibri" w:cs="Calibri"/>
                <w:sz w:val="20"/>
                <w:szCs w:val="20"/>
              </w:rPr>
              <w:t xml:space="preserve"> %</w:t>
            </w:r>
          </w:p>
        </w:tc>
      </w:tr>
      <w:tr w:rsidR="00417B7E" w:rsidRPr="00A67559" w14:paraId="79875B0D" w14:textId="77777777" w:rsidTr="0025375A">
        <w:trPr>
          <w:trHeight w:val="274"/>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5AFB2777" w14:textId="77777777" w:rsidR="00417B7E" w:rsidRPr="00986571" w:rsidRDefault="00417B7E" w:rsidP="0025375A">
            <w:pPr>
              <w:rPr>
                <w:rFonts w:cstheme="minorHAnsi"/>
                <w:sz w:val="20"/>
                <w:szCs w:val="20"/>
              </w:rPr>
            </w:pPr>
            <w:r w:rsidRPr="00986571">
              <w:rPr>
                <w:rFonts w:cstheme="minorHAnsi"/>
                <w:sz w:val="20"/>
                <w:szCs w:val="20"/>
              </w:rPr>
              <w:t>Vyhodnocení věcného pokroku</w:t>
            </w:r>
          </w:p>
        </w:tc>
        <w:tc>
          <w:tcPr>
            <w:tcW w:w="3335" w:type="pct"/>
            <w:shd w:val="clear" w:color="auto" w:fill="auto"/>
            <w:vAlign w:val="center"/>
          </w:tcPr>
          <w:p w14:paraId="7025E9CD"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rizikový</w:t>
            </w:r>
          </w:p>
        </w:tc>
      </w:tr>
      <w:tr w:rsidR="00417B7E" w:rsidRPr="00A67559" w14:paraId="552C20C0" w14:textId="77777777" w:rsidTr="0025375A">
        <w:trPr>
          <w:trHeight w:val="419"/>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vAlign w:val="center"/>
          </w:tcPr>
          <w:p w14:paraId="58BCEC0B" w14:textId="77777777" w:rsidR="00417B7E" w:rsidRPr="00986571" w:rsidRDefault="00417B7E" w:rsidP="0025375A">
            <w:pPr>
              <w:rPr>
                <w:rFonts w:cstheme="minorHAnsi"/>
                <w:sz w:val="20"/>
                <w:szCs w:val="20"/>
              </w:rPr>
            </w:pPr>
            <w:r w:rsidRPr="00986571">
              <w:rPr>
                <w:rFonts w:cstheme="minorHAnsi"/>
                <w:sz w:val="20"/>
                <w:szCs w:val="20"/>
              </w:rPr>
              <w:t>Počet projektů, které se podílejí na dosažené hodnotě</w:t>
            </w:r>
          </w:p>
        </w:tc>
        <w:tc>
          <w:tcPr>
            <w:tcW w:w="3335" w:type="pct"/>
            <w:shd w:val="clear" w:color="auto" w:fill="auto"/>
            <w:vAlign w:val="center"/>
          </w:tcPr>
          <w:p w14:paraId="62B8589B" w14:textId="77777777" w:rsidR="00417B7E" w:rsidRPr="00A67559" w:rsidRDefault="00417B7E" w:rsidP="002537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67559">
              <w:rPr>
                <w:rFonts w:ascii="Calibri" w:hAnsi="Calibri" w:cs="Calibri"/>
                <w:sz w:val="20"/>
                <w:szCs w:val="20"/>
              </w:rPr>
              <w:t>8</w:t>
            </w:r>
          </w:p>
        </w:tc>
      </w:tr>
    </w:tbl>
    <w:p w14:paraId="3FD3501A" w14:textId="77777777" w:rsidR="00417B7E" w:rsidRDefault="00417B7E" w:rsidP="00417B7E">
      <w:pPr>
        <w:spacing w:after="0"/>
      </w:pPr>
    </w:p>
    <w:p w14:paraId="3F5319E1" w14:textId="45CA4A01" w:rsidR="00BA732B" w:rsidRDefault="00BA732B" w:rsidP="00BA732B">
      <w:pPr>
        <w:pStyle w:val="Nadpis3"/>
      </w:pPr>
      <w:bookmarkStart w:id="62" w:name="_Toc10729928"/>
      <w:r>
        <w:t>S</w:t>
      </w:r>
      <w:r w:rsidRPr="00F85BBF">
        <w:t>nížení emisí skleníkových plynů</w:t>
      </w:r>
      <w:bookmarkEnd w:id="62"/>
    </w:p>
    <w:p w14:paraId="5DADA211" w14:textId="5396EFA6" w:rsidR="007825F1" w:rsidRDefault="007825F1" w:rsidP="005B5FB4">
      <w:pPr>
        <w:spacing w:after="0"/>
      </w:pPr>
      <w:r>
        <w:t xml:space="preserve">Rozvoj výroby elektřiny a tepla z obnovitelných zdrojů s sebou přináší snižování emisí skleníkových plynů, neboť v důsledku využití OZE dochází k poklesu nebo alespoň stagnaci využívání fosilních paliv. OZE skleníkové plyny buď vůbec neprodukují (větrné, solární, vodní elektrárny), nebo je jejich emise minimální (využívání bioplynu a biomasy). </w:t>
      </w:r>
    </w:p>
    <w:p w14:paraId="6074A2B9" w14:textId="77777777" w:rsidR="005B5FB4" w:rsidRDefault="005B5FB4" w:rsidP="005B5FB4">
      <w:pPr>
        <w:spacing w:after="0"/>
      </w:pPr>
    </w:p>
    <w:p w14:paraId="79ABF02C" w14:textId="302797CB" w:rsidR="005E1685" w:rsidRDefault="007825F1" w:rsidP="005B5FB4">
      <w:pPr>
        <w:spacing w:after="0"/>
      </w:pPr>
      <w:r>
        <w:t>Sniž</w:t>
      </w:r>
      <w:r w:rsidR="00417E9A">
        <w:t>o</w:t>
      </w:r>
      <w:r>
        <w:t xml:space="preserve">vání emisí skleníkových plynů je v rámci PP OZE </w:t>
      </w:r>
      <w:r w:rsidR="00417E9A">
        <w:t xml:space="preserve">sledováno </w:t>
      </w:r>
      <w:r>
        <w:t xml:space="preserve">prostřednictvím indikátoru </w:t>
      </w:r>
      <w:r w:rsidR="00417E9A">
        <w:t xml:space="preserve">výstupu 36010 </w:t>
      </w:r>
      <w:r w:rsidR="00417E9A" w:rsidRPr="00417E9A">
        <w:t>Odhadované roční snížení emisí skleníkových plynů</w:t>
      </w:r>
      <w:r w:rsidR="00417E9A">
        <w:t xml:space="preserve">, který je vykazován na projektové úrovni. Jedná se však o indikátor, který je povinný k výběru, tj. žadatelé nestanovují žádnou hodnotu, jíž by měl jejich projekt dosáhnout. </w:t>
      </w:r>
      <w:r w:rsidR="005E1685">
        <w:t xml:space="preserve">Z informací z poskytnutých dat, které se týkaly žádostí o podporu a projektů </w:t>
      </w:r>
      <w:r w:rsidR="005E1685">
        <w:lastRenderedPageBreak/>
        <w:t>v realizaci, resp. před ukončením 1. roku provozu, tak není možné posoudit, do jaké míry budou vybrané projekty tento indikátor</w:t>
      </w:r>
      <w:r w:rsidR="005E1685" w:rsidRPr="00C94AED">
        <w:t xml:space="preserve"> </w:t>
      </w:r>
      <w:r w:rsidR="005E1685">
        <w:t xml:space="preserve">naplňovat. Vzhledem k tomu, že hodnoty snížení emisí skleníkových plynů jsou ze své podstaty v těsné korelaci s kapacitou </w:t>
      </w:r>
      <w:r w:rsidR="00750F21">
        <w:t xml:space="preserve">a samozřejmě intenzitou využívání </w:t>
      </w:r>
      <w:r w:rsidR="005E1685">
        <w:t>zařízení pro výrobu energie z obnovitelných zdrojů, lze předpokládat, že vzhledem k nízkému počtu podpořených projektů bude reálné naplnění cílové hodnoty indikátoru rovněž rizikové.</w:t>
      </w:r>
    </w:p>
    <w:p w14:paraId="79F70828" w14:textId="77777777" w:rsidR="003A4399" w:rsidRDefault="003A4399" w:rsidP="005B5FB4">
      <w:pPr>
        <w:spacing w:after="0"/>
      </w:pPr>
    </w:p>
    <w:p w14:paraId="00C2E273" w14:textId="607B7325" w:rsidR="003A4399" w:rsidRPr="005B5FB4" w:rsidRDefault="003A4399" w:rsidP="003A4399">
      <w:pPr>
        <w:pStyle w:val="Titulek"/>
      </w:pPr>
      <w:bookmarkStart w:id="63" w:name="_Toc10730022"/>
      <w:r w:rsidRPr="005B5FB4">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3</w:t>
      </w:r>
      <w:r w:rsidR="00BD754F">
        <w:rPr>
          <w:noProof/>
        </w:rPr>
        <w:fldChar w:fldCharType="end"/>
      </w:r>
      <w:r w:rsidRPr="005B5FB4">
        <w:t>: Indikátor výstupu Odhadované roční snížení emisí skleníkových plynů (SC 3.1)</w:t>
      </w:r>
      <w:bookmarkEnd w:id="63"/>
    </w:p>
    <w:tbl>
      <w:tblPr>
        <w:tblStyle w:val="Prosttabulka11"/>
        <w:tblW w:w="5000" w:type="pct"/>
        <w:tblLook w:val="06A0" w:firstRow="1" w:lastRow="0" w:firstColumn="1" w:lastColumn="0" w:noHBand="1" w:noVBand="1"/>
      </w:tblPr>
      <w:tblGrid>
        <w:gridCol w:w="3102"/>
        <w:gridCol w:w="6214"/>
      </w:tblGrid>
      <w:tr w:rsidR="003A4399" w:rsidRPr="00D21862" w14:paraId="444CD842" w14:textId="77777777" w:rsidTr="001B6268">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4F75FAF1" w14:textId="77777777" w:rsidR="003A4399" w:rsidRPr="00986571" w:rsidRDefault="003A4399" w:rsidP="001B6268">
            <w:pPr>
              <w:rPr>
                <w:rFonts w:ascii="Calibri" w:hAnsi="Calibri" w:cs="Calibri"/>
                <w:sz w:val="20"/>
                <w:szCs w:val="20"/>
              </w:rPr>
            </w:pPr>
            <w:r w:rsidRPr="00986571">
              <w:rPr>
                <w:rFonts w:cstheme="minorHAnsi"/>
                <w:sz w:val="20"/>
                <w:szCs w:val="20"/>
              </w:rPr>
              <w:t>Indikátor</w:t>
            </w:r>
          </w:p>
        </w:tc>
        <w:tc>
          <w:tcPr>
            <w:tcW w:w="3335" w:type="pct"/>
            <w:shd w:val="clear" w:color="auto" w:fill="auto"/>
          </w:tcPr>
          <w:p w14:paraId="7C28CCFC" w14:textId="77777777" w:rsidR="003A4399" w:rsidRPr="00D21862" w:rsidRDefault="003A4399" w:rsidP="001B626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36010 Odhadované r</w:t>
            </w:r>
            <w:r>
              <w:rPr>
                <w:rFonts w:ascii="Calibri" w:hAnsi="Calibri" w:cs="Calibri"/>
                <w:sz w:val="20"/>
                <w:szCs w:val="20"/>
              </w:rPr>
              <w:t xml:space="preserve">oční snížení emisí skleníkových </w:t>
            </w:r>
            <w:r w:rsidRPr="00D21862">
              <w:rPr>
                <w:rFonts w:ascii="Calibri" w:hAnsi="Calibri" w:cs="Calibri"/>
                <w:sz w:val="20"/>
                <w:szCs w:val="20"/>
              </w:rPr>
              <w:t>plynů</w:t>
            </w:r>
          </w:p>
        </w:tc>
      </w:tr>
      <w:tr w:rsidR="003A4399" w:rsidRPr="00D21862" w14:paraId="4A32AFF7" w14:textId="77777777" w:rsidTr="001B6268">
        <w:trPr>
          <w:trHeight w:val="271"/>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5311276E" w14:textId="77777777" w:rsidR="003A4399" w:rsidRPr="00986571" w:rsidRDefault="003A4399" w:rsidP="001B6268">
            <w:pPr>
              <w:rPr>
                <w:rFonts w:ascii="Calibri" w:hAnsi="Calibri" w:cs="Calibri"/>
                <w:sz w:val="20"/>
                <w:szCs w:val="20"/>
              </w:rPr>
            </w:pPr>
            <w:r w:rsidRPr="00986571">
              <w:rPr>
                <w:rFonts w:cstheme="minorHAnsi"/>
                <w:sz w:val="20"/>
                <w:szCs w:val="20"/>
              </w:rPr>
              <w:t>Typ indikátoru</w:t>
            </w:r>
          </w:p>
        </w:tc>
        <w:tc>
          <w:tcPr>
            <w:tcW w:w="3335" w:type="pct"/>
            <w:shd w:val="clear" w:color="auto" w:fill="auto"/>
          </w:tcPr>
          <w:p w14:paraId="54227D6D"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Výstup</w:t>
            </w:r>
          </w:p>
        </w:tc>
      </w:tr>
      <w:tr w:rsidR="003A4399" w:rsidRPr="00D21862" w14:paraId="402C1575" w14:textId="77777777" w:rsidTr="001B6268">
        <w:trPr>
          <w:trHeight w:val="276"/>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159569C1" w14:textId="77777777" w:rsidR="003A4399" w:rsidRPr="00986571" w:rsidRDefault="003A4399" w:rsidP="001B6268">
            <w:pPr>
              <w:rPr>
                <w:rFonts w:cstheme="minorHAnsi"/>
                <w:sz w:val="20"/>
                <w:szCs w:val="20"/>
              </w:rPr>
            </w:pPr>
            <w:r w:rsidRPr="00986571">
              <w:rPr>
                <w:rFonts w:cstheme="minorHAnsi"/>
                <w:sz w:val="20"/>
                <w:szCs w:val="20"/>
              </w:rPr>
              <w:t>Cílová hodnota (2023)</w:t>
            </w:r>
          </w:p>
        </w:tc>
        <w:tc>
          <w:tcPr>
            <w:tcW w:w="3335" w:type="pct"/>
            <w:shd w:val="clear" w:color="auto" w:fill="auto"/>
          </w:tcPr>
          <w:p w14:paraId="2006CE7B"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300 000 tun ekvivalentu CO</w:t>
            </w:r>
            <w:r w:rsidRPr="003666EA">
              <w:rPr>
                <w:rFonts w:ascii="Calibri" w:hAnsi="Calibri" w:cs="Calibri"/>
                <w:sz w:val="20"/>
                <w:szCs w:val="20"/>
                <w:vertAlign w:val="subscript"/>
              </w:rPr>
              <w:t>2</w:t>
            </w:r>
            <w:r w:rsidRPr="00D21862">
              <w:rPr>
                <w:rFonts w:ascii="Calibri" w:hAnsi="Calibri" w:cs="Calibri"/>
                <w:sz w:val="20"/>
                <w:szCs w:val="20"/>
              </w:rPr>
              <w:t>/rok</w:t>
            </w:r>
          </w:p>
        </w:tc>
      </w:tr>
      <w:tr w:rsidR="003A4399" w:rsidRPr="00D21862" w14:paraId="70429BAE" w14:textId="77777777" w:rsidTr="001B6268">
        <w:trPr>
          <w:trHeight w:val="265"/>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763FFBFF" w14:textId="77777777" w:rsidR="003A4399" w:rsidRPr="00986571" w:rsidRDefault="003A4399" w:rsidP="001B6268">
            <w:pPr>
              <w:rPr>
                <w:rFonts w:cstheme="minorHAnsi"/>
                <w:sz w:val="20"/>
                <w:szCs w:val="20"/>
              </w:rPr>
            </w:pPr>
            <w:r w:rsidRPr="00986571">
              <w:rPr>
                <w:rFonts w:cstheme="minorHAnsi"/>
                <w:sz w:val="20"/>
                <w:szCs w:val="20"/>
              </w:rPr>
              <w:t>Dosažená hodnota (suma)</w:t>
            </w:r>
          </w:p>
        </w:tc>
        <w:tc>
          <w:tcPr>
            <w:tcW w:w="3335" w:type="pct"/>
            <w:shd w:val="clear" w:color="auto" w:fill="auto"/>
          </w:tcPr>
          <w:p w14:paraId="0FB36551"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0 tun ekvivalentu CO</w:t>
            </w:r>
            <w:r w:rsidRPr="003666EA">
              <w:rPr>
                <w:rFonts w:ascii="Calibri" w:hAnsi="Calibri" w:cs="Calibri"/>
                <w:sz w:val="20"/>
                <w:szCs w:val="20"/>
                <w:vertAlign w:val="subscript"/>
              </w:rPr>
              <w:t>2</w:t>
            </w:r>
            <w:r w:rsidRPr="00D21862">
              <w:rPr>
                <w:rFonts w:ascii="Calibri" w:hAnsi="Calibri" w:cs="Calibri"/>
                <w:sz w:val="20"/>
                <w:szCs w:val="20"/>
              </w:rPr>
              <w:t>/rok</w:t>
            </w:r>
          </w:p>
        </w:tc>
      </w:tr>
      <w:tr w:rsidR="003A4399" w:rsidRPr="00D21862" w14:paraId="3FC3D062" w14:textId="77777777" w:rsidTr="001B6268">
        <w:trPr>
          <w:trHeight w:val="270"/>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465B5873" w14:textId="77777777" w:rsidR="003A4399" w:rsidRPr="00986571" w:rsidRDefault="003A4399" w:rsidP="001B6268">
            <w:pPr>
              <w:rPr>
                <w:rFonts w:cstheme="minorHAnsi"/>
                <w:sz w:val="20"/>
                <w:szCs w:val="20"/>
              </w:rPr>
            </w:pPr>
            <w:r w:rsidRPr="00986571">
              <w:rPr>
                <w:rFonts w:cstheme="minorHAnsi"/>
                <w:sz w:val="20"/>
                <w:szCs w:val="20"/>
              </w:rPr>
              <w:t>Závazek příjemců</w:t>
            </w:r>
          </w:p>
        </w:tc>
        <w:tc>
          <w:tcPr>
            <w:tcW w:w="3335" w:type="pct"/>
            <w:shd w:val="clear" w:color="auto" w:fill="auto"/>
          </w:tcPr>
          <w:p w14:paraId="395CFF88"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0 tun ekvivalentu CO</w:t>
            </w:r>
            <w:r w:rsidRPr="003666EA">
              <w:rPr>
                <w:rFonts w:ascii="Calibri" w:hAnsi="Calibri" w:cs="Calibri"/>
                <w:sz w:val="20"/>
                <w:szCs w:val="20"/>
                <w:vertAlign w:val="subscript"/>
              </w:rPr>
              <w:t>2</w:t>
            </w:r>
            <w:r w:rsidRPr="00D21862">
              <w:rPr>
                <w:rFonts w:ascii="Calibri" w:hAnsi="Calibri" w:cs="Calibri"/>
                <w:sz w:val="20"/>
                <w:szCs w:val="20"/>
              </w:rPr>
              <w:t>/rok</w:t>
            </w:r>
          </w:p>
        </w:tc>
      </w:tr>
      <w:tr w:rsidR="003A4399" w:rsidRPr="00D21862" w14:paraId="5A68D551" w14:textId="77777777" w:rsidTr="001B6268">
        <w:trPr>
          <w:trHeight w:val="287"/>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561E207C" w14:textId="77777777" w:rsidR="003A4399" w:rsidRPr="00986571" w:rsidRDefault="003A4399" w:rsidP="001B6268">
            <w:pPr>
              <w:rPr>
                <w:rFonts w:cstheme="minorHAnsi"/>
                <w:sz w:val="20"/>
                <w:szCs w:val="20"/>
              </w:rPr>
            </w:pPr>
            <w:r w:rsidRPr="00986571">
              <w:rPr>
                <w:rFonts w:cstheme="minorHAnsi"/>
                <w:sz w:val="20"/>
                <w:szCs w:val="20"/>
              </w:rPr>
              <w:t>Míra plnění cílové hodnoty (v %):</w:t>
            </w:r>
          </w:p>
        </w:tc>
        <w:tc>
          <w:tcPr>
            <w:tcW w:w="3335" w:type="pct"/>
            <w:shd w:val="clear" w:color="auto" w:fill="auto"/>
          </w:tcPr>
          <w:p w14:paraId="5CD10991"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3A4399" w:rsidRPr="00D21862" w14:paraId="43430FD3" w14:textId="77777777" w:rsidTr="001B6268">
        <w:trPr>
          <w:trHeight w:val="264"/>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02CC75DF" w14:textId="77777777" w:rsidR="003A4399" w:rsidRPr="00986571" w:rsidRDefault="003A4399" w:rsidP="001B6268">
            <w:pPr>
              <w:ind w:left="171" w:hanging="171"/>
              <w:rPr>
                <w:rFonts w:cstheme="minorHAnsi"/>
                <w:sz w:val="20"/>
                <w:szCs w:val="20"/>
              </w:rPr>
            </w:pPr>
            <w:r w:rsidRPr="00986571">
              <w:rPr>
                <w:rFonts w:cstheme="minorHAnsi"/>
                <w:sz w:val="20"/>
                <w:szCs w:val="20"/>
              </w:rPr>
              <w:t>Dosažená hodnota</w:t>
            </w:r>
          </w:p>
        </w:tc>
        <w:tc>
          <w:tcPr>
            <w:tcW w:w="3335" w:type="pct"/>
            <w:shd w:val="clear" w:color="auto" w:fill="auto"/>
          </w:tcPr>
          <w:p w14:paraId="78D29FA2"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tr w:rsidR="003A4399" w:rsidRPr="00D21862" w14:paraId="228CE3F6" w14:textId="77777777" w:rsidTr="001B6268">
        <w:trPr>
          <w:trHeight w:val="281"/>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7EC2F9E0" w14:textId="77777777" w:rsidR="003A4399" w:rsidRPr="00986571" w:rsidRDefault="003A4399" w:rsidP="001B6268">
            <w:pPr>
              <w:ind w:left="171" w:hanging="171"/>
              <w:rPr>
                <w:rFonts w:cstheme="minorHAnsi"/>
                <w:sz w:val="20"/>
                <w:szCs w:val="20"/>
              </w:rPr>
            </w:pPr>
            <w:r w:rsidRPr="00986571">
              <w:rPr>
                <w:rFonts w:cstheme="minorHAnsi"/>
                <w:sz w:val="20"/>
                <w:szCs w:val="20"/>
              </w:rPr>
              <w:t>Závazek příjemců</w:t>
            </w:r>
          </w:p>
        </w:tc>
        <w:tc>
          <w:tcPr>
            <w:tcW w:w="3335" w:type="pct"/>
            <w:shd w:val="clear" w:color="auto" w:fill="auto"/>
          </w:tcPr>
          <w:p w14:paraId="18F8F99E"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tr w:rsidR="003A4399" w:rsidRPr="00D21862" w14:paraId="3DAF4F18" w14:textId="77777777" w:rsidTr="001B6268">
        <w:trPr>
          <w:trHeight w:val="272"/>
        </w:trPr>
        <w:tc>
          <w:tcPr>
            <w:cnfStyle w:val="001000000000" w:firstRow="0" w:lastRow="0" w:firstColumn="1" w:lastColumn="0" w:oddVBand="0" w:evenVBand="0" w:oddHBand="0" w:evenHBand="0" w:firstRowFirstColumn="0" w:firstRowLastColumn="0" w:lastRowFirstColumn="0" w:lastRowLastColumn="0"/>
            <w:tcW w:w="1665" w:type="pct"/>
            <w:shd w:val="clear" w:color="auto" w:fill="002060"/>
          </w:tcPr>
          <w:p w14:paraId="12122BBD" w14:textId="77777777" w:rsidR="003A4399" w:rsidRPr="00986571" w:rsidRDefault="003A4399" w:rsidP="001B6268">
            <w:pPr>
              <w:rPr>
                <w:rFonts w:cstheme="minorHAnsi"/>
                <w:sz w:val="20"/>
                <w:szCs w:val="20"/>
              </w:rPr>
            </w:pPr>
            <w:r w:rsidRPr="00986571">
              <w:rPr>
                <w:rFonts w:cstheme="minorHAnsi"/>
                <w:sz w:val="20"/>
                <w:szCs w:val="20"/>
              </w:rPr>
              <w:t>Vyhodnocení věcného pokroku</w:t>
            </w:r>
          </w:p>
        </w:tc>
        <w:tc>
          <w:tcPr>
            <w:tcW w:w="3335" w:type="pct"/>
            <w:shd w:val="clear" w:color="auto" w:fill="auto"/>
          </w:tcPr>
          <w:p w14:paraId="5E249D31" w14:textId="77777777" w:rsidR="003A4399" w:rsidRPr="00D21862" w:rsidRDefault="003A4399" w:rsidP="001B6268">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21862">
              <w:rPr>
                <w:rFonts w:ascii="Calibri" w:hAnsi="Calibri" w:cs="Calibri"/>
                <w:sz w:val="20"/>
                <w:szCs w:val="20"/>
              </w:rPr>
              <w:t>rizikový</w:t>
            </w:r>
          </w:p>
        </w:tc>
      </w:tr>
    </w:tbl>
    <w:p w14:paraId="097A33F3" w14:textId="77777777" w:rsidR="003A4399" w:rsidRDefault="003A4399" w:rsidP="003A4399">
      <w:pPr>
        <w:spacing w:after="0"/>
      </w:pPr>
    </w:p>
    <w:p w14:paraId="3A8F1240" w14:textId="55123DBC" w:rsidR="007106B1" w:rsidRDefault="007106B1" w:rsidP="005B5FB4">
      <w:pPr>
        <w:spacing w:after="0"/>
      </w:pPr>
      <w:r>
        <w:t xml:space="preserve">V důsledku pomalého nabíhání výzev </w:t>
      </w:r>
      <w:r w:rsidR="00D550EC">
        <w:t>v</w:t>
      </w:r>
      <w:r>
        <w:t xml:space="preserve"> PP OZE, nízkého zájmu žadatelů o čerpání dotací i malému počtu realizovaných projektů nebyla do konce roku 2018 </w:t>
      </w:r>
      <w:r w:rsidR="001726E1">
        <w:t xml:space="preserve">v rámci tohoto indikátoru vykázána jediná hodnota. Ačkoliv není zjistitelné, do jaké míry realizované projekty indikátor naplní, lze již nyní konstatovat, že dosažení cílové hodnoty indikátoru není pravděpodobné. </w:t>
      </w:r>
    </w:p>
    <w:p w14:paraId="10512665" w14:textId="77777777" w:rsidR="005B5FB4" w:rsidRDefault="005B5FB4" w:rsidP="005B5FB4">
      <w:pPr>
        <w:spacing w:after="0"/>
      </w:pPr>
    </w:p>
    <w:p w14:paraId="37B1926D" w14:textId="421BE2D5" w:rsidR="00FB2B68" w:rsidRDefault="001726E1" w:rsidP="005B5FB4">
      <w:pPr>
        <w:spacing w:after="0"/>
      </w:pPr>
      <w:r>
        <w:t xml:space="preserve">Z níže uvedené tabulky, která uvádí počet projektů dle typu podporovaných aktivit a stavu projektu, je </w:t>
      </w:r>
      <w:r w:rsidR="003666EA">
        <w:t xml:space="preserve">totiž </w:t>
      </w:r>
      <w:r>
        <w:t xml:space="preserve">zřejmé, že počet realizovaných projektů nebude výrazně narůstat, tj. nelze předpokládat ani výraznou změnu v dosažené hodnotě indikátoru. </w:t>
      </w:r>
      <w:r w:rsidR="00CC6927">
        <w:t>V rámci diskuse s experty, která proběhla na fokusní skupině</w:t>
      </w:r>
      <w:r w:rsidR="00340829">
        <w:rPr>
          <w:rStyle w:val="Znakapoznpodarou"/>
        </w:rPr>
        <w:footnoteReference w:id="9"/>
      </w:r>
      <w:r w:rsidR="00CC6927">
        <w:t xml:space="preserve">, bylo konstatováno, že faktorem, který by mohl zvrátit dosavadní neuspokojivý vývoj plnění indikátoru, je rozšíření podporovaných aktivit. K němu by mělo dojít v připravované V. výzvě PP OZE, v níž mají být mimo doposud podporovaných aktivit podporovány i větrné elektrárny, elektrická a plynová čerpadla a solárně termické systémy. </w:t>
      </w:r>
    </w:p>
    <w:p w14:paraId="2A06484B" w14:textId="77777777" w:rsidR="005B5FB4" w:rsidRDefault="005B5FB4" w:rsidP="005B5FB4">
      <w:pPr>
        <w:spacing w:after="0"/>
      </w:pPr>
    </w:p>
    <w:p w14:paraId="176F112B" w14:textId="41E9219A" w:rsidR="003666EA" w:rsidRDefault="003666EA" w:rsidP="003666EA">
      <w:pPr>
        <w:pStyle w:val="Titulek"/>
      </w:pPr>
      <w:bookmarkStart w:id="64" w:name="_Toc10730023"/>
      <w:r w:rsidRPr="00986571">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4</w:t>
      </w:r>
      <w:r w:rsidR="00BD754F">
        <w:rPr>
          <w:noProof/>
        </w:rPr>
        <w:fldChar w:fldCharType="end"/>
      </w:r>
      <w:r w:rsidRPr="00986571">
        <w:t xml:space="preserve">: </w:t>
      </w:r>
      <w:r w:rsidR="00C94AED" w:rsidRPr="00986571">
        <w:t>Počet projektů v PP OZE dle jejich stavu (k 31. 12. 2018) a typu podporované aktivity</w:t>
      </w:r>
      <w:bookmarkEnd w:id="64"/>
    </w:p>
    <w:tbl>
      <w:tblPr>
        <w:tblStyle w:val="Mkatabulky"/>
        <w:tblW w:w="495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59"/>
        <w:gridCol w:w="1106"/>
        <w:gridCol w:w="1215"/>
        <w:gridCol w:w="1053"/>
        <w:gridCol w:w="903"/>
      </w:tblGrid>
      <w:tr w:rsidR="005E1685" w:rsidRPr="00986571" w14:paraId="718F4EBA" w14:textId="77777777" w:rsidTr="009F01A8">
        <w:trPr>
          <w:trHeight w:val="300"/>
        </w:trPr>
        <w:tc>
          <w:tcPr>
            <w:tcW w:w="2684" w:type="pct"/>
            <w:shd w:val="clear" w:color="auto" w:fill="002060"/>
            <w:noWrap/>
            <w:hideMark/>
          </w:tcPr>
          <w:p w14:paraId="6F1E21BA" w14:textId="77777777" w:rsidR="00FB2B68" w:rsidRPr="00986571" w:rsidRDefault="00FB2B68" w:rsidP="00FB2B68">
            <w:pPr>
              <w:rPr>
                <w:rFonts w:ascii="Calibri" w:hAnsi="Calibri" w:cs="Calibri"/>
                <w:b/>
                <w:sz w:val="20"/>
              </w:rPr>
            </w:pPr>
          </w:p>
        </w:tc>
        <w:tc>
          <w:tcPr>
            <w:tcW w:w="599" w:type="pct"/>
            <w:shd w:val="clear" w:color="auto" w:fill="002060"/>
            <w:noWrap/>
            <w:hideMark/>
          </w:tcPr>
          <w:p w14:paraId="7200D833" w14:textId="77777777" w:rsidR="00FB2B68" w:rsidRPr="00986571" w:rsidRDefault="00FB2B68" w:rsidP="00FB2B68">
            <w:pPr>
              <w:rPr>
                <w:rFonts w:ascii="Calibri" w:hAnsi="Calibri" w:cs="Calibri"/>
                <w:b/>
                <w:sz w:val="20"/>
              </w:rPr>
            </w:pPr>
            <w:r w:rsidRPr="00986571">
              <w:rPr>
                <w:rFonts w:ascii="Calibri" w:hAnsi="Calibri" w:cs="Calibri"/>
                <w:b/>
                <w:sz w:val="20"/>
              </w:rPr>
              <w:t>Ukončené</w:t>
            </w:r>
          </w:p>
        </w:tc>
        <w:tc>
          <w:tcPr>
            <w:tcW w:w="658" w:type="pct"/>
            <w:shd w:val="clear" w:color="auto" w:fill="002060"/>
            <w:noWrap/>
            <w:hideMark/>
          </w:tcPr>
          <w:p w14:paraId="2573117E" w14:textId="77777777" w:rsidR="00FB2B68" w:rsidRPr="00986571" w:rsidRDefault="00FB2B68" w:rsidP="00FB2B68">
            <w:pPr>
              <w:rPr>
                <w:rFonts w:ascii="Calibri" w:hAnsi="Calibri" w:cs="Calibri"/>
                <w:b/>
                <w:sz w:val="20"/>
              </w:rPr>
            </w:pPr>
            <w:r w:rsidRPr="00986571">
              <w:rPr>
                <w:rFonts w:ascii="Calibri" w:hAnsi="Calibri" w:cs="Calibri"/>
                <w:b/>
                <w:sz w:val="20"/>
              </w:rPr>
              <w:t>Realizované</w:t>
            </w:r>
          </w:p>
        </w:tc>
        <w:tc>
          <w:tcPr>
            <w:tcW w:w="570" w:type="pct"/>
            <w:shd w:val="clear" w:color="auto" w:fill="002060"/>
            <w:noWrap/>
            <w:hideMark/>
          </w:tcPr>
          <w:p w14:paraId="4A72D714" w14:textId="77777777" w:rsidR="00FB2B68" w:rsidRPr="00986571" w:rsidRDefault="00FB2B68" w:rsidP="00FB2B68">
            <w:pPr>
              <w:rPr>
                <w:rFonts w:ascii="Calibri" w:hAnsi="Calibri" w:cs="Calibri"/>
                <w:b/>
                <w:sz w:val="20"/>
              </w:rPr>
            </w:pPr>
            <w:r w:rsidRPr="00986571">
              <w:rPr>
                <w:rFonts w:ascii="Calibri" w:hAnsi="Calibri" w:cs="Calibri"/>
                <w:b/>
                <w:sz w:val="20"/>
              </w:rPr>
              <w:t>Schválené</w:t>
            </w:r>
          </w:p>
        </w:tc>
        <w:tc>
          <w:tcPr>
            <w:tcW w:w="490" w:type="pct"/>
            <w:shd w:val="clear" w:color="auto" w:fill="002060"/>
            <w:noWrap/>
            <w:hideMark/>
          </w:tcPr>
          <w:p w14:paraId="32B1FEF8" w14:textId="77777777" w:rsidR="00FB2B68" w:rsidRPr="00986571" w:rsidRDefault="00FB2B68" w:rsidP="00FB2B68">
            <w:pPr>
              <w:rPr>
                <w:rFonts w:ascii="Calibri" w:hAnsi="Calibri" w:cs="Calibri"/>
                <w:b/>
                <w:sz w:val="20"/>
              </w:rPr>
            </w:pPr>
            <w:r w:rsidRPr="00986571">
              <w:rPr>
                <w:rFonts w:ascii="Calibri" w:hAnsi="Calibri" w:cs="Calibri"/>
                <w:b/>
                <w:sz w:val="20"/>
              </w:rPr>
              <w:t>Podané</w:t>
            </w:r>
          </w:p>
        </w:tc>
      </w:tr>
      <w:tr w:rsidR="005E1685" w:rsidRPr="005E380D" w14:paraId="51415A57" w14:textId="77777777" w:rsidTr="009F01A8">
        <w:trPr>
          <w:trHeight w:val="300"/>
        </w:trPr>
        <w:tc>
          <w:tcPr>
            <w:tcW w:w="2684" w:type="pct"/>
            <w:shd w:val="clear" w:color="auto" w:fill="002060"/>
            <w:noWrap/>
            <w:hideMark/>
          </w:tcPr>
          <w:p w14:paraId="21CC1F39" w14:textId="37A14443" w:rsidR="00FB2B68" w:rsidRPr="00294948" w:rsidRDefault="00FB2B68" w:rsidP="001726E1">
            <w:pPr>
              <w:rPr>
                <w:rFonts w:ascii="Calibri" w:hAnsi="Calibri" w:cs="Calibri"/>
                <w:sz w:val="20"/>
              </w:rPr>
            </w:pPr>
            <w:r w:rsidRPr="00294948">
              <w:rPr>
                <w:rFonts w:ascii="Calibri" w:hAnsi="Calibri" w:cs="Calibri"/>
                <w:sz w:val="20"/>
              </w:rPr>
              <w:t>a) vyvedení tepla a bioplynu ze stávajících výroben elektřiny - bioplynových stanic</w:t>
            </w:r>
          </w:p>
        </w:tc>
        <w:tc>
          <w:tcPr>
            <w:tcW w:w="599" w:type="pct"/>
            <w:noWrap/>
            <w:vAlign w:val="center"/>
            <w:hideMark/>
          </w:tcPr>
          <w:p w14:paraId="2ED68588" w14:textId="77777777" w:rsidR="00FB2B68" w:rsidRPr="005E380D" w:rsidRDefault="00FB2B68" w:rsidP="00986571">
            <w:pPr>
              <w:jc w:val="right"/>
              <w:rPr>
                <w:rFonts w:ascii="Calibri" w:hAnsi="Calibri" w:cs="Calibri"/>
                <w:sz w:val="20"/>
              </w:rPr>
            </w:pPr>
            <w:r w:rsidRPr="005E380D">
              <w:rPr>
                <w:rFonts w:ascii="Calibri" w:hAnsi="Calibri" w:cs="Calibri"/>
                <w:sz w:val="20"/>
              </w:rPr>
              <w:t>4</w:t>
            </w:r>
          </w:p>
        </w:tc>
        <w:tc>
          <w:tcPr>
            <w:tcW w:w="658" w:type="pct"/>
            <w:noWrap/>
            <w:vAlign w:val="center"/>
            <w:hideMark/>
          </w:tcPr>
          <w:p w14:paraId="76CD723E" w14:textId="77777777" w:rsidR="00FB2B68" w:rsidRPr="005E380D" w:rsidRDefault="00FB2B68" w:rsidP="00986571">
            <w:pPr>
              <w:jc w:val="right"/>
              <w:rPr>
                <w:rFonts w:ascii="Calibri" w:hAnsi="Calibri" w:cs="Calibri"/>
                <w:sz w:val="20"/>
              </w:rPr>
            </w:pPr>
            <w:r w:rsidRPr="005E380D">
              <w:rPr>
                <w:rFonts w:ascii="Calibri" w:hAnsi="Calibri" w:cs="Calibri"/>
                <w:sz w:val="20"/>
              </w:rPr>
              <w:t>3</w:t>
            </w:r>
          </w:p>
        </w:tc>
        <w:tc>
          <w:tcPr>
            <w:tcW w:w="570" w:type="pct"/>
            <w:noWrap/>
            <w:vAlign w:val="center"/>
            <w:hideMark/>
          </w:tcPr>
          <w:p w14:paraId="42A4AB6F" w14:textId="77777777" w:rsidR="00FB2B68" w:rsidRPr="005E380D" w:rsidRDefault="00FB2B68" w:rsidP="00986571">
            <w:pPr>
              <w:jc w:val="right"/>
              <w:rPr>
                <w:rFonts w:ascii="Calibri" w:hAnsi="Calibri" w:cs="Calibri"/>
                <w:sz w:val="20"/>
              </w:rPr>
            </w:pPr>
            <w:r w:rsidRPr="005E380D">
              <w:rPr>
                <w:rFonts w:ascii="Calibri" w:hAnsi="Calibri" w:cs="Calibri"/>
                <w:sz w:val="20"/>
              </w:rPr>
              <w:t>5</w:t>
            </w:r>
          </w:p>
        </w:tc>
        <w:tc>
          <w:tcPr>
            <w:tcW w:w="490" w:type="pct"/>
            <w:noWrap/>
            <w:vAlign w:val="center"/>
            <w:hideMark/>
          </w:tcPr>
          <w:p w14:paraId="4251A55B" w14:textId="77777777" w:rsidR="00FB2B68" w:rsidRPr="005E380D" w:rsidRDefault="00FB2B68" w:rsidP="00986571">
            <w:pPr>
              <w:jc w:val="right"/>
              <w:rPr>
                <w:rFonts w:ascii="Calibri" w:hAnsi="Calibri" w:cs="Calibri"/>
                <w:sz w:val="20"/>
              </w:rPr>
            </w:pPr>
            <w:r w:rsidRPr="005E380D">
              <w:rPr>
                <w:rFonts w:ascii="Calibri" w:hAnsi="Calibri" w:cs="Calibri"/>
                <w:sz w:val="20"/>
              </w:rPr>
              <w:t>13</w:t>
            </w:r>
          </w:p>
        </w:tc>
      </w:tr>
      <w:tr w:rsidR="005E1685" w:rsidRPr="005E380D" w14:paraId="171E2549" w14:textId="77777777" w:rsidTr="009F01A8">
        <w:trPr>
          <w:trHeight w:val="300"/>
        </w:trPr>
        <w:tc>
          <w:tcPr>
            <w:tcW w:w="2684" w:type="pct"/>
            <w:shd w:val="clear" w:color="auto" w:fill="002060"/>
            <w:noWrap/>
            <w:hideMark/>
          </w:tcPr>
          <w:p w14:paraId="5333A3FB" w14:textId="34729295" w:rsidR="00FB2B68" w:rsidRPr="00294948" w:rsidRDefault="00FB2B68" w:rsidP="001726E1">
            <w:pPr>
              <w:rPr>
                <w:rFonts w:ascii="Calibri" w:hAnsi="Calibri" w:cs="Calibri"/>
                <w:sz w:val="20"/>
              </w:rPr>
            </w:pPr>
            <w:r w:rsidRPr="00294948">
              <w:rPr>
                <w:rFonts w:ascii="Calibri" w:hAnsi="Calibri" w:cs="Calibri"/>
                <w:sz w:val="20"/>
              </w:rPr>
              <w:t>b) výstavba a rekonstrukc</w:t>
            </w:r>
            <w:r w:rsidR="009F01A8" w:rsidRPr="00294948">
              <w:rPr>
                <w:rFonts w:ascii="Calibri" w:hAnsi="Calibri" w:cs="Calibri"/>
                <w:sz w:val="20"/>
              </w:rPr>
              <w:t>e</w:t>
            </w:r>
            <w:r w:rsidRPr="00294948">
              <w:rPr>
                <w:rFonts w:ascii="Calibri" w:hAnsi="Calibri" w:cs="Calibri"/>
                <w:sz w:val="20"/>
              </w:rPr>
              <w:t xml:space="preserve"> zdrojů KVET z biomasy</w:t>
            </w:r>
          </w:p>
        </w:tc>
        <w:tc>
          <w:tcPr>
            <w:tcW w:w="599" w:type="pct"/>
            <w:noWrap/>
            <w:vAlign w:val="center"/>
            <w:hideMark/>
          </w:tcPr>
          <w:p w14:paraId="7F26AEFE" w14:textId="77777777" w:rsidR="00FB2B68" w:rsidRPr="005E380D" w:rsidRDefault="00FB2B68" w:rsidP="00986571">
            <w:pPr>
              <w:jc w:val="right"/>
              <w:rPr>
                <w:rFonts w:ascii="Calibri" w:hAnsi="Calibri" w:cs="Calibri"/>
                <w:sz w:val="20"/>
              </w:rPr>
            </w:pPr>
            <w:r w:rsidRPr="005E380D">
              <w:rPr>
                <w:rFonts w:ascii="Calibri" w:hAnsi="Calibri" w:cs="Calibri"/>
                <w:sz w:val="20"/>
              </w:rPr>
              <w:t>0</w:t>
            </w:r>
          </w:p>
        </w:tc>
        <w:tc>
          <w:tcPr>
            <w:tcW w:w="658" w:type="pct"/>
            <w:noWrap/>
            <w:vAlign w:val="center"/>
            <w:hideMark/>
          </w:tcPr>
          <w:p w14:paraId="0A144C2D" w14:textId="77777777" w:rsidR="00FB2B68" w:rsidRPr="005E380D" w:rsidRDefault="00FB2B68" w:rsidP="00986571">
            <w:pPr>
              <w:jc w:val="right"/>
              <w:rPr>
                <w:rFonts w:ascii="Calibri" w:hAnsi="Calibri" w:cs="Calibri"/>
                <w:sz w:val="20"/>
              </w:rPr>
            </w:pPr>
            <w:r w:rsidRPr="005E380D">
              <w:rPr>
                <w:rFonts w:ascii="Calibri" w:hAnsi="Calibri" w:cs="Calibri"/>
                <w:sz w:val="20"/>
              </w:rPr>
              <w:t>0</w:t>
            </w:r>
          </w:p>
        </w:tc>
        <w:tc>
          <w:tcPr>
            <w:tcW w:w="570" w:type="pct"/>
            <w:noWrap/>
            <w:vAlign w:val="center"/>
            <w:hideMark/>
          </w:tcPr>
          <w:p w14:paraId="47BAFE3D" w14:textId="77777777" w:rsidR="00FB2B68" w:rsidRPr="005E380D" w:rsidRDefault="00FB2B68" w:rsidP="00986571">
            <w:pPr>
              <w:jc w:val="right"/>
              <w:rPr>
                <w:rFonts w:ascii="Calibri" w:hAnsi="Calibri" w:cs="Calibri"/>
                <w:sz w:val="20"/>
              </w:rPr>
            </w:pPr>
            <w:r w:rsidRPr="005E380D">
              <w:rPr>
                <w:rFonts w:ascii="Calibri" w:hAnsi="Calibri" w:cs="Calibri"/>
                <w:sz w:val="20"/>
              </w:rPr>
              <w:t>0</w:t>
            </w:r>
          </w:p>
        </w:tc>
        <w:tc>
          <w:tcPr>
            <w:tcW w:w="490" w:type="pct"/>
            <w:noWrap/>
            <w:vAlign w:val="center"/>
            <w:hideMark/>
          </w:tcPr>
          <w:p w14:paraId="6BB84439" w14:textId="77777777" w:rsidR="00FB2B68" w:rsidRPr="005E380D" w:rsidRDefault="00FB2B68" w:rsidP="00986571">
            <w:pPr>
              <w:jc w:val="right"/>
              <w:rPr>
                <w:rFonts w:ascii="Calibri" w:hAnsi="Calibri" w:cs="Calibri"/>
                <w:sz w:val="20"/>
              </w:rPr>
            </w:pPr>
            <w:r w:rsidRPr="005E380D">
              <w:rPr>
                <w:rFonts w:ascii="Calibri" w:hAnsi="Calibri" w:cs="Calibri"/>
                <w:sz w:val="20"/>
              </w:rPr>
              <w:t>4</w:t>
            </w:r>
          </w:p>
        </w:tc>
      </w:tr>
      <w:tr w:rsidR="005E1685" w:rsidRPr="005E380D" w14:paraId="24E574F9" w14:textId="77777777" w:rsidTr="009F01A8">
        <w:trPr>
          <w:trHeight w:val="300"/>
        </w:trPr>
        <w:tc>
          <w:tcPr>
            <w:tcW w:w="2684" w:type="pct"/>
            <w:shd w:val="clear" w:color="auto" w:fill="002060"/>
            <w:noWrap/>
            <w:hideMark/>
          </w:tcPr>
          <w:p w14:paraId="7A892E9E" w14:textId="5EB415CD" w:rsidR="00FB2B68" w:rsidRPr="00294948" w:rsidRDefault="00FB2B68" w:rsidP="001726E1">
            <w:pPr>
              <w:rPr>
                <w:rFonts w:ascii="Calibri" w:hAnsi="Calibri" w:cs="Calibri"/>
                <w:sz w:val="20"/>
              </w:rPr>
            </w:pPr>
            <w:r w:rsidRPr="00294948">
              <w:rPr>
                <w:rFonts w:ascii="Calibri" w:hAnsi="Calibri" w:cs="Calibri"/>
                <w:sz w:val="20"/>
              </w:rPr>
              <w:t>c)</w:t>
            </w:r>
            <w:r w:rsidR="001726E1" w:rsidRPr="00294948">
              <w:rPr>
                <w:rFonts w:ascii="Calibri" w:hAnsi="Calibri" w:cs="Calibri"/>
                <w:sz w:val="20"/>
              </w:rPr>
              <w:t xml:space="preserve"> </w:t>
            </w:r>
            <w:r w:rsidRPr="00294948">
              <w:rPr>
                <w:rFonts w:ascii="Calibri" w:hAnsi="Calibri" w:cs="Calibri"/>
                <w:sz w:val="20"/>
              </w:rPr>
              <w:t>výstavba a rekonstrukc</w:t>
            </w:r>
            <w:r w:rsidR="009F01A8" w:rsidRPr="00294948">
              <w:rPr>
                <w:rFonts w:ascii="Calibri" w:hAnsi="Calibri" w:cs="Calibri"/>
                <w:sz w:val="20"/>
              </w:rPr>
              <w:t>e</w:t>
            </w:r>
            <w:r w:rsidRPr="00294948">
              <w:rPr>
                <w:rFonts w:ascii="Calibri" w:hAnsi="Calibri" w:cs="Calibri"/>
                <w:sz w:val="20"/>
              </w:rPr>
              <w:t xml:space="preserve"> zdrojů tepla z biomasy </w:t>
            </w:r>
          </w:p>
        </w:tc>
        <w:tc>
          <w:tcPr>
            <w:tcW w:w="599" w:type="pct"/>
            <w:noWrap/>
            <w:vAlign w:val="center"/>
            <w:hideMark/>
          </w:tcPr>
          <w:p w14:paraId="7BCE6013" w14:textId="77777777" w:rsidR="00FB2B68" w:rsidRPr="005E380D" w:rsidRDefault="00FB2B68" w:rsidP="00986571">
            <w:pPr>
              <w:jc w:val="right"/>
              <w:rPr>
                <w:rFonts w:ascii="Calibri" w:hAnsi="Calibri" w:cs="Calibri"/>
                <w:sz w:val="20"/>
              </w:rPr>
            </w:pPr>
            <w:r w:rsidRPr="005E380D">
              <w:rPr>
                <w:rFonts w:ascii="Calibri" w:hAnsi="Calibri" w:cs="Calibri"/>
                <w:sz w:val="20"/>
              </w:rPr>
              <w:t>2</w:t>
            </w:r>
          </w:p>
        </w:tc>
        <w:tc>
          <w:tcPr>
            <w:tcW w:w="658" w:type="pct"/>
            <w:noWrap/>
            <w:vAlign w:val="center"/>
            <w:hideMark/>
          </w:tcPr>
          <w:p w14:paraId="3748C2B2" w14:textId="77777777" w:rsidR="00FB2B68" w:rsidRPr="005E380D" w:rsidRDefault="00FB2B68" w:rsidP="00986571">
            <w:pPr>
              <w:jc w:val="right"/>
              <w:rPr>
                <w:rFonts w:ascii="Calibri" w:hAnsi="Calibri" w:cs="Calibri"/>
                <w:sz w:val="20"/>
              </w:rPr>
            </w:pPr>
            <w:r w:rsidRPr="005E380D">
              <w:rPr>
                <w:rFonts w:ascii="Calibri" w:hAnsi="Calibri" w:cs="Calibri"/>
                <w:sz w:val="20"/>
              </w:rPr>
              <w:t>4</w:t>
            </w:r>
          </w:p>
        </w:tc>
        <w:tc>
          <w:tcPr>
            <w:tcW w:w="570" w:type="pct"/>
            <w:noWrap/>
            <w:vAlign w:val="center"/>
            <w:hideMark/>
          </w:tcPr>
          <w:p w14:paraId="7D620200" w14:textId="77777777" w:rsidR="00FB2B68" w:rsidRPr="005E380D" w:rsidRDefault="00FB2B68" w:rsidP="00986571">
            <w:pPr>
              <w:jc w:val="right"/>
              <w:rPr>
                <w:rFonts w:ascii="Calibri" w:hAnsi="Calibri" w:cs="Calibri"/>
                <w:sz w:val="20"/>
              </w:rPr>
            </w:pPr>
            <w:r w:rsidRPr="005E380D">
              <w:rPr>
                <w:rFonts w:ascii="Calibri" w:hAnsi="Calibri" w:cs="Calibri"/>
                <w:sz w:val="20"/>
              </w:rPr>
              <w:t>11</w:t>
            </w:r>
          </w:p>
        </w:tc>
        <w:tc>
          <w:tcPr>
            <w:tcW w:w="490" w:type="pct"/>
            <w:noWrap/>
            <w:vAlign w:val="center"/>
            <w:hideMark/>
          </w:tcPr>
          <w:p w14:paraId="33F3A3F3" w14:textId="77777777" w:rsidR="00FB2B68" w:rsidRPr="005E380D" w:rsidRDefault="00FB2B68" w:rsidP="00986571">
            <w:pPr>
              <w:jc w:val="right"/>
              <w:rPr>
                <w:rFonts w:ascii="Calibri" w:hAnsi="Calibri" w:cs="Calibri"/>
                <w:sz w:val="20"/>
              </w:rPr>
            </w:pPr>
            <w:r w:rsidRPr="005E380D">
              <w:rPr>
                <w:rFonts w:ascii="Calibri" w:hAnsi="Calibri" w:cs="Calibri"/>
                <w:sz w:val="20"/>
              </w:rPr>
              <w:t>19</w:t>
            </w:r>
          </w:p>
        </w:tc>
      </w:tr>
      <w:tr w:rsidR="005E1685" w:rsidRPr="005E380D" w14:paraId="2C34E183" w14:textId="77777777" w:rsidTr="009F01A8">
        <w:trPr>
          <w:trHeight w:val="300"/>
        </w:trPr>
        <w:tc>
          <w:tcPr>
            <w:tcW w:w="2684" w:type="pct"/>
            <w:shd w:val="clear" w:color="auto" w:fill="002060"/>
            <w:noWrap/>
            <w:hideMark/>
          </w:tcPr>
          <w:p w14:paraId="11C54A2E" w14:textId="12E93BCE" w:rsidR="00FB2B68" w:rsidRPr="00294948" w:rsidRDefault="00FB2B68" w:rsidP="001726E1">
            <w:pPr>
              <w:rPr>
                <w:rFonts w:ascii="Calibri" w:hAnsi="Calibri" w:cs="Calibri"/>
                <w:sz w:val="20"/>
              </w:rPr>
            </w:pPr>
            <w:r w:rsidRPr="00294948">
              <w:rPr>
                <w:rFonts w:ascii="Calibri" w:hAnsi="Calibri" w:cs="Calibri"/>
                <w:sz w:val="20"/>
              </w:rPr>
              <w:t>d) výstavba a rekonstrukce a modernizace malých vodních elektráren (do 10 MWe instalovaného výkonu)</w:t>
            </w:r>
          </w:p>
        </w:tc>
        <w:tc>
          <w:tcPr>
            <w:tcW w:w="599" w:type="pct"/>
            <w:noWrap/>
            <w:vAlign w:val="center"/>
            <w:hideMark/>
          </w:tcPr>
          <w:p w14:paraId="58BB7265" w14:textId="77777777" w:rsidR="00FB2B68" w:rsidRPr="005E380D" w:rsidRDefault="00FB2B68" w:rsidP="00986571">
            <w:pPr>
              <w:jc w:val="right"/>
              <w:rPr>
                <w:rFonts w:ascii="Calibri" w:hAnsi="Calibri" w:cs="Calibri"/>
                <w:sz w:val="20"/>
              </w:rPr>
            </w:pPr>
            <w:r w:rsidRPr="005E380D">
              <w:rPr>
                <w:rFonts w:ascii="Calibri" w:hAnsi="Calibri" w:cs="Calibri"/>
                <w:sz w:val="20"/>
              </w:rPr>
              <w:t>0</w:t>
            </w:r>
          </w:p>
        </w:tc>
        <w:tc>
          <w:tcPr>
            <w:tcW w:w="658" w:type="pct"/>
            <w:noWrap/>
            <w:vAlign w:val="center"/>
            <w:hideMark/>
          </w:tcPr>
          <w:p w14:paraId="2A206290" w14:textId="77777777" w:rsidR="00FB2B68" w:rsidRPr="005E380D" w:rsidRDefault="00FB2B68" w:rsidP="00986571">
            <w:pPr>
              <w:jc w:val="right"/>
              <w:rPr>
                <w:rFonts w:ascii="Calibri" w:hAnsi="Calibri" w:cs="Calibri"/>
                <w:sz w:val="20"/>
              </w:rPr>
            </w:pPr>
            <w:r w:rsidRPr="005E380D">
              <w:rPr>
                <w:rFonts w:ascii="Calibri" w:hAnsi="Calibri" w:cs="Calibri"/>
                <w:sz w:val="20"/>
              </w:rPr>
              <w:t>0</w:t>
            </w:r>
          </w:p>
        </w:tc>
        <w:tc>
          <w:tcPr>
            <w:tcW w:w="570" w:type="pct"/>
            <w:noWrap/>
            <w:vAlign w:val="center"/>
            <w:hideMark/>
          </w:tcPr>
          <w:p w14:paraId="3771E7EF" w14:textId="77777777" w:rsidR="00FB2B68" w:rsidRPr="005E380D" w:rsidRDefault="00FB2B68" w:rsidP="00986571">
            <w:pPr>
              <w:jc w:val="right"/>
              <w:rPr>
                <w:rFonts w:ascii="Calibri" w:hAnsi="Calibri" w:cs="Calibri"/>
                <w:sz w:val="20"/>
              </w:rPr>
            </w:pPr>
            <w:r w:rsidRPr="005E380D">
              <w:rPr>
                <w:rFonts w:ascii="Calibri" w:hAnsi="Calibri" w:cs="Calibri"/>
                <w:sz w:val="20"/>
              </w:rPr>
              <w:t>2</w:t>
            </w:r>
          </w:p>
        </w:tc>
        <w:tc>
          <w:tcPr>
            <w:tcW w:w="490" w:type="pct"/>
            <w:noWrap/>
            <w:vAlign w:val="center"/>
            <w:hideMark/>
          </w:tcPr>
          <w:p w14:paraId="27DB8974" w14:textId="77777777" w:rsidR="00FB2B68" w:rsidRPr="005E380D" w:rsidRDefault="00FB2B68" w:rsidP="00986571">
            <w:pPr>
              <w:jc w:val="right"/>
              <w:rPr>
                <w:rFonts w:ascii="Calibri" w:hAnsi="Calibri" w:cs="Calibri"/>
                <w:sz w:val="20"/>
              </w:rPr>
            </w:pPr>
            <w:r w:rsidRPr="005E380D">
              <w:rPr>
                <w:rFonts w:ascii="Calibri" w:hAnsi="Calibri" w:cs="Calibri"/>
                <w:sz w:val="20"/>
              </w:rPr>
              <w:t>3</w:t>
            </w:r>
          </w:p>
        </w:tc>
      </w:tr>
    </w:tbl>
    <w:p w14:paraId="02EA4A1C" w14:textId="77777777" w:rsidR="003666EA" w:rsidRDefault="003666EA" w:rsidP="003666EA">
      <w:pPr>
        <w:spacing w:after="0"/>
      </w:pPr>
    </w:p>
    <w:p w14:paraId="5351434A" w14:textId="20E91AFA" w:rsidR="001C50E7" w:rsidRPr="009F01A8" w:rsidRDefault="00BA732B" w:rsidP="00BA732B">
      <w:pPr>
        <w:pStyle w:val="Nadpis3"/>
      </w:pPr>
      <w:bookmarkStart w:id="65" w:name="_Toc10729929"/>
      <w:r w:rsidRPr="009F01A8">
        <w:lastRenderedPageBreak/>
        <w:t>Rozvoj podnikatelských aktivit v dodavatelském řetězci od vývoje, výroby, přes instalaci zdroje energie až po výrobu energie</w:t>
      </w:r>
      <w:bookmarkEnd w:id="65"/>
    </w:p>
    <w:p w14:paraId="4F3216B6" w14:textId="77777777" w:rsidR="005B5FB4" w:rsidRDefault="00F81B03" w:rsidP="005B5FB4">
      <w:pPr>
        <w:spacing w:after="0"/>
        <w:rPr>
          <w:rFonts w:cstheme="minorHAnsi"/>
        </w:rPr>
      </w:pPr>
      <w:r>
        <w:t xml:space="preserve">Cílem této </w:t>
      </w:r>
      <w:r w:rsidR="00837C26">
        <w:t>pod</w:t>
      </w:r>
      <w:r>
        <w:t>otázky bylo zjistit, zda podpora v rámci PP OZE vede nejen k podpoře vybraných příjemců, ale zda dochází i k rozvoji dalších aktivit v dodav</w:t>
      </w:r>
      <w:r w:rsidR="00BB70D7">
        <w:t>a</w:t>
      </w:r>
      <w:r>
        <w:t xml:space="preserve">telském řetězci, tj. zda zvýšená poptávka po OZE </w:t>
      </w:r>
      <w:r w:rsidR="00837C26">
        <w:t xml:space="preserve">(díky realizaci projektů v PP OZE) </w:t>
      </w:r>
      <w:r>
        <w:t xml:space="preserve">má </w:t>
      </w:r>
      <w:r w:rsidRPr="00F81B03">
        <w:rPr>
          <w:rFonts w:cstheme="minorHAnsi"/>
        </w:rPr>
        <w:t xml:space="preserve">pozitivní dopad na dodavatele a subdodavatele </w:t>
      </w:r>
      <w:r w:rsidR="00837C26">
        <w:rPr>
          <w:rFonts w:cstheme="minorHAnsi"/>
        </w:rPr>
        <w:t>v podobě většího množství zakázek na ně směřovaných.</w:t>
      </w:r>
    </w:p>
    <w:p w14:paraId="6F8F4BC4" w14:textId="737E4BE2" w:rsidR="00D3770C" w:rsidRPr="00F81B03" w:rsidRDefault="00837C26" w:rsidP="005B5FB4">
      <w:pPr>
        <w:spacing w:after="0"/>
        <w:rPr>
          <w:rFonts w:cstheme="minorHAnsi"/>
        </w:rPr>
      </w:pPr>
      <w:r>
        <w:rPr>
          <w:rFonts w:cstheme="minorHAnsi"/>
        </w:rPr>
        <w:t xml:space="preserve"> </w:t>
      </w:r>
    </w:p>
    <w:p w14:paraId="1670DB44" w14:textId="41E3AA6A" w:rsidR="00986571" w:rsidRDefault="00F81B03" w:rsidP="005B5FB4">
      <w:pPr>
        <w:spacing w:after="0"/>
        <w:rPr>
          <w:rFonts w:cstheme="minorHAnsi"/>
        </w:rPr>
      </w:pPr>
      <w:r w:rsidRPr="00F81B03">
        <w:rPr>
          <w:rFonts w:cstheme="minorHAnsi"/>
        </w:rPr>
        <w:t xml:space="preserve">Vzhledem k nízkému počtu </w:t>
      </w:r>
      <w:r w:rsidR="00837C26">
        <w:rPr>
          <w:rFonts w:cstheme="minorHAnsi"/>
        </w:rPr>
        <w:t>podpořených projektů</w:t>
      </w:r>
      <w:r w:rsidR="00F304F8">
        <w:rPr>
          <w:rFonts w:cstheme="minorHAnsi"/>
        </w:rPr>
        <w:t>,</w:t>
      </w:r>
      <w:r w:rsidR="00837C26">
        <w:rPr>
          <w:rFonts w:cstheme="minorHAnsi"/>
        </w:rPr>
        <w:t xml:space="preserve"> a tedy minimální</w:t>
      </w:r>
      <w:r>
        <w:rPr>
          <w:rFonts w:cstheme="minorHAnsi"/>
        </w:rPr>
        <w:t xml:space="preserve"> poptávce po technologiích </w:t>
      </w:r>
      <w:r w:rsidR="00837C26">
        <w:rPr>
          <w:rFonts w:cstheme="minorHAnsi"/>
        </w:rPr>
        <w:t>OZE</w:t>
      </w:r>
      <w:r w:rsidR="00F304F8">
        <w:rPr>
          <w:rFonts w:cstheme="minorHAnsi"/>
        </w:rPr>
        <w:t>,</w:t>
      </w:r>
      <w:r w:rsidR="00837C26">
        <w:rPr>
          <w:rFonts w:cstheme="minorHAnsi"/>
        </w:rPr>
        <w:t xml:space="preserve"> </w:t>
      </w:r>
      <w:r>
        <w:rPr>
          <w:rFonts w:cstheme="minorHAnsi"/>
        </w:rPr>
        <w:t>nelze předpokládat</w:t>
      </w:r>
      <w:r w:rsidR="00837C26">
        <w:rPr>
          <w:rFonts w:cstheme="minorHAnsi"/>
        </w:rPr>
        <w:t xml:space="preserve">, že by </w:t>
      </w:r>
      <w:r>
        <w:rPr>
          <w:rFonts w:cstheme="minorHAnsi"/>
        </w:rPr>
        <w:t>sekundární podpo</w:t>
      </w:r>
      <w:r w:rsidR="00837C26">
        <w:rPr>
          <w:rFonts w:cstheme="minorHAnsi"/>
        </w:rPr>
        <w:t>ra</w:t>
      </w:r>
      <w:r>
        <w:rPr>
          <w:rFonts w:cstheme="minorHAnsi"/>
        </w:rPr>
        <w:t xml:space="preserve"> dodavatelů</w:t>
      </w:r>
      <w:r w:rsidR="00837C26">
        <w:rPr>
          <w:rFonts w:cstheme="minorHAnsi"/>
        </w:rPr>
        <w:t>,</w:t>
      </w:r>
      <w:r>
        <w:rPr>
          <w:rFonts w:cstheme="minorHAnsi"/>
        </w:rPr>
        <w:t xml:space="preserve"> projektantů a </w:t>
      </w:r>
      <w:r w:rsidR="00837C26">
        <w:rPr>
          <w:rFonts w:cstheme="minorHAnsi"/>
        </w:rPr>
        <w:t>vědeckovýzkumných</w:t>
      </w:r>
      <w:r>
        <w:rPr>
          <w:rFonts w:cstheme="minorHAnsi"/>
        </w:rPr>
        <w:t xml:space="preserve"> kapa</w:t>
      </w:r>
      <w:r w:rsidR="00BB70D7">
        <w:rPr>
          <w:rFonts w:cstheme="minorHAnsi"/>
        </w:rPr>
        <w:t>c</w:t>
      </w:r>
      <w:r>
        <w:rPr>
          <w:rFonts w:cstheme="minorHAnsi"/>
        </w:rPr>
        <w:t xml:space="preserve">it </w:t>
      </w:r>
      <w:r w:rsidR="00837C26">
        <w:rPr>
          <w:rFonts w:cstheme="minorHAnsi"/>
        </w:rPr>
        <w:t xml:space="preserve">díky realizaci projektů financovaných z PP OZE </w:t>
      </w:r>
      <w:r w:rsidR="00E024F2">
        <w:rPr>
          <w:rFonts w:cstheme="minorHAnsi"/>
        </w:rPr>
        <w:t xml:space="preserve">byla pro tyto subjekty </w:t>
      </w:r>
      <w:r w:rsidR="00846B35">
        <w:rPr>
          <w:rFonts w:cstheme="minorHAnsi"/>
        </w:rPr>
        <w:t>z hlediska jejich tržeb zásadní.</w:t>
      </w:r>
      <w:r w:rsidR="00E024F2">
        <w:rPr>
          <w:rFonts w:cstheme="minorHAnsi"/>
        </w:rPr>
        <w:t xml:space="preserve"> Níže uvedená tabulka ukazuje celkové způsobilé náklady projektů dle jejich stavu. Celková investice</w:t>
      </w:r>
      <w:r w:rsidR="00561BC8">
        <w:rPr>
          <w:rStyle w:val="Znakapoznpodarou"/>
          <w:rFonts w:cstheme="minorHAnsi"/>
        </w:rPr>
        <w:footnoteReference w:id="10"/>
      </w:r>
      <w:r w:rsidR="00E024F2">
        <w:rPr>
          <w:rFonts w:cstheme="minorHAnsi"/>
        </w:rPr>
        <w:t xml:space="preserve"> do sektoru OZE (k 31. 12. 2018) </w:t>
      </w:r>
      <w:r w:rsidR="00561BC8">
        <w:rPr>
          <w:rFonts w:cstheme="minorHAnsi"/>
        </w:rPr>
        <w:t>dosáhla</w:t>
      </w:r>
      <w:r w:rsidR="00E024F2">
        <w:rPr>
          <w:rFonts w:cstheme="minorHAnsi"/>
        </w:rPr>
        <w:t xml:space="preserve"> částky </w:t>
      </w:r>
      <w:r w:rsidR="003608E3">
        <w:rPr>
          <w:rFonts w:cstheme="minorHAnsi"/>
        </w:rPr>
        <w:t>213,</w:t>
      </w:r>
      <w:r w:rsidR="0047274C" w:rsidRPr="003608E3">
        <w:rPr>
          <w:rFonts w:cstheme="minorHAnsi"/>
        </w:rPr>
        <w:t>683</w:t>
      </w:r>
      <w:r w:rsidR="0047274C">
        <w:rPr>
          <w:rFonts w:cstheme="minorHAnsi"/>
        </w:rPr>
        <w:t xml:space="preserve"> mil. Kč. V rámci schválených projektů, které čekají na svou realizaci, jsou předpokládány investice ve výši 333,678 mil. Kč.</w:t>
      </w:r>
    </w:p>
    <w:p w14:paraId="7ED09E9B" w14:textId="77777777" w:rsidR="005B5FB4" w:rsidRDefault="005B5FB4" w:rsidP="005B5FB4">
      <w:pPr>
        <w:spacing w:after="0"/>
        <w:rPr>
          <w:i/>
          <w:iCs/>
          <w:color w:val="1F497D" w:themeColor="text2"/>
          <w:sz w:val="20"/>
          <w:szCs w:val="20"/>
          <w:highlight w:val="yellow"/>
        </w:rPr>
      </w:pPr>
    </w:p>
    <w:p w14:paraId="6A9254F2" w14:textId="08284F06" w:rsidR="00354F96" w:rsidRDefault="00354F96" w:rsidP="00354F96">
      <w:pPr>
        <w:pStyle w:val="Titulek"/>
      </w:pPr>
      <w:bookmarkStart w:id="66" w:name="_Toc10730024"/>
      <w:r w:rsidRPr="00986571">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5</w:t>
      </w:r>
      <w:r w:rsidR="00BD754F">
        <w:rPr>
          <w:noProof/>
        </w:rPr>
        <w:fldChar w:fldCharType="end"/>
      </w:r>
      <w:r w:rsidRPr="00986571">
        <w:t xml:space="preserve">: </w:t>
      </w:r>
      <w:r w:rsidR="00986571" w:rsidRPr="00986571">
        <w:t>Celkové způsobilé náklady projektů dle jejich stavu (k 31. 12. 2018)</w:t>
      </w:r>
      <w:bookmarkEnd w:id="66"/>
    </w:p>
    <w:tbl>
      <w:tblPr>
        <w:tblStyle w:val="Mkatabulky"/>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96"/>
        <w:gridCol w:w="2720"/>
      </w:tblGrid>
      <w:tr w:rsidR="0045616A" w:rsidRPr="00E024F2" w14:paraId="46FA82E9" w14:textId="73803679" w:rsidTr="00986571">
        <w:tc>
          <w:tcPr>
            <w:tcW w:w="3540" w:type="pct"/>
            <w:shd w:val="clear" w:color="auto" w:fill="002060"/>
          </w:tcPr>
          <w:p w14:paraId="45E41B86" w14:textId="5AD7159F" w:rsidR="0045616A" w:rsidRPr="00986571" w:rsidRDefault="0045616A" w:rsidP="00E024F2">
            <w:pPr>
              <w:rPr>
                <w:rFonts w:cstheme="minorHAnsi"/>
                <w:b/>
                <w:sz w:val="20"/>
              </w:rPr>
            </w:pPr>
            <w:r w:rsidRPr="00986571">
              <w:rPr>
                <w:rFonts w:cstheme="minorHAnsi"/>
                <w:b/>
                <w:sz w:val="20"/>
              </w:rPr>
              <w:t>Stav projektu</w:t>
            </w:r>
          </w:p>
        </w:tc>
        <w:tc>
          <w:tcPr>
            <w:tcW w:w="1460" w:type="pct"/>
            <w:shd w:val="clear" w:color="auto" w:fill="002060"/>
          </w:tcPr>
          <w:p w14:paraId="5B00C10A" w14:textId="40B55D91" w:rsidR="0045616A" w:rsidRPr="00986571" w:rsidRDefault="0045616A" w:rsidP="00E024F2">
            <w:pPr>
              <w:rPr>
                <w:rFonts w:cstheme="minorHAnsi"/>
                <w:b/>
                <w:sz w:val="20"/>
              </w:rPr>
            </w:pPr>
            <w:r w:rsidRPr="00986571">
              <w:rPr>
                <w:rFonts w:cstheme="minorHAnsi"/>
                <w:b/>
                <w:sz w:val="20"/>
              </w:rPr>
              <w:t>Celkové způsobilé náklady</w:t>
            </w:r>
          </w:p>
        </w:tc>
      </w:tr>
      <w:tr w:rsidR="0045616A" w:rsidRPr="00E024F2" w14:paraId="63D1BEF8" w14:textId="32843E45" w:rsidTr="00986571">
        <w:tc>
          <w:tcPr>
            <w:tcW w:w="3540" w:type="pct"/>
            <w:shd w:val="clear" w:color="auto" w:fill="auto"/>
          </w:tcPr>
          <w:p w14:paraId="42CEA91E" w14:textId="08B49F0F" w:rsidR="0045616A" w:rsidRPr="00986571" w:rsidRDefault="0045616A" w:rsidP="00E024F2">
            <w:pPr>
              <w:rPr>
                <w:rFonts w:cstheme="minorHAnsi"/>
                <w:sz w:val="20"/>
              </w:rPr>
            </w:pPr>
            <w:r w:rsidRPr="00986571">
              <w:rPr>
                <w:rFonts w:cstheme="minorHAnsi"/>
                <w:sz w:val="20"/>
              </w:rPr>
              <w:t xml:space="preserve">Finančně a/nebo fyzicky ukončené projekty </w:t>
            </w:r>
          </w:p>
        </w:tc>
        <w:tc>
          <w:tcPr>
            <w:tcW w:w="1460" w:type="pct"/>
          </w:tcPr>
          <w:p w14:paraId="21CA2A9E" w14:textId="7EAE6C92" w:rsidR="0045616A" w:rsidRPr="00E024F2" w:rsidRDefault="0045616A" w:rsidP="00E024F2">
            <w:pPr>
              <w:jc w:val="right"/>
              <w:rPr>
                <w:rFonts w:cstheme="minorHAnsi"/>
                <w:sz w:val="20"/>
              </w:rPr>
            </w:pPr>
            <w:r>
              <w:rPr>
                <w:rFonts w:cstheme="minorHAnsi"/>
                <w:sz w:val="20"/>
              </w:rPr>
              <w:t>81 148</w:t>
            </w:r>
            <w:r w:rsidR="00986571">
              <w:rPr>
                <w:rFonts w:cstheme="minorHAnsi"/>
                <w:sz w:val="20"/>
              </w:rPr>
              <w:t> </w:t>
            </w:r>
            <w:r>
              <w:rPr>
                <w:rFonts w:cstheme="minorHAnsi"/>
                <w:sz w:val="20"/>
              </w:rPr>
              <w:t>000</w:t>
            </w:r>
            <w:r w:rsidR="00986571">
              <w:rPr>
                <w:rFonts w:cstheme="minorHAnsi"/>
                <w:sz w:val="20"/>
              </w:rPr>
              <w:t xml:space="preserve"> Kč</w:t>
            </w:r>
          </w:p>
        </w:tc>
      </w:tr>
      <w:tr w:rsidR="0045616A" w:rsidRPr="00E024F2" w14:paraId="789DEE68" w14:textId="7125D626" w:rsidTr="00986571">
        <w:tc>
          <w:tcPr>
            <w:tcW w:w="3540" w:type="pct"/>
            <w:shd w:val="clear" w:color="auto" w:fill="auto"/>
          </w:tcPr>
          <w:p w14:paraId="00982C8E" w14:textId="75A1AF14" w:rsidR="0045616A" w:rsidRPr="00986571" w:rsidRDefault="0045616A" w:rsidP="00E024F2">
            <w:pPr>
              <w:rPr>
                <w:rFonts w:cstheme="minorHAnsi"/>
                <w:sz w:val="20"/>
              </w:rPr>
            </w:pPr>
            <w:r w:rsidRPr="00986571">
              <w:rPr>
                <w:rFonts w:cstheme="minorHAnsi"/>
                <w:sz w:val="20"/>
              </w:rPr>
              <w:t>Projekty ve fyzické realizaci</w:t>
            </w:r>
          </w:p>
        </w:tc>
        <w:tc>
          <w:tcPr>
            <w:tcW w:w="1460" w:type="pct"/>
          </w:tcPr>
          <w:p w14:paraId="23EDE604" w14:textId="15BF9DF9" w:rsidR="0045616A" w:rsidRPr="00E024F2" w:rsidRDefault="0045616A" w:rsidP="00E024F2">
            <w:pPr>
              <w:jc w:val="right"/>
              <w:rPr>
                <w:rFonts w:cstheme="minorHAnsi"/>
                <w:sz w:val="20"/>
              </w:rPr>
            </w:pPr>
            <w:r>
              <w:rPr>
                <w:rFonts w:cstheme="minorHAnsi"/>
                <w:sz w:val="20"/>
              </w:rPr>
              <w:t>132 535</w:t>
            </w:r>
            <w:r w:rsidR="00986571">
              <w:rPr>
                <w:rFonts w:cstheme="minorHAnsi"/>
                <w:sz w:val="20"/>
              </w:rPr>
              <w:t> </w:t>
            </w:r>
            <w:r>
              <w:rPr>
                <w:rFonts w:cstheme="minorHAnsi"/>
                <w:sz w:val="20"/>
              </w:rPr>
              <w:t>000</w:t>
            </w:r>
            <w:r w:rsidR="00986571">
              <w:rPr>
                <w:rFonts w:cstheme="minorHAnsi"/>
                <w:sz w:val="20"/>
              </w:rPr>
              <w:t xml:space="preserve"> Kč</w:t>
            </w:r>
          </w:p>
        </w:tc>
      </w:tr>
      <w:tr w:rsidR="0045616A" w:rsidRPr="00E024F2" w14:paraId="7C6488F0" w14:textId="25E5BAB0" w:rsidTr="00986571">
        <w:tc>
          <w:tcPr>
            <w:tcW w:w="3540" w:type="pct"/>
            <w:shd w:val="clear" w:color="auto" w:fill="auto"/>
          </w:tcPr>
          <w:p w14:paraId="5DD00C82" w14:textId="3E43782D" w:rsidR="0045616A" w:rsidRPr="00986571" w:rsidRDefault="0045616A" w:rsidP="00E024F2">
            <w:pPr>
              <w:rPr>
                <w:rFonts w:cstheme="minorHAnsi"/>
                <w:sz w:val="20"/>
              </w:rPr>
            </w:pPr>
            <w:r w:rsidRPr="00986571">
              <w:rPr>
                <w:rFonts w:cstheme="minorHAnsi"/>
                <w:sz w:val="20"/>
              </w:rPr>
              <w:t>Projekty schválené k realizaci, příp. schválené k realizaci s výhradou</w:t>
            </w:r>
          </w:p>
        </w:tc>
        <w:tc>
          <w:tcPr>
            <w:tcW w:w="1460" w:type="pct"/>
          </w:tcPr>
          <w:p w14:paraId="77F7E6F7" w14:textId="3D662FD0" w:rsidR="0045616A" w:rsidRPr="00E024F2" w:rsidRDefault="0045616A" w:rsidP="00E024F2">
            <w:pPr>
              <w:jc w:val="right"/>
              <w:rPr>
                <w:rFonts w:cstheme="minorHAnsi"/>
                <w:sz w:val="20"/>
              </w:rPr>
            </w:pPr>
            <w:r w:rsidRPr="00E024F2">
              <w:rPr>
                <w:rFonts w:cstheme="minorHAnsi"/>
                <w:sz w:val="20"/>
              </w:rPr>
              <w:t xml:space="preserve">333 678 000 Kč </w:t>
            </w:r>
          </w:p>
        </w:tc>
      </w:tr>
    </w:tbl>
    <w:p w14:paraId="204B0FC4" w14:textId="77777777" w:rsidR="00BB70D7" w:rsidRDefault="00BB70D7" w:rsidP="005B5FB4">
      <w:pPr>
        <w:spacing w:after="0"/>
        <w:rPr>
          <w:rFonts w:cstheme="minorHAnsi"/>
        </w:rPr>
      </w:pPr>
    </w:p>
    <w:p w14:paraId="64182309" w14:textId="77777777" w:rsidR="00846B35" w:rsidRDefault="00846B35" w:rsidP="00846B35">
      <w:pPr>
        <w:spacing w:after="0"/>
        <w:rPr>
          <w:rFonts w:cstheme="minorHAnsi"/>
        </w:rPr>
      </w:pPr>
      <w:r>
        <w:rPr>
          <w:rFonts w:cstheme="minorHAnsi"/>
        </w:rPr>
        <w:t>Z individuálních rozhovorů s příjemci dotace vyplynulo, že nové vazby na dodavatele díky realizaci projektů vznikají a jsou dlouhodobě udržovány především s dodavateli technologií OZE, kteří zajišťují i jejich servis. Dopad realizace projektů z PP OZE na rozvoj podnikatelských aktivit v dodavatelském řetězci tedy nespočívá pouze jednorázové investici do technologií, ale i v dalších, nižších investicích spojených s pozáručním servisem a údržbou.</w:t>
      </w:r>
    </w:p>
    <w:p w14:paraId="7C3569B5" w14:textId="77777777" w:rsidR="00846B35" w:rsidRDefault="00846B35" w:rsidP="005B5FB4">
      <w:pPr>
        <w:spacing w:after="0"/>
        <w:rPr>
          <w:rFonts w:cstheme="minorHAnsi"/>
        </w:rPr>
      </w:pPr>
    </w:p>
    <w:p w14:paraId="6AAD3AD9" w14:textId="3C3945BE" w:rsidR="00BB70D7" w:rsidRDefault="00DB2297" w:rsidP="005B5FB4">
      <w:pPr>
        <w:spacing w:after="0"/>
        <w:rPr>
          <w:rFonts w:cstheme="minorHAnsi"/>
        </w:rPr>
      </w:pPr>
      <w:r>
        <w:rPr>
          <w:rFonts w:cstheme="minorHAnsi"/>
        </w:rPr>
        <w:t>Výraznější</w:t>
      </w:r>
      <w:r w:rsidR="00354F96">
        <w:rPr>
          <w:rFonts w:cstheme="minorHAnsi"/>
        </w:rPr>
        <w:t xml:space="preserve"> vliv na rozvoj dodavatelského řetězce v oblasti OZE by mohla mít plánovaná V. výzva, v rámci níž budou rozšířeny podporované aktivity. Tato skutečnost by mohla způsobit vyšší zájem </w:t>
      </w:r>
      <w:r w:rsidR="00354F96" w:rsidRPr="00354F96">
        <w:t>o</w:t>
      </w:r>
      <w:r w:rsidR="00354F96">
        <w:t> </w:t>
      </w:r>
      <w:r w:rsidR="00354F96" w:rsidRPr="00354F96">
        <w:t>dotaci</w:t>
      </w:r>
      <w:r w:rsidR="00354F96">
        <w:t>,</w:t>
      </w:r>
      <w:r w:rsidR="00354F96">
        <w:rPr>
          <w:rFonts w:cstheme="minorHAnsi"/>
        </w:rPr>
        <w:t xml:space="preserve"> vyčerpání celé alokace výzvy (k čemuž v předchozích 4 výzvách nedošlo)</w:t>
      </w:r>
      <w:r w:rsidR="005B5FB4">
        <w:rPr>
          <w:rFonts w:cstheme="minorHAnsi"/>
        </w:rPr>
        <w:t xml:space="preserve"> </w:t>
      </w:r>
      <w:r w:rsidR="00354F96">
        <w:rPr>
          <w:rFonts w:cstheme="minorHAnsi"/>
        </w:rPr>
        <w:t xml:space="preserve">a díky tomu i nárůst investic směřující do odvětví OZE a intenzivnější rozvoj dodavatelských vztahů. </w:t>
      </w:r>
    </w:p>
    <w:p w14:paraId="02660BA3" w14:textId="77777777" w:rsidR="005B5FB4" w:rsidRDefault="005B5FB4" w:rsidP="005B5FB4">
      <w:pPr>
        <w:spacing w:after="0"/>
        <w:rPr>
          <w:rFonts w:cstheme="minorHAnsi"/>
        </w:rPr>
      </w:pPr>
    </w:p>
    <w:p w14:paraId="2DCD6139" w14:textId="2061AF68" w:rsidR="00354F96" w:rsidRDefault="002405EC" w:rsidP="00354F96">
      <w:pPr>
        <w:pStyle w:val="Nadpis3"/>
      </w:pPr>
      <w:bookmarkStart w:id="67" w:name="_Toc10729930"/>
      <w:r>
        <w:t xml:space="preserve">Souhrnné </w:t>
      </w:r>
      <w:r w:rsidR="00354F96">
        <w:t>hodnocení</w:t>
      </w:r>
      <w:bookmarkEnd w:id="67"/>
    </w:p>
    <w:p w14:paraId="41220AD2" w14:textId="77777777" w:rsidR="005B5FB4" w:rsidRDefault="00561BC8" w:rsidP="005B5FB4">
      <w:pPr>
        <w:spacing w:after="0"/>
        <w:rPr>
          <w:rFonts w:cstheme="minorHAnsi"/>
        </w:rPr>
      </w:pPr>
      <w:r>
        <w:rPr>
          <w:rFonts w:cstheme="minorHAnsi"/>
        </w:rPr>
        <w:t>U žádné</w:t>
      </w:r>
      <w:r w:rsidR="002405EC">
        <w:rPr>
          <w:rFonts w:cstheme="minorHAnsi"/>
        </w:rPr>
        <w:t xml:space="preserve"> z</w:t>
      </w:r>
      <w:r>
        <w:rPr>
          <w:rFonts w:cstheme="minorHAnsi"/>
        </w:rPr>
        <w:t>e</w:t>
      </w:r>
      <w:r w:rsidR="002405EC">
        <w:rPr>
          <w:rFonts w:cstheme="minorHAnsi"/>
        </w:rPr>
        <w:t xml:space="preserve"> </w:t>
      </w:r>
      <w:r w:rsidR="006B3FA5">
        <w:rPr>
          <w:rFonts w:cstheme="minorHAnsi"/>
        </w:rPr>
        <w:t>tří</w:t>
      </w:r>
      <w:r w:rsidR="002405EC">
        <w:rPr>
          <w:rFonts w:cstheme="minorHAnsi"/>
        </w:rPr>
        <w:t xml:space="preserve"> částí této evaluační otázky nebyl prokázán </w:t>
      </w:r>
      <w:r w:rsidR="004E5B99">
        <w:rPr>
          <w:rFonts w:cstheme="minorHAnsi"/>
        </w:rPr>
        <w:t xml:space="preserve">intenzivní </w:t>
      </w:r>
      <w:r w:rsidR="002405EC">
        <w:rPr>
          <w:rFonts w:cstheme="minorHAnsi"/>
        </w:rPr>
        <w:t>pozitivní vliv projektů financovaných z PP OZE. Hlavní příčinou je velice nízký počet projektů, které jsou v rámci tohoto PP realizovány. Podnikatelé, pro něž je PP OZE určen, mají nízký zájem o čerpání dotace v této oblasti.</w:t>
      </w:r>
    </w:p>
    <w:p w14:paraId="4ADAB77E" w14:textId="77777777" w:rsidR="005B5FB4" w:rsidRDefault="005B5FB4" w:rsidP="005B5FB4">
      <w:pPr>
        <w:spacing w:after="0"/>
        <w:rPr>
          <w:rFonts w:cstheme="minorHAnsi"/>
        </w:rPr>
      </w:pPr>
    </w:p>
    <w:p w14:paraId="2D031A34" w14:textId="43BE4C1E" w:rsidR="002405EC" w:rsidRDefault="002405EC" w:rsidP="005B5FB4">
      <w:pPr>
        <w:spacing w:after="0"/>
        <w:rPr>
          <w:rFonts w:cstheme="minorHAnsi"/>
        </w:rPr>
      </w:pPr>
      <w:r>
        <w:rPr>
          <w:rFonts w:cstheme="minorHAnsi"/>
        </w:rPr>
        <w:t>Jako hlavní důvody byly identifikovány:</w:t>
      </w:r>
    </w:p>
    <w:p w14:paraId="433A7A64" w14:textId="2CA7B17F" w:rsidR="002405EC" w:rsidRPr="00735556" w:rsidRDefault="002405EC" w:rsidP="005B5FB4">
      <w:pPr>
        <w:pStyle w:val="Odstavecseseznamem"/>
        <w:numPr>
          <w:ilvl w:val="0"/>
          <w:numId w:val="4"/>
        </w:numPr>
        <w:spacing w:line="276" w:lineRule="auto"/>
        <w:ind w:left="714" w:hanging="357"/>
        <w:rPr>
          <w:rFonts w:asciiTheme="minorHAnsi" w:hAnsiTheme="minorHAnsi" w:cstheme="minorHAnsi"/>
          <w:sz w:val="22"/>
          <w:szCs w:val="22"/>
        </w:rPr>
      </w:pPr>
      <w:r w:rsidRPr="00735556">
        <w:rPr>
          <w:rFonts w:asciiTheme="minorHAnsi" w:hAnsiTheme="minorHAnsi" w:cstheme="minorHAnsi"/>
          <w:sz w:val="22"/>
          <w:szCs w:val="22"/>
        </w:rPr>
        <w:t>PP OZE podporuje pouze vybrané typy obnovitelných zdrojů energie</w:t>
      </w:r>
      <w:r w:rsidR="003608E3">
        <w:rPr>
          <w:rFonts w:asciiTheme="minorHAnsi" w:hAnsiTheme="minorHAnsi" w:cstheme="minorHAnsi"/>
          <w:sz w:val="22"/>
          <w:szCs w:val="22"/>
        </w:rPr>
        <w:t>,</w:t>
      </w:r>
    </w:p>
    <w:p w14:paraId="110E1170" w14:textId="0EFF1132" w:rsidR="006B3FA5" w:rsidRDefault="003608E3" w:rsidP="005B5FB4">
      <w:pPr>
        <w:pStyle w:val="Odstavecseseznamem"/>
        <w:numPr>
          <w:ilvl w:val="0"/>
          <w:numId w:val="4"/>
        </w:numPr>
        <w:spacing w:line="276" w:lineRule="auto"/>
        <w:ind w:left="714" w:hanging="357"/>
        <w:rPr>
          <w:rFonts w:asciiTheme="minorHAnsi" w:hAnsiTheme="minorHAnsi" w:cstheme="minorHAnsi"/>
          <w:sz w:val="22"/>
          <w:szCs w:val="22"/>
        </w:rPr>
      </w:pPr>
      <w:r>
        <w:rPr>
          <w:rFonts w:asciiTheme="minorHAnsi" w:hAnsiTheme="minorHAnsi" w:cstheme="minorHAnsi"/>
          <w:sz w:val="22"/>
          <w:szCs w:val="22"/>
        </w:rPr>
        <w:t>z</w:t>
      </w:r>
      <w:r w:rsidR="006B3FA5" w:rsidRPr="00735556">
        <w:rPr>
          <w:rFonts w:asciiTheme="minorHAnsi" w:hAnsiTheme="minorHAnsi" w:cstheme="minorHAnsi"/>
          <w:sz w:val="22"/>
          <w:szCs w:val="22"/>
        </w:rPr>
        <w:t xml:space="preserve">ájem o čerpání dotace z PP OZE </w:t>
      </w:r>
      <w:r w:rsidR="00561BC8">
        <w:rPr>
          <w:rFonts w:asciiTheme="minorHAnsi" w:hAnsiTheme="minorHAnsi" w:cstheme="minorHAnsi"/>
          <w:sz w:val="22"/>
          <w:szCs w:val="22"/>
        </w:rPr>
        <w:t>negativně ovlivňuje</w:t>
      </w:r>
      <w:r w:rsidR="006B3FA5" w:rsidRPr="00735556">
        <w:rPr>
          <w:rFonts w:asciiTheme="minorHAnsi" w:hAnsiTheme="minorHAnsi" w:cstheme="minorHAnsi"/>
          <w:sz w:val="22"/>
          <w:szCs w:val="22"/>
        </w:rPr>
        <w:t xml:space="preserve"> také zákaz kumulac</w:t>
      </w:r>
      <w:r>
        <w:rPr>
          <w:rFonts w:asciiTheme="minorHAnsi" w:hAnsiTheme="minorHAnsi" w:cstheme="minorHAnsi"/>
          <w:sz w:val="22"/>
          <w:szCs w:val="22"/>
        </w:rPr>
        <w:t>e investiční a provozní podpory,</w:t>
      </w:r>
    </w:p>
    <w:p w14:paraId="188B1578" w14:textId="7D6ED008" w:rsidR="003608E3" w:rsidRDefault="003608E3" w:rsidP="005B5FB4">
      <w:pPr>
        <w:pStyle w:val="Odstavecseseznamem"/>
        <w:numPr>
          <w:ilvl w:val="0"/>
          <w:numId w:val="4"/>
        </w:numPr>
        <w:spacing w:line="276" w:lineRule="auto"/>
        <w:ind w:left="714" w:hanging="357"/>
        <w:rPr>
          <w:rFonts w:ascii="Calibri" w:hAnsi="Calibri" w:cs="Calibri"/>
          <w:sz w:val="22"/>
          <w:szCs w:val="22"/>
        </w:rPr>
      </w:pPr>
      <w:r>
        <w:rPr>
          <w:rFonts w:ascii="Calibri" w:hAnsi="Calibri" w:cs="Calibri"/>
          <w:sz w:val="22"/>
          <w:szCs w:val="22"/>
        </w:rPr>
        <w:t xml:space="preserve">příliš náročná příprava a </w:t>
      </w:r>
      <w:r w:rsidRPr="007024CF">
        <w:rPr>
          <w:rFonts w:ascii="Calibri" w:hAnsi="Calibri" w:cs="Calibri"/>
          <w:sz w:val="22"/>
          <w:szCs w:val="22"/>
        </w:rPr>
        <w:t>administrac</w:t>
      </w:r>
      <w:r>
        <w:rPr>
          <w:rFonts w:ascii="Calibri" w:hAnsi="Calibri" w:cs="Calibri"/>
          <w:sz w:val="22"/>
          <w:szCs w:val="22"/>
        </w:rPr>
        <w:t>e</w:t>
      </w:r>
      <w:r w:rsidRPr="007024CF">
        <w:rPr>
          <w:rFonts w:ascii="Calibri" w:hAnsi="Calibri" w:cs="Calibri"/>
          <w:sz w:val="22"/>
          <w:szCs w:val="22"/>
        </w:rPr>
        <w:t xml:space="preserve"> projektů</w:t>
      </w:r>
      <w:r>
        <w:rPr>
          <w:rFonts w:ascii="Calibri" w:hAnsi="Calibri" w:cs="Calibri"/>
          <w:sz w:val="22"/>
          <w:szCs w:val="22"/>
        </w:rPr>
        <w:t xml:space="preserve"> ze strany žadatelů,</w:t>
      </w:r>
    </w:p>
    <w:p w14:paraId="03DEFD2E" w14:textId="2D5D9F73" w:rsidR="003608E3" w:rsidRPr="003608E3" w:rsidRDefault="003608E3" w:rsidP="005B5FB4">
      <w:pPr>
        <w:pStyle w:val="Odstavecseseznamem"/>
        <w:numPr>
          <w:ilvl w:val="0"/>
          <w:numId w:val="4"/>
        </w:numPr>
        <w:spacing w:line="276" w:lineRule="auto"/>
        <w:ind w:left="714" w:hanging="357"/>
        <w:rPr>
          <w:rFonts w:ascii="Calibri" w:hAnsi="Calibri" w:cs="Calibri"/>
          <w:sz w:val="22"/>
          <w:szCs w:val="22"/>
        </w:rPr>
      </w:pPr>
      <w:r>
        <w:rPr>
          <w:rFonts w:ascii="Calibri" w:hAnsi="Calibri" w:cs="Calibri"/>
          <w:sz w:val="22"/>
          <w:szCs w:val="22"/>
        </w:rPr>
        <w:lastRenderedPageBreak/>
        <w:t>legislativně nestabilní prostředí.</w:t>
      </w:r>
    </w:p>
    <w:p w14:paraId="1025081B" w14:textId="77777777" w:rsidR="00DC5734" w:rsidRDefault="00DC5734" w:rsidP="005B5FB4">
      <w:pPr>
        <w:spacing w:after="0"/>
        <w:rPr>
          <w:rFonts w:cstheme="minorHAnsi"/>
        </w:rPr>
      </w:pPr>
    </w:p>
    <w:p w14:paraId="395098C9" w14:textId="46BDB9BA" w:rsidR="006B3FA5" w:rsidRPr="00DC5734" w:rsidRDefault="00DC5734" w:rsidP="005B5FB4">
      <w:pPr>
        <w:spacing w:after="0"/>
        <w:rPr>
          <w:rFonts w:cstheme="minorHAnsi"/>
        </w:rPr>
      </w:pPr>
      <w:r w:rsidRPr="00DC5734">
        <w:rPr>
          <w:rFonts w:cstheme="minorHAnsi"/>
        </w:rPr>
        <w:t xml:space="preserve">Z realizovaného dotazníkového šetření vyplynulo, že více než 50 % žadatelů o dotaci by projekt realizovalo i v případě, že by jim dotace nebyla přiznána. </w:t>
      </w:r>
      <w:r w:rsidR="00776B4A">
        <w:rPr>
          <w:rFonts w:cstheme="minorHAnsi"/>
        </w:rPr>
        <w:t xml:space="preserve">Důvodem pro realizaci projektu bez přispění PP OZE je mimo jiné např. využívání technologií, které nesplňují ekologické limity, a je nutné k určitému datu využívat modernější technologie, které požadované parametry budou splňovat. Tyto subjekty vnímají jako jeden z hlavních faktorů odrazujících je od čerpání dotace administrativní náročnost zpracování žádosti o dotaci. K intenzivnějšímu využívání PP OZE by tedy mohlo přispět právě snížení administrativní náročnosti </w:t>
      </w:r>
      <w:r w:rsidR="006B6F96">
        <w:rPr>
          <w:rFonts w:cstheme="minorHAnsi"/>
        </w:rPr>
        <w:t>tohoto procesu.</w:t>
      </w:r>
    </w:p>
    <w:p w14:paraId="675A8EE5" w14:textId="6F5CA5F2" w:rsidR="00D3770C" w:rsidRDefault="00D3770C" w:rsidP="00D3770C">
      <w:pPr>
        <w:pStyle w:val="Nadpis1"/>
        <w:ind w:left="431" w:hanging="431"/>
      </w:pPr>
      <w:bookmarkStart w:id="68" w:name="_Toc4596820"/>
      <w:bookmarkStart w:id="69" w:name="_Toc10729931"/>
      <w:r>
        <w:lastRenderedPageBreak/>
        <w:t>Evaluační otázka 4</w:t>
      </w:r>
      <w:r w:rsidR="00F85BBF">
        <w:t xml:space="preserve"> (ÚE)</w:t>
      </w:r>
      <w:bookmarkEnd w:id="68"/>
      <w:bookmarkEnd w:id="69"/>
    </w:p>
    <w:p w14:paraId="1828C83A" w14:textId="412A56F7" w:rsidR="008F612F" w:rsidRDefault="00F85BBF" w:rsidP="008F612F">
      <w:pPr>
        <w:spacing w:after="0"/>
        <w:rPr>
          <w:rFonts w:ascii="Calibri" w:hAnsi="Calibri" w:cs="Calibri"/>
          <w:b/>
        </w:rPr>
      </w:pPr>
      <w:r w:rsidRPr="00F85BBF">
        <w:rPr>
          <w:rFonts w:ascii="Calibri" w:hAnsi="Calibri" w:cs="Calibri"/>
          <w:b/>
        </w:rPr>
        <w:t>Jak přispěly intervence realizované v rámci programu podpory Úspory energie k dosahování SC 3.2 OP PIK? Vedly intervence k přiblížení se v úrovni energetické náročnosti průmyslové výroby k ostatním členským zemím EU?</w:t>
      </w:r>
      <w:r w:rsidR="006D4926">
        <w:rPr>
          <w:rFonts w:ascii="Calibri" w:hAnsi="Calibri" w:cs="Calibri"/>
          <w:b/>
        </w:rPr>
        <w:t xml:space="preserve"> </w:t>
      </w:r>
      <w:r w:rsidR="006D4926" w:rsidRPr="006D4926">
        <w:rPr>
          <w:rFonts w:ascii="Calibri" w:hAnsi="Calibri" w:cs="Calibri"/>
          <w:b/>
        </w:rPr>
        <w:t>Bude zhodnocen příspěvek podpořených projektů k naplňování výsledkových indikátorů.</w:t>
      </w:r>
    </w:p>
    <w:p w14:paraId="6F961529" w14:textId="77777777" w:rsidR="008F612F" w:rsidRDefault="008F612F" w:rsidP="008F612F">
      <w:pPr>
        <w:spacing w:after="0"/>
        <w:rPr>
          <w:rFonts w:ascii="Calibri" w:hAnsi="Calibri" w:cs="Calibri"/>
          <w:b/>
        </w:rPr>
      </w:pPr>
    </w:p>
    <w:p w14:paraId="6BB6B9A8" w14:textId="77777777" w:rsidR="008F612F" w:rsidRPr="001C50E7" w:rsidRDefault="008F612F" w:rsidP="008F612F">
      <w:pPr>
        <w:pStyle w:val="Nadpis2"/>
      </w:pPr>
      <w:bookmarkStart w:id="70" w:name="_Toc4596821"/>
      <w:bookmarkStart w:id="71" w:name="_Toc10729932"/>
      <w:r w:rsidRPr="001C50E7">
        <w:t>Úkol</w:t>
      </w:r>
      <w:bookmarkEnd w:id="70"/>
      <w:bookmarkEnd w:id="71"/>
    </w:p>
    <w:p w14:paraId="2097C19A" w14:textId="56E73740" w:rsidR="008F612F" w:rsidRDefault="00604818" w:rsidP="008B0116">
      <w:pPr>
        <w:spacing w:after="0"/>
      </w:pPr>
      <w:r w:rsidRPr="0078195B">
        <w:t>Vyhodnotit příspěvek podpořených a realizovaných projektů k plnění specifick</w:t>
      </w:r>
      <w:r w:rsidR="00A22DBF">
        <w:t>ého</w:t>
      </w:r>
      <w:r w:rsidRPr="0078195B">
        <w:t xml:space="preserve"> cíl</w:t>
      </w:r>
      <w:r w:rsidR="00A22DBF">
        <w:t>e</w:t>
      </w:r>
      <w:r w:rsidRPr="0078195B">
        <w:t>, ověřit platnost kauzálních vazeb.</w:t>
      </w:r>
    </w:p>
    <w:p w14:paraId="7F3F7441" w14:textId="77777777" w:rsidR="008B0116" w:rsidRPr="00604818" w:rsidRDefault="008B0116" w:rsidP="008B0116">
      <w:pPr>
        <w:spacing w:after="0"/>
      </w:pPr>
    </w:p>
    <w:p w14:paraId="78EAEA30" w14:textId="77777777" w:rsidR="008F612F" w:rsidRPr="001C50E7" w:rsidRDefault="008F612F" w:rsidP="008F612F">
      <w:pPr>
        <w:pStyle w:val="Nadpis2"/>
      </w:pPr>
      <w:bookmarkStart w:id="72" w:name="_Toc4596822"/>
      <w:bookmarkStart w:id="73" w:name="_Toc10729933"/>
      <w:r w:rsidRPr="001C50E7">
        <w:t>Východiska</w:t>
      </w:r>
      <w:bookmarkEnd w:id="72"/>
      <w:bookmarkEnd w:id="73"/>
    </w:p>
    <w:p w14:paraId="0F3FAD3F" w14:textId="2044C98A" w:rsidR="00604818" w:rsidRPr="002A2B65" w:rsidRDefault="0078195B" w:rsidP="008B0116">
      <w:pPr>
        <w:spacing w:after="0"/>
        <w:rPr>
          <w:rFonts w:cstheme="minorHAnsi"/>
          <w:lang w:eastAsia="sk-SK"/>
        </w:rPr>
      </w:pPr>
      <w:r>
        <w:rPr>
          <w:rFonts w:cstheme="minorHAnsi"/>
          <w:lang w:eastAsia="sk-SK"/>
        </w:rPr>
        <w:t>P</w:t>
      </w:r>
      <w:r w:rsidR="00604818" w:rsidRPr="002A2B65">
        <w:rPr>
          <w:rFonts w:cstheme="minorHAnsi"/>
          <w:lang w:eastAsia="sk-SK"/>
        </w:rPr>
        <w:t xml:space="preserve">rogram </w:t>
      </w:r>
      <w:r>
        <w:rPr>
          <w:rFonts w:cstheme="minorHAnsi"/>
          <w:lang w:eastAsia="sk-SK"/>
        </w:rPr>
        <w:t xml:space="preserve">podpory </w:t>
      </w:r>
      <w:r w:rsidR="00604818" w:rsidRPr="002A2B65">
        <w:rPr>
          <w:rFonts w:cstheme="minorHAnsi"/>
          <w:lang w:eastAsia="sk-SK"/>
        </w:rPr>
        <w:t>Úspory energie (ÚE)</w:t>
      </w:r>
      <w:r>
        <w:rPr>
          <w:rFonts w:cstheme="minorHAnsi"/>
          <w:lang w:eastAsia="sk-SK"/>
        </w:rPr>
        <w:t xml:space="preserve"> je realizován v rámci specifického cíle 3.2</w:t>
      </w:r>
      <w:r w:rsidR="00604818" w:rsidRPr="002A2B65">
        <w:rPr>
          <w:rFonts w:cstheme="minorHAnsi"/>
          <w:lang w:eastAsia="sk-SK"/>
        </w:rPr>
        <w:t>. Jeho hlavním cílem je snížení energetické náročnosti podnikatelského sektoru</w:t>
      </w:r>
      <w:r>
        <w:rPr>
          <w:rFonts w:cstheme="minorHAnsi"/>
          <w:lang w:eastAsia="sk-SK"/>
        </w:rPr>
        <w:t xml:space="preserve">, které má být dosaženo </w:t>
      </w:r>
      <w:r w:rsidR="00604818" w:rsidRPr="002A2B65">
        <w:rPr>
          <w:rFonts w:cstheme="minorHAnsi"/>
          <w:lang w:eastAsia="sk-SK"/>
        </w:rPr>
        <w:t xml:space="preserve">podporou řady úsporných opatření, </w:t>
      </w:r>
      <w:r>
        <w:rPr>
          <w:rFonts w:cstheme="minorHAnsi"/>
          <w:lang w:eastAsia="sk-SK"/>
        </w:rPr>
        <w:t>mezi něž</w:t>
      </w:r>
      <w:r w:rsidR="00604818" w:rsidRPr="002A2B65">
        <w:rPr>
          <w:rFonts w:cstheme="minorHAnsi"/>
          <w:lang w:eastAsia="sk-SK"/>
        </w:rPr>
        <w:t xml:space="preserve"> patří:</w:t>
      </w:r>
    </w:p>
    <w:p w14:paraId="18E60382"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modernizace a rekonstrukce rozvodů elektřiny, plynu a tepla v</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budovách a v energetických hospodářstvích průmyslových areálů za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účelem zvýšení účinnosti,</w:t>
      </w:r>
    </w:p>
    <w:p w14:paraId="4B215FDA"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zavádění a modernizace systémů měření a regulace,</w:t>
      </w:r>
    </w:p>
    <w:p w14:paraId="5A670EED"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modernizace a rekonstrukce stávajících zařízení na výrobu energie pro</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vlastní spotřebu vedoucí ke zvýšení její účinnosti,</w:t>
      </w:r>
    </w:p>
    <w:p w14:paraId="3EB4870B" w14:textId="435B5194"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modernizace soustav osvětlení budov a průmyslových areálů (pouze v případě náhrady zastaralých technologií za nové vysoce efektivní osvětlovací systémy, např. světelných diod (LED</w:t>
      </w:r>
      <w:r w:rsidR="00024BC9">
        <w:rPr>
          <w:rFonts w:asciiTheme="minorHAnsi" w:hAnsiTheme="minorHAnsi" w:cstheme="minorHAnsi"/>
          <w:sz w:val="22"/>
          <w:szCs w:val="22"/>
          <w:lang w:eastAsia="sk-SK"/>
        </w:rPr>
        <w:t>)</w:t>
      </w:r>
      <w:r w:rsidRPr="002A2B65">
        <w:rPr>
          <w:rFonts w:asciiTheme="minorHAnsi" w:hAnsiTheme="minorHAnsi" w:cstheme="minorHAnsi"/>
          <w:sz w:val="22"/>
          <w:szCs w:val="22"/>
          <w:lang w:eastAsia="sk-SK"/>
        </w:rPr>
        <w:t>,</w:t>
      </w:r>
    </w:p>
    <w:p w14:paraId="2EAD8EE2" w14:textId="000F34AA"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realizace opatření ke snižování energetické náročnosti budov v</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podnikatelském sektoru (zateplení obvodového pláště, výměna 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renovace otvorových výplní, další stavební opatření mající prokazatelně vliv na energetickou náročnost budo</w:t>
      </w:r>
      <w:r w:rsidR="00024BC9">
        <w:rPr>
          <w:rFonts w:asciiTheme="minorHAnsi" w:hAnsiTheme="minorHAnsi" w:cstheme="minorHAnsi"/>
          <w:sz w:val="22"/>
          <w:szCs w:val="22"/>
          <w:lang w:eastAsia="sk-SK"/>
        </w:rPr>
        <w:t>vy, instalace vzduchotechniky s </w:t>
      </w:r>
      <w:r w:rsidRPr="002A2B65">
        <w:rPr>
          <w:rFonts w:asciiTheme="minorHAnsi" w:hAnsiTheme="minorHAnsi" w:cstheme="minorHAnsi"/>
          <w:sz w:val="22"/>
          <w:szCs w:val="22"/>
          <w:lang w:eastAsia="sk-SK"/>
        </w:rPr>
        <w:t>rekuperací odpadního tepla),</w:t>
      </w:r>
    </w:p>
    <w:p w14:paraId="534F3E6E"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využití odpadní energie ve výrobních procesech,</w:t>
      </w:r>
    </w:p>
    <w:p w14:paraId="221AE2FF"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snižování energetické náročnosti / zvyšování energetické účinnosti výrobních a technologických procesů,</w:t>
      </w:r>
    </w:p>
    <w:p w14:paraId="7C830CBA"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instalace OZE pro vlastní spotřebu podniku (např. solární ohřev, tepelná čerpadla apod.),</w:t>
      </w:r>
    </w:p>
    <w:p w14:paraId="4A8C2F56"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instalace kogenerační jednotky s maximálním využitím elektrické 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tepelné energie pro vlastní spotřebu podniku,</w:t>
      </w:r>
    </w:p>
    <w:p w14:paraId="7F00C224" w14:textId="77777777" w:rsidR="00604818" w:rsidRPr="002A2B65" w:rsidRDefault="00604818"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podpora vícenákladů na dosažení standardu budovy s téměř nulovou spotřebou a pasivního energetického standardu v případě rekonstrukce či výstavby nových podnikatelských budov.</w:t>
      </w:r>
    </w:p>
    <w:p w14:paraId="5B24DF5B" w14:textId="77777777" w:rsidR="00604818" w:rsidRPr="002A2B65" w:rsidRDefault="00604818" w:rsidP="008B0116">
      <w:pPr>
        <w:spacing w:after="0"/>
        <w:jc w:val="both"/>
        <w:rPr>
          <w:rFonts w:cstheme="minorHAnsi"/>
          <w:lang w:eastAsia="sk-SK"/>
        </w:rPr>
      </w:pPr>
    </w:p>
    <w:p w14:paraId="30997EB3" w14:textId="77777777" w:rsidR="00604818" w:rsidRPr="002A2B65" w:rsidRDefault="00604818" w:rsidP="008B0116">
      <w:pPr>
        <w:spacing w:after="0"/>
        <w:rPr>
          <w:rFonts w:cstheme="minorHAnsi"/>
          <w:lang w:eastAsia="sk-SK"/>
        </w:rPr>
      </w:pPr>
      <w:r w:rsidRPr="002A2B65">
        <w:rPr>
          <w:rFonts w:cstheme="minorHAnsi"/>
          <w:lang w:eastAsia="sk-SK"/>
        </w:rPr>
        <w:t>Prostřednictvím realizace tohoto programu má být, jak je uvedeno v programovém dokumentu, dosaženo následujících výsledků:</w:t>
      </w:r>
    </w:p>
    <w:p w14:paraId="0B9E6E4D" w14:textId="3B75C332" w:rsidR="00604818" w:rsidRPr="002A2B65" w:rsidRDefault="00604818" w:rsidP="008B0116">
      <w:pPr>
        <w:pStyle w:val="Odstavecseseznamem"/>
        <w:numPr>
          <w:ilvl w:val="0"/>
          <w:numId w:val="3"/>
        </w:numPr>
        <w:spacing w:line="276" w:lineRule="auto"/>
        <w:rPr>
          <w:rFonts w:asciiTheme="minorHAnsi" w:hAnsiTheme="minorHAnsi" w:cstheme="minorHAnsi"/>
          <w:sz w:val="22"/>
          <w:szCs w:val="22"/>
          <w:lang w:eastAsia="sk-SK"/>
        </w:rPr>
      </w:pPr>
      <w:r w:rsidRPr="002A2B65">
        <w:rPr>
          <w:rFonts w:asciiTheme="minorHAnsi" w:hAnsiTheme="minorHAnsi" w:cstheme="minorHAnsi"/>
          <w:sz w:val="22"/>
          <w:szCs w:val="22"/>
          <w:lang w:eastAsia="sk-SK"/>
        </w:rPr>
        <w:t>Přisp</w:t>
      </w:r>
      <w:r w:rsidR="0078195B">
        <w:rPr>
          <w:rFonts w:asciiTheme="minorHAnsi" w:hAnsiTheme="minorHAnsi" w:cstheme="minorHAnsi"/>
          <w:sz w:val="22"/>
          <w:szCs w:val="22"/>
          <w:lang w:eastAsia="sk-SK"/>
        </w:rPr>
        <w:t>ět</w:t>
      </w:r>
      <w:r w:rsidRPr="002A2B65">
        <w:rPr>
          <w:rFonts w:asciiTheme="minorHAnsi" w:hAnsiTheme="minorHAnsi" w:cstheme="minorHAnsi"/>
          <w:sz w:val="22"/>
          <w:szCs w:val="22"/>
          <w:lang w:eastAsia="sk-SK"/>
        </w:rPr>
        <w:t xml:space="preserve"> k naplnění Směrnice Evropského parlamentu a Rady 2012/27/EU o energetické účinnosti, která stanovuje zavedení orientačních vnitrostátních cílů energetické účinnosti do roku 2020. Vnitrostátní orientační cíl ČR je na základě současných analýz stanoven ve výši 51,10 PJ (14,19 TWh) úspor v konečné spotřebě energie.</w:t>
      </w:r>
    </w:p>
    <w:p w14:paraId="57FA2835" w14:textId="49730954" w:rsidR="00604818" w:rsidRPr="002A2B65" w:rsidRDefault="0078195B" w:rsidP="008B0116">
      <w:pPr>
        <w:pStyle w:val="Odstavecseseznamem"/>
        <w:numPr>
          <w:ilvl w:val="0"/>
          <w:numId w:val="3"/>
        </w:numPr>
        <w:spacing w:line="276" w:lineRule="auto"/>
        <w:rPr>
          <w:rFonts w:asciiTheme="minorHAnsi" w:hAnsiTheme="minorHAnsi" w:cstheme="minorHAnsi"/>
          <w:sz w:val="22"/>
          <w:szCs w:val="22"/>
          <w:lang w:eastAsia="sk-SK"/>
        </w:rPr>
      </w:pPr>
      <w:r w:rsidRPr="002A2B65">
        <w:rPr>
          <w:rFonts w:asciiTheme="minorHAnsi" w:hAnsiTheme="minorHAnsi" w:cstheme="minorHAnsi"/>
          <w:sz w:val="22"/>
          <w:szCs w:val="22"/>
          <w:lang w:eastAsia="sk-SK"/>
        </w:rPr>
        <w:t>Přisp</w:t>
      </w:r>
      <w:r>
        <w:rPr>
          <w:rFonts w:asciiTheme="minorHAnsi" w:hAnsiTheme="minorHAnsi" w:cstheme="minorHAnsi"/>
          <w:sz w:val="22"/>
          <w:szCs w:val="22"/>
          <w:lang w:eastAsia="sk-SK"/>
        </w:rPr>
        <w:t>ět</w:t>
      </w:r>
      <w:r w:rsidR="00604818" w:rsidRPr="002A2B65">
        <w:rPr>
          <w:rFonts w:asciiTheme="minorHAnsi" w:hAnsiTheme="minorHAnsi" w:cstheme="minorHAnsi"/>
          <w:sz w:val="22"/>
          <w:szCs w:val="22"/>
          <w:lang w:eastAsia="sk-SK"/>
        </w:rPr>
        <w:t xml:space="preserve"> k naplnění Směrnice Evropského parlamentu a Rady 2009/28/ES o podpoře využívání </w:t>
      </w:r>
      <w:r w:rsidR="00604818" w:rsidRPr="002A2B65">
        <w:rPr>
          <w:rFonts w:asciiTheme="minorHAnsi" w:hAnsiTheme="minorHAnsi" w:cstheme="minorHAnsi"/>
          <w:sz w:val="22"/>
          <w:szCs w:val="22"/>
          <w:lang w:eastAsia="sk-SK"/>
        </w:rPr>
        <w:lastRenderedPageBreak/>
        <w:t>energie z obnovitelných zdrojů.</w:t>
      </w:r>
    </w:p>
    <w:p w14:paraId="32E567D9" w14:textId="076F0905" w:rsidR="00604818" w:rsidRPr="002A2B65" w:rsidRDefault="0078195B" w:rsidP="008B0116">
      <w:pPr>
        <w:pStyle w:val="Odstavecseseznamem"/>
        <w:numPr>
          <w:ilvl w:val="0"/>
          <w:numId w:val="3"/>
        </w:numPr>
        <w:spacing w:line="276" w:lineRule="auto"/>
        <w:rPr>
          <w:rFonts w:asciiTheme="minorHAnsi" w:hAnsiTheme="minorHAnsi" w:cstheme="minorHAnsi"/>
          <w:sz w:val="22"/>
          <w:szCs w:val="22"/>
          <w:lang w:eastAsia="sk-SK"/>
        </w:rPr>
      </w:pPr>
      <w:r w:rsidRPr="002A2B65">
        <w:rPr>
          <w:rFonts w:asciiTheme="minorHAnsi" w:hAnsiTheme="minorHAnsi" w:cstheme="minorHAnsi"/>
          <w:sz w:val="22"/>
          <w:szCs w:val="22"/>
          <w:lang w:eastAsia="sk-SK"/>
        </w:rPr>
        <w:t>Přisp</w:t>
      </w:r>
      <w:r>
        <w:rPr>
          <w:rFonts w:asciiTheme="minorHAnsi" w:hAnsiTheme="minorHAnsi" w:cstheme="minorHAnsi"/>
          <w:sz w:val="22"/>
          <w:szCs w:val="22"/>
          <w:lang w:eastAsia="sk-SK"/>
        </w:rPr>
        <w:t>ět</w:t>
      </w:r>
      <w:r w:rsidRPr="002A2B65">
        <w:rPr>
          <w:rFonts w:asciiTheme="minorHAnsi" w:hAnsiTheme="minorHAnsi" w:cstheme="minorHAnsi"/>
          <w:sz w:val="22"/>
          <w:szCs w:val="22"/>
          <w:lang w:eastAsia="sk-SK"/>
        </w:rPr>
        <w:t xml:space="preserve"> </w:t>
      </w:r>
      <w:r w:rsidR="00604818" w:rsidRPr="002A2B65">
        <w:rPr>
          <w:rFonts w:asciiTheme="minorHAnsi" w:hAnsiTheme="minorHAnsi" w:cstheme="minorHAnsi"/>
          <w:sz w:val="22"/>
          <w:szCs w:val="22"/>
          <w:lang w:eastAsia="sk-SK"/>
        </w:rPr>
        <w:t>k naplnění Směrnice 2008/50/EU a Plánů kvality ovzduší a</w:t>
      </w:r>
      <w:r w:rsidR="00604818">
        <w:rPr>
          <w:rFonts w:asciiTheme="minorHAnsi" w:hAnsiTheme="minorHAnsi" w:cstheme="minorHAnsi"/>
          <w:sz w:val="22"/>
          <w:szCs w:val="22"/>
          <w:lang w:eastAsia="sk-SK"/>
        </w:rPr>
        <w:t> </w:t>
      </w:r>
      <w:r w:rsidR="00604818" w:rsidRPr="002A2B65">
        <w:rPr>
          <w:rFonts w:asciiTheme="minorHAnsi" w:hAnsiTheme="minorHAnsi" w:cstheme="minorHAnsi"/>
          <w:sz w:val="22"/>
          <w:szCs w:val="22"/>
          <w:lang w:eastAsia="sk-SK"/>
        </w:rPr>
        <w:t>směrnice o národních stropech.</w:t>
      </w:r>
    </w:p>
    <w:p w14:paraId="25CDCD92" w14:textId="03BE4528" w:rsidR="00604818" w:rsidRPr="002A2B65" w:rsidRDefault="0078195B" w:rsidP="008B0116">
      <w:pPr>
        <w:pStyle w:val="Odstavecseseznamem"/>
        <w:numPr>
          <w:ilvl w:val="0"/>
          <w:numId w:val="3"/>
        </w:numPr>
        <w:spacing w:line="276" w:lineRule="auto"/>
        <w:rPr>
          <w:rFonts w:asciiTheme="minorHAnsi" w:hAnsiTheme="minorHAnsi" w:cstheme="minorHAnsi"/>
          <w:sz w:val="22"/>
          <w:szCs w:val="22"/>
          <w:lang w:eastAsia="sk-SK"/>
        </w:rPr>
      </w:pPr>
      <w:r>
        <w:rPr>
          <w:rFonts w:asciiTheme="minorHAnsi" w:hAnsiTheme="minorHAnsi" w:cstheme="minorHAnsi"/>
          <w:sz w:val="22"/>
          <w:szCs w:val="22"/>
          <w:lang w:eastAsia="sk-SK"/>
        </w:rPr>
        <w:t>Zvýšit</w:t>
      </w:r>
      <w:r w:rsidR="00604818" w:rsidRPr="002A2B65">
        <w:rPr>
          <w:rFonts w:asciiTheme="minorHAnsi" w:hAnsiTheme="minorHAnsi" w:cstheme="minorHAnsi"/>
          <w:sz w:val="22"/>
          <w:szCs w:val="22"/>
          <w:lang w:eastAsia="sk-SK"/>
        </w:rPr>
        <w:t xml:space="preserve"> možnost podniků rozvíjet svou činnost, investovat do</w:t>
      </w:r>
      <w:r w:rsidR="00604818">
        <w:rPr>
          <w:rFonts w:asciiTheme="minorHAnsi" w:hAnsiTheme="minorHAnsi" w:cstheme="minorHAnsi"/>
          <w:sz w:val="22"/>
          <w:szCs w:val="22"/>
          <w:lang w:eastAsia="sk-SK"/>
        </w:rPr>
        <w:t> </w:t>
      </w:r>
      <w:r w:rsidR="00604818" w:rsidRPr="002A2B65">
        <w:rPr>
          <w:rFonts w:asciiTheme="minorHAnsi" w:hAnsiTheme="minorHAnsi" w:cstheme="minorHAnsi"/>
          <w:sz w:val="22"/>
          <w:szCs w:val="22"/>
          <w:lang w:eastAsia="sk-SK"/>
        </w:rPr>
        <w:t>výzkumu, vývoje a inovací tím, že podniky nebudou muset vynakládat takové množství prostředků na energie při výrobních procesech. S tím souvisí snížení citlivosti podnikatelských subjektů na</w:t>
      </w:r>
      <w:r w:rsidR="00604818">
        <w:rPr>
          <w:rFonts w:asciiTheme="minorHAnsi" w:hAnsiTheme="minorHAnsi" w:cstheme="minorHAnsi"/>
          <w:sz w:val="22"/>
          <w:szCs w:val="22"/>
          <w:lang w:eastAsia="sk-SK"/>
        </w:rPr>
        <w:t> </w:t>
      </w:r>
      <w:r w:rsidR="00604818" w:rsidRPr="002A2B65">
        <w:rPr>
          <w:rFonts w:asciiTheme="minorHAnsi" w:hAnsiTheme="minorHAnsi" w:cstheme="minorHAnsi"/>
          <w:sz w:val="22"/>
          <w:szCs w:val="22"/>
          <w:lang w:eastAsia="sk-SK"/>
        </w:rPr>
        <w:t>změny vstupních nákladů, jejichž zvyšování, nebo udržování na</w:t>
      </w:r>
      <w:r w:rsidR="00604818">
        <w:rPr>
          <w:rFonts w:asciiTheme="minorHAnsi" w:hAnsiTheme="minorHAnsi" w:cstheme="minorHAnsi"/>
          <w:sz w:val="22"/>
          <w:szCs w:val="22"/>
          <w:lang w:eastAsia="sk-SK"/>
        </w:rPr>
        <w:t> </w:t>
      </w:r>
      <w:r w:rsidR="00604818" w:rsidRPr="002A2B65">
        <w:rPr>
          <w:rFonts w:asciiTheme="minorHAnsi" w:hAnsiTheme="minorHAnsi" w:cstheme="minorHAnsi"/>
          <w:sz w:val="22"/>
          <w:szCs w:val="22"/>
          <w:lang w:eastAsia="sk-SK"/>
        </w:rPr>
        <w:t>současných hodnotách, by mohlo v důsledku ohrozit celkový výkon výroby ve prospěch levné zahraniční konkurence. Výsledkem specifického cíle tak bude posílení konkurenceschopnosti podnikatelských subjektů, resp. ekonomiky jako celku.</w:t>
      </w:r>
    </w:p>
    <w:p w14:paraId="6354166E" w14:textId="1BB5B41C" w:rsidR="00604818" w:rsidRPr="002A2B65" w:rsidRDefault="0078195B" w:rsidP="008B0116">
      <w:pPr>
        <w:pStyle w:val="Odstavecseseznamem"/>
        <w:numPr>
          <w:ilvl w:val="0"/>
          <w:numId w:val="3"/>
        </w:numPr>
        <w:spacing w:line="276" w:lineRule="auto"/>
        <w:rPr>
          <w:rFonts w:asciiTheme="minorHAnsi" w:hAnsiTheme="minorHAnsi" w:cstheme="minorHAnsi"/>
          <w:sz w:val="22"/>
          <w:szCs w:val="22"/>
          <w:lang w:eastAsia="sk-SK"/>
        </w:rPr>
      </w:pPr>
      <w:r>
        <w:rPr>
          <w:rFonts w:asciiTheme="minorHAnsi" w:hAnsiTheme="minorHAnsi" w:cstheme="minorHAnsi"/>
          <w:sz w:val="22"/>
          <w:szCs w:val="22"/>
          <w:lang w:eastAsia="sk-SK"/>
        </w:rPr>
        <w:t>Přiblížit</w:t>
      </w:r>
      <w:r w:rsidR="00604818" w:rsidRPr="002A2B65">
        <w:rPr>
          <w:rFonts w:asciiTheme="minorHAnsi" w:hAnsiTheme="minorHAnsi" w:cstheme="minorHAnsi"/>
          <w:sz w:val="22"/>
          <w:szCs w:val="22"/>
          <w:lang w:eastAsia="sk-SK"/>
        </w:rPr>
        <w:t xml:space="preserve"> se v úrovni energetické náročnosti průmyslové výroby k</w:t>
      </w:r>
      <w:r w:rsidR="00604818">
        <w:rPr>
          <w:rFonts w:asciiTheme="minorHAnsi" w:hAnsiTheme="minorHAnsi" w:cstheme="minorHAnsi"/>
          <w:sz w:val="22"/>
          <w:szCs w:val="22"/>
          <w:lang w:eastAsia="sk-SK"/>
        </w:rPr>
        <w:t> </w:t>
      </w:r>
      <w:r w:rsidR="00604818" w:rsidRPr="002A2B65">
        <w:rPr>
          <w:rFonts w:asciiTheme="minorHAnsi" w:hAnsiTheme="minorHAnsi" w:cstheme="minorHAnsi"/>
          <w:sz w:val="22"/>
          <w:szCs w:val="22"/>
          <w:lang w:eastAsia="sk-SK"/>
        </w:rPr>
        <w:t>ostatním členským zemím EU, neboť česká ekonomika dosud vykazovala vyšší míru nákladovosti, než činil průměr EU.</w:t>
      </w:r>
    </w:p>
    <w:p w14:paraId="2BED633D" w14:textId="1CB147C1" w:rsidR="00604818" w:rsidRPr="002A2B65" w:rsidRDefault="0078195B" w:rsidP="008B0116">
      <w:pPr>
        <w:pStyle w:val="Odstavecseseznamem"/>
        <w:numPr>
          <w:ilvl w:val="0"/>
          <w:numId w:val="3"/>
        </w:numPr>
        <w:spacing w:line="276" w:lineRule="auto"/>
        <w:rPr>
          <w:rFonts w:asciiTheme="minorHAnsi" w:hAnsiTheme="minorHAnsi" w:cstheme="minorHAnsi"/>
          <w:sz w:val="22"/>
          <w:szCs w:val="22"/>
          <w:lang w:eastAsia="sk-SK"/>
        </w:rPr>
      </w:pPr>
      <w:r>
        <w:rPr>
          <w:rFonts w:asciiTheme="minorHAnsi" w:hAnsiTheme="minorHAnsi" w:cstheme="minorHAnsi"/>
          <w:sz w:val="22"/>
          <w:szCs w:val="22"/>
          <w:lang w:eastAsia="sk-SK"/>
        </w:rPr>
        <w:t>Rozvíjet</w:t>
      </w:r>
      <w:r w:rsidR="00604818" w:rsidRPr="002A2B65">
        <w:rPr>
          <w:rFonts w:asciiTheme="minorHAnsi" w:hAnsiTheme="minorHAnsi" w:cstheme="minorHAnsi"/>
          <w:sz w:val="22"/>
          <w:szCs w:val="22"/>
          <w:lang w:eastAsia="sk-SK"/>
        </w:rPr>
        <w:t xml:space="preserve"> energe</w:t>
      </w:r>
      <w:r>
        <w:rPr>
          <w:rFonts w:asciiTheme="minorHAnsi" w:hAnsiTheme="minorHAnsi" w:cstheme="minorHAnsi"/>
          <w:sz w:val="22"/>
          <w:szCs w:val="22"/>
          <w:lang w:eastAsia="sk-SK"/>
        </w:rPr>
        <w:t>tické služ</w:t>
      </w:r>
      <w:r w:rsidR="00604818" w:rsidRPr="002A2B65">
        <w:rPr>
          <w:rFonts w:asciiTheme="minorHAnsi" w:hAnsiTheme="minorHAnsi" w:cstheme="minorHAnsi"/>
          <w:sz w:val="22"/>
          <w:szCs w:val="22"/>
          <w:lang w:eastAsia="sk-SK"/>
        </w:rPr>
        <w:t>b</w:t>
      </w:r>
      <w:r>
        <w:rPr>
          <w:rFonts w:asciiTheme="minorHAnsi" w:hAnsiTheme="minorHAnsi" w:cstheme="minorHAnsi"/>
          <w:sz w:val="22"/>
          <w:szCs w:val="22"/>
          <w:lang w:eastAsia="sk-SK"/>
        </w:rPr>
        <w:t>y</w:t>
      </w:r>
      <w:r w:rsidR="00604818" w:rsidRPr="002A2B65">
        <w:rPr>
          <w:rFonts w:asciiTheme="minorHAnsi" w:hAnsiTheme="minorHAnsi" w:cstheme="minorHAnsi"/>
          <w:sz w:val="22"/>
          <w:szCs w:val="22"/>
          <w:lang w:eastAsia="sk-SK"/>
        </w:rPr>
        <w:t>, které jsou důležitým nástrojem přispívajícím k nákladově efektivnímu způsobu zvyšování energetické účinnosti.</w:t>
      </w:r>
    </w:p>
    <w:p w14:paraId="4D04D681" w14:textId="77777777" w:rsidR="00604818" w:rsidRPr="002A2B65" w:rsidRDefault="00604818" w:rsidP="008B0116">
      <w:pPr>
        <w:spacing w:after="0"/>
        <w:jc w:val="both"/>
        <w:rPr>
          <w:rFonts w:cstheme="minorHAnsi"/>
          <w:lang w:eastAsia="sk-SK"/>
        </w:rPr>
      </w:pPr>
    </w:p>
    <w:p w14:paraId="4DA5E74F" w14:textId="77777777" w:rsidR="00604818" w:rsidRPr="002A2B65" w:rsidRDefault="00604818" w:rsidP="008B0116">
      <w:pPr>
        <w:keepNext/>
        <w:spacing w:after="0"/>
        <w:jc w:val="both"/>
        <w:rPr>
          <w:rFonts w:cstheme="minorHAnsi"/>
          <w:lang w:eastAsia="sk-SK"/>
        </w:rPr>
      </w:pPr>
      <w:r w:rsidRPr="002A2B65">
        <w:rPr>
          <w:rFonts w:cstheme="minorHAnsi"/>
          <w:lang w:eastAsia="sk-SK"/>
        </w:rPr>
        <w:t>Kvantifikací specifického cíle je především:</w:t>
      </w:r>
    </w:p>
    <w:p w14:paraId="70A7905F" w14:textId="77777777" w:rsidR="00604818" w:rsidRPr="002A2B65" w:rsidRDefault="00604818" w:rsidP="008B0116">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Čistá konečná spotřeba energie v průmyslu</w:t>
      </w:r>
    </w:p>
    <w:p w14:paraId="675A8212" w14:textId="77777777" w:rsidR="00604818" w:rsidRPr="002A2B65" w:rsidRDefault="00604818" w:rsidP="008B0116">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Čistá konečná spotřeba energie ve službách</w:t>
      </w:r>
    </w:p>
    <w:p w14:paraId="163CEC98" w14:textId="77777777" w:rsidR="00604818" w:rsidRPr="002A2B65" w:rsidRDefault="00604818" w:rsidP="008B0116">
      <w:pPr>
        <w:pStyle w:val="Odstavecseseznamem"/>
        <w:numPr>
          <w:ilvl w:val="0"/>
          <w:numId w:val="3"/>
        </w:numPr>
        <w:spacing w:line="276" w:lineRule="auto"/>
        <w:ind w:left="714" w:hanging="357"/>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Podíl obnovitelných zdrojů na konečné spotřebě</w:t>
      </w:r>
    </w:p>
    <w:p w14:paraId="72402AF0" w14:textId="77777777" w:rsidR="00147EA2" w:rsidRPr="001C50E7" w:rsidRDefault="00147EA2" w:rsidP="008B0116">
      <w:pPr>
        <w:spacing w:after="0"/>
        <w:rPr>
          <w:rFonts w:ascii="Calibri" w:hAnsi="Calibri" w:cs="Calibri"/>
        </w:rPr>
      </w:pPr>
    </w:p>
    <w:p w14:paraId="22BC2A68" w14:textId="77777777" w:rsidR="008F612F" w:rsidRPr="001C50E7" w:rsidRDefault="008F612F" w:rsidP="008F612F">
      <w:pPr>
        <w:pStyle w:val="Nadpis2"/>
      </w:pPr>
      <w:bookmarkStart w:id="74" w:name="_Toc4596823"/>
      <w:bookmarkStart w:id="75" w:name="_Toc10729934"/>
      <w:r w:rsidRPr="001C50E7">
        <w:t>Zjištění v návaznosti na evaluační otázku a úkol</w:t>
      </w:r>
      <w:bookmarkEnd w:id="74"/>
      <w:bookmarkEnd w:id="75"/>
    </w:p>
    <w:tbl>
      <w:tblPr>
        <w:tblStyle w:val="Prosttabulka11"/>
        <w:tblW w:w="0" w:type="auto"/>
        <w:tblLook w:val="04A0" w:firstRow="1" w:lastRow="0" w:firstColumn="1" w:lastColumn="0" w:noHBand="0" w:noVBand="1"/>
      </w:tblPr>
      <w:tblGrid>
        <w:gridCol w:w="2972"/>
        <w:gridCol w:w="5954"/>
      </w:tblGrid>
      <w:tr w:rsidR="008F612F" w:rsidRPr="001C50E7" w14:paraId="68C43BE3"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27B39CF1" w14:textId="77777777" w:rsidR="008F612F" w:rsidRPr="001C50E7" w:rsidRDefault="008F612F" w:rsidP="00DD23F3">
            <w:pPr>
              <w:rPr>
                <w:rFonts w:ascii="Calibri" w:hAnsi="Calibri" w:cs="Calibri"/>
              </w:rPr>
            </w:pPr>
            <w:r w:rsidRPr="001C50E7">
              <w:rPr>
                <w:rFonts w:ascii="Calibri" w:hAnsi="Calibri" w:cs="Calibri"/>
              </w:rPr>
              <w:t>Evaluační otázka</w:t>
            </w:r>
          </w:p>
        </w:tc>
        <w:tc>
          <w:tcPr>
            <w:tcW w:w="5954" w:type="dxa"/>
            <w:shd w:val="clear" w:color="auto" w:fill="auto"/>
          </w:tcPr>
          <w:p w14:paraId="55804845" w14:textId="77777777" w:rsidR="00650591" w:rsidRDefault="00F85BBF" w:rsidP="00DD23F3">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F85BBF">
              <w:rPr>
                <w:rFonts w:ascii="Calibri" w:hAnsi="Calibri" w:cs="Calibri"/>
              </w:rPr>
              <w:t xml:space="preserve">Jak přispěly intervence realizované v rámci programu podpory Úspory energie k dosahování SC 3.2 OP PIK? </w:t>
            </w:r>
          </w:p>
          <w:p w14:paraId="30989621" w14:textId="37586750" w:rsidR="008F612F" w:rsidRPr="001C50E7" w:rsidRDefault="00F85BBF" w:rsidP="00DD23F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85BBF">
              <w:rPr>
                <w:rFonts w:ascii="Calibri" w:hAnsi="Calibri" w:cs="Calibri"/>
              </w:rPr>
              <w:t>Vedly intervence k přiblížení se v úrovni energetické náročnosti průmyslové výroby k ostatním členským zemím EU?</w:t>
            </w:r>
          </w:p>
        </w:tc>
      </w:tr>
      <w:tr w:rsidR="008F612F" w:rsidRPr="001C50E7" w14:paraId="55EC6624"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3A73BE" w14:textId="77777777" w:rsidR="008F612F" w:rsidRPr="001E4872" w:rsidRDefault="008F612F" w:rsidP="00DD23F3">
            <w:pPr>
              <w:rPr>
                <w:rFonts w:ascii="Calibri" w:hAnsi="Calibri" w:cs="Calibri"/>
              </w:rPr>
            </w:pPr>
            <w:r w:rsidRPr="001E4872">
              <w:rPr>
                <w:rFonts w:ascii="Calibri" w:hAnsi="Calibri" w:cs="Calibri"/>
              </w:rPr>
              <w:t>Zhodnocení</w:t>
            </w:r>
            <w:r w:rsidRPr="001E4872">
              <w:rPr>
                <w:rFonts w:ascii="Calibri" w:hAnsi="Calibri" w:cs="Calibri"/>
              </w:rPr>
              <w:br/>
            </w:r>
            <w:r w:rsidRPr="001E4872">
              <w:rPr>
                <w:rFonts w:ascii="Calibri" w:hAnsi="Calibri" w:cs="Calibri"/>
                <w:b w:val="0"/>
              </w:rPr>
              <w:t>(Ano, Spíše ano, Spíše ne, Ne, Není relevantní)</w:t>
            </w:r>
          </w:p>
        </w:tc>
        <w:tc>
          <w:tcPr>
            <w:tcW w:w="5954" w:type="dxa"/>
            <w:shd w:val="clear" w:color="auto" w:fill="auto"/>
          </w:tcPr>
          <w:p w14:paraId="1431E66B" w14:textId="77777777" w:rsidR="006862BD" w:rsidRDefault="006862BD"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Není relevantní </w:t>
            </w:r>
          </w:p>
          <w:p w14:paraId="1FFA0707" w14:textId="09336838" w:rsidR="00643CD5" w:rsidRPr="001C50E7" w:rsidRDefault="001E4872"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E4872">
              <w:rPr>
                <w:rFonts w:ascii="Calibri" w:hAnsi="Calibri" w:cs="Calibri"/>
              </w:rPr>
              <w:t>Spíše ano</w:t>
            </w:r>
          </w:p>
        </w:tc>
      </w:tr>
      <w:tr w:rsidR="008F612F" w:rsidRPr="001C50E7" w14:paraId="452365FB"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691761AC" w14:textId="77777777" w:rsidR="008F612F" w:rsidRPr="0078195B" w:rsidRDefault="000722BD" w:rsidP="00DD23F3">
            <w:pPr>
              <w:rPr>
                <w:rFonts w:ascii="Calibri" w:hAnsi="Calibri" w:cs="Calibri"/>
                <w:highlight w:val="yellow"/>
              </w:rPr>
            </w:pPr>
            <w:r w:rsidRPr="000417EE">
              <w:rPr>
                <w:rFonts w:ascii="Calibri" w:hAnsi="Calibri" w:cs="Calibri"/>
              </w:rPr>
              <w:t>Hlavní závěry a zjištění</w:t>
            </w:r>
          </w:p>
        </w:tc>
        <w:tc>
          <w:tcPr>
            <w:tcW w:w="5954" w:type="dxa"/>
            <w:shd w:val="clear" w:color="auto" w:fill="auto"/>
          </w:tcPr>
          <w:p w14:paraId="78295B02" w14:textId="77777777" w:rsidR="008B0116" w:rsidRDefault="00BD6FE7"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Při vyhodnocování této evaluační otázky hrál roli příliš malý</w:t>
            </w:r>
            <w:r w:rsidRPr="000339F9">
              <w:rPr>
                <w:rFonts w:ascii="Calibri" w:hAnsi="Calibri" w:cs="Calibri"/>
              </w:rPr>
              <w:t xml:space="preserve"> časový odstup od zahájení implementace programu, v důsledku něhož se plně nemohl projevit efekt podpory</w:t>
            </w:r>
            <w:r w:rsidR="008B0116">
              <w:rPr>
                <w:rFonts w:ascii="Calibri" w:hAnsi="Calibri" w:cs="Calibri"/>
              </w:rPr>
              <w:t>,</w:t>
            </w:r>
            <w:r w:rsidRPr="000339F9">
              <w:rPr>
                <w:rFonts w:ascii="Calibri" w:hAnsi="Calibri" w:cs="Calibri"/>
              </w:rPr>
              <w:t xml:space="preserve"> a prozatím velmi malým počtem ukončených projektů. </w:t>
            </w:r>
            <w:r>
              <w:rPr>
                <w:rFonts w:ascii="Calibri" w:hAnsi="Calibri" w:cs="Calibri"/>
              </w:rPr>
              <w:t xml:space="preserve">Z tohoto důvodu není možné na evaluační otázku odpovědět zcela robustně. </w:t>
            </w:r>
          </w:p>
          <w:p w14:paraId="2F955862" w14:textId="77777777" w:rsidR="008B0116" w:rsidRDefault="008B0116"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3D4BDC7" w14:textId="138138E3" w:rsidR="008B0116" w:rsidRDefault="00BD6FE7"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39F9">
              <w:rPr>
                <w:rFonts w:ascii="Calibri" w:hAnsi="Calibri" w:cs="Calibri"/>
              </w:rPr>
              <w:t xml:space="preserve">Na základě poskytnutých dat a informací lze však konstatovat, že </w:t>
            </w:r>
            <w:r>
              <w:rPr>
                <w:rFonts w:ascii="Calibri" w:hAnsi="Calibri" w:cs="Calibri"/>
              </w:rPr>
              <w:t xml:space="preserve">intervenční logika SC 3.2 je nastavena tak, že podporované projekty přispívají ke stanoveným cílům a výsledkům. </w:t>
            </w:r>
          </w:p>
          <w:p w14:paraId="197C577F" w14:textId="5F701BC7" w:rsidR="00B1312D" w:rsidRDefault="00BD6FE7"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 důsledku doposud poměrně malého počtu dokončených projektů jsou však i dosažené výsledky nízké.</w:t>
            </w:r>
          </w:p>
          <w:p w14:paraId="6AE68DC9" w14:textId="77777777" w:rsidR="008B0116" w:rsidRDefault="008B0116"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DCB23A7" w14:textId="203D9803" w:rsidR="00BD6FE7" w:rsidRPr="001C50E7" w:rsidRDefault="003A0D59" w:rsidP="00BD6FE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Realizované projekty přispívají především ke snížení konečné spotřeby energie. Tento indikátor je prozatím naplněn jen z 1,12 %. Závazek příjemců k naplnění tohoto indikátoru dosahuje hodnoty téměř 28 % a podílí se 4,3 % na naplňování výsledku úspory energie stanoveného Směrnicí 2012/27/EU o energetické náročnosti. ČR se v úrovni energetické náročnosti </w:t>
            </w:r>
            <w:r>
              <w:rPr>
                <w:rFonts w:ascii="Calibri" w:hAnsi="Calibri" w:cs="Calibri"/>
              </w:rPr>
              <w:lastRenderedPageBreak/>
              <w:t>průmyslové výroby přibližuje k ostatním zemím EU, podíl PP ÚE na tomto vývoji je však zatím v důsledku nízkého počtu ukončených projektů minimální.</w:t>
            </w:r>
          </w:p>
        </w:tc>
      </w:tr>
      <w:tr w:rsidR="008F612F" w:rsidRPr="001C50E7" w14:paraId="7257AB1C"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0C1D61" w14:textId="436AD8A2" w:rsidR="008F612F" w:rsidRPr="009F01A8" w:rsidRDefault="008F612F" w:rsidP="00DD23F3">
            <w:pPr>
              <w:rPr>
                <w:rFonts w:ascii="Calibri" w:hAnsi="Calibri" w:cs="Calibri"/>
              </w:rPr>
            </w:pPr>
            <w:r w:rsidRPr="009F01A8">
              <w:rPr>
                <w:rFonts w:ascii="Calibri" w:hAnsi="Calibri" w:cs="Calibri"/>
              </w:rPr>
              <w:lastRenderedPageBreak/>
              <w:t>Doporučení pro programové období 2014 - 2020</w:t>
            </w:r>
          </w:p>
        </w:tc>
        <w:tc>
          <w:tcPr>
            <w:tcW w:w="5954" w:type="dxa"/>
            <w:shd w:val="clear" w:color="auto" w:fill="auto"/>
          </w:tcPr>
          <w:p w14:paraId="3DD01237" w14:textId="4014E4BD" w:rsidR="008F612F" w:rsidRPr="009F01A8" w:rsidRDefault="000417EE" w:rsidP="003A0D5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01A8">
              <w:rPr>
                <w:rFonts w:ascii="Calibri" w:hAnsi="Calibri" w:cs="Calibri"/>
              </w:rPr>
              <w:t>Rozšířením oprávněných žadatelů o ty, kteří doposud nemohli čerpat dotace na úsporu energií (např. zahrnutí doposud vyjmutých CZ-NACE</w:t>
            </w:r>
            <w:r w:rsidR="008615E4">
              <w:rPr>
                <w:rFonts w:ascii="Calibri" w:hAnsi="Calibri" w:cs="Calibri"/>
              </w:rPr>
              <w:t>, jejichž doplnění není v rozporu s pravidly veřejné podpory</w:t>
            </w:r>
            <w:r w:rsidRPr="009F01A8">
              <w:rPr>
                <w:rFonts w:ascii="Calibri" w:hAnsi="Calibri" w:cs="Calibri"/>
              </w:rPr>
              <w:t>)</w:t>
            </w:r>
            <w:r w:rsidR="008B0116" w:rsidRPr="009F01A8">
              <w:rPr>
                <w:rFonts w:ascii="Calibri" w:hAnsi="Calibri" w:cs="Calibri"/>
              </w:rPr>
              <w:t>,</w:t>
            </w:r>
            <w:r w:rsidRPr="009F01A8">
              <w:rPr>
                <w:rFonts w:ascii="Calibri" w:hAnsi="Calibri" w:cs="Calibri"/>
              </w:rPr>
              <w:t xml:space="preserve"> může vést k vyššímu podílu úspor energie v rámci jednotlivých projektů, tj. rychlejšímu naplňování stanovených indikátorů.</w:t>
            </w:r>
          </w:p>
        </w:tc>
      </w:tr>
      <w:tr w:rsidR="008F612F" w:rsidRPr="001C50E7" w14:paraId="59620D96"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284C36ED" w14:textId="77777777" w:rsidR="008F612F" w:rsidRPr="009F01A8" w:rsidRDefault="008F612F" w:rsidP="00DD23F3">
            <w:pPr>
              <w:rPr>
                <w:rFonts w:ascii="Calibri" w:hAnsi="Calibri" w:cs="Calibri"/>
                <w:highlight w:val="yellow"/>
              </w:rPr>
            </w:pPr>
          </w:p>
        </w:tc>
        <w:tc>
          <w:tcPr>
            <w:tcW w:w="5954" w:type="dxa"/>
            <w:shd w:val="clear" w:color="auto" w:fill="auto"/>
          </w:tcPr>
          <w:p w14:paraId="0EE3EF5A" w14:textId="3EEDC487" w:rsidR="008F612F" w:rsidRPr="009F01A8" w:rsidRDefault="00A5671D" w:rsidP="00DD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F01A8">
              <w:rPr>
                <w:rFonts w:ascii="Calibri" w:hAnsi="Calibri" w:cs="Calibri"/>
              </w:rPr>
              <w:t>V připravované V. výzvě ÚE zjednodušit administrativní požadavky pro žadatele</w:t>
            </w:r>
            <w:r w:rsidR="00D6628B" w:rsidRPr="009F01A8">
              <w:rPr>
                <w:rFonts w:ascii="Calibri" w:hAnsi="Calibri" w:cs="Calibri"/>
              </w:rPr>
              <w:t>, zejména</w:t>
            </w:r>
            <w:r w:rsidRPr="009F01A8">
              <w:rPr>
                <w:rFonts w:ascii="Calibri" w:hAnsi="Calibri" w:cs="Calibri"/>
              </w:rPr>
              <w:t xml:space="preserve"> v případě „jednoduchých“ opatření (zateplování objektů, výměny otvorových výplní apod.)</w:t>
            </w:r>
            <w:r w:rsidR="00994D2B" w:rsidRPr="009F01A8">
              <w:rPr>
                <w:rFonts w:ascii="Calibri" w:hAnsi="Calibri" w:cs="Calibri"/>
              </w:rPr>
              <w:t>. Např.</w:t>
            </w:r>
            <w:r w:rsidRPr="009F01A8">
              <w:rPr>
                <w:rFonts w:ascii="Calibri" w:hAnsi="Calibri" w:cs="Calibri"/>
              </w:rPr>
              <w:t xml:space="preserve"> energetický posudek </w:t>
            </w:r>
            <w:r w:rsidR="00994D2B" w:rsidRPr="009F01A8">
              <w:rPr>
                <w:rFonts w:ascii="Calibri" w:hAnsi="Calibri" w:cs="Calibri"/>
              </w:rPr>
              <w:t xml:space="preserve">nahradit energetickým hodnocením budovy v obdobném rozsahu, jaký je vyžadován např. v programu Nová zelená úsporám.    </w:t>
            </w:r>
          </w:p>
        </w:tc>
      </w:tr>
      <w:tr w:rsidR="000417EE" w:rsidRPr="001C50E7" w14:paraId="015FD6E8" w14:textId="77777777" w:rsidTr="007C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7489FC" w14:textId="5745874A" w:rsidR="000417EE" w:rsidRPr="000417EE" w:rsidRDefault="000417EE" w:rsidP="00DD23F3">
            <w:pPr>
              <w:rPr>
                <w:rFonts w:ascii="Calibri" w:hAnsi="Calibri" w:cs="Calibri"/>
              </w:rPr>
            </w:pPr>
            <w:r w:rsidRPr="000417EE">
              <w:rPr>
                <w:rFonts w:ascii="Calibri" w:hAnsi="Calibri" w:cs="Calibri"/>
              </w:rPr>
              <w:t>Doporučení pro programové období 2021</w:t>
            </w:r>
            <w:r w:rsidR="002C6DC4">
              <w:rPr>
                <w:rFonts w:ascii="Calibri" w:hAnsi="Calibri" w:cs="Calibri"/>
              </w:rPr>
              <w:t xml:space="preserve"> - 2027</w:t>
            </w:r>
          </w:p>
        </w:tc>
        <w:tc>
          <w:tcPr>
            <w:tcW w:w="5954" w:type="dxa"/>
            <w:shd w:val="clear" w:color="auto" w:fill="auto"/>
          </w:tcPr>
          <w:p w14:paraId="3ADE689B" w14:textId="6CD36B39" w:rsidR="000417EE" w:rsidRPr="001C50E7" w:rsidRDefault="00294948"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Z</w:t>
            </w:r>
            <w:r w:rsidR="000417EE" w:rsidRPr="000417EE">
              <w:rPr>
                <w:rFonts w:ascii="Calibri" w:hAnsi="Calibri" w:cs="Calibri"/>
              </w:rPr>
              <w:t>achovat a dále rozvíjet nástroje podpory ÚE tak, aby byla zajištěna komplexnost a dlouhodobost těchto aktivit.</w:t>
            </w:r>
          </w:p>
        </w:tc>
      </w:tr>
      <w:tr w:rsidR="000417EE" w:rsidRPr="001C50E7" w14:paraId="2BB19F34" w14:textId="77777777" w:rsidTr="007C1294">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352427D7" w14:textId="77777777" w:rsidR="000417EE" w:rsidRPr="001C50E7" w:rsidRDefault="000417EE" w:rsidP="00DD23F3">
            <w:pPr>
              <w:rPr>
                <w:rFonts w:ascii="Calibri" w:hAnsi="Calibri" w:cs="Calibri"/>
              </w:rPr>
            </w:pPr>
          </w:p>
        </w:tc>
        <w:tc>
          <w:tcPr>
            <w:tcW w:w="5954" w:type="dxa"/>
            <w:shd w:val="clear" w:color="auto" w:fill="auto"/>
          </w:tcPr>
          <w:p w14:paraId="47192BC9" w14:textId="10E2104B" w:rsidR="000417EE" w:rsidRPr="001C50E7" w:rsidRDefault="000417EE" w:rsidP="00DD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17EE">
              <w:rPr>
                <w:rFonts w:ascii="Calibri" w:hAnsi="Calibri" w:cs="Calibri"/>
              </w:rPr>
              <w:t>Minimalizovat administrativní náročnost zpracování žádostí o dotaci</w:t>
            </w:r>
            <w:r>
              <w:rPr>
                <w:rFonts w:ascii="Calibri" w:hAnsi="Calibri" w:cs="Calibri"/>
              </w:rPr>
              <w:t xml:space="preserve"> i administraci při realizaci projektu</w:t>
            </w:r>
            <w:r w:rsidRPr="000417EE">
              <w:rPr>
                <w:rFonts w:ascii="Calibri" w:hAnsi="Calibri" w:cs="Calibri"/>
              </w:rPr>
              <w:t>, neboť je to právě tento faktor, který demotivuje podniky žádat o dotaci z PP ÚE.</w:t>
            </w:r>
          </w:p>
        </w:tc>
      </w:tr>
      <w:tr w:rsidR="009F01A8" w:rsidRPr="009F01A8" w14:paraId="79AFD222" w14:textId="77777777" w:rsidTr="007C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CA9127" w14:textId="77777777" w:rsidR="00D6628B" w:rsidRPr="009F01A8" w:rsidRDefault="00D6628B" w:rsidP="00DD23F3">
            <w:pPr>
              <w:rPr>
                <w:rFonts w:ascii="Calibri" w:hAnsi="Calibri" w:cs="Calibri"/>
              </w:rPr>
            </w:pPr>
          </w:p>
        </w:tc>
        <w:tc>
          <w:tcPr>
            <w:tcW w:w="5954" w:type="dxa"/>
            <w:shd w:val="clear" w:color="auto" w:fill="auto"/>
          </w:tcPr>
          <w:p w14:paraId="142F67DA" w14:textId="7061EA0E" w:rsidR="00D6628B" w:rsidRPr="009F01A8" w:rsidRDefault="00D6628B"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01A8">
              <w:rPr>
                <w:rFonts w:ascii="Calibri" w:hAnsi="Calibri" w:cs="Calibri"/>
              </w:rPr>
              <w:t xml:space="preserve">Zvážit zapojení inovativních finančních nástrojů pro vytvoření dlouhodobého, stabilního systému financování investic v oblasti zvyšování energetické účinnosti. </w:t>
            </w:r>
          </w:p>
        </w:tc>
      </w:tr>
      <w:tr w:rsidR="000417EE" w:rsidRPr="001C50E7" w14:paraId="6198957B" w14:textId="77777777" w:rsidTr="00294948">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22C50973" w14:textId="77777777" w:rsidR="000417EE" w:rsidRPr="001C50E7" w:rsidRDefault="000417EE" w:rsidP="00DD23F3">
            <w:pPr>
              <w:rPr>
                <w:rFonts w:ascii="Calibri" w:hAnsi="Calibri" w:cs="Calibri"/>
              </w:rPr>
            </w:pPr>
          </w:p>
        </w:tc>
        <w:tc>
          <w:tcPr>
            <w:tcW w:w="5954" w:type="dxa"/>
            <w:shd w:val="clear" w:color="auto" w:fill="auto"/>
          </w:tcPr>
          <w:p w14:paraId="7C0832FA" w14:textId="0472B966" w:rsidR="000417EE" w:rsidRDefault="000417EE" w:rsidP="00DD23F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Nastavit dlouhodobě udržitelný systém kontroly a hodnocení projektů tak, aby se maximálně snížila doba na vyhodnocení projektu.</w:t>
            </w:r>
          </w:p>
        </w:tc>
      </w:tr>
      <w:tr w:rsidR="00D6628B" w:rsidRPr="001C50E7" w14:paraId="215AEDD3" w14:textId="77777777" w:rsidTr="007C1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E7F4ED" w14:textId="77777777" w:rsidR="00D6628B" w:rsidRPr="001C50E7" w:rsidRDefault="00D6628B" w:rsidP="00DD23F3">
            <w:pPr>
              <w:rPr>
                <w:rFonts w:ascii="Calibri" w:hAnsi="Calibri" w:cs="Calibri"/>
              </w:rPr>
            </w:pPr>
          </w:p>
        </w:tc>
        <w:tc>
          <w:tcPr>
            <w:tcW w:w="5954" w:type="dxa"/>
            <w:shd w:val="clear" w:color="auto" w:fill="auto"/>
          </w:tcPr>
          <w:p w14:paraId="1FABEAC9" w14:textId="389D730E" w:rsidR="00D6628B" w:rsidRDefault="001B6268"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Využívat </w:t>
            </w:r>
            <w:r w:rsidR="00294948">
              <w:rPr>
                <w:rFonts w:ascii="Calibri" w:hAnsi="Calibri" w:cs="Calibri"/>
              </w:rPr>
              <w:t>metodiku</w:t>
            </w:r>
            <w:r>
              <w:rPr>
                <w:rFonts w:ascii="Calibri" w:hAnsi="Calibri" w:cs="Calibri"/>
              </w:rPr>
              <w:t xml:space="preserve"> design-and-build při zadávání zakázek (tj. pře</w:t>
            </w:r>
            <w:r>
              <w:t>nesení odpovědnosti za zpracování projektové dokumentace a celkovou kvalitu provedení na dodavatele).</w:t>
            </w:r>
          </w:p>
        </w:tc>
      </w:tr>
    </w:tbl>
    <w:p w14:paraId="54C43887" w14:textId="77777777" w:rsidR="008F612F" w:rsidRPr="001C50E7" w:rsidRDefault="008F612F" w:rsidP="008F612F">
      <w:pPr>
        <w:spacing w:after="0"/>
        <w:rPr>
          <w:rFonts w:ascii="Calibri" w:hAnsi="Calibri" w:cs="Calibri"/>
        </w:rPr>
      </w:pPr>
    </w:p>
    <w:p w14:paraId="06B9805E" w14:textId="77777777" w:rsidR="008F612F" w:rsidRPr="00776124" w:rsidRDefault="008F612F" w:rsidP="008F612F">
      <w:pPr>
        <w:pStyle w:val="Nadpis2"/>
      </w:pPr>
      <w:bookmarkStart w:id="76" w:name="_Toc4596824"/>
      <w:bookmarkStart w:id="77" w:name="_Toc10729935"/>
      <w:r w:rsidRPr="00776124">
        <w:t>Doplňující informace k evaluační otázce</w:t>
      </w:r>
      <w:bookmarkEnd w:id="76"/>
      <w:bookmarkEnd w:id="77"/>
    </w:p>
    <w:p w14:paraId="433911C4" w14:textId="61B13BD8" w:rsidR="00D065F5" w:rsidRDefault="00D065F5" w:rsidP="00D065F5">
      <w:pPr>
        <w:pStyle w:val="Nadpis3"/>
      </w:pPr>
      <w:bookmarkStart w:id="78" w:name="_Toc10729936"/>
      <w:r>
        <w:t>Kvantitativní vyhodnocení plnění SC</w:t>
      </w:r>
      <w:bookmarkEnd w:id="78"/>
    </w:p>
    <w:p w14:paraId="367D1780" w14:textId="2EDA6C65" w:rsidR="00A06617" w:rsidRDefault="00A06617" w:rsidP="008B0116">
      <w:pPr>
        <w:spacing w:after="0"/>
      </w:pPr>
      <w:r>
        <w:t>Pro SC 3.2 byly stanoveny 3 hlavní indikátory výsledku: „Čistá konečná spotřeba energie v průmyslu“, „Čistá konečná spotřeba energie ve službách“ a „Podíl obnovitelných zdrojů na konečné spotřebě“.</w:t>
      </w:r>
    </w:p>
    <w:p w14:paraId="0C7D39F5" w14:textId="77777777" w:rsidR="008B0116" w:rsidRDefault="008B0116" w:rsidP="008B0116">
      <w:pPr>
        <w:spacing w:after="0"/>
      </w:pPr>
    </w:p>
    <w:p w14:paraId="67C9C5E4" w14:textId="31E6E8F4" w:rsidR="00A06617" w:rsidRDefault="00A06617" w:rsidP="00A06617">
      <w:pPr>
        <w:pStyle w:val="Titulek"/>
      </w:pPr>
      <w:bookmarkStart w:id="79" w:name="_Toc10730025"/>
      <w:r w:rsidRPr="00986571">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6</w:t>
      </w:r>
      <w:r w:rsidR="00BD754F">
        <w:rPr>
          <w:noProof/>
        </w:rPr>
        <w:fldChar w:fldCharType="end"/>
      </w:r>
      <w:r w:rsidRPr="00986571">
        <w:t xml:space="preserve">: </w:t>
      </w:r>
      <w:r w:rsidR="00986571" w:rsidRPr="00986571">
        <w:t>Hlavní indikátory</w:t>
      </w:r>
      <w:r w:rsidRPr="00986571">
        <w:t xml:space="preserve"> výsledku SC 3.2</w:t>
      </w:r>
      <w:bookmarkEnd w:id="79"/>
    </w:p>
    <w:tbl>
      <w:tblPr>
        <w:tblStyle w:val="Mkatabulky"/>
        <w:tblW w:w="498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51"/>
        <w:gridCol w:w="1710"/>
        <w:gridCol w:w="938"/>
        <w:gridCol w:w="923"/>
        <w:gridCol w:w="837"/>
        <w:gridCol w:w="901"/>
        <w:gridCol w:w="785"/>
        <w:gridCol w:w="787"/>
        <w:gridCol w:w="826"/>
        <w:gridCol w:w="826"/>
      </w:tblGrid>
      <w:tr w:rsidR="0078195B" w:rsidRPr="009F01A8" w14:paraId="10D33A35" w14:textId="77777777" w:rsidTr="009F01A8">
        <w:trPr>
          <w:trHeight w:val="791"/>
        </w:trPr>
        <w:tc>
          <w:tcPr>
            <w:tcW w:w="404" w:type="pct"/>
            <w:shd w:val="clear" w:color="auto" w:fill="002060"/>
            <w:hideMark/>
          </w:tcPr>
          <w:p w14:paraId="42B99B5D"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ID</w:t>
            </w:r>
          </w:p>
        </w:tc>
        <w:tc>
          <w:tcPr>
            <w:tcW w:w="921" w:type="pct"/>
            <w:shd w:val="clear" w:color="auto" w:fill="002060"/>
            <w:hideMark/>
          </w:tcPr>
          <w:p w14:paraId="658A08F6"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Indikátor</w:t>
            </w:r>
          </w:p>
        </w:tc>
        <w:tc>
          <w:tcPr>
            <w:tcW w:w="505" w:type="pct"/>
            <w:shd w:val="clear" w:color="auto" w:fill="002060"/>
            <w:hideMark/>
          </w:tcPr>
          <w:p w14:paraId="7B86BED3"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Měrná jednotka</w:t>
            </w:r>
          </w:p>
        </w:tc>
        <w:tc>
          <w:tcPr>
            <w:tcW w:w="497" w:type="pct"/>
            <w:shd w:val="clear" w:color="auto" w:fill="002060"/>
            <w:hideMark/>
          </w:tcPr>
          <w:p w14:paraId="7B538F59"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Výchozí hodnota</w:t>
            </w:r>
          </w:p>
        </w:tc>
        <w:tc>
          <w:tcPr>
            <w:tcW w:w="451" w:type="pct"/>
            <w:shd w:val="clear" w:color="auto" w:fill="002060"/>
            <w:hideMark/>
          </w:tcPr>
          <w:p w14:paraId="4FAF3C59"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Výchozí rok</w:t>
            </w:r>
          </w:p>
        </w:tc>
        <w:tc>
          <w:tcPr>
            <w:tcW w:w="485" w:type="pct"/>
            <w:shd w:val="clear" w:color="auto" w:fill="002060"/>
            <w:hideMark/>
          </w:tcPr>
          <w:p w14:paraId="10AAF548"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Cílová hodnota (2023)</w:t>
            </w:r>
          </w:p>
        </w:tc>
        <w:tc>
          <w:tcPr>
            <w:tcW w:w="423" w:type="pct"/>
            <w:shd w:val="clear" w:color="auto" w:fill="002060"/>
            <w:hideMark/>
          </w:tcPr>
          <w:p w14:paraId="0990818F"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2014</w:t>
            </w:r>
          </w:p>
        </w:tc>
        <w:tc>
          <w:tcPr>
            <w:tcW w:w="424" w:type="pct"/>
            <w:shd w:val="clear" w:color="auto" w:fill="002060"/>
            <w:hideMark/>
          </w:tcPr>
          <w:p w14:paraId="07C6F97C"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2015</w:t>
            </w:r>
          </w:p>
        </w:tc>
        <w:tc>
          <w:tcPr>
            <w:tcW w:w="445" w:type="pct"/>
            <w:shd w:val="clear" w:color="auto" w:fill="002060"/>
            <w:hideMark/>
          </w:tcPr>
          <w:p w14:paraId="775DB5CD"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2016</w:t>
            </w:r>
          </w:p>
        </w:tc>
        <w:tc>
          <w:tcPr>
            <w:tcW w:w="445" w:type="pct"/>
            <w:shd w:val="clear" w:color="auto" w:fill="002060"/>
            <w:hideMark/>
          </w:tcPr>
          <w:p w14:paraId="61147CAC" w14:textId="77777777" w:rsidR="0078195B" w:rsidRPr="009F01A8" w:rsidRDefault="0078195B" w:rsidP="002767C5">
            <w:pPr>
              <w:jc w:val="center"/>
              <w:rPr>
                <w:rFonts w:cstheme="minorHAnsi"/>
                <w:b/>
                <w:color w:val="FFFFFF" w:themeColor="background1"/>
                <w:sz w:val="16"/>
                <w:szCs w:val="16"/>
              </w:rPr>
            </w:pPr>
            <w:r w:rsidRPr="009F01A8">
              <w:rPr>
                <w:rFonts w:cstheme="minorHAnsi"/>
                <w:b/>
                <w:color w:val="FFFFFF" w:themeColor="background1"/>
                <w:sz w:val="16"/>
                <w:szCs w:val="16"/>
              </w:rPr>
              <w:t>2017</w:t>
            </w:r>
          </w:p>
        </w:tc>
      </w:tr>
      <w:tr w:rsidR="0078195B" w:rsidRPr="009F01A8" w14:paraId="7A5CF634" w14:textId="77777777" w:rsidTr="009F01A8">
        <w:trPr>
          <w:trHeight w:val="218"/>
        </w:trPr>
        <w:tc>
          <w:tcPr>
            <w:tcW w:w="404" w:type="pct"/>
            <w:noWrap/>
            <w:vAlign w:val="center"/>
          </w:tcPr>
          <w:p w14:paraId="126CB5FC" w14:textId="77777777" w:rsidR="0078195B" w:rsidRPr="009F01A8" w:rsidRDefault="0078195B" w:rsidP="002767C5">
            <w:pPr>
              <w:rPr>
                <w:rFonts w:cstheme="minorHAnsi"/>
                <w:sz w:val="16"/>
                <w:szCs w:val="16"/>
              </w:rPr>
            </w:pPr>
            <w:r w:rsidRPr="009F01A8">
              <w:rPr>
                <w:rFonts w:ascii="Calibri" w:hAnsi="Calibri"/>
                <w:color w:val="000000"/>
                <w:sz w:val="16"/>
                <w:szCs w:val="16"/>
              </w:rPr>
              <w:t>32210</w:t>
            </w:r>
          </w:p>
        </w:tc>
        <w:tc>
          <w:tcPr>
            <w:tcW w:w="921" w:type="pct"/>
            <w:vAlign w:val="center"/>
          </w:tcPr>
          <w:p w14:paraId="6F8E36E5" w14:textId="3F29A299" w:rsidR="0078195B" w:rsidRPr="009F01A8" w:rsidRDefault="0078195B" w:rsidP="0078195B">
            <w:pPr>
              <w:rPr>
                <w:rFonts w:cstheme="minorHAnsi"/>
                <w:sz w:val="16"/>
                <w:szCs w:val="16"/>
              </w:rPr>
            </w:pPr>
            <w:r w:rsidRPr="009F01A8">
              <w:rPr>
                <w:rFonts w:ascii="Calibri" w:hAnsi="Calibri"/>
                <w:color w:val="000000"/>
                <w:sz w:val="16"/>
                <w:szCs w:val="16"/>
              </w:rPr>
              <w:t>Čistá konečná</w:t>
            </w:r>
            <w:r w:rsidRPr="009F01A8">
              <w:rPr>
                <w:rFonts w:ascii="Calibri" w:hAnsi="Calibri"/>
                <w:color w:val="000000"/>
                <w:sz w:val="16"/>
                <w:szCs w:val="16"/>
              </w:rPr>
              <w:br/>
              <w:t>spotřeba energie v</w:t>
            </w:r>
            <w:r w:rsidRPr="009F01A8">
              <w:rPr>
                <w:rFonts w:ascii="Calibri" w:hAnsi="Calibri"/>
                <w:color w:val="000000"/>
                <w:sz w:val="16"/>
                <w:szCs w:val="16"/>
              </w:rPr>
              <w:br/>
              <w:t>průmyslu</w:t>
            </w:r>
          </w:p>
        </w:tc>
        <w:tc>
          <w:tcPr>
            <w:tcW w:w="505" w:type="pct"/>
            <w:noWrap/>
            <w:vAlign w:val="center"/>
          </w:tcPr>
          <w:p w14:paraId="3DDCF1CB" w14:textId="77777777" w:rsidR="0078195B" w:rsidRPr="009F01A8" w:rsidRDefault="0078195B" w:rsidP="002767C5">
            <w:pPr>
              <w:jc w:val="center"/>
              <w:rPr>
                <w:rFonts w:cstheme="minorHAnsi"/>
                <w:sz w:val="16"/>
                <w:szCs w:val="16"/>
              </w:rPr>
            </w:pPr>
            <w:r w:rsidRPr="009F01A8">
              <w:rPr>
                <w:rFonts w:ascii="Calibri" w:hAnsi="Calibri"/>
                <w:sz w:val="16"/>
                <w:szCs w:val="16"/>
              </w:rPr>
              <w:t>TJ</w:t>
            </w:r>
          </w:p>
        </w:tc>
        <w:tc>
          <w:tcPr>
            <w:tcW w:w="497" w:type="pct"/>
            <w:noWrap/>
            <w:vAlign w:val="center"/>
          </w:tcPr>
          <w:p w14:paraId="6034C34C" w14:textId="5937FE49" w:rsidR="0078195B" w:rsidRPr="009F01A8" w:rsidRDefault="0078195B" w:rsidP="002767C5">
            <w:pPr>
              <w:jc w:val="right"/>
              <w:rPr>
                <w:rFonts w:cstheme="minorHAnsi"/>
                <w:sz w:val="16"/>
                <w:szCs w:val="16"/>
              </w:rPr>
            </w:pPr>
            <w:r w:rsidRPr="009F01A8">
              <w:rPr>
                <w:rFonts w:ascii="Calibri" w:hAnsi="Calibri"/>
                <w:sz w:val="16"/>
                <w:szCs w:val="16"/>
              </w:rPr>
              <w:t>325 903 (280</w:t>
            </w:r>
            <w:r w:rsidR="00B64206">
              <w:rPr>
                <w:rFonts w:ascii="Calibri" w:hAnsi="Calibri"/>
                <w:sz w:val="16"/>
                <w:szCs w:val="16"/>
              </w:rPr>
              <w:t> </w:t>
            </w:r>
            <w:r w:rsidRPr="009F01A8">
              <w:rPr>
                <w:rFonts w:ascii="Calibri" w:hAnsi="Calibri"/>
                <w:sz w:val="16"/>
                <w:szCs w:val="16"/>
              </w:rPr>
              <w:t>741</w:t>
            </w:r>
            <w:r w:rsidR="00B64206">
              <w:rPr>
                <w:rFonts w:ascii="Calibri" w:hAnsi="Calibri"/>
                <w:sz w:val="16"/>
                <w:szCs w:val="16"/>
                <w:vertAlign w:val="superscript"/>
              </w:rPr>
              <w:t>*</w:t>
            </w:r>
            <w:r w:rsidRPr="009F01A8">
              <w:rPr>
                <w:rFonts w:ascii="Calibri" w:hAnsi="Calibri"/>
                <w:sz w:val="16"/>
                <w:szCs w:val="16"/>
              </w:rPr>
              <w:t>)</w:t>
            </w:r>
          </w:p>
        </w:tc>
        <w:tc>
          <w:tcPr>
            <w:tcW w:w="451" w:type="pct"/>
            <w:noWrap/>
            <w:vAlign w:val="center"/>
          </w:tcPr>
          <w:p w14:paraId="6335308B" w14:textId="77777777" w:rsidR="0078195B" w:rsidRPr="009F01A8" w:rsidRDefault="0078195B" w:rsidP="002767C5">
            <w:pPr>
              <w:jc w:val="center"/>
              <w:rPr>
                <w:rFonts w:cstheme="minorHAnsi"/>
                <w:sz w:val="16"/>
                <w:szCs w:val="16"/>
              </w:rPr>
            </w:pPr>
            <w:r w:rsidRPr="009F01A8">
              <w:rPr>
                <w:rFonts w:ascii="Calibri" w:hAnsi="Calibri"/>
                <w:sz w:val="16"/>
                <w:szCs w:val="16"/>
              </w:rPr>
              <w:t>2012</w:t>
            </w:r>
          </w:p>
        </w:tc>
        <w:tc>
          <w:tcPr>
            <w:tcW w:w="485" w:type="pct"/>
            <w:vAlign w:val="center"/>
          </w:tcPr>
          <w:p w14:paraId="0A9440F5" w14:textId="5423221E" w:rsidR="0078195B" w:rsidRPr="009F01A8" w:rsidRDefault="0078195B" w:rsidP="002767C5">
            <w:pPr>
              <w:jc w:val="right"/>
              <w:rPr>
                <w:rFonts w:cstheme="minorHAnsi"/>
                <w:sz w:val="16"/>
                <w:szCs w:val="16"/>
              </w:rPr>
            </w:pPr>
            <w:r w:rsidRPr="009F01A8">
              <w:rPr>
                <w:rFonts w:ascii="Calibri" w:hAnsi="Calibri"/>
                <w:sz w:val="16"/>
                <w:szCs w:val="16"/>
              </w:rPr>
              <w:t>336 838 (291</w:t>
            </w:r>
            <w:r w:rsidR="00B64206">
              <w:rPr>
                <w:rFonts w:ascii="Calibri" w:hAnsi="Calibri"/>
                <w:sz w:val="16"/>
                <w:szCs w:val="16"/>
              </w:rPr>
              <w:t> </w:t>
            </w:r>
            <w:r w:rsidRPr="009F01A8">
              <w:rPr>
                <w:rFonts w:ascii="Calibri" w:hAnsi="Calibri"/>
                <w:sz w:val="16"/>
                <w:szCs w:val="16"/>
              </w:rPr>
              <w:t>017</w:t>
            </w:r>
            <w:r w:rsidR="00B64206">
              <w:rPr>
                <w:rFonts w:ascii="Calibri" w:hAnsi="Calibri"/>
                <w:sz w:val="16"/>
                <w:szCs w:val="16"/>
                <w:vertAlign w:val="superscript"/>
              </w:rPr>
              <w:t>*</w:t>
            </w:r>
            <w:r w:rsidRPr="009F01A8">
              <w:rPr>
                <w:rFonts w:ascii="Calibri" w:hAnsi="Calibri"/>
                <w:sz w:val="16"/>
                <w:szCs w:val="16"/>
              </w:rPr>
              <w:t>)</w:t>
            </w:r>
          </w:p>
        </w:tc>
        <w:tc>
          <w:tcPr>
            <w:tcW w:w="423" w:type="pct"/>
            <w:noWrap/>
            <w:vAlign w:val="center"/>
          </w:tcPr>
          <w:p w14:paraId="748C9F2A"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313 213</w:t>
            </w:r>
          </w:p>
        </w:tc>
        <w:tc>
          <w:tcPr>
            <w:tcW w:w="424" w:type="pct"/>
            <w:vAlign w:val="center"/>
          </w:tcPr>
          <w:p w14:paraId="51C2F5E2"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315 639</w:t>
            </w:r>
          </w:p>
        </w:tc>
        <w:tc>
          <w:tcPr>
            <w:tcW w:w="445" w:type="pct"/>
            <w:vAlign w:val="center"/>
          </w:tcPr>
          <w:p w14:paraId="3F5FC109"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308 210</w:t>
            </w:r>
          </w:p>
        </w:tc>
        <w:tc>
          <w:tcPr>
            <w:tcW w:w="445" w:type="pct"/>
            <w:vAlign w:val="center"/>
          </w:tcPr>
          <w:p w14:paraId="577D3941"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281 713</w:t>
            </w:r>
          </w:p>
        </w:tc>
      </w:tr>
      <w:tr w:rsidR="0078195B" w:rsidRPr="009F01A8" w14:paraId="5BD3A723" w14:textId="77777777" w:rsidTr="009F01A8">
        <w:trPr>
          <w:trHeight w:val="353"/>
        </w:trPr>
        <w:tc>
          <w:tcPr>
            <w:tcW w:w="404" w:type="pct"/>
            <w:noWrap/>
            <w:vAlign w:val="center"/>
          </w:tcPr>
          <w:p w14:paraId="5B5E1E4D" w14:textId="77777777" w:rsidR="0078195B" w:rsidRPr="009F01A8" w:rsidRDefault="0078195B" w:rsidP="002767C5">
            <w:pPr>
              <w:rPr>
                <w:rFonts w:cstheme="minorHAnsi"/>
                <w:sz w:val="16"/>
                <w:szCs w:val="16"/>
              </w:rPr>
            </w:pPr>
            <w:r w:rsidRPr="009F01A8">
              <w:rPr>
                <w:rFonts w:ascii="Calibri" w:hAnsi="Calibri"/>
                <w:color w:val="000000"/>
                <w:sz w:val="16"/>
                <w:szCs w:val="16"/>
              </w:rPr>
              <w:t>32220</w:t>
            </w:r>
          </w:p>
        </w:tc>
        <w:tc>
          <w:tcPr>
            <w:tcW w:w="921" w:type="pct"/>
            <w:vAlign w:val="center"/>
          </w:tcPr>
          <w:p w14:paraId="44BD6217" w14:textId="1F630FAC" w:rsidR="0078195B" w:rsidRPr="009F01A8" w:rsidRDefault="0078195B" w:rsidP="0078195B">
            <w:pPr>
              <w:rPr>
                <w:rFonts w:cstheme="minorHAnsi"/>
                <w:sz w:val="16"/>
                <w:szCs w:val="16"/>
              </w:rPr>
            </w:pPr>
            <w:r w:rsidRPr="009F01A8">
              <w:rPr>
                <w:rFonts w:ascii="Calibri" w:hAnsi="Calibri"/>
                <w:color w:val="000000"/>
                <w:sz w:val="16"/>
                <w:szCs w:val="16"/>
              </w:rPr>
              <w:t>Čistá konečná</w:t>
            </w:r>
            <w:r w:rsidRPr="009F01A8">
              <w:rPr>
                <w:rFonts w:ascii="Calibri" w:hAnsi="Calibri"/>
                <w:color w:val="000000"/>
                <w:sz w:val="16"/>
                <w:szCs w:val="16"/>
              </w:rPr>
              <w:br/>
              <w:t>spotřeba energie ve</w:t>
            </w:r>
            <w:r w:rsidRPr="009F01A8">
              <w:rPr>
                <w:rFonts w:ascii="Calibri" w:hAnsi="Calibri"/>
                <w:color w:val="000000"/>
                <w:sz w:val="16"/>
                <w:szCs w:val="16"/>
              </w:rPr>
              <w:br/>
              <w:t>službách</w:t>
            </w:r>
          </w:p>
        </w:tc>
        <w:tc>
          <w:tcPr>
            <w:tcW w:w="505" w:type="pct"/>
            <w:noWrap/>
            <w:vAlign w:val="center"/>
          </w:tcPr>
          <w:p w14:paraId="3068D856" w14:textId="77777777" w:rsidR="0078195B" w:rsidRPr="009F01A8" w:rsidRDefault="0078195B" w:rsidP="002767C5">
            <w:pPr>
              <w:jc w:val="center"/>
              <w:rPr>
                <w:rFonts w:cstheme="minorHAnsi"/>
                <w:sz w:val="16"/>
                <w:szCs w:val="16"/>
              </w:rPr>
            </w:pPr>
            <w:r w:rsidRPr="009F01A8">
              <w:rPr>
                <w:rFonts w:ascii="Calibri" w:hAnsi="Calibri"/>
                <w:color w:val="000000"/>
                <w:sz w:val="16"/>
                <w:szCs w:val="16"/>
              </w:rPr>
              <w:t>TJ</w:t>
            </w:r>
          </w:p>
        </w:tc>
        <w:tc>
          <w:tcPr>
            <w:tcW w:w="497" w:type="pct"/>
            <w:noWrap/>
            <w:vAlign w:val="center"/>
          </w:tcPr>
          <w:p w14:paraId="414015C3"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122 935</w:t>
            </w:r>
          </w:p>
        </w:tc>
        <w:tc>
          <w:tcPr>
            <w:tcW w:w="451" w:type="pct"/>
            <w:noWrap/>
            <w:vAlign w:val="center"/>
          </w:tcPr>
          <w:p w14:paraId="528FAE5C" w14:textId="77777777" w:rsidR="0078195B" w:rsidRPr="009F01A8" w:rsidRDefault="0078195B" w:rsidP="002767C5">
            <w:pPr>
              <w:jc w:val="center"/>
              <w:rPr>
                <w:rFonts w:cstheme="minorHAnsi"/>
                <w:sz w:val="16"/>
                <w:szCs w:val="16"/>
              </w:rPr>
            </w:pPr>
            <w:r w:rsidRPr="009F01A8">
              <w:rPr>
                <w:rFonts w:ascii="Calibri" w:hAnsi="Calibri"/>
                <w:color w:val="000000"/>
                <w:sz w:val="16"/>
                <w:szCs w:val="16"/>
              </w:rPr>
              <w:t>2012</w:t>
            </w:r>
          </w:p>
        </w:tc>
        <w:tc>
          <w:tcPr>
            <w:tcW w:w="485" w:type="pct"/>
            <w:vAlign w:val="center"/>
          </w:tcPr>
          <w:p w14:paraId="6D20D510"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145 872</w:t>
            </w:r>
          </w:p>
        </w:tc>
        <w:tc>
          <w:tcPr>
            <w:tcW w:w="423" w:type="pct"/>
            <w:noWrap/>
            <w:vAlign w:val="center"/>
          </w:tcPr>
          <w:p w14:paraId="1F9AB842"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117 171</w:t>
            </w:r>
          </w:p>
        </w:tc>
        <w:tc>
          <w:tcPr>
            <w:tcW w:w="424" w:type="pct"/>
            <w:vAlign w:val="center"/>
          </w:tcPr>
          <w:p w14:paraId="0D9B6F9B"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119 279</w:t>
            </w:r>
          </w:p>
        </w:tc>
        <w:tc>
          <w:tcPr>
            <w:tcW w:w="445" w:type="pct"/>
            <w:vAlign w:val="center"/>
          </w:tcPr>
          <w:p w14:paraId="1F15468E"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127 738</w:t>
            </w:r>
          </w:p>
        </w:tc>
        <w:tc>
          <w:tcPr>
            <w:tcW w:w="445" w:type="pct"/>
            <w:vAlign w:val="center"/>
          </w:tcPr>
          <w:p w14:paraId="0E4086BD"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132 102</w:t>
            </w:r>
          </w:p>
        </w:tc>
      </w:tr>
      <w:tr w:rsidR="0078195B" w:rsidRPr="009F01A8" w14:paraId="4259CD91" w14:textId="77777777" w:rsidTr="009F01A8">
        <w:trPr>
          <w:trHeight w:val="353"/>
        </w:trPr>
        <w:tc>
          <w:tcPr>
            <w:tcW w:w="404" w:type="pct"/>
            <w:noWrap/>
            <w:vAlign w:val="center"/>
          </w:tcPr>
          <w:p w14:paraId="61BFD935" w14:textId="77777777" w:rsidR="0078195B" w:rsidRPr="009F01A8" w:rsidRDefault="0078195B" w:rsidP="002767C5">
            <w:pPr>
              <w:rPr>
                <w:rFonts w:cstheme="minorHAnsi"/>
                <w:sz w:val="16"/>
                <w:szCs w:val="16"/>
              </w:rPr>
            </w:pPr>
            <w:r w:rsidRPr="009F01A8">
              <w:rPr>
                <w:rFonts w:ascii="Calibri" w:hAnsi="Calibri"/>
                <w:color w:val="000000"/>
                <w:sz w:val="16"/>
                <w:szCs w:val="16"/>
              </w:rPr>
              <w:t>34502</w:t>
            </w:r>
          </w:p>
        </w:tc>
        <w:tc>
          <w:tcPr>
            <w:tcW w:w="921" w:type="pct"/>
            <w:vAlign w:val="center"/>
          </w:tcPr>
          <w:p w14:paraId="17FCAAE3" w14:textId="77777777" w:rsidR="0078195B" w:rsidRPr="009F01A8" w:rsidRDefault="0078195B" w:rsidP="002767C5">
            <w:pPr>
              <w:rPr>
                <w:rFonts w:cstheme="minorHAnsi"/>
                <w:sz w:val="16"/>
                <w:szCs w:val="16"/>
              </w:rPr>
            </w:pPr>
            <w:r w:rsidRPr="009F01A8">
              <w:rPr>
                <w:rFonts w:ascii="Calibri" w:hAnsi="Calibri"/>
                <w:color w:val="000000"/>
                <w:sz w:val="16"/>
                <w:szCs w:val="16"/>
              </w:rPr>
              <w:t>Podíl obnovitelných zdrojů na konečné spotřebě</w:t>
            </w:r>
          </w:p>
        </w:tc>
        <w:tc>
          <w:tcPr>
            <w:tcW w:w="505" w:type="pct"/>
            <w:noWrap/>
            <w:vAlign w:val="center"/>
          </w:tcPr>
          <w:p w14:paraId="533477C4" w14:textId="77777777" w:rsidR="0078195B" w:rsidRPr="009F01A8" w:rsidRDefault="0078195B" w:rsidP="002767C5">
            <w:pPr>
              <w:jc w:val="center"/>
              <w:rPr>
                <w:rFonts w:cstheme="minorHAnsi"/>
                <w:sz w:val="16"/>
                <w:szCs w:val="16"/>
              </w:rPr>
            </w:pPr>
            <w:r w:rsidRPr="009F01A8">
              <w:rPr>
                <w:rFonts w:ascii="Calibri" w:hAnsi="Calibri"/>
                <w:color w:val="000000"/>
                <w:sz w:val="16"/>
                <w:szCs w:val="16"/>
              </w:rPr>
              <w:t>TJ</w:t>
            </w:r>
          </w:p>
        </w:tc>
        <w:tc>
          <w:tcPr>
            <w:tcW w:w="497" w:type="pct"/>
            <w:noWrap/>
            <w:vAlign w:val="center"/>
          </w:tcPr>
          <w:p w14:paraId="1EE387FA"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164 666</w:t>
            </w:r>
          </w:p>
        </w:tc>
        <w:tc>
          <w:tcPr>
            <w:tcW w:w="451" w:type="pct"/>
            <w:noWrap/>
            <w:vAlign w:val="center"/>
          </w:tcPr>
          <w:p w14:paraId="19E43945" w14:textId="77777777" w:rsidR="0078195B" w:rsidRPr="009F01A8" w:rsidRDefault="0078195B" w:rsidP="002767C5">
            <w:pPr>
              <w:jc w:val="center"/>
              <w:rPr>
                <w:rFonts w:cstheme="minorHAnsi"/>
                <w:sz w:val="16"/>
                <w:szCs w:val="16"/>
              </w:rPr>
            </w:pPr>
            <w:r w:rsidRPr="009F01A8">
              <w:rPr>
                <w:rFonts w:ascii="Calibri" w:hAnsi="Calibri"/>
                <w:color w:val="000000"/>
                <w:sz w:val="16"/>
                <w:szCs w:val="16"/>
              </w:rPr>
              <w:t>2016</w:t>
            </w:r>
          </w:p>
        </w:tc>
        <w:tc>
          <w:tcPr>
            <w:tcW w:w="485" w:type="pct"/>
            <w:vAlign w:val="center"/>
          </w:tcPr>
          <w:p w14:paraId="6375CF6D"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185 300</w:t>
            </w:r>
          </w:p>
        </w:tc>
        <w:tc>
          <w:tcPr>
            <w:tcW w:w="423" w:type="pct"/>
            <w:noWrap/>
            <w:vAlign w:val="center"/>
          </w:tcPr>
          <w:p w14:paraId="39A36DC0"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 </w:t>
            </w:r>
          </w:p>
        </w:tc>
        <w:tc>
          <w:tcPr>
            <w:tcW w:w="424" w:type="pct"/>
            <w:vAlign w:val="center"/>
          </w:tcPr>
          <w:p w14:paraId="4DB640D5"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 </w:t>
            </w:r>
          </w:p>
        </w:tc>
        <w:tc>
          <w:tcPr>
            <w:tcW w:w="445" w:type="pct"/>
            <w:vAlign w:val="center"/>
          </w:tcPr>
          <w:p w14:paraId="63E1FC4D"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164 666</w:t>
            </w:r>
          </w:p>
        </w:tc>
        <w:tc>
          <w:tcPr>
            <w:tcW w:w="445" w:type="pct"/>
            <w:vAlign w:val="center"/>
          </w:tcPr>
          <w:p w14:paraId="6F98F667" w14:textId="77777777" w:rsidR="0078195B" w:rsidRPr="009F01A8" w:rsidRDefault="0078195B" w:rsidP="002767C5">
            <w:pPr>
              <w:jc w:val="right"/>
              <w:rPr>
                <w:rFonts w:cstheme="minorHAnsi"/>
                <w:sz w:val="16"/>
                <w:szCs w:val="16"/>
              </w:rPr>
            </w:pPr>
            <w:r w:rsidRPr="009F01A8">
              <w:rPr>
                <w:rFonts w:ascii="Calibri" w:hAnsi="Calibri"/>
                <w:color w:val="000000"/>
                <w:sz w:val="16"/>
                <w:szCs w:val="16"/>
              </w:rPr>
              <w:t>167 372</w:t>
            </w:r>
          </w:p>
        </w:tc>
      </w:tr>
    </w:tbl>
    <w:p w14:paraId="1B4177BE" w14:textId="62E0AC71" w:rsidR="00A614BE" w:rsidRPr="002F0F2C" w:rsidRDefault="00B64206" w:rsidP="002E4288">
      <w:pPr>
        <w:rPr>
          <w:i/>
          <w:sz w:val="16"/>
          <w:szCs w:val="16"/>
        </w:rPr>
      </w:pPr>
      <w:r w:rsidRPr="002F0F2C">
        <w:rPr>
          <w:i/>
          <w:sz w:val="16"/>
          <w:szCs w:val="16"/>
          <w:vertAlign w:val="superscript"/>
        </w:rPr>
        <w:t>*</w:t>
      </w:r>
      <w:r w:rsidRPr="002F0F2C">
        <w:rPr>
          <w:i/>
          <w:sz w:val="16"/>
          <w:szCs w:val="16"/>
        </w:rPr>
        <w:t xml:space="preserve"> </w:t>
      </w:r>
      <w:r w:rsidR="008B5096" w:rsidRPr="002F0F2C">
        <w:rPr>
          <w:i/>
          <w:sz w:val="16"/>
          <w:szCs w:val="16"/>
        </w:rPr>
        <w:t>P</w:t>
      </w:r>
      <w:r w:rsidRPr="002F0F2C">
        <w:rPr>
          <w:i/>
          <w:sz w:val="16"/>
          <w:szCs w:val="16"/>
        </w:rPr>
        <w:t>ředpoklád</w:t>
      </w:r>
      <w:r w:rsidR="008B5096" w:rsidRPr="002F0F2C">
        <w:rPr>
          <w:i/>
          <w:sz w:val="16"/>
          <w:szCs w:val="16"/>
        </w:rPr>
        <w:t>a</w:t>
      </w:r>
      <w:r w:rsidRPr="002F0F2C">
        <w:rPr>
          <w:i/>
          <w:sz w:val="16"/>
          <w:szCs w:val="16"/>
        </w:rPr>
        <w:t>n</w:t>
      </w:r>
      <w:r w:rsidR="008B5096" w:rsidRPr="002F0F2C">
        <w:rPr>
          <w:i/>
          <w:sz w:val="16"/>
          <w:szCs w:val="16"/>
        </w:rPr>
        <w:t xml:space="preserve">á </w:t>
      </w:r>
      <w:r w:rsidRPr="002F0F2C">
        <w:rPr>
          <w:i/>
          <w:sz w:val="16"/>
          <w:szCs w:val="16"/>
        </w:rPr>
        <w:t>úprava výchozí a cílové hodnoty</w:t>
      </w:r>
      <w:r w:rsidR="008B5096" w:rsidRPr="002F0F2C">
        <w:rPr>
          <w:i/>
          <w:sz w:val="16"/>
          <w:szCs w:val="16"/>
        </w:rPr>
        <w:t xml:space="preserve"> v souvislosti s probíhající revizí indikátoru.</w:t>
      </w:r>
    </w:p>
    <w:p w14:paraId="70DD8673" w14:textId="22D19E1A" w:rsidR="00A06617" w:rsidRDefault="00A06617" w:rsidP="008B0116">
      <w:pPr>
        <w:spacing w:after="0"/>
      </w:pPr>
      <w:r>
        <w:lastRenderedPageBreak/>
        <w:t>Indikátor 32210 představuje celkovou</w:t>
      </w:r>
      <w:r w:rsidRPr="003F2CFF">
        <w:t xml:space="preserve"> spotř</w:t>
      </w:r>
      <w:r>
        <w:t>ebu</w:t>
      </w:r>
      <w:r w:rsidRPr="003F2CFF">
        <w:t xml:space="preserve"> paliv a energie na neenergetický konečný výrobek, nezahrnuje transformační spotřebu v procesech zušlechťování paliv a spotřebu n</w:t>
      </w:r>
      <w:r>
        <w:t>a těžbu, úpravu a dopravu paliv</w:t>
      </w:r>
      <w:r w:rsidRPr="00A31071">
        <w:t>.</w:t>
      </w:r>
      <w:r>
        <w:t xml:space="preserve"> </w:t>
      </w:r>
      <w:r w:rsidRPr="00822920">
        <w:t>Cílová hodnota reflektuje predikci hospodářského růstu a s tím spojený růst spotřeby energie</w:t>
      </w:r>
      <w:r w:rsidR="00B335CF">
        <w:t>, proto je a</w:t>
      </w:r>
      <w:r>
        <w:t xml:space="preserve">bsolutní cílová hodnota indikátoru vyšší než výchozí, ačkoliv cílem by mělo být snižování spotřeby energií. </w:t>
      </w:r>
      <w:r w:rsidR="0078195B">
        <w:t xml:space="preserve"> </w:t>
      </w:r>
      <w:r>
        <w:t>Aktuální hodnota indikátoru</w:t>
      </w:r>
      <w:r w:rsidR="00B335CF">
        <w:t xml:space="preserve"> (za rok 2017) </w:t>
      </w:r>
      <w:r>
        <w:t xml:space="preserve">je nižší než stanovená cílová hodnota, což je v případě tohoto indikátoru žádoucí. </w:t>
      </w:r>
      <w:r w:rsidRPr="00B335CF">
        <w:t>Podle modelové prognózy na základě dosavadních hodnot indikátoru (viz graf níže) by i do roku 2023 mělo docházet k dalšímu poklesu a tedy snižování konečné spotřeby energie v</w:t>
      </w:r>
      <w:r w:rsidR="00B335CF" w:rsidRPr="00B335CF">
        <w:t> </w:t>
      </w:r>
      <w:r w:rsidRPr="00B335CF">
        <w:t>průmyslu</w:t>
      </w:r>
      <w:r w:rsidR="00B335CF" w:rsidRPr="00B335CF">
        <w:t>. Tento indikátor by byl tedy naplněn.</w:t>
      </w:r>
      <w:r>
        <w:t xml:space="preserve"> </w:t>
      </w:r>
    </w:p>
    <w:p w14:paraId="5EAB201D" w14:textId="77777777" w:rsidR="008B0116" w:rsidRDefault="008B0116" w:rsidP="008B0116">
      <w:pPr>
        <w:spacing w:after="0"/>
      </w:pPr>
    </w:p>
    <w:p w14:paraId="013E6646" w14:textId="0F515559" w:rsidR="00A06617" w:rsidRDefault="00A06617" w:rsidP="008B0116">
      <w:pPr>
        <w:spacing w:after="0"/>
      </w:pPr>
      <w:r>
        <w:t>Indikátor 32220 vyjadřuje spotřebu zachycenou</w:t>
      </w:r>
      <w:r w:rsidRPr="003F2CFF">
        <w:t xml:space="preserve"> před vstupem do spotřebičů, ve kterých se využije pro finální užitný efekt, nikoli pro výrobu jiné energie (s výjimkou druhotných energetických zdrojů) – v oblasti služeb.</w:t>
      </w:r>
      <w:r>
        <w:t xml:space="preserve"> </w:t>
      </w:r>
      <w:r w:rsidRPr="00822920">
        <w:t xml:space="preserve">Cílová hodnota </w:t>
      </w:r>
      <w:r w:rsidR="00B335CF">
        <w:t xml:space="preserve">stejně jako v případě předchozího indikátoru </w:t>
      </w:r>
      <w:r w:rsidRPr="00822920">
        <w:t xml:space="preserve">reflektuje predikci hospodářského růstu a s tím spojený růst spotřeby energie. </w:t>
      </w:r>
      <w:r>
        <w:t xml:space="preserve">Absolutní cílová hodnota indikátoru je proto vyšší než výchozí, ačkoliv cílem </w:t>
      </w:r>
      <w:r w:rsidR="00B335CF">
        <w:t>je</w:t>
      </w:r>
      <w:r>
        <w:t xml:space="preserve"> snižování spotřeby energií. I u tohoto indikátoru je </w:t>
      </w:r>
      <w:r w:rsidR="00B335CF">
        <w:t xml:space="preserve">aktuální </w:t>
      </w:r>
      <w:r>
        <w:t xml:space="preserve">dosahovaná hodnota nižší než </w:t>
      </w:r>
      <w:r w:rsidR="00B335CF">
        <w:t xml:space="preserve">plánovaná </w:t>
      </w:r>
      <w:r>
        <w:t xml:space="preserve">cílová hodnota. </w:t>
      </w:r>
      <w:r w:rsidRPr="00B335CF">
        <w:t>Jestliže však provedeme modelaci trendu, vychází nám, že pokud by pokračoval stávající vývoj, do roku 2023 by došlo k překročení cílové hodnoty, což je v případě indikátoru spotřeby energie v rozporu se zaměřením programu ÚE, kdy by mělo i přes očekávaný ekonomický růst docházet k poklesu spotřeby energie ve službách.</w:t>
      </w:r>
      <w:r>
        <w:t xml:space="preserve"> </w:t>
      </w:r>
    </w:p>
    <w:p w14:paraId="51E62EDF" w14:textId="77777777" w:rsidR="00A06617" w:rsidRDefault="00A06617" w:rsidP="008B0116">
      <w:pPr>
        <w:spacing w:after="0"/>
      </w:pPr>
    </w:p>
    <w:p w14:paraId="06A0F7A2" w14:textId="46AEDF52" w:rsidR="00A06617" w:rsidRDefault="00A06617" w:rsidP="00A06617">
      <w:pPr>
        <w:pStyle w:val="Titulek"/>
      </w:pPr>
      <w:bookmarkStart w:id="80" w:name="_Toc10730043"/>
      <w:r w:rsidRPr="00986571">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w:t>
      </w:r>
      <w:r w:rsidR="00BD754F">
        <w:rPr>
          <w:noProof/>
        </w:rPr>
        <w:fldChar w:fldCharType="end"/>
      </w:r>
      <w:r w:rsidRPr="00986571">
        <w:t>: Modelace trendů vybraných indikátorů SC 3.2</w:t>
      </w:r>
      <w:bookmarkEnd w:id="80"/>
    </w:p>
    <w:p w14:paraId="6848BFE4" w14:textId="77777777" w:rsidR="00A06617" w:rsidRDefault="00A06617" w:rsidP="00A06617">
      <w:r>
        <w:rPr>
          <w:noProof/>
          <w:lang w:eastAsia="cs-CZ"/>
        </w:rPr>
        <w:drawing>
          <wp:inline distT="0" distB="0" distL="0" distR="0" wp14:anchorId="02F45DBA" wp14:editId="73BC6C3A">
            <wp:extent cx="5372100" cy="3128964"/>
            <wp:effectExtent l="0" t="0" r="0" b="1460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D84016" w14:textId="77777777" w:rsidR="008B0116" w:rsidRDefault="008B0116" w:rsidP="008B0116">
      <w:pPr>
        <w:spacing w:after="0"/>
      </w:pPr>
    </w:p>
    <w:p w14:paraId="628692D4" w14:textId="66989499" w:rsidR="00A06617" w:rsidRDefault="00A06617" w:rsidP="008B0116">
      <w:pPr>
        <w:spacing w:after="0"/>
      </w:pPr>
      <w:r>
        <w:t xml:space="preserve">Indikátor 34502 je </w:t>
      </w:r>
      <w:r w:rsidRPr="003F2CFF">
        <w:t>počítán na základě metodiky Eurostat – SHARES</w:t>
      </w:r>
      <w:r w:rsidR="00024BC9">
        <w:rPr>
          <w:rStyle w:val="Znakapoznpodarou"/>
        </w:rPr>
        <w:footnoteReference w:id="11"/>
      </w:r>
      <w:r>
        <w:t xml:space="preserve">. </w:t>
      </w:r>
      <w:r w:rsidRPr="003F2CFF">
        <w:t>Nejedná se o pr</w:t>
      </w:r>
      <w:r w:rsidR="00B335CF">
        <w:t>ostý podíl reálné hodnoty OZE k</w:t>
      </w:r>
      <w:r w:rsidRPr="003F2CFF">
        <w:t xml:space="preserve"> celkové konečné spotřebě, který by bylo možno stanovit přímo z energetické bilance, ale při výpočtu jsou požadovány např.: normalizace hodnot výroby elektřiny z vodních a větrných elektráren; odpočet podílu elektřiny z obnovitelných zdrojů využité v dopravě; specifické započítávání </w:t>
      </w:r>
      <w:r w:rsidRPr="003F2CFF">
        <w:lastRenderedPageBreak/>
        <w:t>kapalných biopaliv a letecké dopravy a jiné.</w:t>
      </w:r>
      <w:r>
        <w:t xml:space="preserve"> Na základě dostupných údajů dochází k růstu tohoto podílu. Kdyby pokračoval růst ve stejném tempu jako v r. 2017, těsně by se nepodařilo cí</w:t>
      </w:r>
      <w:r w:rsidR="00A22DBF">
        <w:t>lové hodnoty pro rok</w:t>
      </w:r>
      <w:r>
        <w:t xml:space="preserve"> 20</w:t>
      </w:r>
      <w:r w:rsidR="00A22DBF">
        <w:t>23</w:t>
      </w:r>
      <w:r>
        <w:t xml:space="preserve"> dosáhnout. Nicméně, s očekávaným nárůstem počtu realizovaných projektů lze očekávat zrychlení tempa růstu hodnoty tohoto indikátoru.</w:t>
      </w:r>
    </w:p>
    <w:p w14:paraId="06899787" w14:textId="77777777" w:rsidR="008B0116" w:rsidRDefault="008B0116" w:rsidP="008B0116">
      <w:pPr>
        <w:spacing w:after="0"/>
      </w:pPr>
    </w:p>
    <w:p w14:paraId="57893E9B" w14:textId="77777777" w:rsidR="009F01A8" w:rsidRDefault="00B335CF" w:rsidP="008B0116">
      <w:pPr>
        <w:spacing w:after="0"/>
      </w:pPr>
      <w:r w:rsidRPr="00B335CF">
        <w:t xml:space="preserve">Jak vyplývá z výše uvedeného popisu </w:t>
      </w:r>
      <w:r w:rsidR="0078195B" w:rsidRPr="00B335CF">
        <w:t>indikátorů výsledků</w:t>
      </w:r>
      <w:r w:rsidRPr="00B335CF">
        <w:t>,</w:t>
      </w:r>
      <w:r w:rsidR="0078195B" w:rsidRPr="00B335CF">
        <w:t xml:space="preserve"> jsou </w:t>
      </w:r>
      <w:r w:rsidRPr="00B335CF">
        <w:t xml:space="preserve">jejich hodnoty </w:t>
      </w:r>
      <w:r w:rsidR="0078195B" w:rsidRPr="00B335CF">
        <w:t>vztaženy k celé ČR, a proto jsou ovlivňovány řadou dalších, externích faktorů</w:t>
      </w:r>
      <w:r w:rsidRPr="00B335CF">
        <w:t xml:space="preserve">, kdy OP PIK je pouze jedním z mnoha těchto faktorů. </w:t>
      </w:r>
      <w:r w:rsidR="0078195B" w:rsidRPr="00BE6F6A">
        <w:t xml:space="preserve">Dosavadní vývoj je </w:t>
      </w:r>
      <w:r w:rsidRPr="00BE6F6A">
        <w:t xml:space="preserve">především </w:t>
      </w:r>
      <w:r w:rsidR="0078195B" w:rsidRPr="00BE6F6A">
        <w:t xml:space="preserve">odrazem celkového ekonomického </w:t>
      </w:r>
      <w:r w:rsidRPr="00BE6F6A">
        <w:t>vývoje</w:t>
      </w:r>
      <w:r w:rsidR="0078195B" w:rsidRPr="00BE6F6A">
        <w:t xml:space="preserve"> v ČR ve sledovaných letech.</w:t>
      </w:r>
    </w:p>
    <w:p w14:paraId="090FCB7F" w14:textId="11C1EC0C" w:rsidR="0078195B" w:rsidRDefault="0078195B" w:rsidP="008B0116">
      <w:pPr>
        <w:spacing w:after="0"/>
      </w:pPr>
      <w:r w:rsidRPr="00BE6F6A">
        <w:t xml:space="preserve"> </w:t>
      </w:r>
    </w:p>
    <w:p w14:paraId="56EC6E43" w14:textId="3896C365" w:rsidR="0037452F" w:rsidRDefault="00F76BF9" w:rsidP="008B0116">
      <w:pPr>
        <w:spacing w:after="0"/>
      </w:pPr>
      <w:r>
        <w:t xml:space="preserve">Míru, jakou PP ÚE ovlivňuje čistou konečnou spotřebu hospodářství, lze posuzovat na základě dílčích indikátorů vykazovaných příjemci podpory. </w:t>
      </w:r>
      <w:r w:rsidR="0037452F">
        <w:t xml:space="preserve">Takovým indikátorem výsledku je </w:t>
      </w:r>
      <w:r w:rsidR="005809CE">
        <w:t xml:space="preserve">indikátor 32300 </w:t>
      </w:r>
      <w:r w:rsidR="00890A57">
        <w:t>„</w:t>
      </w:r>
      <w:r w:rsidR="005809CE">
        <w:t>Snížení konečné spotřeby energie u podpořených subjektů</w:t>
      </w:r>
      <w:r w:rsidR="00890A57">
        <w:t>“</w:t>
      </w:r>
      <w:r w:rsidR="005809CE">
        <w:t xml:space="preserve">. K 31. 12. 2018 činila hodnota tohoto indikátoru dosažená příjemci </w:t>
      </w:r>
      <w:r w:rsidR="005809CE" w:rsidRPr="005809CE">
        <w:t>89 384,09 GJ/rok</w:t>
      </w:r>
      <w:r w:rsidR="005809CE">
        <w:t xml:space="preserve">, tj. 1,12 % cílové hodnoty tohoto indikátoru. </w:t>
      </w:r>
      <w:r w:rsidR="0037452F">
        <w:t>Nízké plnění tohoto indikátoru je způsobeno malým množstvím projektů ukončených v letech 2016 a 2017. Role PP ÚE ve vývoji čisté konečné spotřeby energie v průmyslu a ve službách je tedy zatím velice slabá.</w:t>
      </w:r>
    </w:p>
    <w:p w14:paraId="01559C11" w14:textId="77777777" w:rsidR="008B0116" w:rsidRDefault="008B0116" w:rsidP="008B0116">
      <w:pPr>
        <w:spacing w:after="0"/>
      </w:pPr>
    </w:p>
    <w:p w14:paraId="0B6B482E" w14:textId="4C50F923" w:rsidR="007B3F7B" w:rsidRDefault="005809CE" w:rsidP="008B0116">
      <w:pPr>
        <w:spacing w:after="0"/>
      </w:pPr>
      <w:r>
        <w:t xml:space="preserve">Pozitivně však lze hodnotit závazek příjemců, tj. </w:t>
      </w:r>
      <w:r w:rsidR="00F76BF9">
        <w:t>předpokládanou cílovou hodnotu tohoto indikátoru u ukončených a realizovaných projektů a projektů s vydaným právním aktem</w:t>
      </w:r>
      <w:r w:rsidR="0037452F">
        <w:t xml:space="preserve"> (jedná se o projekty podpořené v I. - III. výzvě PP ÚE)</w:t>
      </w:r>
      <w:r w:rsidR="00F76BF9">
        <w:t xml:space="preserve">.  </w:t>
      </w:r>
      <w:r w:rsidR="0037452F">
        <w:t xml:space="preserve">Závazek příjemců </w:t>
      </w:r>
      <w:r w:rsidR="00F76BF9">
        <w:t xml:space="preserve">dosahuje hodnoty </w:t>
      </w:r>
      <w:r w:rsidR="00F76BF9" w:rsidRPr="00F76BF9">
        <w:t>2 213 020,603 GJ/rok</w:t>
      </w:r>
      <w:r w:rsidR="00F76BF9">
        <w:t>, tj. 27,67 %</w:t>
      </w:r>
      <w:r w:rsidR="00F76BF9" w:rsidRPr="00F76BF9">
        <w:t xml:space="preserve"> </w:t>
      </w:r>
      <w:r w:rsidR="00F76BF9">
        <w:t>cílové hodnoty tohoto indikátoru.</w:t>
      </w:r>
      <w:r w:rsidR="0037452F">
        <w:t xml:space="preserve"> V důsledku narůstajícího počtu ukončovaných a realizovaných projektů lze tedy očekávat nejen intenzivnější naplňování indikátoru Snížení konečné spotřeby energie u podpořených subjektů, ale také i zvýšení míry, jakou PP ÚE ovlivňuje hlavní indikátory, tj. čistou konečnou spotřebu energie v průmyslu a ve službách.</w:t>
      </w:r>
    </w:p>
    <w:p w14:paraId="5972A010" w14:textId="77777777" w:rsidR="008B0116" w:rsidRDefault="008B0116" w:rsidP="008B0116">
      <w:pPr>
        <w:spacing w:after="0"/>
      </w:pPr>
    </w:p>
    <w:p w14:paraId="4DB259A4" w14:textId="6DE17E92" w:rsidR="0053599B" w:rsidRDefault="0053599B" w:rsidP="008B0116">
      <w:pPr>
        <w:spacing w:after="0"/>
      </w:pPr>
      <w:r>
        <w:t>Aby mohlo platit tvrzení, že s nárůstem počtu realizovaných projektů dojde také k intenzivnějšímu naplňování indikátorů, musí být splněn základní předpoklad - jsou podporovány pouze projekty, které prokazatelně vedou k úsporám energií. Tento faktor je zakomponován</w:t>
      </w:r>
      <w:r w:rsidR="00BD6FE7">
        <w:t xml:space="preserve"> do věcného hodnocení žádostí o </w:t>
      </w:r>
      <w:r>
        <w:t>dotaci,</w:t>
      </w:r>
      <w:r w:rsidR="00251849">
        <w:t xml:space="preserve"> </w:t>
      </w:r>
      <w:r>
        <w:t xml:space="preserve">a to prostřednictvím </w:t>
      </w:r>
      <w:r w:rsidR="00251849">
        <w:t>bodového hodnotícího kritéria - prokázání trvalé úspory spotřeby energie. V případě, že projekt dosahuje úspory energie nižší než 10 %, nejsou mu přiděleny žádné body. Naopak je-li úspora rovna 10 %, získává projekt 10 bodů a s rostoucí úsporou energie je možné dosáhnout bodového zvýhodnění až 32 bodů. Je-li energetická úspora projektu nízká, tj. získá-li projekt z tohoto kritéria 0 bodů, je poměrně nízká pravděpodobnost, že bude projekt podpořen, neboť by musel v ostatních hodnocených oblastech dosáhnout téměř plného počtu bodů.</w:t>
      </w:r>
    </w:p>
    <w:p w14:paraId="7EC19ABA" w14:textId="77777777" w:rsidR="008B0116" w:rsidRDefault="008B0116" w:rsidP="008B0116">
      <w:pPr>
        <w:spacing w:after="0"/>
      </w:pPr>
    </w:p>
    <w:p w14:paraId="2A149242" w14:textId="77777777" w:rsidR="00A22DBF" w:rsidRDefault="00A22DBF" w:rsidP="00A22DBF">
      <w:pPr>
        <w:pStyle w:val="Nadpis3"/>
      </w:pPr>
      <w:bookmarkStart w:id="81" w:name="_Toc10729937"/>
      <w:r>
        <w:t>Vyhodnocení výsledků, kterých chce ČR dosáhnout s podporou Unie</w:t>
      </w:r>
      <w:bookmarkEnd w:id="81"/>
    </w:p>
    <w:p w14:paraId="723BB2FC" w14:textId="12C1BF5F" w:rsidR="00A22DBF" w:rsidRDefault="00A22DBF" w:rsidP="008B0116">
      <w:pPr>
        <w:spacing w:after="0"/>
      </w:pPr>
      <w:r>
        <w:t>V programovém dokumentu jsou stanoveny následující výsledky, kterých by mělo být díky realizaci projektů v rámci PP ÚE dosaženo:</w:t>
      </w:r>
    </w:p>
    <w:p w14:paraId="3A38A7C7"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Přisp</w:t>
      </w:r>
      <w:r>
        <w:rPr>
          <w:rFonts w:asciiTheme="minorHAnsi" w:hAnsiTheme="minorHAnsi" w:cstheme="minorHAnsi"/>
          <w:sz w:val="22"/>
          <w:szCs w:val="22"/>
          <w:lang w:eastAsia="sk-SK"/>
        </w:rPr>
        <w:t>ět</w:t>
      </w:r>
      <w:r w:rsidRPr="002A2B65">
        <w:rPr>
          <w:rFonts w:asciiTheme="minorHAnsi" w:hAnsiTheme="minorHAnsi" w:cstheme="minorHAnsi"/>
          <w:sz w:val="22"/>
          <w:szCs w:val="22"/>
          <w:lang w:eastAsia="sk-SK"/>
        </w:rPr>
        <w:t xml:space="preserve"> k naplnění Směrnice Evropského parlamentu a Rady 2012/27/EU o energetické účinnosti, která stanovuje zavedení orientačních vnitrostátních cílů energetické účinnosti do roku 2020. Vnitrostátní orientační cíl ČR je na základě současných analýz stanoven ve výši 51,10 PJ (14,19 TWh) úspor v konečné spotřebě energie.</w:t>
      </w:r>
    </w:p>
    <w:p w14:paraId="2A893F28"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t>Přisp</w:t>
      </w:r>
      <w:r>
        <w:rPr>
          <w:rFonts w:asciiTheme="minorHAnsi" w:hAnsiTheme="minorHAnsi" w:cstheme="minorHAnsi"/>
          <w:sz w:val="22"/>
          <w:szCs w:val="22"/>
          <w:lang w:eastAsia="sk-SK"/>
        </w:rPr>
        <w:t>ět</w:t>
      </w:r>
      <w:r w:rsidRPr="002A2B65">
        <w:rPr>
          <w:rFonts w:asciiTheme="minorHAnsi" w:hAnsiTheme="minorHAnsi" w:cstheme="minorHAnsi"/>
          <w:sz w:val="22"/>
          <w:szCs w:val="22"/>
          <w:lang w:eastAsia="sk-SK"/>
        </w:rPr>
        <w:t xml:space="preserve"> k naplnění Směrnice Evropského parlamentu a Rady 2009/28/ES o podpoře využívání energie z obnovitelných zdrojů.</w:t>
      </w:r>
    </w:p>
    <w:p w14:paraId="6E48AE68"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sidRPr="002A2B65">
        <w:rPr>
          <w:rFonts w:asciiTheme="minorHAnsi" w:hAnsiTheme="minorHAnsi" w:cstheme="minorHAnsi"/>
          <w:sz w:val="22"/>
          <w:szCs w:val="22"/>
          <w:lang w:eastAsia="sk-SK"/>
        </w:rPr>
        <w:lastRenderedPageBreak/>
        <w:t>Přisp</w:t>
      </w:r>
      <w:r>
        <w:rPr>
          <w:rFonts w:asciiTheme="minorHAnsi" w:hAnsiTheme="minorHAnsi" w:cstheme="minorHAnsi"/>
          <w:sz w:val="22"/>
          <w:szCs w:val="22"/>
          <w:lang w:eastAsia="sk-SK"/>
        </w:rPr>
        <w:t>ět</w:t>
      </w:r>
      <w:r w:rsidRPr="002A2B65">
        <w:rPr>
          <w:rFonts w:asciiTheme="minorHAnsi" w:hAnsiTheme="minorHAnsi" w:cstheme="minorHAnsi"/>
          <w:sz w:val="22"/>
          <w:szCs w:val="22"/>
          <w:lang w:eastAsia="sk-SK"/>
        </w:rPr>
        <w:t xml:space="preserve"> k naplnění Směrnice 2008/50/EU a Plánů kvality ovzduší 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směrnice o národních stropech.</w:t>
      </w:r>
    </w:p>
    <w:p w14:paraId="7557B38E"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Pr>
          <w:rFonts w:asciiTheme="minorHAnsi" w:hAnsiTheme="minorHAnsi" w:cstheme="minorHAnsi"/>
          <w:sz w:val="22"/>
          <w:szCs w:val="22"/>
          <w:lang w:eastAsia="sk-SK"/>
        </w:rPr>
        <w:t>Zvýšit</w:t>
      </w:r>
      <w:r w:rsidRPr="002A2B65">
        <w:rPr>
          <w:rFonts w:asciiTheme="minorHAnsi" w:hAnsiTheme="minorHAnsi" w:cstheme="minorHAnsi"/>
          <w:sz w:val="22"/>
          <w:szCs w:val="22"/>
          <w:lang w:eastAsia="sk-SK"/>
        </w:rPr>
        <w:t xml:space="preserve"> možnost podniků rozvíjet svou činnost, investovat do</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výzkumu, vývoje a inovací tím, že podniky nebudou muset vynakládat takové množství prostředků na energie při výrobních procesech. S tím souvisí snížení citlivosti podnikatelských subjektů na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změny vstupních nákladů, jejichž zvyšování, nebo udržování na</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současných hodnotách, by mohlo v důsledku ohrozit celkový výkon výroby ve prospěch levné zahraniční konkurence. Výsledkem specifického cíle tak bude posílení konkurenceschopnosti podnikatelských subjektů, resp. ekonomiky jako celku.</w:t>
      </w:r>
    </w:p>
    <w:p w14:paraId="40903E74"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Pr>
          <w:rFonts w:asciiTheme="minorHAnsi" w:hAnsiTheme="minorHAnsi" w:cstheme="minorHAnsi"/>
          <w:sz w:val="22"/>
          <w:szCs w:val="22"/>
          <w:lang w:eastAsia="sk-SK"/>
        </w:rPr>
        <w:t>Přiblížit</w:t>
      </w:r>
      <w:r w:rsidRPr="002A2B65">
        <w:rPr>
          <w:rFonts w:asciiTheme="minorHAnsi" w:hAnsiTheme="minorHAnsi" w:cstheme="minorHAnsi"/>
          <w:sz w:val="22"/>
          <w:szCs w:val="22"/>
          <w:lang w:eastAsia="sk-SK"/>
        </w:rPr>
        <w:t xml:space="preserve"> se v úrovni energetické náročnosti průmyslové výroby k</w:t>
      </w:r>
      <w:r>
        <w:rPr>
          <w:rFonts w:asciiTheme="minorHAnsi" w:hAnsiTheme="minorHAnsi" w:cstheme="minorHAnsi"/>
          <w:sz w:val="22"/>
          <w:szCs w:val="22"/>
          <w:lang w:eastAsia="sk-SK"/>
        </w:rPr>
        <w:t> </w:t>
      </w:r>
      <w:r w:rsidRPr="002A2B65">
        <w:rPr>
          <w:rFonts w:asciiTheme="minorHAnsi" w:hAnsiTheme="minorHAnsi" w:cstheme="minorHAnsi"/>
          <w:sz w:val="22"/>
          <w:szCs w:val="22"/>
          <w:lang w:eastAsia="sk-SK"/>
        </w:rPr>
        <w:t>ostatním členským zemím EU, neboť česká ekonomika dosud vykazovala vyšší míru nákladovosti, než činil průměr EU.</w:t>
      </w:r>
    </w:p>
    <w:p w14:paraId="78B8C952" w14:textId="77777777" w:rsidR="00A22DBF" w:rsidRPr="002A2B65" w:rsidRDefault="00A22DBF" w:rsidP="008B0116">
      <w:pPr>
        <w:pStyle w:val="Odstavecseseznamem"/>
        <w:numPr>
          <w:ilvl w:val="0"/>
          <w:numId w:val="3"/>
        </w:numPr>
        <w:spacing w:line="276" w:lineRule="auto"/>
        <w:ind w:left="714" w:hanging="357"/>
        <w:rPr>
          <w:rFonts w:asciiTheme="minorHAnsi" w:hAnsiTheme="minorHAnsi" w:cstheme="minorHAnsi"/>
          <w:sz w:val="22"/>
          <w:szCs w:val="22"/>
          <w:lang w:eastAsia="sk-SK"/>
        </w:rPr>
      </w:pPr>
      <w:r>
        <w:rPr>
          <w:rFonts w:asciiTheme="minorHAnsi" w:hAnsiTheme="minorHAnsi" w:cstheme="minorHAnsi"/>
          <w:sz w:val="22"/>
          <w:szCs w:val="22"/>
          <w:lang w:eastAsia="sk-SK"/>
        </w:rPr>
        <w:t>Rozvíjet</w:t>
      </w:r>
      <w:r w:rsidRPr="002A2B65">
        <w:rPr>
          <w:rFonts w:asciiTheme="minorHAnsi" w:hAnsiTheme="minorHAnsi" w:cstheme="minorHAnsi"/>
          <w:sz w:val="22"/>
          <w:szCs w:val="22"/>
          <w:lang w:eastAsia="sk-SK"/>
        </w:rPr>
        <w:t xml:space="preserve"> energe</w:t>
      </w:r>
      <w:r>
        <w:rPr>
          <w:rFonts w:asciiTheme="minorHAnsi" w:hAnsiTheme="minorHAnsi" w:cstheme="minorHAnsi"/>
          <w:sz w:val="22"/>
          <w:szCs w:val="22"/>
          <w:lang w:eastAsia="sk-SK"/>
        </w:rPr>
        <w:t>tické služ</w:t>
      </w:r>
      <w:r w:rsidRPr="002A2B65">
        <w:rPr>
          <w:rFonts w:asciiTheme="minorHAnsi" w:hAnsiTheme="minorHAnsi" w:cstheme="minorHAnsi"/>
          <w:sz w:val="22"/>
          <w:szCs w:val="22"/>
          <w:lang w:eastAsia="sk-SK"/>
        </w:rPr>
        <w:t>b</w:t>
      </w:r>
      <w:r>
        <w:rPr>
          <w:rFonts w:asciiTheme="minorHAnsi" w:hAnsiTheme="minorHAnsi" w:cstheme="minorHAnsi"/>
          <w:sz w:val="22"/>
          <w:szCs w:val="22"/>
          <w:lang w:eastAsia="sk-SK"/>
        </w:rPr>
        <w:t>y</w:t>
      </w:r>
      <w:r w:rsidRPr="002A2B65">
        <w:rPr>
          <w:rFonts w:asciiTheme="minorHAnsi" w:hAnsiTheme="minorHAnsi" w:cstheme="minorHAnsi"/>
          <w:sz w:val="22"/>
          <w:szCs w:val="22"/>
          <w:lang w:eastAsia="sk-SK"/>
        </w:rPr>
        <w:t>, které jsou důležitým nástrojem přispívajícím k nákladově efektivnímu způsobu zvyšování energetické účinnosti.</w:t>
      </w:r>
    </w:p>
    <w:p w14:paraId="7A12B1B7" w14:textId="77777777" w:rsidR="00A22DBF" w:rsidRDefault="00A22DBF" w:rsidP="008B0116">
      <w:pPr>
        <w:spacing w:after="0"/>
      </w:pPr>
    </w:p>
    <w:p w14:paraId="5E54B33B" w14:textId="6C17512F" w:rsidR="00A22DBF" w:rsidRPr="00DB03CC" w:rsidRDefault="00A22DBF" w:rsidP="008B0116">
      <w:pPr>
        <w:pStyle w:val="Nadpis4"/>
        <w:numPr>
          <w:ilvl w:val="0"/>
          <w:numId w:val="0"/>
        </w:numPr>
        <w:spacing w:before="0"/>
        <w:ind w:left="864" w:hanging="864"/>
      </w:pPr>
      <w:r w:rsidRPr="00DB03CC">
        <w:t>Příspěvek k naplnění Směrnice Evropského parlamentu a Rady 2012/27/EU o energetické účinnosti</w:t>
      </w:r>
    </w:p>
    <w:p w14:paraId="7F707896" w14:textId="202FFC3C" w:rsidR="00DB03CC" w:rsidRDefault="00DB03CC" w:rsidP="008B0116">
      <w:pPr>
        <w:spacing w:after="0"/>
      </w:pPr>
      <w:r w:rsidRPr="00DB03CC">
        <w:t>Na základě této směrnice je stanovena úspora konečné spotřeby energie ve výši 51,1 PJ (14,19 TWh), které by mělo být dosaženo v roce 2020. To, do jaké míry přispívá PP ÚE k naplňování tohoto výsledku, lze sledovat prostřednictvím indikátoru 32300 Snížení konečné spotřeby energie u podpořených subjektů. K 31. 12. 2018 činila hodnota tohoto indikátoru dosažená příjemci 89 384,09 GJ/rok, závazek příjemců k plnění tohoto indikátoru dosahoval 2 213 020,603 GJ/rok, tj. 2,2 PJ. Pokud bude tento závazek dodržen, přispěl by PP ÚE 4,3 % k naplnění výsledku stanoveného výše uvedenou směrnicí.</w:t>
      </w:r>
    </w:p>
    <w:p w14:paraId="6BEC3ADF" w14:textId="77777777" w:rsidR="008B0116" w:rsidRPr="00DB03CC" w:rsidRDefault="008B0116" w:rsidP="008B0116">
      <w:pPr>
        <w:spacing w:after="0"/>
      </w:pPr>
    </w:p>
    <w:p w14:paraId="7CD558C3" w14:textId="22C8A7C4" w:rsidR="00A22DBF" w:rsidRDefault="00A22DBF" w:rsidP="008B0116">
      <w:pPr>
        <w:pStyle w:val="Nadpis4"/>
        <w:numPr>
          <w:ilvl w:val="0"/>
          <w:numId w:val="0"/>
        </w:numPr>
        <w:spacing w:before="0"/>
      </w:pPr>
      <w:r w:rsidRPr="00973956">
        <w:t>Příspěvek k naplnění Směrnice Evropského parlamentu a Rady 2009/28/ES o podpoře využívání energie z obnovitelných zdrojů</w:t>
      </w:r>
    </w:p>
    <w:p w14:paraId="74BD2DAE" w14:textId="60D6D738" w:rsidR="001E4872" w:rsidRDefault="00DB03CC" w:rsidP="008B0116">
      <w:pPr>
        <w:spacing w:after="0"/>
        <w:rPr>
          <w:rFonts w:cstheme="minorHAnsi"/>
          <w:lang w:eastAsia="sk-SK"/>
        </w:rPr>
      </w:pPr>
      <w:r>
        <w:t xml:space="preserve">Tato směrnice z roku 2009 stanovila pro Českou republiku cíl v podobě dosažení </w:t>
      </w:r>
      <w:r w:rsidR="00973956">
        <w:t>1</w:t>
      </w:r>
      <w:r>
        <w:t xml:space="preserve">3% podílu OZE na </w:t>
      </w:r>
      <w:r w:rsidR="001E4872">
        <w:t xml:space="preserve">podíl </w:t>
      </w:r>
      <w:r>
        <w:t xml:space="preserve">na </w:t>
      </w:r>
      <w:r w:rsidR="00973956">
        <w:t xml:space="preserve">konečné </w:t>
      </w:r>
      <w:r>
        <w:t>spotřebě</w:t>
      </w:r>
      <w:r w:rsidR="00973956">
        <w:t xml:space="preserve"> energie</w:t>
      </w:r>
      <w:r>
        <w:t>. Tohoto cíle ale bylo dosaženo již v roce 201</w:t>
      </w:r>
      <w:r w:rsidR="008777BA">
        <w:t>3</w:t>
      </w:r>
      <w:r>
        <w:t xml:space="preserve"> </w:t>
      </w:r>
      <w:r w:rsidR="008777BA">
        <w:t xml:space="preserve">(13,89 %) </w:t>
      </w:r>
      <w:r>
        <w:t>v důsledku fotovoltaického boomu</w:t>
      </w:r>
      <w:r w:rsidR="008777BA">
        <w:t>.</w:t>
      </w:r>
      <w:r w:rsidR="00973956">
        <w:t xml:space="preserve"> V rámci Státní energetické koncepce byl stanoven cíl ve výši 18% podílu OZE na hrubé konečné spotřebě. Maxima bylo prozatím dosaženo v roce 2015, kdy podíl činil 15,03 %. Poslední data z roku 2017 hovoří o poklesu podílu, a to na úroveň ve výši 14,76 %. Vzhledem k vývoji podílu OZE na hrubé konečné spotřebě energie nelze předpokládat, že by byl 18% podíl v roce 2020 dosažen. Příspěvek PP ÚE k navyšování podílu OZE na konečné spotřebě energie nelze kvantifikovat, neboť pro tento program podpory není stanoven indikátor věnovaný podílu OZE na úrovni projektů. Lze pouze konstatovat, že PP ÚE podíl OZE na konečné spotřebě zvyšuje, neboť jsou podporovány projekty, v rámci nichž je realizována podporovaná aktivita </w:t>
      </w:r>
      <w:r w:rsidR="00973956" w:rsidRPr="002A2B65">
        <w:rPr>
          <w:rFonts w:cstheme="minorHAnsi"/>
          <w:lang w:eastAsia="sk-SK"/>
        </w:rPr>
        <w:t xml:space="preserve">instalace OZE pro vlastní spotřebu </w:t>
      </w:r>
      <w:r w:rsidR="00973956" w:rsidRPr="0048425D">
        <w:rPr>
          <w:rFonts w:cstheme="minorHAnsi"/>
          <w:lang w:eastAsia="sk-SK"/>
        </w:rPr>
        <w:t>podniku</w:t>
      </w:r>
      <w:r w:rsidR="0048425D">
        <w:rPr>
          <w:rFonts w:cstheme="minorHAnsi"/>
          <w:lang w:eastAsia="sk-SK"/>
        </w:rPr>
        <w:t>. Tato aktivita je součástí 19,2 % podpořených projektů (více viz vyhodnocení evaluační otázky 7).</w:t>
      </w:r>
    </w:p>
    <w:p w14:paraId="2D0B66D2" w14:textId="77777777" w:rsidR="008B0116" w:rsidRDefault="008B0116" w:rsidP="008B0116">
      <w:pPr>
        <w:spacing w:after="0"/>
      </w:pPr>
    </w:p>
    <w:p w14:paraId="0BA5DD0F" w14:textId="0DE8DB6F" w:rsidR="00A22DBF" w:rsidRDefault="00A22DBF" w:rsidP="008B0116">
      <w:pPr>
        <w:pStyle w:val="Nadpis4"/>
        <w:numPr>
          <w:ilvl w:val="0"/>
          <w:numId w:val="0"/>
        </w:numPr>
        <w:spacing w:before="0"/>
        <w:ind w:left="864" w:hanging="864"/>
      </w:pPr>
      <w:r w:rsidRPr="00A22DBF">
        <w:t>Příspěvek k naplnění Směrnice 2008/50/EU a Plánů kvality ovzduší a směrnice o národních stropech</w:t>
      </w:r>
    </w:p>
    <w:p w14:paraId="700CC68F" w14:textId="29745A36" w:rsidR="0053599B" w:rsidRDefault="00CA67E2" w:rsidP="008B0116">
      <w:pPr>
        <w:spacing w:after="0"/>
      </w:pPr>
      <w:r>
        <w:t xml:space="preserve">Cílem Směrnice 2008/50/EU </w:t>
      </w:r>
      <w:r w:rsidRPr="003473D1">
        <w:t>je snížit znečištění ovzduší na úroveň, která minimalizuje škodlivé dopady na lidské zdraví a životní prostředí</w:t>
      </w:r>
      <w:r>
        <w:t xml:space="preserve">. Příspěvek PP ÚE lze hodnotit pouze kvalitativně z důvodu nedostupnosti dat na úrovni projektů za snížení znečištění ovzduší. Lze však konstatovat, že všechny realizované projekty ke snížení znečištění ovzduší přispívají, neboť vlivem energetických úspor dochází ke snižování výroby energie. Ta je v Česku vyráběna především z fosilních paliv, jejichž využíváním dochází ke znečišťování ovzduší. Vzhledem k počtu doposud podpořených projektů a výši energetických úspor, kterých tyto projekty dosáhly, je příspěvek projektů ke snižování znečištění ovzduší spíše nižší. </w:t>
      </w:r>
      <w:r w:rsidR="0053599B">
        <w:t xml:space="preserve">Hodnocením </w:t>
      </w:r>
      <w:r>
        <w:t>snižování emisí skleníkových plyn</w:t>
      </w:r>
      <w:r w:rsidR="0053599B">
        <w:t xml:space="preserve"> se zabývá samostatná evaluační otázka, konkrétně EO 8.</w:t>
      </w:r>
    </w:p>
    <w:p w14:paraId="6FB58DE0" w14:textId="77777777" w:rsidR="008B0116" w:rsidRPr="008B436A" w:rsidRDefault="008B0116" w:rsidP="008B0116">
      <w:pPr>
        <w:spacing w:after="0"/>
      </w:pPr>
    </w:p>
    <w:p w14:paraId="601F1C66" w14:textId="750502C4" w:rsidR="00A22DBF" w:rsidRDefault="00A22DBF" w:rsidP="008B0116">
      <w:pPr>
        <w:pStyle w:val="Nadpis4"/>
        <w:numPr>
          <w:ilvl w:val="0"/>
          <w:numId w:val="0"/>
        </w:numPr>
        <w:spacing w:before="0"/>
        <w:ind w:left="864" w:hanging="864"/>
      </w:pPr>
      <w:r w:rsidRPr="00A22DBF">
        <w:t>Posílení konkurenceschopnosti podnikatelských subjektů</w:t>
      </w:r>
    </w:p>
    <w:p w14:paraId="34AB1B17" w14:textId="2310B66C" w:rsidR="0053599B" w:rsidRDefault="0053599B" w:rsidP="008B0116">
      <w:pPr>
        <w:spacing w:after="0"/>
      </w:pPr>
      <w:bookmarkStart w:id="82" w:name="_Hlk10457997"/>
      <w:r>
        <w:t>Hodnocením tohoto výsledku se zabývá samostatná evaluační otázka, konkrétně EO 6.</w:t>
      </w:r>
    </w:p>
    <w:bookmarkEnd w:id="82"/>
    <w:p w14:paraId="53332460" w14:textId="77777777" w:rsidR="008B0116" w:rsidRPr="008B436A" w:rsidRDefault="008B0116" w:rsidP="008B0116">
      <w:pPr>
        <w:spacing w:after="0"/>
      </w:pPr>
    </w:p>
    <w:p w14:paraId="05D929BF" w14:textId="3C260CCA" w:rsidR="00A22DBF" w:rsidRDefault="00A22DBF" w:rsidP="008B0116">
      <w:pPr>
        <w:pStyle w:val="Nadpis4"/>
        <w:numPr>
          <w:ilvl w:val="0"/>
          <w:numId w:val="0"/>
        </w:numPr>
        <w:spacing w:before="0"/>
        <w:ind w:left="864" w:hanging="864"/>
      </w:pPr>
      <w:r>
        <w:t>P</w:t>
      </w:r>
      <w:r w:rsidRPr="00A22DBF">
        <w:t>řiblížení se v úrovni energetické náročnosti průmyslové výroby k ostatním členským zemím EU</w:t>
      </w:r>
    </w:p>
    <w:p w14:paraId="009FFDBF" w14:textId="6C075A3A" w:rsidR="0053599B" w:rsidRDefault="0053599B" w:rsidP="008B0116">
      <w:pPr>
        <w:spacing w:after="0"/>
      </w:pPr>
      <w:r>
        <w:t xml:space="preserve">PP ÚE by měl mimo jiné vést k přiblížení se v úrovni energetické náročnosti hospodářství k ostatním členským zemím EU. Energetická náročnost států EU-27 je zjišťována </w:t>
      </w:r>
      <w:r w:rsidRPr="00882BD2">
        <w:t>podílem mezi hrubou spotřebou energie v zemi a hrubým domácím produktem (HDP) za daný kalendářní rok</w:t>
      </w:r>
      <w:r>
        <w:t>, tj. m</w:t>
      </w:r>
      <w:r w:rsidRPr="00882BD2">
        <w:t>ěří energetickou spotřebu ekonomiky a její celkovou energetickou účinnost.</w:t>
      </w:r>
      <w:r>
        <w:t xml:space="preserve"> Jak vyplývá z níže uvedeného grafu, energetická náročnost Česka v letech 2006-2016 klesá, ale i přes tento pokles je Česko třetí nejhorší zemí z hlediska energetické náročnosti hospodářství v EU-27.</w:t>
      </w:r>
    </w:p>
    <w:p w14:paraId="711D5DBA" w14:textId="77777777" w:rsidR="008B0116" w:rsidRDefault="008B0116" w:rsidP="008B0116">
      <w:pPr>
        <w:spacing w:after="0"/>
      </w:pPr>
    </w:p>
    <w:p w14:paraId="14D63FE9" w14:textId="0EA18FC0" w:rsidR="0053599B" w:rsidRDefault="0053599B" w:rsidP="008B0116">
      <w:pPr>
        <w:spacing w:after="0"/>
      </w:pPr>
      <w:r>
        <w:t>Situační analýza</w:t>
      </w:r>
      <w:r w:rsidRPr="002A2B65">
        <w:rPr>
          <w:rFonts w:cstheme="minorHAnsi"/>
          <w:lang w:eastAsia="sk-SK"/>
        </w:rPr>
        <w:t>, z níž vycházelo nastavení SC 3.2 OP</w:t>
      </w:r>
      <w:r>
        <w:rPr>
          <w:rFonts w:cstheme="minorHAnsi"/>
          <w:lang w:eastAsia="sk-SK"/>
        </w:rPr>
        <w:t xml:space="preserve"> </w:t>
      </w:r>
      <w:r w:rsidRPr="002A2B65">
        <w:rPr>
          <w:rFonts w:cstheme="minorHAnsi"/>
          <w:lang w:eastAsia="sk-SK"/>
        </w:rPr>
        <w:t>PIK</w:t>
      </w:r>
      <w:r>
        <w:rPr>
          <w:rFonts w:cstheme="minorHAnsi"/>
          <w:lang w:eastAsia="sk-SK"/>
        </w:rPr>
        <w:t xml:space="preserve">, uvádí, že při vztažení spotřeby energie či přímo elektrické energie na obyvatele, nachází se Česko na úrovni průměru zemí EU-27. Nicméně ačkoliv tyto ukazatele vycházejí pro Česko pozitivněji, je stále vnímán </w:t>
      </w:r>
      <w:r w:rsidRPr="00F512B4">
        <w:t>poměrně vysoký potenciál</w:t>
      </w:r>
      <w:r>
        <w:t xml:space="preserve"> pro úspory energií v hospodářství. </w:t>
      </w:r>
    </w:p>
    <w:p w14:paraId="671470DF" w14:textId="77777777" w:rsidR="008B0116" w:rsidRDefault="008B0116" w:rsidP="008B0116">
      <w:pPr>
        <w:spacing w:after="0"/>
      </w:pPr>
    </w:p>
    <w:p w14:paraId="7A5E97F9" w14:textId="1CF4B2A5" w:rsidR="0053599B" w:rsidRDefault="0053599B" w:rsidP="008B0116">
      <w:pPr>
        <w:spacing w:after="0"/>
      </w:pPr>
      <w:r>
        <w:t>Poslední dostupná data o postavení Česka z hlediska energetické náročnosti hospodářství v rámci EU-27 jsou k dispozici pro rok 2016. V PP ÚE bylo v tento rok dokončeno 35 projektů, jejichž dosažená hodnota indikátoru 32300 Snížení konečné spotřeby energie u podpořených subjektů činila 29 928 GJ, tj. snížení spotřeby energie v českém hospodářství je vlivem PP ÚE 0,007 %. V dalších letech bude s rostoucím počtem dokončených projektů vliv PP ÚE na snižování energetické náročnosti růst, i tak však nelze předpokládat, že se bude jednat o stěžejní faktor působící na tento indikátor. Intervence realizované v rámci PP ÚE budou přispívat k přibližování se energetické náročnosti českého hospodářství k evropskému průměru. Nelze však odhadnout, zda dojde i k posunutí Česka v žebříčku hodnocení tohoto indikátoru, neboť pořadí států je dominantně ovlivněno makroekonomickými faktory, na něž má intervence OP PIK zcela minimální vliv.</w:t>
      </w:r>
    </w:p>
    <w:p w14:paraId="6F17FDA2" w14:textId="77777777" w:rsidR="008B0116" w:rsidRPr="00F512B4" w:rsidRDefault="008B0116" w:rsidP="008B0116">
      <w:pPr>
        <w:spacing w:after="0"/>
      </w:pPr>
    </w:p>
    <w:p w14:paraId="19F917FE" w14:textId="2108C50C" w:rsidR="0053599B" w:rsidRDefault="0053599B" w:rsidP="0053599B">
      <w:pPr>
        <w:pStyle w:val="Titulek"/>
      </w:pPr>
      <w:bookmarkStart w:id="83" w:name="_Toc10730044"/>
      <w:r w:rsidRPr="009D41A1">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2</w:t>
      </w:r>
      <w:r w:rsidR="00BD754F">
        <w:rPr>
          <w:noProof/>
        </w:rPr>
        <w:fldChar w:fldCharType="end"/>
      </w:r>
      <w:r w:rsidRPr="009D41A1">
        <w:t>: Energetická náročnost hospodářství ve vybraných letech (Kgoe na 1000 EUR)</w:t>
      </w:r>
      <w:bookmarkEnd w:id="83"/>
    </w:p>
    <w:p w14:paraId="041A35FB" w14:textId="77777777" w:rsidR="0053599B" w:rsidRDefault="0053599B" w:rsidP="0053599B">
      <w:r>
        <w:rPr>
          <w:noProof/>
          <w:lang w:eastAsia="cs-CZ"/>
        </w:rPr>
        <w:drawing>
          <wp:inline distT="0" distB="0" distL="0" distR="0" wp14:anchorId="118EABBC" wp14:editId="295EF449">
            <wp:extent cx="5760000" cy="3465627"/>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987" t="22878" r="28296" b="15352"/>
                    <a:stretch/>
                  </pic:blipFill>
                  <pic:spPr bwMode="auto">
                    <a:xfrm>
                      <a:off x="0" y="0"/>
                      <a:ext cx="5760000" cy="3465627"/>
                    </a:xfrm>
                    <a:prstGeom prst="rect">
                      <a:avLst/>
                    </a:prstGeom>
                    <a:ln>
                      <a:noFill/>
                    </a:ln>
                    <a:extLst>
                      <a:ext uri="{53640926-AAD7-44D8-BBD7-CCE9431645EC}">
                        <a14:shadowObscured xmlns:a14="http://schemas.microsoft.com/office/drawing/2010/main"/>
                      </a:ext>
                    </a:extLst>
                  </pic:spPr>
                </pic:pic>
              </a:graphicData>
            </a:graphic>
          </wp:inline>
        </w:drawing>
      </w:r>
    </w:p>
    <w:p w14:paraId="7C959554" w14:textId="77777777" w:rsidR="0053599B" w:rsidRPr="00A2131E" w:rsidRDefault="0053599B" w:rsidP="0053599B">
      <w:pPr>
        <w:rPr>
          <w:i/>
          <w:sz w:val="18"/>
          <w:szCs w:val="18"/>
        </w:rPr>
      </w:pPr>
      <w:r w:rsidRPr="00A2131E">
        <w:rPr>
          <w:i/>
          <w:sz w:val="18"/>
          <w:szCs w:val="18"/>
        </w:rPr>
        <w:t>Zdroj: Eurostat</w:t>
      </w:r>
    </w:p>
    <w:p w14:paraId="2EC02914" w14:textId="77777777" w:rsidR="008B0116" w:rsidRDefault="008B0116" w:rsidP="00A22DBF">
      <w:pPr>
        <w:pStyle w:val="Nadpis4"/>
        <w:numPr>
          <w:ilvl w:val="0"/>
          <w:numId w:val="0"/>
        </w:numPr>
        <w:ind w:left="864" w:hanging="864"/>
      </w:pPr>
    </w:p>
    <w:p w14:paraId="1AC57814" w14:textId="066A154F" w:rsidR="00A22DBF" w:rsidRDefault="00A22DBF" w:rsidP="00A22DBF">
      <w:pPr>
        <w:pStyle w:val="Nadpis4"/>
        <w:numPr>
          <w:ilvl w:val="0"/>
          <w:numId w:val="0"/>
        </w:numPr>
        <w:ind w:left="864" w:hanging="864"/>
      </w:pPr>
      <w:r>
        <w:t>Rozvoj energetických služeb</w:t>
      </w:r>
    </w:p>
    <w:p w14:paraId="2A7E6225" w14:textId="4D2441B5" w:rsidR="0053599B" w:rsidRDefault="0053599B" w:rsidP="00846B35">
      <w:pPr>
        <w:spacing w:after="0"/>
      </w:pPr>
      <w:r>
        <w:t>Hodnocením tohoto výsledku se zabývá samostatná evaluační otázka, konkrétně EO 8.</w:t>
      </w:r>
    </w:p>
    <w:p w14:paraId="02F9A967" w14:textId="77777777" w:rsidR="00846B35" w:rsidRPr="008B436A" w:rsidRDefault="00846B35" w:rsidP="00846B35">
      <w:pPr>
        <w:spacing w:after="0"/>
      </w:pPr>
    </w:p>
    <w:p w14:paraId="758492BD" w14:textId="77777777" w:rsidR="00A06617" w:rsidRDefault="00A06617" w:rsidP="00A06617">
      <w:pPr>
        <w:pStyle w:val="Nadpis3"/>
      </w:pPr>
      <w:bookmarkStart w:id="84" w:name="_Toc10729938"/>
      <w:r>
        <w:t>Reflexe plnění SC ze strany příjemců</w:t>
      </w:r>
      <w:bookmarkEnd w:id="84"/>
    </w:p>
    <w:p w14:paraId="0ACBE02C" w14:textId="7A0B813A" w:rsidR="00A22378" w:rsidRDefault="00B3766C" w:rsidP="00C74D76">
      <w:pPr>
        <w:spacing w:after="0"/>
      </w:pPr>
      <w:r>
        <w:t xml:space="preserve">Aby bylo možné posoudit dosažitelnost závazku, který si příjemci stanovili v žádosti o dotaci, byli osloveni dotazníkovým šetřením. </w:t>
      </w:r>
      <w:r w:rsidR="0021799E">
        <w:t xml:space="preserve">Jedna z otázek byla věnovaná právě naplňování stanovených cílů a indikátorů. </w:t>
      </w:r>
      <w:r>
        <w:t>Z níže uvedeného grafu je zřejmé, že naprostá většina příjemců podpory plánovaných cílů dosáhne v plném rozsahu.</w:t>
      </w:r>
      <w:r w:rsidR="00C74D76">
        <w:t xml:space="preserve"> Zhruba</w:t>
      </w:r>
      <w:r>
        <w:t xml:space="preserve"> </w:t>
      </w:r>
      <w:r w:rsidR="0021799E">
        <w:t>1,5</w:t>
      </w:r>
      <w:r>
        <w:t xml:space="preserve"> % respondentů očekáv</w:t>
      </w:r>
      <w:r w:rsidR="00024BC9">
        <w:t>á</w:t>
      </w:r>
      <w:r>
        <w:t xml:space="preserve">, že skutečná úspora energie bude </w:t>
      </w:r>
      <w:r w:rsidR="0021799E">
        <w:t xml:space="preserve">významně </w:t>
      </w:r>
      <w:r>
        <w:t xml:space="preserve">vyšší než ta, kterou plánovali při přípravě žádosti o dotaci. </w:t>
      </w:r>
      <w:r w:rsidR="0021799E">
        <w:t>Stejný podíl dotázaných pak předpokládá, že plánovaných cílů nedosáhne.</w:t>
      </w:r>
    </w:p>
    <w:p w14:paraId="104996AD" w14:textId="77777777" w:rsidR="00C74D76" w:rsidRDefault="00C74D76" w:rsidP="00C74D76">
      <w:pPr>
        <w:spacing w:after="0"/>
      </w:pPr>
    </w:p>
    <w:p w14:paraId="299EE2D0" w14:textId="6F9839AF" w:rsidR="00A22378" w:rsidRDefault="00A22378" w:rsidP="00A22378">
      <w:pPr>
        <w:pStyle w:val="Titulek"/>
      </w:pPr>
      <w:bookmarkStart w:id="85" w:name="_Toc10730045"/>
      <w:r w:rsidRPr="009D41A1">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3</w:t>
      </w:r>
      <w:r w:rsidR="00BD754F">
        <w:rPr>
          <w:noProof/>
        </w:rPr>
        <w:fldChar w:fldCharType="end"/>
      </w:r>
      <w:r w:rsidRPr="009D41A1">
        <w:t xml:space="preserve">: Výsledky DŠ – </w:t>
      </w:r>
      <w:r w:rsidR="009D41A1" w:rsidRPr="009D41A1">
        <w:t>Odpovědi na otázku: Podaří se Vám dosáhnout plánovaných cílů, kvůli kterým jste se rozhodli realizovat projekt s dotační podporou z programu OBNOVITELNÉ ZDROJE ENERGIE</w:t>
      </w:r>
      <w:bookmarkEnd w:id="85"/>
    </w:p>
    <w:p w14:paraId="72ACCF85" w14:textId="004BC452" w:rsidR="00A06617" w:rsidRDefault="00A22378" w:rsidP="0021799E">
      <w:pPr>
        <w:rPr>
          <w:rFonts w:ascii="Calibri" w:hAnsi="Calibri" w:cs="Calibri"/>
        </w:rPr>
      </w:pPr>
      <w:r>
        <w:rPr>
          <w:noProof/>
          <w:lang w:eastAsia="cs-CZ"/>
        </w:rPr>
        <w:drawing>
          <wp:inline distT="0" distB="0" distL="0" distR="0" wp14:anchorId="75B725DF" wp14:editId="40F74111">
            <wp:extent cx="5760000" cy="2743200"/>
            <wp:effectExtent l="0" t="0" r="1270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9B7AD5" w14:textId="179861B1" w:rsidR="00D3770C" w:rsidRPr="00A614BE" w:rsidRDefault="00D3770C" w:rsidP="00D3770C">
      <w:pPr>
        <w:pStyle w:val="Nadpis1"/>
        <w:ind w:left="431" w:hanging="431"/>
      </w:pPr>
      <w:bookmarkStart w:id="86" w:name="_Toc4596825"/>
      <w:bookmarkStart w:id="87" w:name="_Toc10729939"/>
      <w:r w:rsidRPr="00A614BE">
        <w:lastRenderedPageBreak/>
        <w:t>Evaluační otázka 5</w:t>
      </w:r>
      <w:r w:rsidR="00D3537C">
        <w:t xml:space="preserve"> (ÚE)</w:t>
      </w:r>
      <w:bookmarkEnd w:id="86"/>
      <w:bookmarkEnd w:id="87"/>
    </w:p>
    <w:p w14:paraId="27B9082B" w14:textId="6ED7D79C" w:rsidR="008F612F" w:rsidRDefault="00D3537C" w:rsidP="008F612F">
      <w:pPr>
        <w:spacing w:after="0"/>
        <w:rPr>
          <w:rFonts w:ascii="Calibri" w:hAnsi="Calibri" w:cs="Calibri"/>
          <w:b/>
        </w:rPr>
      </w:pPr>
      <w:r w:rsidRPr="00D3537C">
        <w:rPr>
          <w:rFonts w:ascii="Calibri" w:hAnsi="Calibri" w:cs="Calibri"/>
          <w:b/>
        </w:rPr>
        <w:t>Vedly intervence u podpořených podniků k ekonomicky efektivnějšímu snížení energetické náročnosti ve srovnání s podniky nepodpořenými?</w:t>
      </w:r>
    </w:p>
    <w:p w14:paraId="007B156B" w14:textId="77777777" w:rsidR="008F612F" w:rsidRDefault="008F612F" w:rsidP="008F612F">
      <w:pPr>
        <w:spacing w:after="0"/>
        <w:rPr>
          <w:rFonts w:ascii="Calibri" w:hAnsi="Calibri" w:cs="Calibri"/>
          <w:b/>
        </w:rPr>
      </w:pPr>
    </w:p>
    <w:p w14:paraId="0CF15B67" w14:textId="77777777" w:rsidR="008F612F" w:rsidRPr="001C50E7" w:rsidRDefault="008F612F" w:rsidP="008F612F">
      <w:pPr>
        <w:pStyle w:val="Nadpis2"/>
      </w:pPr>
      <w:bookmarkStart w:id="88" w:name="_Toc4596826"/>
      <w:bookmarkStart w:id="89" w:name="_Toc10729940"/>
      <w:r w:rsidRPr="001C50E7">
        <w:t>Úkol</w:t>
      </w:r>
      <w:bookmarkEnd w:id="88"/>
      <w:bookmarkEnd w:id="89"/>
    </w:p>
    <w:p w14:paraId="6081D718" w14:textId="79CD740F" w:rsidR="008F612F" w:rsidRDefault="006971CA" w:rsidP="00A96E78">
      <w:pPr>
        <w:spacing w:after="0"/>
        <w:rPr>
          <w:rFonts w:ascii="Calibri" w:hAnsi="Calibri" w:cs="Calibri"/>
        </w:rPr>
      </w:pPr>
      <w:r w:rsidRPr="006971CA">
        <w:rPr>
          <w:rFonts w:ascii="Calibri" w:hAnsi="Calibri" w:cs="Calibri"/>
        </w:rPr>
        <w:t xml:space="preserve">Na základě realizovaných dotazníkových šeření mezi </w:t>
      </w:r>
      <w:r>
        <w:rPr>
          <w:rFonts w:ascii="Calibri" w:hAnsi="Calibri" w:cs="Calibri"/>
        </w:rPr>
        <w:t>příjemci dotace z PP ÚE a nepodpořenými žadateli o dotaci posoudit</w:t>
      </w:r>
      <w:r w:rsidR="00224054">
        <w:rPr>
          <w:rFonts w:ascii="Calibri" w:hAnsi="Calibri" w:cs="Calibri"/>
        </w:rPr>
        <w:t>/vyhodnotit</w:t>
      </w:r>
      <w:r>
        <w:rPr>
          <w:rFonts w:ascii="Calibri" w:hAnsi="Calibri" w:cs="Calibri"/>
        </w:rPr>
        <w:t>, zda</w:t>
      </w:r>
      <w:r w:rsidR="00224054">
        <w:rPr>
          <w:rFonts w:ascii="Calibri" w:hAnsi="Calibri" w:cs="Calibri"/>
        </w:rPr>
        <w:t xml:space="preserve"> u příjemců podpory</w:t>
      </w:r>
      <w:r>
        <w:rPr>
          <w:rFonts w:ascii="Calibri" w:hAnsi="Calibri" w:cs="Calibri"/>
        </w:rPr>
        <w:t xml:space="preserve"> </w:t>
      </w:r>
      <w:r w:rsidR="00224054">
        <w:rPr>
          <w:rFonts w:ascii="Calibri" w:hAnsi="Calibri" w:cs="Calibri"/>
        </w:rPr>
        <w:t>došlo k ekonomicky efektivnějšímu snížení energetické náročnosti.</w:t>
      </w:r>
    </w:p>
    <w:p w14:paraId="59EA6AD8" w14:textId="77777777" w:rsidR="00224054" w:rsidRPr="006971CA" w:rsidRDefault="00224054" w:rsidP="00A96E78">
      <w:pPr>
        <w:spacing w:after="0"/>
        <w:rPr>
          <w:rFonts w:ascii="Calibri" w:hAnsi="Calibri" w:cs="Calibri"/>
        </w:rPr>
      </w:pPr>
    </w:p>
    <w:p w14:paraId="7025AD36" w14:textId="77777777" w:rsidR="008F612F" w:rsidRPr="001C50E7" w:rsidRDefault="008F612F" w:rsidP="008F612F">
      <w:pPr>
        <w:pStyle w:val="Nadpis2"/>
      </w:pPr>
      <w:bookmarkStart w:id="90" w:name="_Toc4596827"/>
      <w:bookmarkStart w:id="91" w:name="_Toc10729941"/>
      <w:r w:rsidRPr="001C50E7">
        <w:t>Východiska</w:t>
      </w:r>
      <w:bookmarkEnd w:id="90"/>
      <w:bookmarkEnd w:id="91"/>
    </w:p>
    <w:p w14:paraId="7C6EB765" w14:textId="3248D195" w:rsidR="006971CA" w:rsidRPr="002A2B65" w:rsidRDefault="006971CA" w:rsidP="00A96E78">
      <w:pPr>
        <w:spacing w:after="0"/>
        <w:jc w:val="both"/>
        <w:rPr>
          <w:rFonts w:cstheme="minorHAnsi"/>
          <w:lang w:eastAsia="sk-SK"/>
        </w:rPr>
      </w:pPr>
      <w:r w:rsidRPr="002A2B65">
        <w:rPr>
          <w:rFonts w:cstheme="minorHAnsi"/>
          <w:lang w:eastAsia="sk-SK"/>
        </w:rPr>
        <w:t>V situační analýze, z níž vycházelo nastavení SC 3.2 OP</w:t>
      </w:r>
      <w:r>
        <w:rPr>
          <w:rFonts w:cstheme="minorHAnsi"/>
          <w:lang w:eastAsia="sk-SK"/>
        </w:rPr>
        <w:t xml:space="preserve"> </w:t>
      </w:r>
      <w:r w:rsidRPr="002A2B65">
        <w:rPr>
          <w:rFonts w:cstheme="minorHAnsi"/>
          <w:lang w:eastAsia="sk-SK"/>
        </w:rPr>
        <w:t>PIK</w:t>
      </w:r>
      <w:r>
        <w:rPr>
          <w:rFonts w:cstheme="minorHAnsi"/>
          <w:lang w:eastAsia="sk-SK"/>
        </w:rPr>
        <w:t>,</w:t>
      </w:r>
      <w:r w:rsidRPr="002A2B65">
        <w:rPr>
          <w:rFonts w:cstheme="minorHAnsi"/>
          <w:lang w:eastAsia="sk-SK"/>
        </w:rPr>
        <w:t xml:space="preserve"> jsou definovány mimo jiné problémové </w:t>
      </w:r>
      <w:r w:rsidR="00AB5901">
        <w:rPr>
          <w:rFonts w:cstheme="minorHAnsi"/>
          <w:lang w:eastAsia="sk-SK"/>
        </w:rPr>
        <w:t>okruhy, k jejichž řešení by měl</w:t>
      </w:r>
      <w:r w:rsidRPr="002A2B65">
        <w:rPr>
          <w:rFonts w:cstheme="minorHAnsi"/>
          <w:lang w:eastAsia="sk-SK"/>
        </w:rPr>
        <w:t xml:space="preserve"> program </w:t>
      </w:r>
      <w:r>
        <w:rPr>
          <w:rFonts w:cstheme="minorHAnsi"/>
          <w:lang w:eastAsia="sk-SK"/>
        </w:rPr>
        <w:t>Ú</w:t>
      </w:r>
      <w:r w:rsidRPr="002A2B65">
        <w:rPr>
          <w:rFonts w:cstheme="minorHAnsi"/>
          <w:lang w:eastAsia="sk-SK"/>
        </w:rPr>
        <w:t>E přispět:</w:t>
      </w:r>
    </w:p>
    <w:p w14:paraId="3E7E9295" w14:textId="77777777" w:rsidR="006971CA" w:rsidRPr="002A2B65" w:rsidRDefault="006971CA" w:rsidP="00A96E78">
      <w:pPr>
        <w:pStyle w:val="Odstavecseseznamem"/>
        <w:numPr>
          <w:ilvl w:val="0"/>
          <w:numId w:val="8"/>
        </w:numPr>
        <w:spacing w:line="276" w:lineRule="auto"/>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Vysoká energetická a surovinová náročnost hospodářství a rostoucí ceny energií</w:t>
      </w:r>
    </w:p>
    <w:p w14:paraId="18CA3652" w14:textId="77777777" w:rsidR="006971CA" w:rsidRPr="002A2B65" w:rsidRDefault="006971CA" w:rsidP="00A96E78">
      <w:pPr>
        <w:pStyle w:val="Odstavecseseznamem"/>
        <w:numPr>
          <w:ilvl w:val="0"/>
          <w:numId w:val="8"/>
        </w:numPr>
        <w:spacing w:line="276" w:lineRule="auto"/>
        <w:jc w:val="both"/>
        <w:rPr>
          <w:rFonts w:asciiTheme="minorHAnsi" w:hAnsiTheme="minorHAnsi" w:cstheme="minorHAnsi"/>
          <w:sz w:val="22"/>
          <w:szCs w:val="22"/>
          <w:lang w:eastAsia="sk-SK"/>
        </w:rPr>
      </w:pPr>
      <w:r w:rsidRPr="002A2B65">
        <w:rPr>
          <w:rFonts w:asciiTheme="minorHAnsi" w:hAnsiTheme="minorHAnsi" w:cstheme="minorHAnsi"/>
          <w:sz w:val="22"/>
          <w:szCs w:val="22"/>
          <w:lang w:eastAsia="sk-SK"/>
        </w:rPr>
        <w:t>Vysoký podíl ztrát tepelné energie v tepelných rozvodných zařízeních a nevyužitý potenciál kombinované výroby elektřiny a tepla</w:t>
      </w:r>
    </w:p>
    <w:p w14:paraId="2092B99D" w14:textId="77777777" w:rsidR="006971CA" w:rsidRPr="002A2B65" w:rsidRDefault="006971CA" w:rsidP="00A96E78">
      <w:pPr>
        <w:spacing w:after="0"/>
        <w:jc w:val="both"/>
        <w:rPr>
          <w:rFonts w:cstheme="minorHAnsi"/>
          <w:lang w:eastAsia="sk-SK"/>
        </w:rPr>
      </w:pPr>
    </w:p>
    <w:p w14:paraId="163160BD" w14:textId="253AE265" w:rsidR="00AB5901" w:rsidRDefault="00CC6927" w:rsidP="00F25461">
      <w:pPr>
        <w:spacing w:after="0"/>
        <w:rPr>
          <w:rFonts w:cstheme="minorHAnsi"/>
          <w:lang w:eastAsia="sk-SK"/>
        </w:rPr>
      </w:pPr>
      <w:r>
        <w:rPr>
          <w:lang w:eastAsia="sk-SK"/>
        </w:rPr>
        <w:t xml:space="preserve">Odpověď na tuto otázku byla zjišťována prostřednictvím </w:t>
      </w:r>
      <w:r w:rsidR="00BC6AC7">
        <w:rPr>
          <w:lang w:eastAsia="sk-SK"/>
        </w:rPr>
        <w:t xml:space="preserve">dvou dotazníkových </w:t>
      </w:r>
      <w:r>
        <w:rPr>
          <w:lang w:eastAsia="sk-SK"/>
        </w:rPr>
        <w:t xml:space="preserve">šetření, </w:t>
      </w:r>
      <w:r w:rsidR="00BC6AC7">
        <w:rPr>
          <w:lang w:eastAsia="sk-SK"/>
        </w:rPr>
        <w:t>jejichž</w:t>
      </w:r>
      <w:r>
        <w:rPr>
          <w:lang w:eastAsia="sk-SK"/>
        </w:rPr>
        <w:t xml:space="preserve"> respondenty byli příjemci dotace z PP ÚE a nepodpořen</w:t>
      </w:r>
      <w:r w:rsidR="00BC6AC7">
        <w:rPr>
          <w:lang w:eastAsia="sk-SK"/>
        </w:rPr>
        <w:t>í</w:t>
      </w:r>
      <w:r>
        <w:rPr>
          <w:lang w:eastAsia="sk-SK"/>
        </w:rPr>
        <w:t xml:space="preserve"> žadatel</w:t>
      </w:r>
      <w:r w:rsidR="00BC6AC7">
        <w:rPr>
          <w:lang w:eastAsia="sk-SK"/>
        </w:rPr>
        <w:t>é</w:t>
      </w:r>
      <w:r>
        <w:rPr>
          <w:lang w:eastAsia="sk-SK"/>
        </w:rPr>
        <w:t xml:space="preserve">. </w:t>
      </w:r>
      <w:r w:rsidR="00AB5901">
        <w:rPr>
          <w:lang w:eastAsia="sk-SK"/>
        </w:rPr>
        <w:t>Původně měla být tato evaluační otázka zpracovávána prostřednictvím kontrafaktuálního přístupu. V</w:t>
      </w:r>
      <w:r>
        <w:rPr>
          <w:lang w:eastAsia="sk-SK"/>
        </w:rPr>
        <w:t xml:space="preserve"> průběhu </w:t>
      </w:r>
      <w:r w:rsidR="00D902B3">
        <w:rPr>
          <w:lang w:eastAsia="sk-SK"/>
        </w:rPr>
        <w:t xml:space="preserve">přípravných prací </w:t>
      </w:r>
      <w:r>
        <w:rPr>
          <w:lang w:eastAsia="sk-SK"/>
        </w:rPr>
        <w:t xml:space="preserve">však bylo hodnotitelem zjištěno, že využití tohoto přístupu není možné z důvodu nedostupnosti </w:t>
      </w:r>
      <w:r w:rsidR="00D902B3">
        <w:rPr>
          <w:lang w:eastAsia="sk-SK"/>
        </w:rPr>
        <w:t xml:space="preserve">nezkreslených </w:t>
      </w:r>
      <w:r>
        <w:rPr>
          <w:lang w:eastAsia="sk-SK"/>
        </w:rPr>
        <w:t>dat o spotřebě energie u nepodpořených žadatelů</w:t>
      </w:r>
      <w:r w:rsidR="00D902B3">
        <w:rPr>
          <w:lang w:eastAsia="sk-SK"/>
        </w:rPr>
        <w:t xml:space="preserve">, příp. u firem, které o dotaci vůbec nežádali. </w:t>
      </w:r>
      <w:r w:rsidR="001B1D7A">
        <w:rPr>
          <w:rFonts w:cstheme="minorHAnsi"/>
          <w:lang w:eastAsia="sk-SK"/>
        </w:rPr>
        <w:t>V důsledku výše uvedených skutečností byl kontrafaktuální přístup nahrazen dotazníkovým šetřením mez</w:t>
      </w:r>
      <w:r w:rsidR="00AB3396">
        <w:rPr>
          <w:rFonts w:cstheme="minorHAnsi"/>
          <w:lang w:eastAsia="sk-SK"/>
        </w:rPr>
        <w:t>i</w:t>
      </w:r>
      <w:r w:rsidR="001B1D7A">
        <w:rPr>
          <w:rFonts w:cstheme="minorHAnsi"/>
          <w:lang w:eastAsia="sk-SK"/>
        </w:rPr>
        <w:t xml:space="preserve"> nepodpořenými žadateli o dotaci v PP ÚE.</w:t>
      </w:r>
    </w:p>
    <w:p w14:paraId="22BE2C47" w14:textId="77777777" w:rsidR="00A96E78" w:rsidRPr="002A2B65" w:rsidRDefault="00A96E78" w:rsidP="00A96E78">
      <w:pPr>
        <w:spacing w:after="0"/>
        <w:jc w:val="both"/>
        <w:rPr>
          <w:rFonts w:cstheme="minorHAnsi"/>
          <w:lang w:eastAsia="sk-SK"/>
        </w:rPr>
      </w:pPr>
    </w:p>
    <w:p w14:paraId="2FE709F5" w14:textId="77777777" w:rsidR="008F612F" w:rsidRPr="001C50E7" w:rsidRDefault="008F612F" w:rsidP="008F612F">
      <w:pPr>
        <w:pStyle w:val="Nadpis2"/>
      </w:pPr>
      <w:bookmarkStart w:id="92" w:name="_Toc4596828"/>
      <w:bookmarkStart w:id="93" w:name="_Toc10729942"/>
      <w:r w:rsidRPr="001C50E7">
        <w:t>Zjištění v návaznosti na evaluační otázku a úkol</w:t>
      </w:r>
      <w:bookmarkEnd w:id="92"/>
      <w:bookmarkEnd w:id="93"/>
    </w:p>
    <w:tbl>
      <w:tblPr>
        <w:tblStyle w:val="Prosttabulka11"/>
        <w:tblW w:w="0" w:type="auto"/>
        <w:tblLook w:val="04A0" w:firstRow="1" w:lastRow="0" w:firstColumn="1" w:lastColumn="0" w:noHBand="0" w:noVBand="1"/>
      </w:tblPr>
      <w:tblGrid>
        <w:gridCol w:w="2972"/>
        <w:gridCol w:w="5954"/>
      </w:tblGrid>
      <w:tr w:rsidR="008F612F" w:rsidRPr="001C50E7" w14:paraId="236B0EDE"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4D75CC40" w14:textId="77777777" w:rsidR="008F612F" w:rsidRPr="001C50E7" w:rsidRDefault="008F612F" w:rsidP="00A62C7D">
            <w:pPr>
              <w:rPr>
                <w:rFonts w:ascii="Calibri" w:hAnsi="Calibri" w:cs="Calibri"/>
              </w:rPr>
            </w:pPr>
            <w:r w:rsidRPr="001C50E7">
              <w:rPr>
                <w:rFonts w:ascii="Calibri" w:hAnsi="Calibri" w:cs="Calibri"/>
              </w:rPr>
              <w:t>Evaluační otázka</w:t>
            </w:r>
          </w:p>
        </w:tc>
        <w:tc>
          <w:tcPr>
            <w:tcW w:w="5954" w:type="dxa"/>
            <w:shd w:val="clear" w:color="auto" w:fill="auto"/>
          </w:tcPr>
          <w:p w14:paraId="472CF976" w14:textId="034BA6DC" w:rsidR="00CA2628" w:rsidRPr="00CA2628" w:rsidRDefault="00D3537C" w:rsidP="00A62C7D">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D3537C">
              <w:rPr>
                <w:rFonts w:ascii="Calibri" w:hAnsi="Calibri" w:cs="Calibri"/>
              </w:rPr>
              <w:t>Vedly intervence u podpořených podniků k ekonomicky efektivnějšímu snížení energetické náročnosti ve srovnání s podniky nepodpořenými?</w:t>
            </w:r>
          </w:p>
        </w:tc>
      </w:tr>
      <w:tr w:rsidR="008F612F" w:rsidRPr="002934D9" w14:paraId="28EC5692"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261CCF" w14:textId="77777777" w:rsidR="008F612F" w:rsidRPr="00BC6AC7" w:rsidRDefault="008F612F" w:rsidP="00A62C7D">
            <w:pPr>
              <w:rPr>
                <w:rFonts w:ascii="Calibri" w:hAnsi="Calibri" w:cs="Calibri"/>
              </w:rPr>
            </w:pPr>
            <w:r w:rsidRPr="00BC6AC7">
              <w:rPr>
                <w:rFonts w:ascii="Calibri" w:hAnsi="Calibri" w:cs="Calibri"/>
              </w:rPr>
              <w:t>Zhodnocení</w:t>
            </w:r>
            <w:r w:rsidRPr="00BC6AC7">
              <w:rPr>
                <w:rFonts w:ascii="Calibri" w:hAnsi="Calibri" w:cs="Calibri"/>
              </w:rPr>
              <w:br/>
            </w:r>
            <w:r w:rsidRPr="00BC6AC7">
              <w:rPr>
                <w:rFonts w:ascii="Calibri" w:hAnsi="Calibri" w:cs="Calibri"/>
                <w:b w:val="0"/>
              </w:rPr>
              <w:t>(Ano, Spíše ano, Spíše ne, Ne, Není relevantní)</w:t>
            </w:r>
          </w:p>
        </w:tc>
        <w:tc>
          <w:tcPr>
            <w:tcW w:w="5954" w:type="dxa"/>
            <w:shd w:val="clear" w:color="auto" w:fill="auto"/>
          </w:tcPr>
          <w:p w14:paraId="1A2C19F4" w14:textId="30D76B57" w:rsidR="008F612F" w:rsidRPr="00BC6AC7" w:rsidRDefault="001B1D7A" w:rsidP="00A62C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C6AC7">
              <w:rPr>
                <w:rFonts w:ascii="Calibri" w:hAnsi="Calibri" w:cs="Calibri"/>
              </w:rPr>
              <w:t>Spíše ano</w:t>
            </w:r>
          </w:p>
        </w:tc>
      </w:tr>
      <w:tr w:rsidR="008F612F" w:rsidRPr="002934D9" w14:paraId="76F79B2A"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0DC1E9F9" w14:textId="77777777" w:rsidR="008F612F" w:rsidRPr="00232D0B" w:rsidRDefault="000722BD" w:rsidP="00A62C7D">
            <w:pPr>
              <w:rPr>
                <w:rFonts w:ascii="Calibri" w:hAnsi="Calibri" w:cs="Calibri"/>
              </w:rPr>
            </w:pPr>
            <w:r w:rsidRPr="00232D0B">
              <w:rPr>
                <w:rFonts w:ascii="Calibri" w:hAnsi="Calibri" w:cs="Calibri"/>
              </w:rPr>
              <w:t>Hlavní závěry a zjištění</w:t>
            </w:r>
          </w:p>
        </w:tc>
        <w:tc>
          <w:tcPr>
            <w:tcW w:w="5954" w:type="dxa"/>
            <w:shd w:val="clear" w:color="auto" w:fill="auto"/>
          </w:tcPr>
          <w:p w14:paraId="004983D1" w14:textId="77777777" w:rsidR="004B148B" w:rsidRDefault="004B148B" w:rsidP="004B148B">
            <w:pPr>
              <w:cnfStyle w:val="000000000000" w:firstRow="0" w:lastRow="0" w:firstColumn="0" w:lastColumn="0" w:oddVBand="0" w:evenVBand="0" w:oddHBand="0" w:evenHBand="0" w:firstRowFirstColumn="0" w:firstRowLastColumn="0" w:lastRowFirstColumn="0" w:lastRowLastColumn="0"/>
            </w:pPr>
            <w:r>
              <w:t xml:space="preserve">Intervence u podpořených podniků vedou k vyššímu snížení energetické náročnosti v porovnání s podniky, které podporu nezískaly. Díky obdržené dotaci je dosažení úspor pro podpořené podniky ekonomicky efektivnější, neboť část nákladů získají formou dotace, náklady investované podnikem jsou tedy nižší (ať už se jedná o vlastní zdroje či půjčené) a jejich návratnost je rychlejší než v případě neobdržení dotace. </w:t>
            </w:r>
          </w:p>
          <w:p w14:paraId="1F528F84" w14:textId="77777777" w:rsidR="004B148B" w:rsidRDefault="004B148B" w:rsidP="004B148B">
            <w:pPr>
              <w:cnfStyle w:val="000000000000" w:firstRow="0" w:lastRow="0" w:firstColumn="0" w:lastColumn="0" w:oddVBand="0" w:evenVBand="0" w:oddHBand="0" w:evenHBand="0" w:firstRowFirstColumn="0" w:firstRowLastColumn="0" w:lastRowFirstColumn="0" w:lastRowLastColumn="0"/>
            </w:pPr>
            <w:r>
              <w:t xml:space="preserve">Intervence je pro podpořené podniky motivací k tomu, aby vytvořily komplexnější nebo rozsáhlejší projekt s vyšším dopadem na energetické úspory. </w:t>
            </w:r>
          </w:p>
          <w:p w14:paraId="3D588356" w14:textId="77777777" w:rsidR="004B148B" w:rsidRDefault="004B148B" w:rsidP="004B148B">
            <w:pPr>
              <w:cnfStyle w:val="000000000000" w:firstRow="0" w:lastRow="0" w:firstColumn="0" w:lastColumn="0" w:oddVBand="0" w:evenVBand="0" w:oddHBand="0" w:evenHBand="0" w:firstRowFirstColumn="0" w:firstRowLastColumn="0" w:lastRowFirstColumn="0" w:lastRowLastColumn="0"/>
            </w:pPr>
          </w:p>
          <w:p w14:paraId="09BEC77C" w14:textId="7A5FFFBA" w:rsidR="004B148B" w:rsidRPr="00232D0B" w:rsidRDefault="004B148B" w:rsidP="004B148B">
            <w:pPr>
              <w:cnfStyle w:val="000000000000" w:firstRow="0" w:lastRow="0" w:firstColumn="0" w:lastColumn="0" w:oddVBand="0" w:evenVBand="0" w:oddHBand="0" w:evenHBand="0" w:firstRowFirstColumn="0" w:firstRowLastColumn="0" w:lastRowFirstColumn="0" w:lastRowLastColumn="0"/>
              <w:rPr>
                <w:rFonts w:ascii="Calibri" w:hAnsi="Calibri" w:cs="Calibri"/>
              </w:rPr>
            </w:pPr>
            <w:r>
              <w:lastRenderedPageBreak/>
              <w:t>V případě, že podnik dotaci neobdrží, tj. realizace navrhovaných energeticky úsporných opatření pro něj představují větší ekonomickou zátěž, přehodnocuje svůj záměr, a buď ho vůbec nerealizuje, realizuje jen opatření s maximálním efektem nebo realizaci opatření rozloží do delšího časového úseku tak, aby to bylo v souladu s jeho finančními možnostmi.</w:t>
            </w:r>
            <w:r w:rsidR="00BC6AC7" w:rsidRPr="00232D0B">
              <w:t xml:space="preserve"> </w:t>
            </w:r>
          </w:p>
        </w:tc>
      </w:tr>
      <w:tr w:rsidR="008F612F" w:rsidRPr="002934D9" w14:paraId="441DC1E6"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408802A" w14:textId="77777777" w:rsidR="008F612F" w:rsidRPr="00232D0B" w:rsidRDefault="008F612F" w:rsidP="00A62C7D">
            <w:pPr>
              <w:rPr>
                <w:rFonts w:ascii="Calibri" w:hAnsi="Calibri" w:cs="Calibri"/>
              </w:rPr>
            </w:pPr>
            <w:r w:rsidRPr="00232D0B">
              <w:rPr>
                <w:rFonts w:ascii="Calibri" w:hAnsi="Calibri" w:cs="Calibri"/>
              </w:rPr>
              <w:lastRenderedPageBreak/>
              <w:t>Doporučení pro programové období 2014 - 2020</w:t>
            </w:r>
          </w:p>
        </w:tc>
        <w:tc>
          <w:tcPr>
            <w:tcW w:w="5954" w:type="dxa"/>
            <w:shd w:val="clear" w:color="auto" w:fill="auto"/>
          </w:tcPr>
          <w:p w14:paraId="25297FEF" w14:textId="5813891A" w:rsidR="00232D0B" w:rsidRPr="00232D0B" w:rsidRDefault="002C6DC4" w:rsidP="00232D0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
        </w:tc>
      </w:tr>
      <w:tr w:rsidR="008F612F" w:rsidRPr="001C50E7" w14:paraId="4DB4CF7D" w14:textId="77777777" w:rsidTr="002C6DC4">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240487A2" w14:textId="7D5D16E5" w:rsidR="008F612F" w:rsidRPr="00110320" w:rsidRDefault="008F612F" w:rsidP="00A62C7D">
            <w:pPr>
              <w:rPr>
                <w:rFonts w:ascii="Calibri" w:hAnsi="Calibri" w:cs="Calibri"/>
              </w:rPr>
            </w:pPr>
            <w:r w:rsidRPr="00110320">
              <w:rPr>
                <w:rFonts w:ascii="Calibri" w:hAnsi="Calibri" w:cs="Calibri"/>
              </w:rPr>
              <w:t>Doporučení pro programové období 2021</w:t>
            </w:r>
            <w:r w:rsidR="002C6DC4">
              <w:rPr>
                <w:rFonts w:ascii="Calibri" w:hAnsi="Calibri" w:cs="Calibri"/>
              </w:rPr>
              <w:t xml:space="preserve"> - 2021</w:t>
            </w:r>
          </w:p>
        </w:tc>
        <w:tc>
          <w:tcPr>
            <w:tcW w:w="5954" w:type="dxa"/>
            <w:shd w:val="clear" w:color="auto" w:fill="auto"/>
          </w:tcPr>
          <w:p w14:paraId="5CD40AF2" w14:textId="38324FE2" w:rsidR="008F612F" w:rsidRPr="001C50E7" w:rsidRDefault="000417EE" w:rsidP="004B14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Zvážit rozšíření podporovaných aktivit o úspory vody</w:t>
            </w:r>
            <w:r w:rsidR="004F3AEE">
              <w:rPr>
                <w:rFonts w:ascii="Calibri" w:hAnsi="Calibri" w:cs="Calibri"/>
              </w:rPr>
              <w:t>,</w:t>
            </w:r>
            <w:r w:rsidR="004B148B">
              <w:rPr>
                <w:rFonts w:ascii="Calibri" w:hAnsi="Calibri" w:cs="Calibri"/>
              </w:rPr>
              <w:t xml:space="preserve"> např. v </w:t>
            </w:r>
            <w:r w:rsidR="004B148B" w:rsidRPr="004B148B">
              <w:rPr>
                <w:rFonts w:ascii="Calibri" w:hAnsi="Calibri" w:cs="Calibri"/>
              </w:rPr>
              <w:t xml:space="preserve">podobě snižování </w:t>
            </w:r>
            <w:r w:rsidR="004B148B">
              <w:rPr>
                <w:rFonts w:ascii="Calibri" w:hAnsi="Calibri" w:cs="Calibri"/>
              </w:rPr>
              <w:t xml:space="preserve">spotřeby vody ve </w:t>
            </w:r>
            <w:r w:rsidR="004B148B" w:rsidRPr="004B148B">
              <w:rPr>
                <w:rFonts w:ascii="Calibri" w:hAnsi="Calibri" w:cs="Calibri"/>
              </w:rPr>
              <w:t>výrobních a technologických proces</w:t>
            </w:r>
            <w:r w:rsidR="004B148B">
              <w:rPr>
                <w:rFonts w:ascii="Calibri" w:hAnsi="Calibri" w:cs="Calibri"/>
              </w:rPr>
              <w:t>ech</w:t>
            </w:r>
            <w:r w:rsidR="00C71FAD">
              <w:rPr>
                <w:rStyle w:val="Znakapoznpodarou"/>
                <w:rFonts w:ascii="Calibri" w:hAnsi="Calibri" w:cs="Calibri"/>
              </w:rPr>
              <w:footnoteReference w:id="12"/>
            </w:r>
            <w:r>
              <w:rPr>
                <w:rFonts w:ascii="Calibri" w:hAnsi="Calibri" w:cs="Calibri"/>
              </w:rPr>
              <w:t>. Toto opatření by umožnilo příjemcům realizovat komplexnější projekty s vyššími synergickými efekty.</w:t>
            </w:r>
          </w:p>
        </w:tc>
      </w:tr>
    </w:tbl>
    <w:p w14:paraId="2C88C5A1" w14:textId="77777777" w:rsidR="008F612F" w:rsidRPr="001C50E7" w:rsidRDefault="008F612F" w:rsidP="008F612F">
      <w:pPr>
        <w:spacing w:after="0"/>
        <w:rPr>
          <w:rFonts w:ascii="Calibri" w:hAnsi="Calibri" w:cs="Calibri"/>
        </w:rPr>
      </w:pPr>
    </w:p>
    <w:p w14:paraId="16127573" w14:textId="77777777" w:rsidR="008F612F" w:rsidRDefault="008F612F" w:rsidP="00A96E78">
      <w:pPr>
        <w:pStyle w:val="Nadpis2"/>
        <w:spacing w:after="0"/>
      </w:pPr>
      <w:bookmarkStart w:id="94" w:name="_Toc4596829"/>
      <w:bookmarkStart w:id="95" w:name="_Toc10729943"/>
      <w:r w:rsidRPr="00776124">
        <w:t>Doplňující informace k evaluační otázce</w:t>
      </w:r>
      <w:bookmarkEnd w:id="94"/>
      <w:bookmarkEnd w:id="95"/>
    </w:p>
    <w:p w14:paraId="767DB6D2" w14:textId="77777777" w:rsidR="00A96E78" w:rsidRDefault="001B1D7A" w:rsidP="00A96E78">
      <w:pPr>
        <w:spacing w:after="0"/>
        <w:rPr>
          <w:lang w:eastAsia="sk-SK"/>
        </w:rPr>
      </w:pPr>
      <w:r>
        <w:rPr>
          <w:lang w:eastAsia="sk-SK"/>
        </w:rPr>
        <w:t xml:space="preserve">Pro vyhodnocení této evaluační otázky bylo využito dvou dotazníkových šetření, a to mezi příjemci dotace z PP ÚE a nepodpořenými žadateli o tuto dotaci. Osloveno bylo 498 příjemců a 626 nepodpořených žadatelů, přičemž návratnost činila 30,3 %, resp. 10,5 %. </w:t>
      </w:r>
    </w:p>
    <w:p w14:paraId="32F5F674" w14:textId="77777777" w:rsidR="00A96E78" w:rsidRDefault="00A96E78" w:rsidP="00A96E78">
      <w:pPr>
        <w:spacing w:after="0"/>
        <w:rPr>
          <w:lang w:eastAsia="sk-SK"/>
        </w:rPr>
      </w:pPr>
    </w:p>
    <w:p w14:paraId="533DBDCC" w14:textId="4FDB8123" w:rsidR="001B1D7A" w:rsidRDefault="001B1D7A" w:rsidP="00A96E78">
      <w:pPr>
        <w:spacing w:after="0"/>
        <w:rPr>
          <w:lang w:eastAsia="sk-SK"/>
        </w:rPr>
      </w:pPr>
      <w:r>
        <w:rPr>
          <w:lang w:eastAsia="sk-SK"/>
        </w:rPr>
        <w:t xml:space="preserve">Aby hodnotitel mohl posoudit, zda intervence u podpořených </w:t>
      </w:r>
      <w:r w:rsidR="00306A95">
        <w:rPr>
          <w:lang w:eastAsia="sk-SK"/>
        </w:rPr>
        <w:t>žadatelů vedly k ekonomicky efektivnějšímu snížení energetické náročnosti v porovnání s nepodpořenými subjekty, byly otázky dotazníku směřovány na:</w:t>
      </w:r>
    </w:p>
    <w:p w14:paraId="331C1AAF" w14:textId="7D850A5F" w:rsidR="00306A95" w:rsidRPr="00306A95" w:rsidRDefault="00306A95" w:rsidP="00A96E78">
      <w:pPr>
        <w:pStyle w:val="Odstavecseseznamem"/>
        <w:numPr>
          <w:ilvl w:val="0"/>
          <w:numId w:val="11"/>
        </w:numPr>
        <w:spacing w:line="276" w:lineRule="auto"/>
        <w:ind w:left="714" w:hanging="357"/>
        <w:rPr>
          <w:rFonts w:asciiTheme="minorHAnsi" w:hAnsiTheme="minorHAnsi" w:cstheme="minorHAnsi"/>
          <w:sz w:val="22"/>
          <w:lang w:eastAsia="sk-SK"/>
        </w:rPr>
      </w:pPr>
      <w:r w:rsidRPr="00306A95">
        <w:rPr>
          <w:rFonts w:asciiTheme="minorHAnsi" w:hAnsiTheme="minorHAnsi" w:cstheme="minorHAnsi"/>
          <w:sz w:val="22"/>
          <w:lang w:eastAsia="sk-SK"/>
        </w:rPr>
        <w:t>změnu spotřeby energie podniku v letech 2015-2018</w:t>
      </w:r>
      <w:r>
        <w:rPr>
          <w:rFonts w:asciiTheme="minorHAnsi" w:hAnsiTheme="minorHAnsi" w:cstheme="minorHAnsi"/>
          <w:sz w:val="22"/>
          <w:lang w:eastAsia="sk-SK"/>
        </w:rPr>
        <w:t>,</w:t>
      </w:r>
    </w:p>
    <w:p w14:paraId="27B7B185" w14:textId="73EBD2CC" w:rsidR="00306A95" w:rsidRPr="00306A95" w:rsidRDefault="00306A95" w:rsidP="00A96E78">
      <w:pPr>
        <w:pStyle w:val="Odstavecseseznamem"/>
        <w:numPr>
          <w:ilvl w:val="0"/>
          <w:numId w:val="11"/>
        </w:numPr>
        <w:spacing w:line="276" w:lineRule="auto"/>
        <w:ind w:left="714" w:hanging="357"/>
        <w:rPr>
          <w:rFonts w:asciiTheme="minorHAnsi" w:hAnsiTheme="minorHAnsi" w:cstheme="minorHAnsi"/>
          <w:sz w:val="22"/>
          <w:lang w:eastAsia="sk-SK"/>
        </w:rPr>
      </w:pPr>
      <w:r w:rsidRPr="00306A95">
        <w:rPr>
          <w:rFonts w:asciiTheme="minorHAnsi" w:hAnsiTheme="minorHAnsi" w:cstheme="minorHAnsi"/>
          <w:sz w:val="22"/>
          <w:lang w:eastAsia="sk-SK"/>
        </w:rPr>
        <w:t>faktory, které změnu spotřeby ovlivnily</w:t>
      </w:r>
      <w:r>
        <w:rPr>
          <w:rFonts w:asciiTheme="minorHAnsi" w:hAnsiTheme="minorHAnsi" w:cstheme="minorHAnsi"/>
          <w:sz w:val="22"/>
          <w:lang w:eastAsia="sk-SK"/>
        </w:rPr>
        <w:t>,</w:t>
      </w:r>
    </w:p>
    <w:p w14:paraId="2C6D956A" w14:textId="3D40C104" w:rsidR="00306A95" w:rsidRDefault="00306A95" w:rsidP="00A96E78">
      <w:pPr>
        <w:pStyle w:val="Odstavecseseznamem"/>
        <w:numPr>
          <w:ilvl w:val="0"/>
          <w:numId w:val="11"/>
        </w:numPr>
        <w:spacing w:line="276" w:lineRule="auto"/>
        <w:ind w:left="714" w:hanging="357"/>
        <w:rPr>
          <w:rFonts w:asciiTheme="minorHAnsi" w:hAnsiTheme="minorHAnsi" w:cstheme="minorHAnsi"/>
          <w:sz w:val="22"/>
          <w:lang w:eastAsia="sk-SK"/>
        </w:rPr>
      </w:pPr>
      <w:r w:rsidRPr="00306A95">
        <w:rPr>
          <w:rFonts w:asciiTheme="minorHAnsi" w:hAnsiTheme="minorHAnsi" w:cstheme="minorHAnsi"/>
          <w:sz w:val="22"/>
          <w:lang w:eastAsia="sk-SK"/>
        </w:rPr>
        <w:t>náklady, které byly investovány do úspory energií</w:t>
      </w:r>
      <w:r>
        <w:rPr>
          <w:rFonts w:asciiTheme="minorHAnsi" w:hAnsiTheme="minorHAnsi" w:cstheme="minorHAnsi"/>
          <w:sz w:val="22"/>
          <w:lang w:eastAsia="sk-SK"/>
        </w:rPr>
        <w:t>.</w:t>
      </w:r>
    </w:p>
    <w:p w14:paraId="78399CCD" w14:textId="77777777" w:rsidR="00306A95" w:rsidRDefault="00306A95" w:rsidP="00A96E78">
      <w:pPr>
        <w:spacing w:after="0"/>
        <w:rPr>
          <w:rFonts w:cstheme="minorHAnsi"/>
          <w:lang w:eastAsia="sk-SK"/>
        </w:rPr>
      </w:pPr>
    </w:p>
    <w:p w14:paraId="3AD040BC" w14:textId="774452FD" w:rsidR="00306A95" w:rsidRDefault="004E0D4E" w:rsidP="00A96E78">
      <w:pPr>
        <w:spacing w:after="0"/>
        <w:rPr>
          <w:rFonts w:cstheme="minorHAnsi"/>
          <w:lang w:eastAsia="sk-SK"/>
        </w:rPr>
      </w:pPr>
      <w:r>
        <w:rPr>
          <w:rFonts w:cstheme="minorHAnsi"/>
          <w:lang w:eastAsia="sk-SK"/>
        </w:rPr>
        <w:t>Níže uvedený graf znázorňuje rozložení obou typů respondentů na základě jejich procentuální změny spotřeby energie v letech 2015-2018. Zatímco u příjemců dotace z ÚE je patrné, že většina z nich v tomto období dosáhla poměrně výrazného snížení spotřeby energie (36 % příjemců snížilo svou spotřebu energie o více než 20 % a 27 % příjemců ji snížilo o 10-19,9 %), v případě nepodpořených žadatelů byla nejčastěji volenou odpovědí stagnace spotřeby energie, tj. změna spotřeby v intervalu +-5 % oproti stavu roku 2015. Tuto odpověď vybralo téměř 32 % respondentů.</w:t>
      </w:r>
      <w:r w:rsidR="00F83823">
        <w:rPr>
          <w:rFonts w:cstheme="minorHAnsi"/>
          <w:lang w:eastAsia="sk-SK"/>
        </w:rPr>
        <w:t xml:space="preserve"> Snížení spotřeby energie o více než 20 % potvrdilo pouze 6 % nepodpořených a snížení o 10-19,9 % téměř 15 % respondentů.</w:t>
      </w:r>
    </w:p>
    <w:p w14:paraId="1330A13C" w14:textId="77777777" w:rsidR="002C6DC4" w:rsidRPr="00306A95" w:rsidRDefault="002C6DC4" w:rsidP="00A96E78">
      <w:pPr>
        <w:spacing w:after="0"/>
        <w:rPr>
          <w:rFonts w:cstheme="minorHAnsi"/>
          <w:lang w:eastAsia="sk-SK"/>
        </w:rPr>
      </w:pPr>
    </w:p>
    <w:p w14:paraId="2249E23B" w14:textId="63473881" w:rsidR="009D41A1" w:rsidRPr="009D41A1" w:rsidRDefault="00224054" w:rsidP="00224054">
      <w:pPr>
        <w:pStyle w:val="Titulek"/>
      </w:pPr>
      <w:bookmarkStart w:id="96" w:name="_Toc10730046"/>
      <w:r w:rsidRPr="009D41A1">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4</w:t>
      </w:r>
      <w:r w:rsidR="00BD754F">
        <w:rPr>
          <w:noProof/>
        </w:rPr>
        <w:fldChar w:fldCharType="end"/>
      </w:r>
      <w:r w:rsidR="009D41A1" w:rsidRPr="009D41A1">
        <w:t>: Výsledky DŠ – Odpovědi na otázku: K jak velké změně spotřeby ener</w:t>
      </w:r>
      <w:r w:rsidR="009D41A1">
        <w:t>gie došlo ve vaší společnosti v </w:t>
      </w:r>
      <w:r w:rsidR="009D41A1" w:rsidRPr="009D41A1">
        <w:t>období mezi lety 2015 až 2018?</w:t>
      </w:r>
      <w:bookmarkEnd w:id="96"/>
    </w:p>
    <w:p w14:paraId="7172AB5E" w14:textId="4858FB90" w:rsidR="00224054" w:rsidRDefault="00224054" w:rsidP="00C97107">
      <w:r>
        <w:rPr>
          <w:noProof/>
          <w:lang w:eastAsia="cs-CZ"/>
        </w:rPr>
        <w:drawing>
          <wp:inline distT="0" distB="0" distL="0" distR="0" wp14:anchorId="18B79C8E" wp14:editId="33DBD25F">
            <wp:extent cx="5760000" cy="3231733"/>
            <wp:effectExtent l="0" t="0" r="12700" b="698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66B41B" w14:textId="2F3FDA50" w:rsidR="001F1E53" w:rsidRDefault="00F83823" w:rsidP="00A96E78">
      <w:pPr>
        <w:spacing w:after="0"/>
      </w:pPr>
      <w:r>
        <w:t xml:space="preserve">Změna spotřeby energie u nepodpořených žadatelů je nejvíce závislá na změně objemu výroby (odpověď 32 % respondentů). Mezi nejčastěji realizovaná opatření pro snížení spotřeby energie patří snížení energetické náročnosti budov (necelých 20 %) a snižování energetické náročnosti, resp. </w:t>
      </w:r>
      <w:r w:rsidR="00BC6AC7">
        <w:t xml:space="preserve">zvyšování </w:t>
      </w:r>
      <w:r>
        <w:t xml:space="preserve">energetické účinnosti výrobních a technologických procesů (12 % dotázaných). Jedná se tedy o stejné aktivity, které byly nejčastějšími podporovanými aktivitami </w:t>
      </w:r>
      <w:r w:rsidR="00B96F5E">
        <w:t xml:space="preserve">v projektech financovaných v rámci PP ÚE. </w:t>
      </w:r>
    </w:p>
    <w:p w14:paraId="3FA70D2C" w14:textId="77777777" w:rsidR="003F4E87" w:rsidRDefault="003F4E87" w:rsidP="00A96E78">
      <w:pPr>
        <w:spacing w:after="0"/>
      </w:pPr>
    </w:p>
    <w:p w14:paraId="7BD1623D" w14:textId="237726C0" w:rsidR="00B96F5E" w:rsidRDefault="00B96F5E" w:rsidP="00B96F5E">
      <w:pPr>
        <w:pStyle w:val="Titulek"/>
      </w:pPr>
      <w:bookmarkStart w:id="97" w:name="_Toc10730047"/>
      <w:r w:rsidRPr="00CA6FE0">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5</w:t>
      </w:r>
      <w:r w:rsidR="00BD754F">
        <w:rPr>
          <w:noProof/>
        </w:rPr>
        <w:fldChar w:fldCharType="end"/>
      </w:r>
      <w:r w:rsidRPr="00CA6FE0">
        <w:t xml:space="preserve">: Výsledky DŠ – </w:t>
      </w:r>
      <w:r w:rsidR="00CA6FE0" w:rsidRPr="00CA6FE0">
        <w:t>Odpovědi na otázku: Co vedlo primárně k dosaženým úsporám?</w:t>
      </w:r>
      <w:bookmarkEnd w:id="97"/>
    </w:p>
    <w:p w14:paraId="6B2249D1" w14:textId="00E465EB" w:rsidR="00125FFB" w:rsidRDefault="000844F9" w:rsidP="00B96F5E">
      <w:r>
        <w:rPr>
          <w:noProof/>
          <w:lang w:eastAsia="cs-CZ"/>
        </w:rPr>
        <w:drawing>
          <wp:inline distT="0" distB="0" distL="0" distR="0" wp14:anchorId="55268FA2" wp14:editId="01D93F1B">
            <wp:extent cx="5760000" cy="5610225"/>
            <wp:effectExtent l="0" t="0" r="12700" b="952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77F22C" w14:textId="0FC05F38" w:rsidR="00B96F5E" w:rsidRDefault="000844F9" w:rsidP="005E3DC8">
      <w:pPr>
        <w:spacing w:after="0"/>
      </w:pPr>
      <w:r>
        <w:t xml:space="preserve">Jak je však patrné z tabulky </w:t>
      </w:r>
      <w:r w:rsidR="00CA6FE0">
        <w:t>níže</w:t>
      </w:r>
      <w:r>
        <w:t xml:space="preserve">, existuje poměrně zásadní rozdíl mezi průměrnou částkou, kterou investují do úsporných opatření příjemci dotace </w:t>
      </w:r>
      <w:r w:rsidR="00B96F5E">
        <w:t xml:space="preserve">a nepodpoření žadatelé. </w:t>
      </w:r>
      <w:r w:rsidR="00834504">
        <w:t>Zatímco celkové způsobilé výdaje příjemců dotace získané z dotazníku či výpočtem z datasetu jsou srovnatelné, celkové náklady nepodpořených žadatelů jsou nižší. Výjimkou je instalace obnovitelných zdrojů energie, do níž nepodpoření ža</w:t>
      </w:r>
      <w:r w:rsidR="0004164F">
        <w:t>da</w:t>
      </w:r>
      <w:r w:rsidR="00834504">
        <w:t xml:space="preserve">telé investovali průměrně 3,25 mil. Kč. Na tomto místě je však důležité </w:t>
      </w:r>
      <w:r w:rsidR="0004164F">
        <w:t>zmínit, že tento průměr vznikl pouze na základě 2 projektů, což jeho vypovídací schopnost výrazně zkresluje.</w:t>
      </w:r>
    </w:p>
    <w:p w14:paraId="6211A515" w14:textId="560D8457" w:rsidR="005E3DC8" w:rsidRDefault="005E3DC8" w:rsidP="005E3DC8">
      <w:pPr>
        <w:spacing w:after="0"/>
      </w:pPr>
    </w:p>
    <w:p w14:paraId="5F9AE3A8" w14:textId="77777777" w:rsidR="00F304F8" w:rsidRDefault="00F304F8" w:rsidP="005E3DC8">
      <w:pPr>
        <w:spacing w:after="0"/>
      </w:pPr>
    </w:p>
    <w:p w14:paraId="60BE8FB8" w14:textId="099C7E2F" w:rsidR="002F0F2C" w:rsidRDefault="002F0F2C" w:rsidP="00B96F5E">
      <w:pPr>
        <w:pStyle w:val="Titulek"/>
      </w:pPr>
      <w:bookmarkStart w:id="98" w:name="_Toc10730026"/>
    </w:p>
    <w:p w14:paraId="53A1799C" w14:textId="77777777" w:rsidR="002F0F2C" w:rsidRPr="002F0F2C" w:rsidRDefault="002F0F2C" w:rsidP="002F0F2C"/>
    <w:p w14:paraId="6C8AFAC8" w14:textId="3A388DEC" w:rsidR="00B96F5E" w:rsidRDefault="00B96F5E" w:rsidP="00B96F5E">
      <w:pPr>
        <w:pStyle w:val="Titulek"/>
      </w:pPr>
      <w:r w:rsidRPr="00CA6FE0">
        <w:lastRenderedPageBreak/>
        <w:t xml:space="preserve">Tabulka </w:t>
      </w:r>
      <w:r w:rsidRPr="00CA6FE0">
        <w:rPr>
          <w:noProof/>
        </w:rPr>
        <w:fldChar w:fldCharType="begin"/>
      </w:r>
      <w:r w:rsidRPr="00CA6FE0">
        <w:rPr>
          <w:noProof/>
        </w:rPr>
        <w:instrText xml:space="preserve"> SEQ Tabulka \* ARABIC </w:instrText>
      </w:r>
      <w:r w:rsidRPr="00CA6FE0">
        <w:rPr>
          <w:noProof/>
        </w:rPr>
        <w:fldChar w:fldCharType="separate"/>
      </w:r>
      <w:r w:rsidR="00E12F39">
        <w:rPr>
          <w:noProof/>
        </w:rPr>
        <w:t>7</w:t>
      </w:r>
      <w:r w:rsidRPr="00CA6FE0">
        <w:rPr>
          <w:noProof/>
        </w:rPr>
        <w:fldChar w:fldCharType="end"/>
      </w:r>
      <w:r w:rsidRPr="00CA6FE0">
        <w:t xml:space="preserve">: </w:t>
      </w:r>
      <w:r w:rsidR="00CA6FE0" w:rsidRPr="00CA6FE0">
        <w:t>Průměrné náklady úsporných opatření u příjemců podpory a nepodpořených žadatelů</w:t>
      </w:r>
      <w:bookmarkEnd w:id="98"/>
    </w:p>
    <w:tbl>
      <w:tblPr>
        <w:tblStyle w:val="Mkatabulky"/>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19"/>
        <w:gridCol w:w="995"/>
        <w:gridCol w:w="1151"/>
        <w:gridCol w:w="1392"/>
        <w:gridCol w:w="1536"/>
      </w:tblGrid>
      <w:tr w:rsidR="00D2530B" w:rsidRPr="005E3DC8" w14:paraId="286702C6" w14:textId="56A873B3" w:rsidTr="00101AEB">
        <w:trPr>
          <w:trHeight w:val="300"/>
        </w:trPr>
        <w:tc>
          <w:tcPr>
            <w:tcW w:w="4419" w:type="dxa"/>
            <w:shd w:val="clear" w:color="auto" w:fill="002060"/>
            <w:noWrap/>
            <w:hideMark/>
          </w:tcPr>
          <w:p w14:paraId="31F85915" w14:textId="77777777" w:rsidR="00834504" w:rsidRPr="005E3DC8" w:rsidRDefault="00834504" w:rsidP="005E3DC8">
            <w:pPr>
              <w:jc w:val="center"/>
              <w:rPr>
                <w:sz w:val="18"/>
                <w:szCs w:val="18"/>
              </w:rPr>
            </w:pPr>
          </w:p>
        </w:tc>
        <w:tc>
          <w:tcPr>
            <w:tcW w:w="982" w:type="dxa"/>
            <w:shd w:val="clear" w:color="auto" w:fill="002060"/>
          </w:tcPr>
          <w:p w14:paraId="535D9C51" w14:textId="3FD6B6A4" w:rsidR="00834504" w:rsidRPr="005E3DC8" w:rsidRDefault="008615E4" w:rsidP="008615E4">
            <w:pPr>
              <w:jc w:val="center"/>
              <w:rPr>
                <w:sz w:val="18"/>
                <w:szCs w:val="18"/>
              </w:rPr>
            </w:pPr>
            <w:r>
              <w:rPr>
                <w:sz w:val="18"/>
                <w:szCs w:val="18"/>
              </w:rPr>
              <w:t>Náklady p</w:t>
            </w:r>
            <w:r w:rsidR="00834504" w:rsidRPr="005E3DC8">
              <w:rPr>
                <w:sz w:val="18"/>
                <w:szCs w:val="18"/>
              </w:rPr>
              <w:t>říjemc</w:t>
            </w:r>
            <w:r w:rsidR="00101AEB">
              <w:rPr>
                <w:sz w:val="18"/>
                <w:szCs w:val="18"/>
              </w:rPr>
              <w:t>ů</w:t>
            </w:r>
            <w:r w:rsidR="00834504" w:rsidRPr="005E3DC8">
              <w:rPr>
                <w:sz w:val="18"/>
                <w:szCs w:val="18"/>
              </w:rPr>
              <w:t xml:space="preserve"> podpory (dataset)</w:t>
            </w:r>
            <w:r w:rsidR="00834504" w:rsidRPr="005E3DC8">
              <w:rPr>
                <w:rStyle w:val="Znakapoznpodarou"/>
                <w:sz w:val="18"/>
                <w:szCs w:val="18"/>
              </w:rPr>
              <w:footnoteReference w:id="13"/>
            </w:r>
            <w:r>
              <w:rPr>
                <w:sz w:val="18"/>
                <w:szCs w:val="18"/>
              </w:rPr>
              <w:t xml:space="preserve"> v Kč</w:t>
            </w:r>
          </w:p>
        </w:tc>
        <w:tc>
          <w:tcPr>
            <w:tcW w:w="1151" w:type="dxa"/>
            <w:shd w:val="clear" w:color="auto" w:fill="002060"/>
            <w:noWrap/>
            <w:hideMark/>
          </w:tcPr>
          <w:p w14:paraId="1F7E46FC" w14:textId="759F64FA" w:rsidR="00834504" w:rsidRPr="005E3DC8" w:rsidRDefault="008615E4" w:rsidP="005E3DC8">
            <w:pPr>
              <w:jc w:val="center"/>
              <w:rPr>
                <w:sz w:val="18"/>
                <w:szCs w:val="18"/>
              </w:rPr>
            </w:pPr>
            <w:r>
              <w:rPr>
                <w:sz w:val="18"/>
                <w:szCs w:val="18"/>
              </w:rPr>
              <w:t>Náklady p</w:t>
            </w:r>
            <w:r w:rsidR="00834504" w:rsidRPr="005E3DC8">
              <w:rPr>
                <w:sz w:val="18"/>
                <w:szCs w:val="18"/>
              </w:rPr>
              <w:t>říjemc</w:t>
            </w:r>
            <w:r>
              <w:rPr>
                <w:sz w:val="18"/>
                <w:szCs w:val="18"/>
              </w:rPr>
              <w:t>ů</w:t>
            </w:r>
            <w:r w:rsidR="00834504" w:rsidRPr="005E3DC8">
              <w:rPr>
                <w:sz w:val="18"/>
                <w:szCs w:val="18"/>
              </w:rPr>
              <w:t xml:space="preserve"> podpory (DŠ)</w:t>
            </w:r>
            <w:r>
              <w:rPr>
                <w:sz w:val="18"/>
                <w:szCs w:val="18"/>
              </w:rPr>
              <w:t xml:space="preserve"> v Kč</w:t>
            </w:r>
          </w:p>
        </w:tc>
        <w:tc>
          <w:tcPr>
            <w:tcW w:w="1392" w:type="dxa"/>
            <w:shd w:val="clear" w:color="auto" w:fill="002060"/>
            <w:noWrap/>
            <w:hideMark/>
          </w:tcPr>
          <w:p w14:paraId="4A75E88B" w14:textId="1C7F5CEF" w:rsidR="00834504" w:rsidRPr="005E3DC8" w:rsidRDefault="00834504" w:rsidP="005E3DC8">
            <w:pPr>
              <w:jc w:val="center"/>
              <w:rPr>
                <w:sz w:val="18"/>
                <w:szCs w:val="18"/>
              </w:rPr>
            </w:pPr>
            <w:r w:rsidRPr="005E3DC8">
              <w:rPr>
                <w:sz w:val="18"/>
                <w:szCs w:val="18"/>
              </w:rPr>
              <w:t>N</w:t>
            </w:r>
            <w:r w:rsidR="008615E4">
              <w:rPr>
                <w:sz w:val="18"/>
                <w:szCs w:val="18"/>
              </w:rPr>
              <w:t>áklady n</w:t>
            </w:r>
            <w:r w:rsidRPr="005E3DC8">
              <w:rPr>
                <w:sz w:val="18"/>
                <w:szCs w:val="18"/>
              </w:rPr>
              <w:t>epodpořen</w:t>
            </w:r>
            <w:r w:rsidR="008615E4">
              <w:rPr>
                <w:sz w:val="18"/>
                <w:szCs w:val="18"/>
              </w:rPr>
              <w:t>ých</w:t>
            </w:r>
            <w:r w:rsidRPr="005E3DC8">
              <w:rPr>
                <w:sz w:val="18"/>
                <w:szCs w:val="18"/>
              </w:rPr>
              <w:t xml:space="preserve"> žadatel</w:t>
            </w:r>
            <w:r w:rsidR="008615E4">
              <w:rPr>
                <w:sz w:val="18"/>
                <w:szCs w:val="18"/>
              </w:rPr>
              <w:t>ů</w:t>
            </w:r>
            <w:r w:rsidRPr="005E3DC8">
              <w:rPr>
                <w:sz w:val="18"/>
                <w:szCs w:val="18"/>
              </w:rPr>
              <w:t xml:space="preserve"> (DŠ)</w:t>
            </w:r>
            <w:r w:rsidR="008615E4">
              <w:rPr>
                <w:sz w:val="18"/>
                <w:szCs w:val="18"/>
              </w:rPr>
              <w:t xml:space="preserve"> v Kč</w:t>
            </w:r>
          </w:p>
        </w:tc>
        <w:tc>
          <w:tcPr>
            <w:tcW w:w="1549" w:type="dxa"/>
            <w:shd w:val="clear" w:color="auto" w:fill="002060"/>
          </w:tcPr>
          <w:p w14:paraId="196A15E2" w14:textId="5D1CF1CC" w:rsidR="00834504" w:rsidRPr="005E3DC8" w:rsidRDefault="00D2530B" w:rsidP="005E3DC8">
            <w:pPr>
              <w:jc w:val="center"/>
              <w:rPr>
                <w:sz w:val="18"/>
                <w:szCs w:val="18"/>
              </w:rPr>
            </w:pPr>
            <w:r>
              <w:rPr>
                <w:sz w:val="18"/>
                <w:szCs w:val="18"/>
              </w:rPr>
              <w:t xml:space="preserve">Podíl nákladů </w:t>
            </w:r>
            <w:r w:rsidR="00101AEB">
              <w:rPr>
                <w:sz w:val="18"/>
                <w:szCs w:val="18"/>
              </w:rPr>
              <w:t>n</w:t>
            </w:r>
            <w:r w:rsidR="00834504" w:rsidRPr="005E3DC8">
              <w:rPr>
                <w:sz w:val="18"/>
                <w:szCs w:val="18"/>
              </w:rPr>
              <w:t>epodpořen</w:t>
            </w:r>
            <w:r>
              <w:rPr>
                <w:sz w:val="18"/>
                <w:szCs w:val="18"/>
              </w:rPr>
              <w:t>ých žad</w:t>
            </w:r>
            <w:r w:rsidR="00101AEB">
              <w:rPr>
                <w:sz w:val="18"/>
                <w:szCs w:val="18"/>
              </w:rPr>
              <w:t>a</w:t>
            </w:r>
            <w:r>
              <w:rPr>
                <w:sz w:val="18"/>
                <w:szCs w:val="18"/>
              </w:rPr>
              <w:t>telů</w:t>
            </w:r>
          </w:p>
          <w:p w14:paraId="176B78D0" w14:textId="3A75090F" w:rsidR="00834504" w:rsidRPr="005E3DC8" w:rsidRDefault="00834504" w:rsidP="005E3DC8">
            <w:pPr>
              <w:jc w:val="center"/>
              <w:rPr>
                <w:sz w:val="18"/>
                <w:szCs w:val="18"/>
              </w:rPr>
            </w:pPr>
            <w:r w:rsidRPr="005E3DC8">
              <w:rPr>
                <w:sz w:val="18"/>
                <w:szCs w:val="18"/>
              </w:rPr>
              <w:t>/příjemc</w:t>
            </w:r>
            <w:r w:rsidR="00D2530B">
              <w:rPr>
                <w:sz w:val="18"/>
                <w:szCs w:val="18"/>
              </w:rPr>
              <w:t>ů (%)</w:t>
            </w:r>
          </w:p>
        </w:tc>
      </w:tr>
      <w:tr w:rsidR="00D2530B" w:rsidRPr="005E3DC8" w14:paraId="5B8BAC29" w14:textId="110694CA" w:rsidTr="00101AEB">
        <w:trPr>
          <w:trHeight w:val="600"/>
        </w:trPr>
        <w:tc>
          <w:tcPr>
            <w:tcW w:w="4419" w:type="dxa"/>
            <w:hideMark/>
          </w:tcPr>
          <w:p w14:paraId="12E23D73" w14:textId="77777777" w:rsidR="00834504" w:rsidRPr="005E3DC8" w:rsidRDefault="00834504">
            <w:pPr>
              <w:rPr>
                <w:sz w:val="18"/>
                <w:szCs w:val="18"/>
              </w:rPr>
            </w:pPr>
            <w:r w:rsidRPr="005E3DC8">
              <w:rPr>
                <w:sz w:val="18"/>
                <w:szCs w:val="18"/>
              </w:rPr>
              <w:t>Snižování energetické náročnosti budov (zateplení, výměna a renovace otvorových výplní apod.)</w:t>
            </w:r>
          </w:p>
        </w:tc>
        <w:tc>
          <w:tcPr>
            <w:tcW w:w="982" w:type="dxa"/>
            <w:vAlign w:val="center"/>
          </w:tcPr>
          <w:p w14:paraId="207AE3D0" w14:textId="1297AE22" w:rsidR="00834504" w:rsidRPr="005E3DC8" w:rsidRDefault="00834504" w:rsidP="0004164F">
            <w:pPr>
              <w:jc w:val="center"/>
              <w:rPr>
                <w:sz w:val="18"/>
                <w:szCs w:val="18"/>
              </w:rPr>
            </w:pPr>
            <w:r w:rsidRPr="005E3DC8">
              <w:rPr>
                <w:rFonts w:ascii="Calibri" w:hAnsi="Calibri" w:cs="Calibri"/>
                <w:color w:val="000000"/>
                <w:sz w:val="18"/>
                <w:szCs w:val="18"/>
              </w:rPr>
              <w:t>7 497 370</w:t>
            </w:r>
          </w:p>
        </w:tc>
        <w:tc>
          <w:tcPr>
            <w:tcW w:w="1151" w:type="dxa"/>
            <w:noWrap/>
            <w:vAlign w:val="center"/>
            <w:hideMark/>
          </w:tcPr>
          <w:p w14:paraId="0C5C1E40" w14:textId="4942BDDF" w:rsidR="00834504" w:rsidRPr="005E3DC8" w:rsidRDefault="00834504" w:rsidP="0004164F">
            <w:pPr>
              <w:jc w:val="center"/>
              <w:rPr>
                <w:sz w:val="18"/>
                <w:szCs w:val="18"/>
              </w:rPr>
            </w:pPr>
            <w:r w:rsidRPr="005E3DC8">
              <w:rPr>
                <w:sz w:val="18"/>
                <w:szCs w:val="18"/>
              </w:rPr>
              <w:t>8 699 027</w:t>
            </w:r>
          </w:p>
        </w:tc>
        <w:tc>
          <w:tcPr>
            <w:tcW w:w="1392" w:type="dxa"/>
            <w:noWrap/>
            <w:vAlign w:val="center"/>
            <w:hideMark/>
          </w:tcPr>
          <w:p w14:paraId="45013CF0" w14:textId="77777777" w:rsidR="00834504" w:rsidRPr="005E3DC8" w:rsidRDefault="00834504" w:rsidP="0004164F">
            <w:pPr>
              <w:jc w:val="center"/>
              <w:rPr>
                <w:sz w:val="18"/>
                <w:szCs w:val="18"/>
              </w:rPr>
            </w:pPr>
            <w:r w:rsidRPr="005E3DC8">
              <w:rPr>
                <w:sz w:val="18"/>
                <w:szCs w:val="18"/>
              </w:rPr>
              <w:t>2 859 091</w:t>
            </w:r>
          </w:p>
        </w:tc>
        <w:tc>
          <w:tcPr>
            <w:tcW w:w="1549" w:type="dxa"/>
            <w:vAlign w:val="center"/>
          </w:tcPr>
          <w:p w14:paraId="4486B8F6" w14:textId="01E3B30B" w:rsidR="00834504" w:rsidRPr="005E3DC8" w:rsidRDefault="00834504" w:rsidP="0004164F">
            <w:pPr>
              <w:jc w:val="center"/>
              <w:rPr>
                <w:sz w:val="18"/>
                <w:szCs w:val="18"/>
              </w:rPr>
            </w:pPr>
            <w:r w:rsidRPr="005E3DC8">
              <w:rPr>
                <w:rFonts w:ascii="Calibri" w:hAnsi="Calibri" w:cs="Calibri"/>
                <w:color w:val="000000"/>
                <w:sz w:val="18"/>
                <w:szCs w:val="18"/>
              </w:rPr>
              <w:t>32,9</w:t>
            </w:r>
          </w:p>
        </w:tc>
      </w:tr>
      <w:tr w:rsidR="00D2530B" w:rsidRPr="005E3DC8" w14:paraId="10C742F4" w14:textId="7F729C51" w:rsidTr="00101AEB">
        <w:trPr>
          <w:trHeight w:val="300"/>
        </w:trPr>
        <w:tc>
          <w:tcPr>
            <w:tcW w:w="4419" w:type="dxa"/>
            <w:hideMark/>
          </w:tcPr>
          <w:p w14:paraId="18588D18" w14:textId="77777777" w:rsidR="00834504" w:rsidRPr="005E3DC8" w:rsidRDefault="00834504">
            <w:pPr>
              <w:rPr>
                <w:sz w:val="18"/>
                <w:szCs w:val="18"/>
              </w:rPr>
            </w:pPr>
            <w:r w:rsidRPr="005E3DC8">
              <w:rPr>
                <w:sz w:val="18"/>
                <w:szCs w:val="18"/>
              </w:rPr>
              <w:t>Modernizace rozvodů elektřiny, plynu a tepla v budovách</w:t>
            </w:r>
          </w:p>
        </w:tc>
        <w:tc>
          <w:tcPr>
            <w:tcW w:w="982" w:type="dxa"/>
            <w:vAlign w:val="center"/>
          </w:tcPr>
          <w:p w14:paraId="16BDD1B1" w14:textId="5FFFF709" w:rsidR="00834504" w:rsidRPr="005E3DC8" w:rsidRDefault="00834504" w:rsidP="0004164F">
            <w:pPr>
              <w:jc w:val="center"/>
              <w:rPr>
                <w:sz w:val="18"/>
                <w:szCs w:val="18"/>
              </w:rPr>
            </w:pPr>
            <w:r w:rsidRPr="005E3DC8">
              <w:rPr>
                <w:rFonts w:ascii="Calibri" w:hAnsi="Calibri" w:cs="Calibri"/>
                <w:color w:val="000000"/>
                <w:sz w:val="18"/>
                <w:szCs w:val="18"/>
              </w:rPr>
              <w:t>1 832 048</w:t>
            </w:r>
          </w:p>
        </w:tc>
        <w:tc>
          <w:tcPr>
            <w:tcW w:w="1151" w:type="dxa"/>
            <w:noWrap/>
            <w:vAlign w:val="center"/>
            <w:hideMark/>
          </w:tcPr>
          <w:p w14:paraId="18299049" w14:textId="25826733" w:rsidR="00834504" w:rsidRPr="005E3DC8" w:rsidRDefault="00834504" w:rsidP="0004164F">
            <w:pPr>
              <w:jc w:val="center"/>
              <w:rPr>
                <w:sz w:val="18"/>
                <w:szCs w:val="18"/>
              </w:rPr>
            </w:pPr>
            <w:r w:rsidRPr="005E3DC8">
              <w:rPr>
                <w:sz w:val="18"/>
                <w:szCs w:val="18"/>
              </w:rPr>
              <w:t>2 857 500</w:t>
            </w:r>
          </w:p>
        </w:tc>
        <w:tc>
          <w:tcPr>
            <w:tcW w:w="1392" w:type="dxa"/>
            <w:noWrap/>
            <w:vAlign w:val="center"/>
            <w:hideMark/>
          </w:tcPr>
          <w:p w14:paraId="0D910DB3" w14:textId="77777777" w:rsidR="00834504" w:rsidRPr="005E3DC8" w:rsidRDefault="00834504" w:rsidP="0004164F">
            <w:pPr>
              <w:jc w:val="center"/>
              <w:rPr>
                <w:sz w:val="18"/>
                <w:szCs w:val="18"/>
              </w:rPr>
            </w:pPr>
            <w:r w:rsidRPr="005E3DC8">
              <w:rPr>
                <w:sz w:val="18"/>
                <w:szCs w:val="18"/>
              </w:rPr>
              <w:t>716 667</w:t>
            </w:r>
          </w:p>
        </w:tc>
        <w:tc>
          <w:tcPr>
            <w:tcW w:w="1549" w:type="dxa"/>
            <w:vAlign w:val="center"/>
          </w:tcPr>
          <w:p w14:paraId="6AE3BF4B" w14:textId="17586B90" w:rsidR="00834504" w:rsidRPr="005E3DC8" w:rsidRDefault="00834504" w:rsidP="0004164F">
            <w:pPr>
              <w:jc w:val="center"/>
              <w:rPr>
                <w:sz w:val="18"/>
                <w:szCs w:val="18"/>
              </w:rPr>
            </w:pPr>
            <w:r w:rsidRPr="005E3DC8">
              <w:rPr>
                <w:rFonts w:ascii="Calibri" w:hAnsi="Calibri" w:cs="Calibri"/>
                <w:color w:val="000000"/>
                <w:sz w:val="18"/>
                <w:szCs w:val="18"/>
              </w:rPr>
              <w:t>25,1</w:t>
            </w:r>
          </w:p>
        </w:tc>
      </w:tr>
      <w:tr w:rsidR="00D2530B" w:rsidRPr="005E3DC8" w14:paraId="7712C0FC" w14:textId="3E2E816E" w:rsidTr="00101AEB">
        <w:trPr>
          <w:trHeight w:val="300"/>
        </w:trPr>
        <w:tc>
          <w:tcPr>
            <w:tcW w:w="4419" w:type="dxa"/>
            <w:hideMark/>
          </w:tcPr>
          <w:p w14:paraId="47604396" w14:textId="77777777" w:rsidR="00834504" w:rsidRPr="005E3DC8" w:rsidRDefault="00834504">
            <w:pPr>
              <w:rPr>
                <w:sz w:val="18"/>
                <w:szCs w:val="18"/>
              </w:rPr>
            </w:pPr>
            <w:r w:rsidRPr="005E3DC8">
              <w:rPr>
                <w:sz w:val="18"/>
                <w:szCs w:val="18"/>
              </w:rPr>
              <w:t>Zavádění a modernizace systémů měření a regulace</w:t>
            </w:r>
          </w:p>
        </w:tc>
        <w:tc>
          <w:tcPr>
            <w:tcW w:w="982" w:type="dxa"/>
            <w:vAlign w:val="center"/>
          </w:tcPr>
          <w:p w14:paraId="3A72783B" w14:textId="79B5064F" w:rsidR="00834504" w:rsidRPr="005E3DC8" w:rsidRDefault="00834504" w:rsidP="0004164F">
            <w:pPr>
              <w:jc w:val="center"/>
              <w:rPr>
                <w:sz w:val="18"/>
                <w:szCs w:val="18"/>
              </w:rPr>
            </w:pPr>
            <w:r w:rsidRPr="005E3DC8">
              <w:rPr>
                <w:rFonts w:ascii="Calibri" w:hAnsi="Calibri" w:cs="Calibri"/>
                <w:color w:val="000000"/>
                <w:sz w:val="18"/>
                <w:szCs w:val="18"/>
              </w:rPr>
              <w:t>648 108</w:t>
            </w:r>
          </w:p>
        </w:tc>
        <w:tc>
          <w:tcPr>
            <w:tcW w:w="1151" w:type="dxa"/>
            <w:noWrap/>
            <w:vAlign w:val="center"/>
            <w:hideMark/>
          </w:tcPr>
          <w:p w14:paraId="530DAD21" w14:textId="0B2235B1" w:rsidR="00834504" w:rsidRPr="005E3DC8" w:rsidRDefault="00834504" w:rsidP="0004164F">
            <w:pPr>
              <w:jc w:val="center"/>
              <w:rPr>
                <w:sz w:val="18"/>
                <w:szCs w:val="18"/>
              </w:rPr>
            </w:pPr>
            <w:r w:rsidRPr="005E3DC8">
              <w:rPr>
                <w:sz w:val="18"/>
                <w:szCs w:val="18"/>
              </w:rPr>
              <w:t>700 063</w:t>
            </w:r>
          </w:p>
        </w:tc>
        <w:tc>
          <w:tcPr>
            <w:tcW w:w="1392" w:type="dxa"/>
            <w:noWrap/>
            <w:vAlign w:val="center"/>
            <w:hideMark/>
          </w:tcPr>
          <w:p w14:paraId="4EB7AA72" w14:textId="77777777" w:rsidR="00834504" w:rsidRPr="005E3DC8" w:rsidRDefault="00834504" w:rsidP="0004164F">
            <w:pPr>
              <w:jc w:val="center"/>
              <w:rPr>
                <w:sz w:val="18"/>
                <w:szCs w:val="18"/>
              </w:rPr>
            </w:pPr>
            <w:r w:rsidRPr="005E3DC8">
              <w:rPr>
                <w:sz w:val="18"/>
                <w:szCs w:val="18"/>
              </w:rPr>
              <w:t>396 667</w:t>
            </w:r>
          </w:p>
        </w:tc>
        <w:tc>
          <w:tcPr>
            <w:tcW w:w="1549" w:type="dxa"/>
            <w:vAlign w:val="center"/>
          </w:tcPr>
          <w:p w14:paraId="19282311" w14:textId="3623407E" w:rsidR="00834504" w:rsidRPr="005E3DC8" w:rsidRDefault="00834504" w:rsidP="0004164F">
            <w:pPr>
              <w:jc w:val="center"/>
              <w:rPr>
                <w:sz w:val="18"/>
                <w:szCs w:val="18"/>
              </w:rPr>
            </w:pPr>
            <w:r w:rsidRPr="005E3DC8">
              <w:rPr>
                <w:rFonts w:ascii="Calibri" w:hAnsi="Calibri" w:cs="Calibri"/>
                <w:color w:val="000000"/>
                <w:sz w:val="18"/>
                <w:szCs w:val="18"/>
              </w:rPr>
              <w:t>56,7</w:t>
            </w:r>
          </w:p>
        </w:tc>
      </w:tr>
      <w:tr w:rsidR="00D2530B" w:rsidRPr="005E3DC8" w14:paraId="2C78D741" w14:textId="33D60F4E" w:rsidTr="00101AEB">
        <w:trPr>
          <w:trHeight w:val="300"/>
        </w:trPr>
        <w:tc>
          <w:tcPr>
            <w:tcW w:w="4419" w:type="dxa"/>
            <w:hideMark/>
          </w:tcPr>
          <w:p w14:paraId="25828121" w14:textId="77777777" w:rsidR="00834504" w:rsidRPr="005E3DC8" w:rsidRDefault="00834504">
            <w:pPr>
              <w:rPr>
                <w:sz w:val="18"/>
                <w:szCs w:val="18"/>
              </w:rPr>
            </w:pPr>
            <w:r w:rsidRPr="005E3DC8">
              <w:rPr>
                <w:sz w:val="18"/>
                <w:szCs w:val="18"/>
              </w:rPr>
              <w:t>Modernizace soustav osvětlení budov a průmyslových areálů</w:t>
            </w:r>
          </w:p>
        </w:tc>
        <w:tc>
          <w:tcPr>
            <w:tcW w:w="982" w:type="dxa"/>
            <w:vAlign w:val="center"/>
          </w:tcPr>
          <w:p w14:paraId="167ACDD7" w14:textId="30BFF013" w:rsidR="00834504" w:rsidRPr="005E3DC8" w:rsidRDefault="00834504" w:rsidP="0004164F">
            <w:pPr>
              <w:jc w:val="center"/>
              <w:rPr>
                <w:sz w:val="18"/>
                <w:szCs w:val="18"/>
              </w:rPr>
            </w:pPr>
            <w:r w:rsidRPr="005E3DC8">
              <w:rPr>
                <w:rFonts w:ascii="Calibri" w:hAnsi="Calibri" w:cs="Calibri"/>
                <w:color w:val="000000"/>
                <w:sz w:val="18"/>
                <w:szCs w:val="18"/>
              </w:rPr>
              <w:t>1 135 614</w:t>
            </w:r>
          </w:p>
        </w:tc>
        <w:tc>
          <w:tcPr>
            <w:tcW w:w="1151" w:type="dxa"/>
            <w:noWrap/>
            <w:vAlign w:val="center"/>
            <w:hideMark/>
          </w:tcPr>
          <w:p w14:paraId="1AA092F3" w14:textId="547B3A5C" w:rsidR="00834504" w:rsidRPr="005E3DC8" w:rsidRDefault="00834504" w:rsidP="0004164F">
            <w:pPr>
              <w:jc w:val="center"/>
              <w:rPr>
                <w:sz w:val="18"/>
                <w:szCs w:val="18"/>
              </w:rPr>
            </w:pPr>
            <w:r w:rsidRPr="005E3DC8">
              <w:rPr>
                <w:sz w:val="18"/>
                <w:szCs w:val="18"/>
              </w:rPr>
              <w:t>1 444 139</w:t>
            </w:r>
          </w:p>
        </w:tc>
        <w:tc>
          <w:tcPr>
            <w:tcW w:w="1392" w:type="dxa"/>
            <w:noWrap/>
            <w:vAlign w:val="center"/>
            <w:hideMark/>
          </w:tcPr>
          <w:p w14:paraId="1D324474" w14:textId="77777777" w:rsidR="00834504" w:rsidRPr="005E3DC8" w:rsidRDefault="00834504" w:rsidP="0004164F">
            <w:pPr>
              <w:jc w:val="center"/>
              <w:rPr>
                <w:sz w:val="18"/>
                <w:szCs w:val="18"/>
              </w:rPr>
            </w:pPr>
            <w:r w:rsidRPr="005E3DC8">
              <w:rPr>
                <w:sz w:val="18"/>
                <w:szCs w:val="18"/>
              </w:rPr>
              <w:t>181 250</w:t>
            </w:r>
          </w:p>
        </w:tc>
        <w:tc>
          <w:tcPr>
            <w:tcW w:w="1549" w:type="dxa"/>
            <w:vAlign w:val="center"/>
          </w:tcPr>
          <w:p w14:paraId="3615EBCB" w14:textId="016DEFB4" w:rsidR="00834504" w:rsidRPr="005E3DC8" w:rsidRDefault="00834504" w:rsidP="0004164F">
            <w:pPr>
              <w:jc w:val="center"/>
              <w:rPr>
                <w:sz w:val="18"/>
                <w:szCs w:val="18"/>
              </w:rPr>
            </w:pPr>
            <w:r w:rsidRPr="005E3DC8">
              <w:rPr>
                <w:rFonts w:ascii="Calibri" w:hAnsi="Calibri" w:cs="Calibri"/>
                <w:color w:val="000000"/>
                <w:sz w:val="18"/>
                <w:szCs w:val="18"/>
              </w:rPr>
              <w:t>12,6</w:t>
            </w:r>
          </w:p>
        </w:tc>
      </w:tr>
      <w:tr w:rsidR="00D2530B" w:rsidRPr="005E3DC8" w14:paraId="112897DA" w14:textId="02039707" w:rsidTr="00101AEB">
        <w:trPr>
          <w:trHeight w:val="300"/>
        </w:trPr>
        <w:tc>
          <w:tcPr>
            <w:tcW w:w="4419" w:type="dxa"/>
            <w:hideMark/>
          </w:tcPr>
          <w:p w14:paraId="32E6AC89" w14:textId="77777777" w:rsidR="00834504" w:rsidRPr="005E3DC8" w:rsidRDefault="00834504">
            <w:pPr>
              <w:rPr>
                <w:sz w:val="18"/>
                <w:szCs w:val="18"/>
              </w:rPr>
            </w:pPr>
            <w:r w:rsidRPr="005E3DC8">
              <w:rPr>
                <w:sz w:val="18"/>
                <w:szCs w:val="18"/>
              </w:rPr>
              <w:t>Využití odpadní energie ve výrobních procesech</w:t>
            </w:r>
          </w:p>
        </w:tc>
        <w:tc>
          <w:tcPr>
            <w:tcW w:w="982" w:type="dxa"/>
            <w:vAlign w:val="center"/>
          </w:tcPr>
          <w:p w14:paraId="6A34019D" w14:textId="4E69C79E" w:rsidR="00834504" w:rsidRPr="005E3DC8" w:rsidRDefault="00834504" w:rsidP="0004164F">
            <w:pPr>
              <w:jc w:val="center"/>
              <w:rPr>
                <w:sz w:val="18"/>
                <w:szCs w:val="18"/>
              </w:rPr>
            </w:pPr>
            <w:r w:rsidRPr="005E3DC8">
              <w:rPr>
                <w:rFonts w:ascii="Calibri" w:hAnsi="Calibri" w:cs="Calibri"/>
                <w:color w:val="000000"/>
                <w:sz w:val="18"/>
                <w:szCs w:val="18"/>
              </w:rPr>
              <w:t>2 256 908</w:t>
            </w:r>
          </w:p>
        </w:tc>
        <w:tc>
          <w:tcPr>
            <w:tcW w:w="1151" w:type="dxa"/>
            <w:noWrap/>
            <w:vAlign w:val="center"/>
            <w:hideMark/>
          </w:tcPr>
          <w:p w14:paraId="5675C807" w14:textId="00377299" w:rsidR="00834504" w:rsidRPr="005E3DC8" w:rsidRDefault="00834504" w:rsidP="0004164F">
            <w:pPr>
              <w:jc w:val="center"/>
              <w:rPr>
                <w:sz w:val="18"/>
                <w:szCs w:val="18"/>
              </w:rPr>
            </w:pPr>
            <w:r w:rsidRPr="005E3DC8">
              <w:rPr>
                <w:sz w:val="18"/>
                <w:szCs w:val="18"/>
              </w:rPr>
              <w:t>2 405 071</w:t>
            </w:r>
          </w:p>
        </w:tc>
        <w:tc>
          <w:tcPr>
            <w:tcW w:w="1392" w:type="dxa"/>
            <w:noWrap/>
            <w:vAlign w:val="center"/>
            <w:hideMark/>
          </w:tcPr>
          <w:p w14:paraId="7F87A096" w14:textId="77777777" w:rsidR="00834504" w:rsidRPr="005E3DC8" w:rsidRDefault="00834504" w:rsidP="0004164F">
            <w:pPr>
              <w:jc w:val="center"/>
              <w:rPr>
                <w:sz w:val="18"/>
                <w:szCs w:val="18"/>
              </w:rPr>
            </w:pPr>
          </w:p>
        </w:tc>
        <w:tc>
          <w:tcPr>
            <w:tcW w:w="1549" w:type="dxa"/>
            <w:vAlign w:val="center"/>
          </w:tcPr>
          <w:p w14:paraId="5EC59792" w14:textId="77777777" w:rsidR="00834504" w:rsidRPr="005E3DC8" w:rsidRDefault="00834504" w:rsidP="0004164F">
            <w:pPr>
              <w:jc w:val="center"/>
              <w:rPr>
                <w:sz w:val="18"/>
                <w:szCs w:val="18"/>
              </w:rPr>
            </w:pPr>
          </w:p>
        </w:tc>
      </w:tr>
      <w:tr w:rsidR="00D2530B" w:rsidRPr="005E3DC8" w14:paraId="5F649033" w14:textId="5D54A670" w:rsidTr="00101AEB">
        <w:trPr>
          <w:trHeight w:val="600"/>
        </w:trPr>
        <w:tc>
          <w:tcPr>
            <w:tcW w:w="4419" w:type="dxa"/>
            <w:hideMark/>
          </w:tcPr>
          <w:p w14:paraId="5D563553" w14:textId="77777777" w:rsidR="00834504" w:rsidRPr="005E3DC8" w:rsidRDefault="00834504">
            <w:pPr>
              <w:rPr>
                <w:sz w:val="18"/>
                <w:szCs w:val="18"/>
              </w:rPr>
            </w:pPr>
            <w:r w:rsidRPr="005E3DC8">
              <w:rPr>
                <w:sz w:val="18"/>
                <w:szCs w:val="18"/>
              </w:rPr>
              <w:t>Snižování energetické náročnosti / zvyšování energetické účinnosti výrobních a technologických procesů</w:t>
            </w:r>
          </w:p>
        </w:tc>
        <w:tc>
          <w:tcPr>
            <w:tcW w:w="982" w:type="dxa"/>
            <w:vAlign w:val="center"/>
          </w:tcPr>
          <w:p w14:paraId="69643ED0" w14:textId="4B1BD383" w:rsidR="00834504" w:rsidRPr="005E3DC8" w:rsidRDefault="00834504" w:rsidP="0004164F">
            <w:pPr>
              <w:jc w:val="center"/>
              <w:rPr>
                <w:sz w:val="18"/>
                <w:szCs w:val="18"/>
              </w:rPr>
            </w:pPr>
            <w:r w:rsidRPr="005E3DC8">
              <w:rPr>
                <w:rFonts w:ascii="Calibri" w:hAnsi="Calibri" w:cs="Calibri"/>
                <w:color w:val="000000"/>
                <w:sz w:val="18"/>
                <w:szCs w:val="18"/>
              </w:rPr>
              <w:t>12 346 058</w:t>
            </w:r>
          </w:p>
        </w:tc>
        <w:tc>
          <w:tcPr>
            <w:tcW w:w="1151" w:type="dxa"/>
            <w:noWrap/>
            <w:vAlign w:val="center"/>
            <w:hideMark/>
          </w:tcPr>
          <w:p w14:paraId="4F4894A8" w14:textId="682EE06A" w:rsidR="00834504" w:rsidRPr="005E3DC8" w:rsidRDefault="00834504" w:rsidP="0004164F">
            <w:pPr>
              <w:jc w:val="center"/>
              <w:rPr>
                <w:sz w:val="18"/>
                <w:szCs w:val="18"/>
              </w:rPr>
            </w:pPr>
            <w:r w:rsidRPr="005E3DC8">
              <w:rPr>
                <w:sz w:val="18"/>
                <w:szCs w:val="18"/>
              </w:rPr>
              <w:t>21 516 185</w:t>
            </w:r>
          </w:p>
        </w:tc>
        <w:tc>
          <w:tcPr>
            <w:tcW w:w="1392" w:type="dxa"/>
            <w:noWrap/>
            <w:vAlign w:val="center"/>
            <w:hideMark/>
          </w:tcPr>
          <w:p w14:paraId="2E7BD343" w14:textId="77777777" w:rsidR="00834504" w:rsidRPr="005E3DC8" w:rsidRDefault="00834504" w:rsidP="0004164F">
            <w:pPr>
              <w:jc w:val="center"/>
              <w:rPr>
                <w:sz w:val="18"/>
                <w:szCs w:val="18"/>
              </w:rPr>
            </w:pPr>
            <w:r w:rsidRPr="005E3DC8">
              <w:rPr>
                <w:sz w:val="18"/>
                <w:szCs w:val="18"/>
              </w:rPr>
              <w:t>4 575 000</w:t>
            </w:r>
          </w:p>
        </w:tc>
        <w:tc>
          <w:tcPr>
            <w:tcW w:w="1549" w:type="dxa"/>
            <w:vAlign w:val="center"/>
          </w:tcPr>
          <w:p w14:paraId="138204D6" w14:textId="71917C44" w:rsidR="00834504" w:rsidRPr="005E3DC8" w:rsidRDefault="00834504" w:rsidP="0004164F">
            <w:pPr>
              <w:jc w:val="center"/>
              <w:rPr>
                <w:sz w:val="18"/>
                <w:szCs w:val="18"/>
              </w:rPr>
            </w:pPr>
            <w:r w:rsidRPr="005E3DC8">
              <w:rPr>
                <w:rFonts w:ascii="Calibri" w:hAnsi="Calibri" w:cs="Calibri"/>
                <w:color w:val="000000"/>
                <w:sz w:val="18"/>
                <w:szCs w:val="18"/>
              </w:rPr>
              <w:t>21,3</w:t>
            </w:r>
          </w:p>
        </w:tc>
      </w:tr>
      <w:tr w:rsidR="00D2530B" w:rsidRPr="005E3DC8" w14:paraId="7E41CEF9" w14:textId="7E0039AA" w:rsidTr="00101AEB">
        <w:trPr>
          <w:trHeight w:val="300"/>
        </w:trPr>
        <w:tc>
          <w:tcPr>
            <w:tcW w:w="4419" w:type="dxa"/>
            <w:hideMark/>
          </w:tcPr>
          <w:p w14:paraId="2FFCCCB8" w14:textId="77777777" w:rsidR="00834504" w:rsidRPr="005E3DC8" w:rsidRDefault="00834504">
            <w:pPr>
              <w:rPr>
                <w:sz w:val="18"/>
                <w:szCs w:val="18"/>
              </w:rPr>
            </w:pPr>
            <w:r w:rsidRPr="005E3DC8">
              <w:rPr>
                <w:sz w:val="18"/>
                <w:szCs w:val="18"/>
              </w:rPr>
              <w:t>Instalace obnovitelných zdrojů pro vlastní spotřebu podniku</w:t>
            </w:r>
          </w:p>
        </w:tc>
        <w:tc>
          <w:tcPr>
            <w:tcW w:w="982" w:type="dxa"/>
            <w:vAlign w:val="center"/>
          </w:tcPr>
          <w:p w14:paraId="0849C976" w14:textId="058E1DA3" w:rsidR="00834504" w:rsidRPr="005E3DC8" w:rsidRDefault="00834504" w:rsidP="0004164F">
            <w:pPr>
              <w:jc w:val="center"/>
              <w:rPr>
                <w:sz w:val="18"/>
                <w:szCs w:val="18"/>
              </w:rPr>
            </w:pPr>
            <w:r w:rsidRPr="005E3DC8">
              <w:rPr>
                <w:rFonts w:ascii="Calibri" w:hAnsi="Calibri" w:cs="Calibri"/>
                <w:color w:val="000000"/>
                <w:sz w:val="18"/>
                <w:szCs w:val="18"/>
              </w:rPr>
              <w:t>828 676</w:t>
            </w:r>
          </w:p>
        </w:tc>
        <w:tc>
          <w:tcPr>
            <w:tcW w:w="1151" w:type="dxa"/>
            <w:noWrap/>
            <w:vAlign w:val="center"/>
            <w:hideMark/>
          </w:tcPr>
          <w:p w14:paraId="104680AB" w14:textId="45CA9884" w:rsidR="00834504" w:rsidRPr="005E3DC8" w:rsidRDefault="00834504" w:rsidP="0004164F">
            <w:pPr>
              <w:jc w:val="center"/>
              <w:rPr>
                <w:sz w:val="18"/>
                <w:szCs w:val="18"/>
              </w:rPr>
            </w:pPr>
            <w:r w:rsidRPr="005E3DC8">
              <w:rPr>
                <w:sz w:val="18"/>
                <w:szCs w:val="18"/>
              </w:rPr>
              <w:t>869 600</w:t>
            </w:r>
          </w:p>
        </w:tc>
        <w:tc>
          <w:tcPr>
            <w:tcW w:w="1392" w:type="dxa"/>
            <w:noWrap/>
            <w:vAlign w:val="center"/>
            <w:hideMark/>
          </w:tcPr>
          <w:p w14:paraId="7BC2E115" w14:textId="77777777" w:rsidR="00834504" w:rsidRPr="005E3DC8" w:rsidRDefault="00834504" w:rsidP="0004164F">
            <w:pPr>
              <w:jc w:val="center"/>
              <w:rPr>
                <w:sz w:val="18"/>
                <w:szCs w:val="18"/>
              </w:rPr>
            </w:pPr>
            <w:r w:rsidRPr="005E3DC8">
              <w:rPr>
                <w:sz w:val="18"/>
                <w:szCs w:val="18"/>
              </w:rPr>
              <w:t>3 250 000</w:t>
            </w:r>
          </w:p>
        </w:tc>
        <w:tc>
          <w:tcPr>
            <w:tcW w:w="1549" w:type="dxa"/>
            <w:vAlign w:val="center"/>
          </w:tcPr>
          <w:p w14:paraId="69B12A3D" w14:textId="75593F87" w:rsidR="00834504" w:rsidRPr="005E3DC8" w:rsidRDefault="00834504" w:rsidP="0004164F">
            <w:pPr>
              <w:jc w:val="center"/>
              <w:rPr>
                <w:sz w:val="18"/>
                <w:szCs w:val="18"/>
              </w:rPr>
            </w:pPr>
            <w:r w:rsidRPr="005E3DC8">
              <w:rPr>
                <w:rFonts w:ascii="Calibri" w:hAnsi="Calibri" w:cs="Calibri"/>
                <w:color w:val="000000"/>
                <w:sz w:val="18"/>
                <w:szCs w:val="18"/>
              </w:rPr>
              <w:t>373,7</w:t>
            </w:r>
          </w:p>
        </w:tc>
      </w:tr>
      <w:tr w:rsidR="00D2530B" w:rsidRPr="005E3DC8" w14:paraId="0549AAB4" w14:textId="4CAE4D30" w:rsidTr="00101AEB">
        <w:trPr>
          <w:trHeight w:val="600"/>
        </w:trPr>
        <w:tc>
          <w:tcPr>
            <w:tcW w:w="4419" w:type="dxa"/>
            <w:hideMark/>
          </w:tcPr>
          <w:p w14:paraId="3DAE1953" w14:textId="77777777" w:rsidR="00834504" w:rsidRPr="005E3DC8" w:rsidRDefault="00834504">
            <w:pPr>
              <w:rPr>
                <w:sz w:val="18"/>
                <w:szCs w:val="18"/>
              </w:rPr>
            </w:pPr>
            <w:r w:rsidRPr="005E3DC8">
              <w:rPr>
                <w:sz w:val="18"/>
                <w:szCs w:val="18"/>
              </w:rPr>
              <w:t>Instalace kogenerační jednotky s maximálním využitím elektrické a tepelné energie pro vlastní spotřebu podniku</w:t>
            </w:r>
          </w:p>
        </w:tc>
        <w:tc>
          <w:tcPr>
            <w:tcW w:w="982" w:type="dxa"/>
            <w:vAlign w:val="center"/>
          </w:tcPr>
          <w:p w14:paraId="6B1A4018" w14:textId="3813AFE9" w:rsidR="00834504" w:rsidRPr="005E3DC8" w:rsidRDefault="00834504" w:rsidP="0004164F">
            <w:pPr>
              <w:jc w:val="center"/>
              <w:rPr>
                <w:sz w:val="18"/>
                <w:szCs w:val="18"/>
              </w:rPr>
            </w:pPr>
            <w:r w:rsidRPr="005E3DC8">
              <w:rPr>
                <w:rFonts w:ascii="Calibri" w:hAnsi="Calibri" w:cs="Calibri"/>
                <w:color w:val="000000"/>
                <w:sz w:val="18"/>
                <w:szCs w:val="18"/>
              </w:rPr>
              <w:t>2 352 818</w:t>
            </w:r>
          </w:p>
        </w:tc>
        <w:tc>
          <w:tcPr>
            <w:tcW w:w="1151" w:type="dxa"/>
            <w:noWrap/>
            <w:vAlign w:val="center"/>
            <w:hideMark/>
          </w:tcPr>
          <w:p w14:paraId="5B0E4A29" w14:textId="11C26E9D" w:rsidR="00834504" w:rsidRPr="005E3DC8" w:rsidRDefault="00834504" w:rsidP="0004164F">
            <w:pPr>
              <w:jc w:val="center"/>
              <w:rPr>
                <w:sz w:val="18"/>
                <w:szCs w:val="18"/>
              </w:rPr>
            </w:pPr>
            <w:r w:rsidRPr="005E3DC8">
              <w:rPr>
                <w:sz w:val="18"/>
                <w:szCs w:val="18"/>
              </w:rPr>
              <w:t>0</w:t>
            </w:r>
          </w:p>
        </w:tc>
        <w:tc>
          <w:tcPr>
            <w:tcW w:w="1392" w:type="dxa"/>
            <w:noWrap/>
            <w:vAlign w:val="center"/>
            <w:hideMark/>
          </w:tcPr>
          <w:p w14:paraId="4E3FEBE6" w14:textId="7C56223D" w:rsidR="00834504" w:rsidRPr="005E3DC8" w:rsidRDefault="00834504" w:rsidP="0004164F">
            <w:pPr>
              <w:jc w:val="center"/>
              <w:rPr>
                <w:sz w:val="18"/>
                <w:szCs w:val="18"/>
              </w:rPr>
            </w:pPr>
            <w:r w:rsidRPr="005E3DC8">
              <w:rPr>
                <w:sz w:val="18"/>
                <w:szCs w:val="18"/>
              </w:rPr>
              <w:t>0</w:t>
            </w:r>
          </w:p>
        </w:tc>
        <w:tc>
          <w:tcPr>
            <w:tcW w:w="1549" w:type="dxa"/>
            <w:vAlign w:val="center"/>
          </w:tcPr>
          <w:p w14:paraId="55D3FAE9" w14:textId="77777777" w:rsidR="00834504" w:rsidRPr="005E3DC8" w:rsidRDefault="00834504" w:rsidP="0004164F">
            <w:pPr>
              <w:jc w:val="center"/>
              <w:rPr>
                <w:sz w:val="18"/>
                <w:szCs w:val="18"/>
              </w:rPr>
            </w:pPr>
          </w:p>
        </w:tc>
      </w:tr>
      <w:tr w:rsidR="00D2530B" w:rsidRPr="005E3DC8" w14:paraId="56D8E3FB" w14:textId="404D99A1" w:rsidTr="00101AEB">
        <w:trPr>
          <w:trHeight w:val="600"/>
        </w:trPr>
        <w:tc>
          <w:tcPr>
            <w:tcW w:w="4419" w:type="dxa"/>
            <w:hideMark/>
          </w:tcPr>
          <w:p w14:paraId="76266E30" w14:textId="77777777" w:rsidR="00834504" w:rsidRPr="005E3DC8" w:rsidRDefault="00834504">
            <w:pPr>
              <w:rPr>
                <w:sz w:val="18"/>
                <w:szCs w:val="18"/>
              </w:rPr>
            </w:pPr>
            <w:r w:rsidRPr="005E3DC8">
              <w:rPr>
                <w:sz w:val="18"/>
                <w:szCs w:val="18"/>
              </w:rPr>
              <w:t>Modernizace a rekonstrukce stávajících zařízení na výrobu energie pro vlastní spotřebu vedoucí ke zvýšení její účinnosti</w:t>
            </w:r>
          </w:p>
        </w:tc>
        <w:tc>
          <w:tcPr>
            <w:tcW w:w="982" w:type="dxa"/>
            <w:vAlign w:val="center"/>
          </w:tcPr>
          <w:p w14:paraId="1D2863FD" w14:textId="6650523D" w:rsidR="00834504" w:rsidRPr="005E3DC8" w:rsidRDefault="00834504" w:rsidP="0004164F">
            <w:pPr>
              <w:jc w:val="center"/>
              <w:rPr>
                <w:sz w:val="18"/>
                <w:szCs w:val="18"/>
              </w:rPr>
            </w:pPr>
            <w:r w:rsidRPr="005E3DC8">
              <w:rPr>
                <w:rFonts w:ascii="Calibri" w:hAnsi="Calibri" w:cs="Calibri"/>
                <w:color w:val="000000"/>
                <w:sz w:val="18"/>
                <w:szCs w:val="18"/>
              </w:rPr>
              <w:t>1 774 085</w:t>
            </w:r>
          </w:p>
        </w:tc>
        <w:tc>
          <w:tcPr>
            <w:tcW w:w="1151" w:type="dxa"/>
            <w:noWrap/>
            <w:vAlign w:val="center"/>
            <w:hideMark/>
          </w:tcPr>
          <w:p w14:paraId="3B5E2D7C" w14:textId="6919C85C" w:rsidR="00834504" w:rsidRPr="005E3DC8" w:rsidRDefault="00834504" w:rsidP="0004164F">
            <w:pPr>
              <w:jc w:val="center"/>
              <w:rPr>
                <w:sz w:val="18"/>
                <w:szCs w:val="18"/>
              </w:rPr>
            </w:pPr>
            <w:r w:rsidRPr="005E3DC8">
              <w:rPr>
                <w:sz w:val="18"/>
                <w:szCs w:val="18"/>
              </w:rPr>
              <w:t>2 958 333</w:t>
            </w:r>
          </w:p>
        </w:tc>
        <w:tc>
          <w:tcPr>
            <w:tcW w:w="1392" w:type="dxa"/>
            <w:noWrap/>
            <w:vAlign w:val="center"/>
            <w:hideMark/>
          </w:tcPr>
          <w:p w14:paraId="2703C63D" w14:textId="77777777" w:rsidR="00834504" w:rsidRPr="005E3DC8" w:rsidRDefault="00834504" w:rsidP="0004164F">
            <w:pPr>
              <w:jc w:val="center"/>
              <w:rPr>
                <w:sz w:val="18"/>
                <w:szCs w:val="18"/>
              </w:rPr>
            </w:pPr>
            <w:r w:rsidRPr="005E3DC8">
              <w:rPr>
                <w:sz w:val="18"/>
                <w:szCs w:val="18"/>
              </w:rPr>
              <w:t>700 000</w:t>
            </w:r>
          </w:p>
        </w:tc>
        <w:tc>
          <w:tcPr>
            <w:tcW w:w="1549" w:type="dxa"/>
            <w:vAlign w:val="center"/>
          </w:tcPr>
          <w:p w14:paraId="7C0B9F49" w14:textId="7BE708F6" w:rsidR="00834504" w:rsidRPr="005E3DC8" w:rsidRDefault="00834504" w:rsidP="0004164F">
            <w:pPr>
              <w:jc w:val="center"/>
              <w:rPr>
                <w:sz w:val="18"/>
                <w:szCs w:val="18"/>
              </w:rPr>
            </w:pPr>
            <w:r w:rsidRPr="005E3DC8">
              <w:rPr>
                <w:rFonts w:ascii="Calibri" w:hAnsi="Calibri" w:cs="Calibri"/>
                <w:color w:val="000000"/>
                <w:sz w:val="18"/>
                <w:szCs w:val="18"/>
              </w:rPr>
              <w:t>23,7</w:t>
            </w:r>
          </w:p>
        </w:tc>
      </w:tr>
    </w:tbl>
    <w:p w14:paraId="4C9C9B30" w14:textId="77777777" w:rsidR="002767C5" w:rsidRDefault="002767C5" w:rsidP="0004164F">
      <w:pPr>
        <w:spacing w:after="0"/>
      </w:pPr>
    </w:p>
    <w:p w14:paraId="0F6C778C" w14:textId="2DB7D550" w:rsidR="00575BB6" w:rsidRDefault="0004164F" w:rsidP="005E3DC8">
      <w:pPr>
        <w:spacing w:after="0"/>
      </w:pPr>
      <w:r>
        <w:t>Relevantnost výše uvedených odpovědí podporuje také vyhodnocení další otázky z dotazníkového šetření. Ta zjišťovala, zda by příjemci dotace realizovali svůj projektový záměr na úsporu energií v případě, že by jejich projekt nebyl po</w:t>
      </w:r>
      <w:r w:rsidR="00AF103C">
        <w:t xml:space="preserve">dpořen. Pouze 12 % respondentů </w:t>
      </w:r>
      <w:r>
        <w:t>o</w:t>
      </w:r>
      <w:r w:rsidR="00AF103C">
        <w:t>d</w:t>
      </w:r>
      <w:r>
        <w:t>povědělo, že by projekt realizovalo ve stejném rozsahu. Více než 58 % dotázaných ale uvedlo, že by projekt sice realizovalo, ale jeho rozsah by byl menší.</w:t>
      </w:r>
      <w:r w:rsidR="00395BC2">
        <w:t xml:space="preserve"> Nepodpoření žadatelé se naopak ve většině případů rozhodli svůj projekt nerealizovat (62 %), nebo jej realizovat v menším rozsahu (23 %).</w:t>
      </w:r>
    </w:p>
    <w:p w14:paraId="007F27A5" w14:textId="77777777" w:rsidR="005E3DC8" w:rsidRDefault="005E3DC8" w:rsidP="005E3DC8">
      <w:pPr>
        <w:spacing w:after="0"/>
      </w:pPr>
    </w:p>
    <w:p w14:paraId="7ABA8E81" w14:textId="0151F6F6" w:rsidR="0004164F" w:rsidRDefault="0004164F" w:rsidP="0004164F">
      <w:pPr>
        <w:pStyle w:val="Titulek"/>
      </w:pPr>
      <w:bookmarkStart w:id="99" w:name="_Toc10730048"/>
      <w:r w:rsidRPr="00CA6FE0">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6</w:t>
      </w:r>
      <w:r w:rsidR="00BD754F">
        <w:rPr>
          <w:noProof/>
        </w:rPr>
        <w:fldChar w:fldCharType="end"/>
      </w:r>
      <w:r w:rsidRPr="00CA6FE0">
        <w:t xml:space="preserve">: Výsledky DŠ – </w:t>
      </w:r>
      <w:r w:rsidR="009A488D">
        <w:t>Investice do úsporných opatření bez podpory OP PIK</w:t>
      </w:r>
      <w:r w:rsidR="009A488D">
        <w:rPr>
          <w:rStyle w:val="Znakapoznpodarou"/>
        </w:rPr>
        <w:footnoteReference w:id="14"/>
      </w:r>
      <w:bookmarkEnd w:id="99"/>
    </w:p>
    <w:p w14:paraId="61F16721" w14:textId="7C4A5E11" w:rsidR="001F1E53" w:rsidRDefault="000844F9" w:rsidP="00125FFB">
      <w:r>
        <w:rPr>
          <w:noProof/>
          <w:lang w:eastAsia="cs-CZ"/>
        </w:rPr>
        <w:drawing>
          <wp:inline distT="0" distB="0" distL="0" distR="0" wp14:anchorId="4C07BFDD" wp14:editId="3D742CEC">
            <wp:extent cx="5760000" cy="2743200"/>
            <wp:effectExtent l="0" t="0" r="1270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557316" w14:textId="36E95825" w:rsidR="00125FFB" w:rsidRDefault="00395BC2" w:rsidP="005E3DC8">
      <w:pPr>
        <w:spacing w:after="0"/>
      </w:pPr>
      <w:r>
        <w:t>Na základě výše uvedeného lze tedy konstatovat, že intervence u podpořených podniků vedou k </w:t>
      </w:r>
      <w:r w:rsidR="00D2530B">
        <w:t>vyššímu</w:t>
      </w:r>
      <w:r>
        <w:t xml:space="preserve"> snížení energetické náročnosti v porovnání s podniky, které podporu nezískaly. </w:t>
      </w:r>
      <w:r w:rsidR="00D2530B">
        <w:t>Díky obdržené dotaci je dosažení úspor pro podpořené podniky ekonomicky efektivnější, nebo</w:t>
      </w:r>
      <w:r w:rsidR="009815DA">
        <w:t xml:space="preserve">ť </w:t>
      </w:r>
      <w:r w:rsidR="00D2530B">
        <w:t xml:space="preserve">část nákladů získají formou dotace, náklady investované podnikem jsou </w:t>
      </w:r>
      <w:r w:rsidR="009815DA">
        <w:t xml:space="preserve">tedy </w:t>
      </w:r>
      <w:r w:rsidR="00D2530B">
        <w:t xml:space="preserve">nižší (ať už se jedná o vlastní zdroje či půjčené) </w:t>
      </w:r>
      <w:r w:rsidR="009815DA">
        <w:t xml:space="preserve">a jejich návratnost je rychlejší než v případě neobdržení dotace. </w:t>
      </w:r>
      <w:r>
        <w:t xml:space="preserve">Intervence je pro podpořené podniky motivací k tomu, aby vytvořily komplexnější nebo rozsáhlejší projekt s vyšším dopadem na energetické úspory. V případě, že podnik dotaci neobdrží, </w:t>
      </w:r>
      <w:r w:rsidR="009815DA">
        <w:t xml:space="preserve">tj. realizace navrhovaných energeticky úsporných opatření pro něj představují větší ekonomickou zátěž, </w:t>
      </w:r>
      <w:r>
        <w:t>zcela přehodnocuje svůj záměr</w:t>
      </w:r>
      <w:r w:rsidR="008B4F5A">
        <w:t>,</w:t>
      </w:r>
      <w:r>
        <w:t xml:space="preserve"> a buď ho vůbec nerealizuje, realizuje </w:t>
      </w:r>
      <w:r w:rsidR="00A77599">
        <w:t xml:space="preserve">jen opatření s maximálním efektem nebo realizaci opatření rozloží do delšího časového úseku tak, aby to bylo v souladu s jeho finančními možnostmi. </w:t>
      </w:r>
    </w:p>
    <w:p w14:paraId="6A3BB14C" w14:textId="77777777" w:rsidR="00D2530B" w:rsidRPr="00735A63" w:rsidRDefault="00D2530B" w:rsidP="005E3DC8">
      <w:pPr>
        <w:spacing w:after="0"/>
      </w:pPr>
    </w:p>
    <w:p w14:paraId="54623A22" w14:textId="26E0ECF0" w:rsidR="00D3770C" w:rsidRDefault="00D3770C" w:rsidP="00D3770C">
      <w:pPr>
        <w:pStyle w:val="Nadpis1"/>
        <w:ind w:left="431" w:hanging="431"/>
      </w:pPr>
      <w:bookmarkStart w:id="100" w:name="_Toc4596830"/>
      <w:bookmarkStart w:id="101" w:name="_Toc10729944"/>
      <w:r>
        <w:lastRenderedPageBreak/>
        <w:t>Evaluační otázka 6</w:t>
      </w:r>
      <w:r w:rsidR="00CE66F1">
        <w:t xml:space="preserve"> (ÚE)</w:t>
      </w:r>
      <w:bookmarkEnd w:id="100"/>
      <w:bookmarkEnd w:id="101"/>
    </w:p>
    <w:p w14:paraId="575D1739" w14:textId="1069CCA6" w:rsidR="008F612F" w:rsidRDefault="00CE66F1" w:rsidP="005E3DC8">
      <w:pPr>
        <w:spacing w:after="0"/>
        <w:rPr>
          <w:rFonts w:ascii="Calibri" w:hAnsi="Calibri" w:cs="Calibri"/>
          <w:b/>
        </w:rPr>
      </w:pPr>
      <w:r w:rsidRPr="00CE66F1">
        <w:rPr>
          <w:rFonts w:ascii="Calibri" w:hAnsi="Calibri" w:cs="Calibri"/>
          <w:b/>
        </w:rPr>
        <w:t>Dochází u podpořených podniků ke snížení citlivosti na změny vstupních nákladů za energie? Lze prokázat předpoklad, že snížení této citlivosti vede ke zvýšení konkurenceschopnosti podniku?</w:t>
      </w:r>
    </w:p>
    <w:p w14:paraId="2950BCA0" w14:textId="77777777" w:rsidR="008F612F" w:rsidRDefault="008F612F" w:rsidP="005E3DC8">
      <w:pPr>
        <w:spacing w:after="0"/>
        <w:rPr>
          <w:rFonts w:ascii="Calibri" w:hAnsi="Calibri" w:cs="Calibri"/>
          <w:b/>
        </w:rPr>
      </w:pPr>
    </w:p>
    <w:p w14:paraId="19611494" w14:textId="77777777" w:rsidR="008F612F" w:rsidRPr="001C50E7" w:rsidRDefault="008F612F" w:rsidP="008F612F">
      <w:pPr>
        <w:pStyle w:val="Nadpis2"/>
      </w:pPr>
      <w:bookmarkStart w:id="102" w:name="_Toc4596831"/>
      <w:bookmarkStart w:id="103" w:name="_Toc10729945"/>
      <w:r w:rsidRPr="001C50E7">
        <w:t>Úkol</w:t>
      </w:r>
      <w:bookmarkEnd w:id="102"/>
      <w:bookmarkEnd w:id="103"/>
    </w:p>
    <w:p w14:paraId="2A2A216E" w14:textId="513B753F" w:rsidR="008F612F" w:rsidRDefault="00676AFA" w:rsidP="00676AFA">
      <w:r>
        <w:t>Na základě dotazníkového šetření potvrdit či vyvrátit hypotézu tvrdící, že realizace projektu podpořeného z PP ÚE vede ke snížení citlivosti na změny nákladů na energie, a tím dochází ke zvýšení konkurenceschopnosti podniku.</w:t>
      </w:r>
    </w:p>
    <w:p w14:paraId="2D51349B" w14:textId="77777777" w:rsidR="008F612F" w:rsidRPr="001C50E7" w:rsidRDefault="008F612F" w:rsidP="008F612F">
      <w:pPr>
        <w:pStyle w:val="Nadpis2"/>
      </w:pPr>
      <w:bookmarkStart w:id="104" w:name="_Toc4596832"/>
      <w:bookmarkStart w:id="105" w:name="_Toc10729946"/>
      <w:r w:rsidRPr="001C50E7">
        <w:t>Východiska</w:t>
      </w:r>
      <w:bookmarkEnd w:id="104"/>
      <w:bookmarkEnd w:id="105"/>
    </w:p>
    <w:p w14:paraId="4900BDCF" w14:textId="77777777" w:rsidR="007221B4" w:rsidRDefault="00110320" w:rsidP="005E3DC8">
      <w:pPr>
        <w:spacing w:after="0"/>
      </w:pPr>
      <w:r>
        <w:t>Základním předpokladem pro vyhodnocení této evaluační otázky je</w:t>
      </w:r>
      <w:r w:rsidR="00676AFA" w:rsidRPr="00174049">
        <w:t xml:space="preserve">, že firmy podpořené v rámci programu ÚE dosáhly energetických úspor v provozu a díky tomu se snížil podíl nákladů na energie na celkové struktuře nákladů </w:t>
      </w:r>
      <w:r w:rsidR="008061D5">
        <w:t>podniku</w:t>
      </w:r>
      <w:r w:rsidR="00676AFA" w:rsidRPr="00174049">
        <w:t xml:space="preserve">. </w:t>
      </w:r>
      <w:r w:rsidR="008061D5">
        <w:t xml:space="preserve">Snížení nákladů na energie by pak mělo vést ke snížení citlivosti na změnu ceny energie, a zároveň by mělo přispět ke zvýšení konkurenceschopnosti podniku. </w:t>
      </w:r>
    </w:p>
    <w:p w14:paraId="0FD5BBE2" w14:textId="77777777" w:rsidR="005E3DC8" w:rsidRDefault="005E3DC8" w:rsidP="005E3DC8">
      <w:pPr>
        <w:spacing w:after="0"/>
      </w:pPr>
    </w:p>
    <w:p w14:paraId="60F6595B" w14:textId="15958B25" w:rsidR="008F612F" w:rsidRDefault="007221B4" w:rsidP="005E3DC8">
      <w:pPr>
        <w:spacing w:after="0"/>
      </w:pPr>
      <w:r>
        <w:t>Dalším</w:t>
      </w:r>
      <w:r w:rsidR="008061D5">
        <w:t xml:space="preserve"> předpokladem je, že zatímco snížení citlivosti na změnu ceny energií se projeví v krátkém časovém horizontu po ukončení projektu, zvýšení konkurenceschopnosti lze očekávat později. </w:t>
      </w:r>
      <w:r w:rsidR="00576B9F">
        <w:t xml:space="preserve">Důvodem jsou vysoké náklady na investice do úsporných opatření, které podniky splácejí i několik let po ukončení projektu. Právě tyto náklady oslabují efekt dosažených úspor a omezují </w:t>
      </w:r>
      <w:r w:rsidR="00452C61">
        <w:t>rychlé zvýšení konkurenceschopnosti podniku.</w:t>
      </w:r>
    </w:p>
    <w:p w14:paraId="2507CD34" w14:textId="77777777" w:rsidR="005E3DC8" w:rsidRPr="00174049" w:rsidRDefault="005E3DC8" w:rsidP="005E3DC8">
      <w:pPr>
        <w:spacing w:after="0"/>
      </w:pPr>
    </w:p>
    <w:p w14:paraId="65CED57E" w14:textId="77777777" w:rsidR="008F612F" w:rsidRPr="001C50E7" w:rsidRDefault="008F612F" w:rsidP="008F612F">
      <w:pPr>
        <w:pStyle w:val="Nadpis2"/>
      </w:pPr>
      <w:bookmarkStart w:id="106" w:name="_Toc4596833"/>
      <w:bookmarkStart w:id="107" w:name="_Toc10729947"/>
      <w:r w:rsidRPr="001C50E7">
        <w:t>Zjištění v návaznosti na evaluační otázku a úkol</w:t>
      </w:r>
      <w:bookmarkEnd w:id="106"/>
      <w:bookmarkEnd w:id="107"/>
    </w:p>
    <w:tbl>
      <w:tblPr>
        <w:tblStyle w:val="Prosttabulka11"/>
        <w:tblW w:w="0" w:type="auto"/>
        <w:tblLook w:val="04A0" w:firstRow="1" w:lastRow="0" w:firstColumn="1" w:lastColumn="0" w:noHBand="0" w:noVBand="1"/>
      </w:tblPr>
      <w:tblGrid>
        <w:gridCol w:w="2972"/>
        <w:gridCol w:w="5954"/>
      </w:tblGrid>
      <w:tr w:rsidR="008F612F" w:rsidRPr="001C50E7" w14:paraId="4E140ED3"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4AE13005" w14:textId="77777777" w:rsidR="008F612F" w:rsidRPr="001C50E7" w:rsidRDefault="008F612F" w:rsidP="00A62C7D">
            <w:pPr>
              <w:rPr>
                <w:rFonts w:ascii="Calibri" w:hAnsi="Calibri" w:cs="Calibri"/>
              </w:rPr>
            </w:pPr>
            <w:r w:rsidRPr="001C50E7">
              <w:rPr>
                <w:rFonts w:ascii="Calibri" w:hAnsi="Calibri" w:cs="Calibri"/>
              </w:rPr>
              <w:t>Evaluační otázka</w:t>
            </w:r>
          </w:p>
        </w:tc>
        <w:tc>
          <w:tcPr>
            <w:tcW w:w="5954" w:type="dxa"/>
            <w:shd w:val="clear" w:color="auto" w:fill="auto"/>
          </w:tcPr>
          <w:p w14:paraId="73E9FEF3" w14:textId="77777777" w:rsidR="00650591" w:rsidRDefault="00CE66F1" w:rsidP="00A62C7D">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CE66F1">
              <w:rPr>
                <w:rFonts w:ascii="Calibri" w:hAnsi="Calibri" w:cs="Calibri"/>
              </w:rPr>
              <w:t xml:space="preserve">Dochází u podpořených podniků ke snížení citlivosti na změny vstupních nákladů za energie? </w:t>
            </w:r>
          </w:p>
          <w:p w14:paraId="3BFC0336" w14:textId="35616199" w:rsidR="008F612F" w:rsidRPr="001C50E7" w:rsidRDefault="00CE66F1" w:rsidP="00A62C7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CE66F1">
              <w:rPr>
                <w:rFonts w:ascii="Calibri" w:hAnsi="Calibri" w:cs="Calibri"/>
              </w:rPr>
              <w:t>Lze prokázat předpoklad, že snížení této citlivosti vede ke zvýšení konkurenceschopnosti podniku?</w:t>
            </w:r>
          </w:p>
        </w:tc>
      </w:tr>
      <w:tr w:rsidR="008F612F" w:rsidRPr="002934D9" w14:paraId="0FF26F46"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289972E" w14:textId="77777777" w:rsidR="008F612F" w:rsidRPr="007221B4" w:rsidRDefault="008F612F" w:rsidP="00A62C7D">
            <w:pPr>
              <w:rPr>
                <w:rFonts w:ascii="Calibri" w:hAnsi="Calibri" w:cs="Calibri"/>
              </w:rPr>
            </w:pPr>
            <w:r w:rsidRPr="007221B4">
              <w:rPr>
                <w:rFonts w:ascii="Calibri" w:hAnsi="Calibri" w:cs="Calibri"/>
              </w:rPr>
              <w:t>Zhodnocení</w:t>
            </w:r>
            <w:r w:rsidRPr="007221B4">
              <w:rPr>
                <w:rFonts w:ascii="Calibri" w:hAnsi="Calibri" w:cs="Calibri"/>
              </w:rPr>
              <w:br/>
            </w:r>
            <w:r w:rsidRPr="007221B4">
              <w:rPr>
                <w:rFonts w:ascii="Calibri" w:hAnsi="Calibri" w:cs="Calibri"/>
                <w:b w:val="0"/>
              </w:rPr>
              <w:t>(Ano, Spíše ano, Spíše ne, Ne, Není relevantní)</w:t>
            </w:r>
          </w:p>
        </w:tc>
        <w:tc>
          <w:tcPr>
            <w:tcW w:w="5954" w:type="dxa"/>
            <w:shd w:val="clear" w:color="auto" w:fill="auto"/>
          </w:tcPr>
          <w:p w14:paraId="2379BA72" w14:textId="1628F1B9" w:rsidR="008F612F" w:rsidRPr="007221B4" w:rsidRDefault="00C97256" w:rsidP="00A62C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7221B4">
              <w:rPr>
                <w:rFonts w:ascii="Calibri" w:hAnsi="Calibri" w:cs="Calibri"/>
              </w:rPr>
              <w:t>Ano</w:t>
            </w:r>
          </w:p>
        </w:tc>
      </w:tr>
      <w:tr w:rsidR="008F612F" w:rsidRPr="002934D9" w14:paraId="61271334"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62A38B52" w14:textId="77777777" w:rsidR="008F612F" w:rsidRPr="007221B4" w:rsidRDefault="000722BD" w:rsidP="00A62C7D">
            <w:pPr>
              <w:rPr>
                <w:rFonts w:ascii="Calibri" w:hAnsi="Calibri" w:cs="Calibri"/>
              </w:rPr>
            </w:pPr>
            <w:r w:rsidRPr="007221B4">
              <w:rPr>
                <w:rFonts w:ascii="Calibri" w:hAnsi="Calibri" w:cs="Calibri"/>
              </w:rPr>
              <w:t>Hlavní závěry a zjištění</w:t>
            </w:r>
          </w:p>
        </w:tc>
        <w:tc>
          <w:tcPr>
            <w:tcW w:w="5954" w:type="dxa"/>
            <w:shd w:val="clear" w:color="auto" w:fill="auto"/>
          </w:tcPr>
          <w:p w14:paraId="070C2CE4" w14:textId="77777777" w:rsidR="00CC628C" w:rsidRDefault="007221B4" w:rsidP="00E66627">
            <w:pPr>
              <w:cnfStyle w:val="000000000000" w:firstRow="0" w:lastRow="0" w:firstColumn="0" w:lastColumn="0" w:oddVBand="0" w:evenVBand="0" w:oddHBand="0" w:evenHBand="0" w:firstRowFirstColumn="0" w:firstRowLastColumn="0" w:lastRowFirstColumn="0" w:lastRowLastColumn="0"/>
            </w:pPr>
            <w:r w:rsidRPr="007221B4">
              <w:t>Podpora z PP ÚE vede k významnému nebo alespoň částečnému snížení nákladů na energie podpořených podniků</w:t>
            </w:r>
            <w:r w:rsidR="00E66627">
              <w:t xml:space="preserve">, přičemž dosažené úspory jsou signifikantně vyšší než v případě nepodpořených žadatelů, kteří realizovali projekt bez přispění PP ÚE. </w:t>
            </w:r>
            <w:r w:rsidRPr="007221B4">
              <w:t>Je tedy splněna zcela zásadní podmínka pro to, aby došlo ke snížení citlivosti těchto firem na změny cen energií a zvýšila se jejich konkurenceschopnost.</w:t>
            </w:r>
            <w:r w:rsidR="00E66627">
              <w:t xml:space="preserve"> </w:t>
            </w:r>
          </w:p>
          <w:p w14:paraId="4685B1E2" w14:textId="77777777" w:rsidR="00CC628C" w:rsidRDefault="00CC628C" w:rsidP="00E66627">
            <w:pPr>
              <w:cnfStyle w:val="000000000000" w:firstRow="0" w:lastRow="0" w:firstColumn="0" w:lastColumn="0" w:oddVBand="0" w:evenVBand="0" w:oddHBand="0" w:evenHBand="0" w:firstRowFirstColumn="0" w:firstRowLastColumn="0" w:lastRowFirstColumn="0" w:lastRowLastColumn="0"/>
            </w:pPr>
          </w:p>
          <w:p w14:paraId="17EC5935" w14:textId="7922C8FE" w:rsidR="008F612F" w:rsidRPr="007221B4" w:rsidRDefault="00E66627" w:rsidP="00E66627">
            <w:pPr>
              <w:cnfStyle w:val="000000000000" w:firstRow="0" w:lastRow="0" w:firstColumn="0" w:lastColumn="0" w:oddVBand="0" w:evenVBand="0" w:oddHBand="0" w:evenHBand="0" w:firstRowFirstColumn="0" w:firstRowLastColumn="0" w:lastRowFirstColumn="0" w:lastRowLastColumn="0"/>
              <w:rPr>
                <w:rFonts w:ascii="Calibri" w:hAnsi="Calibri" w:cs="Calibri"/>
              </w:rPr>
            </w:pPr>
            <w:r>
              <w:t>Firmy účastnící se případových studií potvrdily, že díky snížení váhy nákladů na energie na celkových nákladech společnosti je méně trápí nárůst cen energií, tj. jsou na ně méně citlivé.</w:t>
            </w:r>
          </w:p>
        </w:tc>
      </w:tr>
      <w:tr w:rsidR="008F612F" w:rsidRPr="007221B4" w14:paraId="2985B932"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18A0A3" w14:textId="77777777" w:rsidR="008F612F" w:rsidRPr="007221B4" w:rsidRDefault="008F612F" w:rsidP="00A62C7D">
            <w:pPr>
              <w:rPr>
                <w:rFonts w:ascii="Calibri" w:hAnsi="Calibri" w:cs="Calibri"/>
              </w:rPr>
            </w:pPr>
            <w:r w:rsidRPr="007221B4">
              <w:rPr>
                <w:rFonts w:ascii="Calibri" w:hAnsi="Calibri" w:cs="Calibri"/>
              </w:rPr>
              <w:t>Doporučení pro programové období 2014 - 2020</w:t>
            </w:r>
          </w:p>
        </w:tc>
        <w:tc>
          <w:tcPr>
            <w:tcW w:w="5954" w:type="dxa"/>
            <w:shd w:val="clear" w:color="auto" w:fill="auto"/>
          </w:tcPr>
          <w:p w14:paraId="52D75286" w14:textId="4BA62EDF" w:rsidR="008F612F" w:rsidRPr="007221B4" w:rsidRDefault="002C6DC4" w:rsidP="00A62C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
        </w:tc>
      </w:tr>
      <w:tr w:rsidR="008F612F" w:rsidRPr="001C50E7" w14:paraId="0D3F9007" w14:textId="77777777" w:rsidTr="002C6DC4">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0A1E76D4" w14:textId="6865D07B" w:rsidR="008F612F" w:rsidRPr="001C50E7" w:rsidRDefault="008F612F" w:rsidP="00A62C7D">
            <w:pPr>
              <w:rPr>
                <w:rFonts w:ascii="Calibri" w:hAnsi="Calibri" w:cs="Calibri"/>
              </w:rPr>
            </w:pPr>
            <w:r w:rsidRPr="007221B4">
              <w:rPr>
                <w:rFonts w:ascii="Calibri" w:hAnsi="Calibri" w:cs="Calibri"/>
              </w:rPr>
              <w:t>Doporučení pro programové období 2021</w:t>
            </w:r>
            <w:r w:rsidR="002C6DC4">
              <w:rPr>
                <w:rFonts w:ascii="Calibri" w:hAnsi="Calibri" w:cs="Calibri"/>
              </w:rPr>
              <w:t xml:space="preserve"> - 2027</w:t>
            </w:r>
          </w:p>
        </w:tc>
        <w:tc>
          <w:tcPr>
            <w:tcW w:w="5954" w:type="dxa"/>
            <w:shd w:val="clear" w:color="auto" w:fill="auto"/>
          </w:tcPr>
          <w:p w14:paraId="4DC15751" w14:textId="24FBEAF5" w:rsidR="008F612F" w:rsidRPr="001C50E7" w:rsidRDefault="002C6DC4" w:rsidP="00A62C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
        </w:tc>
      </w:tr>
      <w:tr w:rsidR="00CE66F1" w:rsidRPr="001C50E7" w14:paraId="12115A0F" w14:textId="77777777" w:rsidTr="00CE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7F29066" w14:textId="77777777" w:rsidR="00CE66F1" w:rsidRPr="001C50E7" w:rsidRDefault="00CE66F1" w:rsidP="00A62C7D">
            <w:pPr>
              <w:rPr>
                <w:rFonts w:ascii="Calibri" w:hAnsi="Calibri" w:cs="Calibri"/>
              </w:rPr>
            </w:pPr>
          </w:p>
        </w:tc>
        <w:tc>
          <w:tcPr>
            <w:tcW w:w="5954" w:type="dxa"/>
            <w:shd w:val="clear" w:color="auto" w:fill="auto"/>
          </w:tcPr>
          <w:p w14:paraId="6F9A6B40" w14:textId="77777777" w:rsidR="00CE66F1" w:rsidRPr="001C50E7" w:rsidRDefault="00CE66F1" w:rsidP="00A62C7D">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bl>
    <w:p w14:paraId="5A850899" w14:textId="77777777" w:rsidR="008F612F" w:rsidRPr="001C50E7" w:rsidRDefault="008F612F" w:rsidP="008F612F">
      <w:pPr>
        <w:spacing w:after="0"/>
        <w:rPr>
          <w:rFonts w:ascii="Calibri" w:hAnsi="Calibri" w:cs="Calibri"/>
        </w:rPr>
      </w:pPr>
    </w:p>
    <w:p w14:paraId="3CA7CE4B" w14:textId="77777777" w:rsidR="008F612F" w:rsidRPr="00776124" w:rsidRDefault="008F612F" w:rsidP="008F612F">
      <w:pPr>
        <w:pStyle w:val="Nadpis2"/>
      </w:pPr>
      <w:bookmarkStart w:id="108" w:name="_Toc4596834"/>
      <w:bookmarkStart w:id="109" w:name="_Toc10729948"/>
      <w:r w:rsidRPr="00776124">
        <w:t>Doplňující informace k evaluační otázce</w:t>
      </w:r>
      <w:bookmarkEnd w:id="108"/>
      <w:bookmarkEnd w:id="109"/>
    </w:p>
    <w:p w14:paraId="132BA1EE" w14:textId="514FAA71" w:rsidR="00452C61" w:rsidRDefault="00452C61" w:rsidP="00CC628C">
      <w:pPr>
        <w:spacing w:after="0"/>
      </w:pPr>
      <w:r>
        <w:t>Zdrojem pro vyhodnocení této evaluační otázky bylo dotazníkové šetření, jehož respondenty byli příjemci dotace z PP Úspory energií. Doplňkovým zdrojem informací je také šetření mezi nepodpořenými žadateli, kteří se však rozhodli svůj projektový záměr realizovat i bez dotační podpory.</w:t>
      </w:r>
      <w:r w:rsidR="007221B4">
        <w:t xml:space="preserve"> Závěry vyplývající z dotazníkových šeření byly navíc ověřovány prostřednictvím případových studií.</w:t>
      </w:r>
    </w:p>
    <w:p w14:paraId="3D6B618D" w14:textId="77777777" w:rsidR="00CC628C" w:rsidRDefault="00CC628C" w:rsidP="00CC628C">
      <w:pPr>
        <w:spacing w:after="0"/>
      </w:pPr>
    </w:p>
    <w:p w14:paraId="5C686CFE" w14:textId="5B8A2434" w:rsidR="00452C61" w:rsidRDefault="00452C61" w:rsidP="00CC628C">
      <w:pPr>
        <w:spacing w:after="0"/>
      </w:pPr>
      <w:r>
        <w:t>Šetření prokázalo, že náklady na energie jsou zcela zásadní nákladovou položkou pro 10 % respondentů (jak ze skupiny příjemců, tak i nepodpořených žadatelů) a významným nákladem pro 66 %, resp. 72 % oslovených</w:t>
      </w:r>
      <w:r w:rsidR="00BC657B">
        <w:t xml:space="preserve"> (viz </w:t>
      </w:r>
      <w:r w:rsidR="00BC657B" w:rsidRPr="007A2593">
        <w:t xml:space="preserve">obrázek </w:t>
      </w:r>
      <w:r w:rsidR="009A488D" w:rsidRPr="007A2593">
        <w:t>7</w:t>
      </w:r>
      <w:r w:rsidR="00BC657B" w:rsidRPr="007A2593">
        <w:t>)</w:t>
      </w:r>
      <w:r w:rsidRPr="007A2593">
        <w:t>.</w:t>
      </w:r>
      <w:r w:rsidR="00BC657B">
        <w:t xml:space="preserve"> </w:t>
      </w:r>
      <w:r w:rsidR="004F0CC0">
        <w:t>Jsou tedy poměrně silným faktorem, který ovlivňuje konkurenceschopnost podniku</w:t>
      </w:r>
      <w:r w:rsidR="00C81893">
        <w:t>. S</w:t>
      </w:r>
      <w:r w:rsidR="00E01253">
        <w:t>nížení celkových nákladů (v důsledku snížení nákladů na energie)</w:t>
      </w:r>
      <w:r w:rsidR="00C81893">
        <w:t xml:space="preserve"> totiž firmám</w:t>
      </w:r>
      <w:r w:rsidR="00E01253">
        <w:t xml:space="preserve"> poskytuje větší manipulační prostor</w:t>
      </w:r>
      <w:r w:rsidR="00C81893">
        <w:t xml:space="preserve"> pro stanovení ceny svých produktů. Mohou tedy snáze oslovit i zákazníky, pro něž je cena zboží rozhodující. Zvýšená konkurenceschopnost podpořených podniků může pramenit také z přístupu podniku k životnímu prostředí. Svou snahou minimalizovat spotřebu energií a propagací tohoto přístupu může společnost získat zákazníky z řad environmentálně odpovědných osob a firem.</w:t>
      </w:r>
    </w:p>
    <w:p w14:paraId="5D9BD1C1" w14:textId="77777777" w:rsidR="00CC628C" w:rsidRDefault="00CC628C" w:rsidP="00CC628C">
      <w:pPr>
        <w:spacing w:after="0"/>
      </w:pPr>
    </w:p>
    <w:p w14:paraId="2DB9A8E5" w14:textId="7F41D7DB" w:rsidR="00BC657B" w:rsidRDefault="00BC657B" w:rsidP="00BC657B">
      <w:pPr>
        <w:pStyle w:val="Titulek"/>
      </w:pPr>
      <w:bookmarkStart w:id="110" w:name="_Toc10730049"/>
      <w:r w:rsidRPr="009A488D">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7</w:t>
      </w:r>
      <w:r w:rsidR="00BD754F">
        <w:rPr>
          <w:noProof/>
        </w:rPr>
        <w:fldChar w:fldCharType="end"/>
      </w:r>
      <w:r w:rsidRPr="009A488D">
        <w:t xml:space="preserve">: Výsledky DŠ – </w:t>
      </w:r>
      <w:r w:rsidR="009A488D" w:rsidRPr="009A488D">
        <w:t>Odpovědi na otázku: Do jaké míry ovlivňují náklady na energie konkurenceschopnost Vaší společnosti?</w:t>
      </w:r>
      <w:bookmarkEnd w:id="110"/>
    </w:p>
    <w:p w14:paraId="46913055" w14:textId="77777777" w:rsidR="00BC657B" w:rsidRDefault="00BC657B" w:rsidP="00BC657B">
      <w:pPr>
        <w:rPr>
          <w:rFonts w:ascii="Calibri" w:hAnsi="Calibri" w:cs="Calibri"/>
        </w:rPr>
      </w:pPr>
      <w:r>
        <w:rPr>
          <w:noProof/>
          <w:lang w:eastAsia="cs-CZ"/>
        </w:rPr>
        <w:drawing>
          <wp:inline distT="0" distB="0" distL="0" distR="0" wp14:anchorId="4AF8103C" wp14:editId="6859B618">
            <wp:extent cx="5760000" cy="2743200"/>
            <wp:effectExtent l="0" t="0" r="1270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F0A18B" w14:textId="48B6904B" w:rsidR="002934D9" w:rsidRPr="00811BD4" w:rsidRDefault="002934D9" w:rsidP="002934D9">
      <w:pPr>
        <w:pStyle w:val="Titulek"/>
      </w:pPr>
      <w:bookmarkStart w:id="111" w:name="_Toc10730050"/>
      <w:r w:rsidRPr="009A488D">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8</w:t>
      </w:r>
      <w:r w:rsidR="00BD754F">
        <w:rPr>
          <w:noProof/>
        </w:rPr>
        <w:fldChar w:fldCharType="end"/>
      </w:r>
      <w:r w:rsidRPr="009A488D">
        <w:t xml:space="preserve">: Výsledky DŠ – </w:t>
      </w:r>
      <w:r w:rsidR="009A488D" w:rsidRPr="009A488D">
        <w:t>Odpovědi na otázku: Jak se změnil význam nákladů na energie pro Vaši společnost po investici do energetických úspor?</w:t>
      </w:r>
      <w:bookmarkEnd w:id="111"/>
    </w:p>
    <w:p w14:paraId="00724258" w14:textId="77777777" w:rsidR="002934D9" w:rsidRDefault="002934D9" w:rsidP="002934D9">
      <w:pPr>
        <w:rPr>
          <w:rFonts w:ascii="Calibri" w:hAnsi="Calibri" w:cs="Calibri"/>
        </w:rPr>
      </w:pPr>
      <w:r>
        <w:rPr>
          <w:noProof/>
          <w:lang w:eastAsia="cs-CZ"/>
        </w:rPr>
        <w:drawing>
          <wp:inline distT="0" distB="0" distL="0" distR="0" wp14:anchorId="3A67CC36" wp14:editId="40E456C6">
            <wp:extent cx="5762625" cy="2466975"/>
            <wp:effectExtent l="0" t="0" r="952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9CCDB3" w14:textId="2FAB9A3E" w:rsidR="004F0CC0" w:rsidRDefault="004F0CC0" w:rsidP="00CC628C">
      <w:pPr>
        <w:spacing w:after="0"/>
      </w:pPr>
      <w:r>
        <w:t>Vliv nákladů na energie na celkové náklady společnosti se d</w:t>
      </w:r>
      <w:r w:rsidR="00BC657B">
        <w:t xml:space="preserve">íky realizaci projektu podpořeného z PP Úspory energií </w:t>
      </w:r>
      <w:r w:rsidR="002934D9">
        <w:t xml:space="preserve">daří </w:t>
      </w:r>
      <w:r>
        <w:t xml:space="preserve">významně snížit </w:t>
      </w:r>
      <w:r w:rsidR="00DA690D">
        <w:t>u 15 % respondentů. Částečný pokles podílu nákladů na energie potvrdilo 83 % dotázaných</w:t>
      </w:r>
      <w:r w:rsidR="006F048B">
        <w:rPr>
          <w:rStyle w:val="Znakapoznpodarou"/>
        </w:rPr>
        <w:footnoteReference w:id="15"/>
      </w:r>
      <w:r w:rsidR="00DA690D">
        <w:t xml:space="preserve">. </w:t>
      </w:r>
      <w:r>
        <w:t>Pokles nákladů na energie vlivem realizace projektu závisí na komplexnosti projektu, zvolených aktivitách i technologiích. Nepodařilo se však prokázat závislost mezi mírou snížení podílu nákladů na energie na celkových nákladech podniku a počtem aktivit realizovaných v projektu nebo výší celkových způsobilých nákladů projektu.</w:t>
      </w:r>
    </w:p>
    <w:p w14:paraId="410F4019" w14:textId="77777777" w:rsidR="00CC628C" w:rsidRDefault="00CC628C" w:rsidP="00CC628C">
      <w:pPr>
        <w:spacing w:after="0"/>
      </w:pPr>
    </w:p>
    <w:p w14:paraId="534BA0B3" w14:textId="5B3FC6BC" w:rsidR="00882A12" w:rsidRDefault="00882A12" w:rsidP="00CC628C">
      <w:pPr>
        <w:spacing w:after="0"/>
      </w:pPr>
      <w:r>
        <w:t>Realizované individuální rozhovory s vybranými příjemci dotace v rámci případových studií potvrdily výsledky dotazníkového šetření. Pro dva ze tří oslovených subjektů</w:t>
      </w:r>
      <w:r w:rsidR="00EA10D6">
        <w:t xml:space="preserve"> (Thun 1794 a.s. a Poličské strojírny a.s.) </w:t>
      </w:r>
      <w:r>
        <w:t xml:space="preserve">jsou náklady na energie významnou nákladovou položkou rozpočtu, kterou se však díky dotaci a realizovaným úsporám podařilo ponížit. </w:t>
      </w:r>
      <w:r w:rsidR="00EA10D6">
        <w:t>Pro třetího osloveného příjemce (TOSHULIN, a.s.) nehrají náklad</w:t>
      </w:r>
      <w:r w:rsidR="00227988">
        <w:t>y</w:t>
      </w:r>
      <w:r w:rsidR="00EA10D6">
        <w:t xml:space="preserve"> na energie až tak významnou roli v celkových nákladech. </w:t>
      </w:r>
      <w:r>
        <w:t xml:space="preserve">Příjemci také potvrdili, že díky nižšímu podílu nákladů na energie na celkových nákladech společnosti je </w:t>
      </w:r>
      <w:r w:rsidR="00EA10D6">
        <w:t xml:space="preserve">relativně </w:t>
      </w:r>
      <w:r>
        <w:t>méně trápí nárůst cen energií</w:t>
      </w:r>
      <w:r w:rsidR="00EA10D6">
        <w:t xml:space="preserve">. Thun 1794 a.s., jakožto příjemce, jehož náklady na energie jsou vysoké, plánuje další snižování těchto nákladů prostřednictvím projektů realizovaných z PP ÚE (vybudování fotovoltaické elektrárny na střeše výrobní haly, využití odpadního tepla a </w:t>
      </w:r>
      <w:r w:rsidR="00EA10D6" w:rsidRPr="00E9357E">
        <w:t>zlepšení tepelně-technických vlastností výrobní haly opláštěním a výměnou otvorových výplní</w:t>
      </w:r>
      <w:r w:rsidR="00EA10D6">
        <w:t>). TOSHULIN, a.s. plánuje připravovat další projekt věnovaný úsporám energií ve střednědobém horizontu. Poličské strojírny a.s. zatím neuvažují o dalším snižování energetických nákladů prostřednictvím dotace.</w:t>
      </w:r>
    </w:p>
    <w:p w14:paraId="7B9F42D2" w14:textId="77777777" w:rsidR="00CC628C" w:rsidRDefault="00CC628C" w:rsidP="00CC628C">
      <w:pPr>
        <w:spacing w:after="0"/>
      </w:pPr>
    </w:p>
    <w:p w14:paraId="023EDB09" w14:textId="601CFE10" w:rsidR="00452C61" w:rsidRPr="002934D9" w:rsidRDefault="006F048B" w:rsidP="00CC628C">
      <w:pPr>
        <w:spacing w:after="0"/>
      </w:pPr>
      <w:r>
        <w:t xml:space="preserve">Na základě výše uvedených odpovědí respondentů </w:t>
      </w:r>
      <w:r w:rsidR="00882A12">
        <w:t xml:space="preserve">a z individuálních rozhovorů s vybranými příjemci dotace </w:t>
      </w:r>
      <w:r>
        <w:t xml:space="preserve">lze konstatovat, že podpora z PP ÚE vede k významnému nebo alespoň částečnému snížení nákladů na energie podpořených podniků. </w:t>
      </w:r>
      <w:r w:rsidR="004F0CC0">
        <w:t>Je tedy splněna zcela zásadní podmínka pro</w:t>
      </w:r>
      <w:r w:rsidR="00E01253">
        <w:t xml:space="preserve"> </w:t>
      </w:r>
      <w:r w:rsidR="004F0CC0">
        <w:t xml:space="preserve">to, aby došlo ke snížení citlivosti těchto firem na změny cen energií a zvýšila se jejich konkurenceschopnost. </w:t>
      </w:r>
    </w:p>
    <w:p w14:paraId="5FD1DC8D" w14:textId="65AA97F4" w:rsidR="00D3770C" w:rsidRDefault="00D3770C" w:rsidP="00D3770C">
      <w:pPr>
        <w:pStyle w:val="Nadpis1"/>
        <w:ind w:left="431" w:hanging="431"/>
      </w:pPr>
      <w:bookmarkStart w:id="112" w:name="_Toc4596835"/>
      <w:bookmarkStart w:id="113" w:name="_Toc10729949"/>
      <w:r>
        <w:lastRenderedPageBreak/>
        <w:t>Evaluační otázka 7</w:t>
      </w:r>
      <w:r w:rsidR="00B07F9E">
        <w:t xml:space="preserve"> (ÚE)</w:t>
      </w:r>
      <w:bookmarkEnd w:id="112"/>
      <w:bookmarkEnd w:id="113"/>
    </w:p>
    <w:p w14:paraId="1106ECAF" w14:textId="526993C5" w:rsidR="00CF53BD" w:rsidRDefault="00B07F9E" w:rsidP="00CF53BD">
      <w:pPr>
        <w:spacing w:after="0"/>
        <w:rPr>
          <w:rFonts w:ascii="Calibri" w:hAnsi="Calibri" w:cs="Calibri"/>
          <w:b/>
        </w:rPr>
      </w:pPr>
      <w:r w:rsidRPr="00B07F9E">
        <w:rPr>
          <w:rFonts w:ascii="Calibri" w:hAnsi="Calibri" w:cs="Calibri"/>
          <w:b/>
        </w:rPr>
        <w:t>Jaké je procentuální rozložení jednotlivých typů podporovaných aktivit mezi podpořenými projekty</w:t>
      </w:r>
      <w:r w:rsidR="00AF103C">
        <w:rPr>
          <w:rFonts w:ascii="Calibri" w:hAnsi="Calibri" w:cs="Calibri"/>
          <w:b/>
        </w:rPr>
        <w:t xml:space="preserve"> z </w:t>
      </w:r>
      <w:r w:rsidRPr="00B07F9E">
        <w:rPr>
          <w:rFonts w:ascii="Calibri" w:hAnsi="Calibri" w:cs="Calibri"/>
          <w:b/>
        </w:rPr>
        <w:t>hlediska a) jejich počtu, b) výše podpory?</w:t>
      </w:r>
    </w:p>
    <w:p w14:paraId="51B2B8C9" w14:textId="77777777" w:rsidR="00CF53BD" w:rsidRDefault="00CF53BD" w:rsidP="00CF53BD">
      <w:pPr>
        <w:spacing w:after="0"/>
        <w:rPr>
          <w:rFonts w:ascii="Calibri" w:hAnsi="Calibri" w:cs="Calibri"/>
          <w:b/>
        </w:rPr>
      </w:pPr>
    </w:p>
    <w:p w14:paraId="5067CE3C" w14:textId="77777777" w:rsidR="00CF53BD" w:rsidRPr="00CF53BD" w:rsidRDefault="00CF53BD" w:rsidP="00CF53BD">
      <w:pPr>
        <w:pStyle w:val="Nadpis2"/>
      </w:pPr>
      <w:bookmarkStart w:id="114" w:name="_Toc4596836"/>
      <w:bookmarkStart w:id="115" w:name="_Toc10729950"/>
      <w:r w:rsidRPr="00CF53BD">
        <w:t>Úkol</w:t>
      </w:r>
      <w:bookmarkEnd w:id="114"/>
      <w:bookmarkEnd w:id="115"/>
    </w:p>
    <w:p w14:paraId="290D7B70" w14:textId="0745E1A3" w:rsidR="00CF53BD" w:rsidRDefault="00676AFA" w:rsidP="00C36567">
      <w:pPr>
        <w:spacing w:after="0"/>
        <w:rPr>
          <w:rFonts w:ascii="Calibri" w:hAnsi="Calibri" w:cs="Calibri"/>
        </w:rPr>
      </w:pPr>
      <w:r>
        <w:rPr>
          <w:rFonts w:ascii="Calibri" w:hAnsi="Calibri" w:cs="Calibri"/>
        </w:rPr>
        <w:t>Zjistit strukturu</w:t>
      </w:r>
      <w:r w:rsidR="00B9511E">
        <w:rPr>
          <w:rFonts w:ascii="Calibri" w:hAnsi="Calibri" w:cs="Calibri"/>
        </w:rPr>
        <w:t xml:space="preserve"> podporovaných aktivit v projektech podpořených z PP ÚE, a to z hlediska jejich počtu a z hlediska výše podpory připadající na jednotlivé podporované aktivity.</w:t>
      </w:r>
    </w:p>
    <w:p w14:paraId="2503AD2A" w14:textId="77777777" w:rsidR="00B4042D" w:rsidRPr="00CF53BD" w:rsidRDefault="00B4042D" w:rsidP="00C36567">
      <w:pPr>
        <w:spacing w:after="0"/>
        <w:rPr>
          <w:rFonts w:ascii="Calibri" w:hAnsi="Calibri" w:cs="Calibri"/>
        </w:rPr>
      </w:pPr>
    </w:p>
    <w:p w14:paraId="054538CE" w14:textId="77777777" w:rsidR="00CF53BD" w:rsidRPr="00CF53BD" w:rsidRDefault="00CF53BD" w:rsidP="00CF53BD">
      <w:pPr>
        <w:pStyle w:val="Nadpis2"/>
      </w:pPr>
      <w:bookmarkStart w:id="116" w:name="_Toc4596837"/>
      <w:bookmarkStart w:id="117" w:name="_Toc10729951"/>
      <w:r w:rsidRPr="00CF53BD">
        <w:t>Východiska</w:t>
      </w:r>
      <w:bookmarkEnd w:id="116"/>
      <w:bookmarkEnd w:id="117"/>
    </w:p>
    <w:p w14:paraId="519F7830" w14:textId="7043580E" w:rsidR="001C5578" w:rsidRDefault="001C5578" w:rsidP="00CF53BD">
      <w:pPr>
        <w:spacing w:after="0"/>
        <w:rPr>
          <w:rFonts w:ascii="Calibri" w:hAnsi="Calibri" w:cs="Calibri"/>
        </w:rPr>
      </w:pPr>
      <w:r>
        <w:rPr>
          <w:rFonts w:ascii="Calibri" w:hAnsi="Calibri" w:cs="Calibri"/>
        </w:rPr>
        <w:t xml:space="preserve">Výzvy </w:t>
      </w:r>
      <w:r w:rsidR="00B4042D">
        <w:rPr>
          <w:rFonts w:ascii="Calibri" w:hAnsi="Calibri" w:cs="Calibri"/>
        </w:rPr>
        <w:t>Program</w:t>
      </w:r>
      <w:r>
        <w:rPr>
          <w:rFonts w:ascii="Calibri" w:hAnsi="Calibri" w:cs="Calibri"/>
        </w:rPr>
        <w:t>u</w:t>
      </w:r>
      <w:r w:rsidR="00B4042D">
        <w:rPr>
          <w:rFonts w:ascii="Calibri" w:hAnsi="Calibri" w:cs="Calibri"/>
        </w:rPr>
        <w:t xml:space="preserve"> podpory Úspory energie </w:t>
      </w:r>
      <w:r>
        <w:rPr>
          <w:rFonts w:ascii="Calibri" w:hAnsi="Calibri" w:cs="Calibri"/>
        </w:rPr>
        <w:t>byly zaměřeny na 9 typů podporovaných aktivit, které mohli žadatelé kombinovat tak, aby realizací projektu mohli docílit maximální úspory energie ve svém podniku vzhledem k celkovým vynaloženým nákladům. Do statistického hodnocení této otázky vstupovali pouze příjemci dotace, jejichž projekt byly v poskytnutém datasetu vedeny jako finančně nebo fyzicky ukončené, tj. jednalo se o projekty, jež žádaly o dotaci v I. - III. výzvě.</w:t>
      </w:r>
    </w:p>
    <w:p w14:paraId="1916F6FB" w14:textId="77777777" w:rsidR="00B4042D" w:rsidRPr="00CF53BD" w:rsidRDefault="00B4042D" w:rsidP="00CF53BD">
      <w:pPr>
        <w:spacing w:after="0"/>
        <w:rPr>
          <w:rFonts w:ascii="Calibri" w:hAnsi="Calibri" w:cs="Calibri"/>
        </w:rPr>
      </w:pPr>
    </w:p>
    <w:p w14:paraId="5E1EE853" w14:textId="77777777" w:rsidR="00CF53BD" w:rsidRPr="00CF53BD" w:rsidRDefault="00CF53BD" w:rsidP="007F3412">
      <w:pPr>
        <w:pStyle w:val="Nadpis2"/>
      </w:pPr>
      <w:bookmarkStart w:id="118" w:name="_Toc4596838"/>
      <w:bookmarkStart w:id="119" w:name="_Toc10729952"/>
      <w:r w:rsidRPr="00CF53BD">
        <w:t>Zjištění v návaznosti na evaluační otázku a úkol</w:t>
      </w:r>
      <w:bookmarkEnd w:id="118"/>
      <w:bookmarkEnd w:id="119"/>
    </w:p>
    <w:tbl>
      <w:tblPr>
        <w:tblStyle w:val="Svtlmkatabulky1"/>
        <w:tblW w:w="0" w:type="auto"/>
        <w:tblLook w:val="04A0" w:firstRow="1" w:lastRow="0" w:firstColumn="1" w:lastColumn="0" w:noHBand="0" w:noVBand="1"/>
      </w:tblPr>
      <w:tblGrid>
        <w:gridCol w:w="2972"/>
        <w:gridCol w:w="5954"/>
      </w:tblGrid>
      <w:tr w:rsidR="00CF53BD" w:rsidRPr="00CF53BD" w14:paraId="24C5CF3E" w14:textId="77777777" w:rsidTr="007F3412">
        <w:tc>
          <w:tcPr>
            <w:tcW w:w="2972" w:type="dxa"/>
            <w:shd w:val="clear" w:color="auto" w:fill="F2F2F2" w:themeFill="background1" w:themeFillShade="F2"/>
          </w:tcPr>
          <w:p w14:paraId="62C38F4B" w14:textId="77777777" w:rsidR="00CF53BD" w:rsidRPr="00CF53BD" w:rsidRDefault="00CF53BD" w:rsidP="00370DFB">
            <w:pPr>
              <w:rPr>
                <w:rFonts w:ascii="Calibri" w:hAnsi="Calibri" w:cs="Calibri"/>
                <w:b/>
              </w:rPr>
            </w:pPr>
            <w:r w:rsidRPr="00CF53BD">
              <w:rPr>
                <w:rFonts w:ascii="Calibri" w:hAnsi="Calibri" w:cs="Calibri"/>
                <w:b/>
              </w:rPr>
              <w:t>Evaluační otázka</w:t>
            </w:r>
          </w:p>
        </w:tc>
        <w:tc>
          <w:tcPr>
            <w:tcW w:w="5954" w:type="dxa"/>
          </w:tcPr>
          <w:p w14:paraId="035D139B" w14:textId="030BA0C1" w:rsidR="00CF53BD" w:rsidRPr="007F3412" w:rsidRDefault="00B07F9E" w:rsidP="00370DFB">
            <w:pPr>
              <w:rPr>
                <w:rFonts w:ascii="Calibri" w:hAnsi="Calibri" w:cs="Calibri"/>
                <w:b/>
              </w:rPr>
            </w:pPr>
            <w:r w:rsidRPr="00B07F9E">
              <w:rPr>
                <w:rFonts w:ascii="Calibri" w:hAnsi="Calibri" w:cs="Calibri"/>
                <w:b/>
              </w:rPr>
              <w:t>Jaké je procentuální rozložení jednotlivých typů podporovaných aktivit mezi podpořenými projekty z hlediska a) jejich počtu, b) výše podpory?</w:t>
            </w:r>
          </w:p>
        </w:tc>
      </w:tr>
      <w:tr w:rsidR="00CF53BD" w:rsidRPr="00CF53BD" w14:paraId="75E33C85" w14:textId="77777777" w:rsidTr="007F3412">
        <w:tc>
          <w:tcPr>
            <w:tcW w:w="2972" w:type="dxa"/>
            <w:shd w:val="clear" w:color="auto" w:fill="F2F2F2" w:themeFill="background1" w:themeFillShade="F2"/>
          </w:tcPr>
          <w:p w14:paraId="53AC3E43" w14:textId="4C0FB72A" w:rsidR="00CF53BD" w:rsidRPr="00CF53BD" w:rsidRDefault="00CF53BD" w:rsidP="00370DFB">
            <w:pPr>
              <w:rPr>
                <w:rFonts w:ascii="Calibri" w:hAnsi="Calibri" w:cs="Calibri"/>
              </w:rPr>
            </w:pPr>
            <w:r w:rsidRPr="00CF53BD">
              <w:rPr>
                <w:rFonts w:ascii="Calibri" w:hAnsi="Calibri" w:cs="Calibri"/>
                <w:b/>
                <w:bCs/>
              </w:rPr>
              <w:t>Zhodnocení</w:t>
            </w:r>
            <w:r w:rsidRPr="00CF53BD">
              <w:rPr>
                <w:rFonts w:ascii="Calibri" w:hAnsi="Calibri" w:cs="Calibri"/>
                <w:b/>
                <w:bCs/>
              </w:rPr>
              <w:br/>
            </w:r>
            <w:r w:rsidRPr="00CF53BD">
              <w:rPr>
                <w:rFonts w:ascii="Calibri" w:hAnsi="Calibri" w:cs="Calibri"/>
              </w:rPr>
              <w:t>(Ano, Spíše ano, Spíše ne, Ne, Ne</w:t>
            </w:r>
            <w:r w:rsidR="00650591">
              <w:rPr>
                <w:rFonts w:ascii="Calibri" w:hAnsi="Calibri" w:cs="Calibri"/>
              </w:rPr>
              <w:t xml:space="preserve">ní </w:t>
            </w:r>
            <w:r w:rsidR="00A2131E">
              <w:rPr>
                <w:rFonts w:ascii="Calibri" w:hAnsi="Calibri" w:cs="Calibri"/>
              </w:rPr>
              <w:t>re</w:t>
            </w:r>
            <w:r w:rsidRPr="00CF53BD">
              <w:rPr>
                <w:rFonts w:ascii="Calibri" w:hAnsi="Calibri" w:cs="Calibri"/>
              </w:rPr>
              <w:t>levantní)</w:t>
            </w:r>
          </w:p>
        </w:tc>
        <w:tc>
          <w:tcPr>
            <w:tcW w:w="5954" w:type="dxa"/>
          </w:tcPr>
          <w:p w14:paraId="11DD67C9" w14:textId="3D2A462B" w:rsidR="00CF53BD" w:rsidRPr="00CF53BD" w:rsidRDefault="00B9511E" w:rsidP="00370DFB">
            <w:pPr>
              <w:rPr>
                <w:rFonts w:ascii="Calibri" w:hAnsi="Calibri" w:cs="Calibri"/>
              </w:rPr>
            </w:pPr>
            <w:r>
              <w:rPr>
                <w:rFonts w:ascii="Calibri" w:hAnsi="Calibri" w:cs="Calibri"/>
              </w:rPr>
              <w:t>Ne</w:t>
            </w:r>
            <w:r w:rsidR="00650591">
              <w:rPr>
                <w:rFonts w:ascii="Calibri" w:hAnsi="Calibri" w:cs="Calibri"/>
              </w:rPr>
              <w:t xml:space="preserve">ní </w:t>
            </w:r>
            <w:r>
              <w:rPr>
                <w:rFonts w:ascii="Calibri" w:hAnsi="Calibri" w:cs="Calibri"/>
              </w:rPr>
              <w:t>relevantní</w:t>
            </w:r>
          </w:p>
        </w:tc>
      </w:tr>
      <w:tr w:rsidR="00CF53BD" w:rsidRPr="00CF53BD" w14:paraId="34A8E4BB" w14:textId="77777777" w:rsidTr="007F3412">
        <w:tc>
          <w:tcPr>
            <w:tcW w:w="2972" w:type="dxa"/>
            <w:shd w:val="clear" w:color="auto" w:fill="F2F2F2" w:themeFill="background1" w:themeFillShade="F2"/>
          </w:tcPr>
          <w:p w14:paraId="2995A47E" w14:textId="77777777" w:rsidR="00CF53BD" w:rsidRPr="00CF53BD" w:rsidRDefault="000722BD" w:rsidP="00370DFB">
            <w:pPr>
              <w:rPr>
                <w:rFonts w:ascii="Calibri" w:hAnsi="Calibri" w:cs="Calibri"/>
                <w:b/>
              </w:rPr>
            </w:pPr>
            <w:r>
              <w:rPr>
                <w:rFonts w:ascii="Calibri" w:hAnsi="Calibri" w:cs="Calibri"/>
                <w:b/>
              </w:rPr>
              <w:t>Hlavní závěry a zjištění</w:t>
            </w:r>
            <w:r w:rsidR="00CF53BD" w:rsidRPr="00CF53BD">
              <w:rPr>
                <w:rFonts w:ascii="Calibri" w:hAnsi="Calibri" w:cs="Calibri"/>
                <w:b/>
              </w:rPr>
              <w:t xml:space="preserve"> </w:t>
            </w:r>
          </w:p>
        </w:tc>
        <w:tc>
          <w:tcPr>
            <w:tcW w:w="5954" w:type="dxa"/>
          </w:tcPr>
          <w:p w14:paraId="39468C74" w14:textId="0C5DAE34" w:rsidR="003B4CFB" w:rsidRDefault="00EC4C59" w:rsidP="00B07F9E">
            <w:pPr>
              <w:rPr>
                <w:rFonts w:ascii="Calibri" w:hAnsi="Calibri" w:cs="Calibri"/>
              </w:rPr>
            </w:pPr>
            <w:r>
              <w:rPr>
                <w:rFonts w:ascii="Calibri" w:hAnsi="Calibri" w:cs="Calibri"/>
              </w:rPr>
              <w:t xml:space="preserve">Podporovanou aktivitou, která se v podpořených projektech vyskytuje nejčastěji (v 61 % projektů), je snižování energetické náročnosti budov. V pořadí druhou aktivitou je </w:t>
            </w:r>
            <w:r w:rsidRPr="00EC4C59">
              <w:rPr>
                <w:rFonts w:ascii="Calibri" w:hAnsi="Calibri" w:cs="Calibri"/>
              </w:rPr>
              <w:t>modernizace soustav osvětlení budov a průmyslových areálů</w:t>
            </w:r>
            <w:r>
              <w:rPr>
                <w:rFonts w:ascii="Calibri" w:hAnsi="Calibri" w:cs="Calibri"/>
              </w:rPr>
              <w:t xml:space="preserve"> (36,4 %), třetí je snižování energetické náročnosti, resp. zvyšování energetické účinnosti výrobních a technologických procesů (32,8 %).</w:t>
            </w:r>
          </w:p>
          <w:p w14:paraId="00F0AFA6" w14:textId="77777777" w:rsidR="00C36567" w:rsidRDefault="00C36567" w:rsidP="00B07F9E">
            <w:pPr>
              <w:rPr>
                <w:rFonts w:ascii="Calibri" w:hAnsi="Calibri" w:cs="Calibri"/>
              </w:rPr>
            </w:pPr>
          </w:p>
          <w:p w14:paraId="284D9D58" w14:textId="77777777" w:rsidR="00C36567" w:rsidRDefault="003B4CFB" w:rsidP="00B07F9E">
            <w:pPr>
              <w:rPr>
                <w:rFonts w:ascii="Calibri" w:hAnsi="Calibri" w:cs="Calibri"/>
              </w:rPr>
            </w:pPr>
            <w:r>
              <w:rPr>
                <w:rFonts w:ascii="Calibri" w:hAnsi="Calibri" w:cs="Calibri"/>
              </w:rPr>
              <w:t xml:space="preserve">Ukončené projekty byly podpořeny dotací ve výši 1 392 mil. Kč. Nejvyšší podíl z této částky byl vyčerpán na snižování energetické náročnosti budov (téměř 45 %) a na snižování energetické náročnosti, resp. zvyšování energetické účinnosti výrobních a technologických procesů (39 %). Zastoupení ostatních podporovaných aktivit je nízké a podpora na tyto aktivity nepřevyšuje 60 mil. Kč. </w:t>
            </w:r>
          </w:p>
          <w:p w14:paraId="62DDD2D1" w14:textId="77777777" w:rsidR="00C36567" w:rsidRDefault="00C36567" w:rsidP="00B07F9E">
            <w:pPr>
              <w:rPr>
                <w:rFonts w:ascii="Calibri" w:hAnsi="Calibri" w:cs="Calibri"/>
              </w:rPr>
            </w:pPr>
          </w:p>
          <w:p w14:paraId="3E894F02" w14:textId="4499FF24" w:rsidR="00CF53BD" w:rsidRPr="00CF53BD" w:rsidRDefault="003B4CFB" w:rsidP="00B07F9E">
            <w:pPr>
              <w:rPr>
                <w:rFonts w:ascii="Calibri" w:hAnsi="Calibri" w:cs="Calibri"/>
              </w:rPr>
            </w:pPr>
            <w:r>
              <w:rPr>
                <w:rFonts w:ascii="Calibri" w:hAnsi="Calibri" w:cs="Calibri"/>
              </w:rPr>
              <w:t>Důvodem nízkých podílů ostatních aktivit na celkové podpoře není počet projektů, v nichž byly tyto aktivity realizovány, ale výrazně nižší náklady na tyto aktivity v porovnání se zateplením budov, výměnou oken či pořízením nového energeticky účinného stroje.</w:t>
            </w:r>
          </w:p>
        </w:tc>
      </w:tr>
      <w:tr w:rsidR="00CF53BD" w:rsidRPr="00CF53BD" w14:paraId="516071A5" w14:textId="77777777" w:rsidTr="007F3412">
        <w:tc>
          <w:tcPr>
            <w:tcW w:w="2972" w:type="dxa"/>
            <w:shd w:val="clear" w:color="auto" w:fill="F2F2F2" w:themeFill="background1" w:themeFillShade="F2"/>
          </w:tcPr>
          <w:p w14:paraId="4E5BAE14" w14:textId="77777777" w:rsidR="00CF53BD" w:rsidRPr="00CF53BD" w:rsidRDefault="00CF53BD" w:rsidP="00370DFB">
            <w:pPr>
              <w:rPr>
                <w:rFonts w:ascii="Calibri" w:hAnsi="Calibri" w:cs="Calibri"/>
                <w:b/>
              </w:rPr>
            </w:pPr>
            <w:r w:rsidRPr="00CF53BD">
              <w:rPr>
                <w:rFonts w:ascii="Calibri" w:hAnsi="Calibri" w:cs="Calibri"/>
                <w:b/>
              </w:rPr>
              <w:t xml:space="preserve">Doporučení pro programové období 2014 - 2020 </w:t>
            </w:r>
          </w:p>
        </w:tc>
        <w:tc>
          <w:tcPr>
            <w:tcW w:w="5954" w:type="dxa"/>
          </w:tcPr>
          <w:p w14:paraId="2E320E6F" w14:textId="6F717E89" w:rsidR="00CF53BD" w:rsidRPr="00CF53BD" w:rsidRDefault="002C6DC4" w:rsidP="00370DFB">
            <w:pPr>
              <w:rPr>
                <w:rFonts w:ascii="Calibri" w:hAnsi="Calibri" w:cs="Calibri"/>
              </w:rPr>
            </w:pPr>
            <w:r>
              <w:rPr>
                <w:rFonts w:ascii="Calibri" w:hAnsi="Calibri" w:cs="Calibri"/>
              </w:rPr>
              <w:t>-</w:t>
            </w:r>
          </w:p>
        </w:tc>
      </w:tr>
      <w:tr w:rsidR="00CF53BD" w:rsidRPr="00CF53BD" w14:paraId="01CFA067" w14:textId="77777777" w:rsidTr="007F3412">
        <w:tc>
          <w:tcPr>
            <w:tcW w:w="2972" w:type="dxa"/>
            <w:shd w:val="clear" w:color="auto" w:fill="F2F2F2" w:themeFill="background1" w:themeFillShade="F2"/>
          </w:tcPr>
          <w:p w14:paraId="6C56DF89" w14:textId="069A1E32" w:rsidR="00CF53BD" w:rsidRPr="00CF53BD" w:rsidRDefault="00CF53BD" w:rsidP="00370DFB">
            <w:pPr>
              <w:rPr>
                <w:rFonts w:ascii="Calibri" w:hAnsi="Calibri" w:cs="Calibri"/>
                <w:b/>
              </w:rPr>
            </w:pPr>
            <w:r w:rsidRPr="00CF53BD">
              <w:rPr>
                <w:rFonts w:ascii="Calibri" w:hAnsi="Calibri" w:cs="Calibri"/>
                <w:b/>
              </w:rPr>
              <w:lastRenderedPageBreak/>
              <w:t xml:space="preserve">Doporučení pro </w:t>
            </w:r>
            <w:r w:rsidR="007F3412">
              <w:rPr>
                <w:rFonts w:ascii="Calibri" w:hAnsi="Calibri" w:cs="Calibri"/>
                <w:b/>
              </w:rPr>
              <w:t>programové období</w:t>
            </w:r>
            <w:r w:rsidRPr="00CF53BD">
              <w:rPr>
                <w:rFonts w:ascii="Calibri" w:hAnsi="Calibri" w:cs="Calibri"/>
                <w:b/>
              </w:rPr>
              <w:t xml:space="preserve"> 2021</w:t>
            </w:r>
            <w:r w:rsidR="002C6DC4">
              <w:rPr>
                <w:rFonts w:ascii="Calibri" w:hAnsi="Calibri" w:cs="Calibri"/>
                <w:b/>
              </w:rPr>
              <w:t xml:space="preserve"> - 2027</w:t>
            </w:r>
          </w:p>
        </w:tc>
        <w:tc>
          <w:tcPr>
            <w:tcW w:w="5954" w:type="dxa"/>
          </w:tcPr>
          <w:p w14:paraId="5BCA7AA3" w14:textId="7172B2DF" w:rsidR="00CF53BD" w:rsidRPr="00CF53BD" w:rsidRDefault="009F7891" w:rsidP="009F2D1D">
            <w:pPr>
              <w:rPr>
                <w:rFonts w:ascii="Calibri" w:hAnsi="Calibri" w:cs="Calibri"/>
              </w:rPr>
            </w:pPr>
            <w:r>
              <w:rPr>
                <w:rFonts w:ascii="Calibri" w:hAnsi="Calibri" w:cs="Calibri"/>
              </w:rPr>
              <w:t>Pro přesné vyhodnocení této evaluační otázky je potřebné, aby v MS2014+ byly příjemcem přímo označovány podporované aktivity, které budou v rámci projektu realizovány, a bylo uvedeno, jaký podíl rozpočtu nebo konkrétní částka se k dané aktivitě váže.</w:t>
            </w:r>
          </w:p>
        </w:tc>
      </w:tr>
    </w:tbl>
    <w:p w14:paraId="10D5CD94" w14:textId="77777777" w:rsidR="00CF53BD" w:rsidRPr="00CF53BD" w:rsidRDefault="00CF53BD" w:rsidP="00CF53BD">
      <w:pPr>
        <w:spacing w:after="0"/>
        <w:rPr>
          <w:rFonts w:ascii="Calibri" w:hAnsi="Calibri" w:cs="Calibri"/>
        </w:rPr>
      </w:pPr>
    </w:p>
    <w:p w14:paraId="753C5166" w14:textId="77777777" w:rsidR="00CF53BD" w:rsidRDefault="00CF53BD" w:rsidP="007F3412">
      <w:pPr>
        <w:pStyle w:val="Nadpis2"/>
      </w:pPr>
      <w:bookmarkStart w:id="120" w:name="_Toc4596839"/>
      <w:bookmarkStart w:id="121" w:name="_Toc10729953"/>
      <w:r w:rsidRPr="00CF53BD">
        <w:t>Doplňující informace k evaluační otázce</w:t>
      </w:r>
      <w:bookmarkEnd w:id="120"/>
      <w:bookmarkEnd w:id="121"/>
    </w:p>
    <w:p w14:paraId="70BE898A" w14:textId="7DE1041E" w:rsidR="009F2D1D" w:rsidRDefault="009F2D1D" w:rsidP="00C36567">
      <w:pPr>
        <w:spacing w:after="0"/>
        <w:rPr>
          <w:lang w:eastAsia="sk-SK"/>
        </w:rPr>
      </w:pPr>
      <w:r>
        <w:rPr>
          <w:lang w:eastAsia="sk-SK"/>
        </w:rPr>
        <w:t xml:space="preserve">Hodnotitel prováděl statistické hodnocení dat na základě datasetů z MS2014+ </w:t>
      </w:r>
      <w:r w:rsidR="00751D1B">
        <w:rPr>
          <w:lang w:eastAsia="sk-SK"/>
        </w:rPr>
        <w:t>(stav k 31.</w:t>
      </w:r>
      <w:r w:rsidR="00E23E88">
        <w:rPr>
          <w:lang w:eastAsia="sk-SK"/>
        </w:rPr>
        <w:t xml:space="preserve"> </w:t>
      </w:r>
      <w:r w:rsidR="00751D1B">
        <w:rPr>
          <w:lang w:eastAsia="sk-SK"/>
        </w:rPr>
        <w:t>12.</w:t>
      </w:r>
      <w:r w:rsidR="00E23E88">
        <w:rPr>
          <w:lang w:eastAsia="sk-SK"/>
        </w:rPr>
        <w:t xml:space="preserve"> </w:t>
      </w:r>
      <w:r w:rsidR="00751D1B">
        <w:rPr>
          <w:lang w:eastAsia="sk-SK"/>
        </w:rPr>
        <w:t xml:space="preserve">2018) </w:t>
      </w:r>
      <w:r>
        <w:rPr>
          <w:lang w:eastAsia="sk-SK"/>
        </w:rPr>
        <w:t xml:space="preserve">poskytnutých </w:t>
      </w:r>
      <w:r w:rsidR="00AF103C">
        <w:rPr>
          <w:lang w:eastAsia="sk-SK"/>
        </w:rPr>
        <w:t>zadavatelem</w:t>
      </w:r>
      <w:r>
        <w:rPr>
          <w:lang w:eastAsia="sk-SK"/>
        </w:rPr>
        <w:t>. Do analýzy byli zahrnuti všichni příjemci, jejichž projekt byl k tomuto datu identifikován jako fyzicky či finančně ukončený. Celkem se jednalo o 354 projektů (251 projektů z I. výzvy, 96 projektů z II. a 7 projektů z III. výzvy).</w:t>
      </w:r>
    </w:p>
    <w:p w14:paraId="3C67F7D2" w14:textId="77777777" w:rsidR="00C36567" w:rsidRDefault="00C36567" w:rsidP="00C36567">
      <w:pPr>
        <w:spacing w:after="0"/>
        <w:rPr>
          <w:lang w:eastAsia="sk-SK"/>
        </w:rPr>
      </w:pPr>
    </w:p>
    <w:p w14:paraId="2D30A360" w14:textId="7CE3DBCF" w:rsidR="009F2D1D" w:rsidRDefault="00E23E88" w:rsidP="00C36567">
      <w:pPr>
        <w:spacing w:after="0"/>
        <w:rPr>
          <w:lang w:eastAsia="sk-SK"/>
        </w:rPr>
      </w:pPr>
      <w:r>
        <w:rPr>
          <w:lang w:eastAsia="sk-SK"/>
        </w:rPr>
        <w:t>Typ a počet podporovaných aktivit v podpořených projektech byl manuálně zjišťován z textových polí (Anotace projektu, Co je cílem projektu, Jaké aktivity budou v projektu realizovány, Popis pokroku v realizaci) žádosti o dotaci, příp. žádosti o platbu, neboť tyto informace nebyly v celém datasetu explicitně uvedené</w:t>
      </w:r>
      <w:r w:rsidR="00AF103C">
        <w:rPr>
          <w:lang w:eastAsia="sk-SK"/>
        </w:rPr>
        <w:t xml:space="preserve"> (systém neumožňoval vyplnění těchto informací ve specifických polích žádosti o podporu)</w:t>
      </w:r>
      <w:r>
        <w:rPr>
          <w:lang w:eastAsia="sk-SK"/>
        </w:rPr>
        <w:t xml:space="preserve">. </w:t>
      </w:r>
    </w:p>
    <w:p w14:paraId="4C749D51" w14:textId="77777777" w:rsidR="00C36567" w:rsidRDefault="00C36567" w:rsidP="00C36567">
      <w:pPr>
        <w:spacing w:after="0"/>
        <w:rPr>
          <w:lang w:eastAsia="sk-SK"/>
        </w:rPr>
      </w:pPr>
    </w:p>
    <w:p w14:paraId="2DC3C9D8" w14:textId="35804D87" w:rsidR="00696346" w:rsidRDefault="00696346" w:rsidP="00C36567">
      <w:pPr>
        <w:spacing w:after="0"/>
        <w:rPr>
          <w:lang w:eastAsia="sk-SK"/>
        </w:rPr>
      </w:pPr>
      <w:r>
        <w:rPr>
          <w:lang w:eastAsia="sk-SK"/>
        </w:rPr>
        <w:t xml:space="preserve">Z výzkumu vyplývá, že v rámci jednoho projektu byly průměrně realizovány 2,2 podporované aktivity (tj. 779 aktivit na 354 projektů). </w:t>
      </w:r>
      <w:r w:rsidR="006C39C7">
        <w:rPr>
          <w:lang w:eastAsia="sk-SK"/>
        </w:rPr>
        <w:t xml:space="preserve">Nejčastěji realizovanou podporovanou aktivitou byla </w:t>
      </w:r>
      <w:r>
        <w:rPr>
          <w:lang w:eastAsia="sk-SK"/>
        </w:rPr>
        <w:t>úsporná opatření na snižování energetické náročnosti budov (tj. zateplení budov nebo výměna otvorových výplní)</w:t>
      </w:r>
      <w:r w:rsidR="006C39C7">
        <w:rPr>
          <w:lang w:eastAsia="sk-SK"/>
        </w:rPr>
        <w:t xml:space="preserve">. Tuto aktivitu zahrnovalo téměř 62 % podpořených projektů a její podíl na všech podpořených aktivitách činí 28 %. Dalšími často realizovanými aktivitami jsou </w:t>
      </w:r>
      <w:r>
        <w:rPr>
          <w:lang w:eastAsia="sk-SK"/>
        </w:rPr>
        <w:t xml:space="preserve">opatření na modernizaci soustav osvětlení </w:t>
      </w:r>
      <w:r w:rsidR="006C39C7">
        <w:rPr>
          <w:lang w:eastAsia="sk-SK"/>
        </w:rPr>
        <w:t xml:space="preserve">(36,4 % realizovaných projektů, resp. 16,6 % ze všech aktivit) </w:t>
      </w:r>
      <w:r>
        <w:rPr>
          <w:lang w:eastAsia="sk-SK"/>
        </w:rPr>
        <w:t>a opatření na snižování energetické náročnosti</w:t>
      </w:r>
      <w:r w:rsidR="007A2593">
        <w:rPr>
          <w:lang w:eastAsia="sk-SK"/>
        </w:rPr>
        <w:t>,</w:t>
      </w:r>
      <w:r w:rsidR="006C39C7">
        <w:rPr>
          <w:lang w:eastAsia="sk-SK"/>
        </w:rPr>
        <w:t xml:space="preserve"> resp. zvyšování energetické účinnosti výrobních a technologických procesů (32,8 %</w:t>
      </w:r>
      <w:r>
        <w:rPr>
          <w:lang w:eastAsia="sk-SK"/>
        </w:rPr>
        <w:t>,</w:t>
      </w:r>
      <w:r w:rsidR="006C39C7">
        <w:rPr>
          <w:lang w:eastAsia="sk-SK"/>
        </w:rPr>
        <w:t xml:space="preserve"> resp. 14,9 %)</w:t>
      </w:r>
      <w:r>
        <w:rPr>
          <w:lang w:eastAsia="sk-SK"/>
        </w:rPr>
        <w:t>. Naopak nejméně využívanými aktivitami jsou úsporná opatření na využití odpadní energie ve výrobních procesech (9 %</w:t>
      </w:r>
      <w:r w:rsidR="006C39C7">
        <w:rPr>
          <w:lang w:eastAsia="sk-SK"/>
        </w:rPr>
        <w:t>, resp. 4,1 %</w:t>
      </w:r>
      <w:r>
        <w:rPr>
          <w:lang w:eastAsia="sk-SK"/>
        </w:rPr>
        <w:t>) a instalace kogeneračních jednotek</w:t>
      </w:r>
      <w:r w:rsidRPr="00696346">
        <w:t xml:space="preserve"> </w:t>
      </w:r>
      <w:r w:rsidRPr="00696346">
        <w:rPr>
          <w:lang w:eastAsia="sk-SK"/>
        </w:rPr>
        <w:t>s maximálním využitím elektrické a tepelné energie pro vlastní spotřebu podniku</w:t>
      </w:r>
      <w:r>
        <w:rPr>
          <w:lang w:eastAsia="sk-SK"/>
        </w:rPr>
        <w:t xml:space="preserve"> (1,4 %</w:t>
      </w:r>
      <w:r w:rsidR="006C39C7">
        <w:rPr>
          <w:lang w:eastAsia="sk-SK"/>
        </w:rPr>
        <w:t>, resp. 0,6 %</w:t>
      </w:r>
      <w:r>
        <w:rPr>
          <w:lang w:eastAsia="sk-SK"/>
        </w:rPr>
        <w:t>). Kompletní výsledky jsou uvedeny v </w:t>
      </w:r>
      <w:r w:rsidRPr="007A2593">
        <w:rPr>
          <w:lang w:eastAsia="sk-SK"/>
        </w:rPr>
        <w:t xml:space="preserve">tabulce </w:t>
      </w:r>
      <w:r w:rsidR="009A488D" w:rsidRPr="007A2593">
        <w:rPr>
          <w:lang w:eastAsia="sk-SK"/>
        </w:rPr>
        <w:t>8</w:t>
      </w:r>
      <w:r w:rsidRPr="007A2593">
        <w:rPr>
          <w:lang w:eastAsia="sk-SK"/>
        </w:rPr>
        <w:t>.</w:t>
      </w:r>
    </w:p>
    <w:p w14:paraId="6D871579" w14:textId="77777777" w:rsidR="00C36567" w:rsidRDefault="00C36567" w:rsidP="00C36567">
      <w:pPr>
        <w:spacing w:after="0"/>
        <w:rPr>
          <w:lang w:eastAsia="sk-SK"/>
        </w:rPr>
      </w:pPr>
    </w:p>
    <w:p w14:paraId="3CDDEBF9" w14:textId="512E8BAC" w:rsidR="00E23E88" w:rsidRDefault="00E23E88" w:rsidP="00E23E88">
      <w:pPr>
        <w:pStyle w:val="Titulek"/>
      </w:pPr>
      <w:bookmarkStart w:id="122" w:name="_Toc10730027"/>
      <w:r w:rsidRPr="009A488D">
        <w:t xml:space="preserve">Tabulka </w:t>
      </w:r>
      <w:r w:rsidRPr="009A488D">
        <w:rPr>
          <w:noProof/>
        </w:rPr>
        <w:fldChar w:fldCharType="begin"/>
      </w:r>
      <w:r w:rsidRPr="009A488D">
        <w:rPr>
          <w:noProof/>
        </w:rPr>
        <w:instrText xml:space="preserve"> SEQ Tabulka \* ARABIC </w:instrText>
      </w:r>
      <w:r w:rsidRPr="009A488D">
        <w:rPr>
          <w:noProof/>
        </w:rPr>
        <w:fldChar w:fldCharType="separate"/>
      </w:r>
      <w:r w:rsidR="00E12F39">
        <w:rPr>
          <w:noProof/>
        </w:rPr>
        <w:t>8</w:t>
      </w:r>
      <w:r w:rsidRPr="009A488D">
        <w:rPr>
          <w:noProof/>
        </w:rPr>
        <w:fldChar w:fldCharType="end"/>
      </w:r>
      <w:r w:rsidRPr="009A488D">
        <w:t xml:space="preserve">: </w:t>
      </w:r>
      <w:r w:rsidR="009A488D" w:rsidRPr="009A488D">
        <w:t>Rozložení typů podporovaných aktivit</w:t>
      </w:r>
      <w:bookmarkEnd w:id="122"/>
    </w:p>
    <w:tbl>
      <w:tblPr>
        <w:tblStyle w:val="Svtlmkatabulky1"/>
        <w:tblW w:w="9542" w:type="dxa"/>
        <w:tblLayout w:type="fixed"/>
        <w:tblLook w:val="04A0" w:firstRow="1" w:lastRow="0" w:firstColumn="1" w:lastColumn="0" w:noHBand="0" w:noVBand="1"/>
      </w:tblPr>
      <w:tblGrid>
        <w:gridCol w:w="5637"/>
        <w:gridCol w:w="1984"/>
        <w:gridCol w:w="1921"/>
      </w:tblGrid>
      <w:tr w:rsidR="00D4635D" w:rsidRPr="00A2131E" w14:paraId="4C5A5AE4" w14:textId="042F785E" w:rsidTr="00C36567">
        <w:trPr>
          <w:tblHeader/>
        </w:trPr>
        <w:tc>
          <w:tcPr>
            <w:tcW w:w="5637" w:type="dxa"/>
            <w:shd w:val="clear" w:color="auto" w:fill="002060"/>
          </w:tcPr>
          <w:p w14:paraId="12A02386" w14:textId="0F14095C" w:rsidR="00D4635D" w:rsidRPr="00A2131E" w:rsidRDefault="00D4635D" w:rsidP="00395BC2">
            <w:pPr>
              <w:rPr>
                <w:rFonts w:ascii="Calibri" w:hAnsi="Calibri" w:cs="Calibri"/>
                <w:b/>
                <w:sz w:val="20"/>
                <w:szCs w:val="20"/>
              </w:rPr>
            </w:pPr>
          </w:p>
        </w:tc>
        <w:tc>
          <w:tcPr>
            <w:tcW w:w="1984" w:type="dxa"/>
            <w:shd w:val="clear" w:color="auto" w:fill="002060"/>
            <w:vAlign w:val="bottom"/>
          </w:tcPr>
          <w:p w14:paraId="247F8D3E" w14:textId="76F3A52D" w:rsidR="00D4635D" w:rsidRPr="00A2131E" w:rsidRDefault="00C36567" w:rsidP="00395BC2">
            <w:pPr>
              <w:jc w:val="center"/>
              <w:rPr>
                <w:rFonts w:ascii="Calibri" w:hAnsi="Calibri" w:cs="Calibri"/>
                <w:b/>
                <w:color w:val="FFFFFF" w:themeColor="background1"/>
                <w:sz w:val="20"/>
                <w:szCs w:val="20"/>
              </w:rPr>
            </w:pPr>
            <w:r w:rsidRPr="00A2131E">
              <w:rPr>
                <w:rFonts w:ascii="Calibri" w:hAnsi="Calibri" w:cs="Calibri"/>
                <w:b/>
                <w:color w:val="FFFFFF" w:themeColor="background1"/>
                <w:sz w:val="20"/>
                <w:szCs w:val="20"/>
              </w:rPr>
              <w:t>P</w:t>
            </w:r>
            <w:r w:rsidR="00D4635D" w:rsidRPr="00A2131E">
              <w:rPr>
                <w:rFonts w:ascii="Calibri" w:hAnsi="Calibri" w:cs="Calibri"/>
                <w:b/>
                <w:color w:val="FFFFFF" w:themeColor="background1"/>
                <w:sz w:val="20"/>
                <w:szCs w:val="20"/>
              </w:rPr>
              <w:t>odíl podporovaných aktivit na celkovém počtu podpořených projektů</w:t>
            </w:r>
            <w:r w:rsidR="009A488D" w:rsidRPr="00A2131E">
              <w:rPr>
                <w:rFonts w:ascii="Calibri" w:hAnsi="Calibri" w:cs="Calibri"/>
                <w:b/>
                <w:color w:val="FFFFFF" w:themeColor="background1"/>
                <w:sz w:val="20"/>
                <w:szCs w:val="20"/>
              </w:rPr>
              <w:t xml:space="preserve"> (%)</w:t>
            </w:r>
          </w:p>
        </w:tc>
        <w:tc>
          <w:tcPr>
            <w:tcW w:w="1921" w:type="dxa"/>
            <w:shd w:val="clear" w:color="auto" w:fill="002060"/>
            <w:vAlign w:val="bottom"/>
          </w:tcPr>
          <w:p w14:paraId="2B5FE027" w14:textId="5F0BF868" w:rsidR="00D4635D" w:rsidRPr="00A2131E" w:rsidRDefault="00C36567" w:rsidP="00395BC2">
            <w:pPr>
              <w:jc w:val="center"/>
              <w:rPr>
                <w:rFonts w:ascii="Calibri" w:hAnsi="Calibri" w:cs="Calibri"/>
                <w:b/>
                <w:color w:val="FFFFFF" w:themeColor="background1"/>
                <w:sz w:val="20"/>
                <w:szCs w:val="20"/>
              </w:rPr>
            </w:pPr>
            <w:r w:rsidRPr="00A2131E">
              <w:rPr>
                <w:rFonts w:ascii="Calibri" w:hAnsi="Calibri" w:cs="Calibri"/>
                <w:b/>
                <w:color w:val="FFFFFF" w:themeColor="background1"/>
                <w:sz w:val="20"/>
                <w:szCs w:val="20"/>
              </w:rPr>
              <w:t>P</w:t>
            </w:r>
            <w:r w:rsidR="00D4635D" w:rsidRPr="00A2131E">
              <w:rPr>
                <w:rFonts w:ascii="Calibri" w:hAnsi="Calibri" w:cs="Calibri"/>
                <w:b/>
                <w:color w:val="FFFFFF" w:themeColor="background1"/>
                <w:sz w:val="20"/>
                <w:szCs w:val="20"/>
              </w:rPr>
              <w:t>odíl podporovaných aktivit na celkovém počtu aktivit</w:t>
            </w:r>
            <w:r w:rsidR="009A488D" w:rsidRPr="00A2131E">
              <w:rPr>
                <w:rFonts w:ascii="Calibri" w:hAnsi="Calibri" w:cs="Calibri"/>
                <w:b/>
                <w:color w:val="FFFFFF" w:themeColor="background1"/>
                <w:sz w:val="20"/>
                <w:szCs w:val="20"/>
              </w:rPr>
              <w:t xml:space="preserve"> (%)</w:t>
            </w:r>
          </w:p>
        </w:tc>
      </w:tr>
      <w:tr w:rsidR="00D4635D" w:rsidRPr="00E23E88" w14:paraId="4FB25FBA" w14:textId="219CEF77" w:rsidTr="00D4635D">
        <w:tc>
          <w:tcPr>
            <w:tcW w:w="5637" w:type="dxa"/>
            <w:vAlign w:val="center"/>
          </w:tcPr>
          <w:p w14:paraId="415DAEBA" w14:textId="573C3EAC"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snižování energetické náročnosti budov (zateplení, výměna a renovace otvorových výplní apod.)</w:t>
            </w:r>
          </w:p>
        </w:tc>
        <w:tc>
          <w:tcPr>
            <w:tcW w:w="1984" w:type="dxa"/>
          </w:tcPr>
          <w:p w14:paraId="4204DD80" w14:textId="02793A83" w:rsidR="00D4635D" w:rsidRPr="00E23E88" w:rsidRDefault="00D4635D" w:rsidP="00E23E88">
            <w:pPr>
              <w:jc w:val="center"/>
              <w:rPr>
                <w:rFonts w:ascii="Calibri" w:hAnsi="Calibri" w:cs="Calibri"/>
                <w:sz w:val="20"/>
                <w:szCs w:val="20"/>
              </w:rPr>
            </w:pPr>
            <w:r w:rsidRPr="00E23E88">
              <w:rPr>
                <w:rFonts w:ascii="Calibri" w:hAnsi="Calibri" w:cs="Calibri"/>
                <w:sz w:val="20"/>
                <w:szCs w:val="20"/>
              </w:rPr>
              <w:t>61,9</w:t>
            </w:r>
          </w:p>
        </w:tc>
        <w:tc>
          <w:tcPr>
            <w:tcW w:w="1921" w:type="dxa"/>
          </w:tcPr>
          <w:p w14:paraId="298F5A94" w14:textId="7FC66C15" w:rsidR="00D4635D" w:rsidRPr="00E23E88" w:rsidRDefault="00D4635D" w:rsidP="00E23E88">
            <w:pPr>
              <w:jc w:val="center"/>
              <w:rPr>
                <w:rFonts w:ascii="Calibri" w:hAnsi="Calibri" w:cs="Calibri"/>
                <w:sz w:val="20"/>
                <w:szCs w:val="20"/>
              </w:rPr>
            </w:pPr>
            <w:r w:rsidRPr="00E23E88">
              <w:rPr>
                <w:rFonts w:ascii="Calibri" w:hAnsi="Calibri" w:cs="Calibri"/>
                <w:sz w:val="20"/>
                <w:szCs w:val="20"/>
              </w:rPr>
              <w:t>28,1</w:t>
            </w:r>
          </w:p>
        </w:tc>
      </w:tr>
      <w:tr w:rsidR="00D4635D" w:rsidRPr="00E23E88" w14:paraId="4C25F13B" w14:textId="53CAADCA" w:rsidTr="00D4635D">
        <w:tc>
          <w:tcPr>
            <w:tcW w:w="5637" w:type="dxa"/>
            <w:vAlign w:val="center"/>
          </w:tcPr>
          <w:p w14:paraId="090F2F73" w14:textId="6F94DD12"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rozvodů elektřiny, plynu a tepla v budovách</w:t>
            </w:r>
          </w:p>
        </w:tc>
        <w:tc>
          <w:tcPr>
            <w:tcW w:w="1984" w:type="dxa"/>
          </w:tcPr>
          <w:p w14:paraId="269C1031" w14:textId="39CFD3E6" w:rsidR="00D4635D" w:rsidRPr="00E23E88" w:rsidRDefault="00D4635D" w:rsidP="00E23E88">
            <w:pPr>
              <w:jc w:val="center"/>
              <w:rPr>
                <w:rFonts w:ascii="Calibri" w:hAnsi="Calibri" w:cs="Calibri"/>
                <w:sz w:val="20"/>
                <w:szCs w:val="20"/>
              </w:rPr>
            </w:pPr>
            <w:r w:rsidRPr="00E23E88">
              <w:rPr>
                <w:rFonts w:ascii="Calibri" w:hAnsi="Calibri" w:cs="Calibri"/>
                <w:sz w:val="20"/>
                <w:szCs w:val="20"/>
              </w:rPr>
              <w:t>23,2</w:t>
            </w:r>
          </w:p>
        </w:tc>
        <w:tc>
          <w:tcPr>
            <w:tcW w:w="1921" w:type="dxa"/>
          </w:tcPr>
          <w:p w14:paraId="44FE96F7" w14:textId="7500FCE3"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10,5</w:t>
            </w:r>
          </w:p>
        </w:tc>
      </w:tr>
      <w:tr w:rsidR="00D4635D" w:rsidRPr="00E23E88" w14:paraId="3C16C766" w14:textId="0A151B92" w:rsidTr="00D4635D">
        <w:tc>
          <w:tcPr>
            <w:tcW w:w="5637" w:type="dxa"/>
            <w:vAlign w:val="center"/>
          </w:tcPr>
          <w:p w14:paraId="66A43E92" w14:textId="26F240A0"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zavádění a modernizace systémů měření a regulace</w:t>
            </w:r>
          </w:p>
        </w:tc>
        <w:tc>
          <w:tcPr>
            <w:tcW w:w="1984" w:type="dxa"/>
          </w:tcPr>
          <w:p w14:paraId="46015496" w14:textId="0FD5F69E"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15,5</w:t>
            </w:r>
          </w:p>
        </w:tc>
        <w:tc>
          <w:tcPr>
            <w:tcW w:w="1921" w:type="dxa"/>
          </w:tcPr>
          <w:p w14:paraId="6F1FB128" w14:textId="1E62C9BE" w:rsidR="00D4635D" w:rsidRPr="00E23E88" w:rsidRDefault="00D4635D" w:rsidP="00E23E88">
            <w:pPr>
              <w:jc w:val="center"/>
              <w:rPr>
                <w:rFonts w:ascii="Calibri" w:hAnsi="Calibri" w:cs="Calibri"/>
                <w:sz w:val="20"/>
                <w:szCs w:val="20"/>
              </w:rPr>
            </w:pPr>
            <w:r w:rsidRPr="00E23E88">
              <w:rPr>
                <w:rFonts w:ascii="Calibri" w:hAnsi="Calibri" w:cs="Calibri"/>
                <w:sz w:val="20"/>
                <w:szCs w:val="20"/>
              </w:rPr>
              <w:t>7,1</w:t>
            </w:r>
          </w:p>
        </w:tc>
      </w:tr>
      <w:tr w:rsidR="00D4635D" w:rsidRPr="00E23E88" w14:paraId="3C520F70" w14:textId="087DEF29" w:rsidTr="00D4635D">
        <w:tc>
          <w:tcPr>
            <w:tcW w:w="5637" w:type="dxa"/>
            <w:vAlign w:val="center"/>
          </w:tcPr>
          <w:p w14:paraId="50EC63C7" w14:textId="18734948"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modernizace soustav osvětlení budov a průmyslových areálů</w:t>
            </w:r>
          </w:p>
        </w:tc>
        <w:tc>
          <w:tcPr>
            <w:tcW w:w="1984" w:type="dxa"/>
          </w:tcPr>
          <w:p w14:paraId="17BCAD53" w14:textId="5749C4E5" w:rsidR="00D4635D" w:rsidRPr="00E23E88" w:rsidRDefault="00D4635D" w:rsidP="00E23E88">
            <w:pPr>
              <w:jc w:val="center"/>
              <w:rPr>
                <w:rFonts w:ascii="Calibri" w:hAnsi="Calibri" w:cs="Calibri"/>
                <w:sz w:val="20"/>
                <w:szCs w:val="20"/>
              </w:rPr>
            </w:pPr>
            <w:r w:rsidRPr="00E23E88">
              <w:rPr>
                <w:rFonts w:ascii="Calibri" w:hAnsi="Calibri" w:cs="Calibri"/>
                <w:sz w:val="20"/>
                <w:szCs w:val="20"/>
              </w:rPr>
              <w:t>36,4</w:t>
            </w:r>
          </w:p>
        </w:tc>
        <w:tc>
          <w:tcPr>
            <w:tcW w:w="1921" w:type="dxa"/>
          </w:tcPr>
          <w:p w14:paraId="72F12F7A" w14:textId="44136360"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16,6</w:t>
            </w:r>
          </w:p>
        </w:tc>
      </w:tr>
      <w:tr w:rsidR="00D4635D" w:rsidRPr="00E23E88" w14:paraId="11AA95A4" w14:textId="422A1A9D" w:rsidTr="00D4635D">
        <w:tc>
          <w:tcPr>
            <w:tcW w:w="5637" w:type="dxa"/>
            <w:vAlign w:val="center"/>
          </w:tcPr>
          <w:p w14:paraId="3326FDB3" w14:textId="3728E111"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využití odpadní energie ve výrobních procesech</w:t>
            </w:r>
          </w:p>
        </w:tc>
        <w:tc>
          <w:tcPr>
            <w:tcW w:w="1984" w:type="dxa"/>
          </w:tcPr>
          <w:p w14:paraId="79DF96D6" w14:textId="211F0FD1" w:rsidR="00D4635D" w:rsidRPr="00E23E88" w:rsidRDefault="00D4635D" w:rsidP="00E23E88">
            <w:pPr>
              <w:jc w:val="center"/>
              <w:rPr>
                <w:rFonts w:ascii="Calibri" w:hAnsi="Calibri" w:cs="Calibri"/>
                <w:sz w:val="20"/>
                <w:szCs w:val="20"/>
              </w:rPr>
            </w:pPr>
            <w:r w:rsidRPr="00E23E88">
              <w:rPr>
                <w:rFonts w:ascii="Calibri" w:hAnsi="Calibri" w:cs="Calibri"/>
                <w:sz w:val="20"/>
                <w:szCs w:val="20"/>
              </w:rPr>
              <w:t>9,0</w:t>
            </w:r>
          </w:p>
        </w:tc>
        <w:tc>
          <w:tcPr>
            <w:tcW w:w="1921" w:type="dxa"/>
          </w:tcPr>
          <w:p w14:paraId="7A9DD115" w14:textId="3FAE8284" w:rsidR="00D4635D" w:rsidRPr="00E23E88" w:rsidRDefault="00D4635D" w:rsidP="00E23E88">
            <w:pPr>
              <w:jc w:val="center"/>
              <w:rPr>
                <w:rFonts w:ascii="Calibri" w:hAnsi="Calibri" w:cs="Calibri"/>
                <w:sz w:val="20"/>
                <w:szCs w:val="20"/>
              </w:rPr>
            </w:pPr>
            <w:r w:rsidRPr="00E23E88">
              <w:rPr>
                <w:rFonts w:ascii="Calibri" w:hAnsi="Calibri" w:cs="Calibri"/>
                <w:sz w:val="20"/>
                <w:szCs w:val="20"/>
              </w:rPr>
              <w:t>4,1</w:t>
            </w:r>
          </w:p>
        </w:tc>
      </w:tr>
      <w:tr w:rsidR="00D4635D" w:rsidRPr="00E23E88" w14:paraId="545B54A0" w14:textId="39E24379" w:rsidTr="00D4635D">
        <w:tc>
          <w:tcPr>
            <w:tcW w:w="5637" w:type="dxa"/>
            <w:vAlign w:val="center"/>
          </w:tcPr>
          <w:p w14:paraId="583B7ED5" w14:textId="120B2424"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lastRenderedPageBreak/>
              <w:t>Úsporná opatření v podobě snižování energetické náročnosti / zvyšování energetické účinnosti výrobních a technologických procesů</w:t>
            </w:r>
          </w:p>
        </w:tc>
        <w:tc>
          <w:tcPr>
            <w:tcW w:w="1984" w:type="dxa"/>
          </w:tcPr>
          <w:p w14:paraId="7D7D8B70" w14:textId="23AFF7FD" w:rsidR="00D4635D" w:rsidRPr="00E23E88" w:rsidRDefault="00D4635D" w:rsidP="00E23E88">
            <w:pPr>
              <w:jc w:val="center"/>
              <w:rPr>
                <w:rFonts w:ascii="Calibri" w:hAnsi="Calibri" w:cs="Calibri"/>
                <w:sz w:val="20"/>
                <w:szCs w:val="20"/>
              </w:rPr>
            </w:pPr>
            <w:r w:rsidRPr="00E23E88">
              <w:rPr>
                <w:rFonts w:ascii="Calibri" w:hAnsi="Calibri" w:cs="Calibri"/>
                <w:sz w:val="20"/>
                <w:szCs w:val="20"/>
              </w:rPr>
              <w:t>32,8</w:t>
            </w:r>
          </w:p>
        </w:tc>
        <w:tc>
          <w:tcPr>
            <w:tcW w:w="1921" w:type="dxa"/>
          </w:tcPr>
          <w:p w14:paraId="0A8B0BEA" w14:textId="30C958FD"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14,9</w:t>
            </w:r>
          </w:p>
        </w:tc>
      </w:tr>
      <w:tr w:rsidR="00D4635D" w:rsidRPr="00E23E88" w14:paraId="5BFF6F6A" w14:textId="226B3DAC" w:rsidTr="00D4635D">
        <w:tc>
          <w:tcPr>
            <w:tcW w:w="5637" w:type="dxa"/>
            <w:vAlign w:val="center"/>
          </w:tcPr>
          <w:p w14:paraId="4ECA7197" w14:textId="61F9A559"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instalace obnovitelných zdrojů pro vlastní spotřebu podniku</w:t>
            </w:r>
          </w:p>
        </w:tc>
        <w:tc>
          <w:tcPr>
            <w:tcW w:w="1984" w:type="dxa"/>
          </w:tcPr>
          <w:p w14:paraId="4774842C" w14:textId="1D3C58BB"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19,2</w:t>
            </w:r>
          </w:p>
        </w:tc>
        <w:tc>
          <w:tcPr>
            <w:tcW w:w="1921" w:type="dxa"/>
          </w:tcPr>
          <w:p w14:paraId="3394B7F9" w14:textId="2F24CF28" w:rsidR="00D4635D" w:rsidRPr="00E23E88" w:rsidRDefault="00D4635D" w:rsidP="00E23E88">
            <w:pPr>
              <w:jc w:val="center"/>
              <w:rPr>
                <w:rFonts w:ascii="Calibri" w:hAnsi="Calibri" w:cs="Calibri"/>
                <w:sz w:val="20"/>
                <w:szCs w:val="20"/>
              </w:rPr>
            </w:pPr>
            <w:r w:rsidRPr="00E23E88">
              <w:rPr>
                <w:rFonts w:ascii="Calibri" w:hAnsi="Calibri" w:cs="Calibri"/>
                <w:sz w:val="20"/>
                <w:szCs w:val="20"/>
              </w:rPr>
              <w:t>8,7</w:t>
            </w:r>
          </w:p>
        </w:tc>
      </w:tr>
      <w:tr w:rsidR="00D4635D" w:rsidRPr="00E23E88" w14:paraId="20C82AC1" w14:textId="2D8F261C" w:rsidTr="00D4635D">
        <w:tc>
          <w:tcPr>
            <w:tcW w:w="5637" w:type="dxa"/>
            <w:vAlign w:val="bottom"/>
          </w:tcPr>
          <w:p w14:paraId="716210C5" w14:textId="31FF9351" w:rsidR="00D4635D" w:rsidRPr="00E23E88" w:rsidRDefault="00D4635D" w:rsidP="00395BC2">
            <w:pPr>
              <w:rPr>
                <w:rFonts w:ascii="Calibri" w:hAnsi="Calibri" w:cs="Calibri"/>
                <w:sz w:val="20"/>
                <w:szCs w:val="20"/>
              </w:rPr>
            </w:pPr>
            <w:r w:rsidRPr="00E23E88">
              <w:rPr>
                <w:rFonts w:ascii="Calibri" w:hAnsi="Calibri" w:cs="Calibri"/>
                <w:color w:val="000000"/>
                <w:sz w:val="20"/>
                <w:szCs w:val="20"/>
              </w:rPr>
              <w:t>Úsporná opatření v podobě instalace kogenerační jednotky s maximálním využitím elektrické a tepelné energie pro vlastní spotřebu podniku</w:t>
            </w:r>
          </w:p>
        </w:tc>
        <w:tc>
          <w:tcPr>
            <w:tcW w:w="1984" w:type="dxa"/>
          </w:tcPr>
          <w:p w14:paraId="5A2A388C" w14:textId="5E2793E8" w:rsidR="00D4635D" w:rsidRPr="00E23E88" w:rsidRDefault="00D4635D" w:rsidP="00E23E88">
            <w:pPr>
              <w:jc w:val="center"/>
              <w:rPr>
                <w:rFonts w:ascii="Calibri" w:hAnsi="Calibri" w:cs="Calibri"/>
                <w:sz w:val="20"/>
                <w:szCs w:val="20"/>
              </w:rPr>
            </w:pPr>
            <w:r w:rsidRPr="00E23E88">
              <w:rPr>
                <w:rFonts w:ascii="Calibri" w:hAnsi="Calibri" w:cs="Calibri"/>
                <w:sz w:val="20"/>
                <w:szCs w:val="20"/>
              </w:rPr>
              <w:t>1,4</w:t>
            </w:r>
          </w:p>
        </w:tc>
        <w:tc>
          <w:tcPr>
            <w:tcW w:w="1921" w:type="dxa"/>
          </w:tcPr>
          <w:p w14:paraId="413E53DC" w14:textId="2F621B27" w:rsidR="00D4635D" w:rsidRPr="00E23E88" w:rsidRDefault="00D4635D" w:rsidP="00E23E88">
            <w:pPr>
              <w:jc w:val="center"/>
              <w:rPr>
                <w:rFonts w:ascii="Calibri" w:hAnsi="Calibri" w:cs="Calibri"/>
                <w:sz w:val="20"/>
                <w:szCs w:val="20"/>
              </w:rPr>
            </w:pPr>
            <w:r w:rsidRPr="00E23E88">
              <w:rPr>
                <w:rFonts w:ascii="Calibri" w:hAnsi="Calibri" w:cs="Calibri"/>
                <w:sz w:val="20"/>
                <w:szCs w:val="20"/>
              </w:rPr>
              <w:t>0,6</w:t>
            </w:r>
          </w:p>
        </w:tc>
      </w:tr>
      <w:tr w:rsidR="00D4635D" w:rsidRPr="00E23E88" w14:paraId="42CACDD3" w14:textId="52746B93" w:rsidTr="00D4635D">
        <w:tc>
          <w:tcPr>
            <w:tcW w:w="5637" w:type="dxa"/>
            <w:vAlign w:val="center"/>
          </w:tcPr>
          <w:p w14:paraId="3A1CE410" w14:textId="4321A1F5" w:rsidR="00D4635D" w:rsidRPr="00E23E88" w:rsidRDefault="00D4635D" w:rsidP="00395BC2">
            <w:pPr>
              <w:rPr>
                <w:rFonts w:ascii="Calibri" w:hAnsi="Calibri" w:cs="Calibri"/>
                <w:sz w:val="20"/>
                <w:szCs w:val="20"/>
              </w:rPr>
            </w:pPr>
            <w:r w:rsidRPr="00E23E88">
              <w:rPr>
                <w:rFonts w:ascii="Calibri" w:hAnsi="Calibri" w:cstheme="minorHAnsi"/>
                <w:color w:val="000000"/>
                <w:sz w:val="20"/>
                <w:szCs w:val="20"/>
              </w:rPr>
              <w:t>Úsporná opatření v podobě modernizace a rekonstrukce stávajících zařízení na výrobu energie pro vlastní spotřebu vedoucí ke zvýšení její účinnosti</w:t>
            </w:r>
          </w:p>
        </w:tc>
        <w:tc>
          <w:tcPr>
            <w:tcW w:w="1984" w:type="dxa"/>
          </w:tcPr>
          <w:p w14:paraId="01660B44" w14:textId="79911111" w:rsidR="00D4635D" w:rsidRPr="00E23E88" w:rsidRDefault="00D4635D" w:rsidP="00E23E88">
            <w:pPr>
              <w:jc w:val="center"/>
              <w:rPr>
                <w:rFonts w:ascii="Calibri" w:hAnsi="Calibri" w:cs="Calibri"/>
                <w:sz w:val="20"/>
                <w:szCs w:val="20"/>
              </w:rPr>
            </w:pPr>
            <w:r w:rsidRPr="00E23E88">
              <w:rPr>
                <w:rFonts w:ascii="Calibri" w:hAnsi="Calibri" w:cs="Calibri"/>
                <w:sz w:val="20"/>
                <w:szCs w:val="20"/>
              </w:rPr>
              <w:t>20,6</w:t>
            </w:r>
          </w:p>
        </w:tc>
        <w:tc>
          <w:tcPr>
            <w:tcW w:w="1921" w:type="dxa"/>
          </w:tcPr>
          <w:p w14:paraId="7397D0A9" w14:textId="4D48A8D2" w:rsidR="00D4635D" w:rsidRPr="00E23E88" w:rsidRDefault="00D4635D" w:rsidP="00E23E88">
            <w:pPr>
              <w:jc w:val="center"/>
              <w:rPr>
                <w:rFonts w:ascii="Calibri" w:hAnsi="Calibri" w:cs="Calibri"/>
                <w:sz w:val="20"/>
                <w:szCs w:val="20"/>
              </w:rPr>
            </w:pPr>
            <w:r w:rsidRPr="00E23E88">
              <w:rPr>
                <w:rFonts w:ascii="Calibri" w:hAnsi="Calibri" w:cs="Calibri"/>
                <w:sz w:val="20"/>
                <w:szCs w:val="20"/>
              </w:rPr>
              <w:t>9,4</w:t>
            </w:r>
          </w:p>
        </w:tc>
      </w:tr>
    </w:tbl>
    <w:p w14:paraId="0E273EC7" w14:textId="77777777" w:rsidR="00E23E88" w:rsidRDefault="00E23E88" w:rsidP="00C36567">
      <w:pPr>
        <w:spacing w:after="0"/>
        <w:rPr>
          <w:lang w:eastAsia="sk-SK"/>
        </w:rPr>
      </w:pPr>
    </w:p>
    <w:p w14:paraId="5EE76DE1" w14:textId="32404182" w:rsidR="002929F2" w:rsidRDefault="005550B9" w:rsidP="00C36567">
      <w:pPr>
        <w:spacing w:after="0"/>
        <w:rPr>
          <w:lang w:eastAsia="sk-SK"/>
        </w:rPr>
      </w:pPr>
      <w:r>
        <w:rPr>
          <w:lang w:eastAsia="sk-SK"/>
        </w:rPr>
        <w:t>Výše uvedená data za počet podpořených aktivit byla základem pro výpočet podílu podpořených aktivit z hlediska výše podpory. V důsledku omezené datové základny (dataset obsahoval pouze informace o celkových způsobilých nákladech a příspěvk</w:t>
      </w:r>
      <w:r w:rsidR="00465488">
        <w:rPr>
          <w:lang w:eastAsia="sk-SK"/>
        </w:rPr>
        <w:t>u</w:t>
      </w:r>
      <w:r>
        <w:rPr>
          <w:lang w:eastAsia="sk-SK"/>
        </w:rPr>
        <w:t xml:space="preserve"> EU) musel hodnotitel přistoupit k výpočtu procentuálního rozložení typů podporovaných aktivit z hlediska výše podpory dle </w:t>
      </w:r>
      <w:r w:rsidR="00465488">
        <w:rPr>
          <w:lang w:eastAsia="sk-SK"/>
        </w:rPr>
        <w:t xml:space="preserve">odpovědí respondentů </w:t>
      </w:r>
      <w:r>
        <w:rPr>
          <w:lang w:eastAsia="sk-SK"/>
        </w:rPr>
        <w:t xml:space="preserve">v dotazníkovém šetření. </w:t>
      </w:r>
      <w:r w:rsidR="002929F2">
        <w:rPr>
          <w:lang w:eastAsia="sk-SK"/>
        </w:rPr>
        <w:t xml:space="preserve">Respondenti byli dotazováni nejen na to, jaké podporované aktivity v rámci projektu realizovali, ale také na rámcové finanční náklady na tyto aktivity. </w:t>
      </w:r>
      <w:r w:rsidR="00465488">
        <w:rPr>
          <w:lang w:eastAsia="sk-SK"/>
        </w:rPr>
        <w:t>O účast na dotazníkovém šetření byli požádáni žadatelé o dotaci, jejichž projekt byl ke konci roku 2018 ve stavu finančně či fyzicky ukončen, či realizován</w:t>
      </w:r>
      <w:r w:rsidR="00566ECE">
        <w:rPr>
          <w:rStyle w:val="Znakapoznpodarou"/>
          <w:lang w:eastAsia="sk-SK"/>
        </w:rPr>
        <w:footnoteReference w:id="16"/>
      </w:r>
      <w:r w:rsidR="00465488">
        <w:rPr>
          <w:lang w:eastAsia="sk-SK"/>
        </w:rPr>
        <w:t xml:space="preserve">. </w:t>
      </w:r>
      <w:r w:rsidR="00566ECE">
        <w:rPr>
          <w:lang w:eastAsia="sk-SK"/>
        </w:rPr>
        <w:t>Osloveno bylo 498 příjemců dotace, přičemž vyplněný dotazník zaslalo 151 z</w:t>
      </w:r>
      <w:r w:rsidR="002929F2">
        <w:rPr>
          <w:lang w:eastAsia="sk-SK"/>
        </w:rPr>
        <w:t> </w:t>
      </w:r>
      <w:r w:rsidR="00566ECE">
        <w:rPr>
          <w:lang w:eastAsia="sk-SK"/>
        </w:rPr>
        <w:t>nich</w:t>
      </w:r>
      <w:r w:rsidR="002929F2">
        <w:rPr>
          <w:lang w:eastAsia="sk-SK"/>
        </w:rPr>
        <w:t xml:space="preserve">. Takto vysoká návratnost dotazníku (30,3 %) tak umožnila hodnotiteli získat nejen poměrně přesné informace o počtu realizovaných aktivit, ale zejména relevantní data ohledně rozložení nákladů na jednotlivé typy podporovaných aktivit. Respondenti dotazníkového šetření </w:t>
      </w:r>
      <w:r w:rsidR="00A708C8">
        <w:rPr>
          <w:lang w:eastAsia="sk-SK"/>
        </w:rPr>
        <w:t>představují</w:t>
      </w:r>
      <w:r w:rsidR="002929F2">
        <w:rPr>
          <w:lang w:eastAsia="sk-SK"/>
        </w:rPr>
        <w:t xml:space="preserve"> 21 % podpořených příjemc</w:t>
      </w:r>
      <w:r w:rsidR="00A708C8">
        <w:rPr>
          <w:lang w:eastAsia="sk-SK"/>
        </w:rPr>
        <w:t>ů, z hlediska nákladů projektů pokrývají třetinu projektů. Na základě těchto informací je tedy zřejmé, že do dotazníku byly častěji uváděny informace za větší projekty. Zatímco výše podpory na průměrný projekt je 3,9 mil. Kč, průměrným projektem z dotazníkového šetření je projekt s podporou 5,4 mil. Kč.</w:t>
      </w:r>
    </w:p>
    <w:p w14:paraId="661DEEC4" w14:textId="77777777" w:rsidR="00C36567" w:rsidRDefault="00C36567" w:rsidP="00C36567">
      <w:pPr>
        <w:spacing w:after="0"/>
        <w:rPr>
          <w:lang w:eastAsia="sk-SK"/>
        </w:rPr>
      </w:pPr>
    </w:p>
    <w:p w14:paraId="57D4EAF5" w14:textId="78C57502" w:rsidR="006C39C7" w:rsidRDefault="00465488" w:rsidP="00C36567">
      <w:pPr>
        <w:spacing w:after="0"/>
        <w:rPr>
          <w:lang w:eastAsia="sk-SK"/>
        </w:rPr>
      </w:pPr>
      <w:r>
        <w:rPr>
          <w:lang w:eastAsia="sk-SK"/>
        </w:rPr>
        <w:t>Na základě identifikačních údajů respondenta byla provedena kontrola celkových způsobilých nákladů projektu</w:t>
      </w:r>
      <w:r w:rsidR="002929F2">
        <w:rPr>
          <w:lang w:eastAsia="sk-SK"/>
        </w:rPr>
        <w:t>, příp. korekce chyb</w:t>
      </w:r>
      <w:r>
        <w:rPr>
          <w:lang w:eastAsia="sk-SK"/>
        </w:rPr>
        <w:t xml:space="preserve"> a následně vypočten příspěvek EU na tento projekt. </w:t>
      </w:r>
      <w:r w:rsidR="002929F2">
        <w:rPr>
          <w:lang w:eastAsia="sk-SK"/>
        </w:rPr>
        <w:t xml:space="preserve">Na závěr byl proveden výpočet procentuálního rozložení jednotlivých typů podporovaných aktivit z hlediska </w:t>
      </w:r>
      <w:r w:rsidR="00AF103C">
        <w:rPr>
          <w:lang w:eastAsia="sk-SK"/>
        </w:rPr>
        <w:t xml:space="preserve">výše </w:t>
      </w:r>
      <w:r w:rsidR="002929F2">
        <w:rPr>
          <w:lang w:eastAsia="sk-SK"/>
        </w:rPr>
        <w:t>jejich podpory.</w:t>
      </w:r>
      <w:r w:rsidR="00A708C8">
        <w:rPr>
          <w:lang w:eastAsia="sk-SK"/>
        </w:rPr>
        <w:t xml:space="preserve"> </w:t>
      </w:r>
      <w:r w:rsidR="0035279E">
        <w:rPr>
          <w:lang w:eastAsia="sk-SK"/>
        </w:rPr>
        <w:t>V případě podporovaných aktivit, jejichž podíl v dotazníku se výrazně lišil od rozložení v datasetu, bylo přistoupeno k mírné korekci této hodnoty (na základě absolutního počtu těchto aktivit realizovaných v projektech, relevanci průměrných nákladů na zajištění této aktivity apod.)</w:t>
      </w:r>
      <w:r w:rsidR="00BC7C0C">
        <w:rPr>
          <w:lang w:eastAsia="sk-SK"/>
        </w:rPr>
        <w:t>.</w:t>
      </w:r>
      <w:r w:rsidR="0035279E">
        <w:rPr>
          <w:lang w:eastAsia="sk-SK"/>
        </w:rPr>
        <w:t xml:space="preserve"> </w:t>
      </w:r>
      <w:r w:rsidR="00A708C8">
        <w:rPr>
          <w:lang w:eastAsia="sk-SK"/>
        </w:rPr>
        <w:t xml:space="preserve">Výstup tohoto metodického postupu je aproximací reálného rozložení výše podpory na jednotlivé typy podporovaných aktivit. </w:t>
      </w:r>
    </w:p>
    <w:p w14:paraId="4A26C157" w14:textId="162B0E2F" w:rsidR="00C36567" w:rsidRDefault="00C36567" w:rsidP="00C36567">
      <w:pPr>
        <w:spacing w:after="0"/>
        <w:rPr>
          <w:lang w:eastAsia="sk-SK"/>
        </w:rPr>
      </w:pPr>
    </w:p>
    <w:p w14:paraId="0CCBE842" w14:textId="77777777" w:rsidR="007A2593" w:rsidRDefault="007A2593" w:rsidP="00C36567">
      <w:pPr>
        <w:spacing w:after="0"/>
        <w:rPr>
          <w:lang w:eastAsia="sk-SK"/>
        </w:rPr>
      </w:pPr>
    </w:p>
    <w:p w14:paraId="7BAC8363" w14:textId="2FEDEBA5" w:rsidR="00BC7C0C" w:rsidRDefault="00BC7C0C" w:rsidP="00BC7C0C">
      <w:pPr>
        <w:pStyle w:val="Titulek"/>
      </w:pPr>
      <w:bookmarkStart w:id="123" w:name="_Toc10730028"/>
      <w:r w:rsidRPr="009A488D">
        <w:lastRenderedPageBreak/>
        <w:t xml:space="preserve">Tabulka </w:t>
      </w:r>
      <w:r w:rsidRPr="009A488D">
        <w:rPr>
          <w:noProof/>
        </w:rPr>
        <w:fldChar w:fldCharType="begin"/>
      </w:r>
      <w:r w:rsidRPr="009A488D">
        <w:rPr>
          <w:noProof/>
        </w:rPr>
        <w:instrText xml:space="preserve"> SEQ Tabulka \* ARABIC </w:instrText>
      </w:r>
      <w:r w:rsidRPr="009A488D">
        <w:rPr>
          <w:noProof/>
        </w:rPr>
        <w:fldChar w:fldCharType="separate"/>
      </w:r>
      <w:r w:rsidR="00E12F39">
        <w:rPr>
          <w:noProof/>
        </w:rPr>
        <w:t>9</w:t>
      </w:r>
      <w:r w:rsidRPr="009A488D">
        <w:rPr>
          <w:noProof/>
        </w:rPr>
        <w:fldChar w:fldCharType="end"/>
      </w:r>
      <w:r w:rsidRPr="009A488D">
        <w:t xml:space="preserve">: </w:t>
      </w:r>
      <w:r w:rsidR="009A488D" w:rsidRPr="009A488D">
        <w:t>Rozložení výše dotace dle podporovaných aktivit</w:t>
      </w:r>
      <w:bookmarkEnd w:id="123"/>
    </w:p>
    <w:tbl>
      <w:tblPr>
        <w:tblStyle w:val="Svtlmkatabulky1"/>
        <w:tblW w:w="5000" w:type="pct"/>
        <w:tblLook w:val="04A0" w:firstRow="1" w:lastRow="0" w:firstColumn="1" w:lastColumn="0" w:noHBand="0" w:noVBand="1"/>
      </w:tblPr>
      <w:tblGrid>
        <w:gridCol w:w="4397"/>
        <w:gridCol w:w="1800"/>
        <w:gridCol w:w="1660"/>
        <w:gridCol w:w="1459"/>
      </w:tblGrid>
      <w:tr w:rsidR="00BC7C0C" w:rsidRPr="00A2131E" w14:paraId="2812E657" w14:textId="14BFD77C" w:rsidTr="00BC7C0C">
        <w:tc>
          <w:tcPr>
            <w:tcW w:w="2360" w:type="pct"/>
            <w:shd w:val="clear" w:color="auto" w:fill="002060"/>
          </w:tcPr>
          <w:p w14:paraId="455608FF" w14:textId="77777777" w:rsidR="00BC7C0C" w:rsidRPr="00A2131E" w:rsidRDefault="00BC7C0C" w:rsidP="00395BC2">
            <w:pPr>
              <w:rPr>
                <w:rFonts w:ascii="Calibri" w:hAnsi="Calibri" w:cs="Calibri"/>
                <w:b/>
                <w:sz w:val="20"/>
                <w:szCs w:val="20"/>
              </w:rPr>
            </w:pPr>
          </w:p>
        </w:tc>
        <w:tc>
          <w:tcPr>
            <w:tcW w:w="966" w:type="pct"/>
            <w:shd w:val="clear" w:color="auto" w:fill="002060"/>
            <w:vAlign w:val="bottom"/>
          </w:tcPr>
          <w:p w14:paraId="10A4024B" w14:textId="1B668B1D" w:rsidR="00BC7C0C" w:rsidRPr="00A2131E" w:rsidRDefault="00BC7C0C" w:rsidP="00395BC2">
            <w:pPr>
              <w:jc w:val="center"/>
              <w:rPr>
                <w:rFonts w:ascii="Calibri" w:hAnsi="Calibri" w:cs="Calibri"/>
                <w:b/>
                <w:color w:val="FFFFFF" w:themeColor="background1"/>
                <w:sz w:val="20"/>
                <w:szCs w:val="20"/>
              </w:rPr>
            </w:pPr>
            <w:r w:rsidRPr="00A2131E">
              <w:rPr>
                <w:rFonts w:ascii="Calibri" w:hAnsi="Calibri" w:cs="Calibri"/>
                <w:b/>
                <w:color w:val="FFFFFF" w:themeColor="background1"/>
                <w:sz w:val="20"/>
                <w:szCs w:val="20"/>
              </w:rPr>
              <w:t>Podíl podporované aktivity na celkové poskytnuté výši podpory (%)</w:t>
            </w:r>
          </w:p>
        </w:tc>
        <w:tc>
          <w:tcPr>
            <w:tcW w:w="891" w:type="pct"/>
            <w:shd w:val="clear" w:color="auto" w:fill="002060"/>
            <w:vAlign w:val="bottom"/>
          </w:tcPr>
          <w:p w14:paraId="7EF8C10C" w14:textId="37C05FB7" w:rsidR="00BC7C0C" w:rsidRPr="00A2131E" w:rsidRDefault="00BC7C0C" w:rsidP="00395BC2">
            <w:pPr>
              <w:jc w:val="center"/>
              <w:rPr>
                <w:rFonts w:ascii="Calibri" w:hAnsi="Calibri" w:cs="Calibri"/>
                <w:b/>
                <w:color w:val="FFFFFF" w:themeColor="background1"/>
                <w:sz w:val="20"/>
                <w:szCs w:val="20"/>
              </w:rPr>
            </w:pPr>
            <w:r w:rsidRPr="00A2131E">
              <w:rPr>
                <w:rFonts w:ascii="Calibri" w:hAnsi="Calibri" w:cs="Calibri"/>
                <w:b/>
                <w:color w:val="FFFFFF" w:themeColor="background1"/>
                <w:sz w:val="20"/>
                <w:szCs w:val="20"/>
              </w:rPr>
              <w:t>Výše podpory na podporovanou aktivitu z celkové výše podpory</w:t>
            </w:r>
          </w:p>
        </w:tc>
        <w:tc>
          <w:tcPr>
            <w:tcW w:w="784" w:type="pct"/>
            <w:shd w:val="clear" w:color="auto" w:fill="002060"/>
          </w:tcPr>
          <w:p w14:paraId="1EBA79A1" w14:textId="06441CA9" w:rsidR="00BC7C0C" w:rsidRPr="00A2131E" w:rsidRDefault="00BC7C0C" w:rsidP="00BC7C0C">
            <w:pPr>
              <w:jc w:val="center"/>
              <w:rPr>
                <w:rFonts w:ascii="Calibri" w:hAnsi="Calibri" w:cs="Calibri"/>
                <w:b/>
                <w:color w:val="FFFFFF" w:themeColor="background1"/>
                <w:sz w:val="20"/>
                <w:szCs w:val="20"/>
              </w:rPr>
            </w:pPr>
            <w:r w:rsidRPr="00A2131E">
              <w:rPr>
                <w:rFonts w:ascii="Calibri" w:hAnsi="Calibri" w:cs="Calibri"/>
                <w:b/>
                <w:color w:val="FFFFFF" w:themeColor="background1"/>
                <w:sz w:val="20"/>
                <w:szCs w:val="20"/>
              </w:rPr>
              <w:t>Průměrná výše podpory na podporovanou aktivitu</w:t>
            </w:r>
          </w:p>
        </w:tc>
      </w:tr>
      <w:tr w:rsidR="00BC7C0C" w:rsidRPr="00E23E88" w14:paraId="50B9C065" w14:textId="72D8D733" w:rsidTr="00BC7C0C">
        <w:tc>
          <w:tcPr>
            <w:tcW w:w="2360" w:type="pct"/>
            <w:vAlign w:val="center"/>
          </w:tcPr>
          <w:p w14:paraId="781B708B"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snižování energetické náročnosti budov (zateplení, výměna a renovace otvorových výplní apod.)</w:t>
            </w:r>
          </w:p>
        </w:tc>
        <w:tc>
          <w:tcPr>
            <w:tcW w:w="966" w:type="pct"/>
            <w:vAlign w:val="center"/>
          </w:tcPr>
          <w:p w14:paraId="4FB975A3" w14:textId="652C42DC"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44,66%</w:t>
            </w:r>
          </w:p>
        </w:tc>
        <w:tc>
          <w:tcPr>
            <w:tcW w:w="891" w:type="pct"/>
            <w:vAlign w:val="center"/>
          </w:tcPr>
          <w:p w14:paraId="18E2D2B2" w14:textId="272E5163"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621 762 160</w:t>
            </w:r>
          </w:p>
        </w:tc>
        <w:tc>
          <w:tcPr>
            <w:tcW w:w="784" w:type="pct"/>
            <w:vAlign w:val="center"/>
          </w:tcPr>
          <w:p w14:paraId="03C4A4D6" w14:textId="36F50487"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2 839 097</w:t>
            </w:r>
          </w:p>
        </w:tc>
      </w:tr>
      <w:tr w:rsidR="00BC7C0C" w:rsidRPr="00E23E88" w14:paraId="22769A25" w14:textId="29F44909" w:rsidTr="00BC7C0C">
        <w:tc>
          <w:tcPr>
            <w:tcW w:w="2360" w:type="pct"/>
            <w:vAlign w:val="center"/>
          </w:tcPr>
          <w:p w14:paraId="0116B258"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rozvodů elektřiny, plynu a tepla v budovách</w:t>
            </w:r>
          </w:p>
        </w:tc>
        <w:tc>
          <w:tcPr>
            <w:tcW w:w="966" w:type="pct"/>
            <w:vAlign w:val="center"/>
          </w:tcPr>
          <w:p w14:paraId="5EC490AA" w14:textId="65203C0A"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4,09%</w:t>
            </w:r>
          </w:p>
        </w:tc>
        <w:tc>
          <w:tcPr>
            <w:tcW w:w="891" w:type="pct"/>
            <w:vAlign w:val="center"/>
          </w:tcPr>
          <w:p w14:paraId="35EEBA87" w14:textId="0A3A0132"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56 888 181</w:t>
            </w:r>
          </w:p>
        </w:tc>
        <w:tc>
          <w:tcPr>
            <w:tcW w:w="784" w:type="pct"/>
            <w:vAlign w:val="center"/>
          </w:tcPr>
          <w:p w14:paraId="1BA2A6F4" w14:textId="6E4CA3EB"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693 758</w:t>
            </w:r>
          </w:p>
        </w:tc>
      </w:tr>
      <w:tr w:rsidR="00BC7C0C" w:rsidRPr="00E23E88" w14:paraId="16C8767B" w14:textId="49EB9976" w:rsidTr="00BC7C0C">
        <w:tc>
          <w:tcPr>
            <w:tcW w:w="2360" w:type="pct"/>
            <w:vAlign w:val="center"/>
          </w:tcPr>
          <w:p w14:paraId="3B0453C2"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zavádění a modernizace systémů měření a regulace</w:t>
            </w:r>
          </w:p>
        </w:tc>
        <w:tc>
          <w:tcPr>
            <w:tcW w:w="966" w:type="pct"/>
            <w:vAlign w:val="center"/>
          </w:tcPr>
          <w:p w14:paraId="300E1CE8" w14:textId="6BB91896"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0,97%</w:t>
            </w:r>
          </w:p>
        </w:tc>
        <w:tc>
          <w:tcPr>
            <w:tcW w:w="891" w:type="pct"/>
            <w:vAlign w:val="center"/>
          </w:tcPr>
          <w:p w14:paraId="2877CB8C" w14:textId="5B27AB62"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13 498 367</w:t>
            </w:r>
          </w:p>
        </w:tc>
        <w:tc>
          <w:tcPr>
            <w:tcW w:w="784" w:type="pct"/>
            <w:vAlign w:val="center"/>
          </w:tcPr>
          <w:p w14:paraId="6E6B0DE5" w14:textId="1BE6AC44"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245 425</w:t>
            </w:r>
          </w:p>
        </w:tc>
      </w:tr>
      <w:tr w:rsidR="00BC7C0C" w:rsidRPr="00E23E88" w14:paraId="6C59CEED" w14:textId="1C00F5B7" w:rsidTr="00BC7C0C">
        <w:tc>
          <w:tcPr>
            <w:tcW w:w="2360" w:type="pct"/>
            <w:vAlign w:val="center"/>
          </w:tcPr>
          <w:p w14:paraId="2375FE23"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modernizace soustav osvětlení budov a průmyslových areálů</w:t>
            </w:r>
          </w:p>
        </w:tc>
        <w:tc>
          <w:tcPr>
            <w:tcW w:w="966" w:type="pct"/>
            <w:vAlign w:val="center"/>
          </w:tcPr>
          <w:p w14:paraId="00A35A10" w14:textId="61A05305"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3,98%</w:t>
            </w:r>
          </w:p>
        </w:tc>
        <w:tc>
          <w:tcPr>
            <w:tcW w:w="891" w:type="pct"/>
            <w:vAlign w:val="center"/>
          </w:tcPr>
          <w:p w14:paraId="15C2C705" w14:textId="661431C5"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55 474 304</w:t>
            </w:r>
          </w:p>
        </w:tc>
        <w:tc>
          <w:tcPr>
            <w:tcW w:w="784" w:type="pct"/>
            <w:vAlign w:val="center"/>
          </w:tcPr>
          <w:p w14:paraId="6BDF3A21" w14:textId="2FC635D9"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430 033</w:t>
            </w:r>
          </w:p>
        </w:tc>
      </w:tr>
      <w:tr w:rsidR="00BC7C0C" w:rsidRPr="00E23E88" w14:paraId="58E8E6EA" w14:textId="6DC5FD38" w:rsidTr="00BC7C0C">
        <w:tc>
          <w:tcPr>
            <w:tcW w:w="2360" w:type="pct"/>
            <w:vAlign w:val="center"/>
          </w:tcPr>
          <w:p w14:paraId="4C6443B5"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využití odpadní energie ve výrobních procesech</w:t>
            </w:r>
          </w:p>
        </w:tc>
        <w:tc>
          <w:tcPr>
            <w:tcW w:w="966" w:type="pct"/>
            <w:vAlign w:val="center"/>
          </w:tcPr>
          <w:p w14:paraId="3D8664AD" w14:textId="177650C2"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1,96%</w:t>
            </w:r>
          </w:p>
        </w:tc>
        <w:tc>
          <w:tcPr>
            <w:tcW w:w="891" w:type="pct"/>
            <w:vAlign w:val="center"/>
          </w:tcPr>
          <w:p w14:paraId="67D1063B" w14:textId="2126681A"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27 348 597</w:t>
            </w:r>
          </w:p>
        </w:tc>
        <w:tc>
          <w:tcPr>
            <w:tcW w:w="784" w:type="pct"/>
            <w:vAlign w:val="center"/>
          </w:tcPr>
          <w:p w14:paraId="5F904980" w14:textId="59745F7F"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854 644</w:t>
            </w:r>
          </w:p>
        </w:tc>
      </w:tr>
      <w:tr w:rsidR="00BC7C0C" w:rsidRPr="00E23E88" w14:paraId="2820706E" w14:textId="3D608C97" w:rsidTr="00BC7C0C">
        <w:tc>
          <w:tcPr>
            <w:tcW w:w="2360" w:type="pct"/>
            <w:vAlign w:val="center"/>
          </w:tcPr>
          <w:p w14:paraId="79EF84E8"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snižování energetické náročnosti / zvyšování energetické účinnosti výrobních a technologických procesů</w:t>
            </w:r>
          </w:p>
        </w:tc>
        <w:tc>
          <w:tcPr>
            <w:tcW w:w="966" w:type="pct"/>
            <w:vAlign w:val="center"/>
          </w:tcPr>
          <w:p w14:paraId="74CAB9AE" w14:textId="3A9D0640"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38,96%</w:t>
            </w:r>
          </w:p>
        </w:tc>
        <w:tc>
          <w:tcPr>
            <w:tcW w:w="891" w:type="pct"/>
            <w:vAlign w:val="center"/>
          </w:tcPr>
          <w:p w14:paraId="20423CBA" w14:textId="30E6675C"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542 322 400</w:t>
            </w:r>
          </w:p>
        </w:tc>
        <w:tc>
          <w:tcPr>
            <w:tcW w:w="784" w:type="pct"/>
            <w:vAlign w:val="center"/>
          </w:tcPr>
          <w:p w14:paraId="3BFE5592" w14:textId="12180845"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4 675 193</w:t>
            </w:r>
          </w:p>
        </w:tc>
      </w:tr>
      <w:tr w:rsidR="00BC7C0C" w:rsidRPr="00E23E88" w14:paraId="7245C8F8" w14:textId="27259E47" w:rsidTr="00BC7C0C">
        <w:tc>
          <w:tcPr>
            <w:tcW w:w="2360" w:type="pct"/>
            <w:vAlign w:val="center"/>
          </w:tcPr>
          <w:p w14:paraId="7F860306"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instalace obnovitelných zdrojů pro vlastní spotřebu podniku</w:t>
            </w:r>
          </w:p>
        </w:tc>
        <w:tc>
          <w:tcPr>
            <w:tcW w:w="966" w:type="pct"/>
            <w:vAlign w:val="center"/>
          </w:tcPr>
          <w:p w14:paraId="532EFFEE" w14:textId="4A3B1F3A"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1,53%</w:t>
            </w:r>
          </w:p>
        </w:tc>
        <w:tc>
          <w:tcPr>
            <w:tcW w:w="891" w:type="pct"/>
            <w:vAlign w:val="center"/>
          </w:tcPr>
          <w:p w14:paraId="4D1D25F3" w14:textId="33519AE1"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21 338 553</w:t>
            </w:r>
          </w:p>
        </w:tc>
        <w:tc>
          <w:tcPr>
            <w:tcW w:w="784" w:type="pct"/>
            <w:vAlign w:val="center"/>
          </w:tcPr>
          <w:p w14:paraId="6935D445" w14:textId="5CAF7484"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313 802</w:t>
            </w:r>
          </w:p>
        </w:tc>
      </w:tr>
      <w:tr w:rsidR="00BC7C0C" w:rsidRPr="00E23E88" w14:paraId="74B8A613" w14:textId="511D4A09" w:rsidTr="00BC7C0C">
        <w:tc>
          <w:tcPr>
            <w:tcW w:w="2360" w:type="pct"/>
            <w:vAlign w:val="bottom"/>
          </w:tcPr>
          <w:p w14:paraId="7A3BCF4C" w14:textId="77777777" w:rsidR="00BC7C0C" w:rsidRPr="00E23E88" w:rsidRDefault="00BC7C0C" w:rsidP="00395BC2">
            <w:pPr>
              <w:rPr>
                <w:rFonts w:ascii="Calibri" w:hAnsi="Calibri" w:cs="Calibri"/>
                <w:sz w:val="20"/>
                <w:szCs w:val="20"/>
              </w:rPr>
            </w:pPr>
            <w:r w:rsidRPr="00E23E88">
              <w:rPr>
                <w:rFonts w:ascii="Calibri" w:hAnsi="Calibri" w:cs="Calibri"/>
                <w:color w:val="000000"/>
                <w:sz w:val="20"/>
                <w:szCs w:val="20"/>
              </w:rPr>
              <w:t>Úsporná opatření v podobě instalace kogenerační jednotky s maximálním využitím elektrické a tepelné energie pro vlastní spotřebu podniku</w:t>
            </w:r>
          </w:p>
        </w:tc>
        <w:tc>
          <w:tcPr>
            <w:tcW w:w="966" w:type="pct"/>
            <w:vAlign w:val="center"/>
          </w:tcPr>
          <w:p w14:paraId="638C8487" w14:textId="29E9FC0E"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0,32%</w:t>
            </w:r>
          </w:p>
        </w:tc>
        <w:tc>
          <w:tcPr>
            <w:tcW w:w="891" w:type="pct"/>
            <w:vAlign w:val="center"/>
          </w:tcPr>
          <w:p w14:paraId="20C51ADE" w14:textId="51C62D5B"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4 454 814</w:t>
            </w:r>
          </w:p>
        </w:tc>
        <w:tc>
          <w:tcPr>
            <w:tcW w:w="784" w:type="pct"/>
            <w:vAlign w:val="center"/>
          </w:tcPr>
          <w:p w14:paraId="6BAE157B" w14:textId="3AC6ECD4"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890 963</w:t>
            </w:r>
          </w:p>
        </w:tc>
      </w:tr>
      <w:tr w:rsidR="00BC7C0C" w:rsidRPr="00E23E88" w14:paraId="0F298B42" w14:textId="107B0433" w:rsidTr="00BC7C0C">
        <w:tc>
          <w:tcPr>
            <w:tcW w:w="2360" w:type="pct"/>
            <w:vAlign w:val="center"/>
          </w:tcPr>
          <w:p w14:paraId="6AC828AD" w14:textId="77777777" w:rsidR="00BC7C0C" w:rsidRPr="00E23E88" w:rsidRDefault="00BC7C0C" w:rsidP="00395BC2">
            <w:pPr>
              <w:rPr>
                <w:rFonts w:ascii="Calibri" w:hAnsi="Calibri" w:cs="Calibri"/>
                <w:sz w:val="20"/>
                <w:szCs w:val="20"/>
              </w:rPr>
            </w:pPr>
            <w:r w:rsidRPr="00E23E88">
              <w:rPr>
                <w:rFonts w:ascii="Calibri" w:hAnsi="Calibri" w:cstheme="minorHAnsi"/>
                <w:color w:val="000000"/>
                <w:sz w:val="20"/>
                <w:szCs w:val="20"/>
              </w:rPr>
              <w:t>Úsporná opatření v podobě modernizace a rekonstrukce stávajících zařízení na výrobu energie pro vlastní spotřebu vedoucí ke zvýšení její účinnosti</w:t>
            </w:r>
          </w:p>
        </w:tc>
        <w:tc>
          <w:tcPr>
            <w:tcW w:w="966" w:type="pct"/>
            <w:vAlign w:val="center"/>
          </w:tcPr>
          <w:p w14:paraId="1BCD65C4" w14:textId="2CA1DF01" w:rsidR="00BC7C0C" w:rsidRPr="00E23E88" w:rsidRDefault="00BC7C0C" w:rsidP="00395BC2">
            <w:pPr>
              <w:jc w:val="center"/>
              <w:rPr>
                <w:rFonts w:ascii="Calibri" w:hAnsi="Calibri" w:cs="Calibri"/>
                <w:sz w:val="20"/>
                <w:szCs w:val="20"/>
              </w:rPr>
            </w:pPr>
            <w:r>
              <w:rPr>
                <w:rFonts w:ascii="Calibri" w:hAnsi="Calibri" w:cs="Calibri"/>
                <w:color w:val="000000"/>
                <w:sz w:val="20"/>
                <w:szCs w:val="20"/>
              </w:rPr>
              <w:t>3,52%</w:t>
            </w:r>
          </w:p>
        </w:tc>
        <w:tc>
          <w:tcPr>
            <w:tcW w:w="891" w:type="pct"/>
            <w:vAlign w:val="center"/>
          </w:tcPr>
          <w:p w14:paraId="31C5DFDA" w14:textId="48BCC841"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49 042 030</w:t>
            </w:r>
          </w:p>
        </w:tc>
        <w:tc>
          <w:tcPr>
            <w:tcW w:w="784" w:type="pct"/>
            <w:vAlign w:val="center"/>
          </w:tcPr>
          <w:p w14:paraId="5A5CDD63" w14:textId="0D5B4633" w:rsidR="00BC7C0C" w:rsidRPr="00BC7C0C" w:rsidRDefault="00BC7C0C" w:rsidP="00395BC2">
            <w:pPr>
              <w:jc w:val="center"/>
              <w:rPr>
                <w:rFonts w:ascii="Calibri" w:hAnsi="Calibri" w:cs="Calibri"/>
                <w:sz w:val="20"/>
                <w:szCs w:val="20"/>
              </w:rPr>
            </w:pPr>
            <w:r w:rsidRPr="00BC7C0C">
              <w:rPr>
                <w:rFonts w:ascii="Calibri" w:hAnsi="Calibri" w:cs="Calibri"/>
                <w:bCs/>
                <w:color w:val="333333"/>
                <w:sz w:val="20"/>
                <w:szCs w:val="20"/>
              </w:rPr>
              <w:t>671 809</w:t>
            </w:r>
          </w:p>
        </w:tc>
      </w:tr>
    </w:tbl>
    <w:p w14:paraId="1323D62F" w14:textId="77777777" w:rsidR="004A0C58" w:rsidRDefault="004A0C58" w:rsidP="00C36567">
      <w:pPr>
        <w:spacing w:after="0"/>
        <w:rPr>
          <w:lang w:eastAsia="sk-SK"/>
        </w:rPr>
      </w:pPr>
    </w:p>
    <w:p w14:paraId="3E7199F5" w14:textId="4EF3394C" w:rsidR="00BC7C0C" w:rsidRDefault="00AF103C" w:rsidP="00C36567">
      <w:pPr>
        <w:spacing w:after="0"/>
        <w:rPr>
          <w:rFonts w:ascii="Calibri" w:hAnsi="Calibri" w:cs="Calibri"/>
        </w:rPr>
      </w:pPr>
      <w:r>
        <w:rPr>
          <w:rFonts w:ascii="Calibri" w:hAnsi="Calibri" w:cs="Calibri"/>
        </w:rPr>
        <w:t xml:space="preserve">Z poskytnutého datasetu vyplývá, že ukončené projekty byly podpořeny dotací ve </w:t>
      </w:r>
      <w:r w:rsidR="003B4CFB">
        <w:rPr>
          <w:rFonts w:ascii="Calibri" w:hAnsi="Calibri" w:cs="Calibri"/>
        </w:rPr>
        <w:t>výši 1 392</w:t>
      </w:r>
      <w:r w:rsidR="007E5530">
        <w:rPr>
          <w:rFonts w:ascii="Calibri" w:hAnsi="Calibri" w:cs="Calibri"/>
        </w:rPr>
        <w:t xml:space="preserve"> mil. Kč. Nejvyšší podíl z této částky byl vyčerpán na snižování energetické náročnosti budov (téměř 45 %) a na snižování energetické náročnosti, resp. zvyšování energetické účinnosti výrobních a technologických procesů (39 %). Zastoupení ostatních podporovaných aktivit je nízké a podpora na tyto aktivity nepřevyšuje 60 mil. Kč.</w:t>
      </w:r>
      <w:r w:rsidR="00391F3E">
        <w:rPr>
          <w:rFonts w:ascii="Calibri" w:hAnsi="Calibri" w:cs="Calibri"/>
        </w:rPr>
        <w:t xml:space="preserve"> Důvodem nízkých podílů ostatních aktivit na celkové podpoře není počet projektů, v nichž byly tyto aktivity realizovány, ale výrazně nižší náklady na tyto aktivity v porovnání se zateplením budov, výměnou oken či pořízením nového energeticky účinného stroje. </w:t>
      </w:r>
    </w:p>
    <w:p w14:paraId="297B026E" w14:textId="414CD28B" w:rsidR="00D3770C" w:rsidRDefault="00D3770C" w:rsidP="00D3770C">
      <w:pPr>
        <w:pStyle w:val="Nadpis1"/>
        <w:ind w:left="431" w:hanging="431"/>
      </w:pPr>
      <w:bookmarkStart w:id="124" w:name="_Toc4596840"/>
      <w:bookmarkStart w:id="125" w:name="_Toc10729954"/>
      <w:r>
        <w:lastRenderedPageBreak/>
        <w:t>Evaluační otázka 8</w:t>
      </w:r>
      <w:r w:rsidR="00B07F9E">
        <w:t xml:space="preserve"> (ÚE)</w:t>
      </w:r>
      <w:bookmarkEnd w:id="124"/>
      <w:bookmarkEnd w:id="125"/>
    </w:p>
    <w:p w14:paraId="4C653FBA" w14:textId="4EDD77C0" w:rsidR="00B07F9E" w:rsidRPr="00B07F9E" w:rsidRDefault="00B07F9E" w:rsidP="00B07F9E">
      <w:pPr>
        <w:spacing w:after="0"/>
        <w:rPr>
          <w:rFonts w:ascii="Calibri" w:hAnsi="Calibri" w:cs="Calibri"/>
          <w:b/>
        </w:rPr>
      </w:pPr>
      <w:r w:rsidRPr="00B07F9E">
        <w:rPr>
          <w:rFonts w:ascii="Calibri" w:hAnsi="Calibri" w:cs="Calibri"/>
          <w:b/>
        </w:rPr>
        <w:t>Dochází vlivem podpořených projektů ke:</w:t>
      </w:r>
    </w:p>
    <w:p w14:paraId="634AA493" w14:textId="77777777" w:rsidR="00B07F9E" w:rsidRPr="00B07F9E" w:rsidRDefault="00B07F9E" w:rsidP="00B07F9E">
      <w:pPr>
        <w:spacing w:after="0"/>
        <w:rPr>
          <w:rFonts w:ascii="Calibri" w:hAnsi="Calibri" w:cs="Calibri"/>
          <w:b/>
        </w:rPr>
      </w:pPr>
      <w:r w:rsidRPr="00B07F9E">
        <w:rPr>
          <w:rFonts w:ascii="Calibri" w:hAnsi="Calibri" w:cs="Calibri"/>
          <w:b/>
        </w:rPr>
        <w:t>a) snížení emisí skleníkových plynů? Jaký je příspěvek podpořených podniků?</w:t>
      </w:r>
    </w:p>
    <w:p w14:paraId="6F18EBFB" w14:textId="41988BB8" w:rsidR="00F44FBF" w:rsidRDefault="00B07F9E" w:rsidP="00B07F9E">
      <w:pPr>
        <w:spacing w:after="0"/>
        <w:rPr>
          <w:rFonts w:ascii="Calibri" w:hAnsi="Calibri" w:cs="Calibri"/>
          <w:b/>
        </w:rPr>
      </w:pPr>
      <w:r w:rsidRPr="00B07F9E">
        <w:rPr>
          <w:rFonts w:ascii="Calibri" w:hAnsi="Calibri" w:cs="Calibri"/>
          <w:b/>
        </w:rPr>
        <w:t>b) rozvoji energetických služeb typu Energy Performance Contracting (EPC)?</w:t>
      </w:r>
    </w:p>
    <w:p w14:paraId="2A21FAF7" w14:textId="77777777" w:rsidR="00F44FBF" w:rsidRDefault="00F44FBF" w:rsidP="00F44FBF">
      <w:pPr>
        <w:spacing w:after="0"/>
        <w:rPr>
          <w:rFonts w:ascii="Calibri" w:hAnsi="Calibri" w:cs="Calibri"/>
          <w:b/>
        </w:rPr>
      </w:pPr>
    </w:p>
    <w:p w14:paraId="74A59617" w14:textId="77777777" w:rsidR="00F44FBF" w:rsidRPr="001C50E7" w:rsidRDefault="00F44FBF" w:rsidP="00F44FBF">
      <w:pPr>
        <w:pStyle w:val="Nadpis2"/>
      </w:pPr>
      <w:bookmarkStart w:id="126" w:name="_Toc4596841"/>
      <w:bookmarkStart w:id="127" w:name="_Toc10729955"/>
      <w:r w:rsidRPr="001C50E7">
        <w:t>Úkol</w:t>
      </w:r>
      <w:bookmarkEnd w:id="126"/>
      <w:bookmarkEnd w:id="127"/>
    </w:p>
    <w:p w14:paraId="20F38DD5" w14:textId="38C1A1E9" w:rsidR="00F44FBF" w:rsidRDefault="00A349B3" w:rsidP="00C36567">
      <w:pPr>
        <w:spacing w:after="0"/>
      </w:pPr>
      <w:r>
        <w:t>Zhodnotit, zda očekávané efekty programu ÚE, které jsou formulovány výše uvedenými dílčími podotázkami, jsou díky programu dosahovány.</w:t>
      </w:r>
    </w:p>
    <w:p w14:paraId="776D368A" w14:textId="77777777" w:rsidR="00C36567" w:rsidRPr="00A349B3" w:rsidRDefault="00C36567" w:rsidP="00C36567">
      <w:pPr>
        <w:spacing w:after="0"/>
      </w:pPr>
    </w:p>
    <w:p w14:paraId="3A94F441" w14:textId="77777777" w:rsidR="00F44FBF" w:rsidRPr="001C50E7" w:rsidRDefault="00F44FBF" w:rsidP="00F44FBF">
      <w:pPr>
        <w:pStyle w:val="Nadpis2"/>
      </w:pPr>
      <w:bookmarkStart w:id="128" w:name="_Toc4596842"/>
      <w:bookmarkStart w:id="129" w:name="_Toc10729956"/>
      <w:r w:rsidRPr="001C50E7">
        <w:t>Východiska</w:t>
      </w:r>
      <w:bookmarkEnd w:id="128"/>
      <w:bookmarkEnd w:id="129"/>
    </w:p>
    <w:p w14:paraId="28F7C23F" w14:textId="16719BB3" w:rsidR="00E4508C" w:rsidRDefault="003B3A41" w:rsidP="00C36567">
      <w:pPr>
        <w:spacing w:after="0"/>
        <w:rPr>
          <w:lang w:eastAsia="sk-SK"/>
        </w:rPr>
      </w:pPr>
      <w:r>
        <w:rPr>
          <w:lang w:eastAsia="sk-SK"/>
        </w:rPr>
        <w:t>Hlavním východiskem pro první podotázku je závislost mezi spotřebou elektrické energie a tepla a množstvím emisí skleníkových plynů. S úsporou energií roste úspora nákladů pro podnik, úspora fosilních paliv, snižuje se energetická náročnost hospodářství a v neposlední řadě klesají také emise skleníkových plynů. Cílem této evaluační otázky je tedy zjistit, jak úspory energie realizované v rámci PP ÚE přispěly ke snížení emisí skleníkových plynů. Odpověď na tuto otázku bude identifikována na základě analýzy dat z poskytnutého datasetu, konkrétně na základě cílových a dosažených hodnot vybraných indikátorů, k nimž se příjemci dotace zavazují.</w:t>
      </w:r>
    </w:p>
    <w:p w14:paraId="1F6ED521" w14:textId="77777777" w:rsidR="00C36567" w:rsidRDefault="00C36567" w:rsidP="00C36567">
      <w:pPr>
        <w:spacing w:after="0"/>
        <w:rPr>
          <w:lang w:eastAsia="sk-SK"/>
        </w:rPr>
      </w:pPr>
    </w:p>
    <w:p w14:paraId="25631F77" w14:textId="7EF99E1A" w:rsidR="00C075F0" w:rsidRDefault="00C92A72" w:rsidP="00C36567">
      <w:pPr>
        <w:spacing w:after="0"/>
        <w:rPr>
          <w:lang w:eastAsia="sk-SK"/>
        </w:rPr>
      </w:pPr>
      <w:r>
        <w:rPr>
          <w:lang w:eastAsia="sk-SK"/>
        </w:rPr>
        <w:t>Druhá podotázka vychází z</w:t>
      </w:r>
      <w:r w:rsidR="00C075F0">
        <w:rPr>
          <w:lang w:eastAsia="sk-SK"/>
        </w:rPr>
        <w:t> výsledků, jež chce ČR dosáhnout s podporou EU. Rozvoje energetických služeb je vnímán jako důležitý nástroj přispívající k nákladově efektivnímu způsobu zvyšování energetické účinnosti. Pro ověření této hypotézy byly využity informace z desk research, dotazníkového šetření a diskuse fokusní skupiny.</w:t>
      </w:r>
    </w:p>
    <w:p w14:paraId="49334F2C" w14:textId="77777777" w:rsidR="00C36567" w:rsidRDefault="00C36567" w:rsidP="00C36567">
      <w:pPr>
        <w:spacing w:after="0"/>
        <w:rPr>
          <w:lang w:eastAsia="sk-SK"/>
        </w:rPr>
      </w:pPr>
    </w:p>
    <w:p w14:paraId="343D872C" w14:textId="77777777" w:rsidR="00F44FBF" w:rsidRPr="001C50E7" w:rsidRDefault="00F44FBF" w:rsidP="00F44FBF">
      <w:pPr>
        <w:pStyle w:val="Nadpis2"/>
      </w:pPr>
      <w:bookmarkStart w:id="130" w:name="_Toc4596843"/>
      <w:bookmarkStart w:id="131" w:name="_Toc10729957"/>
      <w:r w:rsidRPr="001C50E7">
        <w:t>Zjištění v návaznosti na evaluační otázku a úkol</w:t>
      </w:r>
      <w:bookmarkEnd w:id="130"/>
      <w:bookmarkEnd w:id="131"/>
    </w:p>
    <w:tbl>
      <w:tblPr>
        <w:tblStyle w:val="Prosttabulka11"/>
        <w:tblW w:w="0" w:type="auto"/>
        <w:tblLook w:val="04A0" w:firstRow="1" w:lastRow="0" w:firstColumn="1" w:lastColumn="0" w:noHBand="0" w:noVBand="1"/>
      </w:tblPr>
      <w:tblGrid>
        <w:gridCol w:w="2972"/>
        <w:gridCol w:w="5954"/>
      </w:tblGrid>
      <w:tr w:rsidR="00F44FBF" w:rsidRPr="001C50E7" w14:paraId="2D067ACB" w14:textId="77777777" w:rsidTr="00760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3777793A" w14:textId="77777777" w:rsidR="00F44FBF" w:rsidRPr="001C50E7" w:rsidRDefault="00F44FBF" w:rsidP="00DD23F3">
            <w:pPr>
              <w:rPr>
                <w:rFonts w:ascii="Calibri" w:hAnsi="Calibri" w:cs="Calibri"/>
              </w:rPr>
            </w:pPr>
            <w:r w:rsidRPr="001C50E7">
              <w:rPr>
                <w:rFonts w:ascii="Calibri" w:hAnsi="Calibri" w:cs="Calibri"/>
              </w:rPr>
              <w:t>Evaluační otázka</w:t>
            </w:r>
          </w:p>
        </w:tc>
        <w:tc>
          <w:tcPr>
            <w:tcW w:w="5954" w:type="dxa"/>
            <w:shd w:val="clear" w:color="auto" w:fill="auto"/>
          </w:tcPr>
          <w:p w14:paraId="69196149" w14:textId="77777777" w:rsidR="00B07F9E" w:rsidRPr="00B07F9E" w:rsidRDefault="00B07F9E" w:rsidP="00B07F9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07F9E">
              <w:rPr>
                <w:rFonts w:ascii="Calibri" w:hAnsi="Calibri" w:cs="Calibri"/>
              </w:rPr>
              <w:t>Dochází vlivem podpořených projektů ke:</w:t>
            </w:r>
          </w:p>
          <w:p w14:paraId="0DB624BC" w14:textId="77777777" w:rsidR="00B07F9E" w:rsidRPr="00B07F9E" w:rsidRDefault="00B07F9E" w:rsidP="00B07F9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07F9E">
              <w:rPr>
                <w:rFonts w:ascii="Calibri" w:hAnsi="Calibri" w:cs="Calibri"/>
              </w:rPr>
              <w:t>a) snížení emisí skleníkových plynů? Jaký je příspěvek podpořených podniků?</w:t>
            </w:r>
          </w:p>
          <w:p w14:paraId="7D728287" w14:textId="1FABF366" w:rsidR="00F44FBF" w:rsidRPr="001C50E7" w:rsidRDefault="00B07F9E" w:rsidP="00B07F9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07F9E">
              <w:rPr>
                <w:rFonts w:ascii="Calibri" w:hAnsi="Calibri" w:cs="Calibri"/>
              </w:rPr>
              <w:t>b) rozvoji energetických služeb typu Energy Performance Contracting (EPC)?</w:t>
            </w:r>
          </w:p>
        </w:tc>
      </w:tr>
      <w:tr w:rsidR="00F44FBF" w:rsidRPr="001C50E7" w14:paraId="3C2956BA"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A17A10" w14:textId="77777777" w:rsidR="00F44FBF" w:rsidRPr="00C075F0" w:rsidRDefault="00F44FBF" w:rsidP="00DD23F3">
            <w:pPr>
              <w:rPr>
                <w:rFonts w:ascii="Calibri" w:hAnsi="Calibri" w:cs="Calibri"/>
              </w:rPr>
            </w:pPr>
            <w:r w:rsidRPr="00C075F0">
              <w:rPr>
                <w:rFonts w:ascii="Calibri" w:hAnsi="Calibri" w:cs="Calibri"/>
              </w:rPr>
              <w:t>Zhodnocení</w:t>
            </w:r>
            <w:r w:rsidRPr="00C075F0">
              <w:rPr>
                <w:rFonts w:ascii="Calibri" w:hAnsi="Calibri" w:cs="Calibri"/>
              </w:rPr>
              <w:br/>
            </w:r>
            <w:r w:rsidRPr="00C075F0">
              <w:rPr>
                <w:rFonts w:ascii="Calibri" w:hAnsi="Calibri" w:cs="Calibri"/>
                <w:b w:val="0"/>
              </w:rPr>
              <w:t>(Ano, Spíše ano, Spíše ne, Ne, Není relevantní)</w:t>
            </w:r>
          </w:p>
        </w:tc>
        <w:tc>
          <w:tcPr>
            <w:tcW w:w="5954" w:type="dxa"/>
            <w:shd w:val="clear" w:color="auto" w:fill="auto"/>
          </w:tcPr>
          <w:p w14:paraId="09D49A1F" w14:textId="3A1F20DD" w:rsidR="00F44FBF" w:rsidRPr="001C50E7" w:rsidRDefault="00DC78DE" w:rsidP="00DD23F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75F0">
              <w:rPr>
                <w:rFonts w:ascii="Calibri" w:hAnsi="Calibri" w:cs="Calibri"/>
              </w:rPr>
              <w:t>Spíše ne</w:t>
            </w:r>
          </w:p>
        </w:tc>
      </w:tr>
      <w:tr w:rsidR="00F44FBF" w:rsidRPr="001C50E7" w14:paraId="6DC2F909"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18F0F1A4" w14:textId="77777777" w:rsidR="00F44FBF" w:rsidRPr="00390C33" w:rsidRDefault="000722BD" w:rsidP="00DD23F3">
            <w:pPr>
              <w:rPr>
                <w:rFonts w:ascii="Calibri" w:hAnsi="Calibri" w:cs="Calibri"/>
              </w:rPr>
            </w:pPr>
            <w:r w:rsidRPr="00390C33">
              <w:rPr>
                <w:rFonts w:ascii="Calibri" w:hAnsi="Calibri" w:cs="Calibri"/>
              </w:rPr>
              <w:t>Hlavní závěry a zjištění</w:t>
            </w:r>
          </w:p>
        </w:tc>
        <w:tc>
          <w:tcPr>
            <w:tcW w:w="5954" w:type="dxa"/>
            <w:shd w:val="clear" w:color="auto" w:fill="auto"/>
          </w:tcPr>
          <w:p w14:paraId="591717EF" w14:textId="50711949" w:rsidR="00D01FC2" w:rsidRDefault="00BA647E" w:rsidP="00BA647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0C33">
              <w:rPr>
                <w:rFonts w:ascii="Calibri" w:hAnsi="Calibri" w:cs="Calibri"/>
              </w:rPr>
              <w:t>PP ÚE je nastaven tak, aby realizované projekty působily na snižování emise skleníkových plynů. V důsledku opožděné implementace PP ÚE, opožděného vypisování výzev, nízkého zájmu o poskytnutí dotace (zejména v prvních výzvách) a velkého podílu neúspěšných žádostí naplnily dokončené projekty pouze 1,16 % cílové hodnoty indikátoru 36113 Snížení emisí CO</w:t>
            </w:r>
            <w:r w:rsidRPr="00390C33">
              <w:rPr>
                <w:rFonts w:ascii="Calibri" w:hAnsi="Calibri" w:cs="Calibri"/>
                <w:vertAlign w:val="subscript"/>
              </w:rPr>
              <w:t>2</w:t>
            </w:r>
            <w:r w:rsidRPr="00390C33">
              <w:rPr>
                <w:rFonts w:ascii="Calibri" w:hAnsi="Calibri" w:cs="Calibri"/>
              </w:rPr>
              <w:t>.</w:t>
            </w:r>
          </w:p>
          <w:p w14:paraId="1DE3D83E" w14:textId="77777777" w:rsidR="00C36567" w:rsidRPr="00390C33" w:rsidRDefault="00C36567" w:rsidP="00BA647E">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4AD879BC" w14:textId="402DD358" w:rsidR="00BA647E" w:rsidRPr="001C50E7" w:rsidRDefault="00BA647E" w:rsidP="00390C3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0C33">
              <w:rPr>
                <w:rFonts w:ascii="Calibri" w:hAnsi="Calibri" w:cs="Calibri"/>
              </w:rPr>
              <w:t xml:space="preserve">V rámci PP ÚE nedochází k rozvoji energetických služeb se zaručeným výsledkem, neboť </w:t>
            </w:r>
            <w:r w:rsidR="00390C33" w:rsidRPr="00390C33">
              <w:rPr>
                <w:rFonts w:ascii="Calibri" w:hAnsi="Calibri" w:cs="Calibri"/>
              </w:rPr>
              <w:t xml:space="preserve">v rámci PP doposud nebylo vyřešeno, za jakých podmínek by služby EPC mohly fungovat. </w:t>
            </w:r>
            <w:r w:rsidR="00390C33" w:rsidRPr="00390C33">
              <w:rPr>
                <w:rFonts w:ascii="Calibri" w:hAnsi="Calibri" w:cs="Calibri"/>
              </w:rPr>
              <w:lastRenderedPageBreak/>
              <w:t>V současné době tedy platí, že z P</w:t>
            </w:r>
            <w:r w:rsidR="002C6DC4">
              <w:rPr>
                <w:rFonts w:ascii="Calibri" w:hAnsi="Calibri" w:cs="Calibri"/>
              </w:rPr>
              <w:t>P</w:t>
            </w:r>
            <w:r w:rsidR="00390C33" w:rsidRPr="00390C33">
              <w:rPr>
                <w:rFonts w:ascii="Calibri" w:hAnsi="Calibri" w:cs="Calibri"/>
              </w:rPr>
              <w:t xml:space="preserve"> ÚE nemůže být podpořen projekty využívající EPC.</w:t>
            </w:r>
          </w:p>
        </w:tc>
      </w:tr>
      <w:tr w:rsidR="00F44FBF" w:rsidRPr="00390C33" w14:paraId="14B5756D"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D8C301" w14:textId="77777777" w:rsidR="00F44FBF" w:rsidRPr="00390C33" w:rsidRDefault="00F44FBF" w:rsidP="00DD23F3">
            <w:pPr>
              <w:rPr>
                <w:rFonts w:ascii="Calibri" w:hAnsi="Calibri" w:cs="Calibri"/>
              </w:rPr>
            </w:pPr>
            <w:r w:rsidRPr="00390C33">
              <w:rPr>
                <w:rFonts w:ascii="Calibri" w:hAnsi="Calibri" w:cs="Calibri"/>
              </w:rPr>
              <w:lastRenderedPageBreak/>
              <w:t>Doporučení pro programové období 2014 - 2020</w:t>
            </w:r>
          </w:p>
        </w:tc>
        <w:tc>
          <w:tcPr>
            <w:tcW w:w="5954" w:type="dxa"/>
            <w:shd w:val="clear" w:color="auto" w:fill="auto"/>
          </w:tcPr>
          <w:p w14:paraId="75BDFD90" w14:textId="2EEC96B0" w:rsidR="00F44FBF" w:rsidRPr="00390C33" w:rsidRDefault="00390C33" w:rsidP="00390C3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90C33">
              <w:rPr>
                <w:rFonts w:ascii="Calibri" w:hAnsi="Calibri" w:cs="Calibri"/>
              </w:rPr>
              <w:t xml:space="preserve">Snažit se o maximální urychlení vyhodnocení projektů ze IV. výzvy a nastavit podmínky V. výzvy tak, aby byly zvýhodňovány projekty s vyšším příspěvkem na snižování emisí skleníkových plynů. </w:t>
            </w:r>
          </w:p>
        </w:tc>
      </w:tr>
      <w:tr w:rsidR="00F44FBF" w:rsidRPr="00390C33" w14:paraId="35A8632C" w14:textId="77777777" w:rsidTr="0076025E">
        <w:tc>
          <w:tcPr>
            <w:cnfStyle w:val="001000000000" w:firstRow="0" w:lastRow="0" w:firstColumn="1" w:lastColumn="0" w:oddVBand="0" w:evenVBand="0" w:oddHBand="0" w:evenHBand="0" w:firstRowFirstColumn="0" w:firstRowLastColumn="0" w:lastRowFirstColumn="0" w:lastRowLastColumn="0"/>
            <w:tcW w:w="2972" w:type="dxa"/>
            <w:shd w:val="clear" w:color="auto" w:fill="F2F2F2" w:themeFill="background1" w:themeFillShade="F2"/>
          </w:tcPr>
          <w:p w14:paraId="106690AC" w14:textId="77777777" w:rsidR="00F44FBF" w:rsidRPr="00390C33" w:rsidRDefault="00F44FBF" w:rsidP="00DD23F3">
            <w:pPr>
              <w:rPr>
                <w:rFonts w:ascii="Calibri" w:hAnsi="Calibri" w:cs="Calibri"/>
              </w:rPr>
            </w:pPr>
          </w:p>
        </w:tc>
        <w:tc>
          <w:tcPr>
            <w:tcW w:w="5954" w:type="dxa"/>
            <w:shd w:val="clear" w:color="auto" w:fill="auto"/>
          </w:tcPr>
          <w:p w14:paraId="49C8C131" w14:textId="6C3CAF23" w:rsidR="00F44FBF" w:rsidRPr="00390C33" w:rsidRDefault="00390C33" w:rsidP="00390C3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0C33">
              <w:rPr>
                <w:rFonts w:ascii="Calibri" w:hAnsi="Calibri" w:cs="Calibri"/>
              </w:rPr>
              <w:t xml:space="preserve">Pracovat na nadefinování podmínek, za jakých by bylo možné podporovat projekty využívající EPC vč. zjištění zájmu o využití těchto služeb ze strany podnikatelů. </w:t>
            </w:r>
          </w:p>
        </w:tc>
      </w:tr>
      <w:tr w:rsidR="00560E8D" w:rsidRPr="001C50E7" w14:paraId="68C0BC5C" w14:textId="77777777" w:rsidTr="0076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7F157D1" w14:textId="198E703F" w:rsidR="00560E8D" w:rsidRPr="00390C33" w:rsidRDefault="00560E8D" w:rsidP="00560E8D">
            <w:pPr>
              <w:rPr>
                <w:rFonts w:ascii="Calibri" w:hAnsi="Calibri" w:cs="Calibri"/>
              </w:rPr>
            </w:pPr>
            <w:r w:rsidRPr="00390C33">
              <w:rPr>
                <w:rFonts w:ascii="Calibri" w:hAnsi="Calibri" w:cs="Calibri"/>
              </w:rPr>
              <w:t>Doporučení pro programové období 2021</w:t>
            </w:r>
            <w:r w:rsidR="002C6DC4">
              <w:rPr>
                <w:rFonts w:ascii="Calibri" w:hAnsi="Calibri" w:cs="Calibri"/>
              </w:rPr>
              <w:t xml:space="preserve"> - 2027</w:t>
            </w:r>
          </w:p>
        </w:tc>
        <w:tc>
          <w:tcPr>
            <w:tcW w:w="5954" w:type="dxa"/>
            <w:shd w:val="clear" w:color="auto" w:fill="auto"/>
          </w:tcPr>
          <w:p w14:paraId="20C2B5AF" w14:textId="3911A56B" w:rsidR="00390C33" w:rsidRPr="001C50E7" w:rsidRDefault="00390C33" w:rsidP="00390C33">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90C33">
              <w:rPr>
                <w:lang w:eastAsia="sk-SK"/>
              </w:rPr>
              <w:t>Maximálně zjednodušit administraci při přípravě a realizaci projektu pro žadatele/příjemce</w:t>
            </w:r>
            <w:r w:rsidR="002C6DC4">
              <w:rPr>
                <w:lang w:eastAsia="sk-SK"/>
              </w:rPr>
              <w:t>.</w:t>
            </w:r>
          </w:p>
        </w:tc>
      </w:tr>
    </w:tbl>
    <w:p w14:paraId="1DCA51CB" w14:textId="77777777" w:rsidR="00F44FBF" w:rsidRPr="001C50E7" w:rsidRDefault="00F44FBF" w:rsidP="00F44FBF">
      <w:pPr>
        <w:spacing w:after="0"/>
        <w:rPr>
          <w:rFonts w:ascii="Calibri" w:hAnsi="Calibri" w:cs="Calibri"/>
        </w:rPr>
      </w:pPr>
    </w:p>
    <w:p w14:paraId="75B08E51" w14:textId="77777777" w:rsidR="00F44FBF" w:rsidRDefault="00F44FBF" w:rsidP="00F44FBF">
      <w:pPr>
        <w:pStyle w:val="Nadpis2"/>
      </w:pPr>
      <w:bookmarkStart w:id="132" w:name="_Toc4596844"/>
      <w:bookmarkStart w:id="133" w:name="_Toc10729958"/>
      <w:r w:rsidRPr="00776124">
        <w:t>Doplňující informace k evaluační otázce</w:t>
      </w:r>
      <w:bookmarkEnd w:id="132"/>
      <w:bookmarkEnd w:id="133"/>
    </w:p>
    <w:p w14:paraId="52100FB0" w14:textId="4D36A715" w:rsidR="005915D7" w:rsidRDefault="005915D7" w:rsidP="005915D7">
      <w:pPr>
        <w:pStyle w:val="Nadpis3"/>
        <w:rPr>
          <w:lang w:eastAsia="sk-SK"/>
        </w:rPr>
      </w:pPr>
      <w:bookmarkStart w:id="134" w:name="_Toc10729959"/>
      <w:r>
        <w:rPr>
          <w:lang w:eastAsia="sk-SK"/>
        </w:rPr>
        <w:t>Snížení emisí skleníkových plynů</w:t>
      </w:r>
      <w:bookmarkEnd w:id="134"/>
    </w:p>
    <w:p w14:paraId="0A2DA0E3" w14:textId="2EC09821" w:rsidR="00C075F0" w:rsidRDefault="00C075F0" w:rsidP="00C36567">
      <w:pPr>
        <w:spacing w:after="0"/>
        <w:rPr>
          <w:lang w:eastAsia="sk-SK"/>
        </w:rPr>
      </w:pPr>
      <w:r>
        <w:rPr>
          <w:lang w:eastAsia="sk-SK"/>
        </w:rPr>
        <w:t xml:space="preserve">Všechny podporované aktivity v rámci PP ÚE vedou k úsporám energie, tj. </w:t>
      </w:r>
      <w:r w:rsidR="00BB3342">
        <w:rPr>
          <w:lang w:eastAsia="sk-SK"/>
        </w:rPr>
        <w:t>přeneseně ovlivňují i množství vyrobené energie, přičemž platí, že menší množství vyrobené energie znamená i menší množství emitovaných skleníkových plynů. Tato kauzalita platí pro všechny podporované aktivity. Je ale nutné zdůraznit, že příspěvek každé podporované aktivity se liší v závislosti na samotné podstatě opatření, na implementované technologii, rozsahu projektu i na výchozím stavu, z něhož realizace projektu vychází.</w:t>
      </w:r>
    </w:p>
    <w:p w14:paraId="2D990062" w14:textId="77777777" w:rsidR="00C36567" w:rsidRDefault="00C36567" w:rsidP="00C36567">
      <w:pPr>
        <w:spacing w:after="0"/>
        <w:rPr>
          <w:lang w:eastAsia="sk-SK"/>
        </w:rPr>
      </w:pPr>
    </w:p>
    <w:p w14:paraId="4B3DD4C7" w14:textId="12B0E4CD" w:rsidR="00DE4247" w:rsidRDefault="00DE4247" w:rsidP="00DE4247">
      <w:pPr>
        <w:pStyle w:val="Titulek"/>
      </w:pPr>
      <w:bookmarkStart w:id="135" w:name="_Toc10730029"/>
      <w:r w:rsidRPr="00CD744D">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10</w:t>
      </w:r>
      <w:r w:rsidR="00BD754F">
        <w:rPr>
          <w:noProof/>
        </w:rPr>
        <w:fldChar w:fldCharType="end"/>
      </w:r>
      <w:r w:rsidRPr="00CD744D">
        <w:t xml:space="preserve">: Indikátor </w:t>
      </w:r>
      <w:r w:rsidR="009A488D" w:rsidRPr="00CD744D">
        <w:t>výsledku Snížení emisí CO</w:t>
      </w:r>
      <w:r w:rsidR="009A488D" w:rsidRPr="00CD744D">
        <w:rPr>
          <w:vertAlign w:val="subscript"/>
        </w:rPr>
        <w:t>2</w:t>
      </w:r>
      <w:r w:rsidR="009A488D" w:rsidRPr="00CD744D">
        <w:t xml:space="preserve"> </w:t>
      </w:r>
      <w:r w:rsidRPr="00CD744D">
        <w:t>(SC 3.2)</w:t>
      </w:r>
      <w:bookmarkEnd w:id="135"/>
    </w:p>
    <w:tbl>
      <w:tblPr>
        <w:tblStyle w:val="Prosttabulka11"/>
        <w:tblW w:w="5000" w:type="pct"/>
        <w:tblLook w:val="06A0" w:firstRow="1" w:lastRow="0" w:firstColumn="1" w:lastColumn="0" w:noHBand="1" w:noVBand="1"/>
      </w:tblPr>
      <w:tblGrid>
        <w:gridCol w:w="5142"/>
        <w:gridCol w:w="4174"/>
      </w:tblGrid>
      <w:tr w:rsidR="00DE4247" w:rsidRPr="007018DD" w14:paraId="40D02971" w14:textId="77777777" w:rsidTr="00CD744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1E18AABD" w14:textId="77777777" w:rsidR="00DE4247" w:rsidRPr="009A488D" w:rsidRDefault="00DE4247" w:rsidP="00F55C13">
            <w:pPr>
              <w:rPr>
                <w:rFonts w:ascii="Calibri" w:hAnsi="Calibri" w:cs="Calibri"/>
                <w:sz w:val="20"/>
                <w:szCs w:val="20"/>
              </w:rPr>
            </w:pPr>
            <w:r w:rsidRPr="009A488D">
              <w:rPr>
                <w:rFonts w:cstheme="minorHAnsi"/>
                <w:sz w:val="20"/>
                <w:szCs w:val="20"/>
              </w:rPr>
              <w:t>Indikátor</w:t>
            </w:r>
          </w:p>
        </w:tc>
        <w:tc>
          <w:tcPr>
            <w:tcW w:w="2240" w:type="pct"/>
            <w:shd w:val="clear" w:color="auto" w:fill="auto"/>
          </w:tcPr>
          <w:p w14:paraId="335AE356" w14:textId="77777777" w:rsidR="00DE4247" w:rsidRPr="007018DD" w:rsidRDefault="00DE4247" w:rsidP="00F55C1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cs="Calibri"/>
                <w:sz w:val="20"/>
                <w:szCs w:val="20"/>
              </w:rPr>
              <w:t>36113 Snížení emisí CO</w:t>
            </w:r>
            <w:r w:rsidRPr="007018DD">
              <w:rPr>
                <w:rFonts w:cs="Calibri"/>
                <w:sz w:val="20"/>
                <w:szCs w:val="20"/>
                <w:vertAlign w:val="subscript"/>
              </w:rPr>
              <w:t>2</w:t>
            </w:r>
          </w:p>
        </w:tc>
      </w:tr>
      <w:tr w:rsidR="00DE4247" w:rsidRPr="007018DD" w14:paraId="57E92B37" w14:textId="77777777" w:rsidTr="00CD744D">
        <w:trPr>
          <w:trHeight w:val="230"/>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0CD2ADAB" w14:textId="77777777" w:rsidR="00DE4247" w:rsidRPr="009A488D" w:rsidRDefault="00DE4247" w:rsidP="00F55C13">
            <w:pPr>
              <w:rPr>
                <w:rFonts w:ascii="Calibri" w:hAnsi="Calibri" w:cs="Calibri"/>
                <w:sz w:val="20"/>
                <w:szCs w:val="20"/>
              </w:rPr>
            </w:pPr>
            <w:r w:rsidRPr="009A488D">
              <w:rPr>
                <w:rFonts w:cstheme="minorHAnsi"/>
                <w:sz w:val="20"/>
                <w:szCs w:val="20"/>
              </w:rPr>
              <w:t>Typ indikátoru</w:t>
            </w:r>
          </w:p>
        </w:tc>
        <w:tc>
          <w:tcPr>
            <w:tcW w:w="2240" w:type="pct"/>
            <w:shd w:val="clear" w:color="auto" w:fill="auto"/>
          </w:tcPr>
          <w:p w14:paraId="095D35E4"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Výsledek</w:t>
            </w:r>
            <w:r>
              <w:rPr>
                <w:rFonts w:ascii="Calibri" w:hAnsi="Calibri" w:cs="Calibri"/>
                <w:sz w:val="20"/>
                <w:szCs w:val="20"/>
              </w:rPr>
              <w:t xml:space="preserve"> (interní)</w:t>
            </w:r>
          </w:p>
        </w:tc>
      </w:tr>
      <w:tr w:rsidR="00DE4247" w:rsidRPr="007018DD" w14:paraId="2FDF985D" w14:textId="77777777" w:rsidTr="00CD744D">
        <w:trPr>
          <w:trHeight w:val="248"/>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272BD072" w14:textId="77777777" w:rsidR="00DE4247" w:rsidRPr="009A488D" w:rsidRDefault="00DE4247" w:rsidP="00F55C13">
            <w:pPr>
              <w:rPr>
                <w:rFonts w:cstheme="minorHAnsi"/>
                <w:sz w:val="20"/>
                <w:szCs w:val="20"/>
              </w:rPr>
            </w:pPr>
            <w:r w:rsidRPr="009A488D">
              <w:rPr>
                <w:rFonts w:cstheme="minorHAnsi"/>
                <w:sz w:val="20"/>
                <w:szCs w:val="20"/>
              </w:rPr>
              <w:t>Cílová hodnota (2023)</w:t>
            </w:r>
          </w:p>
        </w:tc>
        <w:tc>
          <w:tcPr>
            <w:tcW w:w="2240" w:type="pct"/>
            <w:shd w:val="clear" w:color="auto" w:fill="auto"/>
          </w:tcPr>
          <w:p w14:paraId="56E87BBB"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800 000 (710 000) t/rok</w:t>
            </w:r>
          </w:p>
        </w:tc>
      </w:tr>
      <w:tr w:rsidR="00DE4247" w:rsidRPr="007018DD" w14:paraId="086FCF6D" w14:textId="77777777" w:rsidTr="00CD744D">
        <w:trPr>
          <w:trHeight w:val="138"/>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2FE5030D" w14:textId="77777777" w:rsidR="00DE4247" w:rsidRPr="009A488D" w:rsidRDefault="00DE4247" w:rsidP="00F55C13">
            <w:pPr>
              <w:rPr>
                <w:rFonts w:cstheme="minorHAnsi"/>
                <w:sz w:val="20"/>
                <w:szCs w:val="20"/>
              </w:rPr>
            </w:pPr>
            <w:r w:rsidRPr="009A488D">
              <w:rPr>
                <w:rFonts w:cstheme="minorHAnsi"/>
                <w:sz w:val="20"/>
                <w:szCs w:val="20"/>
              </w:rPr>
              <w:t>Dosažená hodnota (suma)</w:t>
            </w:r>
          </w:p>
        </w:tc>
        <w:tc>
          <w:tcPr>
            <w:tcW w:w="2240" w:type="pct"/>
            <w:shd w:val="clear" w:color="auto" w:fill="auto"/>
          </w:tcPr>
          <w:p w14:paraId="7FB2C656"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8</w:t>
            </w:r>
            <w:r>
              <w:rPr>
                <w:rFonts w:ascii="Calibri" w:hAnsi="Calibri" w:cs="Calibri"/>
                <w:sz w:val="20"/>
                <w:szCs w:val="20"/>
              </w:rPr>
              <w:t xml:space="preserve"> </w:t>
            </w:r>
            <w:r w:rsidRPr="007018DD">
              <w:rPr>
                <w:rFonts w:ascii="Calibri" w:hAnsi="Calibri" w:cs="Calibri"/>
                <w:sz w:val="20"/>
                <w:szCs w:val="20"/>
              </w:rPr>
              <w:t>256,84 t/rok</w:t>
            </w:r>
          </w:p>
        </w:tc>
      </w:tr>
      <w:tr w:rsidR="00DE4247" w:rsidRPr="007018DD" w14:paraId="7BE6ED59" w14:textId="77777777" w:rsidTr="00CD744D">
        <w:trPr>
          <w:trHeight w:val="169"/>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44753794" w14:textId="77777777" w:rsidR="00DE4247" w:rsidRPr="009A488D" w:rsidRDefault="00DE4247" w:rsidP="00F55C13">
            <w:pPr>
              <w:rPr>
                <w:rFonts w:cstheme="minorHAnsi"/>
                <w:sz w:val="20"/>
                <w:szCs w:val="20"/>
              </w:rPr>
            </w:pPr>
            <w:r w:rsidRPr="009A488D">
              <w:rPr>
                <w:rFonts w:cstheme="minorHAnsi"/>
                <w:sz w:val="20"/>
                <w:szCs w:val="20"/>
              </w:rPr>
              <w:t>Závazek příjemců</w:t>
            </w:r>
          </w:p>
        </w:tc>
        <w:tc>
          <w:tcPr>
            <w:tcW w:w="2240" w:type="pct"/>
            <w:shd w:val="clear" w:color="auto" w:fill="auto"/>
          </w:tcPr>
          <w:p w14:paraId="5FE1FE55"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7</w:t>
            </w:r>
            <w:r>
              <w:rPr>
                <w:rFonts w:ascii="Calibri" w:hAnsi="Calibri" w:cs="Calibri"/>
                <w:sz w:val="20"/>
                <w:szCs w:val="20"/>
              </w:rPr>
              <w:t xml:space="preserve"> </w:t>
            </w:r>
            <w:r w:rsidRPr="007018DD">
              <w:rPr>
                <w:rFonts w:ascii="Calibri" w:hAnsi="Calibri" w:cs="Calibri"/>
                <w:sz w:val="20"/>
                <w:szCs w:val="20"/>
              </w:rPr>
              <w:t>414,14 t/rok</w:t>
            </w:r>
          </w:p>
        </w:tc>
      </w:tr>
      <w:tr w:rsidR="00DE4247" w:rsidRPr="007018DD" w14:paraId="05F4D836" w14:textId="77777777" w:rsidTr="00CD744D">
        <w:trPr>
          <w:trHeight w:val="202"/>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652C73CE" w14:textId="77777777" w:rsidR="00DE4247" w:rsidRPr="009A488D" w:rsidRDefault="00DE4247" w:rsidP="00F55C13">
            <w:pPr>
              <w:rPr>
                <w:rFonts w:cstheme="minorHAnsi"/>
                <w:sz w:val="20"/>
                <w:szCs w:val="20"/>
              </w:rPr>
            </w:pPr>
            <w:r w:rsidRPr="009A488D">
              <w:rPr>
                <w:rFonts w:cstheme="minorHAnsi"/>
                <w:sz w:val="20"/>
                <w:szCs w:val="20"/>
              </w:rPr>
              <w:t>Míra plnění cílové hodnoty (v %):</w:t>
            </w:r>
          </w:p>
        </w:tc>
        <w:tc>
          <w:tcPr>
            <w:tcW w:w="2240" w:type="pct"/>
            <w:shd w:val="clear" w:color="auto" w:fill="auto"/>
          </w:tcPr>
          <w:p w14:paraId="75638511"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DE4247" w:rsidRPr="007018DD" w14:paraId="604AB881" w14:textId="77777777" w:rsidTr="00CD744D">
        <w:trPr>
          <w:trHeight w:val="91"/>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1D174CD6" w14:textId="77777777" w:rsidR="00DE4247" w:rsidRPr="009A488D" w:rsidRDefault="00DE4247" w:rsidP="00F55C13">
            <w:pPr>
              <w:rPr>
                <w:rFonts w:cstheme="minorHAnsi"/>
                <w:sz w:val="20"/>
                <w:szCs w:val="20"/>
              </w:rPr>
            </w:pPr>
            <w:r w:rsidRPr="009A488D">
              <w:rPr>
                <w:rFonts w:cstheme="minorHAnsi"/>
                <w:sz w:val="20"/>
                <w:szCs w:val="20"/>
              </w:rPr>
              <w:t>Dosažená hodnota</w:t>
            </w:r>
          </w:p>
        </w:tc>
        <w:tc>
          <w:tcPr>
            <w:tcW w:w="2240" w:type="pct"/>
            <w:shd w:val="clear" w:color="auto" w:fill="auto"/>
          </w:tcPr>
          <w:p w14:paraId="21EB7095"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1,16</w:t>
            </w:r>
            <w:r>
              <w:rPr>
                <w:rFonts w:ascii="Calibri" w:hAnsi="Calibri" w:cs="Calibri"/>
                <w:sz w:val="20"/>
                <w:szCs w:val="20"/>
              </w:rPr>
              <w:t xml:space="preserve"> %</w:t>
            </w:r>
          </w:p>
        </w:tc>
      </w:tr>
      <w:tr w:rsidR="00DE4247" w:rsidRPr="007018DD" w14:paraId="5768AC0F" w14:textId="77777777" w:rsidTr="00CD744D">
        <w:trPr>
          <w:trHeight w:val="266"/>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2D95056E" w14:textId="77777777" w:rsidR="00DE4247" w:rsidRPr="009A488D" w:rsidRDefault="00DE4247" w:rsidP="00F55C13">
            <w:pPr>
              <w:rPr>
                <w:rFonts w:cstheme="minorHAnsi"/>
                <w:sz w:val="20"/>
                <w:szCs w:val="20"/>
              </w:rPr>
            </w:pPr>
            <w:r w:rsidRPr="009A488D">
              <w:rPr>
                <w:rFonts w:cstheme="minorHAnsi"/>
                <w:sz w:val="20"/>
                <w:szCs w:val="20"/>
              </w:rPr>
              <w:t>Závazek příjemců</w:t>
            </w:r>
          </w:p>
        </w:tc>
        <w:tc>
          <w:tcPr>
            <w:tcW w:w="2240" w:type="pct"/>
            <w:shd w:val="clear" w:color="auto" w:fill="auto"/>
          </w:tcPr>
          <w:p w14:paraId="48FE1B43"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1,04</w:t>
            </w:r>
            <w:r>
              <w:rPr>
                <w:rFonts w:ascii="Calibri" w:hAnsi="Calibri" w:cs="Calibri"/>
                <w:sz w:val="20"/>
                <w:szCs w:val="20"/>
              </w:rPr>
              <w:t xml:space="preserve"> %</w:t>
            </w:r>
          </w:p>
        </w:tc>
      </w:tr>
      <w:tr w:rsidR="00DE4247" w:rsidRPr="007018DD" w14:paraId="74CCE83C" w14:textId="77777777" w:rsidTr="00CD744D">
        <w:trPr>
          <w:trHeight w:val="128"/>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659DA9AB" w14:textId="77777777" w:rsidR="00DE4247" w:rsidRPr="009A488D" w:rsidRDefault="00DE4247" w:rsidP="00F55C13">
            <w:pPr>
              <w:rPr>
                <w:rFonts w:cstheme="minorHAnsi"/>
                <w:sz w:val="20"/>
                <w:szCs w:val="20"/>
              </w:rPr>
            </w:pPr>
            <w:r w:rsidRPr="009A488D">
              <w:rPr>
                <w:rFonts w:cstheme="minorHAnsi"/>
                <w:sz w:val="20"/>
                <w:szCs w:val="20"/>
              </w:rPr>
              <w:t>Vyhodnocení věcného pokroku</w:t>
            </w:r>
          </w:p>
        </w:tc>
        <w:tc>
          <w:tcPr>
            <w:tcW w:w="2240" w:type="pct"/>
            <w:shd w:val="clear" w:color="auto" w:fill="auto"/>
          </w:tcPr>
          <w:p w14:paraId="6C82E660"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rizikový</w:t>
            </w:r>
          </w:p>
        </w:tc>
      </w:tr>
      <w:tr w:rsidR="00DE4247" w:rsidRPr="007018DD" w14:paraId="471DE2E7" w14:textId="77777777" w:rsidTr="00CD744D">
        <w:trPr>
          <w:trHeight w:val="146"/>
        </w:trPr>
        <w:tc>
          <w:tcPr>
            <w:cnfStyle w:val="001000000000" w:firstRow="0" w:lastRow="0" w:firstColumn="1" w:lastColumn="0" w:oddVBand="0" w:evenVBand="0" w:oddHBand="0" w:evenHBand="0" w:firstRowFirstColumn="0" w:firstRowLastColumn="0" w:lastRowFirstColumn="0" w:lastRowLastColumn="0"/>
            <w:tcW w:w="2760" w:type="pct"/>
            <w:shd w:val="clear" w:color="auto" w:fill="002060"/>
          </w:tcPr>
          <w:p w14:paraId="73F62D45" w14:textId="77777777" w:rsidR="00DE4247" w:rsidRPr="009A488D" w:rsidRDefault="00DE4247" w:rsidP="00F55C13">
            <w:pPr>
              <w:rPr>
                <w:rFonts w:cstheme="minorHAnsi"/>
                <w:sz w:val="20"/>
                <w:szCs w:val="20"/>
              </w:rPr>
            </w:pPr>
            <w:r w:rsidRPr="009A488D">
              <w:rPr>
                <w:rFonts w:cstheme="minorHAnsi"/>
                <w:sz w:val="20"/>
                <w:szCs w:val="20"/>
              </w:rPr>
              <w:t>Počet projektů, které se podílejí na dosažené hodnotě</w:t>
            </w:r>
          </w:p>
        </w:tc>
        <w:tc>
          <w:tcPr>
            <w:tcW w:w="2240" w:type="pct"/>
            <w:shd w:val="clear" w:color="auto" w:fill="auto"/>
          </w:tcPr>
          <w:p w14:paraId="4633AA6D" w14:textId="77777777" w:rsidR="00DE4247" w:rsidRPr="007018DD" w:rsidRDefault="00DE4247" w:rsidP="00F55C1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018DD">
              <w:rPr>
                <w:rFonts w:ascii="Calibri" w:hAnsi="Calibri" w:cs="Calibri"/>
                <w:sz w:val="20"/>
                <w:szCs w:val="20"/>
              </w:rPr>
              <w:t>829</w:t>
            </w:r>
          </w:p>
        </w:tc>
      </w:tr>
    </w:tbl>
    <w:p w14:paraId="60968072" w14:textId="77777777" w:rsidR="00DE4247" w:rsidRDefault="00DE4247" w:rsidP="00DE4247">
      <w:pPr>
        <w:spacing w:after="0"/>
        <w:rPr>
          <w:lang w:eastAsia="sk-SK"/>
        </w:rPr>
      </w:pPr>
    </w:p>
    <w:p w14:paraId="305C9EEC" w14:textId="6945A511" w:rsidR="00C36567" w:rsidRDefault="00C075F0" w:rsidP="00C36567">
      <w:pPr>
        <w:spacing w:after="0"/>
        <w:rPr>
          <w:lang w:eastAsia="sk-SK"/>
        </w:rPr>
      </w:pPr>
      <w:r>
        <w:rPr>
          <w:lang w:eastAsia="sk-SK"/>
        </w:rPr>
        <w:t>Snižování emisí skleníkových plynů je v rámci PP ÚE sledováno prostřednictvím indikátoru výsledku 36113 Snížení emisí CO</w:t>
      </w:r>
      <w:r w:rsidRPr="00ED516A">
        <w:rPr>
          <w:vertAlign w:val="subscript"/>
          <w:lang w:eastAsia="sk-SK"/>
        </w:rPr>
        <w:t>2</w:t>
      </w:r>
      <w:r>
        <w:rPr>
          <w:lang w:eastAsia="sk-SK"/>
        </w:rPr>
        <w:t xml:space="preserve">, který je vykazován na projektové úrovni. Z </w:t>
      </w:r>
      <w:r w:rsidR="000A54EC">
        <w:rPr>
          <w:lang w:eastAsia="sk-SK"/>
        </w:rPr>
        <w:t xml:space="preserve">výše </w:t>
      </w:r>
      <w:r>
        <w:rPr>
          <w:lang w:eastAsia="sk-SK"/>
        </w:rPr>
        <w:t xml:space="preserve">uvedené tabulky je dobře vidět velmi nízký podíl (1,16 % cílové hodnoty indikátoru) plnění tohoto indikátoru již ukončenými projekty. </w:t>
      </w:r>
    </w:p>
    <w:p w14:paraId="5EE9E52D" w14:textId="77777777" w:rsidR="00C36567" w:rsidRDefault="00C36567" w:rsidP="00C36567">
      <w:pPr>
        <w:spacing w:after="0"/>
        <w:rPr>
          <w:lang w:eastAsia="sk-SK"/>
        </w:rPr>
      </w:pPr>
    </w:p>
    <w:p w14:paraId="5C26D282" w14:textId="6C499BC6" w:rsidR="00284664" w:rsidRDefault="00284664" w:rsidP="00C36567">
      <w:pPr>
        <w:spacing w:after="0"/>
        <w:rPr>
          <w:lang w:eastAsia="sk-SK"/>
        </w:rPr>
      </w:pPr>
      <w:r>
        <w:rPr>
          <w:lang w:eastAsia="sk-SK"/>
        </w:rPr>
        <w:t>Obtížné a pomalé naplňování tohoto indikátoru je způsobena několika faktory:</w:t>
      </w:r>
    </w:p>
    <w:p w14:paraId="6EBF56BA" w14:textId="5E27556C" w:rsidR="00DE1E88" w:rsidRDefault="00DE4247" w:rsidP="00C36567">
      <w:pPr>
        <w:pStyle w:val="Odstavecseseznamem"/>
        <w:numPr>
          <w:ilvl w:val="0"/>
          <w:numId w:val="12"/>
        </w:numPr>
        <w:spacing w:line="276" w:lineRule="auto"/>
        <w:ind w:left="714" w:hanging="357"/>
        <w:rPr>
          <w:rFonts w:asciiTheme="minorHAnsi" w:hAnsiTheme="minorHAnsi" w:cstheme="minorHAnsi"/>
          <w:sz w:val="22"/>
          <w:lang w:eastAsia="sk-SK"/>
        </w:rPr>
      </w:pPr>
      <w:r>
        <w:rPr>
          <w:rFonts w:asciiTheme="minorHAnsi" w:hAnsiTheme="minorHAnsi" w:cstheme="minorHAnsi"/>
          <w:sz w:val="22"/>
          <w:lang w:eastAsia="sk-SK"/>
        </w:rPr>
        <w:t>P</w:t>
      </w:r>
      <w:r w:rsidR="00DE1E88" w:rsidRPr="00DE1E88">
        <w:rPr>
          <w:rFonts w:asciiTheme="minorHAnsi" w:hAnsiTheme="minorHAnsi" w:cstheme="minorHAnsi"/>
          <w:sz w:val="22"/>
          <w:lang w:eastAsia="sk-SK"/>
        </w:rPr>
        <w:t>omalý náběh celé prioritní osy 3 OP PIK,</w:t>
      </w:r>
      <w:r w:rsidR="00DE1E88">
        <w:rPr>
          <w:rFonts w:asciiTheme="minorHAnsi" w:hAnsiTheme="minorHAnsi" w:cstheme="minorHAnsi"/>
          <w:sz w:val="22"/>
          <w:lang w:eastAsia="sk-SK"/>
        </w:rPr>
        <w:t xml:space="preserve"> kdy první výzva byla vyhlášena v květnu 2015</w:t>
      </w:r>
      <w:r w:rsidR="00C57B23">
        <w:rPr>
          <w:rFonts w:asciiTheme="minorHAnsi" w:hAnsiTheme="minorHAnsi" w:cstheme="minorHAnsi"/>
          <w:sz w:val="22"/>
          <w:lang w:eastAsia="sk-SK"/>
        </w:rPr>
        <w:t xml:space="preserve">, příjem plných žádostí probíhal až od září 2015 a samotné vyhodnocení žádostí trvalo také poměrně dlouho. </w:t>
      </w:r>
    </w:p>
    <w:p w14:paraId="2D44FB66" w14:textId="24FF334D" w:rsidR="00C57B23" w:rsidRDefault="00DE4247" w:rsidP="00C36567">
      <w:pPr>
        <w:pStyle w:val="Odstavecseseznamem"/>
        <w:numPr>
          <w:ilvl w:val="0"/>
          <w:numId w:val="12"/>
        </w:numPr>
        <w:spacing w:line="276" w:lineRule="auto"/>
        <w:rPr>
          <w:rFonts w:asciiTheme="minorHAnsi" w:hAnsiTheme="minorHAnsi" w:cstheme="minorHAnsi"/>
          <w:sz w:val="22"/>
          <w:lang w:eastAsia="sk-SK"/>
        </w:rPr>
      </w:pPr>
      <w:r>
        <w:rPr>
          <w:rFonts w:asciiTheme="minorHAnsi" w:hAnsiTheme="minorHAnsi" w:cstheme="minorHAnsi"/>
          <w:sz w:val="22"/>
          <w:lang w:eastAsia="sk-SK"/>
        </w:rPr>
        <w:t>N</w:t>
      </w:r>
      <w:r w:rsidR="00C57B23">
        <w:rPr>
          <w:rFonts w:asciiTheme="minorHAnsi" w:hAnsiTheme="minorHAnsi" w:cstheme="minorHAnsi"/>
          <w:sz w:val="22"/>
          <w:lang w:eastAsia="sk-SK"/>
        </w:rPr>
        <w:t xml:space="preserve">ízký zájem o dotaci ze strany žadatelů (zejména ve II. a III. výzvě), kdy </w:t>
      </w:r>
      <w:r w:rsidR="00AB742E">
        <w:rPr>
          <w:rFonts w:asciiTheme="minorHAnsi" w:hAnsiTheme="minorHAnsi" w:cstheme="minorHAnsi"/>
          <w:sz w:val="22"/>
          <w:lang w:eastAsia="sk-SK"/>
        </w:rPr>
        <w:t>byly podány žádosti o dotaci v celkové výši podpory dosahující 48 % alokace v případě III. výzvy, resp. 27 % alokace u II. výzvy</w:t>
      </w:r>
      <w:r w:rsidR="00C57B23">
        <w:rPr>
          <w:rFonts w:asciiTheme="minorHAnsi" w:hAnsiTheme="minorHAnsi" w:cstheme="minorHAnsi"/>
          <w:sz w:val="22"/>
          <w:lang w:eastAsia="sk-SK"/>
        </w:rPr>
        <w:t xml:space="preserve"> </w:t>
      </w:r>
    </w:p>
    <w:p w14:paraId="2CE62548" w14:textId="684C4CC5" w:rsidR="00DE4247" w:rsidRDefault="00DE4247" w:rsidP="00C36567">
      <w:pPr>
        <w:pStyle w:val="Odstavecseseznamem"/>
        <w:numPr>
          <w:ilvl w:val="0"/>
          <w:numId w:val="12"/>
        </w:numPr>
        <w:spacing w:line="276" w:lineRule="auto"/>
        <w:rPr>
          <w:rFonts w:asciiTheme="minorHAnsi" w:hAnsiTheme="minorHAnsi" w:cstheme="minorHAnsi"/>
          <w:sz w:val="22"/>
          <w:lang w:eastAsia="sk-SK"/>
        </w:rPr>
      </w:pPr>
      <w:r>
        <w:rPr>
          <w:rFonts w:asciiTheme="minorHAnsi" w:hAnsiTheme="minorHAnsi" w:cstheme="minorHAnsi"/>
          <w:sz w:val="22"/>
          <w:lang w:eastAsia="sk-SK"/>
        </w:rPr>
        <w:t>V</w:t>
      </w:r>
      <w:r w:rsidR="00AB742E">
        <w:rPr>
          <w:rFonts w:asciiTheme="minorHAnsi" w:hAnsiTheme="minorHAnsi" w:cstheme="minorHAnsi"/>
          <w:sz w:val="22"/>
          <w:lang w:eastAsia="sk-SK"/>
        </w:rPr>
        <w:t xml:space="preserve">ysoký podíl žádostí, které neprošly hodnocením úspěšně (téměř 61 %) a tedy nezískaly </w:t>
      </w:r>
      <w:r w:rsidR="00AB742E">
        <w:rPr>
          <w:rFonts w:asciiTheme="minorHAnsi" w:hAnsiTheme="minorHAnsi" w:cstheme="minorHAnsi"/>
          <w:sz w:val="22"/>
          <w:lang w:eastAsia="sk-SK"/>
        </w:rPr>
        <w:lastRenderedPageBreak/>
        <w:t>podporu. V případě I. výzvy bylo vyřazeno 77 % žádostí.</w:t>
      </w:r>
    </w:p>
    <w:p w14:paraId="522A176E" w14:textId="77777777" w:rsidR="00DE4247" w:rsidRPr="00DE4247" w:rsidRDefault="00DE4247" w:rsidP="00C36567">
      <w:pPr>
        <w:pStyle w:val="Odstavecseseznamem"/>
        <w:spacing w:line="276" w:lineRule="auto"/>
        <w:rPr>
          <w:rFonts w:asciiTheme="minorHAnsi" w:hAnsiTheme="minorHAnsi" w:cstheme="minorHAnsi"/>
          <w:sz w:val="22"/>
          <w:lang w:eastAsia="sk-SK"/>
        </w:rPr>
      </w:pPr>
    </w:p>
    <w:p w14:paraId="36FBD4C1" w14:textId="4E09DF11" w:rsidR="00AB742E" w:rsidRDefault="00DE4247" w:rsidP="00C36567">
      <w:pPr>
        <w:spacing w:after="0"/>
        <w:rPr>
          <w:rFonts w:cstheme="minorHAnsi"/>
          <w:lang w:eastAsia="sk-SK"/>
        </w:rPr>
      </w:pPr>
      <w:r>
        <w:rPr>
          <w:rFonts w:cstheme="minorHAnsi"/>
          <w:lang w:eastAsia="sk-SK"/>
        </w:rPr>
        <w:t>Tyto skutečnosti se odrazily na faktu, že k</w:t>
      </w:r>
      <w:r w:rsidR="00AB742E" w:rsidRPr="00DE4247">
        <w:rPr>
          <w:rFonts w:cstheme="minorHAnsi"/>
          <w:lang w:eastAsia="sk-SK"/>
        </w:rPr>
        <w:t xml:space="preserve">e konci roku 2018 bylo ukončeno pouze 354 projektů </w:t>
      </w:r>
      <w:r w:rsidRPr="00DE4247">
        <w:rPr>
          <w:rFonts w:cstheme="minorHAnsi"/>
          <w:lang w:eastAsia="sk-SK"/>
        </w:rPr>
        <w:t>(tj. třetina projektů, jež obdržela právní akt o poskytnutí dotaci</w:t>
      </w:r>
      <w:r>
        <w:rPr>
          <w:rFonts w:cstheme="minorHAnsi"/>
          <w:lang w:eastAsia="sk-SK"/>
        </w:rPr>
        <w:t xml:space="preserve"> v I. - III. výzvě), navíc více než polovina z nich byla ukončena až v roce 2018, tj. doposud hodnotu tohoto indikátoru</w:t>
      </w:r>
      <w:r w:rsidRPr="00DE4247">
        <w:rPr>
          <w:rFonts w:cstheme="minorHAnsi"/>
          <w:lang w:eastAsia="sk-SK"/>
        </w:rPr>
        <w:t xml:space="preserve"> </w:t>
      </w:r>
      <w:r>
        <w:rPr>
          <w:rFonts w:cstheme="minorHAnsi"/>
          <w:lang w:eastAsia="sk-SK"/>
        </w:rPr>
        <w:t>nevykázala.</w:t>
      </w:r>
    </w:p>
    <w:p w14:paraId="6BBF6258" w14:textId="77777777" w:rsidR="00C36567" w:rsidRPr="00DE4247" w:rsidRDefault="00C36567" w:rsidP="00C36567">
      <w:pPr>
        <w:spacing w:after="0"/>
        <w:rPr>
          <w:rFonts w:cstheme="minorHAnsi"/>
          <w:lang w:eastAsia="sk-SK"/>
        </w:rPr>
      </w:pPr>
    </w:p>
    <w:p w14:paraId="6BB3F428" w14:textId="282CBBA3" w:rsidR="00A349B3" w:rsidRDefault="003E46F6" w:rsidP="00C36567">
      <w:pPr>
        <w:spacing w:after="0"/>
        <w:rPr>
          <w:lang w:eastAsia="sk-SK"/>
        </w:rPr>
      </w:pPr>
      <w:r>
        <w:rPr>
          <w:lang w:eastAsia="sk-SK"/>
        </w:rPr>
        <w:t xml:space="preserve">Významnou roli ve vykazování snižování emisí skleníkových plynů bude hrát </w:t>
      </w:r>
      <w:r w:rsidR="004860F9">
        <w:rPr>
          <w:lang w:eastAsia="sk-SK"/>
        </w:rPr>
        <w:t xml:space="preserve">nastavení plánované </w:t>
      </w:r>
      <w:r w:rsidR="009261F5">
        <w:rPr>
          <w:lang w:eastAsia="sk-SK"/>
        </w:rPr>
        <w:t>V. </w:t>
      </w:r>
      <w:r w:rsidR="004860F9">
        <w:rPr>
          <w:lang w:eastAsia="sk-SK"/>
        </w:rPr>
        <w:t xml:space="preserve">výzvy, </w:t>
      </w:r>
      <w:r>
        <w:rPr>
          <w:lang w:eastAsia="sk-SK"/>
        </w:rPr>
        <w:t>úspěšnost projektů podaných do IV. výzvy</w:t>
      </w:r>
      <w:r w:rsidR="004860F9">
        <w:rPr>
          <w:lang w:eastAsia="sk-SK"/>
        </w:rPr>
        <w:t xml:space="preserve"> a</w:t>
      </w:r>
      <w:r>
        <w:rPr>
          <w:lang w:eastAsia="sk-SK"/>
        </w:rPr>
        <w:t xml:space="preserve"> délka jejich hodnocení. Vzhledem k velkému množství podaných projektů do </w:t>
      </w:r>
      <w:r w:rsidR="004860F9">
        <w:rPr>
          <w:lang w:eastAsia="sk-SK"/>
        </w:rPr>
        <w:t>IV.</w:t>
      </w:r>
      <w:r>
        <w:rPr>
          <w:lang w:eastAsia="sk-SK"/>
        </w:rPr>
        <w:t xml:space="preserve"> výzvy (1339 projektů) lze očekávat, že se hodnocení projektů protáhne, což může negativně ovlivnit zahájení </w:t>
      </w:r>
      <w:r w:rsidR="004860F9">
        <w:rPr>
          <w:lang w:eastAsia="sk-SK"/>
        </w:rPr>
        <w:t>realizace projektů, nebo může vést žadatele i ke ztrátě zájmu o realizaci projektu.</w:t>
      </w:r>
      <w:r w:rsidR="00BB3342">
        <w:rPr>
          <w:lang w:eastAsia="sk-SK"/>
        </w:rPr>
        <w:t xml:space="preserve"> Zároveň může dojít k demotivaci zájemců o dotaci z V. výzvy.</w:t>
      </w:r>
    </w:p>
    <w:p w14:paraId="572724D2" w14:textId="77777777" w:rsidR="00C36567" w:rsidRDefault="00C36567" w:rsidP="00C36567">
      <w:pPr>
        <w:spacing w:after="0"/>
        <w:rPr>
          <w:lang w:eastAsia="sk-SK"/>
        </w:rPr>
      </w:pPr>
    </w:p>
    <w:p w14:paraId="58106996" w14:textId="3336EBF6" w:rsidR="00284664" w:rsidRDefault="00284664" w:rsidP="00C36567">
      <w:pPr>
        <w:spacing w:after="0"/>
        <w:rPr>
          <w:lang w:eastAsia="sk-SK"/>
        </w:rPr>
      </w:pPr>
      <w:r>
        <w:rPr>
          <w:lang w:eastAsia="sk-SK"/>
        </w:rPr>
        <w:t xml:space="preserve">Vzhledem k tomu, že indikátor </w:t>
      </w:r>
      <w:r w:rsidR="00C36567">
        <w:rPr>
          <w:lang w:eastAsia="sk-SK"/>
        </w:rPr>
        <w:t>„</w:t>
      </w:r>
      <w:r>
        <w:rPr>
          <w:lang w:eastAsia="sk-SK"/>
        </w:rPr>
        <w:t>Snížení emisí CO</w:t>
      </w:r>
      <w:r w:rsidRPr="009261F5">
        <w:rPr>
          <w:vertAlign w:val="subscript"/>
          <w:lang w:eastAsia="sk-SK"/>
        </w:rPr>
        <w:t>2</w:t>
      </w:r>
      <w:r w:rsidR="00C36567" w:rsidRPr="00C36567">
        <w:rPr>
          <w:lang w:eastAsia="sk-SK"/>
        </w:rPr>
        <w:t>“</w:t>
      </w:r>
      <w:r>
        <w:rPr>
          <w:lang w:eastAsia="sk-SK"/>
        </w:rPr>
        <w:t xml:space="preserve"> je indikátorem povinným k výběru, tj. žadatel v žádosti o dotaci nevyplňuje cílovou hodnotu, které dosáhne, nelze stanovit, do jaké míry bude tento indikátor v roce 2023 naplněn. Lze však konstatovat, že dosažení cílové hodnoty indikátoru již není zcela reálné.</w:t>
      </w:r>
    </w:p>
    <w:p w14:paraId="1975EEF1" w14:textId="77777777" w:rsidR="00C36567" w:rsidRDefault="00C36567" w:rsidP="00C36567">
      <w:pPr>
        <w:spacing w:after="0"/>
        <w:rPr>
          <w:lang w:eastAsia="sk-SK"/>
        </w:rPr>
      </w:pPr>
    </w:p>
    <w:p w14:paraId="46BAFFC6" w14:textId="36446FF6" w:rsidR="00A349B3" w:rsidRDefault="005915D7" w:rsidP="005915D7">
      <w:pPr>
        <w:pStyle w:val="Nadpis3"/>
        <w:rPr>
          <w:lang w:eastAsia="sk-SK"/>
        </w:rPr>
      </w:pPr>
      <w:bookmarkStart w:id="136" w:name="_Toc10729960"/>
      <w:r w:rsidRPr="005915D7">
        <w:rPr>
          <w:lang w:eastAsia="sk-SK"/>
        </w:rPr>
        <w:t>Energy Performance Contracting (EPC)</w:t>
      </w:r>
      <w:bookmarkEnd w:id="136"/>
    </w:p>
    <w:p w14:paraId="4183E685" w14:textId="53285BC8" w:rsidR="00C36567" w:rsidRDefault="005D6BC9" w:rsidP="00C36567">
      <w:pPr>
        <w:spacing w:after="0"/>
        <w:rPr>
          <w:lang w:eastAsia="sk-SK"/>
        </w:rPr>
      </w:pPr>
      <w:r>
        <w:rPr>
          <w:lang w:eastAsia="sk-SK"/>
        </w:rPr>
        <w:t>V rámci příprav OP PIK i samotného PP ÚE bylo počítáno s tím, že by žadatel</w:t>
      </w:r>
      <w:r w:rsidR="00BB3342">
        <w:rPr>
          <w:lang w:eastAsia="sk-SK"/>
        </w:rPr>
        <w:t>é</w:t>
      </w:r>
      <w:r>
        <w:rPr>
          <w:lang w:eastAsia="sk-SK"/>
        </w:rPr>
        <w:t xml:space="preserve"> o dotaci mohli při realizaci svých projektů využívat služeb EPC. Během samotné přípravy těchto dokumentů se však vynořila řada problémů, která způsobila, že metodu EPC není možné </w:t>
      </w:r>
      <w:r w:rsidR="009C444E">
        <w:rPr>
          <w:lang w:eastAsia="sk-SK"/>
        </w:rPr>
        <w:t>v</w:t>
      </w:r>
      <w:r>
        <w:rPr>
          <w:lang w:eastAsia="sk-SK"/>
        </w:rPr>
        <w:t xml:space="preserve"> PP ÚE doposud využívat. </w:t>
      </w:r>
      <w:r w:rsidR="004627B7">
        <w:rPr>
          <w:lang w:eastAsia="sk-SK"/>
        </w:rPr>
        <w:t xml:space="preserve">Z tohoto důvodu </w:t>
      </w:r>
      <w:r w:rsidR="008B4FE4">
        <w:rPr>
          <w:lang w:eastAsia="sk-SK"/>
        </w:rPr>
        <w:t xml:space="preserve">nebyla </w:t>
      </w:r>
      <w:r w:rsidR="004627B7">
        <w:rPr>
          <w:lang w:eastAsia="sk-SK"/>
        </w:rPr>
        <w:t xml:space="preserve">metoda EPC </w:t>
      </w:r>
      <w:r w:rsidR="008B4FE4">
        <w:rPr>
          <w:lang w:eastAsia="sk-SK"/>
        </w:rPr>
        <w:t xml:space="preserve">ve </w:t>
      </w:r>
      <w:r w:rsidR="009C444E">
        <w:rPr>
          <w:lang w:eastAsia="sk-SK"/>
        </w:rPr>
        <w:t>vyhlášených</w:t>
      </w:r>
      <w:r w:rsidR="008B4FE4">
        <w:rPr>
          <w:lang w:eastAsia="sk-SK"/>
        </w:rPr>
        <w:t xml:space="preserve"> výzvách </w:t>
      </w:r>
      <w:r w:rsidR="004627B7">
        <w:rPr>
          <w:lang w:eastAsia="sk-SK"/>
        </w:rPr>
        <w:t xml:space="preserve">vůbec zmiňována. </w:t>
      </w:r>
    </w:p>
    <w:p w14:paraId="403120E2" w14:textId="77777777" w:rsidR="00C36567" w:rsidRDefault="00C36567" w:rsidP="00C36567">
      <w:pPr>
        <w:spacing w:after="0"/>
        <w:rPr>
          <w:lang w:eastAsia="sk-SK"/>
        </w:rPr>
      </w:pPr>
    </w:p>
    <w:p w14:paraId="74D5D945" w14:textId="7C2F5DDF" w:rsidR="009178FF" w:rsidRDefault="004627B7" w:rsidP="00C36567">
      <w:pPr>
        <w:spacing w:after="0"/>
        <w:rPr>
          <w:lang w:eastAsia="sk-SK"/>
        </w:rPr>
      </w:pPr>
      <w:r>
        <w:rPr>
          <w:lang w:eastAsia="sk-SK"/>
        </w:rPr>
        <w:t>Jako hlavní dů</w:t>
      </w:r>
      <w:r w:rsidR="00284664">
        <w:rPr>
          <w:lang w:eastAsia="sk-SK"/>
        </w:rPr>
        <w:t xml:space="preserve">vody tohoto stavu byly fokusní </w:t>
      </w:r>
      <w:r>
        <w:rPr>
          <w:lang w:eastAsia="sk-SK"/>
        </w:rPr>
        <w:t xml:space="preserve">skupinou identifikovány následující skutečnosti: </w:t>
      </w:r>
    </w:p>
    <w:p w14:paraId="399A537B" w14:textId="5A89B0EF" w:rsidR="00153262" w:rsidRPr="00284664" w:rsidRDefault="00153262" w:rsidP="00C36567">
      <w:pPr>
        <w:pStyle w:val="Odstavecseseznamem"/>
        <w:numPr>
          <w:ilvl w:val="0"/>
          <w:numId w:val="12"/>
        </w:numPr>
        <w:spacing w:line="276" w:lineRule="auto"/>
        <w:ind w:left="714" w:hanging="357"/>
        <w:rPr>
          <w:rFonts w:asciiTheme="minorHAnsi" w:hAnsiTheme="minorHAnsi" w:cstheme="minorHAnsi"/>
          <w:sz w:val="22"/>
          <w:lang w:eastAsia="sk-SK"/>
        </w:rPr>
      </w:pPr>
      <w:r w:rsidRPr="00284664">
        <w:rPr>
          <w:rFonts w:asciiTheme="minorHAnsi" w:hAnsiTheme="minorHAnsi" w:cstheme="minorHAnsi"/>
          <w:sz w:val="22"/>
          <w:lang w:eastAsia="sk-SK"/>
        </w:rPr>
        <w:t>Praxe ukazuje, že metoda EPC je vhodnější spíše pro veřejný sektor</w:t>
      </w:r>
      <w:r w:rsidR="004627B7" w:rsidRPr="00284664">
        <w:rPr>
          <w:rFonts w:asciiTheme="minorHAnsi" w:hAnsiTheme="minorHAnsi" w:cstheme="minorHAnsi"/>
          <w:sz w:val="22"/>
          <w:lang w:eastAsia="sk-SK"/>
        </w:rPr>
        <w:t xml:space="preserve"> (např. z důvodu </w:t>
      </w:r>
      <w:r w:rsidR="00E90706" w:rsidRPr="00284664">
        <w:rPr>
          <w:rFonts w:asciiTheme="minorHAnsi" w:hAnsiTheme="minorHAnsi" w:cstheme="minorHAnsi"/>
          <w:sz w:val="22"/>
          <w:lang w:eastAsia="sk-SK"/>
        </w:rPr>
        <w:t>střednědobého kontraktu mezi podnikatelem a firmou ESCO (Energy Services Company), tj. poskytovatelem služeb EPC)</w:t>
      </w:r>
      <w:r w:rsidRPr="00284664">
        <w:rPr>
          <w:rFonts w:asciiTheme="minorHAnsi" w:hAnsiTheme="minorHAnsi" w:cstheme="minorHAnsi"/>
          <w:sz w:val="22"/>
          <w:lang w:eastAsia="sk-SK"/>
        </w:rPr>
        <w:t>, byť existuje i několik příkladů dobré praxe v komerční sféře. V</w:t>
      </w:r>
      <w:r w:rsidR="004627B7" w:rsidRPr="00284664">
        <w:rPr>
          <w:rFonts w:asciiTheme="minorHAnsi" w:hAnsiTheme="minorHAnsi" w:cstheme="minorHAnsi"/>
          <w:sz w:val="22"/>
          <w:lang w:eastAsia="sk-SK"/>
        </w:rPr>
        <w:t xml:space="preserve">zhledem k tomu, že OP PIK, a tudíž i samotný PP ÚE je orientován na podnikatele, nefiguruje veřejný sektor v tomto operačním programu jako </w:t>
      </w:r>
      <w:r w:rsidRPr="00284664">
        <w:rPr>
          <w:rFonts w:asciiTheme="minorHAnsi" w:hAnsiTheme="minorHAnsi" w:cstheme="minorHAnsi"/>
          <w:sz w:val="22"/>
          <w:lang w:eastAsia="sk-SK"/>
        </w:rPr>
        <w:t>oprávněný žadatel.</w:t>
      </w:r>
    </w:p>
    <w:p w14:paraId="2E1CD1BC" w14:textId="22A6EC18" w:rsidR="004627B7" w:rsidRPr="00284664" w:rsidRDefault="004627B7" w:rsidP="00C36567">
      <w:pPr>
        <w:pStyle w:val="Odstavecseseznamem"/>
        <w:numPr>
          <w:ilvl w:val="0"/>
          <w:numId w:val="12"/>
        </w:numPr>
        <w:spacing w:line="276" w:lineRule="auto"/>
        <w:ind w:left="714" w:hanging="357"/>
        <w:rPr>
          <w:rFonts w:asciiTheme="minorHAnsi" w:hAnsiTheme="minorHAnsi" w:cstheme="minorHAnsi"/>
          <w:sz w:val="22"/>
          <w:lang w:eastAsia="sk-SK"/>
        </w:rPr>
      </w:pPr>
      <w:r w:rsidRPr="00284664">
        <w:rPr>
          <w:rFonts w:asciiTheme="minorHAnsi" w:hAnsiTheme="minorHAnsi" w:cstheme="minorHAnsi"/>
          <w:sz w:val="22"/>
          <w:lang w:eastAsia="sk-SK"/>
        </w:rPr>
        <w:t>Není prokázán zájem podnikatelů o využívání služeb EPC.</w:t>
      </w:r>
    </w:p>
    <w:p w14:paraId="2220803C" w14:textId="76F141F6" w:rsidR="004627B7" w:rsidRPr="00284664" w:rsidRDefault="00153262" w:rsidP="00C36567">
      <w:pPr>
        <w:pStyle w:val="Odstavecseseznamem"/>
        <w:numPr>
          <w:ilvl w:val="0"/>
          <w:numId w:val="12"/>
        </w:numPr>
        <w:spacing w:line="276" w:lineRule="auto"/>
        <w:ind w:left="714" w:hanging="357"/>
        <w:rPr>
          <w:rFonts w:asciiTheme="minorHAnsi" w:hAnsiTheme="minorHAnsi" w:cstheme="minorHAnsi"/>
          <w:sz w:val="22"/>
          <w:lang w:eastAsia="sk-SK"/>
        </w:rPr>
      </w:pPr>
      <w:r w:rsidRPr="00284664">
        <w:rPr>
          <w:rFonts w:asciiTheme="minorHAnsi" w:hAnsiTheme="minorHAnsi" w:cstheme="minorHAnsi"/>
          <w:sz w:val="22"/>
          <w:lang w:eastAsia="sk-SK"/>
        </w:rPr>
        <w:t xml:space="preserve">Samotný OP PIK se potýká s tím, jak právně vyřešit samotnou podstatu EPC, tedy skutečnost, že vlastník (podnikatel) by nebyl odpovědný za výstupy projektu, neboť z podstaty EPC je za úspory energie odpovědná </w:t>
      </w:r>
      <w:r w:rsidR="00E90706" w:rsidRPr="00284664">
        <w:rPr>
          <w:rFonts w:asciiTheme="minorHAnsi" w:hAnsiTheme="minorHAnsi" w:cstheme="minorHAnsi"/>
          <w:sz w:val="22"/>
          <w:lang w:eastAsia="sk-SK"/>
        </w:rPr>
        <w:t xml:space="preserve">ESCO </w:t>
      </w:r>
      <w:r w:rsidRPr="00284664">
        <w:rPr>
          <w:rFonts w:asciiTheme="minorHAnsi" w:hAnsiTheme="minorHAnsi" w:cstheme="minorHAnsi"/>
          <w:sz w:val="22"/>
          <w:lang w:eastAsia="sk-SK"/>
        </w:rPr>
        <w:t xml:space="preserve">firma, která na sebe přebírá většinu rizik. V případě, že by žadatelem </w:t>
      </w:r>
      <w:r w:rsidR="00E90706" w:rsidRPr="00284664">
        <w:rPr>
          <w:rFonts w:asciiTheme="minorHAnsi" w:hAnsiTheme="minorHAnsi" w:cstheme="minorHAnsi"/>
          <w:sz w:val="22"/>
          <w:lang w:eastAsia="sk-SK"/>
        </w:rPr>
        <w:t>o </w:t>
      </w:r>
      <w:r w:rsidR="00753F4C" w:rsidRPr="00284664">
        <w:rPr>
          <w:rFonts w:asciiTheme="minorHAnsi" w:hAnsiTheme="minorHAnsi" w:cstheme="minorHAnsi"/>
          <w:sz w:val="22"/>
          <w:lang w:eastAsia="sk-SK"/>
        </w:rPr>
        <w:t xml:space="preserve">dotaci </w:t>
      </w:r>
      <w:r w:rsidRPr="00284664">
        <w:rPr>
          <w:rFonts w:asciiTheme="minorHAnsi" w:hAnsiTheme="minorHAnsi" w:cstheme="minorHAnsi"/>
          <w:sz w:val="22"/>
          <w:lang w:eastAsia="sk-SK"/>
        </w:rPr>
        <w:t>byl</w:t>
      </w:r>
      <w:r w:rsidR="004627B7" w:rsidRPr="00284664">
        <w:rPr>
          <w:rFonts w:asciiTheme="minorHAnsi" w:hAnsiTheme="minorHAnsi" w:cstheme="minorHAnsi"/>
          <w:sz w:val="22"/>
          <w:lang w:eastAsia="sk-SK"/>
        </w:rPr>
        <w:t>a</w:t>
      </w:r>
      <w:r w:rsidR="00753F4C" w:rsidRPr="00284664">
        <w:rPr>
          <w:rFonts w:asciiTheme="minorHAnsi" w:hAnsiTheme="minorHAnsi" w:cstheme="minorHAnsi"/>
          <w:sz w:val="22"/>
          <w:lang w:eastAsia="sk-SK"/>
        </w:rPr>
        <w:t xml:space="preserve"> ESCO</w:t>
      </w:r>
      <w:r w:rsidR="004627B7" w:rsidRPr="00284664">
        <w:rPr>
          <w:rFonts w:asciiTheme="minorHAnsi" w:hAnsiTheme="minorHAnsi" w:cstheme="minorHAnsi"/>
          <w:sz w:val="22"/>
          <w:lang w:eastAsia="sk-SK"/>
        </w:rPr>
        <w:t xml:space="preserve"> firma</w:t>
      </w:r>
      <w:r w:rsidR="00753F4C" w:rsidRPr="00284664">
        <w:rPr>
          <w:rFonts w:asciiTheme="minorHAnsi" w:hAnsiTheme="minorHAnsi" w:cstheme="minorHAnsi"/>
          <w:sz w:val="22"/>
          <w:lang w:eastAsia="sk-SK"/>
        </w:rPr>
        <w:t xml:space="preserve">, znamenalo by to vyřešit problematiku </w:t>
      </w:r>
      <w:r w:rsidR="004627B7" w:rsidRPr="00284664">
        <w:rPr>
          <w:rFonts w:asciiTheme="minorHAnsi" w:hAnsiTheme="minorHAnsi" w:cstheme="minorHAnsi"/>
          <w:sz w:val="22"/>
          <w:lang w:eastAsia="sk-SK"/>
        </w:rPr>
        <w:t xml:space="preserve">vlastnictví, </w:t>
      </w:r>
      <w:r w:rsidR="00753F4C" w:rsidRPr="00284664">
        <w:rPr>
          <w:rFonts w:asciiTheme="minorHAnsi" w:hAnsiTheme="minorHAnsi" w:cstheme="minorHAnsi"/>
          <w:sz w:val="22"/>
          <w:lang w:eastAsia="sk-SK"/>
        </w:rPr>
        <w:t xml:space="preserve">hospodaření a zhodnocování majetku třetí strany. </w:t>
      </w:r>
    </w:p>
    <w:p w14:paraId="75CCEA62" w14:textId="207C733B" w:rsidR="004627B7" w:rsidRPr="00284664" w:rsidRDefault="004627B7" w:rsidP="00C36567">
      <w:pPr>
        <w:pStyle w:val="Odstavecseseznamem"/>
        <w:numPr>
          <w:ilvl w:val="0"/>
          <w:numId w:val="12"/>
        </w:numPr>
        <w:spacing w:line="276" w:lineRule="auto"/>
        <w:ind w:left="714" w:hanging="357"/>
        <w:rPr>
          <w:rFonts w:asciiTheme="minorHAnsi" w:hAnsiTheme="minorHAnsi" w:cstheme="minorHAnsi"/>
          <w:sz w:val="22"/>
          <w:lang w:eastAsia="sk-SK"/>
        </w:rPr>
      </w:pPr>
      <w:r w:rsidRPr="00284664">
        <w:rPr>
          <w:rFonts w:asciiTheme="minorHAnsi" w:hAnsiTheme="minorHAnsi" w:cstheme="minorHAnsi"/>
          <w:sz w:val="22"/>
          <w:lang w:eastAsia="sk-SK"/>
        </w:rPr>
        <w:t xml:space="preserve">Dlouhodobě byl řešen </w:t>
      </w:r>
      <w:r w:rsidR="00E90706" w:rsidRPr="00284664">
        <w:rPr>
          <w:rFonts w:asciiTheme="minorHAnsi" w:hAnsiTheme="minorHAnsi" w:cstheme="minorHAnsi"/>
          <w:sz w:val="22"/>
          <w:lang w:eastAsia="sk-SK"/>
        </w:rPr>
        <w:t xml:space="preserve">také </w:t>
      </w:r>
      <w:r w:rsidRPr="00284664">
        <w:rPr>
          <w:rFonts w:asciiTheme="minorHAnsi" w:hAnsiTheme="minorHAnsi" w:cstheme="minorHAnsi"/>
          <w:sz w:val="22"/>
          <w:lang w:eastAsia="sk-SK"/>
        </w:rPr>
        <w:t>problém ohledně nastavení výběrových řízení na EPC tak, aby nedocházelo ke kolizi s nyní platnými pravidly a zákony.</w:t>
      </w:r>
    </w:p>
    <w:p w14:paraId="1D69AA52" w14:textId="2E2F3305" w:rsidR="00153262" w:rsidRPr="00284664" w:rsidRDefault="00753F4C" w:rsidP="00C36567">
      <w:pPr>
        <w:pStyle w:val="Odstavecseseznamem"/>
        <w:numPr>
          <w:ilvl w:val="0"/>
          <w:numId w:val="12"/>
        </w:numPr>
        <w:spacing w:line="276" w:lineRule="auto"/>
        <w:ind w:left="714" w:hanging="357"/>
        <w:rPr>
          <w:rFonts w:asciiTheme="minorHAnsi" w:hAnsiTheme="minorHAnsi" w:cstheme="minorHAnsi"/>
          <w:sz w:val="22"/>
          <w:lang w:eastAsia="sk-SK"/>
        </w:rPr>
      </w:pPr>
      <w:r w:rsidRPr="00284664">
        <w:rPr>
          <w:rFonts w:asciiTheme="minorHAnsi" w:hAnsiTheme="minorHAnsi" w:cstheme="minorHAnsi"/>
          <w:sz w:val="22"/>
          <w:lang w:eastAsia="sk-SK"/>
        </w:rPr>
        <w:t>Pokud by byla realizovatelná varianta, kdy</w:t>
      </w:r>
      <w:r w:rsidR="00E90706" w:rsidRPr="00284664">
        <w:rPr>
          <w:rFonts w:asciiTheme="minorHAnsi" w:hAnsiTheme="minorHAnsi" w:cstheme="minorHAnsi"/>
          <w:sz w:val="22"/>
          <w:lang w:eastAsia="sk-SK"/>
        </w:rPr>
        <w:t xml:space="preserve"> oprávněným</w:t>
      </w:r>
      <w:r w:rsidRPr="00284664">
        <w:rPr>
          <w:rFonts w:asciiTheme="minorHAnsi" w:hAnsiTheme="minorHAnsi" w:cstheme="minorHAnsi"/>
          <w:sz w:val="22"/>
          <w:lang w:eastAsia="sk-SK"/>
        </w:rPr>
        <w:t xml:space="preserve"> žadatelem o dotaci by bylo ESCO, </w:t>
      </w:r>
      <w:r w:rsidR="00253E01" w:rsidRPr="00284664">
        <w:rPr>
          <w:rFonts w:asciiTheme="minorHAnsi" w:hAnsiTheme="minorHAnsi" w:cstheme="minorHAnsi"/>
          <w:sz w:val="22"/>
          <w:lang w:eastAsia="sk-SK"/>
        </w:rPr>
        <w:t>mohla by</w:t>
      </w:r>
      <w:r w:rsidRPr="00284664">
        <w:rPr>
          <w:rFonts w:asciiTheme="minorHAnsi" w:hAnsiTheme="minorHAnsi" w:cstheme="minorHAnsi"/>
          <w:sz w:val="22"/>
          <w:lang w:eastAsia="sk-SK"/>
        </w:rPr>
        <w:t xml:space="preserve"> se </w:t>
      </w:r>
      <w:r w:rsidR="00253E01" w:rsidRPr="00284664">
        <w:rPr>
          <w:rFonts w:asciiTheme="minorHAnsi" w:hAnsiTheme="minorHAnsi" w:cstheme="minorHAnsi"/>
          <w:sz w:val="22"/>
          <w:lang w:eastAsia="sk-SK"/>
        </w:rPr>
        <w:t xml:space="preserve">otevřít </w:t>
      </w:r>
      <w:r w:rsidRPr="00284664">
        <w:rPr>
          <w:rFonts w:asciiTheme="minorHAnsi" w:hAnsiTheme="minorHAnsi" w:cstheme="minorHAnsi"/>
          <w:sz w:val="22"/>
          <w:lang w:eastAsia="sk-SK"/>
        </w:rPr>
        <w:t>cesta k úsporám energií v rámci OP PIK i veřejném</w:t>
      </w:r>
      <w:r w:rsidR="00253E01" w:rsidRPr="00284664">
        <w:rPr>
          <w:rFonts w:asciiTheme="minorHAnsi" w:hAnsiTheme="minorHAnsi" w:cstheme="minorHAnsi"/>
          <w:sz w:val="22"/>
          <w:lang w:eastAsia="sk-SK"/>
        </w:rPr>
        <w:t>u</w:t>
      </w:r>
      <w:r w:rsidRPr="00284664">
        <w:rPr>
          <w:rFonts w:asciiTheme="minorHAnsi" w:hAnsiTheme="minorHAnsi" w:cstheme="minorHAnsi"/>
          <w:sz w:val="22"/>
          <w:lang w:eastAsia="sk-SK"/>
        </w:rPr>
        <w:t xml:space="preserve"> sektoru. </w:t>
      </w:r>
      <w:r w:rsidR="00E90706" w:rsidRPr="00284664">
        <w:rPr>
          <w:rFonts w:asciiTheme="minorHAnsi" w:hAnsiTheme="minorHAnsi" w:cstheme="minorHAnsi"/>
          <w:sz w:val="22"/>
          <w:lang w:eastAsia="sk-SK"/>
        </w:rPr>
        <w:t>Takováto změna v OP by však vyžadovala revizi OP PIK.</w:t>
      </w:r>
    </w:p>
    <w:p w14:paraId="1C359D26" w14:textId="77777777" w:rsidR="004627B7" w:rsidRPr="004627B7" w:rsidRDefault="004627B7" w:rsidP="00C36567">
      <w:pPr>
        <w:pStyle w:val="Odstavecseseznamem"/>
        <w:spacing w:line="276" w:lineRule="auto"/>
        <w:rPr>
          <w:rFonts w:ascii="Calibri" w:hAnsi="Calibri" w:cs="Calibri"/>
          <w:sz w:val="22"/>
          <w:szCs w:val="22"/>
        </w:rPr>
      </w:pPr>
    </w:p>
    <w:p w14:paraId="7744DBC2" w14:textId="37C75518" w:rsidR="00535642" w:rsidRDefault="00753F4C" w:rsidP="00C36567">
      <w:pPr>
        <w:spacing w:after="0"/>
        <w:rPr>
          <w:lang w:eastAsia="sk-SK"/>
        </w:rPr>
      </w:pPr>
      <w:r>
        <w:rPr>
          <w:lang w:eastAsia="sk-SK"/>
        </w:rPr>
        <w:t>Na základě výše uvedeného je zřejmé, že vlivem podpořených projektů nemůže docházet k rozvoji EPC</w:t>
      </w:r>
      <w:r w:rsidR="00253E01">
        <w:rPr>
          <w:lang w:eastAsia="sk-SK"/>
        </w:rPr>
        <w:t xml:space="preserve">, neboť v rámci PP ÚE není možné </w:t>
      </w:r>
      <w:r w:rsidR="00E90706">
        <w:rPr>
          <w:lang w:eastAsia="sk-SK"/>
        </w:rPr>
        <w:t>službu</w:t>
      </w:r>
      <w:r w:rsidR="00253E01">
        <w:rPr>
          <w:lang w:eastAsia="sk-SK"/>
        </w:rPr>
        <w:t xml:space="preserve"> EPC využít. V návaznosti na tuto skutečnost jsou pak logické i </w:t>
      </w:r>
      <w:r w:rsidR="00253E01">
        <w:rPr>
          <w:lang w:eastAsia="sk-SK"/>
        </w:rPr>
        <w:lastRenderedPageBreak/>
        <w:t xml:space="preserve">odpovědi respondentů dotazníkového šetření, kteří v 25 % odpovědí uváděli, že metodu EPC neznají. 22 % respondentů odpovědělo, že i kdyby mohli EPC využít, nepřijde jim jejich realizovaný projekt jako vhodný pro využití této služby. Příjemci dotace vnímali svůj projekt jako příliš malý </w:t>
      </w:r>
      <w:r w:rsidR="00E90706">
        <w:rPr>
          <w:lang w:eastAsia="sk-SK"/>
        </w:rPr>
        <w:t xml:space="preserve">(rozpočtově) </w:t>
      </w:r>
      <w:r w:rsidR="00253E01">
        <w:rPr>
          <w:lang w:eastAsia="sk-SK"/>
        </w:rPr>
        <w:t>či z hlediska EPC nevhodně zaměřený</w:t>
      </w:r>
      <w:r w:rsidR="00E90706">
        <w:rPr>
          <w:lang w:eastAsia="sk-SK"/>
        </w:rPr>
        <w:t xml:space="preserve"> (např. zateplení budov)</w:t>
      </w:r>
      <w:r w:rsidR="00253E01">
        <w:rPr>
          <w:lang w:eastAsia="sk-SK"/>
        </w:rPr>
        <w:t xml:space="preserve">. </w:t>
      </w:r>
    </w:p>
    <w:p w14:paraId="75184F22" w14:textId="77777777" w:rsidR="00C36567" w:rsidRDefault="00C36567" w:rsidP="00C36567">
      <w:pPr>
        <w:spacing w:after="0"/>
        <w:rPr>
          <w:lang w:eastAsia="sk-SK"/>
        </w:rPr>
      </w:pPr>
    </w:p>
    <w:p w14:paraId="6B2CCB27" w14:textId="6139CC90" w:rsidR="00284664" w:rsidRDefault="00284664" w:rsidP="00C36567">
      <w:pPr>
        <w:spacing w:after="0"/>
        <w:rPr>
          <w:lang w:eastAsia="sk-SK"/>
        </w:rPr>
      </w:pPr>
      <w:bookmarkStart w:id="137" w:name="_Toc4596845"/>
      <w:r>
        <w:rPr>
          <w:lang w:eastAsia="sk-SK"/>
        </w:rPr>
        <w:t>Z výše uvedeného vyplývá, že nejprve by bylo vhodné vyřešit otázku, zda podnikatelé mají o služby EPC zájem a v jaké míře. Jako vhodný zdroj informací by mohl posloužit OP ŽP, který žadatelům</w:t>
      </w:r>
      <w:r w:rsidR="00BA647E">
        <w:rPr>
          <w:lang w:eastAsia="sk-SK"/>
        </w:rPr>
        <w:t>,</w:t>
      </w:r>
      <w:r>
        <w:rPr>
          <w:lang w:eastAsia="sk-SK"/>
        </w:rPr>
        <w:t xml:space="preserve"> ovšem pouze z řad veřejných subjektů</w:t>
      </w:r>
      <w:r w:rsidR="00BA647E">
        <w:rPr>
          <w:lang w:eastAsia="sk-SK"/>
        </w:rPr>
        <w:t>,</w:t>
      </w:r>
      <w:r>
        <w:rPr>
          <w:lang w:eastAsia="sk-SK"/>
        </w:rPr>
        <w:t xml:space="preserve"> umožňuje služeb EPC využívat. Energetické audity podávané k žádostem o dotaci jako přílohy již např. obsahují informaci, zda je daný projekt vhodný pro EPC či nikoliv.</w:t>
      </w:r>
    </w:p>
    <w:p w14:paraId="6C088F32" w14:textId="33B7C0FF" w:rsidR="00D3770C" w:rsidRPr="004164FB" w:rsidRDefault="00D3770C" w:rsidP="00D3770C">
      <w:pPr>
        <w:pStyle w:val="Nadpis1"/>
        <w:ind w:left="431" w:hanging="431"/>
      </w:pPr>
      <w:bookmarkStart w:id="138" w:name="_Toc10729961"/>
      <w:r w:rsidRPr="004164FB">
        <w:lastRenderedPageBreak/>
        <w:t>Evaluační otázka 9</w:t>
      </w:r>
      <w:r w:rsidR="0094223C" w:rsidRPr="004164FB">
        <w:t xml:space="preserve"> (NUT)</w:t>
      </w:r>
      <w:bookmarkEnd w:id="137"/>
      <w:bookmarkEnd w:id="138"/>
    </w:p>
    <w:p w14:paraId="1F6A5C17" w14:textId="5669531E" w:rsidR="00D3770C" w:rsidRPr="0001222A" w:rsidRDefault="0094223C" w:rsidP="00D3770C">
      <w:pPr>
        <w:spacing w:after="0"/>
        <w:rPr>
          <w:rFonts w:ascii="Calibri" w:hAnsi="Calibri" w:cs="Calibri"/>
          <w:b/>
        </w:rPr>
      </w:pPr>
      <w:r w:rsidRPr="004164FB">
        <w:rPr>
          <w:rFonts w:ascii="Calibri" w:hAnsi="Calibri" w:cs="Calibri"/>
          <w:b/>
        </w:rPr>
        <w:t>Jak přispěly intervence realizované v rámci programu podpory Nízkouhlíkové technologie k dosahování SC 3.4 OP PIK?</w:t>
      </w:r>
      <w:r w:rsidR="00DD47E6">
        <w:rPr>
          <w:rFonts w:ascii="Calibri" w:hAnsi="Calibri" w:cs="Calibri"/>
          <w:b/>
        </w:rPr>
        <w:t xml:space="preserve"> </w:t>
      </w:r>
      <w:r w:rsidR="00DD47E6" w:rsidRPr="00DD47E6">
        <w:rPr>
          <w:rFonts w:ascii="Calibri" w:hAnsi="Calibri" w:cs="Calibri"/>
          <w:b/>
        </w:rPr>
        <w:t>Dodavatel zhodnotí, do jaké míry přispívají intervence realizované v tomto programu podpory k většímu uplatnění inovativních nízkouhlíkových technologií v oblasti nakládání energií a při využívání druhotných surovin. Vede zavedení inovativních nízkouhlíkových technologií v podpořených podnicích ke snížení nákladů, a tím k růstu konkurenceschopnosti?</w:t>
      </w:r>
    </w:p>
    <w:p w14:paraId="4E5B99A0" w14:textId="77777777" w:rsidR="0001222A" w:rsidRPr="0001222A" w:rsidRDefault="0001222A" w:rsidP="0001222A">
      <w:pPr>
        <w:spacing w:after="0"/>
        <w:rPr>
          <w:rFonts w:ascii="Calibri" w:hAnsi="Calibri" w:cs="Calibri"/>
        </w:rPr>
      </w:pPr>
    </w:p>
    <w:p w14:paraId="2B215C9A" w14:textId="77777777" w:rsidR="0001222A" w:rsidRPr="0001222A" w:rsidRDefault="0001222A" w:rsidP="0001222A">
      <w:pPr>
        <w:pStyle w:val="Nadpis2"/>
      </w:pPr>
      <w:bookmarkStart w:id="139" w:name="_Toc4596846"/>
      <w:bookmarkStart w:id="140" w:name="_Toc10729962"/>
      <w:r w:rsidRPr="0001222A">
        <w:t>Úkol</w:t>
      </w:r>
      <w:bookmarkEnd w:id="139"/>
      <w:bookmarkEnd w:id="140"/>
    </w:p>
    <w:p w14:paraId="2FF392F1" w14:textId="77777777" w:rsidR="00F7383F" w:rsidRDefault="00F7383F" w:rsidP="00F7383F">
      <w:pPr>
        <w:spacing w:after="0"/>
        <w:rPr>
          <w:rFonts w:ascii="Calibri" w:hAnsi="Calibri" w:cs="Calibri"/>
        </w:rPr>
      </w:pPr>
      <w:r w:rsidRPr="00267859">
        <w:rPr>
          <w:rFonts w:ascii="Calibri" w:hAnsi="Calibri" w:cs="Calibri"/>
        </w:rPr>
        <w:t>Vyhodnotit příspěvek podpořených a realizovaných projektů k plnění specifick</w:t>
      </w:r>
      <w:r>
        <w:rPr>
          <w:rFonts w:ascii="Calibri" w:hAnsi="Calibri" w:cs="Calibri"/>
        </w:rPr>
        <w:t>ého</w:t>
      </w:r>
      <w:r w:rsidRPr="00267859">
        <w:rPr>
          <w:rFonts w:ascii="Calibri" w:hAnsi="Calibri" w:cs="Calibri"/>
        </w:rPr>
        <w:t xml:space="preserve"> cíl</w:t>
      </w:r>
      <w:r>
        <w:rPr>
          <w:rFonts w:ascii="Calibri" w:hAnsi="Calibri" w:cs="Calibri"/>
        </w:rPr>
        <w:t>e</w:t>
      </w:r>
      <w:r w:rsidRPr="00267859">
        <w:rPr>
          <w:rFonts w:ascii="Calibri" w:hAnsi="Calibri" w:cs="Calibri"/>
        </w:rPr>
        <w:t>, ověřit platnost kauzálních vazeb.</w:t>
      </w:r>
    </w:p>
    <w:p w14:paraId="6D7511D8" w14:textId="77777777" w:rsidR="0001222A" w:rsidRPr="0001222A" w:rsidRDefault="0001222A" w:rsidP="0001222A">
      <w:pPr>
        <w:spacing w:after="0"/>
        <w:rPr>
          <w:rFonts w:ascii="Calibri" w:hAnsi="Calibri" w:cs="Calibri"/>
        </w:rPr>
      </w:pPr>
    </w:p>
    <w:p w14:paraId="3F3A8EF8" w14:textId="77777777" w:rsidR="0001222A" w:rsidRPr="0001222A" w:rsidRDefault="0001222A" w:rsidP="0001222A">
      <w:pPr>
        <w:pStyle w:val="Nadpis2"/>
      </w:pPr>
      <w:bookmarkStart w:id="141" w:name="_Toc4596847"/>
      <w:bookmarkStart w:id="142" w:name="_Toc10729963"/>
      <w:r w:rsidRPr="0001222A">
        <w:t>Východiska</w:t>
      </w:r>
      <w:bookmarkEnd w:id="141"/>
      <w:bookmarkEnd w:id="142"/>
    </w:p>
    <w:p w14:paraId="4D027E18" w14:textId="22C7D8FE" w:rsidR="00F7383F" w:rsidRDefault="00F7383F" w:rsidP="00F7383F">
      <w:pPr>
        <w:spacing w:after="0"/>
        <w:rPr>
          <w:rFonts w:ascii="Calibri" w:hAnsi="Calibri" w:cs="Calibri"/>
        </w:rPr>
      </w:pPr>
      <w:r>
        <w:rPr>
          <w:rFonts w:ascii="Calibri" w:hAnsi="Calibri" w:cs="Calibri"/>
        </w:rPr>
        <w:t xml:space="preserve">Nástrojem pro naplňování SC 3.4 </w:t>
      </w:r>
      <w:r w:rsidRPr="00267859">
        <w:rPr>
          <w:rFonts w:ascii="Calibri" w:hAnsi="Calibri" w:cs="Calibri"/>
        </w:rPr>
        <w:t xml:space="preserve">je PP </w:t>
      </w:r>
      <w:r>
        <w:rPr>
          <w:rFonts w:ascii="Calibri" w:hAnsi="Calibri" w:cs="Calibri"/>
        </w:rPr>
        <w:t>Nízkouhlíkové t</w:t>
      </w:r>
      <w:r w:rsidRPr="00267859">
        <w:rPr>
          <w:rFonts w:ascii="Calibri" w:hAnsi="Calibri" w:cs="Calibri"/>
        </w:rPr>
        <w:t>echnologie. Je</w:t>
      </w:r>
      <w:r>
        <w:rPr>
          <w:rFonts w:ascii="Calibri" w:hAnsi="Calibri" w:cs="Calibri"/>
        </w:rPr>
        <w:t>ho</w:t>
      </w:r>
      <w:r w:rsidRPr="00267859">
        <w:rPr>
          <w:rFonts w:ascii="Calibri" w:hAnsi="Calibri" w:cs="Calibri"/>
        </w:rPr>
        <w:t xml:space="preserve"> hlavním cílem je </w:t>
      </w:r>
      <w:r>
        <w:rPr>
          <w:rFonts w:ascii="Calibri" w:hAnsi="Calibri" w:cs="Calibri"/>
        </w:rPr>
        <w:t xml:space="preserve">podpora </w:t>
      </w:r>
      <w:r w:rsidRPr="00267859">
        <w:rPr>
          <w:rFonts w:ascii="Calibri" w:hAnsi="Calibri" w:cs="Calibri"/>
        </w:rPr>
        <w:t>konkurenceschopnosti</w:t>
      </w:r>
      <w:r>
        <w:rPr>
          <w:rFonts w:ascii="Calibri" w:hAnsi="Calibri" w:cs="Calibri"/>
        </w:rPr>
        <w:t xml:space="preserve"> podniků a udržitelnosti české ekonomiky prostřednictvím zavádění nových </w:t>
      </w:r>
      <w:r w:rsidRPr="0047790B">
        <w:rPr>
          <w:rFonts w:ascii="Calibri" w:hAnsi="Calibri" w:cs="Calibri"/>
        </w:rPr>
        <w:t>technologií v oblasti nakládání energií a získávání a využívání druhotných surovin.</w:t>
      </w:r>
    </w:p>
    <w:p w14:paraId="67DC58E5" w14:textId="77777777" w:rsidR="00F7383F" w:rsidRPr="0047790B" w:rsidRDefault="00F7383F" w:rsidP="00F7383F">
      <w:pPr>
        <w:spacing w:after="0"/>
        <w:rPr>
          <w:rFonts w:ascii="Calibri" w:hAnsi="Calibri" w:cs="Calibri"/>
        </w:rPr>
      </w:pPr>
    </w:p>
    <w:p w14:paraId="73AC4E6F" w14:textId="77777777" w:rsidR="00F7383F" w:rsidRPr="0047790B" w:rsidRDefault="00F7383F" w:rsidP="00F7383F">
      <w:pPr>
        <w:spacing w:after="0"/>
        <w:rPr>
          <w:rFonts w:ascii="Calibri" w:hAnsi="Calibri" w:cs="Calibri"/>
        </w:rPr>
      </w:pPr>
      <w:r w:rsidRPr="0047790B">
        <w:rPr>
          <w:rFonts w:ascii="Calibri" w:hAnsi="Calibri" w:cs="Calibri"/>
        </w:rPr>
        <w:t>Prostřednictvím realizace tohoto PP má být dosaženo následujících výsledků:</w:t>
      </w:r>
    </w:p>
    <w:p w14:paraId="3449F1DC" w14:textId="77777777" w:rsidR="00F7383F" w:rsidRPr="0047790B" w:rsidRDefault="00F7383F" w:rsidP="00F7383F">
      <w:pPr>
        <w:pStyle w:val="Odstavecseseznamem"/>
        <w:numPr>
          <w:ilvl w:val="0"/>
          <w:numId w:val="36"/>
        </w:numPr>
        <w:rPr>
          <w:rFonts w:ascii="Calibri" w:hAnsi="Calibri" w:cs="Calibri"/>
          <w:sz w:val="22"/>
          <w:szCs w:val="22"/>
        </w:rPr>
      </w:pPr>
      <w:r w:rsidRPr="0047790B">
        <w:rPr>
          <w:rFonts w:ascii="Calibri" w:hAnsi="Calibri" w:cs="Calibri"/>
          <w:sz w:val="22"/>
          <w:szCs w:val="22"/>
        </w:rPr>
        <w:t>Zvýšení využití efektivnějších a spolehlivějších energetických a surovinových nízkouhlíkových technologií, které se běžně v ČR komerčně neuplatňují.</w:t>
      </w:r>
    </w:p>
    <w:p w14:paraId="13D05061" w14:textId="77777777" w:rsidR="00F7383F" w:rsidRPr="0047790B" w:rsidRDefault="00F7383F" w:rsidP="00F7383F">
      <w:pPr>
        <w:pStyle w:val="Odstavecseseznamem"/>
        <w:numPr>
          <w:ilvl w:val="0"/>
          <w:numId w:val="36"/>
        </w:numPr>
        <w:rPr>
          <w:rFonts w:ascii="Calibri" w:hAnsi="Calibri" w:cs="Calibri"/>
          <w:sz w:val="22"/>
          <w:szCs w:val="22"/>
        </w:rPr>
      </w:pPr>
      <w:r w:rsidRPr="0047790B">
        <w:rPr>
          <w:rFonts w:ascii="Calibri" w:hAnsi="Calibri" w:cs="Calibri"/>
          <w:sz w:val="22"/>
          <w:szCs w:val="22"/>
        </w:rPr>
        <w:t>Využití potenciálu pro zavádění moderních nízkouhlíkových technologií v oblasti nakládání energií a využívání druhotných surovin - především v malých a středních podnicích.</w:t>
      </w:r>
    </w:p>
    <w:p w14:paraId="39A84958" w14:textId="77777777" w:rsidR="00F7383F" w:rsidRPr="0047790B" w:rsidRDefault="00F7383F" w:rsidP="00F7383F">
      <w:pPr>
        <w:pStyle w:val="Odstavecseseznamem"/>
        <w:numPr>
          <w:ilvl w:val="0"/>
          <w:numId w:val="36"/>
        </w:numPr>
        <w:rPr>
          <w:rFonts w:ascii="Calibri" w:hAnsi="Calibri" w:cs="Calibri"/>
          <w:sz w:val="22"/>
          <w:szCs w:val="22"/>
        </w:rPr>
      </w:pPr>
      <w:r w:rsidRPr="0047790B">
        <w:rPr>
          <w:rFonts w:ascii="Calibri" w:hAnsi="Calibri" w:cs="Calibri"/>
          <w:sz w:val="22"/>
          <w:szCs w:val="22"/>
        </w:rPr>
        <w:t>Zvýšení soběstačnosti ČR v surovinových zdrojích substitucí primárních zdrojů druhotnými surovinami a zvýšení inovační aktivity podniků směrem k efektivnějšímu využívání klíčových surovin během celého jejich životního cyklu.</w:t>
      </w:r>
    </w:p>
    <w:p w14:paraId="08127FFA" w14:textId="77777777" w:rsidR="00F7383F" w:rsidRPr="0047790B" w:rsidRDefault="00F7383F" w:rsidP="00F7383F">
      <w:pPr>
        <w:pStyle w:val="Odstavecseseznamem"/>
        <w:numPr>
          <w:ilvl w:val="0"/>
          <w:numId w:val="36"/>
        </w:numPr>
        <w:rPr>
          <w:rFonts w:ascii="Calibri" w:hAnsi="Calibri" w:cs="Calibri"/>
          <w:sz w:val="22"/>
          <w:szCs w:val="22"/>
        </w:rPr>
      </w:pPr>
      <w:r w:rsidRPr="0047790B">
        <w:rPr>
          <w:rFonts w:ascii="Calibri" w:hAnsi="Calibri" w:cs="Calibri"/>
          <w:sz w:val="22"/>
          <w:szCs w:val="22"/>
        </w:rPr>
        <w:t>Snížení energetické a materiálové náročnosti ve všech výrobních odvětvích a snížení emisí z průmyslové činnosti v souvislosti s poklesem objemu těžby primárních surovin jako výsledek vyššího využívání druhotných surovin.</w:t>
      </w:r>
    </w:p>
    <w:p w14:paraId="48C4467A" w14:textId="77777777" w:rsidR="00F7383F" w:rsidRPr="0047790B" w:rsidRDefault="00F7383F" w:rsidP="00F7383F">
      <w:pPr>
        <w:pStyle w:val="Odstavecseseznamem"/>
        <w:numPr>
          <w:ilvl w:val="0"/>
          <w:numId w:val="36"/>
        </w:numPr>
        <w:rPr>
          <w:rFonts w:ascii="Calibri" w:hAnsi="Calibri" w:cs="Calibri"/>
          <w:sz w:val="22"/>
          <w:szCs w:val="22"/>
        </w:rPr>
      </w:pPr>
      <w:r w:rsidRPr="0047790B">
        <w:rPr>
          <w:rFonts w:ascii="Calibri" w:hAnsi="Calibri" w:cs="Calibri"/>
          <w:sz w:val="22"/>
          <w:szCs w:val="22"/>
        </w:rPr>
        <w:t>Pozitivní dopad z hlediska životního prostředí v důsledku zavádění nízkouhlíkových technologií do výrobních procesů v podnicích.</w:t>
      </w:r>
    </w:p>
    <w:p w14:paraId="2CD09A0D" w14:textId="77777777" w:rsidR="00F7383F" w:rsidRDefault="00F7383F" w:rsidP="00F7383F">
      <w:pPr>
        <w:spacing w:after="0"/>
        <w:rPr>
          <w:rFonts w:ascii="Calibri" w:hAnsi="Calibri" w:cs="Calibri"/>
        </w:rPr>
      </w:pPr>
    </w:p>
    <w:p w14:paraId="59B2B57E" w14:textId="5D9BC020" w:rsidR="00F7383F" w:rsidRDefault="00F7383F" w:rsidP="00F7383F">
      <w:pPr>
        <w:spacing w:after="0"/>
        <w:rPr>
          <w:rFonts w:ascii="Calibri" w:hAnsi="Calibri" w:cs="Calibri"/>
        </w:rPr>
      </w:pPr>
      <w:r w:rsidRPr="0047790B">
        <w:rPr>
          <w:rFonts w:ascii="Calibri" w:hAnsi="Calibri" w:cs="Calibri"/>
        </w:rPr>
        <w:t xml:space="preserve">Kvantifikací specifického cíle je </w:t>
      </w:r>
      <w:r>
        <w:rPr>
          <w:rFonts w:ascii="Calibri" w:hAnsi="Calibri" w:cs="Calibri"/>
        </w:rPr>
        <w:t xml:space="preserve">počet aplikovaných inovativních nízkouhlíkových technologií. </w:t>
      </w:r>
    </w:p>
    <w:p w14:paraId="3B2686E2" w14:textId="50115E39" w:rsidR="00F7383F" w:rsidRDefault="00F7383F" w:rsidP="00F7383F">
      <w:pPr>
        <w:spacing w:after="0"/>
        <w:rPr>
          <w:rFonts w:ascii="Calibri" w:hAnsi="Calibri" w:cs="Calibri"/>
        </w:rPr>
      </w:pPr>
    </w:p>
    <w:p w14:paraId="713AE95B" w14:textId="0BB93188" w:rsidR="00F7383F" w:rsidRPr="00F7383F" w:rsidRDefault="00F7383F" w:rsidP="00F7383F">
      <w:pPr>
        <w:spacing w:after="0"/>
        <w:rPr>
          <w:rFonts w:ascii="Calibri" w:hAnsi="Calibri" w:cs="Calibri"/>
        </w:rPr>
      </w:pPr>
      <w:r>
        <w:rPr>
          <w:rFonts w:ascii="Calibri" w:hAnsi="Calibri" w:cs="Calibri"/>
        </w:rPr>
        <w:t xml:space="preserve">Ve 4 dosud vyhlášených výzvách </w:t>
      </w:r>
      <w:r w:rsidRPr="00F7383F">
        <w:rPr>
          <w:rFonts w:ascii="Calibri" w:hAnsi="Calibri" w:cs="Calibri"/>
        </w:rPr>
        <w:t xml:space="preserve">PP NUT </w:t>
      </w:r>
      <w:r>
        <w:rPr>
          <w:rFonts w:ascii="Calibri" w:hAnsi="Calibri" w:cs="Calibri"/>
        </w:rPr>
        <w:t xml:space="preserve">je poskytována podpora </w:t>
      </w:r>
      <w:r w:rsidRPr="00F7383F">
        <w:rPr>
          <w:rFonts w:ascii="Calibri" w:hAnsi="Calibri" w:cs="Calibri"/>
        </w:rPr>
        <w:t>projekt</w:t>
      </w:r>
      <w:r>
        <w:rPr>
          <w:rFonts w:ascii="Calibri" w:hAnsi="Calibri" w:cs="Calibri"/>
        </w:rPr>
        <w:t>ům</w:t>
      </w:r>
      <w:r w:rsidRPr="00F7383F">
        <w:rPr>
          <w:rFonts w:ascii="Calibri" w:hAnsi="Calibri" w:cs="Calibri"/>
        </w:rPr>
        <w:t xml:space="preserve"> ve 4 hlavních typových aktivitách:</w:t>
      </w:r>
    </w:p>
    <w:p w14:paraId="7C173C6B" w14:textId="77777777" w:rsidR="00F7383F" w:rsidRPr="00F7383F" w:rsidRDefault="00F7383F" w:rsidP="00F7383F">
      <w:pPr>
        <w:spacing w:after="0"/>
        <w:rPr>
          <w:rFonts w:ascii="Calibri" w:hAnsi="Calibri" w:cs="Calibri"/>
        </w:rPr>
      </w:pPr>
      <w:r w:rsidRPr="00F7383F">
        <w:rPr>
          <w:rFonts w:ascii="Calibri" w:hAnsi="Calibri" w:cs="Calibri"/>
        </w:rPr>
        <w:t>a)</w:t>
      </w:r>
      <w:r w:rsidRPr="00F7383F">
        <w:rPr>
          <w:rFonts w:ascii="Calibri" w:hAnsi="Calibri" w:cs="Calibri"/>
        </w:rPr>
        <w:tab/>
        <w:t>Elektromobilita</w:t>
      </w:r>
    </w:p>
    <w:p w14:paraId="2275D886" w14:textId="77777777" w:rsidR="00F7383F" w:rsidRPr="00F7383F" w:rsidRDefault="00F7383F" w:rsidP="00F7383F">
      <w:pPr>
        <w:spacing w:after="0"/>
        <w:rPr>
          <w:rFonts w:ascii="Calibri" w:hAnsi="Calibri" w:cs="Calibri"/>
        </w:rPr>
      </w:pPr>
      <w:r w:rsidRPr="00F7383F">
        <w:rPr>
          <w:rFonts w:ascii="Calibri" w:hAnsi="Calibri" w:cs="Calibri"/>
        </w:rPr>
        <w:t>b)</w:t>
      </w:r>
      <w:r w:rsidRPr="00F7383F">
        <w:rPr>
          <w:rFonts w:ascii="Calibri" w:hAnsi="Calibri" w:cs="Calibri"/>
        </w:rPr>
        <w:tab/>
        <w:t>Akumulace energie</w:t>
      </w:r>
    </w:p>
    <w:p w14:paraId="1E0045B4" w14:textId="77777777" w:rsidR="00F7383F" w:rsidRPr="00F7383F" w:rsidRDefault="00F7383F" w:rsidP="00F7383F">
      <w:pPr>
        <w:spacing w:after="0"/>
        <w:rPr>
          <w:rFonts w:ascii="Calibri" w:hAnsi="Calibri" w:cs="Calibri"/>
        </w:rPr>
      </w:pPr>
      <w:r w:rsidRPr="00F7383F">
        <w:rPr>
          <w:rFonts w:ascii="Calibri" w:hAnsi="Calibri" w:cs="Calibri"/>
        </w:rPr>
        <w:t>c)</w:t>
      </w:r>
      <w:r w:rsidRPr="00F7383F">
        <w:rPr>
          <w:rFonts w:ascii="Calibri" w:hAnsi="Calibri" w:cs="Calibri"/>
        </w:rPr>
        <w:tab/>
        <w:t>Druhotné suroviny</w:t>
      </w:r>
    </w:p>
    <w:p w14:paraId="0B7EC6A3" w14:textId="675A8CB5" w:rsidR="00F7383F" w:rsidRPr="00F7383F" w:rsidRDefault="00F7383F" w:rsidP="00F7383F">
      <w:pPr>
        <w:spacing w:after="0"/>
        <w:rPr>
          <w:rFonts w:ascii="Calibri" w:hAnsi="Calibri" w:cs="Calibri"/>
        </w:rPr>
      </w:pPr>
      <w:bookmarkStart w:id="143" w:name="_Hlk9438280"/>
      <w:r w:rsidRPr="00F7383F">
        <w:rPr>
          <w:rFonts w:ascii="Calibri" w:hAnsi="Calibri" w:cs="Calibri"/>
        </w:rPr>
        <w:t>d)</w:t>
      </w:r>
      <w:r w:rsidRPr="00F7383F">
        <w:rPr>
          <w:rFonts w:ascii="Calibri" w:hAnsi="Calibri" w:cs="Calibri"/>
        </w:rPr>
        <w:tab/>
        <w:t>Úprava bioplynu na biometan a jeho vtláčení do sítě</w:t>
      </w:r>
      <w:r>
        <w:rPr>
          <w:rFonts w:ascii="Calibri" w:hAnsi="Calibri" w:cs="Calibri"/>
        </w:rPr>
        <w:t xml:space="preserve"> (od III. výzvy)</w:t>
      </w:r>
    </w:p>
    <w:bookmarkEnd w:id="143"/>
    <w:p w14:paraId="5FC3DE8F" w14:textId="0A026942" w:rsidR="0076025E" w:rsidRDefault="0076025E" w:rsidP="0001222A">
      <w:pPr>
        <w:spacing w:after="0"/>
        <w:rPr>
          <w:rFonts w:ascii="Calibri" w:hAnsi="Calibri" w:cs="Calibri"/>
        </w:rPr>
      </w:pPr>
    </w:p>
    <w:p w14:paraId="198CCBBE" w14:textId="4970E56E" w:rsidR="00FD2AC4" w:rsidRDefault="00FD2AC4" w:rsidP="0001222A">
      <w:pPr>
        <w:spacing w:after="0"/>
        <w:rPr>
          <w:rFonts w:ascii="Calibri" w:hAnsi="Calibri" w:cs="Calibri"/>
        </w:rPr>
      </w:pPr>
    </w:p>
    <w:p w14:paraId="0B1E89A7" w14:textId="77777777" w:rsidR="00FD2AC4" w:rsidRPr="0001222A" w:rsidRDefault="00FD2AC4" w:rsidP="0001222A">
      <w:pPr>
        <w:spacing w:after="0"/>
        <w:rPr>
          <w:rFonts w:ascii="Calibri" w:hAnsi="Calibri" w:cs="Calibri"/>
        </w:rPr>
      </w:pPr>
    </w:p>
    <w:p w14:paraId="783DEA7D" w14:textId="77777777" w:rsidR="0001222A" w:rsidRPr="0001222A" w:rsidRDefault="0001222A" w:rsidP="0076025E">
      <w:pPr>
        <w:pStyle w:val="Nadpis2"/>
      </w:pPr>
      <w:bookmarkStart w:id="144" w:name="_Toc4596848"/>
      <w:bookmarkStart w:id="145" w:name="_Toc10729964"/>
      <w:r w:rsidRPr="0001222A">
        <w:lastRenderedPageBreak/>
        <w:t>Zjištění v návaznosti na evaluační otázku a úkol</w:t>
      </w:r>
      <w:bookmarkEnd w:id="144"/>
      <w:bookmarkEnd w:id="145"/>
    </w:p>
    <w:tbl>
      <w:tblPr>
        <w:tblStyle w:val="Svtlmkatabulky1"/>
        <w:tblW w:w="0" w:type="auto"/>
        <w:tblLook w:val="04A0" w:firstRow="1" w:lastRow="0" w:firstColumn="1" w:lastColumn="0" w:noHBand="0" w:noVBand="1"/>
      </w:tblPr>
      <w:tblGrid>
        <w:gridCol w:w="2972"/>
        <w:gridCol w:w="5954"/>
      </w:tblGrid>
      <w:tr w:rsidR="0001222A" w:rsidRPr="0001222A" w14:paraId="758EA770" w14:textId="77777777" w:rsidTr="0076025E">
        <w:tc>
          <w:tcPr>
            <w:tcW w:w="2972" w:type="dxa"/>
            <w:shd w:val="clear" w:color="auto" w:fill="F2F2F2" w:themeFill="background1" w:themeFillShade="F2"/>
          </w:tcPr>
          <w:p w14:paraId="7A59B5BE" w14:textId="77777777" w:rsidR="0001222A" w:rsidRPr="0001222A" w:rsidRDefault="0001222A" w:rsidP="00DD23F3">
            <w:pPr>
              <w:rPr>
                <w:rFonts w:ascii="Calibri" w:hAnsi="Calibri" w:cs="Calibri"/>
                <w:b/>
              </w:rPr>
            </w:pPr>
            <w:r w:rsidRPr="0001222A">
              <w:rPr>
                <w:rFonts w:ascii="Calibri" w:hAnsi="Calibri" w:cs="Calibri"/>
                <w:b/>
              </w:rPr>
              <w:t>Evaluační otázka</w:t>
            </w:r>
          </w:p>
        </w:tc>
        <w:tc>
          <w:tcPr>
            <w:tcW w:w="5954" w:type="dxa"/>
          </w:tcPr>
          <w:p w14:paraId="463B3D5B" w14:textId="77777777" w:rsidR="00650591" w:rsidRDefault="0094223C" w:rsidP="00DD23F3">
            <w:pPr>
              <w:rPr>
                <w:rFonts w:ascii="Calibri" w:hAnsi="Calibri" w:cs="Calibri"/>
                <w:b/>
              </w:rPr>
            </w:pPr>
            <w:r w:rsidRPr="0094223C">
              <w:rPr>
                <w:rFonts w:ascii="Calibri" w:hAnsi="Calibri" w:cs="Calibri"/>
                <w:b/>
              </w:rPr>
              <w:t>Jak přispěly intervence realizované v rámci programu podpory Nízkouhlíkové technologie k dosahování SC 3.4 OP PIK?</w:t>
            </w:r>
            <w:r w:rsidR="00AC1963">
              <w:rPr>
                <w:rFonts w:ascii="Calibri" w:hAnsi="Calibri" w:cs="Calibri"/>
                <w:b/>
              </w:rPr>
              <w:t xml:space="preserve"> </w:t>
            </w:r>
          </w:p>
          <w:p w14:paraId="5E9E2F6F" w14:textId="19D2C779" w:rsidR="0001222A" w:rsidRPr="0076025E" w:rsidRDefault="00AC1963" w:rsidP="00DD23F3">
            <w:pPr>
              <w:rPr>
                <w:rFonts w:ascii="Calibri" w:hAnsi="Calibri" w:cs="Calibri"/>
                <w:b/>
              </w:rPr>
            </w:pPr>
            <w:r>
              <w:rPr>
                <w:rFonts w:ascii="Calibri" w:hAnsi="Calibri" w:cs="Calibri"/>
                <w:b/>
              </w:rPr>
              <w:t>Vede zavedení inovativních nízkouhlíkových technologií v podpořených podnicích ke snížení nákladů, a tím k růstu konkurenceschopnosti?</w:t>
            </w:r>
          </w:p>
        </w:tc>
      </w:tr>
      <w:tr w:rsidR="0001222A" w:rsidRPr="0001222A" w14:paraId="260818EF" w14:textId="77777777" w:rsidTr="0076025E">
        <w:tc>
          <w:tcPr>
            <w:tcW w:w="2972" w:type="dxa"/>
            <w:shd w:val="clear" w:color="auto" w:fill="F2F2F2" w:themeFill="background1" w:themeFillShade="F2"/>
          </w:tcPr>
          <w:p w14:paraId="7CBA6606" w14:textId="77777777" w:rsidR="0001222A" w:rsidRPr="0001222A" w:rsidRDefault="0001222A" w:rsidP="00DD23F3">
            <w:pPr>
              <w:rPr>
                <w:rFonts w:ascii="Calibri" w:hAnsi="Calibri" w:cs="Calibri"/>
              </w:rPr>
            </w:pPr>
            <w:r w:rsidRPr="0001222A">
              <w:rPr>
                <w:rFonts w:ascii="Calibri" w:hAnsi="Calibri" w:cs="Calibri"/>
                <w:b/>
                <w:bCs/>
              </w:rPr>
              <w:t>Zhodnocení</w:t>
            </w:r>
            <w:r w:rsidRPr="0001222A">
              <w:rPr>
                <w:rFonts w:ascii="Calibri" w:hAnsi="Calibri" w:cs="Calibri"/>
                <w:b/>
                <w:bCs/>
              </w:rPr>
              <w:br/>
            </w:r>
            <w:r w:rsidRPr="0001222A">
              <w:rPr>
                <w:rFonts w:ascii="Calibri" w:hAnsi="Calibri" w:cs="Calibri"/>
              </w:rPr>
              <w:t>(Ano, Spíše ano, Spíše ne, Ne, Není relevantní)</w:t>
            </w:r>
          </w:p>
        </w:tc>
        <w:tc>
          <w:tcPr>
            <w:tcW w:w="5954" w:type="dxa"/>
          </w:tcPr>
          <w:p w14:paraId="07EED3D5" w14:textId="77777777" w:rsidR="00650591" w:rsidRDefault="0043022E" w:rsidP="00DD23F3">
            <w:pPr>
              <w:rPr>
                <w:rFonts w:ascii="Calibri" w:hAnsi="Calibri" w:cs="Calibri"/>
              </w:rPr>
            </w:pPr>
            <w:r>
              <w:rPr>
                <w:rFonts w:ascii="Calibri" w:hAnsi="Calibri" w:cs="Calibri"/>
              </w:rPr>
              <w:t>Ne</w:t>
            </w:r>
            <w:r w:rsidR="00650591">
              <w:rPr>
                <w:rFonts w:ascii="Calibri" w:hAnsi="Calibri" w:cs="Calibri"/>
              </w:rPr>
              <w:t xml:space="preserve">ní </w:t>
            </w:r>
            <w:r>
              <w:rPr>
                <w:rFonts w:ascii="Calibri" w:hAnsi="Calibri" w:cs="Calibri"/>
              </w:rPr>
              <w:t>relevantn</w:t>
            </w:r>
            <w:r w:rsidR="00650591">
              <w:rPr>
                <w:rFonts w:ascii="Calibri" w:hAnsi="Calibri" w:cs="Calibri"/>
              </w:rPr>
              <w:t>í</w:t>
            </w:r>
          </w:p>
          <w:p w14:paraId="15E8FB94" w14:textId="5D8DFDAA" w:rsidR="0001222A" w:rsidRPr="0001222A" w:rsidRDefault="0043022E" w:rsidP="00DD23F3">
            <w:pPr>
              <w:rPr>
                <w:rFonts w:ascii="Calibri" w:hAnsi="Calibri" w:cs="Calibri"/>
              </w:rPr>
            </w:pPr>
            <w:r>
              <w:rPr>
                <w:rFonts w:ascii="Calibri" w:hAnsi="Calibri" w:cs="Calibri"/>
              </w:rPr>
              <w:t>Spíše ano</w:t>
            </w:r>
          </w:p>
        </w:tc>
      </w:tr>
      <w:tr w:rsidR="0001222A" w:rsidRPr="0001222A" w14:paraId="153AD78E" w14:textId="77777777" w:rsidTr="0076025E">
        <w:tc>
          <w:tcPr>
            <w:tcW w:w="2972" w:type="dxa"/>
            <w:shd w:val="clear" w:color="auto" w:fill="F2F2F2" w:themeFill="background1" w:themeFillShade="F2"/>
          </w:tcPr>
          <w:p w14:paraId="1FB15D32" w14:textId="77777777" w:rsidR="0001222A" w:rsidRPr="0001222A" w:rsidRDefault="000722BD" w:rsidP="00DD23F3">
            <w:pPr>
              <w:rPr>
                <w:rFonts w:ascii="Calibri" w:hAnsi="Calibri" w:cs="Calibri"/>
                <w:b/>
              </w:rPr>
            </w:pPr>
            <w:r>
              <w:rPr>
                <w:rFonts w:ascii="Calibri" w:hAnsi="Calibri" w:cs="Calibri"/>
                <w:b/>
              </w:rPr>
              <w:t>Hlavní závěry a zjištění</w:t>
            </w:r>
            <w:r w:rsidR="0001222A" w:rsidRPr="0001222A">
              <w:rPr>
                <w:rFonts w:ascii="Calibri" w:hAnsi="Calibri" w:cs="Calibri"/>
                <w:b/>
              </w:rPr>
              <w:t xml:space="preserve"> </w:t>
            </w:r>
          </w:p>
        </w:tc>
        <w:tc>
          <w:tcPr>
            <w:tcW w:w="5954" w:type="dxa"/>
          </w:tcPr>
          <w:p w14:paraId="41A4164A" w14:textId="4A1C03C1" w:rsidR="00A04835" w:rsidRDefault="00A04835" w:rsidP="00DD23F3">
            <w:pPr>
              <w:rPr>
                <w:rFonts w:ascii="Calibri" w:hAnsi="Calibri" w:cs="Calibri"/>
              </w:rPr>
            </w:pPr>
            <w:r>
              <w:rPr>
                <w:rFonts w:ascii="Calibri" w:hAnsi="Calibri" w:cs="Calibri"/>
              </w:rPr>
              <w:t>Dosavadní věcný pokrok při dosahování kvantifikovaných cílů SC 3.4 lze zatím hodnotit jako neuspokojivý, nicméně existuje potenciál pro výrazný nárůst hodnot indikátorů i pro dosažení cílů do konce programového období.</w:t>
            </w:r>
          </w:p>
          <w:p w14:paraId="6F541371" w14:textId="4FF4AF4C" w:rsidR="00A04835" w:rsidRDefault="00A04835" w:rsidP="00DD23F3">
            <w:pPr>
              <w:rPr>
                <w:rFonts w:ascii="Calibri" w:hAnsi="Calibri" w:cs="Calibri"/>
              </w:rPr>
            </w:pPr>
          </w:p>
          <w:p w14:paraId="5F5CA72F" w14:textId="3ACFB67F" w:rsidR="00A04835" w:rsidRDefault="00A04835" w:rsidP="00DD23F3">
            <w:pPr>
              <w:rPr>
                <w:rFonts w:ascii="Calibri" w:hAnsi="Calibri" w:cs="Calibri"/>
              </w:rPr>
            </w:pPr>
            <w:r>
              <w:rPr>
                <w:rFonts w:ascii="Calibri" w:hAnsi="Calibri" w:cs="Calibri"/>
              </w:rPr>
              <w:t>Z pohledu definovaných výsledků, kterých chce ČR dosáhnout s podporou Unie, lze pozorovat pozitivní vývojové trendy. Vliv intervencí SC 3.4 je však možno považovat spíše za nevýznamný, a to i s ohledem na malý počet ukončených projektů. Určitou výjimku tvoří oblast elektromobility.</w:t>
            </w:r>
          </w:p>
          <w:p w14:paraId="493FA828" w14:textId="77777777" w:rsidR="00A04835" w:rsidRDefault="00A04835" w:rsidP="00DD23F3">
            <w:pPr>
              <w:rPr>
                <w:rFonts w:ascii="Calibri" w:hAnsi="Calibri" w:cs="Calibri"/>
              </w:rPr>
            </w:pPr>
          </w:p>
          <w:p w14:paraId="63141A1E" w14:textId="0B015B31" w:rsidR="0001222A" w:rsidRPr="0001222A" w:rsidRDefault="00A04835" w:rsidP="00DD23F3">
            <w:pPr>
              <w:rPr>
                <w:rFonts w:ascii="Calibri" w:hAnsi="Calibri" w:cs="Calibri"/>
              </w:rPr>
            </w:pPr>
            <w:r>
              <w:rPr>
                <w:rFonts w:ascii="Calibri" w:hAnsi="Calibri" w:cs="Calibri"/>
              </w:rPr>
              <w:t xml:space="preserve">Lze konstatovat, že zavádění </w:t>
            </w:r>
            <w:r w:rsidRPr="00A04835">
              <w:rPr>
                <w:rFonts w:ascii="Calibri" w:hAnsi="Calibri" w:cs="Calibri"/>
              </w:rPr>
              <w:t xml:space="preserve">inovativních nízkouhlíkových technologií </w:t>
            </w:r>
            <w:r>
              <w:rPr>
                <w:rFonts w:ascii="Calibri" w:hAnsi="Calibri" w:cs="Calibri"/>
              </w:rPr>
              <w:t xml:space="preserve">vede </w:t>
            </w:r>
            <w:r w:rsidRPr="00A04835">
              <w:rPr>
                <w:rFonts w:ascii="Calibri" w:hAnsi="Calibri" w:cs="Calibri"/>
              </w:rPr>
              <w:t>v podpořených podnicích ke snížení nákladů, a tím k růstu konkurenceschopnosti</w:t>
            </w:r>
            <w:r>
              <w:rPr>
                <w:rFonts w:ascii="Calibri" w:hAnsi="Calibri" w:cs="Calibri"/>
              </w:rPr>
              <w:t xml:space="preserve">.   </w:t>
            </w:r>
          </w:p>
        </w:tc>
      </w:tr>
      <w:tr w:rsidR="0001222A" w:rsidRPr="0001222A" w14:paraId="58776BF7" w14:textId="77777777" w:rsidTr="0076025E">
        <w:tc>
          <w:tcPr>
            <w:tcW w:w="2972" w:type="dxa"/>
            <w:shd w:val="clear" w:color="auto" w:fill="F2F2F2" w:themeFill="background1" w:themeFillShade="F2"/>
          </w:tcPr>
          <w:p w14:paraId="0D6C1038" w14:textId="77777777" w:rsidR="0001222A" w:rsidRPr="0001222A" w:rsidRDefault="0001222A" w:rsidP="00DD23F3">
            <w:pPr>
              <w:rPr>
                <w:rFonts w:ascii="Calibri" w:hAnsi="Calibri" w:cs="Calibri"/>
                <w:b/>
              </w:rPr>
            </w:pPr>
            <w:bookmarkStart w:id="146" w:name="_Hlk10551792"/>
            <w:r w:rsidRPr="0001222A">
              <w:rPr>
                <w:rFonts w:ascii="Calibri" w:hAnsi="Calibri" w:cs="Calibri"/>
                <w:b/>
              </w:rPr>
              <w:t>Doporučení pro programové období 2014 - 2020</w:t>
            </w:r>
          </w:p>
        </w:tc>
        <w:tc>
          <w:tcPr>
            <w:tcW w:w="5954" w:type="dxa"/>
          </w:tcPr>
          <w:p w14:paraId="05B6FF93" w14:textId="7C0CCC32" w:rsidR="0001222A" w:rsidRPr="0001222A" w:rsidRDefault="00F11649" w:rsidP="00DD23F3">
            <w:pPr>
              <w:rPr>
                <w:rFonts w:ascii="Calibri" w:hAnsi="Calibri" w:cs="Calibri"/>
              </w:rPr>
            </w:pPr>
            <w:r>
              <w:rPr>
                <w:rFonts w:ascii="Calibri" w:hAnsi="Calibri" w:cs="Calibri"/>
              </w:rPr>
              <w:t>Posouzení příspěvku</w:t>
            </w:r>
            <w:r w:rsidRPr="00F11649">
              <w:rPr>
                <w:rFonts w:ascii="Calibri" w:hAnsi="Calibri" w:cs="Calibri"/>
              </w:rPr>
              <w:t xml:space="preserve"> intervenc</w:t>
            </w:r>
            <w:r>
              <w:rPr>
                <w:rFonts w:ascii="Calibri" w:hAnsi="Calibri" w:cs="Calibri"/>
              </w:rPr>
              <w:t>í</w:t>
            </w:r>
            <w:r w:rsidRPr="00F11649">
              <w:rPr>
                <w:rFonts w:ascii="Calibri" w:hAnsi="Calibri" w:cs="Calibri"/>
              </w:rPr>
              <w:t xml:space="preserve"> realizovan</w:t>
            </w:r>
            <w:r>
              <w:rPr>
                <w:rFonts w:ascii="Calibri" w:hAnsi="Calibri" w:cs="Calibri"/>
              </w:rPr>
              <w:t>ých</w:t>
            </w:r>
            <w:r w:rsidRPr="00F11649">
              <w:rPr>
                <w:rFonts w:ascii="Calibri" w:hAnsi="Calibri" w:cs="Calibri"/>
              </w:rPr>
              <w:t xml:space="preserve"> v rámci </w:t>
            </w:r>
            <w:r>
              <w:rPr>
                <w:rFonts w:ascii="Calibri" w:hAnsi="Calibri" w:cs="Calibri"/>
              </w:rPr>
              <w:t>PP NUT</w:t>
            </w:r>
            <w:r w:rsidRPr="00F11649">
              <w:rPr>
                <w:rFonts w:ascii="Calibri" w:hAnsi="Calibri" w:cs="Calibri"/>
              </w:rPr>
              <w:t xml:space="preserve"> k dosahování SC 3.4 OP PIK</w:t>
            </w:r>
            <w:r>
              <w:rPr>
                <w:rFonts w:ascii="Calibri" w:hAnsi="Calibri" w:cs="Calibri"/>
              </w:rPr>
              <w:t xml:space="preserve"> i vlivu NUT na ekonomiku podpořených podniků provést v rámci ex post evaluace</w:t>
            </w:r>
            <w:r w:rsidR="0043022E">
              <w:rPr>
                <w:rFonts w:ascii="Calibri" w:hAnsi="Calibri" w:cs="Calibri"/>
              </w:rPr>
              <w:t xml:space="preserve"> SC 3.4</w:t>
            </w:r>
            <w:r>
              <w:rPr>
                <w:rFonts w:ascii="Calibri" w:hAnsi="Calibri" w:cs="Calibri"/>
              </w:rPr>
              <w:t>.</w:t>
            </w:r>
          </w:p>
        </w:tc>
      </w:tr>
      <w:tr w:rsidR="0001222A" w:rsidRPr="0001222A" w14:paraId="44307076" w14:textId="77777777" w:rsidTr="0076025E">
        <w:tc>
          <w:tcPr>
            <w:tcW w:w="2972" w:type="dxa"/>
            <w:shd w:val="clear" w:color="auto" w:fill="F2F2F2" w:themeFill="background1" w:themeFillShade="F2"/>
          </w:tcPr>
          <w:p w14:paraId="034E83A3" w14:textId="40C0AEFA" w:rsidR="0001222A" w:rsidRPr="0001222A" w:rsidRDefault="0001222A" w:rsidP="00DD23F3">
            <w:pPr>
              <w:rPr>
                <w:rFonts w:ascii="Calibri" w:hAnsi="Calibri" w:cs="Calibri"/>
                <w:b/>
              </w:rPr>
            </w:pPr>
            <w:r w:rsidRPr="0001222A">
              <w:rPr>
                <w:rFonts w:ascii="Calibri" w:hAnsi="Calibri" w:cs="Calibri"/>
                <w:b/>
              </w:rPr>
              <w:t>Doporučení pro programové období 2021</w:t>
            </w:r>
            <w:r w:rsidR="003B137A">
              <w:rPr>
                <w:rFonts w:ascii="Calibri" w:hAnsi="Calibri" w:cs="Calibri"/>
                <w:b/>
              </w:rPr>
              <w:t xml:space="preserve"> - 2027</w:t>
            </w:r>
          </w:p>
        </w:tc>
        <w:tc>
          <w:tcPr>
            <w:tcW w:w="5954" w:type="dxa"/>
          </w:tcPr>
          <w:p w14:paraId="761CA69B" w14:textId="7E865CF0" w:rsidR="0001222A" w:rsidRPr="0001222A" w:rsidRDefault="00F11649" w:rsidP="00CA071C">
            <w:pPr>
              <w:rPr>
                <w:rFonts w:ascii="Calibri" w:hAnsi="Calibri" w:cs="Calibri"/>
              </w:rPr>
            </w:pPr>
            <w:r>
              <w:rPr>
                <w:rFonts w:ascii="Calibri" w:hAnsi="Calibri" w:cs="Calibri"/>
              </w:rPr>
              <w:t>Zachovat podporu zavádění inovativních NUT v oblasti nakládání energií a využívání druhotných surovin, v souladu s konceptem oběhového hospodářství.</w:t>
            </w:r>
          </w:p>
        </w:tc>
      </w:tr>
      <w:bookmarkEnd w:id="146"/>
    </w:tbl>
    <w:p w14:paraId="14E2E7A8" w14:textId="77777777" w:rsidR="0001222A" w:rsidRPr="0001222A" w:rsidRDefault="0001222A" w:rsidP="0001222A">
      <w:pPr>
        <w:spacing w:after="0"/>
        <w:rPr>
          <w:rFonts w:ascii="Calibri" w:hAnsi="Calibri" w:cs="Calibri"/>
        </w:rPr>
      </w:pPr>
    </w:p>
    <w:p w14:paraId="5FDDC2F7" w14:textId="77777777" w:rsidR="0001222A" w:rsidRPr="0001222A" w:rsidRDefault="0001222A" w:rsidP="0076025E">
      <w:pPr>
        <w:pStyle w:val="Nadpis2"/>
      </w:pPr>
      <w:bookmarkStart w:id="147" w:name="_Toc4596849"/>
      <w:bookmarkStart w:id="148" w:name="_Toc10729965"/>
      <w:r w:rsidRPr="0001222A">
        <w:t>Doplňující informace k evaluační otázce</w:t>
      </w:r>
      <w:bookmarkEnd w:id="147"/>
      <w:bookmarkEnd w:id="148"/>
    </w:p>
    <w:p w14:paraId="1E1CF7F1" w14:textId="77777777" w:rsidR="00F7383F" w:rsidRDefault="00F7383F" w:rsidP="00F7383F">
      <w:pPr>
        <w:pStyle w:val="Nadpis3"/>
      </w:pPr>
      <w:bookmarkStart w:id="149" w:name="_Toc10729966"/>
      <w:r>
        <w:t>Kvantitativní vyhodnocení naplňování specifického cíle 3.4</w:t>
      </w:r>
      <w:bookmarkEnd w:id="149"/>
    </w:p>
    <w:p w14:paraId="5860A607" w14:textId="77777777" w:rsidR="00F7383F" w:rsidRDefault="00F7383F" w:rsidP="00F7383F">
      <w:pPr>
        <w:spacing w:after="0"/>
        <w:rPr>
          <w:rFonts w:ascii="Calibri" w:hAnsi="Calibri" w:cs="Calibri"/>
        </w:rPr>
      </w:pPr>
      <w:r>
        <w:rPr>
          <w:rFonts w:ascii="Calibri" w:hAnsi="Calibri" w:cs="Calibri"/>
        </w:rPr>
        <w:t xml:space="preserve">Na úrovni SC 3.4 byl definován 1 ukazatel výsledku, a sice </w:t>
      </w:r>
      <w:r w:rsidRPr="0047790B">
        <w:rPr>
          <w:rFonts w:ascii="Calibri" w:hAnsi="Calibri" w:cs="Calibri"/>
        </w:rPr>
        <w:t>„Aplikované inovativní nízkouhlíkové technologie</w:t>
      </w:r>
      <w:r>
        <w:rPr>
          <w:rFonts w:ascii="Calibri" w:hAnsi="Calibri" w:cs="Calibri"/>
        </w:rPr>
        <w:t>.</w:t>
      </w:r>
      <w:r w:rsidRPr="0047790B">
        <w:rPr>
          <w:rFonts w:ascii="Calibri" w:hAnsi="Calibri" w:cs="Calibri"/>
        </w:rPr>
        <w:t>“</w:t>
      </w:r>
      <w:r>
        <w:rPr>
          <w:rFonts w:ascii="Calibri" w:hAnsi="Calibri" w:cs="Calibri"/>
        </w:rPr>
        <w:t xml:space="preserve"> S ohledem na neexistenci relevantní statistiky byla </w:t>
      </w:r>
      <w:r w:rsidRPr="0047790B">
        <w:rPr>
          <w:rFonts w:ascii="Calibri" w:hAnsi="Calibri" w:cs="Calibri"/>
        </w:rPr>
        <w:t>jeho výchozí hodnota</w:t>
      </w:r>
      <w:r>
        <w:rPr>
          <w:rFonts w:ascii="Calibri" w:hAnsi="Calibri" w:cs="Calibri"/>
        </w:rPr>
        <w:t xml:space="preserve"> stanovena </w:t>
      </w:r>
      <w:r w:rsidRPr="0047790B">
        <w:rPr>
          <w:rFonts w:ascii="Calibri" w:hAnsi="Calibri" w:cs="Calibri"/>
        </w:rPr>
        <w:t>nulová.</w:t>
      </w:r>
    </w:p>
    <w:p w14:paraId="0ECE2D58" w14:textId="77777777" w:rsidR="00F7383F" w:rsidRDefault="00F7383F" w:rsidP="00F7383F">
      <w:pPr>
        <w:spacing w:after="0"/>
        <w:rPr>
          <w:rFonts w:ascii="Calibri" w:hAnsi="Calibri" w:cs="Calibri"/>
        </w:rPr>
      </w:pPr>
    </w:p>
    <w:p w14:paraId="16AE316F" w14:textId="77777777" w:rsidR="00F7383F" w:rsidRDefault="00F7383F" w:rsidP="00F7383F">
      <w:pPr>
        <w:spacing w:after="0"/>
        <w:rPr>
          <w:rFonts w:ascii="Calibri" w:hAnsi="Calibri" w:cs="Calibri"/>
        </w:rPr>
      </w:pPr>
      <w:r>
        <w:rPr>
          <w:rFonts w:ascii="Calibri" w:hAnsi="Calibri" w:cs="Calibri"/>
        </w:rPr>
        <w:t>Ve výchozí verzi programového dokumentu z roku 2015 byla cílová hodnota pro rok 2023 nastavena na 70. S ohledem na příznivý průběh realizace PP NUT, resp. zájem ze strany cílových skupin byla v rámci revizí OP PIK navýšena indikativní alokace tohoto PP a zároveň s tím byla upravena/navýšena i cílová hodnota výsledkového indikátoru na současných 650.</w:t>
      </w:r>
    </w:p>
    <w:p w14:paraId="33AB2619" w14:textId="77777777" w:rsidR="00F7383F" w:rsidRDefault="00F7383F" w:rsidP="00F7383F">
      <w:pPr>
        <w:spacing w:after="0"/>
        <w:rPr>
          <w:rFonts w:ascii="Calibri" w:hAnsi="Calibri" w:cs="Calibri"/>
        </w:rPr>
      </w:pPr>
    </w:p>
    <w:p w14:paraId="47E15E74" w14:textId="77777777" w:rsidR="00F7383F" w:rsidRDefault="00F7383F" w:rsidP="00F7383F">
      <w:pPr>
        <w:spacing w:after="0"/>
        <w:rPr>
          <w:rFonts w:ascii="Calibri" w:hAnsi="Calibri" w:cs="Calibri"/>
        </w:rPr>
      </w:pPr>
      <w:r>
        <w:rPr>
          <w:rFonts w:ascii="Calibri" w:hAnsi="Calibri" w:cs="Calibri"/>
        </w:rPr>
        <w:t>Vývoj hodnot výsledkového indikátoru je uveden v následující tabulce:</w:t>
      </w:r>
    </w:p>
    <w:p w14:paraId="2BF16C06" w14:textId="77777777" w:rsidR="00F7383F" w:rsidRDefault="00F7383F" w:rsidP="00F7383F">
      <w:pPr>
        <w:spacing w:after="0"/>
        <w:rPr>
          <w:rFonts w:ascii="Calibri" w:hAnsi="Calibri" w:cs="Calibri"/>
        </w:rPr>
      </w:pPr>
    </w:p>
    <w:p w14:paraId="67C9DA86" w14:textId="13A9DAFF" w:rsidR="00F7383F" w:rsidRPr="00C07FEB" w:rsidRDefault="00F7383F" w:rsidP="00F7383F">
      <w:pPr>
        <w:pStyle w:val="Titulek"/>
      </w:pPr>
      <w:bookmarkStart w:id="150" w:name="_Toc1395332"/>
      <w:bookmarkStart w:id="151" w:name="_Toc10730030"/>
      <w:r w:rsidRPr="00C07FEB">
        <w:lastRenderedPageBreak/>
        <w:t xml:space="preserve">Tabulka </w:t>
      </w:r>
      <w:r>
        <w:rPr>
          <w:noProof/>
        </w:rPr>
        <w:fldChar w:fldCharType="begin"/>
      </w:r>
      <w:r>
        <w:rPr>
          <w:noProof/>
        </w:rPr>
        <w:instrText xml:space="preserve"> SEQ Tabulka \* ARABIC </w:instrText>
      </w:r>
      <w:r>
        <w:rPr>
          <w:noProof/>
        </w:rPr>
        <w:fldChar w:fldCharType="separate"/>
      </w:r>
      <w:r w:rsidR="00E12F39">
        <w:rPr>
          <w:noProof/>
        </w:rPr>
        <w:t>11</w:t>
      </w:r>
      <w:r>
        <w:rPr>
          <w:noProof/>
        </w:rPr>
        <w:fldChar w:fldCharType="end"/>
      </w:r>
      <w:r w:rsidRPr="00C07FEB">
        <w:t xml:space="preserve">: Indikátor výsledku SC </w:t>
      </w:r>
      <w:r>
        <w:t>3.4</w:t>
      </w:r>
      <w:bookmarkEnd w:id="150"/>
      <w:bookmarkEnd w:id="151"/>
    </w:p>
    <w:tbl>
      <w:tblPr>
        <w:tblStyle w:val="Svtlmkatabulky1"/>
        <w:tblW w:w="9493" w:type="dxa"/>
        <w:tblLayout w:type="fixed"/>
        <w:tblLook w:val="04A0" w:firstRow="1" w:lastRow="0" w:firstColumn="1" w:lastColumn="0" w:noHBand="0" w:noVBand="1"/>
      </w:tblPr>
      <w:tblGrid>
        <w:gridCol w:w="723"/>
        <w:gridCol w:w="1399"/>
        <w:gridCol w:w="1174"/>
        <w:gridCol w:w="952"/>
        <w:gridCol w:w="903"/>
        <w:gridCol w:w="931"/>
        <w:gridCol w:w="718"/>
        <w:gridCol w:w="684"/>
        <w:gridCol w:w="664"/>
        <w:gridCol w:w="663"/>
        <w:gridCol w:w="682"/>
      </w:tblGrid>
      <w:tr w:rsidR="00F7383F" w:rsidRPr="004068E3" w14:paraId="066C1327" w14:textId="77777777" w:rsidTr="00B359F6">
        <w:trPr>
          <w:trHeight w:val="987"/>
        </w:trPr>
        <w:tc>
          <w:tcPr>
            <w:tcW w:w="723" w:type="dxa"/>
            <w:shd w:val="clear" w:color="auto" w:fill="002060"/>
            <w:hideMark/>
          </w:tcPr>
          <w:p w14:paraId="45D1374C"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ID</w:t>
            </w:r>
          </w:p>
        </w:tc>
        <w:tc>
          <w:tcPr>
            <w:tcW w:w="1399" w:type="dxa"/>
            <w:shd w:val="clear" w:color="auto" w:fill="002060"/>
            <w:hideMark/>
          </w:tcPr>
          <w:p w14:paraId="064338AD"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Indikátor</w:t>
            </w:r>
          </w:p>
        </w:tc>
        <w:tc>
          <w:tcPr>
            <w:tcW w:w="1174" w:type="dxa"/>
            <w:shd w:val="clear" w:color="auto" w:fill="002060"/>
            <w:hideMark/>
          </w:tcPr>
          <w:p w14:paraId="5BE2050F"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Měrná jednotka</w:t>
            </w:r>
          </w:p>
        </w:tc>
        <w:tc>
          <w:tcPr>
            <w:tcW w:w="952" w:type="dxa"/>
            <w:shd w:val="clear" w:color="auto" w:fill="002060"/>
            <w:hideMark/>
          </w:tcPr>
          <w:p w14:paraId="08E903D8"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Výchozí hodnota</w:t>
            </w:r>
          </w:p>
        </w:tc>
        <w:tc>
          <w:tcPr>
            <w:tcW w:w="903" w:type="dxa"/>
            <w:shd w:val="clear" w:color="auto" w:fill="002060"/>
            <w:hideMark/>
          </w:tcPr>
          <w:p w14:paraId="6E451E74"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Výchozí rok</w:t>
            </w:r>
          </w:p>
        </w:tc>
        <w:tc>
          <w:tcPr>
            <w:tcW w:w="931" w:type="dxa"/>
            <w:shd w:val="clear" w:color="auto" w:fill="002060"/>
            <w:hideMark/>
          </w:tcPr>
          <w:p w14:paraId="6CAE2FB0"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Cílová hodnota (2023)</w:t>
            </w:r>
          </w:p>
        </w:tc>
        <w:tc>
          <w:tcPr>
            <w:tcW w:w="718" w:type="dxa"/>
            <w:shd w:val="clear" w:color="auto" w:fill="002060"/>
            <w:hideMark/>
          </w:tcPr>
          <w:p w14:paraId="71687456"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2014</w:t>
            </w:r>
          </w:p>
        </w:tc>
        <w:tc>
          <w:tcPr>
            <w:tcW w:w="684" w:type="dxa"/>
            <w:shd w:val="clear" w:color="auto" w:fill="002060"/>
            <w:hideMark/>
          </w:tcPr>
          <w:p w14:paraId="4F43FBC1"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2015</w:t>
            </w:r>
          </w:p>
        </w:tc>
        <w:tc>
          <w:tcPr>
            <w:tcW w:w="664" w:type="dxa"/>
            <w:shd w:val="clear" w:color="auto" w:fill="002060"/>
            <w:hideMark/>
          </w:tcPr>
          <w:p w14:paraId="7E1E0655"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2016</w:t>
            </w:r>
          </w:p>
        </w:tc>
        <w:tc>
          <w:tcPr>
            <w:tcW w:w="663" w:type="dxa"/>
            <w:shd w:val="clear" w:color="auto" w:fill="002060"/>
            <w:hideMark/>
          </w:tcPr>
          <w:p w14:paraId="60E5E84F" w14:textId="77777777" w:rsidR="00F7383F" w:rsidRPr="004068E3" w:rsidRDefault="00F7383F" w:rsidP="00B359F6">
            <w:pPr>
              <w:jc w:val="center"/>
              <w:rPr>
                <w:rFonts w:ascii="Calibri" w:hAnsi="Calibri" w:cs="Calibri"/>
                <w:b/>
                <w:sz w:val="20"/>
                <w:szCs w:val="20"/>
              </w:rPr>
            </w:pPr>
            <w:r w:rsidRPr="004068E3">
              <w:rPr>
                <w:rFonts w:ascii="Calibri" w:hAnsi="Calibri" w:cs="Calibri"/>
                <w:b/>
                <w:sz w:val="20"/>
                <w:szCs w:val="20"/>
              </w:rPr>
              <w:t>2017</w:t>
            </w:r>
          </w:p>
        </w:tc>
        <w:tc>
          <w:tcPr>
            <w:tcW w:w="682" w:type="dxa"/>
            <w:shd w:val="clear" w:color="auto" w:fill="002060"/>
          </w:tcPr>
          <w:p w14:paraId="6F0DFB3C" w14:textId="77777777" w:rsidR="00F7383F" w:rsidRPr="004068E3" w:rsidRDefault="00F7383F" w:rsidP="00B359F6">
            <w:pPr>
              <w:jc w:val="center"/>
              <w:rPr>
                <w:rFonts w:ascii="Calibri" w:hAnsi="Calibri" w:cs="Calibri"/>
                <w:b/>
                <w:sz w:val="20"/>
                <w:szCs w:val="20"/>
              </w:rPr>
            </w:pPr>
            <w:r>
              <w:rPr>
                <w:rFonts w:ascii="Calibri" w:hAnsi="Calibri" w:cs="Calibri"/>
                <w:b/>
                <w:sz w:val="20"/>
                <w:szCs w:val="20"/>
              </w:rPr>
              <w:t>2018</w:t>
            </w:r>
          </w:p>
        </w:tc>
      </w:tr>
      <w:tr w:rsidR="00F7383F" w:rsidRPr="00893CF9" w14:paraId="4C7B9B4D" w14:textId="77777777" w:rsidTr="00B359F6">
        <w:trPr>
          <w:trHeight w:val="908"/>
        </w:trPr>
        <w:tc>
          <w:tcPr>
            <w:tcW w:w="723" w:type="dxa"/>
            <w:noWrap/>
            <w:hideMark/>
          </w:tcPr>
          <w:p w14:paraId="7B277770" w14:textId="77777777" w:rsidR="00F7383F" w:rsidRPr="00893CF9" w:rsidRDefault="00F7383F" w:rsidP="00B359F6">
            <w:pPr>
              <w:rPr>
                <w:rFonts w:ascii="Calibri" w:hAnsi="Calibri" w:cs="Calibri"/>
                <w:sz w:val="20"/>
                <w:szCs w:val="20"/>
              </w:rPr>
            </w:pPr>
            <w:r>
              <w:rPr>
                <w:rFonts w:ascii="Calibri" w:hAnsi="Calibri" w:cs="Calibri"/>
                <w:sz w:val="20"/>
                <w:szCs w:val="20"/>
              </w:rPr>
              <w:t>21710</w:t>
            </w:r>
          </w:p>
        </w:tc>
        <w:tc>
          <w:tcPr>
            <w:tcW w:w="1399" w:type="dxa"/>
            <w:hideMark/>
          </w:tcPr>
          <w:p w14:paraId="341DED56" w14:textId="77777777" w:rsidR="00F7383F" w:rsidRPr="00893CF9" w:rsidRDefault="00F7383F" w:rsidP="00B359F6">
            <w:pPr>
              <w:rPr>
                <w:rFonts w:ascii="Calibri" w:hAnsi="Calibri" w:cs="Calibri"/>
                <w:sz w:val="20"/>
                <w:szCs w:val="20"/>
              </w:rPr>
            </w:pPr>
            <w:r>
              <w:rPr>
                <w:rFonts w:ascii="Calibri" w:hAnsi="Calibri" w:cs="Calibri"/>
                <w:sz w:val="20"/>
                <w:szCs w:val="20"/>
              </w:rPr>
              <w:t>Aplikované nízkouhlíkové technologie</w:t>
            </w:r>
          </w:p>
        </w:tc>
        <w:tc>
          <w:tcPr>
            <w:tcW w:w="1174" w:type="dxa"/>
            <w:noWrap/>
            <w:hideMark/>
          </w:tcPr>
          <w:p w14:paraId="7B26DA93"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technologie</w:t>
            </w:r>
          </w:p>
        </w:tc>
        <w:tc>
          <w:tcPr>
            <w:tcW w:w="952" w:type="dxa"/>
            <w:noWrap/>
            <w:hideMark/>
          </w:tcPr>
          <w:p w14:paraId="1C9C2D8B"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0</w:t>
            </w:r>
          </w:p>
        </w:tc>
        <w:tc>
          <w:tcPr>
            <w:tcW w:w="903" w:type="dxa"/>
            <w:noWrap/>
            <w:hideMark/>
          </w:tcPr>
          <w:p w14:paraId="2E8BF5F4" w14:textId="77777777" w:rsidR="00F7383F" w:rsidRPr="00893CF9" w:rsidRDefault="00F7383F" w:rsidP="00B359F6">
            <w:pPr>
              <w:jc w:val="center"/>
              <w:rPr>
                <w:rFonts w:ascii="Calibri" w:hAnsi="Calibri" w:cs="Calibri"/>
                <w:sz w:val="20"/>
                <w:szCs w:val="20"/>
              </w:rPr>
            </w:pPr>
            <w:r w:rsidRPr="00893CF9">
              <w:rPr>
                <w:rFonts w:ascii="Calibri" w:hAnsi="Calibri" w:cs="Calibri"/>
                <w:sz w:val="20"/>
                <w:szCs w:val="20"/>
              </w:rPr>
              <w:t>201</w:t>
            </w:r>
            <w:r>
              <w:rPr>
                <w:rFonts w:ascii="Calibri" w:hAnsi="Calibri" w:cs="Calibri"/>
                <w:sz w:val="20"/>
                <w:szCs w:val="20"/>
              </w:rPr>
              <w:t>4</w:t>
            </w:r>
          </w:p>
        </w:tc>
        <w:tc>
          <w:tcPr>
            <w:tcW w:w="931" w:type="dxa"/>
            <w:hideMark/>
          </w:tcPr>
          <w:p w14:paraId="4A675DEB"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650</w:t>
            </w:r>
          </w:p>
        </w:tc>
        <w:tc>
          <w:tcPr>
            <w:tcW w:w="718" w:type="dxa"/>
            <w:noWrap/>
          </w:tcPr>
          <w:p w14:paraId="7A8AD6C3"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0</w:t>
            </w:r>
          </w:p>
        </w:tc>
        <w:tc>
          <w:tcPr>
            <w:tcW w:w="684" w:type="dxa"/>
          </w:tcPr>
          <w:p w14:paraId="3B5DE13D"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0</w:t>
            </w:r>
          </w:p>
        </w:tc>
        <w:tc>
          <w:tcPr>
            <w:tcW w:w="664" w:type="dxa"/>
          </w:tcPr>
          <w:p w14:paraId="1B96B84E"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0</w:t>
            </w:r>
          </w:p>
        </w:tc>
        <w:tc>
          <w:tcPr>
            <w:tcW w:w="663" w:type="dxa"/>
          </w:tcPr>
          <w:p w14:paraId="00294555"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39</w:t>
            </w:r>
          </w:p>
        </w:tc>
        <w:tc>
          <w:tcPr>
            <w:tcW w:w="682" w:type="dxa"/>
          </w:tcPr>
          <w:p w14:paraId="4A557BCF" w14:textId="77777777" w:rsidR="00F7383F" w:rsidRPr="00893CF9" w:rsidRDefault="00F7383F" w:rsidP="00B359F6">
            <w:pPr>
              <w:jc w:val="center"/>
              <w:rPr>
                <w:rFonts w:ascii="Calibri" w:hAnsi="Calibri" w:cs="Calibri"/>
                <w:sz w:val="20"/>
                <w:szCs w:val="20"/>
              </w:rPr>
            </w:pPr>
            <w:r>
              <w:rPr>
                <w:rFonts w:ascii="Calibri" w:hAnsi="Calibri" w:cs="Calibri"/>
                <w:sz w:val="20"/>
                <w:szCs w:val="20"/>
              </w:rPr>
              <w:t>52</w:t>
            </w:r>
          </w:p>
        </w:tc>
      </w:tr>
    </w:tbl>
    <w:p w14:paraId="3D01BECD" w14:textId="77777777" w:rsidR="00F7383F" w:rsidRDefault="00F7383F" w:rsidP="00F7383F">
      <w:pPr>
        <w:spacing w:after="0"/>
        <w:rPr>
          <w:rFonts w:ascii="Calibri" w:hAnsi="Calibri" w:cs="Calibri"/>
        </w:rPr>
      </w:pPr>
    </w:p>
    <w:p w14:paraId="0701928C" w14:textId="77777777" w:rsidR="00F7383F" w:rsidRDefault="00F7383F" w:rsidP="00F7383F">
      <w:pPr>
        <w:spacing w:after="0"/>
        <w:rPr>
          <w:rFonts w:ascii="Calibri" w:hAnsi="Calibri" w:cs="Calibri"/>
        </w:rPr>
      </w:pPr>
      <w:r>
        <w:rPr>
          <w:rFonts w:ascii="Calibri" w:hAnsi="Calibri" w:cs="Calibri"/>
        </w:rPr>
        <w:t>Následující tabulka znázorňuje věcný pokrok SC 3.4 z pohledu naplňování cílové hodnoty výsledkového indikátoru ve stavu k 31. 12. 2018.</w:t>
      </w:r>
    </w:p>
    <w:p w14:paraId="625FB0B1" w14:textId="77777777" w:rsidR="00F7383F" w:rsidRDefault="00F7383F" w:rsidP="00F7383F">
      <w:pPr>
        <w:spacing w:after="0"/>
        <w:rPr>
          <w:rFonts w:ascii="Calibri" w:hAnsi="Calibri" w:cs="Calibri"/>
        </w:rPr>
      </w:pPr>
      <w:r>
        <w:rPr>
          <w:rFonts w:ascii="Calibri" w:hAnsi="Calibri" w:cs="Calibri"/>
        </w:rPr>
        <w:t xml:space="preserve"> </w:t>
      </w:r>
    </w:p>
    <w:p w14:paraId="0C0A5A1C" w14:textId="47948F0C" w:rsidR="00F7383F" w:rsidRDefault="00F7383F" w:rsidP="00F7383F">
      <w:pPr>
        <w:pStyle w:val="Titulek"/>
      </w:pPr>
      <w:bookmarkStart w:id="152" w:name="_Toc10730031"/>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12</w:t>
      </w:r>
      <w:r w:rsidR="00BD754F">
        <w:rPr>
          <w:noProof/>
        </w:rPr>
        <w:fldChar w:fldCharType="end"/>
      </w:r>
      <w:r>
        <w:t xml:space="preserve">: </w:t>
      </w:r>
      <w:r w:rsidR="00BA0FD6">
        <w:t>Kvanti</w:t>
      </w:r>
      <w:r w:rsidR="00934F1B">
        <w:t>t</w:t>
      </w:r>
      <w:r w:rsidR="00BA0FD6">
        <w:t xml:space="preserve">ativní </w:t>
      </w:r>
      <w:r w:rsidR="00934F1B">
        <w:t>v</w:t>
      </w:r>
      <w:r>
        <w:t>ěcný pokrok SC 3.4</w:t>
      </w:r>
      <w:bookmarkEnd w:id="152"/>
    </w:p>
    <w:tbl>
      <w:tblPr>
        <w:tblStyle w:val="Prosttabulka110"/>
        <w:tblW w:w="8926" w:type="dxa"/>
        <w:tblLook w:val="06A0" w:firstRow="1" w:lastRow="0" w:firstColumn="1" w:lastColumn="0" w:noHBand="1" w:noVBand="1"/>
      </w:tblPr>
      <w:tblGrid>
        <w:gridCol w:w="2972"/>
        <w:gridCol w:w="5954"/>
      </w:tblGrid>
      <w:tr w:rsidR="00F7383F" w:rsidRPr="0012601C" w14:paraId="154E9746" w14:textId="77777777" w:rsidTr="0043022E">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042F958E" w14:textId="77777777" w:rsidR="00F7383F" w:rsidRPr="0012601C" w:rsidRDefault="00F7383F" w:rsidP="00B359F6">
            <w:pPr>
              <w:rPr>
                <w:rFonts w:ascii="Calibri" w:hAnsi="Calibri" w:cs="Calibri"/>
                <w:sz w:val="20"/>
                <w:szCs w:val="20"/>
              </w:rPr>
            </w:pPr>
            <w:r w:rsidRPr="0012601C">
              <w:rPr>
                <w:rFonts w:cstheme="minorHAnsi"/>
                <w:sz w:val="20"/>
                <w:szCs w:val="20"/>
              </w:rPr>
              <w:t>Indikátor</w:t>
            </w:r>
          </w:p>
        </w:tc>
        <w:tc>
          <w:tcPr>
            <w:tcW w:w="5954" w:type="dxa"/>
            <w:shd w:val="clear" w:color="auto" w:fill="auto"/>
          </w:tcPr>
          <w:p w14:paraId="30891099" w14:textId="77777777" w:rsidR="00F7383F" w:rsidRPr="0012601C" w:rsidRDefault="00F7383F" w:rsidP="00B359F6">
            <w:pP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12601C">
              <w:rPr>
                <w:rFonts w:cstheme="minorHAnsi"/>
                <w:sz w:val="20"/>
                <w:szCs w:val="20"/>
              </w:rPr>
              <w:t>21710 Aplikované inovativní nízkouhlíkové technologie</w:t>
            </w:r>
          </w:p>
        </w:tc>
      </w:tr>
      <w:tr w:rsidR="00F7383F" w:rsidRPr="0012601C" w14:paraId="7E6DF04E" w14:textId="77777777" w:rsidTr="0043022E">
        <w:trPr>
          <w:trHeight w:val="266"/>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030E1C2B" w14:textId="77777777" w:rsidR="00F7383F" w:rsidRPr="0012601C" w:rsidRDefault="00F7383F" w:rsidP="00B359F6">
            <w:pPr>
              <w:rPr>
                <w:rFonts w:ascii="Calibri" w:hAnsi="Calibri" w:cs="Calibri"/>
                <w:sz w:val="20"/>
                <w:szCs w:val="20"/>
              </w:rPr>
            </w:pPr>
            <w:r w:rsidRPr="0012601C">
              <w:rPr>
                <w:rFonts w:cstheme="minorHAnsi"/>
                <w:sz w:val="20"/>
                <w:szCs w:val="20"/>
              </w:rPr>
              <w:t>Typ indikátoru</w:t>
            </w:r>
          </w:p>
        </w:tc>
        <w:tc>
          <w:tcPr>
            <w:tcW w:w="5954" w:type="dxa"/>
            <w:shd w:val="clear" w:color="auto" w:fill="auto"/>
          </w:tcPr>
          <w:p w14:paraId="4F5B58E4"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Výsledek</w:t>
            </w:r>
          </w:p>
        </w:tc>
      </w:tr>
      <w:tr w:rsidR="00F7383F" w:rsidRPr="0012601C" w14:paraId="1EEB0DEB" w14:textId="77777777" w:rsidTr="0043022E">
        <w:trPr>
          <w:trHeight w:val="189"/>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5AA8CA22" w14:textId="77777777" w:rsidR="00F7383F" w:rsidRPr="0012601C" w:rsidRDefault="00F7383F" w:rsidP="00B359F6">
            <w:pPr>
              <w:rPr>
                <w:rFonts w:cstheme="minorHAnsi"/>
                <w:sz w:val="20"/>
                <w:szCs w:val="20"/>
              </w:rPr>
            </w:pPr>
            <w:r w:rsidRPr="0012601C">
              <w:rPr>
                <w:rFonts w:cstheme="minorHAnsi"/>
                <w:sz w:val="20"/>
                <w:szCs w:val="20"/>
              </w:rPr>
              <w:t xml:space="preserve">Cílová hodnota </w:t>
            </w:r>
            <w:r>
              <w:rPr>
                <w:rFonts w:cstheme="minorHAnsi"/>
                <w:sz w:val="20"/>
                <w:szCs w:val="20"/>
              </w:rPr>
              <w:t>(2023)</w:t>
            </w:r>
          </w:p>
        </w:tc>
        <w:tc>
          <w:tcPr>
            <w:tcW w:w="5954" w:type="dxa"/>
            <w:shd w:val="clear" w:color="auto" w:fill="auto"/>
          </w:tcPr>
          <w:p w14:paraId="185F667A"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650</w:t>
            </w:r>
          </w:p>
        </w:tc>
      </w:tr>
      <w:tr w:rsidR="00F7383F" w:rsidRPr="0012601C" w14:paraId="68F507BC" w14:textId="77777777" w:rsidTr="0043022E">
        <w:trPr>
          <w:trHeight w:val="174"/>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3A81C1AB" w14:textId="77777777" w:rsidR="00F7383F" w:rsidRPr="0012601C" w:rsidRDefault="00F7383F" w:rsidP="00B359F6">
            <w:pPr>
              <w:rPr>
                <w:rFonts w:cstheme="minorHAnsi"/>
                <w:sz w:val="20"/>
                <w:szCs w:val="20"/>
              </w:rPr>
            </w:pPr>
            <w:r w:rsidRPr="0012601C">
              <w:rPr>
                <w:rFonts w:cstheme="minorHAnsi"/>
                <w:sz w:val="20"/>
                <w:szCs w:val="20"/>
              </w:rPr>
              <w:t>Dosažená hodnota (suma)</w:t>
            </w:r>
          </w:p>
        </w:tc>
        <w:tc>
          <w:tcPr>
            <w:tcW w:w="5954" w:type="dxa"/>
            <w:shd w:val="clear" w:color="auto" w:fill="auto"/>
          </w:tcPr>
          <w:p w14:paraId="1EEF9A09"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52</w:t>
            </w:r>
          </w:p>
        </w:tc>
      </w:tr>
      <w:tr w:rsidR="00F7383F" w:rsidRPr="0012601C" w14:paraId="1D9C15EA" w14:textId="77777777" w:rsidTr="0043022E">
        <w:trPr>
          <w:trHeight w:val="347"/>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1B36A78B" w14:textId="77777777" w:rsidR="00F7383F" w:rsidRPr="0012601C" w:rsidRDefault="00F7383F" w:rsidP="00B359F6">
            <w:pPr>
              <w:rPr>
                <w:rFonts w:cstheme="minorHAnsi"/>
                <w:sz w:val="20"/>
                <w:szCs w:val="20"/>
              </w:rPr>
            </w:pPr>
            <w:r w:rsidRPr="0012601C">
              <w:rPr>
                <w:rFonts w:cstheme="minorHAnsi"/>
                <w:sz w:val="20"/>
                <w:szCs w:val="20"/>
              </w:rPr>
              <w:t>Závazek příjemců</w:t>
            </w:r>
          </w:p>
        </w:tc>
        <w:tc>
          <w:tcPr>
            <w:tcW w:w="5954" w:type="dxa"/>
            <w:shd w:val="clear" w:color="auto" w:fill="auto"/>
          </w:tcPr>
          <w:p w14:paraId="1AC636B9"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N/A</w:t>
            </w:r>
          </w:p>
          <w:p w14:paraId="412E05AA"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(285</w:t>
            </w:r>
            <w:r w:rsidRPr="0012601C">
              <w:rPr>
                <w:rStyle w:val="Znakapoznpodarou"/>
                <w:rFonts w:ascii="Calibri" w:hAnsi="Calibri" w:cs="Calibri"/>
                <w:sz w:val="20"/>
                <w:szCs w:val="20"/>
              </w:rPr>
              <w:footnoteReference w:id="17"/>
            </w:r>
            <w:r w:rsidRPr="0012601C">
              <w:rPr>
                <w:rFonts w:ascii="Calibri" w:hAnsi="Calibri" w:cs="Calibri"/>
                <w:sz w:val="20"/>
                <w:szCs w:val="20"/>
              </w:rPr>
              <w:t>)</w:t>
            </w:r>
          </w:p>
        </w:tc>
      </w:tr>
      <w:tr w:rsidR="00F7383F" w:rsidRPr="0012601C" w14:paraId="367F12D9" w14:textId="77777777" w:rsidTr="0043022E">
        <w:trPr>
          <w:trHeight w:val="127"/>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08016C9B" w14:textId="77777777" w:rsidR="00F7383F" w:rsidRPr="0012601C" w:rsidRDefault="00F7383F" w:rsidP="00B359F6">
            <w:pPr>
              <w:rPr>
                <w:rFonts w:cstheme="minorHAnsi"/>
                <w:sz w:val="20"/>
                <w:szCs w:val="20"/>
              </w:rPr>
            </w:pPr>
            <w:r w:rsidRPr="0012601C">
              <w:rPr>
                <w:rFonts w:cstheme="minorHAnsi"/>
                <w:sz w:val="20"/>
                <w:szCs w:val="20"/>
              </w:rPr>
              <w:t>Míra plnění cílové hodnoty (v %):</w:t>
            </w:r>
          </w:p>
        </w:tc>
        <w:tc>
          <w:tcPr>
            <w:tcW w:w="5954" w:type="dxa"/>
            <w:shd w:val="clear" w:color="auto" w:fill="auto"/>
          </w:tcPr>
          <w:p w14:paraId="39B02B6F"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7383F" w:rsidRPr="0012601C" w14:paraId="2168CCEA" w14:textId="77777777" w:rsidTr="0043022E">
        <w:trPr>
          <w:trHeight w:val="160"/>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4402DA49" w14:textId="77777777" w:rsidR="00F7383F" w:rsidRPr="0012601C" w:rsidRDefault="00F7383F" w:rsidP="00B359F6">
            <w:pPr>
              <w:rPr>
                <w:rFonts w:cstheme="minorHAnsi"/>
                <w:b w:val="0"/>
                <w:sz w:val="20"/>
                <w:szCs w:val="20"/>
              </w:rPr>
            </w:pPr>
            <w:r w:rsidRPr="0012601C">
              <w:rPr>
                <w:rFonts w:cstheme="minorHAnsi"/>
                <w:b w:val="0"/>
                <w:sz w:val="20"/>
                <w:szCs w:val="20"/>
              </w:rPr>
              <w:t>Dosažená hodnota</w:t>
            </w:r>
          </w:p>
        </w:tc>
        <w:tc>
          <w:tcPr>
            <w:tcW w:w="5954" w:type="dxa"/>
            <w:shd w:val="clear" w:color="auto" w:fill="auto"/>
          </w:tcPr>
          <w:p w14:paraId="3C7CF8FD"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8 %</w:t>
            </w:r>
          </w:p>
        </w:tc>
      </w:tr>
      <w:tr w:rsidR="00F7383F" w:rsidRPr="0012601C" w14:paraId="7B217E33" w14:textId="77777777" w:rsidTr="0043022E">
        <w:trPr>
          <w:trHeight w:val="319"/>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4C8A0007" w14:textId="77777777" w:rsidR="00F7383F" w:rsidRPr="0012601C" w:rsidRDefault="00F7383F" w:rsidP="00B359F6">
            <w:pPr>
              <w:rPr>
                <w:rFonts w:cstheme="minorHAnsi"/>
                <w:b w:val="0"/>
                <w:sz w:val="20"/>
                <w:szCs w:val="20"/>
              </w:rPr>
            </w:pPr>
            <w:r w:rsidRPr="0012601C">
              <w:rPr>
                <w:rFonts w:cstheme="minorHAnsi"/>
                <w:b w:val="0"/>
                <w:sz w:val="20"/>
                <w:szCs w:val="20"/>
              </w:rPr>
              <w:t>Závazek příjemců</w:t>
            </w:r>
          </w:p>
        </w:tc>
        <w:tc>
          <w:tcPr>
            <w:tcW w:w="5954" w:type="dxa"/>
            <w:shd w:val="clear" w:color="auto" w:fill="auto"/>
          </w:tcPr>
          <w:p w14:paraId="652FF045"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(43,8 %)</w:t>
            </w:r>
          </w:p>
        </w:tc>
      </w:tr>
      <w:tr w:rsidR="00F7383F" w:rsidRPr="0012601C" w14:paraId="1A52BF49" w14:textId="77777777" w:rsidTr="0043022E">
        <w:trPr>
          <w:trHeight w:val="282"/>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4EF36363" w14:textId="77777777" w:rsidR="00F7383F" w:rsidRPr="0012601C" w:rsidRDefault="00F7383F" w:rsidP="00B359F6">
            <w:pPr>
              <w:rPr>
                <w:rFonts w:cstheme="minorHAnsi"/>
                <w:sz w:val="20"/>
                <w:szCs w:val="20"/>
              </w:rPr>
            </w:pPr>
            <w:r w:rsidRPr="0012601C">
              <w:rPr>
                <w:rFonts w:cstheme="minorHAnsi"/>
                <w:sz w:val="20"/>
                <w:szCs w:val="20"/>
              </w:rPr>
              <w:t>Vyhodnocení věcného pokroku</w:t>
            </w:r>
          </w:p>
        </w:tc>
        <w:tc>
          <w:tcPr>
            <w:tcW w:w="5954" w:type="dxa"/>
            <w:shd w:val="clear" w:color="auto" w:fill="auto"/>
          </w:tcPr>
          <w:p w14:paraId="6A38A65A"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rizikový / neuspokojivý</w:t>
            </w:r>
          </w:p>
        </w:tc>
      </w:tr>
      <w:tr w:rsidR="00F7383F" w:rsidRPr="0012601C" w14:paraId="0CAC52D1" w14:textId="77777777" w:rsidTr="0043022E">
        <w:trPr>
          <w:trHeight w:val="413"/>
        </w:trPr>
        <w:tc>
          <w:tcPr>
            <w:cnfStyle w:val="001000000000" w:firstRow="0" w:lastRow="0" w:firstColumn="1" w:lastColumn="0" w:oddVBand="0" w:evenVBand="0" w:oddHBand="0" w:evenHBand="0" w:firstRowFirstColumn="0" w:firstRowLastColumn="0" w:lastRowFirstColumn="0" w:lastRowLastColumn="0"/>
            <w:tcW w:w="2972" w:type="dxa"/>
            <w:shd w:val="clear" w:color="auto" w:fill="002060"/>
          </w:tcPr>
          <w:p w14:paraId="73811F45" w14:textId="77777777" w:rsidR="00F7383F" w:rsidRPr="0012601C" w:rsidRDefault="00F7383F" w:rsidP="00B359F6">
            <w:pPr>
              <w:rPr>
                <w:rFonts w:cstheme="minorHAnsi"/>
                <w:sz w:val="20"/>
                <w:szCs w:val="20"/>
              </w:rPr>
            </w:pPr>
            <w:r w:rsidRPr="0012601C">
              <w:rPr>
                <w:rFonts w:cstheme="minorHAnsi"/>
                <w:sz w:val="20"/>
                <w:szCs w:val="20"/>
              </w:rPr>
              <w:t>Počet projektů, které se podílejí na dosažené hodnotě</w:t>
            </w:r>
          </w:p>
        </w:tc>
        <w:tc>
          <w:tcPr>
            <w:tcW w:w="5954" w:type="dxa"/>
            <w:shd w:val="clear" w:color="auto" w:fill="auto"/>
          </w:tcPr>
          <w:p w14:paraId="3B998C68" w14:textId="77777777" w:rsidR="00F7383F" w:rsidRPr="0012601C" w:rsidRDefault="00F7383F" w:rsidP="00B359F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2601C">
              <w:rPr>
                <w:rFonts w:ascii="Calibri" w:hAnsi="Calibri" w:cs="Calibri"/>
                <w:sz w:val="20"/>
                <w:szCs w:val="20"/>
              </w:rPr>
              <w:t>66</w:t>
            </w:r>
            <w:r w:rsidRPr="0012601C">
              <w:rPr>
                <w:rStyle w:val="Znakapoznpodarou"/>
                <w:rFonts w:ascii="Calibri" w:hAnsi="Calibri" w:cs="Calibri"/>
                <w:sz w:val="20"/>
                <w:szCs w:val="20"/>
              </w:rPr>
              <w:footnoteReference w:id="18"/>
            </w:r>
          </w:p>
        </w:tc>
      </w:tr>
    </w:tbl>
    <w:p w14:paraId="49F1D805" w14:textId="77777777" w:rsidR="00F7383F" w:rsidRDefault="00F7383F" w:rsidP="00F7383F">
      <w:pPr>
        <w:spacing w:after="0"/>
        <w:rPr>
          <w:rFonts w:cstheme="minorHAnsi"/>
        </w:rPr>
      </w:pPr>
    </w:p>
    <w:p w14:paraId="5DF90537" w14:textId="44C3A272" w:rsidR="00F7383F" w:rsidRDefault="00F7383F" w:rsidP="00F7383F">
      <w:pPr>
        <w:spacing w:after="0"/>
        <w:rPr>
          <w:rFonts w:cstheme="minorHAnsi"/>
        </w:rPr>
      </w:pPr>
      <w:r>
        <w:rPr>
          <w:rFonts w:cstheme="minorHAnsi"/>
        </w:rPr>
        <w:t>S</w:t>
      </w:r>
      <w:r w:rsidRPr="00A35F82">
        <w:rPr>
          <w:rFonts w:cstheme="minorHAnsi"/>
        </w:rPr>
        <w:t xml:space="preserve">tav věcného pokroku SC 3.4 </w:t>
      </w:r>
      <w:r>
        <w:rPr>
          <w:rFonts w:cstheme="minorHAnsi"/>
        </w:rPr>
        <w:t xml:space="preserve">ke konci roku 2018 </w:t>
      </w:r>
      <w:r w:rsidRPr="00A35F82">
        <w:rPr>
          <w:rFonts w:cstheme="minorHAnsi"/>
        </w:rPr>
        <w:t xml:space="preserve">lze </w:t>
      </w:r>
      <w:r>
        <w:rPr>
          <w:rFonts w:cstheme="minorHAnsi"/>
        </w:rPr>
        <w:t xml:space="preserve">sice </w:t>
      </w:r>
      <w:r w:rsidRPr="00A35F82">
        <w:rPr>
          <w:rFonts w:cstheme="minorHAnsi"/>
        </w:rPr>
        <w:t>hodnotit</w:t>
      </w:r>
      <w:r>
        <w:rPr>
          <w:rFonts w:cstheme="minorHAnsi"/>
        </w:rPr>
        <w:t xml:space="preserve"> z pohledu interně nastavené kategorizace j</w:t>
      </w:r>
      <w:r w:rsidRPr="00A35F82">
        <w:rPr>
          <w:rFonts w:cstheme="minorHAnsi"/>
        </w:rPr>
        <w:t>ako neuspokojivý, ovšem v návaznosti na ukončení příjmu žádostí v</w:t>
      </w:r>
      <w:r>
        <w:rPr>
          <w:rFonts w:cstheme="minorHAnsi"/>
        </w:rPr>
        <w:t xml:space="preserve">e IV. </w:t>
      </w:r>
      <w:r w:rsidRPr="00A35F82">
        <w:rPr>
          <w:rFonts w:cstheme="minorHAnsi"/>
        </w:rPr>
        <w:t>výzvách je předpokládán</w:t>
      </w:r>
      <w:r>
        <w:rPr>
          <w:rFonts w:cstheme="minorHAnsi"/>
        </w:rPr>
        <w:t xml:space="preserve"> </w:t>
      </w:r>
      <w:r w:rsidRPr="00A35F82">
        <w:rPr>
          <w:rFonts w:cstheme="minorHAnsi"/>
        </w:rPr>
        <w:t>pozitivní vývoj</w:t>
      </w:r>
      <w:r>
        <w:rPr>
          <w:rFonts w:cstheme="minorHAnsi"/>
        </w:rPr>
        <w:t xml:space="preserve"> v následujících letech implementace OP PIK</w:t>
      </w:r>
      <w:r w:rsidRPr="00A35F82">
        <w:rPr>
          <w:rFonts w:cstheme="minorHAnsi"/>
        </w:rPr>
        <w:t xml:space="preserve">. </w:t>
      </w:r>
    </w:p>
    <w:p w14:paraId="4E1A8CF3" w14:textId="4D137ADD" w:rsidR="0001222A" w:rsidRDefault="0001222A" w:rsidP="00D3770C">
      <w:pPr>
        <w:spacing w:after="0"/>
        <w:rPr>
          <w:rFonts w:ascii="Calibri" w:hAnsi="Calibri" w:cs="Calibri"/>
        </w:rPr>
      </w:pPr>
    </w:p>
    <w:p w14:paraId="3775CC7E" w14:textId="77777777" w:rsidR="00B359F6" w:rsidRDefault="00B359F6" w:rsidP="00B359F6">
      <w:pPr>
        <w:pStyle w:val="Nadpis3"/>
        <w:numPr>
          <w:ilvl w:val="2"/>
          <w:numId w:val="37"/>
        </w:numPr>
      </w:pPr>
      <w:bookmarkStart w:id="153" w:name="_Toc10729967"/>
      <w:r>
        <w:t>Vyhodnocení výsledků, kterých chce ČR dosáhnout s podporou Unie</w:t>
      </w:r>
      <w:bookmarkEnd w:id="153"/>
    </w:p>
    <w:p w14:paraId="67127A02" w14:textId="77777777" w:rsidR="00B359F6" w:rsidRPr="00B359F6" w:rsidRDefault="00B359F6" w:rsidP="00B359F6">
      <w:pPr>
        <w:spacing w:after="0"/>
      </w:pPr>
      <w:r w:rsidRPr="00B359F6">
        <w:t>Programový dokument OP PIK vymezuje v rámci SC 3.4 několik očekávaných výsledků, kterých chce ČR dosáhnout s podporou Unie v programovém období 2014 - 2020 v oblasti inovativních nízkouhlíkových technologií:</w:t>
      </w:r>
    </w:p>
    <w:p w14:paraId="4ADF8A79" w14:textId="77777777" w:rsidR="00B359F6" w:rsidRPr="00B359F6" w:rsidRDefault="00B359F6" w:rsidP="00B359F6">
      <w:pPr>
        <w:spacing w:after="0"/>
      </w:pPr>
    </w:p>
    <w:p w14:paraId="7CD0256F" w14:textId="77777777" w:rsidR="00B359F6" w:rsidRPr="00B359F6" w:rsidRDefault="00B359F6" w:rsidP="00434AF0">
      <w:pPr>
        <w:pStyle w:val="Nadpis4"/>
        <w:numPr>
          <w:ilvl w:val="0"/>
          <w:numId w:val="0"/>
        </w:numPr>
      </w:pPr>
      <w:r w:rsidRPr="00B359F6">
        <w:t>Zvýšení využití efektivnějších a spolehlivějších energetických a surovinových nízkouhlíkových technologií, které se běžně v ČR komerčně neuplatňují</w:t>
      </w:r>
    </w:p>
    <w:p w14:paraId="666F87D5" w14:textId="22B849D7" w:rsidR="001C1012" w:rsidRDefault="0059741F" w:rsidP="00B359F6">
      <w:pPr>
        <w:spacing w:after="0"/>
      </w:pPr>
      <w:r>
        <w:t>Z důvodu absence relevantních statistik nelze provádět jednoznačné, měřitelné posouzení trendů využívání</w:t>
      </w:r>
      <w:r w:rsidRPr="0059741F">
        <w:t xml:space="preserve"> efektivnějších a spolehlivějších energetických a surovinových nízkouhlíkových technologií, které se běžně v ČR komerčně neuplatňují</w:t>
      </w:r>
      <w:r w:rsidR="001C1012">
        <w:t xml:space="preserve">. </w:t>
      </w:r>
      <w:r>
        <w:t xml:space="preserve"> </w:t>
      </w:r>
    </w:p>
    <w:p w14:paraId="15C59837" w14:textId="77777777" w:rsidR="001C1012" w:rsidRDefault="001C1012" w:rsidP="001C1012">
      <w:pPr>
        <w:spacing w:after="0"/>
      </w:pPr>
    </w:p>
    <w:p w14:paraId="52A70801" w14:textId="2C94DBEE" w:rsidR="001C1012" w:rsidRPr="001C1012" w:rsidRDefault="001C1012" w:rsidP="001C1012">
      <w:pPr>
        <w:spacing w:after="0"/>
      </w:pPr>
      <w:r>
        <w:lastRenderedPageBreak/>
        <w:t xml:space="preserve">Jak již bylo uvedeno výše, intervence PP NUT se v dosavadním průběhu implementace tohoto programu zaměřovaly a zaměřují na </w:t>
      </w:r>
      <w:r w:rsidRPr="001C1012">
        <w:t>4 hlavní typov</w:t>
      </w:r>
      <w:r>
        <w:t>é</w:t>
      </w:r>
      <w:r w:rsidRPr="001C1012">
        <w:t xml:space="preserve"> aktivit</w:t>
      </w:r>
      <w:r>
        <w:t xml:space="preserve">y: </w:t>
      </w:r>
      <w:r w:rsidRPr="001C1012">
        <w:t>a)</w:t>
      </w:r>
      <w:r>
        <w:t xml:space="preserve"> e</w:t>
      </w:r>
      <w:r w:rsidRPr="001C1012">
        <w:t>lektromobilita</w:t>
      </w:r>
      <w:r>
        <w:t xml:space="preserve">, </w:t>
      </w:r>
      <w:r w:rsidRPr="001C1012">
        <w:t>b)</w:t>
      </w:r>
      <w:r>
        <w:t xml:space="preserve"> a</w:t>
      </w:r>
      <w:r w:rsidRPr="001C1012">
        <w:t>kumulace energie</w:t>
      </w:r>
      <w:r>
        <w:t xml:space="preserve">, </w:t>
      </w:r>
      <w:r w:rsidRPr="001C1012">
        <w:t>c)</w:t>
      </w:r>
      <w:r>
        <w:t xml:space="preserve"> d</w:t>
      </w:r>
      <w:r w:rsidRPr="001C1012">
        <w:t>ruhotné suroviny</w:t>
      </w:r>
      <w:r>
        <w:t xml:space="preserve"> a d</w:t>
      </w:r>
      <w:r w:rsidRPr="001C1012">
        <w:t>)</w:t>
      </w:r>
      <w:r>
        <w:t xml:space="preserve"> ú</w:t>
      </w:r>
      <w:r w:rsidRPr="001C1012">
        <w:t>prava bioplynu na biometan a jeho vtláčení do sítě</w:t>
      </w:r>
      <w:r>
        <w:t xml:space="preserve">. </w:t>
      </w:r>
      <w:r w:rsidRPr="001C1012">
        <w:t xml:space="preserve">Toto tematické zaměření je v souladu s potřebami identifikovanými při přípravě OP PIK i výchozími analytickými podklady. </w:t>
      </w:r>
    </w:p>
    <w:p w14:paraId="58391F97" w14:textId="65C60EE1" w:rsidR="00B359F6" w:rsidRDefault="00B359F6" w:rsidP="00B359F6">
      <w:pPr>
        <w:spacing w:after="0"/>
      </w:pPr>
    </w:p>
    <w:p w14:paraId="32D571FC" w14:textId="6480227F" w:rsidR="001C1012" w:rsidRPr="001C1012" w:rsidRDefault="001C1012" w:rsidP="001C1012">
      <w:pPr>
        <w:spacing w:after="0"/>
        <w:rPr>
          <w:u w:val="single"/>
        </w:rPr>
      </w:pPr>
      <w:r>
        <w:rPr>
          <w:u w:val="single"/>
        </w:rPr>
        <w:t xml:space="preserve">ad) </w:t>
      </w:r>
      <w:r w:rsidRPr="001C1012">
        <w:rPr>
          <w:u w:val="single"/>
        </w:rPr>
        <w:t>Elektromobilita</w:t>
      </w:r>
    </w:p>
    <w:p w14:paraId="41829F39" w14:textId="77777777" w:rsidR="001C1012" w:rsidRPr="001C1012" w:rsidRDefault="001C1012" w:rsidP="001C1012">
      <w:pPr>
        <w:spacing w:after="0"/>
      </w:pPr>
      <w:r w:rsidRPr="001C1012">
        <w:t xml:space="preserve">Lze konstatovat, že intervence PP NUT přímo přispívají k rozvoji nízkouhlíkové dopravy v ČR. Podpora je poskytována jak na pořízení dopravních prostředků (elektromobilů), tak i sítě dobíjecích a nabíjecích stanic (pro potřeby příjemců). OP PIK v této oblasti respektuje nastavené komplementární vazby s OP Doprava a Integrovaným regionálním operačním programem, kdy „úkolem“ OP PIK je podporovat oblast nízkouhlíkové dopravy v podnicích. V IROP jsou podporovány subjekty, které zajišťují veřejnou službu. OP D v rámci podpory rozvoje sítě napájecích stanic alternativních energií na silniční síti financuje infrastrukturu s veřejným přístupem. </w:t>
      </w:r>
    </w:p>
    <w:p w14:paraId="4B231CE8" w14:textId="77777777" w:rsidR="001C1012" w:rsidRPr="001C1012" w:rsidRDefault="001C1012" w:rsidP="001C1012">
      <w:pPr>
        <w:spacing w:after="0"/>
      </w:pPr>
    </w:p>
    <w:p w14:paraId="1D18C9E6" w14:textId="77777777" w:rsidR="001C1012" w:rsidRPr="001C1012" w:rsidRDefault="001C1012" w:rsidP="001C1012">
      <w:pPr>
        <w:spacing w:after="0"/>
      </w:pPr>
      <w:r w:rsidRPr="001C1012">
        <w:t>Ke konci roku 2018 bylo v MS2014+ evidováno celkem 185 „aktivních“ podpořených projektů v oblasti elektromobility. Indikátorová soustava OP PIK nesleduje počty pořízených dopravních prostředků ani dobíjecích a nabíjecích stanic.</w:t>
      </w:r>
    </w:p>
    <w:p w14:paraId="5B063952" w14:textId="77777777" w:rsidR="001C1012" w:rsidRPr="001C1012" w:rsidRDefault="001C1012" w:rsidP="001C1012">
      <w:pPr>
        <w:spacing w:after="0"/>
      </w:pPr>
    </w:p>
    <w:p w14:paraId="18D1E48B" w14:textId="77777777" w:rsidR="001C1012" w:rsidRPr="001C1012" w:rsidRDefault="001C1012" w:rsidP="001C1012">
      <w:pPr>
        <w:spacing w:after="0"/>
      </w:pPr>
      <w:r w:rsidRPr="001C1012">
        <w:t xml:space="preserve">Na základě obsahové analýzy informací o podpořených projektech učinil hodnotitel kvalifikovaný odhad, že by mělo být dohromady pořízeno minimálně 370 elektromobilů v kategorii osobních vozidel (vč. vícemístných) a cca 30 v kategorii užitkových. Ve stavu ukončené realizace bylo evidováno 40 projektů, prostřednictvím kterých by mělo být pořízeno celkem cca 55 – 60 elektromobilů. Zároveň by všechny dosud podpořené projekty měly vést k vybudování cca 140 neveřejných nabíjecích stanic pro elektromobily, často v kombinaci s FVE.  </w:t>
      </w:r>
    </w:p>
    <w:p w14:paraId="47397599" w14:textId="77777777" w:rsidR="001C1012" w:rsidRPr="001C1012" w:rsidRDefault="001C1012" w:rsidP="001C1012">
      <w:pPr>
        <w:spacing w:after="0"/>
      </w:pPr>
    </w:p>
    <w:p w14:paraId="026144E7" w14:textId="61764CEC" w:rsidR="001C1012" w:rsidRPr="001C1012" w:rsidRDefault="001C1012" w:rsidP="001C1012">
      <w:pPr>
        <w:spacing w:after="0"/>
      </w:pPr>
      <w:r w:rsidRPr="001C1012">
        <w:t>Jak vyplývá ze zveřejněných dat Centra dopravního výzkumu</w:t>
      </w:r>
      <w:r w:rsidR="0043022E">
        <w:t xml:space="preserve"> (CDV)</w:t>
      </w:r>
      <w:r w:rsidRPr="001C1012">
        <w:t>, která využívají údaje z Centrálního registru vozidel</w:t>
      </w:r>
      <w:r w:rsidR="0043022E">
        <w:t xml:space="preserve"> (CRV)</w:t>
      </w:r>
      <w:r w:rsidR="000A4184">
        <w:rPr>
          <w:rStyle w:val="Znakapoznpodarou"/>
        </w:rPr>
        <w:footnoteReference w:id="19"/>
      </w:r>
      <w:r w:rsidRPr="001C1012">
        <w:t xml:space="preserve">, v roce 2018 bylo nově registrováno v CRV celkem 703 osobních elektromobilů. I když nejsou k dispozici oficiální statistiky o celkovém počtu provozovaných elektromobilů v ČR, zveřejňované odhady uvádějí cca 2 000 - 2 200 vozidel. </w:t>
      </w:r>
    </w:p>
    <w:p w14:paraId="689D0EFB" w14:textId="77777777" w:rsidR="001C1012" w:rsidRPr="001C1012" w:rsidRDefault="001C1012" w:rsidP="001C1012">
      <w:pPr>
        <w:spacing w:after="0"/>
      </w:pPr>
    </w:p>
    <w:p w14:paraId="6C54B4CF" w14:textId="77777777" w:rsidR="001C1012" w:rsidRPr="001C1012" w:rsidRDefault="001C1012" w:rsidP="001C1012">
      <w:pPr>
        <w:spacing w:after="0"/>
      </w:pPr>
      <w:r w:rsidRPr="001C1012">
        <w:t>Příspěvek PP NUT k rozvoji nízkouhlíkové dopravy v ČR tak lze v kontextu výše uváděných údajů považovat za významný. Tím spíše, že v době zpracování evaluačního projektu probíhal příjem dalších žádostí o podporu v aktivitě „elektromobilita“ a v harmonogramu výzev OP PIK uvažuje ŘO o vyhlášení další, v pořadí V. výzvy. Celkový počet elektromobilů i nabíjecích stanic pořízených podnikatelskými subjekty s podporou z OP OPIK tak bezesporu dále poroste.</w:t>
      </w:r>
    </w:p>
    <w:p w14:paraId="08A96330" w14:textId="77777777" w:rsidR="001C1012" w:rsidRPr="001C1012" w:rsidRDefault="001C1012" w:rsidP="001C1012">
      <w:pPr>
        <w:spacing w:after="0"/>
      </w:pPr>
    </w:p>
    <w:p w14:paraId="654ED0D2" w14:textId="5FEF478E" w:rsidR="001C1012" w:rsidRPr="001C1012" w:rsidRDefault="00472EC3" w:rsidP="001C1012">
      <w:pPr>
        <w:spacing w:after="0"/>
        <w:rPr>
          <w:u w:val="single"/>
        </w:rPr>
      </w:pPr>
      <w:r>
        <w:rPr>
          <w:u w:val="single"/>
        </w:rPr>
        <w:t xml:space="preserve">ad) </w:t>
      </w:r>
      <w:r w:rsidR="001C1012" w:rsidRPr="001C1012">
        <w:rPr>
          <w:u w:val="single"/>
        </w:rPr>
        <w:t>Akumulace energie</w:t>
      </w:r>
    </w:p>
    <w:p w14:paraId="1BAE04D3" w14:textId="77777777" w:rsidR="001C1012" w:rsidRPr="001C1012" w:rsidRDefault="001C1012" w:rsidP="001C1012">
      <w:pPr>
        <w:spacing w:after="0"/>
      </w:pPr>
      <w:r w:rsidRPr="001C1012">
        <w:t xml:space="preserve">Akumulace energie je v poslední době jedním z nejčastějších témat, pokud jde o budoucí vývoj české energetiky. Využití akumulačních zařízení v energetice může být velmi široké, od ukládání elektřiny vyrobené ve vlastní solární elektrárně pro pozdější využití, po poskytování služeb k řízení rovnováhy </w:t>
      </w:r>
      <w:r w:rsidRPr="001C1012">
        <w:lastRenderedPageBreak/>
        <w:t>v elektrizační soustavě. V prostředí České republiky se jedná o relativně nový trend, který zatím postrádá širší využití, což platí zejména o elektroenergetice</w:t>
      </w:r>
      <w:bookmarkStart w:id="154" w:name="_Hlk9431224"/>
      <w:r w:rsidRPr="001C1012">
        <w:t>.</w:t>
      </w:r>
      <w:bookmarkEnd w:id="154"/>
    </w:p>
    <w:p w14:paraId="7DFBC1C7" w14:textId="77777777" w:rsidR="001C1012" w:rsidRPr="001C1012" w:rsidRDefault="001C1012" w:rsidP="001C1012">
      <w:pPr>
        <w:spacing w:after="0"/>
      </w:pPr>
    </w:p>
    <w:p w14:paraId="3E45F929" w14:textId="19CE7EB3" w:rsidR="001C1012" w:rsidRPr="001C1012" w:rsidRDefault="001C1012" w:rsidP="001C1012">
      <w:pPr>
        <w:spacing w:after="0"/>
      </w:pPr>
      <w:r w:rsidRPr="001C1012">
        <w:t>OP PIK podporuje inovativní projekty na zavádění technologií akumulace energie, a přímo tím tak přispívá k naplňování cílů v této oblasti. Ke konci roku 2018 bylo v informačním systému MS201</w:t>
      </w:r>
      <w:r w:rsidR="00472EC3">
        <w:t>4</w:t>
      </w:r>
      <w:r w:rsidRPr="001C1012">
        <w:t xml:space="preserve">+ evidováno celkem 68 podpořených projektů v aktivitě „akumulace energie“. Mezi nimi převažují projekty akumulace energie v kombinaci s FVE určené primárně pro vlastní spotřebu podniků (vč. dobíjení elektromobilů). U těchto projektů lze očekávat primárně přímé pozitivní dopady na příjemce v podobě úspor energií a nákladů na ně. </w:t>
      </w:r>
    </w:p>
    <w:p w14:paraId="1D747C21" w14:textId="77777777" w:rsidR="001C1012" w:rsidRPr="001C1012" w:rsidRDefault="001C1012" w:rsidP="001C1012">
      <w:pPr>
        <w:spacing w:after="0"/>
      </w:pPr>
    </w:p>
    <w:p w14:paraId="18CAB67D" w14:textId="77777777" w:rsidR="001C1012" w:rsidRPr="001C1012" w:rsidRDefault="001C1012" w:rsidP="001C1012">
      <w:pPr>
        <w:spacing w:after="0"/>
      </w:pPr>
      <w:r w:rsidRPr="001C1012">
        <w:t>Nicméně, předmětem podpory jsou i jednotlivé pilotní projekty např. v oblasti velkokapacitních bateriových úložišť, technologie akumulace elektřiny umožňující provoz v ostrovním režimu, lokální mikrosítě, využití technologie akumulace energie v teplárenství nebo výstavby zdroje na KVET z biomasy (OZE) s akumulací energie a instalací FVE.</w:t>
      </w:r>
    </w:p>
    <w:p w14:paraId="33C78B3D" w14:textId="77777777" w:rsidR="001C1012" w:rsidRPr="001C1012" w:rsidRDefault="001C1012" w:rsidP="001C1012">
      <w:pPr>
        <w:spacing w:after="0"/>
      </w:pPr>
    </w:p>
    <w:p w14:paraId="093574FC" w14:textId="77777777" w:rsidR="001C1012" w:rsidRPr="001C1012" w:rsidRDefault="001C1012" w:rsidP="001C1012">
      <w:pPr>
        <w:spacing w:after="0"/>
      </w:pPr>
      <w:r w:rsidRPr="001C1012">
        <w:t>Tyto projekty představují značný potenciál do budoucna, a to nejen z pohledu samotného příjemce, ale i pro širší využití v rámci ČR. Související efekty se projeví spíše v delším časovém horizontu.</w:t>
      </w:r>
    </w:p>
    <w:p w14:paraId="7A35AA46" w14:textId="6DDB87F4" w:rsidR="001C1012" w:rsidRDefault="001C1012" w:rsidP="00B359F6">
      <w:pPr>
        <w:spacing w:after="0"/>
      </w:pPr>
    </w:p>
    <w:p w14:paraId="644602D6" w14:textId="6EF2D1BE" w:rsidR="00472EC3" w:rsidRPr="00472EC3" w:rsidRDefault="00472EC3" w:rsidP="00472EC3">
      <w:pPr>
        <w:spacing w:after="0"/>
        <w:rPr>
          <w:u w:val="single"/>
        </w:rPr>
      </w:pPr>
      <w:r>
        <w:rPr>
          <w:u w:val="single"/>
        </w:rPr>
        <w:t xml:space="preserve">ad) </w:t>
      </w:r>
      <w:r w:rsidRPr="00472EC3">
        <w:rPr>
          <w:u w:val="single"/>
        </w:rPr>
        <w:t>Druhotné suroviny</w:t>
      </w:r>
    </w:p>
    <w:p w14:paraId="6CE7AC66" w14:textId="77777777" w:rsidR="00472EC3" w:rsidRPr="00472EC3" w:rsidRDefault="00472EC3" w:rsidP="00472EC3">
      <w:pPr>
        <w:spacing w:after="0"/>
      </w:pPr>
      <w:r w:rsidRPr="00472EC3">
        <w:t xml:space="preserve">Podle údajů z MS2014+ bylo k 31. 12. 2018 podpořeno v aktivitě „druhotné suroviny“ celkem 31 projektů. Jedná se převážně o unikátní a inovativní technologie na recyklaci použitého materiálu a výrobu druhotných surovin. Primárním cílem projektů je zvýšení konkurenceschopnosti podniků, ovšem zároveň znamenají potenciál pro širší využití inovativních technologií nakládání s odpady v prostředí ČR. </w:t>
      </w:r>
    </w:p>
    <w:p w14:paraId="0ECDAB09" w14:textId="77777777" w:rsidR="00472EC3" w:rsidRPr="00472EC3" w:rsidRDefault="00472EC3" w:rsidP="00472EC3">
      <w:pPr>
        <w:spacing w:after="0"/>
      </w:pPr>
    </w:p>
    <w:p w14:paraId="032733FE" w14:textId="77777777" w:rsidR="00472EC3" w:rsidRPr="00472EC3" w:rsidRDefault="00472EC3" w:rsidP="00472EC3">
      <w:pPr>
        <w:spacing w:after="0"/>
      </w:pPr>
      <w:r w:rsidRPr="00472EC3">
        <w:t>Na základě obsahové analýzy dosud podpořených projektů lze očekávat příspěvek PP NUT zejména v oblasti zavádění inovativních technologií:</w:t>
      </w:r>
    </w:p>
    <w:p w14:paraId="120241D6" w14:textId="77777777" w:rsidR="00472EC3" w:rsidRPr="00472EC3" w:rsidRDefault="00472EC3" w:rsidP="00472EC3">
      <w:pPr>
        <w:numPr>
          <w:ilvl w:val="0"/>
          <w:numId w:val="38"/>
        </w:numPr>
        <w:spacing w:after="0"/>
      </w:pPr>
      <w:r w:rsidRPr="00472EC3">
        <w:t>pro třídění kovového odpadu ze směsi kovů a dalších materiálů vznikajících při manipulaci s kovovými odpady,</w:t>
      </w:r>
    </w:p>
    <w:p w14:paraId="7BA468D0" w14:textId="77777777" w:rsidR="00472EC3" w:rsidRPr="00472EC3" w:rsidRDefault="00472EC3" w:rsidP="00472EC3">
      <w:pPr>
        <w:numPr>
          <w:ilvl w:val="0"/>
          <w:numId w:val="38"/>
        </w:numPr>
        <w:spacing w:after="0"/>
      </w:pPr>
      <w:r w:rsidRPr="00472EC3">
        <w:t>recyklace pneumatik, vč. nadrozměrných,</w:t>
      </w:r>
    </w:p>
    <w:p w14:paraId="6D55DBA3" w14:textId="77777777" w:rsidR="00472EC3" w:rsidRPr="00472EC3" w:rsidRDefault="00472EC3" w:rsidP="00472EC3">
      <w:pPr>
        <w:numPr>
          <w:ilvl w:val="0"/>
          <w:numId w:val="38"/>
        </w:numPr>
        <w:spacing w:after="0"/>
      </w:pPr>
      <w:r w:rsidRPr="00472EC3">
        <w:t xml:space="preserve">využití stavebního odpadu - výroba betonového, cihlového a asfaltového,        </w:t>
      </w:r>
    </w:p>
    <w:p w14:paraId="11D7E199" w14:textId="77777777" w:rsidR="00472EC3" w:rsidRPr="00472EC3" w:rsidRDefault="00472EC3" w:rsidP="00472EC3">
      <w:pPr>
        <w:numPr>
          <w:ilvl w:val="0"/>
          <w:numId w:val="38"/>
        </w:numPr>
        <w:spacing w:after="0"/>
      </w:pPr>
      <w:r w:rsidRPr="00472EC3">
        <w:t>recyklace abrazivních materiálů,</w:t>
      </w:r>
    </w:p>
    <w:p w14:paraId="21F654EB" w14:textId="77777777" w:rsidR="00472EC3" w:rsidRPr="00472EC3" w:rsidRDefault="00472EC3" w:rsidP="00472EC3">
      <w:pPr>
        <w:numPr>
          <w:ilvl w:val="0"/>
          <w:numId w:val="38"/>
        </w:numPr>
        <w:spacing w:after="0"/>
      </w:pPr>
      <w:r w:rsidRPr="00472EC3">
        <w:t>výroby druhotných textilních surovin z použitého textilu s ukončenou životností,</w:t>
      </w:r>
    </w:p>
    <w:p w14:paraId="022486E7" w14:textId="77777777" w:rsidR="00472EC3" w:rsidRPr="00472EC3" w:rsidRDefault="00472EC3" w:rsidP="00472EC3">
      <w:pPr>
        <w:numPr>
          <w:ilvl w:val="0"/>
          <w:numId w:val="38"/>
        </w:numPr>
        <w:spacing w:after="0"/>
      </w:pPr>
      <w:r w:rsidRPr="00472EC3">
        <w:t xml:space="preserve">zpracování odpadu (plasty a další materiál na bázi uhlíku) a jeho rozklad na jednotlivé složky na bázi uhlíku,  </w:t>
      </w:r>
    </w:p>
    <w:p w14:paraId="4E5802FD" w14:textId="77777777" w:rsidR="00472EC3" w:rsidRPr="00472EC3" w:rsidRDefault="00472EC3" w:rsidP="00472EC3">
      <w:pPr>
        <w:numPr>
          <w:ilvl w:val="0"/>
          <w:numId w:val="38"/>
        </w:numPr>
        <w:spacing w:after="0"/>
      </w:pPr>
      <w:r w:rsidRPr="00472EC3">
        <w:t>využití recyklovaného papíru.</w:t>
      </w:r>
    </w:p>
    <w:p w14:paraId="312E2CA8" w14:textId="77777777" w:rsidR="004365D9" w:rsidRDefault="004365D9" w:rsidP="004365D9">
      <w:pPr>
        <w:spacing w:after="0"/>
        <w:rPr>
          <w:u w:val="single"/>
        </w:rPr>
      </w:pPr>
    </w:p>
    <w:p w14:paraId="5FA87B8E" w14:textId="62CA4268" w:rsidR="004365D9" w:rsidRPr="004365D9" w:rsidRDefault="004365D9" w:rsidP="004365D9">
      <w:pPr>
        <w:spacing w:after="0"/>
        <w:rPr>
          <w:u w:val="single"/>
        </w:rPr>
      </w:pPr>
      <w:r>
        <w:rPr>
          <w:u w:val="single"/>
        </w:rPr>
        <w:t xml:space="preserve">ad) </w:t>
      </w:r>
      <w:r w:rsidRPr="004365D9">
        <w:rPr>
          <w:u w:val="single"/>
        </w:rPr>
        <w:t>Úprava bioplynu na biometan a jeho vtláčení do sítě</w:t>
      </w:r>
    </w:p>
    <w:p w14:paraId="457A7458" w14:textId="3FF038D5" w:rsidR="00987630" w:rsidRDefault="00F155AC" w:rsidP="00B359F6">
      <w:pPr>
        <w:spacing w:after="0"/>
      </w:pPr>
      <w:r>
        <w:t xml:space="preserve">Podle </w:t>
      </w:r>
      <w:r w:rsidR="001D740F">
        <w:t>každoročně zveřejňovaných statistik ERÚ</w:t>
      </w:r>
      <w:r w:rsidR="00DF5D07">
        <w:rPr>
          <w:rStyle w:val="Znakapoznpodarou"/>
        </w:rPr>
        <w:footnoteReference w:id="20"/>
      </w:r>
      <w:r w:rsidR="001D740F">
        <w:t xml:space="preserve"> o provozu soustav v energetických odvětvích osciluje výroba elektřiny z bioplynu v období let 2014 – 2018 v rozmezí cca 2500 – 2600 GWh ročně a nedochází k výraznějšímu zvýšení výroby. Ve struktuře kategorií bioplynu dominuje „Ostatní bioplyn“</w:t>
      </w:r>
      <w:r w:rsidR="00987630">
        <w:t>,</w:t>
      </w:r>
      <w:r w:rsidR="005C59E4">
        <w:t xml:space="preserve"> resp. bioplynové stanice</w:t>
      </w:r>
      <w:r w:rsidR="001D740F">
        <w:t xml:space="preserve"> (93 %). Podíl bioplynu</w:t>
      </w:r>
      <w:r w:rsidR="00987630">
        <w:t xml:space="preserve"> na celkové</w:t>
      </w:r>
      <w:r w:rsidR="001D740F">
        <w:t xml:space="preserve"> </w:t>
      </w:r>
      <w:r w:rsidR="00987630">
        <w:t>výrobě elektřiny z OZE dosahuje cca 28 %.</w:t>
      </w:r>
    </w:p>
    <w:p w14:paraId="4FB22789" w14:textId="77777777" w:rsidR="00987630" w:rsidRDefault="00987630" w:rsidP="00B359F6">
      <w:pPr>
        <w:spacing w:after="0"/>
      </w:pPr>
    </w:p>
    <w:p w14:paraId="5962B495" w14:textId="57DF46C6" w:rsidR="005C59E4" w:rsidRDefault="00987630" w:rsidP="00B359F6">
      <w:pPr>
        <w:spacing w:after="0"/>
      </w:pPr>
      <w:r>
        <w:lastRenderedPageBreak/>
        <w:t xml:space="preserve">Co se týká </w:t>
      </w:r>
      <w:r w:rsidR="005C59E4">
        <w:t>statistik prodeje</w:t>
      </w:r>
      <w:r>
        <w:t xml:space="preserve"> tepla</w:t>
      </w:r>
      <w:r w:rsidR="0043022E">
        <w:rPr>
          <w:rStyle w:val="Znakapoznpodarou"/>
        </w:rPr>
        <w:footnoteReference w:id="21"/>
      </w:r>
      <w:r>
        <w:t xml:space="preserve">, </w:t>
      </w:r>
      <w:r w:rsidR="005C59E4">
        <w:t>objem prodaného tepla z </w:t>
      </w:r>
      <w:r>
        <w:t>bioplyn</w:t>
      </w:r>
      <w:r w:rsidR="005C59E4">
        <w:t>u se v posledních letech pohybuje zhruba ve výši 500 TJ/rok, což je zhruba 0,5 % celkového objemu prodaného tepla ze všech paliv a technologií v ČR. Ani v tomto případě není patrná žádná výraznější změna trendu. Ve struktuře produkce dominují bioplynové stanice (cca 90 % prodaného tepla z bioplynu).</w:t>
      </w:r>
    </w:p>
    <w:p w14:paraId="40746287" w14:textId="77777777" w:rsidR="00C13AD6" w:rsidRDefault="00C13AD6" w:rsidP="00B359F6">
      <w:pPr>
        <w:spacing w:after="0"/>
      </w:pPr>
    </w:p>
    <w:p w14:paraId="6A01B56F" w14:textId="2FDA5D9C" w:rsidR="00C13AD6" w:rsidRDefault="00C13AD6" w:rsidP="00B359F6">
      <w:pPr>
        <w:spacing w:after="0"/>
      </w:pPr>
      <w:r w:rsidRPr="00C13AD6">
        <w:t>Pro zajištění národního příspěvku</w:t>
      </w:r>
      <w:r>
        <w:t xml:space="preserve"> ČR</w:t>
      </w:r>
      <w:r w:rsidRPr="00C13AD6">
        <w:t xml:space="preserve"> k evropskému cíli </w:t>
      </w:r>
      <w:r>
        <w:t>pro</w:t>
      </w:r>
      <w:r w:rsidRPr="00C13AD6">
        <w:t xml:space="preserve"> OZE v sektoru dopravy </w:t>
      </w:r>
      <w:r>
        <w:t xml:space="preserve">se jeví jako nezbytné podporovat </w:t>
      </w:r>
      <w:r w:rsidRPr="00C13AD6">
        <w:t>výrob</w:t>
      </w:r>
      <w:r>
        <w:t>u</w:t>
      </w:r>
      <w:r w:rsidRPr="00C13AD6">
        <w:t xml:space="preserve"> tzv. „pokročilého“ biometanu a jeho dodávk</w:t>
      </w:r>
      <w:r>
        <w:t>y</w:t>
      </w:r>
      <w:r w:rsidRPr="00C13AD6">
        <w:t xml:space="preserve"> do sektoru dopravy.</w:t>
      </w:r>
      <w:r>
        <w:t xml:space="preserve"> Zde slouží jako CNG </w:t>
      </w:r>
      <w:r w:rsidR="00701FF4">
        <w:t xml:space="preserve">pohon </w:t>
      </w:r>
      <w:r>
        <w:t>jak běžných vozidel, tak i hospodářských strojů. Právě na rozvoj tohoto segmentu využití bioplynu, resp. biometanu cílí PP NUT v</w:t>
      </w:r>
      <w:r w:rsidR="0043022E">
        <w:t> </w:t>
      </w:r>
      <w:r>
        <w:t>př</w:t>
      </w:r>
      <w:r w:rsidR="0043022E">
        <w:t xml:space="preserve">íslušné </w:t>
      </w:r>
      <w:r>
        <w:t xml:space="preserve">typové aktivitě. </w:t>
      </w:r>
    </w:p>
    <w:p w14:paraId="62A44954" w14:textId="77777777" w:rsidR="00C13AD6" w:rsidRDefault="00C13AD6" w:rsidP="00B359F6">
      <w:pPr>
        <w:spacing w:after="0"/>
      </w:pPr>
    </w:p>
    <w:p w14:paraId="34CB943E" w14:textId="5E9A5B0F" w:rsidR="00B359F6" w:rsidRDefault="005C59E4" w:rsidP="00B359F6">
      <w:pPr>
        <w:spacing w:after="0"/>
      </w:pPr>
      <w:r>
        <w:t xml:space="preserve">Vzhledem k tomu, že ke </w:t>
      </w:r>
      <w:r w:rsidR="00DF5D07">
        <w:t xml:space="preserve">konci roku 2018 </w:t>
      </w:r>
      <w:r w:rsidR="00C13AD6">
        <w:t xml:space="preserve">byl </w:t>
      </w:r>
      <w:r w:rsidR="00DF5D07">
        <w:t>evidován v MS2014+ pouze jeden schválený projekt</w:t>
      </w:r>
      <w:r w:rsidR="00C13AD6">
        <w:t xml:space="preserve"> (v realizaci)</w:t>
      </w:r>
      <w:r w:rsidR="00DF5D07">
        <w:t xml:space="preserve">, je možné konstatovat, že SC 3.4 zatím nijak nepřispívá k vyššímu využití inovativních technologií v oblasti využití bioplynu. </w:t>
      </w:r>
      <w:r>
        <w:t xml:space="preserve">  </w:t>
      </w:r>
      <w:r w:rsidR="00987630">
        <w:t xml:space="preserve"> </w:t>
      </w:r>
      <w:r w:rsidR="001D740F">
        <w:t xml:space="preserve"> </w:t>
      </w:r>
    </w:p>
    <w:p w14:paraId="503296A5" w14:textId="77777777" w:rsidR="004365D9" w:rsidRPr="00B359F6" w:rsidRDefault="004365D9" w:rsidP="00B359F6">
      <w:pPr>
        <w:spacing w:after="0"/>
      </w:pPr>
    </w:p>
    <w:p w14:paraId="227DBEE5" w14:textId="77777777" w:rsidR="00B359F6" w:rsidRPr="00B359F6" w:rsidRDefault="00B359F6" w:rsidP="00434AF0">
      <w:pPr>
        <w:pStyle w:val="Nadpis4"/>
        <w:numPr>
          <w:ilvl w:val="0"/>
          <w:numId w:val="0"/>
        </w:numPr>
      </w:pPr>
      <w:r w:rsidRPr="00B359F6">
        <w:t>Využití potenciálu pro zavádění moderních nízkouhlíkových technologií v oblasti nakládání energií a využívání druhotných surovin - především v malých a středních podnicích - který zvyšuje vedle konkurenceschopnosti rovněž i celkový inovační potenciál ČR v oblasti nakládání energií a druhotnými surovinami</w:t>
      </w:r>
    </w:p>
    <w:p w14:paraId="0AE2C985" w14:textId="76F6AE04" w:rsidR="000A4184" w:rsidRDefault="004E3E9D" w:rsidP="00B359F6">
      <w:pPr>
        <w:spacing w:after="0"/>
      </w:pPr>
      <w:r>
        <w:t>Možnosti h</w:t>
      </w:r>
      <w:r w:rsidR="000A4184">
        <w:t xml:space="preserve">odnocení tohoto výsledku, kterého chce ČR dosáhnout s podporou Unie, </w:t>
      </w:r>
      <w:r>
        <w:t>jsou</w:t>
      </w:r>
      <w:r w:rsidR="000A4184">
        <w:t xml:space="preserve"> rovněž</w:t>
      </w:r>
      <w:r>
        <w:t xml:space="preserve"> - jako v případě předchozího</w:t>
      </w:r>
      <w:r w:rsidR="000A4184">
        <w:t xml:space="preserve"> </w:t>
      </w:r>
      <w:r>
        <w:t>- limitovány</w:t>
      </w:r>
      <w:r w:rsidR="000A4184">
        <w:t xml:space="preserve"> absencí relevantních statistik. </w:t>
      </w:r>
      <w:r>
        <w:t>Dalším omezujícím faktorem je zatím nízký vzorek ukončených projektů (zejména v aktivitách b), c) a bezpochyby i d</w:t>
      </w:r>
      <w:r w:rsidR="00F155AC">
        <w:t>)</w:t>
      </w:r>
      <w:r>
        <w:t>).</w:t>
      </w:r>
    </w:p>
    <w:p w14:paraId="40CABB20" w14:textId="77777777" w:rsidR="000A4184" w:rsidRDefault="000A4184" w:rsidP="00B359F6">
      <w:pPr>
        <w:spacing w:after="0"/>
      </w:pPr>
    </w:p>
    <w:p w14:paraId="7E8AD86B" w14:textId="4FF5ADA5" w:rsidR="000A4184" w:rsidRPr="000A4184" w:rsidRDefault="000A4184" w:rsidP="000A4184">
      <w:pPr>
        <w:spacing w:after="0"/>
      </w:pPr>
      <w:r>
        <w:t xml:space="preserve">Obecně lze konstatovat, že PP NUT je nástrojem, který může přispívat k vyššímu využití potenciálu pro </w:t>
      </w:r>
      <w:r w:rsidRPr="000A4184">
        <w:t>zavádění moderních nízkouhlíkových technologií v oblasti nakládání energií a využívání druhotných surovin</w:t>
      </w:r>
      <w:r>
        <w:t xml:space="preserve">. </w:t>
      </w:r>
      <w:r w:rsidR="004E3E9D">
        <w:t xml:space="preserve">Součástí </w:t>
      </w:r>
      <w:r w:rsidRPr="000A4184">
        <w:t>hodnocení</w:t>
      </w:r>
      <w:r w:rsidR="004E3E9D">
        <w:t xml:space="preserve"> předkládaných žádostí je mj. i kritérium připravenosti technologie, kdy je </w:t>
      </w:r>
      <w:r w:rsidRPr="000A4184">
        <w:t>aplikováno hodnocení Technology Readiness Level (TRL, Úroveň připravenosti technologie)</w:t>
      </w:r>
      <w:r w:rsidR="004E3E9D">
        <w:t>. P</w:t>
      </w:r>
      <w:r w:rsidR="004E3E9D" w:rsidRPr="004E3E9D">
        <w:t>odpořeny</w:t>
      </w:r>
      <w:r w:rsidR="004E3E9D">
        <w:t xml:space="preserve"> mohou být pouze úrovně TRL 5 a výše.</w:t>
      </w:r>
    </w:p>
    <w:p w14:paraId="78A13F74" w14:textId="7B5171E2" w:rsidR="000A4184" w:rsidRPr="00B359F6" w:rsidRDefault="000A4184" w:rsidP="00B359F6">
      <w:pPr>
        <w:spacing w:after="0"/>
      </w:pPr>
    </w:p>
    <w:p w14:paraId="5516750D" w14:textId="637EDAEC" w:rsidR="00B359F6" w:rsidRPr="00B359F6" w:rsidRDefault="00B359F6" w:rsidP="00434AF0">
      <w:pPr>
        <w:pStyle w:val="Nadpis4"/>
        <w:numPr>
          <w:ilvl w:val="0"/>
          <w:numId w:val="0"/>
        </w:numPr>
      </w:pPr>
      <w:r w:rsidRPr="0059741F">
        <w:t>Zvýšení soběstačnosti ČR v surovinových zdrojích substitucí primárních zdrojů druhotnými surovinami a zvýšení inovační aktivity podniků směrem k efektivnějšímu využívání klíčových surovin během celého jejich životního cyklu</w:t>
      </w:r>
    </w:p>
    <w:p w14:paraId="4A3D0254" w14:textId="26DA150C" w:rsidR="0052655F" w:rsidRDefault="00890A57" w:rsidP="0059741F">
      <w:pPr>
        <w:spacing w:after="0"/>
      </w:pPr>
      <w:r>
        <w:t>Za účelem sledování toho, jak se v ekonomice využívají recyklované a druhotné suroviny, byl na evropské úrovni definován Indikátor míry cyklického využívání materiálů. Je definován jako podíl spotřeby recyklovaných a druhotných materiálů k celkové spotřebě materiálů. Pl</w:t>
      </w:r>
      <w:r w:rsidR="0036794C">
        <w:t>a</w:t>
      </w:r>
      <w:r>
        <w:t>tí, že čím vyšší je hodnota tohoto indikátoru, tím více primárních surovin je nahrazeno druhotnými surovinami.</w:t>
      </w:r>
    </w:p>
    <w:p w14:paraId="7A58D7AC" w14:textId="3D56E0A3" w:rsidR="00890A57" w:rsidRDefault="00890A57" w:rsidP="0059741F">
      <w:pPr>
        <w:spacing w:after="0"/>
      </w:pPr>
    </w:p>
    <w:p w14:paraId="48F4B07F" w14:textId="274AF339" w:rsidR="00890A57" w:rsidRDefault="00890A57" w:rsidP="0059741F">
      <w:pPr>
        <w:spacing w:after="0"/>
        <w:rPr>
          <w:sz w:val="23"/>
          <w:szCs w:val="23"/>
        </w:rPr>
      </w:pPr>
      <w:r>
        <w:t>Údaje o vývoji hodnot tohoto indikátoru v ČR od roku 2011 (od kdy ČSÚ</w:t>
      </w:r>
      <w:r w:rsidR="00FF4E95">
        <w:t xml:space="preserve"> vykazuje data</w:t>
      </w:r>
      <w:r>
        <w:t xml:space="preserve"> o produkci DS) do posledního dostupného roku 2016 </w:t>
      </w:r>
      <w:r w:rsidR="005A78AC">
        <w:t>uvádí MPO v aktualizované Politice druhotných surovin</w:t>
      </w:r>
      <w:r w:rsidR="005A78AC">
        <w:rPr>
          <w:rStyle w:val="Znakapoznpodarou"/>
        </w:rPr>
        <w:footnoteReference w:id="22"/>
      </w:r>
      <w:r w:rsidR="005A78AC">
        <w:t xml:space="preserve">. Dokument MPO konstatuje, že </w:t>
      </w:r>
      <w:r w:rsidR="005A78AC">
        <w:rPr>
          <w:sz w:val="23"/>
          <w:szCs w:val="23"/>
        </w:rPr>
        <w:t>i když druhotné suroviny významně přispívají k oběhovému hospodářství, jejich produkce ve sledovaném období příliš nestoupla – došlo k nárůstu pouze o 1,7 %.</w:t>
      </w:r>
      <w:r w:rsidR="005A78AC" w:rsidRPr="005A78AC">
        <w:t xml:space="preserve"> </w:t>
      </w:r>
      <w:r w:rsidR="005A78AC" w:rsidRPr="005A78AC">
        <w:rPr>
          <w:sz w:val="23"/>
          <w:szCs w:val="23"/>
        </w:rPr>
        <w:t xml:space="preserve">Indikátor </w:t>
      </w:r>
      <w:r w:rsidR="005A78AC">
        <w:rPr>
          <w:sz w:val="23"/>
          <w:szCs w:val="23"/>
        </w:rPr>
        <w:t xml:space="preserve">zároveň </w:t>
      </w:r>
      <w:r w:rsidR="005A78AC" w:rsidRPr="005A78AC">
        <w:rPr>
          <w:sz w:val="23"/>
          <w:szCs w:val="23"/>
        </w:rPr>
        <w:lastRenderedPageBreak/>
        <w:t>potvrzuje, že druhotné suroviny významně přispívají k oběhovému hospodářství, protože jejich objem je 2-3krát větší než objem recyklovaných a znovuvyužitých odpadů.</w:t>
      </w:r>
    </w:p>
    <w:p w14:paraId="4CD7C0A6" w14:textId="5C1DD8F1" w:rsidR="005A78AC" w:rsidRDefault="005A78AC" w:rsidP="0059741F">
      <w:pPr>
        <w:spacing w:after="0"/>
        <w:rPr>
          <w:sz w:val="23"/>
          <w:szCs w:val="23"/>
        </w:rPr>
      </w:pPr>
    </w:p>
    <w:p w14:paraId="00188A12" w14:textId="75D41A1F" w:rsidR="005A78AC" w:rsidRDefault="005A78AC" w:rsidP="0059741F">
      <w:pPr>
        <w:spacing w:after="0"/>
      </w:pPr>
      <w:r>
        <w:rPr>
          <w:sz w:val="23"/>
          <w:szCs w:val="23"/>
        </w:rPr>
        <w:t xml:space="preserve">PP NUT je zaměřen na podporu především inovativních technologií zpracování a využívání druhotných surovin. Z logiky věci tedy nelze předpokládat, že podpořené projekty budou mít bezprostřední významný vliv na celkové objemy a produkci druhotných surovin v ČR. Hlavním smyslem podpory je vytvářet předpoklady pro následné širší využití aplikovaných inovativních NUT. Relevantní hodnocení těchto efektů však bude možné provést až s delším časovým odstupem, v rámci ex post evaluací.  </w:t>
      </w:r>
    </w:p>
    <w:p w14:paraId="38F9ED78" w14:textId="6717E118" w:rsidR="00890A57" w:rsidRDefault="00890A57" w:rsidP="0059741F">
      <w:pPr>
        <w:spacing w:after="0"/>
      </w:pPr>
    </w:p>
    <w:p w14:paraId="25500353" w14:textId="77777777" w:rsidR="00B359F6" w:rsidRPr="0059741F" w:rsidRDefault="00B359F6" w:rsidP="00434AF0">
      <w:pPr>
        <w:pStyle w:val="Nadpis4"/>
        <w:numPr>
          <w:ilvl w:val="0"/>
          <w:numId w:val="0"/>
        </w:numPr>
      </w:pPr>
      <w:r w:rsidRPr="0059741F">
        <w:t>Výsledkem vyššího využívání druhotných surovin bude snížení energetické a materiálové náročnosti ve všech výrobních odvětvích a snížení emisí z průmyslové činnosti v souvislosti s poklesem objemu těžby primárních surovin</w:t>
      </w:r>
    </w:p>
    <w:p w14:paraId="16383E57" w14:textId="0D9A9BF7" w:rsidR="000462F8" w:rsidRDefault="00B10706" w:rsidP="00CA6865">
      <w:pPr>
        <w:spacing w:after="0"/>
        <w:rPr>
          <w:rFonts w:ascii="Calibri" w:hAnsi="Calibri" w:cs="Calibri"/>
          <w:color w:val="000000"/>
        </w:rPr>
      </w:pPr>
      <w:bookmarkStart w:id="155" w:name="_Hlk10458036"/>
      <w:r>
        <w:rPr>
          <w:rFonts w:ascii="Calibri" w:hAnsi="Calibri" w:cs="Calibri"/>
          <w:color w:val="000000"/>
        </w:rPr>
        <w:t xml:space="preserve">7. </w:t>
      </w:r>
      <w:r w:rsidR="00CA6865" w:rsidRPr="00CA6865">
        <w:rPr>
          <w:rFonts w:ascii="Calibri" w:hAnsi="Calibri" w:cs="Calibri"/>
          <w:color w:val="000000"/>
        </w:rPr>
        <w:t>Zpráva o pokroku</w:t>
      </w:r>
      <w:r w:rsidR="00CA6865">
        <w:rPr>
          <w:rFonts w:ascii="Calibri" w:hAnsi="Calibri" w:cs="Calibri"/>
          <w:color w:val="000000"/>
        </w:rPr>
        <w:t xml:space="preserve"> v oblasti plnění vnitrostátních cílů energetické účinnosti </w:t>
      </w:r>
      <w:r w:rsidR="00CA6865" w:rsidRPr="00CA6865">
        <w:rPr>
          <w:rFonts w:ascii="Calibri" w:hAnsi="Calibri" w:cs="Calibri"/>
          <w:color w:val="000000"/>
        </w:rPr>
        <w:t>za rok 2018</w:t>
      </w:r>
      <w:r w:rsidR="005657EB">
        <w:rPr>
          <w:rStyle w:val="Znakapoznpodarou"/>
          <w:rFonts w:ascii="Calibri" w:hAnsi="Calibri" w:cs="Calibri"/>
          <w:color w:val="000000"/>
        </w:rPr>
        <w:footnoteReference w:id="23"/>
      </w:r>
      <w:r w:rsidR="00CA6865">
        <w:rPr>
          <w:rFonts w:ascii="Calibri" w:hAnsi="Calibri" w:cs="Calibri"/>
          <w:color w:val="000000"/>
        </w:rPr>
        <w:t xml:space="preserve"> uvádí, že </w:t>
      </w:r>
      <w:r w:rsidR="00CA6865" w:rsidRPr="00CA6865">
        <w:rPr>
          <w:rFonts w:ascii="Calibri" w:hAnsi="Calibri" w:cs="Calibri"/>
          <w:color w:val="000000"/>
        </w:rPr>
        <w:t>trend spotřeby energie vykazuje od roku 2014 meziroční nárůst konečné spotřeby energie</w:t>
      </w:r>
      <w:r w:rsidR="000462F8">
        <w:rPr>
          <w:rFonts w:ascii="Calibri" w:hAnsi="Calibri" w:cs="Calibri"/>
          <w:color w:val="000000"/>
        </w:rPr>
        <w:t>, což do značné míry souvisí s růstem produkce ekonomiky v posledních letech</w:t>
      </w:r>
      <w:r w:rsidR="00CA6865" w:rsidRPr="00CA6865">
        <w:rPr>
          <w:rFonts w:ascii="Calibri" w:hAnsi="Calibri" w:cs="Calibri"/>
          <w:color w:val="000000"/>
        </w:rPr>
        <w:t xml:space="preserve">. </w:t>
      </w:r>
      <w:r w:rsidR="000462F8">
        <w:rPr>
          <w:rFonts w:ascii="Calibri" w:hAnsi="Calibri" w:cs="Calibri"/>
          <w:color w:val="000000"/>
        </w:rPr>
        <w:t xml:space="preserve">Vyšší </w:t>
      </w:r>
      <w:r w:rsidR="000462F8" w:rsidRPr="000462F8">
        <w:rPr>
          <w:rFonts w:ascii="Calibri" w:hAnsi="Calibri" w:cs="Calibri"/>
          <w:color w:val="000000"/>
        </w:rPr>
        <w:t>konečn</w:t>
      </w:r>
      <w:r w:rsidR="000462F8">
        <w:rPr>
          <w:rFonts w:ascii="Calibri" w:hAnsi="Calibri" w:cs="Calibri"/>
          <w:color w:val="000000"/>
        </w:rPr>
        <w:t>á</w:t>
      </w:r>
      <w:r w:rsidR="000462F8" w:rsidRPr="000462F8">
        <w:rPr>
          <w:rFonts w:ascii="Calibri" w:hAnsi="Calibri" w:cs="Calibri"/>
          <w:color w:val="000000"/>
        </w:rPr>
        <w:t xml:space="preserve"> spotřeb</w:t>
      </w:r>
      <w:r w:rsidR="000462F8">
        <w:rPr>
          <w:rFonts w:ascii="Calibri" w:hAnsi="Calibri" w:cs="Calibri"/>
          <w:color w:val="000000"/>
        </w:rPr>
        <w:t>a</w:t>
      </w:r>
      <w:r w:rsidR="000462F8" w:rsidRPr="000462F8">
        <w:rPr>
          <w:rFonts w:ascii="Calibri" w:hAnsi="Calibri" w:cs="Calibri"/>
          <w:color w:val="000000"/>
        </w:rPr>
        <w:t xml:space="preserve"> energie je zapříčiněn</w:t>
      </w:r>
      <w:r w:rsidR="000462F8">
        <w:rPr>
          <w:rFonts w:ascii="Calibri" w:hAnsi="Calibri" w:cs="Calibri"/>
          <w:color w:val="000000"/>
        </w:rPr>
        <w:t>a zejména</w:t>
      </w:r>
      <w:r w:rsidR="000462F8" w:rsidRPr="000462F8">
        <w:rPr>
          <w:rFonts w:ascii="Calibri" w:hAnsi="Calibri" w:cs="Calibri"/>
          <w:color w:val="000000"/>
        </w:rPr>
        <w:t xml:space="preserve"> stoupající spotřebou </w:t>
      </w:r>
      <w:r w:rsidR="000462F8">
        <w:rPr>
          <w:rFonts w:ascii="Calibri" w:hAnsi="Calibri" w:cs="Calibri"/>
          <w:color w:val="000000"/>
        </w:rPr>
        <w:t xml:space="preserve">v </w:t>
      </w:r>
      <w:r w:rsidR="000462F8" w:rsidRPr="000462F8">
        <w:rPr>
          <w:rFonts w:ascii="Calibri" w:hAnsi="Calibri" w:cs="Calibri"/>
          <w:color w:val="000000"/>
        </w:rPr>
        <w:t>domácnost</w:t>
      </w:r>
      <w:r w:rsidR="000462F8">
        <w:rPr>
          <w:rFonts w:ascii="Calibri" w:hAnsi="Calibri" w:cs="Calibri"/>
          <w:color w:val="000000"/>
        </w:rPr>
        <w:t>ech</w:t>
      </w:r>
      <w:r w:rsidR="000462F8" w:rsidRPr="000462F8">
        <w:rPr>
          <w:rFonts w:ascii="Calibri" w:hAnsi="Calibri" w:cs="Calibri"/>
          <w:color w:val="000000"/>
        </w:rPr>
        <w:t xml:space="preserve"> a především v sektoru dopravy</w:t>
      </w:r>
      <w:r w:rsidR="000462F8">
        <w:rPr>
          <w:rFonts w:ascii="Calibri" w:hAnsi="Calibri" w:cs="Calibri"/>
          <w:color w:val="000000"/>
        </w:rPr>
        <w:t>.</w:t>
      </w:r>
    </w:p>
    <w:p w14:paraId="0290E9D6" w14:textId="77777777" w:rsidR="000462F8" w:rsidRDefault="000462F8" w:rsidP="00CA6865">
      <w:pPr>
        <w:spacing w:after="0"/>
        <w:rPr>
          <w:rFonts w:ascii="Calibri" w:hAnsi="Calibri" w:cs="Calibri"/>
          <w:color w:val="000000"/>
        </w:rPr>
      </w:pPr>
    </w:p>
    <w:p w14:paraId="7BABF2A7" w14:textId="77777777" w:rsidR="000462F8" w:rsidRDefault="00CA6865" w:rsidP="00CA6865">
      <w:pPr>
        <w:spacing w:after="0"/>
        <w:rPr>
          <w:rFonts w:ascii="Calibri" w:hAnsi="Calibri" w:cs="Calibri"/>
          <w:color w:val="000000"/>
        </w:rPr>
      </w:pPr>
      <w:r>
        <w:rPr>
          <w:rFonts w:ascii="Calibri" w:hAnsi="Calibri" w:cs="Calibri"/>
          <w:color w:val="000000"/>
        </w:rPr>
        <w:t xml:space="preserve">I </w:t>
      </w:r>
      <w:r w:rsidRPr="00CA6865">
        <w:rPr>
          <w:rFonts w:ascii="Calibri" w:hAnsi="Calibri" w:cs="Calibri"/>
          <w:color w:val="000000"/>
        </w:rPr>
        <w:t xml:space="preserve">přes zvyšující se konečnou spotřebu energie </w:t>
      </w:r>
      <w:r>
        <w:rPr>
          <w:rFonts w:ascii="Calibri" w:hAnsi="Calibri" w:cs="Calibri"/>
          <w:color w:val="000000"/>
        </w:rPr>
        <w:t xml:space="preserve">však </w:t>
      </w:r>
      <w:r w:rsidRPr="00CA6865">
        <w:rPr>
          <w:rFonts w:ascii="Calibri" w:hAnsi="Calibri" w:cs="Calibri"/>
          <w:color w:val="000000"/>
        </w:rPr>
        <w:t>dlouhodobě klesá energetická náročnost hospodářství. V roce 2017 nicméně úroveň energetické intenzity stagnovala, přičemž dosah</w:t>
      </w:r>
      <w:r>
        <w:rPr>
          <w:rFonts w:ascii="Calibri" w:hAnsi="Calibri" w:cs="Calibri"/>
          <w:color w:val="000000"/>
        </w:rPr>
        <w:t xml:space="preserve">ovala </w:t>
      </w:r>
      <w:r w:rsidRPr="00CA6865">
        <w:rPr>
          <w:rFonts w:ascii="Calibri" w:hAnsi="Calibri" w:cs="Calibri"/>
          <w:color w:val="000000"/>
        </w:rPr>
        <w:t>úrovně 391 GJ/mil. Kč HDP</w:t>
      </w:r>
      <w:r w:rsidR="0059741F" w:rsidRPr="00CA6865">
        <w:rPr>
          <w:rFonts w:ascii="Calibri" w:hAnsi="Calibri" w:cs="Calibri"/>
          <w:color w:val="000000"/>
        </w:rPr>
        <w:t>.</w:t>
      </w:r>
      <w:r>
        <w:rPr>
          <w:rFonts w:ascii="Calibri" w:hAnsi="Calibri" w:cs="Calibri"/>
          <w:color w:val="000000"/>
        </w:rPr>
        <w:t xml:space="preserve"> </w:t>
      </w:r>
    </w:p>
    <w:p w14:paraId="3861F7C1" w14:textId="77777777" w:rsidR="000462F8" w:rsidRDefault="000462F8" w:rsidP="00CA6865">
      <w:pPr>
        <w:spacing w:after="0"/>
        <w:rPr>
          <w:rFonts w:ascii="Calibri" w:hAnsi="Calibri" w:cs="Calibri"/>
          <w:color w:val="000000"/>
        </w:rPr>
      </w:pPr>
    </w:p>
    <w:p w14:paraId="4093E050" w14:textId="00CBC6B5" w:rsidR="0059741F" w:rsidRDefault="00CA6865" w:rsidP="00CA6865">
      <w:pPr>
        <w:spacing w:after="0"/>
      </w:pPr>
      <w:r>
        <w:rPr>
          <w:rFonts w:ascii="Calibri" w:hAnsi="Calibri" w:cs="Calibri"/>
          <w:color w:val="000000"/>
        </w:rPr>
        <w:t xml:space="preserve">Z informací obsažených ve zprávě dále vyplývá, že </w:t>
      </w:r>
      <w:r>
        <w:t>od roku 2012 klesá stabilně energetická náročnost průmyslu na hrubou přidanou hodnotu (HPH). Oproti roku 2016 klesla v roce 2017 energetická náročnost průmyslu meziročně o 2,7 %. Dlouhodobě taktéž klesá poměr spotřeby energie vůči průmyslové produkci, který se měří vůči indexu průmyslové produkce, což potvrzuje trend zvyšující se technické účinnosti v sektoru průmyslu.</w:t>
      </w:r>
    </w:p>
    <w:p w14:paraId="2492BADD" w14:textId="4093C8B8" w:rsidR="00557926" w:rsidRDefault="00557926" w:rsidP="00CA6865">
      <w:pPr>
        <w:spacing w:after="0"/>
      </w:pPr>
    </w:p>
    <w:p w14:paraId="00880CB5" w14:textId="25434078" w:rsidR="00557926" w:rsidRPr="00CA6865" w:rsidRDefault="00557926" w:rsidP="00CA6865">
      <w:pPr>
        <w:spacing w:after="0"/>
        <w:rPr>
          <w:rFonts w:ascii="Calibri" w:hAnsi="Calibri" w:cs="Calibri"/>
          <w:color w:val="000000"/>
        </w:rPr>
      </w:pPr>
      <w:r>
        <w:rPr>
          <w:rFonts w:ascii="Calibri" w:hAnsi="Calibri" w:cs="Calibri"/>
          <w:color w:val="000000"/>
        </w:rPr>
        <w:t xml:space="preserve">Lze předpokládat, že </w:t>
      </w:r>
      <w:r w:rsidRPr="00557926">
        <w:rPr>
          <w:rFonts w:ascii="Calibri" w:hAnsi="Calibri" w:cs="Calibri"/>
          <w:color w:val="000000"/>
        </w:rPr>
        <w:t>vyšší využívání druhotných surovin</w:t>
      </w:r>
      <w:r>
        <w:rPr>
          <w:rFonts w:ascii="Calibri" w:hAnsi="Calibri" w:cs="Calibri"/>
          <w:color w:val="000000"/>
        </w:rPr>
        <w:t xml:space="preserve">, potažmo implementace principů oběhového hospodářství, povede k dalšímu </w:t>
      </w:r>
      <w:r w:rsidRPr="00557926">
        <w:rPr>
          <w:rFonts w:ascii="Calibri" w:hAnsi="Calibri" w:cs="Calibri"/>
          <w:color w:val="000000"/>
        </w:rPr>
        <w:t xml:space="preserve">snížení energetické a materiálové náročnosti </w:t>
      </w:r>
      <w:r>
        <w:rPr>
          <w:rFonts w:ascii="Calibri" w:hAnsi="Calibri" w:cs="Calibri"/>
          <w:color w:val="000000"/>
        </w:rPr>
        <w:t xml:space="preserve">v průmyslu a ke snížení </w:t>
      </w:r>
      <w:r w:rsidRPr="00557926">
        <w:rPr>
          <w:rFonts w:ascii="Calibri" w:hAnsi="Calibri" w:cs="Calibri"/>
          <w:color w:val="000000"/>
        </w:rPr>
        <w:t xml:space="preserve">emisí </w:t>
      </w:r>
      <w:r>
        <w:rPr>
          <w:rFonts w:ascii="Calibri" w:hAnsi="Calibri" w:cs="Calibri"/>
          <w:color w:val="000000"/>
        </w:rPr>
        <w:t>v tomto sektoru.</w:t>
      </w:r>
    </w:p>
    <w:bookmarkEnd w:id="155"/>
    <w:p w14:paraId="099C40ED" w14:textId="77777777" w:rsidR="00B359F6" w:rsidRPr="00CA6865" w:rsidRDefault="00B359F6" w:rsidP="00B359F6">
      <w:pPr>
        <w:spacing w:after="0"/>
        <w:rPr>
          <w:rFonts w:ascii="Calibri" w:hAnsi="Calibri" w:cs="Calibri"/>
          <w:color w:val="000000"/>
        </w:rPr>
      </w:pPr>
    </w:p>
    <w:p w14:paraId="51AD6963" w14:textId="5A778F0E" w:rsidR="00B359F6" w:rsidRPr="001C1012" w:rsidRDefault="00B359F6" w:rsidP="00434AF0">
      <w:pPr>
        <w:pStyle w:val="Nadpis4"/>
        <w:numPr>
          <w:ilvl w:val="0"/>
          <w:numId w:val="0"/>
        </w:numPr>
      </w:pPr>
      <w:r w:rsidRPr="001C1012">
        <w:t xml:space="preserve">Pozitivní dopad z hlediska životního prostředí v důsledku zavádění nízkouhlíkových technologií do výrobních procesů v podnicích </w:t>
      </w:r>
    </w:p>
    <w:p w14:paraId="519B2746" w14:textId="5987FA66" w:rsidR="00786E4D" w:rsidRDefault="00786E4D" w:rsidP="00B359F6">
      <w:pPr>
        <w:spacing w:after="0"/>
        <w:rPr>
          <w:rFonts w:ascii="Calibri" w:hAnsi="Calibri" w:cs="Calibri"/>
        </w:rPr>
      </w:pPr>
      <w:r>
        <w:rPr>
          <w:rFonts w:ascii="Calibri" w:hAnsi="Calibri" w:cs="Calibri"/>
        </w:rPr>
        <w:t xml:space="preserve">Jak uvádí </w:t>
      </w:r>
      <w:r w:rsidR="0043022E">
        <w:rPr>
          <w:rFonts w:ascii="Calibri" w:hAnsi="Calibri" w:cs="Calibri"/>
        </w:rPr>
        <w:t xml:space="preserve">7. </w:t>
      </w:r>
      <w:r>
        <w:rPr>
          <w:rFonts w:ascii="Calibri" w:hAnsi="Calibri" w:cs="Calibri"/>
        </w:rPr>
        <w:t xml:space="preserve">Zpráva o pokroku </w:t>
      </w:r>
      <w:r w:rsidRPr="00786E4D">
        <w:rPr>
          <w:rFonts w:ascii="Calibri" w:hAnsi="Calibri" w:cs="Calibri"/>
        </w:rPr>
        <w:t>v oblasti plnění vnitrostátních cílů energetické účinnosti</w:t>
      </w:r>
      <w:r>
        <w:rPr>
          <w:rFonts w:ascii="Calibri" w:hAnsi="Calibri" w:cs="Calibri"/>
        </w:rPr>
        <w:t>, p</w:t>
      </w:r>
      <w:r w:rsidRPr="00786E4D">
        <w:rPr>
          <w:rFonts w:ascii="Calibri" w:hAnsi="Calibri" w:cs="Calibri"/>
        </w:rPr>
        <w:t xml:space="preserve">odle údajů poslední dostupné inventarizace emisí a propadů skleníkových plynů se emise skleníkových plynů v ČR mezi roky 1990 a 2016 snížily o 34,69 % se započítáním sektoru LULUCF (Využívání krajiny, změny ve využívání krajiny a lesnictví) a o 35,24 % bez započítání sektoru LULUCF. </w:t>
      </w:r>
      <w:r>
        <w:rPr>
          <w:rFonts w:ascii="Calibri" w:hAnsi="Calibri" w:cs="Calibri"/>
        </w:rPr>
        <w:t>V sektoru „P</w:t>
      </w:r>
      <w:r w:rsidRPr="00786E4D">
        <w:rPr>
          <w:rFonts w:ascii="Calibri" w:hAnsi="Calibri" w:cs="Calibri"/>
        </w:rPr>
        <w:t>růmyslové procesy a využití produktů</w:t>
      </w:r>
      <w:r>
        <w:rPr>
          <w:rFonts w:ascii="Calibri" w:hAnsi="Calibri" w:cs="Calibri"/>
        </w:rPr>
        <w:t xml:space="preserve">“ došlo k propadu emisí skleníkových plynů </w:t>
      </w:r>
      <w:r w:rsidR="00A2169B">
        <w:rPr>
          <w:rFonts w:ascii="Calibri" w:hAnsi="Calibri" w:cs="Calibri"/>
        </w:rPr>
        <w:t xml:space="preserve">ve srovnání roků 1990 a 2016 zhruba o </w:t>
      </w:r>
      <w:r w:rsidR="00F25461">
        <w:rPr>
          <w:rFonts w:ascii="Calibri" w:hAnsi="Calibri" w:cs="Calibri"/>
        </w:rPr>
        <w:br/>
      </w:r>
      <w:r w:rsidR="00A2169B">
        <w:rPr>
          <w:rFonts w:ascii="Calibri" w:hAnsi="Calibri" w:cs="Calibri"/>
        </w:rPr>
        <w:t>11 %.</w:t>
      </w:r>
      <w:r w:rsidRPr="00786E4D">
        <w:rPr>
          <w:rFonts w:ascii="Calibri" w:hAnsi="Calibri" w:cs="Calibri"/>
        </w:rPr>
        <w:t xml:space="preserve"> Ověřené emise ze stacionárních zdrojů zahrnutých do systému EU ETS se mezi roky 2005 a 2016 </w:t>
      </w:r>
      <w:r w:rsidRPr="00786E4D">
        <w:rPr>
          <w:rFonts w:ascii="Calibri" w:hAnsi="Calibri" w:cs="Calibri"/>
        </w:rPr>
        <w:lastRenderedPageBreak/>
        <w:t>snížily o 18,11 %. Emise v odvětvích mimo systém EU ETS vykazují ve stejném časovém období spíše kolísavý trend.</w:t>
      </w:r>
    </w:p>
    <w:p w14:paraId="138C3360" w14:textId="77777777" w:rsidR="00786E4D" w:rsidRPr="00786E4D" w:rsidRDefault="00786E4D" w:rsidP="00B359F6">
      <w:pPr>
        <w:spacing w:after="0"/>
        <w:rPr>
          <w:rFonts w:ascii="Calibri" w:hAnsi="Calibri" w:cs="Calibri"/>
        </w:rPr>
      </w:pPr>
    </w:p>
    <w:p w14:paraId="11C91FE6" w14:textId="1909C197" w:rsidR="00786E4D" w:rsidRDefault="00AB7933" w:rsidP="00B359F6">
      <w:pPr>
        <w:spacing w:after="0"/>
        <w:rPr>
          <w:rFonts w:ascii="Calibri" w:hAnsi="Calibri" w:cs="Calibri"/>
        </w:rPr>
      </w:pPr>
      <w:r w:rsidRPr="00A2169B">
        <w:rPr>
          <w:rFonts w:ascii="Calibri" w:hAnsi="Calibri" w:cs="Calibri"/>
        </w:rPr>
        <w:t xml:space="preserve">Zavádění nízkouhlíkových technologií do výrobních procesů by mělo mít - už z podstaty těchto technologií – pozitivní dopad na životní prostředí. Jedná se především o </w:t>
      </w:r>
      <w:r w:rsidR="00A2169B" w:rsidRPr="00A2169B">
        <w:rPr>
          <w:rFonts w:ascii="Calibri" w:hAnsi="Calibri" w:cs="Calibri"/>
        </w:rPr>
        <w:t xml:space="preserve">další </w:t>
      </w:r>
      <w:r w:rsidRPr="00A2169B">
        <w:rPr>
          <w:rFonts w:ascii="Calibri" w:hAnsi="Calibri" w:cs="Calibri"/>
        </w:rPr>
        <w:t>snižování emisí CO</w:t>
      </w:r>
      <w:r w:rsidR="00786E4D" w:rsidRPr="00A2169B">
        <w:rPr>
          <w:rFonts w:ascii="Calibri" w:hAnsi="Calibri" w:cs="Calibri"/>
          <w:vertAlign w:val="subscript"/>
        </w:rPr>
        <w:t>2</w:t>
      </w:r>
      <w:r w:rsidR="00A2169B" w:rsidRPr="00A2169B">
        <w:rPr>
          <w:rFonts w:ascii="Calibri" w:hAnsi="Calibri" w:cs="Calibri"/>
        </w:rPr>
        <w:t xml:space="preserve"> </w:t>
      </w:r>
      <w:r w:rsidR="00786E4D" w:rsidRPr="00A2169B">
        <w:rPr>
          <w:rFonts w:ascii="Calibri" w:hAnsi="Calibri" w:cs="Calibri"/>
        </w:rPr>
        <w:t>v důsled</w:t>
      </w:r>
      <w:r w:rsidR="00A2169B" w:rsidRPr="00A2169B">
        <w:rPr>
          <w:rFonts w:ascii="Calibri" w:hAnsi="Calibri" w:cs="Calibri"/>
        </w:rPr>
        <w:t>k</w:t>
      </w:r>
      <w:r w:rsidR="00786E4D" w:rsidRPr="00A2169B">
        <w:rPr>
          <w:rFonts w:ascii="Calibri" w:hAnsi="Calibri" w:cs="Calibri"/>
        </w:rPr>
        <w:t xml:space="preserve">u </w:t>
      </w:r>
      <w:r w:rsidR="00A2169B" w:rsidRPr="00A2169B">
        <w:rPr>
          <w:rFonts w:ascii="Calibri" w:hAnsi="Calibri" w:cs="Calibri"/>
        </w:rPr>
        <w:t>efektivnějšího nakládání energií</w:t>
      </w:r>
      <w:r w:rsidR="00786E4D" w:rsidRPr="00A2169B">
        <w:rPr>
          <w:rFonts w:ascii="Calibri" w:hAnsi="Calibri" w:cs="Calibri"/>
        </w:rPr>
        <w:t xml:space="preserve"> v průmy</w:t>
      </w:r>
      <w:r w:rsidR="00A2169B" w:rsidRPr="00A2169B">
        <w:rPr>
          <w:rFonts w:ascii="Calibri" w:hAnsi="Calibri" w:cs="Calibri"/>
        </w:rPr>
        <w:t>sl</w:t>
      </w:r>
      <w:r w:rsidR="00786E4D" w:rsidRPr="00A2169B">
        <w:rPr>
          <w:rFonts w:ascii="Calibri" w:hAnsi="Calibri" w:cs="Calibri"/>
        </w:rPr>
        <w:t>u a dopravě.</w:t>
      </w:r>
      <w:r w:rsidR="00786E4D">
        <w:rPr>
          <w:rFonts w:ascii="Calibri" w:hAnsi="Calibri" w:cs="Calibri"/>
        </w:rPr>
        <w:t xml:space="preserve"> </w:t>
      </w:r>
    </w:p>
    <w:p w14:paraId="74E8C086" w14:textId="202EB7D0" w:rsidR="004365D9" w:rsidRDefault="004365D9" w:rsidP="00B359F6">
      <w:pPr>
        <w:spacing w:after="0"/>
        <w:rPr>
          <w:rFonts w:ascii="Calibri" w:hAnsi="Calibri" w:cs="Calibri"/>
        </w:rPr>
      </w:pPr>
    </w:p>
    <w:p w14:paraId="2C21D9C5" w14:textId="77777777" w:rsidR="004365D9" w:rsidRPr="00F12C68" w:rsidRDefault="004365D9" w:rsidP="004365D9">
      <w:pPr>
        <w:pStyle w:val="Nadpis3"/>
      </w:pPr>
      <w:bookmarkStart w:id="156" w:name="_Toc10729968"/>
      <w:r>
        <w:t xml:space="preserve">Vliv </w:t>
      </w:r>
      <w:r w:rsidRPr="00F72D22">
        <w:t xml:space="preserve">inovativních nízkouhlíkových technologií na nákladovost a konkurenceschopnost </w:t>
      </w:r>
      <w:r>
        <w:t>příjemců</w:t>
      </w:r>
      <w:bookmarkEnd w:id="156"/>
    </w:p>
    <w:p w14:paraId="29AC3023" w14:textId="77777777" w:rsidR="004365D9" w:rsidRDefault="004365D9" w:rsidP="004365D9">
      <w:pPr>
        <w:spacing w:after="0"/>
        <w:rPr>
          <w:rFonts w:cstheme="minorHAnsi"/>
        </w:rPr>
      </w:pPr>
      <w:r>
        <w:rPr>
          <w:rFonts w:cstheme="minorHAnsi"/>
        </w:rPr>
        <w:t xml:space="preserve">Výchozí hypotéza je taková, že zvýšení konkurenceschopnosti podniku je nedílnou součástí strategií a cílů všech projektů podpořených z PP NUT, což vyplývá z logiky podnikatelské činnosti. </w:t>
      </w:r>
    </w:p>
    <w:p w14:paraId="4DBF72D3" w14:textId="77777777" w:rsidR="004365D9" w:rsidRDefault="004365D9" w:rsidP="004365D9">
      <w:pPr>
        <w:spacing w:after="0"/>
        <w:rPr>
          <w:rFonts w:cstheme="minorHAnsi"/>
        </w:rPr>
      </w:pPr>
    </w:p>
    <w:p w14:paraId="44A4E6C3" w14:textId="77777777" w:rsidR="004365D9" w:rsidRDefault="004365D9" w:rsidP="003B137A">
      <w:pPr>
        <w:spacing w:after="0"/>
        <w:rPr>
          <w:rFonts w:cstheme="minorHAnsi"/>
        </w:rPr>
      </w:pPr>
      <w:r>
        <w:rPr>
          <w:rFonts w:cstheme="minorHAnsi"/>
        </w:rPr>
        <w:t>Hodnotitel identifikovat v PP NUT obecně 2 kategorie projektů z pohledu strategie zvyšování konkurenceschopnosti:</w:t>
      </w:r>
    </w:p>
    <w:p w14:paraId="0535A614" w14:textId="68BD3F00" w:rsidR="004365D9" w:rsidRDefault="004365D9" w:rsidP="003B137A">
      <w:pPr>
        <w:pStyle w:val="Odstavecseseznamem"/>
        <w:numPr>
          <w:ilvl w:val="0"/>
          <w:numId w:val="40"/>
        </w:numPr>
        <w:spacing w:line="276" w:lineRule="auto"/>
        <w:rPr>
          <w:rFonts w:asciiTheme="minorHAnsi" w:hAnsiTheme="minorHAnsi" w:cstheme="minorHAnsi"/>
          <w:sz w:val="22"/>
          <w:szCs w:val="22"/>
        </w:rPr>
      </w:pPr>
      <w:r>
        <w:rPr>
          <w:rFonts w:asciiTheme="minorHAnsi" w:hAnsiTheme="minorHAnsi" w:cstheme="minorHAnsi"/>
          <w:sz w:val="22"/>
          <w:szCs w:val="22"/>
        </w:rPr>
        <w:t>Z</w:t>
      </w:r>
      <w:r w:rsidRPr="004365D9">
        <w:rPr>
          <w:rFonts w:asciiTheme="minorHAnsi" w:hAnsiTheme="minorHAnsi" w:cstheme="minorHAnsi"/>
          <w:sz w:val="22"/>
          <w:szCs w:val="22"/>
        </w:rPr>
        <w:t>výšení konkurenceschopnosti prostřednictvím úspory provozních nákladů: do této kategorie lze zařadit především projekty v oblasti elektromobility a také projekty akumulace energie v kombinaci s OZE určené primárně pro vlastní spotřebu podniku</w:t>
      </w:r>
      <w:r>
        <w:rPr>
          <w:rFonts w:asciiTheme="minorHAnsi" w:hAnsiTheme="minorHAnsi" w:cstheme="minorHAnsi"/>
          <w:sz w:val="22"/>
          <w:szCs w:val="22"/>
        </w:rPr>
        <w:t>.</w:t>
      </w:r>
    </w:p>
    <w:p w14:paraId="3F26CF80" w14:textId="77777777" w:rsidR="004365D9" w:rsidRPr="004365D9" w:rsidRDefault="004365D9" w:rsidP="003B137A">
      <w:pPr>
        <w:pStyle w:val="Odstavecseseznamem"/>
        <w:spacing w:line="276" w:lineRule="auto"/>
        <w:rPr>
          <w:rFonts w:asciiTheme="minorHAnsi" w:hAnsiTheme="minorHAnsi" w:cstheme="minorHAnsi"/>
          <w:sz w:val="22"/>
          <w:szCs w:val="22"/>
        </w:rPr>
      </w:pPr>
    </w:p>
    <w:p w14:paraId="7630FB91" w14:textId="0256E2BA" w:rsidR="004365D9" w:rsidRPr="004365D9" w:rsidRDefault="004365D9" w:rsidP="003B137A">
      <w:pPr>
        <w:pStyle w:val="Odstavecseseznamem"/>
        <w:numPr>
          <w:ilvl w:val="0"/>
          <w:numId w:val="40"/>
        </w:numPr>
        <w:spacing w:line="276" w:lineRule="auto"/>
        <w:rPr>
          <w:rFonts w:asciiTheme="minorHAnsi" w:hAnsiTheme="minorHAnsi" w:cstheme="minorHAnsi"/>
          <w:sz w:val="22"/>
          <w:szCs w:val="22"/>
        </w:rPr>
      </w:pPr>
      <w:r>
        <w:rPr>
          <w:rFonts w:asciiTheme="minorHAnsi" w:hAnsiTheme="minorHAnsi" w:cstheme="minorHAnsi"/>
          <w:sz w:val="22"/>
          <w:szCs w:val="22"/>
        </w:rPr>
        <w:t>Z</w:t>
      </w:r>
      <w:r w:rsidRPr="004365D9">
        <w:rPr>
          <w:rFonts w:asciiTheme="minorHAnsi" w:hAnsiTheme="minorHAnsi" w:cstheme="minorHAnsi"/>
          <w:sz w:val="22"/>
          <w:szCs w:val="22"/>
        </w:rPr>
        <w:t>výšení konkurenceschopnosti prostřednictvím inovací, tj. zavádění unikátních technologií, které dosud v ČR nejsou běžně využívané a které příjemci umožňují nabízet specifické služby na trhu a rozšiřovat portfolio svých aktivit s cílem zvýšení tržeb. Do této kategorie lze zařadit některé projekty v aktivitě akumulace energie a v převážné míře projekty v oblasti druhotných surovin</w:t>
      </w:r>
      <w:r>
        <w:rPr>
          <w:rFonts w:asciiTheme="minorHAnsi" w:hAnsiTheme="minorHAnsi" w:cstheme="minorHAnsi"/>
          <w:sz w:val="22"/>
          <w:szCs w:val="22"/>
        </w:rPr>
        <w:t>.</w:t>
      </w:r>
    </w:p>
    <w:p w14:paraId="502FF39E" w14:textId="77777777" w:rsidR="004365D9" w:rsidRDefault="004365D9" w:rsidP="003B137A">
      <w:pPr>
        <w:spacing w:after="0"/>
        <w:rPr>
          <w:rFonts w:cstheme="minorHAnsi"/>
        </w:rPr>
      </w:pPr>
    </w:p>
    <w:p w14:paraId="5AA1DDAC" w14:textId="492B88FE" w:rsidR="004365D9" w:rsidRDefault="004365D9" w:rsidP="003B137A">
      <w:pPr>
        <w:spacing w:after="0"/>
        <w:rPr>
          <w:rFonts w:cstheme="minorHAnsi"/>
        </w:rPr>
      </w:pPr>
      <w:r>
        <w:rPr>
          <w:rFonts w:cstheme="minorHAnsi"/>
        </w:rPr>
        <w:t>Přímý vliv projektů na snížení nákladů podpořených podniků potvrzují výsledky provedených terénních šetření</w:t>
      </w:r>
      <w:r>
        <w:rPr>
          <w:rStyle w:val="Znakapoznpodarou"/>
          <w:rFonts w:cstheme="minorHAnsi"/>
        </w:rPr>
        <w:footnoteReference w:id="24"/>
      </w:r>
      <w:r>
        <w:rPr>
          <w:rFonts w:cstheme="minorHAnsi"/>
        </w:rPr>
        <w:t>:</w:t>
      </w:r>
    </w:p>
    <w:p w14:paraId="0EC1F132" w14:textId="77777777" w:rsidR="004365D9" w:rsidRPr="00D83B68" w:rsidRDefault="004365D9" w:rsidP="003B137A">
      <w:pPr>
        <w:pStyle w:val="Odstavecseseznamem"/>
        <w:numPr>
          <w:ilvl w:val="0"/>
          <w:numId w:val="39"/>
        </w:numPr>
        <w:spacing w:line="276" w:lineRule="auto"/>
        <w:rPr>
          <w:rFonts w:asciiTheme="minorHAnsi" w:hAnsiTheme="minorHAnsi" w:cstheme="minorHAnsi"/>
          <w:sz w:val="22"/>
          <w:szCs w:val="22"/>
        </w:rPr>
      </w:pPr>
      <w:r>
        <w:rPr>
          <w:rFonts w:asciiTheme="minorHAnsi" w:hAnsiTheme="minorHAnsi" w:cstheme="minorHAnsi"/>
          <w:sz w:val="22"/>
          <w:szCs w:val="22"/>
        </w:rPr>
        <w:t>V</w:t>
      </w:r>
      <w:r w:rsidRPr="00D83B68">
        <w:rPr>
          <w:rFonts w:asciiTheme="minorHAnsi" w:hAnsiTheme="minorHAnsi" w:cstheme="minorHAnsi"/>
          <w:sz w:val="22"/>
          <w:szCs w:val="22"/>
        </w:rPr>
        <w:t> aktivitě „elektromobilita“ 95,5 % respondentů zaznamenalo snížení nákladů díky zavedení elektromobility, z nich zhruba 75 % v rozsahu původních předpokladů. Jedná se především o úspory pohonných hmot a také nákladů na servis vozidel (výměny provozních kapalin apod.)</w:t>
      </w:r>
      <w:r>
        <w:rPr>
          <w:rFonts w:asciiTheme="minorHAnsi" w:hAnsiTheme="minorHAnsi" w:cstheme="minorHAnsi"/>
          <w:sz w:val="22"/>
          <w:szCs w:val="22"/>
        </w:rPr>
        <w:t>.</w:t>
      </w:r>
    </w:p>
    <w:p w14:paraId="414EB93F" w14:textId="77777777" w:rsidR="004365D9" w:rsidRPr="00D83B68" w:rsidRDefault="004365D9" w:rsidP="003B137A">
      <w:pPr>
        <w:pStyle w:val="Odstavecseseznamem"/>
        <w:numPr>
          <w:ilvl w:val="0"/>
          <w:numId w:val="39"/>
        </w:numPr>
        <w:spacing w:line="276" w:lineRule="auto"/>
        <w:rPr>
          <w:rFonts w:asciiTheme="minorHAnsi" w:hAnsiTheme="minorHAnsi" w:cstheme="minorHAnsi"/>
          <w:sz w:val="22"/>
          <w:szCs w:val="22"/>
        </w:rPr>
      </w:pPr>
      <w:r>
        <w:rPr>
          <w:rFonts w:asciiTheme="minorHAnsi" w:hAnsiTheme="minorHAnsi" w:cstheme="minorHAnsi"/>
          <w:sz w:val="22"/>
          <w:szCs w:val="22"/>
        </w:rPr>
        <w:t>R</w:t>
      </w:r>
      <w:r w:rsidRPr="00D83B68">
        <w:rPr>
          <w:rFonts w:asciiTheme="minorHAnsi" w:hAnsiTheme="minorHAnsi" w:cstheme="minorHAnsi"/>
          <w:sz w:val="22"/>
          <w:szCs w:val="22"/>
        </w:rPr>
        <w:t>ovněž v aktivitě „akumulace energie“ drtivá většina respondentů (86,7 %) potvrzuje snížení nákladů podniků v důsledku realizace projektu, nicméně – s ohledem na nedostatečný časový odstup od ukončení realizace většiny projektů - se často jedná zatím o předběžné odhady</w:t>
      </w:r>
      <w:r>
        <w:rPr>
          <w:rFonts w:asciiTheme="minorHAnsi" w:hAnsiTheme="minorHAnsi" w:cstheme="minorHAnsi"/>
          <w:sz w:val="22"/>
          <w:szCs w:val="22"/>
        </w:rPr>
        <w:t>.</w:t>
      </w:r>
    </w:p>
    <w:p w14:paraId="04257491" w14:textId="77777777" w:rsidR="004365D9" w:rsidRPr="00D83B68" w:rsidRDefault="004365D9" w:rsidP="004365D9">
      <w:pPr>
        <w:pStyle w:val="Odstavecseseznamem"/>
        <w:numPr>
          <w:ilvl w:val="0"/>
          <w:numId w:val="39"/>
        </w:numPr>
        <w:spacing w:line="276" w:lineRule="auto"/>
        <w:rPr>
          <w:rFonts w:asciiTheme="minorHAnsi" w:hAnsiTheme="minorHAnsi" w:cstheme="minorHAnsi"/>
          <w:sz w:val="22"/>
          <w:szCs w:val="22"/>
        </w:rPr>
      </w:pPr>
      <w:r>
        <w:rPr>
          <w:rFonts w:asciiTheme="minorHAnsi" w:hAnsiTheme="minorHAnsi" w:cstheme="minorHAnsi"/>
          <w:sz w:val="22"/>
          <w:szCs w:val="22"/>
        </w:rPr>
        <w:t>V</w:t>
      </w:r>
      <w:r w:rsidRPr="00D83B68">
        <w:rPr>
          <w:rFonts w:asciiTheme="minorHAnsi" w:hAnsiTheme="minorHAnsi" w:cstheme="minorHAnsi"/>
          <w:sz w:val="22"/>
          <w:szCs w:val="22"/>
        </w:rPr>
        <w:t> případě aktivity „druhotné suroviny“ zaznamenalo snížení nákladů přes 80 % respondentů, mj. v důsledku vyšší výtěžnosti materiálově využitelného materiálu na úkor hůře využitelného sekundárního materiálu a také úspor</w:t>
      </w:r>
      <w:r>
        <w:rPr>
          <w:rFonts w:asciiTheme="minorHAnsi" w:hAnsiTheme="minorHAnsi" w:cstheme="minorHAnsi"/>
          <w:sz w:val="22"/>
          <w:szCs w:val="22"/>
        </w:rPr>
        <w:t>y</w:t>
      </w:r>
      <w:r w:rsidRPr="00D83B68">
        <w:rPr>
          <w:rFonts w:asciiTheme="minorHAnsi" w:hAnsiTheme="minorHAnsi" w:cstheme="minorHAnsi"/>
          <w:sz w:val="22"/>
          <w:szCs w:val="22"/>
        </w:rPr>
        <w:t xml:space="preserve"> pracovních sil.</w:t>
      </w:r>
    </w:p>
    <w:p w14:paraId="2BF58783" w14:textId="77777777" w:rsidR="004365D9" w:rsidRDefault="004365D9" w:rsidP="004365D9">
      <w:pPr>
        <w:spacing w:after="0"/>
        <w:rPr>
          <w:rFonts w:cstheme="minorHAnsi"/>
        </w:rPr>
      </w:pPr>
      <w:r>
        <w:rPr>
          <w:rFonts w:cstheme="minorHAnsi"/>
        </w:rPr>
        <w:t xml:space="preserve">       </w:t>
      </w:r>
    </w:p>
    <w:p w14:paraId="3B4E6607" w14:textId="77777777" w:rsidR="004365D9" w:rsidRDefault="004365D9" w:rsidP="00B359F6">
      <w:pPr>
        <w:spacing w:after="0"/>
        <w:rPr>
          <w:rFonts w:ascii="Calibri" w:hAnsi="Calibri" w:cs="Calibri"/>
        </w:rPr>
      </w:pPr>
    </w:p>
    <w:p w14:paraId="6B9E16D3" w14:textId="2D6889C9" w:rsidR="00D3770C" w:rsidRPr="00A36526" w:rsidRDefault="00D3770C" w:rsidP="00D3770C">
      <w:pPr>
        <w:pStyle w:val="Nadpis1"/>
        <w:ind w:left="431" w:hanging="431"/>
      </w:pPr>
      <w:bookmarkStart w:id="157" w:name="_Toc4596850"/>
      <w:bookmarkStart w:id="158" w:name="_Toc10729969"/>
      <w:r w:rsidRPr="00A36526">
        <w:lastRenderedPageBreak/>
        <w:t>Evaluační otázka 10</w:t>
      </w:r>
      <w:r w:rsidR="0094223C" w:rsidRPr="00A36526">
        <w:t xml:space="preserve"> (NUT)</w:t>
      </w:r>
      <w:bookmarkEnd w:id="157"/>
      <w:bookmarkEnd w:id="158"/>
    </w:p>
    <w:p w14:paraId="2ADE809C" w14:textId="5894CD4F" w:rsidR="00D3770C" w:rsidRPr="00FE4816" w:rsidRDefault="0094223C" w:rsidP="00D3770C">
      <w:pPr>
        <w:spacing w:after="0"/>
        <w:rPr>
          <w:rFonts w:ascii="Calibri" w:hAnsi="Calibri" w:cs="Calibri"/>
          <w:b/>
        </w:rPr>
      </w:pPr>
      <w:r w:rsidRPr="00A36526">
        <w:rPr>
          <w:rFonts w:ascii="Calibri" w:hAnsi="Calibri" w:cs="Calibri"/>
          <w:b/>
        </w:rPr>
        <w:t>Jaké jsou aktuální trendy v zavádění inovativních nízkouhlíkových technologií v oblasti nakládání energií a při využívání druhotných surovin? Reaguje SC 3.4 na tyto trendy? Lze díky působení SC 3.4 pozorovat vzestupný trend uplatnění nějaké konkrétní inovativní nízkouhlíkové technologie, která se dříve běžně v ČR komerčně neuplatňovala?</w:t>
      </w:r>
    </w:p>
    <w:p w14:paraId="34F8A023" w14:textId="77777777" w:rsidR="00FE4816" w:rsidRDefault="00FE4816" w:rsidP="00D3770C">
      <w:pPr>
        <w:spacing w:after="0"/>
        <w:rPr>
          <w:rFonts w:ascii="Calibri" w:hAnsi="Calibri" w:cs="Calibri"/>
        </w:rPr>
      </w:pPr>
    </w:p>
    <w:p w14:paraId="412432C9" w14:textId="77777777" w:rsidR="001C210E" w:rsidRPr="001C210E" w:rsidRDefault="001C210E" w:rsidP="00FE4816">
      <w:pPr>
        <w:pStyle w:val="Nadpis2"/>
      </w:pPr>
      <w:bookmarkStart w:id="159" w:name="_Toc4596851"/>
      <w:bookmarkStart w:id="160" w:name="_Toc10729970"/>
      <w:r w:rsidRPr="001C210E">
        <w:t>Úkol</w:t>
      </w:r>
      <w:bookmarkEnd w:id="159"/>
      <w:bookmarkEnd w:id="160"/>
    </w:p>
    <w:p w14:paraId="02195DEA" w14:textId="77777777" w:rsidR="00A36526" w:rsidRDefault="00A36526" w:rsidP="00A36526">
      <w:pPr>
        <w:spacing w:after="0"/>
        <w:rPr>
          <w:rFonts w:ascii="Calibri" w:hAnsi="Calibri" w:cs="Calibri"/>
        </w:rPr>
      </w:pPr>
      <w:r>
        <w:rPr>
          <w:rFonts w:ascii="Calibri" w:hAnsi="Calibri" w:cs="Calibri"/>
        </w:rPr>
        <w:t xml:space="preserve">Identifikovat </w:t>
      </w:r>
      <w:r w:rsidRPr="007D3295">
        <w:rPr>
          <w:rFonts w:ascii="Calibri" w:hAnsi="Calibri" w:cs="Calibri"/>
        </w:rPr>
        <w:t>aktuální trendy v zavádění inovativních nízkouhlíkových technologií v oblasti nakládání energií a při využívání druhotných surovin</w:t>
      </w:r>
      <w:r>
        <w:rPr>
          <w:rFonts w:ascii="Calibri" w:hAnsi="Calibri" w:cs="Calibri"/>
        </w:rPr>
        <w:t xml:space="preserve"> a provést komparaci s nastavením</w:t>
      </w:r>
      <w:r w:rsidRPr="007D3295">
        <w:rPr>
          <w:rFonts w:ascii="Calibri" w:hAnsi="Calibri" w:cs="Calibri"/>
        </w:rPr>
        <w:t xml:space="preserve"> SC 3.4</w:t>
      </w:r>
      <w:r>
        <w:rPr>
          <w:rFonts w:ascii="Calibri" w:hAnsi="Calibri" w:cs="Calibri"/>
        </w:rPr>
        <w:t>, potažmo PP NUT a dosaženými výsledky.</w:t>
      </w:r>
    </w:p>
    <w:p w14:paraId="05C9F0CA" w14:textId="77777777" w:rsidR="00FE4816" w:rsidRPr="001C210E" w:rsidRDefault="00FE4816" w:rsidP="001C210E">
      <w:pPr>
        <w:spacing w:after="0"/>
        <w:rPr>
          <w:rFonts w:ascii="Calibri" w:hAnsi="Calibri" w:cs="Calibri"/>
        </w:rPr>
      </w:pPr>
    </w:p>
    <w:p w14:paraId="2F2726C3" w14:textId="77777777" w:rsidR="001C210E" w:rsidRPr="001C210E" w:rsidRDefault="001C210E" w:rsidP="00FE4816">
      <w:pPr>
        <w:pStyle w:val="Nadpis2"/>
      </w:pPr>
      <w:bookmarkStart w:id="161" w:name="_Toc4596852"/>
      <w:bookmarkStart w:id="162" w:name="_Toc10729971"/>
      <w:r w:rsidRPr="001C210E">
        <w:t>Východiska</w:t>
      </w:r>
      <w:bookmarkEnd w:id="161"/>
      <w:bookmarkEnd w:id="162"/>
    </w:p>
    <w:p w14:paraId="2B15D20C" w14:textId="77777777" w:rsidR="00A36526" w:rsidRDefault="00A36526" w:rsidP="00A36526">
      <w:pPr>
        <w:spacing w:after="0"/>
        <w:rPr>
          <w:rFonts w:ascii="Calibri" w:hAnsi="Calibri" w:cs="Calibri"/>
        </w:rPr>
      </w:pPr>
      <w:r w:rsidRPr="007D3295">
        <w:rPr>
          <w:rFonts w:ascii="Calibri" w:hAnsi="Calibri" w:cs="Calibri"/>
        </w:rPr>
        <w:t xml:space="preserve">Podkladová analytická studie, která tvořila </w:t>
      </w:r>
      <w:r>
        <w:rPr>
          <w:rFonts w:ascii="Calibri" w:hAnsi="Calibri" w:cs="Calibri"/>
        </w:rPr>
        <w:t xml:space="preserve">hlavní </w:t>
      </w:r>
      <w:r w:rsidRPr="007D3295">
        <w:rPr>
          <w:rFonts w:ascii="Calibri" w:hAnsi="Calibri" w:cs="Calibri"/>
        </w:rPr>
        <w:t>východisko pro nastavení SC 3.</w:t>
      </w:r>
      <w:r>
        <w:rPr>
          <w:rFonts w:ascii="Calibri" w:hAnsi="Calibri" w:cs="Calibri"/>
        </w:rPr>
        <w:t>4</w:t>
      </w:r>
      <w:r w:rsidRPr="007D3295">
        <w:rPr>
          <w:rFonts w:ascii="Calibri" w:hAnsi="Calibri" w:cs="Calibri"/>
        </w:rPr>
        <w:t>,</w:t>
      </w:r>
      <w:r>
        <w:rPr>
          <w:rFonts w:ascii="Calibri" w:hAnsi="Calibri" w:cs="Calibri"/>
        </w:rPr>
        <w:t xml:space="preserve"> identifikovala základní oblasti inovativních nízkouhlíkových technologií relevantních pro OP PIK. Konkrétně se jednalo o:</w:t>
      </w:r>
    </w:p>
    <w:p w14:paraId="7F27D79E" w14:textId="795C8CAE" w:rsidR="00A36526" w:rsidRPr="00A452F6" w:rsidRDefault="00A36526" w:rsidP="00A36526">
      <w:pPr>
        <w:pStyle w:val="Odstavecseseznamem"/>
        <w:numPr>
          <w:ilvl w:val="0"/>
          <w:numId w:val="41"/>
        </w:numPr>
        <w:rPr>
          <w:rFonts w:ascii="Calibri" w:hAnsi="Calibri" w:cs="Calibri"/>
          <w:sz w:val="22"/>
          <w:szCs w:val="22"/>
        </w:rPr>
      </w:pPr>
      <w:r w:rsidRPr="00A36526">
        <w:rPr>
          <w:rFonts w:ascii="Calibri" w:hAnsi="Calibri" w:cs="Calibri"/>
          <w:sz w:val="22"/>
          <w:szCs w:val="22"/>
        </w:rPr>
        <w:t>nízkouhlíkovou</w:t>
      </w:r>
      <w:r w:rsidRPr="00A452F6">
        <w:rPr>
          <w:rFonts w:ascii="Calibri" w:hAnsi="Calibri" w:cs="Calibri"/>
          <w:sz w:val="22"/>
          <w:szCs w:val="22"/>
        </w:rPr>
        <w:t xml:space="preserve"> dopravu</w:t>
      </w:r>
      <w:r>
        <w:rPr>
          <w:rFonts w:ascii="Calibri" w:hAnsi="Calibri" w:cs="Calibri"/>
          <w:sz w:val="22"/>
          <w:szCs w:val="22"/>
        </w:rPr>
        <w:t>,</w:t>
      </w:r>
    </w:p>
    <w:p w14:paraId="3687D09E" w14:textId="6E8DEE83" w:rsidR="00A36526" w:rsidRPr="00A452F6" w:rsidRDefault="00A36526" w:rsidP="00A36526">
      <w:pPr>
        <w:pStyle w:val="Odstavecseseznamem"/>
        <w:numPr>
          <w:ilvl w:val="0"/>
          <w:numId w:val="41"/>
        </w:numPr>
        <w:rPr>
          <w:rFonts w:ascii="Calibri" w:hAnsi="Calibri" w:cs="Calibri"/>
          <w:sz w:val="22"/>
          <w:szCs w:val="22"/>
        </w:rPr>
      </w:pPr>
      <w:r w:rsidRPr="00A452F6">
        <w:rPr>
          <w:rFonts w:ascii="Calibri" w:hAnsi="Calibri" w:cs="Calibri"/>
          <w:sz w:val="22"/>
          <w:szCs w:val="22"/>
        </w:rPr>
        <w:t>nízkouhlíkovou výrobu a distribuci energie</w:t>
      </w:r>
      <w:r>
        <w:rPr>
          <w:rFonts w:ascii="Calibri" w:hAnsi="Calibri" w:cs="Calibri"/>
          <w:sz w:val="22"/>
          <w:szCs w:val="22"/>
        </w:rPr>
        <w:t>,</w:t>
      </w:r>
    </w:p>
    <w:p w14:paraId="7CF7075E" w14:textId="560408CE" w:rsidR="00FE4816" w:rsidRDefault="00A36526" w:rsidP="00A36526">
      <w:pPr>
        <w:pStyle w:val="Odstavecseseznamem"/>
        <w:numPr>
          <w:ilvl w:val="0"/>
          <w:numId w:val="41"/>
        </w:numPr>
        <w:rPr>
          <w:rFonts w:ascii="Calibri" w:hAnsi="Calibri" w:cs="Calibri"/>
        </w:rPr>
      </w:pPr>
      <w:r w:rsidRPr="00A452F6">
        <w:rPr>
          <w:rFonts w:ascii="Calibri" w:hAnsi="Calibri" w:cs="Calibri"/>
          <w:sz w:val="22"/>
          <w:szCs w:val="22"/>
        </w:rPr>
        <w:t>inteligentní budovy a jejich vybavení</w:t>
      </w:r>
      <w:r>
        <w:rPr>
          <w:rFonts w:ascii="Calibri" w:hAnsi="Calibri" w:cs="Calibri"/>
          <w:sz w:val="22"/>
          <w:szCs w:val="22"/>
        </w:rPr>
        <w:t>.</w:t>
      </w:r>
    </w:p>
    <w:p w14:paraId="530D694D" w14:textId="77777777" w:rsidR="00A36526" w:rsidRDefault="00A36526" w:rsidP="00A36526">
      <w:pPr>
        <w:spacing w:after="0"/>
        <w:rPr>
          <w:rFonts w:ascii="Calibri" w:hAnsi="Calibri" w:cs="Calibri"/>
          <w:b/>
        </w:rPr>
      </w:pPr>
    </w:p>
    <w:p w14:paraId="2BE2A147" w14:textId="77777777" w:rsidR="001C210E" w:rsidRPr="001C210E" w:rsidRDefault="001C210E" w:rsidP="00FE4816">
      <w:pPr>
        <w:pStyle w:val="Nadpis2"/>
      </w:pPr>
      <w:bookmarkStart w:id="163" w:name="_Toc4596853"/>
      <w:bookmarkStart w:id="164" w:name="_Toc10729972"/>
      <w:r w:rsidRPr="001C210E">
        <w:t>Zjištění v návaznosti na evaluační otázku a úkol</w:t>
      </w:r>
      <w:bookmarkEnd w:id="163"/>
      <w:bookmarkEnd w:id="164"/>
    </w:p>
    <w:tbl>
      <w:tblPr>
        <w:tblStyle w:val="Svtlmkatabulky1"/>
        <w:tblW w:w="0" w:type="auto"/>
        <w:tblLook w:val="04A0" w:firstRow="1" w:lastRow="0" w:firstColumn="1" w:lastColumn="0" w:noHBand="0" w:noVBand="1"/>
      </w:tblPr>
      <w:tblGrid>
        <w:gridCol w:w="2972"/>
        <w:gridCol w:w="5954"/>
      </w:tblGrid>
      <w:tr w:rsidR="001C210E" w:rsidRPr="001C210E" w14:paraId="4E1735F0" w14:textId="77777777" w:rsidTr="00FE4816">
        <w:tc>
          <w:tcPr>
            <w:tcW w:w="2972" w:type="dxa"/>
            <w:shd w:val="clear" w:color="auto" w:fill="F2F2F2" w:themeFill="background1" w:themeFillShade="F2"/>
          </w:tcPr>
          <w:p w14:paraId="3051EBA6" w14:textId="77777777" w:rsidR="001C210E" w:rsidRPr="001C210E" w:rsidRDefault="001C210E" w:rsidP="0054158E">
            <w:pPr>
              <w:rPr>
                <w:rFonts w:ascii="Calibri" w:hAnsi="Calibri" w:cs="Calibri"/>
                <w:b/>
              </w:rPr>
            </w:pPr>
            <w:r w:rsidRPr="001C210E">
              <w:rPr>
                <w:rFonts w:ascii="Calibri" w:hAnsi="Calibri" w:cs="Calibri"/>
                <w:b/>
              </w:rPr>
              <w:t>Evaluační otázka</w:t>
            </w:r>
          </w:p>
        </w:tc>
        <w:tc>
          <w:tcPr>
            <w:tcW w:w="5954" w:type="dxa"/>
          </w:tcPr>
          <w:p w14:paraId="1DF57FFE" w14:textId="77777777" w:rsidR="0043022E" w:rsidRDefault="0094223C" w:rsidP="0054158E">
            <w:pPr>
              <w:rPr>
                <w:rFonts w:ascii="Calibri" w:hAnsi="Calibri" w:cs="Calibri"/>
                <w:b/>
              </w:rPr>
            </w:pPr>
            <w:r w:rsidRPr="0094223C">
              <w:rPr>
                <w:rFonts w:ascii="Calibri" w:hAnsi="Calibri" w:cs="Calibri"/>
                <w:b/>
              </w:rPr>
              <w:t xml:space="preserve">Jaké jsou aktuální trendy v zavádění inovativních nízkouhlíkových technologií v oblasti nakládání energií a při využívání druhotných surovin? </w:t>
            </w:r>
          </w:p>
          <w:p w14:paraId="0F31F5D5" w14:textId="77777777" w:rsidR="0043022E" w:rsidRDefault="0094223C" w:rsidP="0054158E">
            <w:pPr>
              <w:rPr>
                <w:rFonts w:ascii="Calibri" w:hAnsi="Calibri" w:cs="Calibri"/>
                <w:b/>
              </w:rPr>
            </w:pPr>
            <w:r w:rsidRPr="0094223C">
              <w:rPr>
                <w:rFonts w:ascii="Calibri" w:hAnsi="Calibri" w:cs="Calibri"/>
                <w:b/>
              </w:rPr>
              <w:t xml:space="preserve">Reaguje SC 3.4 na tyto trendy? </w:t>
            </w:r>
          </w:p>
          <w:p w14:paraId="51CA0463" w14:textId="6E3C0252" w:rsidR="001C210E" w:rsidRPr="00FE4816" w:rsidRDefault="0094223C" w:rsidP="0054158E">
            <w:pPr>
              <w:rPr>
                <w:rFonts w:ascii="Calibri" w:hAnsi="Calibri" w:cs="Calibri"/>
                <w:b/>
              </w:rPr>
            </w:pPr>
            <w:r w:rsidRPr="0094223C">
              <w:rPr>
                <w:rFonts w:ascii="Calibri" w:hAnsi="Calibri" w:cs="Calibri"/>
                <w:b/>
              </w:rPr>
              <w:t>Lze díky působení SC 3.4 pozorovat vzestupný trend uplatnění nějaké konkrétní inovativní nízkouhlíkové technologie, která se dříve běžně v ČR komerčně neuplatňovala?</w:t>
            </w:r>
          </w:p>
        </w:tc>
      </w:tr>
      <w:tr w:rsidR="001C210E" w:rsidRPr="001C210E" w14:paraId="3987AFC5" w14:textId="77777777" w:rsidTr="00FE4816">
        <w:tc>
          <w:tcPr>
            <w:tcW w:w="2972" w:type="dxa"/>
            <w:shd w:val="clear" w:color="auto" w:fill="F2F2F2" w:themeFill="background1" w:themeFillShade="F2"/>
          </w:tcPr>
          <w:p w14:paraId="6B7D0835" w14:textId="77777777" w:rsidR="001C210E" w:rsidRPr="001C210E" w:rsidRDefault="001C210E" w:rsidP="0054158E">
            <w:pPr>
              <w:rPr>
                <w:rFonts w:ascii="Calibri" w:hAnsi="Calibri" w:cs="Calibri"/>
              </w:rPr>
            </w:pPr>
            <w:r w:rsidRPr="001C210E">
              <w:rPr>
                <w:rFonts w:ascii="Calibri" w:hAnsi="Calibri" w:cs="Calibri"/>
                <w:b/>
                <w:bCs/>
              </w:rPr>
              <w:t>Zhodnocení</w:t>
            </w:r>
            <w:r w:rsidRPr="001C210E">
              <w:rPr>
                <w:rFonts w:ascii="Calibri" w:hAnsi="Calibri" w:cs="Calibri"/>
                <w:b/>
                <w:bCs/>
              </w:rPr>
              <w:br/>
            </w:r>
            <w:r w:rsidRPr="001C210E">
              <w:rPr>
                <w:rFonts w:ascii="Calibri" w:hAnsi="Calibri" w:cs="Calibri"/>
              </w:rPr>
              <w:t>(Ano, Spíše ano, Spíše ne, Ne, Není relevantní)</w:t>
            </w:r>
          </w:p>
        </w:tc>
        <w:tc>
          <w:tcPr>
            <w:tcW w:w="5954" w:type="dxa"/>
          </w:tcPr>
          <w:p w14:paraId="77FE7892" w14:textId="77777777" w:rsidR="0043022E" w:rsidRDefault="0043022E" w:rsidP="00B47B1A">
            <w:pPr>
              <w:rPr>
                <w:rFonts w:ascii="Calibri" w:hAnsi="Calibri" w:cs="Calibri"/>
              </w:rPr>
            </w:pPr>
            <w:r>
              <w:rPr>
                <w:rFonts w:ascii="Calibri" w:hAnsi="Calibri" w:cs="Calibri"/>
              </w:rPr>
              <w:t xml:space="preserve">Není relevantní </w:t>
            </w:r>
          </w:p>
          <w:p w14:paraId="1856A119" w14:textId="77777777" w:rsidR="0043022E" w:rsidRDefault="0043022E" w:rsidP="00B47B1A">
            <w:pPr>
              <w:rPr>
                <w:rFonts w:ascii="Calibri" w:hAnsi="Calibri" w:cs="Calibri"/>
              </w:rPr>
            </w:pPr>
            <w:r>
              <w:rPr>
                <w:rFonts w:ascii="Calibri" w:hAnsi="Calibri" w:cs="Calibri"/>
              </w:rPr>
              <w:t xml:space="preserve">Ano </w:t>
            </w:r>
          </w:p>
          <w:p w14:paraId="36B0D928" w14:textId="4B2BE9B5" w:rsidR="001C210E" w:rsidRPr="001C210E" w:rsidRDefault="0043022E" w:rsidP="00B47B1A">
            <w:pPr>
              <w:rPr>
                <w:rFonts w:ascii="Calibri" w:hAnsi="Calibri" w:cs="Calibri"/>
              </w:rPr>
            </w:pPr>
            <w:r>
              <w:rPr>
                <w:rFonts w:ascii="Calibri" w:hAnsi="Calibri" w:cs="Calibri"/>
              </w:rPr>
              <w:t>Spíše ne</w:t>
            </w:r>
          </w:p>
        </w:tc>
      </w:tr>
      <w:tr w:rsidR="001C210E" w:rsidRPr="001C210E" w14:paraId="45A396F6" w14:textId="77777777" w:rsidTr="00FE4816">
        <w:tc>
          <w:tcPr>
            <w:tcW w:w="2972" w:type="dxa"/>
            <w:shd w:val="clear" w:color="auto" w:fill="F2F2F2" w:themeFill="background1" w:themeFillShade="F2"/>
          </w:tcPr>
          <w:p w14:paraId="256EE30C" w14:textId="77777777" w:rsidR="001C210E" w:rsidRPr="001C210E" w:rsidRDefault="0061104A" w:rsidP="0054158E">
            <w:pPr>
              <w:rPr>
                <w:rFonts w:ascii="Calibri" w:hAnsi="Calibri" w:cs="Calibri"/>
                <w:b/>
              </w:rPr>
            </w:pPr>
            <w:r>
              <w:rPr>
                <w:rFonts w:ascii="Calibri" w:hAnsi="Calibri" w:cs="Calibri"/>
                <w:b/>
              </w:rPr>
              <w:t>Hlavní závěry a zjištění</w:t>
            </w:r>
            <w:r w:rsidR="001C210E" w:rsidRPr="001C210E">
              <w:rPr>
                <w:rFonts w:ascii="Calibri" w:hAnsi="Calibri" w:cs="Calibri"/>
                <w:b/>
              </w:rPr>
              <w:t xml:space="preserve"> </w:t>
            </w:r>
          </w:p>
        </w:tc>
        <w:tc>
          <w:tcPr>
            <w:tcW w:w="5954" w:type="dxa"/>
          </w:tcPr>
          <w:p w14:paraId="4E1077F4" w14:textId="39F1B8BF" w:rsidR="001C210E" w:rsidRDefault="008121C6" w:rsidP="0054158E">
            <w:pPr>
              <w:rPr>
                <w:rFonts w:ascii="Calibri" w:hAnsi="Calibri" w:cs="Calibri"/>
              </w:rPr>
            </w:pPr>
            <w:r>
              <w:rPr>
                <w:rFonts w:ascii="Calibri" w:hAnsi="Calibri" w:cs="Calibri"/>
              </w:rPr>
              <w:t xml:space="preserve">Mezi hlavní aktuální trendy v zavádění </w:t>
            </w:r>
            <w:r w:rsidR="00794D4E">
              <w:rPr>
                <w:rFonts w:ascii="Calibri" w:hAnsi="Calibri" w:cs="Calibri"/>
              </w:rPr>
              <w:t xml:space="preserve">inovativních </w:t>
            </w:r>
            <w:r>
              <w:rPr>
                <w:rFonts w:ascii="Calibri" w:hAnsi="Calibri" w:cs="Calibri"/>
              </w:rPr>
              <w:t>NUT v oblasti nakládání energií patří zejména:</w:t>
            </w:r>
          </w:p>
          <w:p w14:paraId="7F1FE9E1" w14:textId="67C08952" w:rsidR="008121C6" w:rsidRPr="00794D4E" w:rsidRDefault="008121C6" w:rsidP="00794D4E">
            <w:pPr>
              <w:pStyle w:val="Odstavecseseznamem"/>
              <w:numPr>
                <w:ilvl w:val="0"/>
                <w:numId w:val="55"/>
              </w:numPr>
              <w:rPr>
                <w:rFonts w:ascii="Calibri" w:hAnsi="Calibri" w:cs="Calibri"/>
                <w:sz w:val="22"/>
              </w:rPr>
            </w:pPr>
            <w:r w:rsidRPr="00794D4E">
              <w:rPr>
                <w:rFonts w:ascii="Calibri" w:hAnsi="Calibri" w:cs="Calibri"/>
                <w:sz w:val="22"/>
              </w:rPr>
              <w:t>koncept Smart Cities</w:t>
            </w:r>
            <w:r w:rsidR="008857B9">
              <w:rPr>
                <w:rFonts w:ascii="Calibri" w:hAnsi="Calibri" w:cs="Calibri"/>
                <w:sz w:val="22"/>
              </w:rPr>
              <w:t>,</w:t>
            </w:r>
          </w:p>
          <w:p w14:paraId="594C011D" w14:textId="6060F07E" w:rsidR="008121C6" w:rsidRPr="00794D4E" w:rsidRDefault="008121C6" w:rsidP="00794D4E">
            <w:pPr>
              <w:pStyle w:val="Odstavecseseznamem"/>
              <w:numPr>
                <w:ilvl w:val="0"/>
                <w:numId w:val="55"/>
              </w:numPr>
              <w:rPr>
                <w:rFonts w:ascii="Calibri" w:hAnsi="Calibri" w:cs="Calibri"/>
                <w:sz w:val="22"/>
              </w:rPr>
            </w:pPr>
            <w:r w:rsidRPr="00794D4E">
              <w:rPr>
                <w:rFonts w:ascii="Calibri" w:hAnsi="Calibri" w:cs="Calibri"/>
                <w:sz w:val="22"/>
              </w:rPr>
              <w:t>nové zdroje energie</w:t>
            </w:r>
            <w:r w:rsidR="008857B9">
              <w:rPr>
                <w:rFonts w:ascii="Calibri" w:hAnsi="Calibri" w:cs="Calibri"/>
                <w:sz w:val="22"/>
              </w:rPr>
              <w:t>,</w:t>
            </w:r>
          </w:p>
          <w:p w14:paraId="07700966" w14:textId="01F70C96" w:rsidR="008121C6" w:rsidRPr="00794D4E" w:rsidRDefault="008121C6" w:rsidP="00794D4E">
            <w:pPr>
              <w:pStyle w:val="Odstavecseseznamem"/>
              <w:numPr>
                <w:ilvl w:val="0"/>
                <w:numId w:val="55"/>
              </w:numPr>
              <w:rPr>
                <w:rFonts w:ascii="Calibri" w:hAnsi="Calibri" w:cs="Calibri"/>
                <w:sz w:val="22"/>
              </w:rPr>
            </w:pPr>
            <w:r w:rsidRPr="00794D4E">
              <w:rPr>
                <w:rFonts w:ascii="Calibri" w:hAnsi="Calibri" w:cs="Calibri"/>
                <w:sz w:val="22"/>
              </w:rPr>
              <w:t>decentralizace energie</w:t>
            </w:r>
            <w:r w:rsidR="008857B9">
              <w:rPr>
                <w:rFonts w:ascii="Calibri" w:hAnsi="Calibri" w:cs="Calibri"/>
                <w:sz w:val="22"/>
              </w:rPr>
              <w:t>,</w:t>
            </w:r>
          </w:p>
          <w:p w14:paraId="408AFEF0" w14:textId="7DAA7ECD" w:rsidR="008121C6" w:rsidRPr="00794D4E" w:rsidRDefault="008857B9" w:rsidP="00794D4E">
            <w:pPr>
              <w:pStyle w:val="Odstavecseseznamem"/>
              <w:numPr>
                <w:ilvl w:val="0"/>
                <w:numId w:val="55"/>
              </w:numPr>
              <w:rPr>
                <w:rFonts w:ascii="Calibri" w:hAnsi="Calibri" w:cs="Calibri"/>
                <w:sz w:val="22"/>
              </w:rPr>
            </w:pPr>
            <w:r>
              <w:rPr>
                <w:rFonts w:ascii="Calibri" w:hAnsi="Calibri" w:cs="Calibri"/>
                <w:sz w:val="22"/>
              </w:rPr>
              <w:t>a</w:t>
            </w:r>
            <w:r w:rsidR="008121C6" w:rsidRPr="00794D4E">
              <w:rPr>
                <w:rFonts w:ascii="Calibri" w:hAnsi="Calibri" w:cs="Calibri"/>
                <w:sz w:val="22"/>
              </w:rPr>
              <w:t>kumulace energie</w:t>
            </w:r>
            <w:r>
              <w:rPr>
                <w:rFonts w:ascii="Calibri" w:hAnsi="Calibri" w:cs="Calibri"/>
                <w:sz w:val="22"/>
              </w:rPr>
              <w:t>,</w:t>
            </w:r>
          </w:p>
          <w:p w14:paraId="37C46975" w14:textId="4B84076C" w:rsidR="008121C6" w:rsidRDefault="008121C6" w:rsidP="00794D4E">
            <w:pPr>
              <w:pStyle w:val="Odstavecseseznamem"/>
              <w:numPr>
                <w:ilvl w:val="0"/>
                <w:numId w:val="55"/>
              </w:numPr>
              <w:rPr>
                <w:rFonts w:ascii="Calibri" w:hAnsi="Calibri" w:cs="Calibri"/>
                <w:sz w:val="22"/>
              </w:rPr>
            </w:pPr>
            <w:r w:rsidRPr="00794D4E">
              <w:rPr>
                <w:rFonts w:ascii="Calibri" w:hAnsi="Calibri" w:cs="Calibri"/>
                <w:sz w:val="22"/>
              </w:rPr>
              <w:t>modernizace a digitalizace energetických sítí</w:t>
            </w:r>
            <w:r w:rsidR="008857B9">
              <w:rPr>
                <w:rFonts w:ascii="Calibri" w:hAnsi="Calibri" w:cs="Calibri"/>
                <w:sz w:val="22"/>
              </w:rPr>
              <w:t>,</w:t>
            </w:r>
          </w:p>
          <w:p w14:paraId="78C597F0" w14:textId="01A36DE4" w:rsidR="008121C6" w:rsidRPr="0067479B" w:rsidRDefault="00794D4E" w:rsidP="0067479B">
            <w:pPr>
              <w:pStyle w:val="Odstavecseseznamem"/>
              <w:numPr>
                <w:ilvl w:val="0"/>
                <w:numId w:val="55"/>
              </w:numPr>
              <w:rPr>
                <w:rFonts w:ascii="Calibri" w:hAnsi="Calibri" w:cs="Calibri"/>
                <w:sz w:val="22"/>
              </w:rPr>
            </w:pPr>
            <w:r w:rsidRPr="0067479B">
              <w:rPr>
                <w:rFonts w:ascii="Calibri" w:hAnsi="Calibri" w:cs="Calibri"/>
                <w:sz w:val="22"/>
              </w:rPr>
              <w:t>c</w:t>
            </w:r>
            <w:r w:rsidR="008121C6" w:rsidRPr="0067479B">
              <w:rPr>
                <w:rFonts w:ascii="Calibri" w:hAnsi="Calibri" w:cs="Calibri"/>
                <w:sz w:val="22"/>
              </w:rPr>
              <w:t>hytré budovy</w:t>
            </w:r>
            <w:r w:rsidR="008857B9" w:rsidRPr="0067479B">
              <w:rPr>
                <w:rFonts w:ascii="Calibri" w:hAnsi="Calibri" w:cs="Calibri"/>
                <w:sz w:val="22"/>
              </w:rPr>
              <w:t>,</w:t>
            </w:r>
          </w:p>
          <w:p w14:paraId="7C8BC99C" w14:textId="4F08589D" w:rsidR="008121C6" w:rsidRPr="00794D4E" w:rsidRDefault="008121C6" w:rsidP="00794D4E">
            <w:pPr>
              <w:pStyle w:val="Odstavecseseznamem"/>
              <w:numPr>
                <w:ilvl w:val="0"/>
                <w:numId w:val="55"/>
              </w:numPr>
              <w:rPr>
                <w:rFonts w:ascii="Calibri" w:hAnsi="Calibri" w:cs="Calibri"/>
                <w:sz w:val="22"/>
              </w:rPr>
            </w:pPr>
            <w:r w:rsidRPr="00794D4E">
              <w:rPr>
                <w:rFonts w:ascii="Calibri" w:hAnsi="Calibri" w:cs="Calibri"/>
                <w:sz w:val="22"/>
              </w:rPr>
              <w:t>bezemisní doprava nebo</w:t>
            </w:r>
          </w:p>
          <w:p w14:paraId="720724C0" w14:textId="011F1868" w:rsidR="008121C6" w:rsidRPr="00794D4E" w:rsidRDefault="008121C6" w:rsidP="00794D4E">
            <w:pPr>
              <w:pStyle w:val="Odstavecseseznamem"/>
              <w:numPr>
                <w:ilvl w:val="0"/>
                <w:numId w:val="55"/>
              </w:numPr>
              <w:rPr>
                <w:rFonts w:ascii="Calibri" w:hAnsi="Calibri" w:cs="Calibri"/>
                <w:sz w:val="22"/>
              </w:rPr>
            </w:pPr>
            <w:r w:rsidRPr="00794D4E">
              <w:rPr>
                <w:rFonts w:ascii="Calibri" w:hAnsi="Calibri" w:cs="Calibri"/>
                <w:sz w:val="22"/>
              </w:rPr>
              <w:t>využití metanu v energetice a v</w:t>
            </w:r>
            <w:r w:rsidR="008857B9">
              <w:rPr>
                <w:rFonts w:ascii="Calibri" w:hAnsi="Calibri" w:cs="Calibri"/>
                <w:sz w:val="22"/>
              </w:rPr>
              <w:t> </w:t>
            </w:r>
            <w:r w:rsidRPr="00794D4E">
              <w:rPr>
                <w:rFonts w:ascii="Calibri" w:hAnsi="Calibri" w:cs="Calibri"/>
                <w:sz w:val="22"/>
              </w:rPr>
              <w:t>dopravě</w:t>
            </w:r>
            <w:r w:rsidR="008857B9">
              <w:rPr>
                <w:rFonts w:ascii="Calibri" w:hAnsi="Calibri" w:cs="Calibri"/>
                <w:sz w:val="22"/>
              </w:rPr>
              <w:t>.</w:t>
            </w:r>
          </w:p>
          <w:p w14:paraId="31C79E30" w14:textId="77777777" w:rsidR="005B3661" w:rsidRDefault="005B3661" w:rsidP="0054158E">
            <w:pPr>
              <w:rPr>
                <w:rFonts w:ascii="Calibri" w:hAnsi="Calibri" w:cs="Calibri"/>
              </w:rPr>
            </w:pPr>
          </w:p>
          <w:p w14:paraId="0BC8DEEA" w14:textId="5053CFD3" w:rsidR="008121C6" w:rsidRDefault="005B3661" w:rsidP="0054158E">
            <w:pPr>
              <w:rPr>
                <w:rFonts w:ascii="Calibri" w:hAnsi="Calibri" w:cs="Calibri"/>
              </w:rPr>
            </w:pPr>
            <w:r w:rsidRPr="005B3661">
              <w:rPr>
                <w:rFonts w:ascii="Calibri" w:hAnsi="Calibri" w:cs="Calibri"/>
              </w:rPr>
              <w:t xml:space="preserve">Trendy v oblasti druhotných surovin jsou širšího charakteru, což je dáno spektrem </w:t>
            </w:r>
            <w:r w:rsidR="00F77AF1">
              <w:rPr>
                <w:rFonts w:ascii="Calibri" w:hAnsi="Calibri" w:cs="Calibri"/>
              </w:rPr>
              <w:t xml:space="preserve">a </w:t>
            </w:r>
            <w:r w:rsidRPr="005B3661">
              <w:rPr>
                <w:rFonts w:ascii="Calibri" w:hAnsi="Calibri" w:cs="Calibri"/>
              </w:rPr>
              <w:t>různ</w:t>
            </w:r>
            <w:r w:rsidR="00F77AF1">
              <w:rPr>
                <w:rFonts w:ascii="Calibri" w:hAnsi="Calibri" w:cs="Calibri"/>
              </w:rPr>
              <w:t>orodostí</w:t>
            </w:r>
            <w:r w:rsidRPr="005B3661">
              <w:rPr>
                <w:rFonts w:ascii="Calibri" w:hAnsi="Calibri" w:cs="Calibri"/>
              </w:rPr>
              <w:t xml:space="preserve"> kategorií</w:t>
            </w:r>
            <w:r w:rsidR="008121C6">
              <w:rPr>
                <w:rFonts w:ascii="Calibri" w:hAnsi="Calibri" w:cs="Calibri"/>
              </w:rPr>
              <w:t>.</w:t>
            </w:r>
          </w:p>
          <w:p w14:paraId="42A957A6" w14:textId="77777777" w:rsidR="00794D4E" w:rsidRDefault="00794D4E" w:rsidP="0054158E">
            <w:pPr>
              <w:rPr>
                <w:rFonts w:ascii="Calibri" w:hAnsi="Calibri" w:cs="Calibri"/>
              </w:rPr>
            </w:pPr>
          </w:p>
          <w:p w14:paraId="2AC51CC3" w14:textId="77777777" w:rsidR="00794D4E" w:rsidRDefault="00794D4E" w:rsidP="0054158E">
            <w:pPr>
              <w:rPr>
                <w:rFonts w:ascii="Calibri" w:hAnsi="Calibri" w:cs="Calibri"/>
              </w:rPr>
            </w:pPr>
            <w:r>
              <w:rPr>
                <w:rFonts w:ascii="Calibri" w:hAnsi="Calibri" w:cs="Calibri"/>
              </w:rPr>
              <w:lastRenderedPageBreak/>
              <w:t xml:space="preserve">SC 3.4 reaguje na trendy v zavádění inovativních NUT; plné využití potenciálu v této oblasti je však limitováno nedostatečným legislativním rámcem a také pravidly veřejné podpory. </w:t>
            </w:r>
          </w:p>
          <w:p w14:paraId="343A4586" w14:textId="77777777" w:rsidR="00794D4E" w:rsidRDefault="00794D4E" w:rsidP="0054158E">
            <w:pPr>
              <w:rPr>
                <w:rFonts w:ascii="Calibri" w:hAnsi="Calibri" w:cs="Calibri"/>
              </w:rPr>
            </w:pPr>
          </w:p>
          <w:p w14:paraId="4654FE10" w14:textId="31258708" w:rsidR="00794D4E" w:rsidRPr="001C210E" w:rsidRDefault="00794D4E" w:rsidP="0054158E">
            <w:pPr>
              <w:rPr>
                <w:rFonts w:ascii="Calibri" w:hAnsi="Calibri" w:cs="Calibri"/>
              </w:rPr>
            </w:pPr>
            <w:r>
              <w:rPr>
                <w:rFonts w:ascii="Calibri" w:hAnsi="Calibri" w:cs="Calibri"/>
              </w:rPr>
              <w:t xml:space="preserve">V důsledku </w:t>
            </w:r>
            <w:r w:rsidRPr="00794D4E">
              <w:rPr>
                <w:rFonts w:ascii="Calibri" w:hAnsi="Calibri" w:cs="Calibri"/>
              </w:rPr>
              <w:t xml:space="preserve">působení SC 3.4 </w:t>
            </w:r>
            <w:r>
              <w:rPr>
                <w:rFonts w:ascii="Calibri" w:hAnsi="Calibri" w:cs="Calibri"/>
              </w:rPr>
              <w:t xml:space="preserve">nebyl zatím </w:t>
            </w:r>
            <w:r w:rsidRPr="00794D4E">
              <w:rPr>
                <w:rFonts w:ascii="Calibri" w:hAnsi="Calibri" w:cs="Calibri"/>
              </w:rPr>
              <w:t>pozorov</w:t>
            </w:r>
            <w:r>
              <w:rPr>
                <w:rFonts w:ascii="Calibri" w:hAnsi="Calibri" w:cs="Calibri"/>
              </w:rPr>
              <w:t>án</w:t>
            </w:r>
            <w:r w:rsidRPr="00794D4E">
              <w:rPr>
                <w:rFonts w:ascii="Calibri" w:hAnsi="Calibri" w:cs="Calibri"/>
              </w:rPr>
              <w:t xml:space="preserve"> vzestupný trend uplatnění </w:t>
            </w:r>
            <w:r>
              <w:rPr>
                <w:rFonts w:ascii="Calibri" w:hAnsi="Calibri" w:cs="Calibri"/>
              </w:rPr>
              <w:t>žádné</w:t>
            </w:r>
            <w:r w:rsidRPr="00794D4E">
              <w:rPr>
                <w:rFonts w:ascii="Calibri" w:hAnsi="Calibri" w:cs="Calibri"/>
              </w:rPr>
              <w:t xml:space="preserve"> konkrétní inovativní nízkouhlíkové technologie, která se dříve běžně v ČR komerčně neuplatňovala</w:t>
            </w:r>
            <w:r>
              <w:rPr>
                <w:rFonts w:ascii="Calibri" w:hAnsi="Calibri" w:cs="Calibri"/>
              </w:rPr>
              <w:t xml:space="preserve">. Aktuálně </w:t>
            </w:r>
            <w:r w:rsidR="00650591">
              <w:rPr>
                <w:rFonts w:ascii="Calibri" w:hAnsi="Calibri" w:cs="Calibri"/>
              </w:rPr>
              <w:t xml:space="preserve">je </w:t>
            </w:r>
            <w:r>
              <w:rPr>
                <w:rFonts w:ascii="Calibri" w:hAnsi="Calibri" w:cs="Calibri"/>
              </w:rPr>
              <w:t xml:space="preserve">největší potenciál spatřován zejména v oblasti akumulace energie. </w:t>
            </w:r>
          </w:p>
        </w:tc>
      </w:tr>
      <w:tr w:rsidR="008857B9" w:rsidRPr="001C210E" w14:paraId="694AAEB3" w14:textId="77777777" w:rsidTr="00FE4816">
        <w:tc>
          <w:tcPr>
            <w:tcW w:w="2972" w:type="dxa"/>
            <w:shd w:val="clear" w:color="auto" w:fill="F2F2F2" w:themeFill="background1" w:themeFillShade="F2"/>
          </w:tcPr>
          <w:p w14:paraId="2FE32B78" w14:textId="77777777" w:rsidR="008857B9" w:rsidRPr="001C210E" w:rsidRDefault="008857B9" w:rsidP="008857B9">
            <w:pPr>
              <w:rPr>
                <w:rFonts w:ascii="Calibri" w:hAnsi="Calibri" w:cs="Calibri"/>
                <w:b/>
              </w:rPr>
            </w:pPr>
            <w:r w:rsidRPr="001C210E">
              <w:rPr>
                <w:rFonts w:ascii="Calibri" w:hAnsi="Calibri" w:cs="Calibri"/>
                <w:b/>
              </w:rPr>
              <w:lastRenderedPageBreak/>
              <w:t>Doporučení pro programové období 2014 - 2020</w:t>
            </w:r>
          </w:p>
        </w:tc>
        <w:tc>
          <w:tcPr>
            <w:tcW w:w="5954" w:type="dxa"/>
          </w:tcPr>
          <w:p w14:paraId="390754BD" w14:textId="439933CA" w:rsidR="008857B9" w:rsidRPr="001C210E" w:rsidRDefault="008857B9" w:rsidP="008857B9">
            <w:pPr>
              <w:rPr>
                <w:rFonts w:ascii="Calibri" w:hAnsi="Calibri" w:cs="Calibri"/>
              </w:rPr>
            </w:pPr>
            <w:r>
              <w:rPr>
                <w:rFonts w:ascii="Calibri" w:hAnsi="Calibri" w:cs="Calibri"/>
              </w:rPr>
              <w:t>Posouzení příspěvku</w:t>
            </w:r>
            <w:r w:rsidRPr="00F11649">
              <w:rPr>
                <w:rFonts w:ascii="Calibri" w:hAnsi="Calibri" w:cs="Calibri"/>
              </w:rPr>
              <w:t xml:space="preserve"> SC 3.4 </w:t>
            </w:r>
            <w:r w:rsidR="002E164D">
              <w:rPr>
                <w:rFonts w:ascii="Calibri" w:hAnsi="Calibri" w:cs="Calibri"/>
              </w:rPr>
              <w:t xml:space="preserve">k zavádění inovativních NUT </w:t>
            </w:r>
            <w:r>
              <w:rPr>
                <w:rFonts w:ascii="Calibri" w:hAnsi="Calibri" w:cs="Calibri"/>
              </w:rPr>
              <w:t>provést v rámci ex post evaluace.</w:t>
            </w:r>
          </w:p>
        </w:tc>
      </w:tr>
      <w:tr w:rsidR="008857B9" w:rsidRPr="001C210E" w14:paraId="49FD1953" w14:textId="77777777" w:rsidTr="00FE4816">
        <w:tc>
          <w:tcPr>
            <w:tcW w:w="2972" w:type="dxa"/>
            <w:shd w:val="clear" w:color="auto" w:fill="F2F2F2" w:themeFill="background1" w:themeFillShade="F2"/>
          </w:tcPr>
          <w:p w14:paraId="54409649" w14:textId="77777777" w:rsidR="008857B9" w:rsidRPr="001C210E" w:rsidRDefault="008857B9" w:rsidP="008857B9">
            <w:pPr>
              <w:rPr>
                <w:rFonts w:ascii="Calibri" w:hAnsi="Calibri" w:cs="Calibri"/>
                <w:b/>
              </w:rPr>
            </w:pPr>
          </w:p>
        </w:tc>
        <w:tc>
          <w:tcPr>
            <w:tcW w:w="5954" w:type="dxa"/>
          </w:tcPr>
          <w:p w14:paraId="0849CA20" w14:textId="3A58B2AF" w:rsidR="007A08CF" w:rsidRDefault="002E164D" w:rsidP="008857B9">
            <w:pPr>
              <w:rPr>
                <w:rFonts w:ascii="Calibri" w:hAnsi="Calibri" w:cs="Calibri"/>
              </w:rPr>
            </w:pPr>
            <w:r>
              <w:rPr>
                <w:rFonts w:ascii="Calibri" w:hAnsi="Calibri" w:cs="Calibri"/>
              </w:rPr>
              <w:t xml:space="preserve">Rozvíjet komunikační a propagační aktivity zaměřené na diseminaci výsledků PP NUT směrem k cílovým skupinám. Do těchto </w:t>
            </w:r>
            <w:r w:rsidR="007A08CF">
              <w:rPr>
                <w:rFonts w:ascii="Calibri" w:hAnsi="Calibri" w:cs="Calibri"/>
              </w:rPr>
              <w:t>aktivit</w:t>
            </w:r>
            <w:r>
              <w:rPr>
                <w:rFonts w:ascii="Calibri" w:hAnsi="Calibri" w:cs="Calibri"/>
              </w:rPr>
              <w:t xml:space="preserve"> zapojovat podpořené příjemce</w:t>
            </w:r>
            <w:r w:rsidR="007A08CF">
              <w:rPr>
                <w:rFonts w:ascii="Calibri" w:hAnsi="Calibri" w:cs="Calibri"/>
              </w:rPr>
              <w:t>, kteří mají povinnost realizovat diseminační aktivity</w:t>
            </w:r>
            <w:r>
              <w:rPr>
                <w:rFonts w:ascii="Calibri" w:hAnsi="Calibri" w:cs="Calibri"/>
              </w:rPr>
              <w:t>.</w:t>
            </w:r>
            <w:r w:rsidR="007A08CF">
              <w:rPr>
                <w:rFonts w:ascii="Calibri" w:hAnsi="Calibri" w:cs="Calibri"/>
              </w:rPr>
              <w:t xml:space="preserve"> Může se jednat např. o tematicky zaměřené semináře organizované API s účastí příjemců nebo společné účasti/prezentace na výstavách a veletrzích. </w:t>
            </w:r>
          </w:p>
          <w:p w14:paraId="3DA6FB22" w14:textId="0AE78BDA" w:rsidR="008857B9" w:rsidRPr="001C210E" w:rsidRDefault="007A08CF" w:rsidP="008857B9">
            <w:pPr>
              <w:rPr>
                <w:rFonts w:ascii="Calibri" w:hAnsi="Calibri" w:cs="Calibri"/>
              </w:rPr>
            </w:pPr>
            <w:r>
              <w:rPr>
                <w:rFonts w:ascii="Calibri" w:hAnsi="Calibri" w:cs="Calibri"/>
              </w:rPr>
              <w:t xml:space="preserve">Ke zvážení je i vytvoření </w:t>
            </w:r>
            <w:r w:rsidR="006964C7">
              <w:rPr>
                <w:rFonts w:ascii="Calibri" w:hAnsi="Calibri" w:cs="Calibri"/>
              </w:rPr>
              <w:t xml:space="preserve">specializované </w:t>
            </w:r>
            <w:r>
              <w:rPr>
                <w:rFonts w:ascii="Calibri" w:hAnsi="Calibri" w:cs="Calibri"/>
              </w:rPr>
              <w:t>web</w:t>
            </w:r>
            <w:r w:rsidR="006964C7">
              <w:rPr>
                <w:rFonts w:ascii="Calibri" w:hAnsi="Calibri" w:cs="Calibri"/>
              </w:rPr>
              <w:t xml:space="preserve">ové </w:t>
            </w:r>
            <w:r>
              <w:rPr>
                <w:rFonts w:ascii="Calibri" w:hAnsi="Calibri" w:cs="Calibri"/>
              </w:rPr>
              <w:t xml:space="preserve">prezentace </w:t>
            </w:r>
            <w:r w:rsidR="006964C7">
              <w:rPr>
                <w:rFonts w:ascii="Calibri" w:hAnsi="Calibri" w:cs="Calibri"/>
              </w:rPr>
              <w:t xml:space="preserve">aplikovaných </w:t>
            </w:r>
            <w:r>
              <w:rPr>
                <w:rFonts w:ascii="Calibri" w:hAnsi="Calibri" w:cs="Calibri"/>
              </w:rPr>
              <w:t>inovativních NUT v oblasti nakládání energií</w:t>
            </w:r>
            <w:r w:rsidR="006964C7">
              <w:rPr>
                <w:rFonts w:ascii="Calibri" w:hAnsi="Calibri" w:cs="Calibri"/>
              </w:rPr>
              <w:t xml:space="preserve"> a využívání druhotných surovin s podporou OP PIK.</w:t>
            </w:r>
            <w:r>
              <w:rPr>
                <w:rFonts w:ascii="Calibri" w:hAnsi="Calibri" w:cs="Calibri"/>
              </w:rPr>
              <w:t xml:space="preserve">   </w:t>
            </w:r>
            <w:r w:rsidR="002E164D">
              <w:rPr>
                <w:rFonts w:ascii="Calibri" w:hAnsi="Calibri" w:cs="Calibri"/>
              </w:rPr>
              <w:t xml:space="preserve">  </w:t>
            </w:r>
          </w:p>
        </w:tc>
      </w:tr>
      <w:tr w:rsidR="008857B9" w:rsidRPr="001C210E" w14:paraId="57234444" w14:textId="77777777" w:rsidTr="00FE4816">
        <w:tc>
          <w:tcPr>
            <w:tcW w:w="2972" w:type="dxa"/>
            <w:shd w:val="clear" w:color="auto" w:fill="F2F2F2" w:themeFill="background1" w:themeFillShade="F2"/>
          </w:tcPr>
          <w:p w14:paraId="0DC1540E" w14:textId="4676748C" w:rsidR="008857B9" w:rsidRPr="001C210E" w:rsidRDefault="008857B9" w:rsidP="008857B9">
            <w:pPr>
              <w:rPr>
                <w:rFonts w:ascii="Calibri" w:hAnsi="Calibri" w:cs="Calibri"/>
                <w:b/>
              </w:rPr>
            </w:pPr>
            <w:r w:rsidRPr="001C210E">
              <w:rPr>
                <w:rFonts w:ascii="Calibri" w:hAnsi="Calibri" w:cs="Calibri"/>
                <w:b/>
              </w:rPr>
              <w:t>Doporučení pro programové období 2021</w:t>
            </w:r>
            <w:r w:rsidR="00676150">
              <w:rPr>
                <w:rFonts w:ascii="Calibri" w:hAnsi="Calibri" w:cs="Calibri"/>
                <w:b/>
              </w:rPr>
              <w:t xml:space="preserve"> - 2027</w:t>
            </w:r>
          </w:p>
        </w:tc>
        <w:tc>
          <w:tcPr>
            <w:tcW w:w="5954" w:type="dxa"/>
          </w:tcPr>
          <w:p w14:paraId="4CC25AD4" w14:textId="580359F0" w:rsidR="008857B9" w:rsidRPr="001C210E" w:rsidRDefault="008857B9" w:rsidP="008857B9">
            <w:pPr>
              <w:rPr>
                <w:rFonts w:ascii="Calibri" w:hAnsi="Calibri" w:cs="Calibri"/>
              </w:rPr>
            </w:pPr>
            <w:r>
              <w:rPr>
                <w:rFonts w:ascii="Calibri" w:hAnsi="Calibri" w:cs="Calibri"/>
              </w:rPr>
              <w:t>Zachovat podporu zavádění inovativních NUT v oblasti nakládání energií a využívání druhotných surovin, v souladu s konceptem oběhového hospodářství.</w:t>
            </w:r>
          </w:p>
        </w:tc>
      </w:tr>
    </w:tbl>
    <w:p w14:paraId="3106F85F" w14:textId="77777777" w:rsidR="001C210E" w:rsidRPr="001C210E" w:rsidRDefault="001C210E" w:rsidP="001C210E">
      <w:pPr>
        <w:spacing w:after="0"/>
        <w:rPr>
          <w:rFonts w:ascii="Calibri" w:hAnsi="Calibri" w:cs="Calibri"/>
        </w:rPr>
      </w:pPr>
    </w:p>
    <w:p w14:paraId="7373255B" w14:textId="77777777" w:rsidR="001C210E" w:rsidRPr="001C210E" w:rsidRDefault="001C210E" w:rsidP="00FE4816">
      <w:pPr>
        <w:pStyle w:val="Nadpis2"/>
      </w:pPr>
      <w:bookmarkStart w:id="165" w:name="_Toc4596854"/>
      <w:bookmarkStart w:id="166" w:name="_Toc10729973"/>
      <w:r w:rsidRPr="001C210E">
        <w:t>Doplňující informace k evaluační otázce</w:t>
      </w:r>
      <w:bookmarkEnd w:id="165"/>
      <w:bookmarkEnd w:id="166"/>
    </w:p>
    <w:p w14:paraId="6EF87E7C" w14:textId="77777777" w:rsidR="00A36526" w:rsidRDefault="00A36526" w:rsidP="00A36526">
      <w:pPr>
        <w:spacing w:after="0"/>
        <w:rPr>
          <w:rFonts w:ascii="Calibri" w:hAnsi="Calibri" w:cs="Calibri"/>
        </w:rPr>
      </w:pPr>
      <w:r>
        <w:rPr>
          <w:rFonts w:ascii="Calibri" w:hAnsi="Calibri" w:cs="Calibri"/>
        </w:rPr>
        <w:t>Mezi hlavní aktuální trendy v zavádění nízkouhlíkových technologií v oblasti nakládání energií a při využívání druhotných surovin lze zařadit především:</w:t>
      </w:r>
    </w:p>
    <w:p w14:paraId="4E195973" w14:textId="77777777" w:rsidR="00A36526" w:rsidRDefault="00A36526" w:rsidP="00A36526">
      <w:pPr>
        <w:spacing w:after="0"/>
        <w:rPr>
          <w:rFonts w:ascii="Calibri" w:hAnsi="Calibri" w:cs="Calibri"/>
        </w:rPr>
      </w:pPr>
    </w:p>
    <w:p w14:paraId="3D897B1A" w14:textId="77777777" w:rsidR="00A36526" w:rsidRPr="00A36526" w:rsidRDefault="00A36526" w:rsidP="00A36526">
      <w:pPr>
        <w:spacing w:after="0"/>
        <w:rPr>
          <w:rFonts w:ascii="Calibri" w:hAnsi="Calibri" w:cs="Calibri"/>
          <w:b/>
          <w:color w:val="0070C0"/>
        </w:rPr>
      </w:pPr>
      <w:r w:rsidRPr="00A36526">
        <w:rPr>
          <w:rFonts w:ascii="Calibri" w:hAnsi="Calibri" w:cs="Calibri"/>
          <w:b/>
          <w:color w:val="0070C0"/>
        </w:rPr>
        <w:t>TRENDY V OBLASTI NAKLÁDÁNÍ ENERGIÍ</w:t>
      </w:r>
    </w:p>
    <w:p w14:paraId="5E44649E" w14:textId="77777777" w:rsidR="00A36526" w:rsidRPr="00CD7BF9" w:rsidRDefault="00A36526" w:rsidP="00A36526">
      <w:pPr>
        <w:spacing w:after="0"/>
        <w:rPr>
          <w:rFonts w:ascii="Calibri" w:hAnsi="Calibri" w:cs="Calibri"/>
          <w:b/>
          <w:i/>
        </w:rPr>
      </w:pPr>
      <w:r w:rsidRPr="00CD7BF9">
        <w:rPr>
          <w:rFonts w:ascii="Calibri" w:hAnsi="Calibri" w:cs="Calibri"/>
          <w:b/>
          <w:i/>
        </w:rPr>
        <w:t xml:space="preserve">Koncept Smart Cities </w:t>
      </w:r>
    </w:p>
    <w:p w14:paraId="00D4E8E1" w14:textId="77777777" w:rsidR="00A36526" w:rsidRDefault="00A36526" w:rsidP="00A36526">
      <w:pPr>
        <w:spacing w:after="0"/>
        <w:rPr>
          <w:rFonts w:ascii="Calibri" w:hAnsi="Calibri" w:cs="Calibri"/>
        </w:rPr>
      </w:pPr>
      <w:r>
        <w:rPr>
          <w:rFonts w:ascii="Calibri" w:hAnsi="Calibri" w:cs="Calibri"/>
        </w:rPr>
        <w:t xml:space="preserve">Široce pojímaný koncept „chytrých“ měst jako cesta </w:t>
      </w:r>
      <w:r w:rsidRPr="00843A52">
        <w:rPr>
          <w:rFonts w:ascii="Calibri" w:hAnsi="Calibri" w:cs="Calibri"/>
        </w:rPr>
        <w:t>k</w:t>
      </w:r>
      <w:r>
        <w:rPr>
          <w:rFonts w:ascii="Calibri" w:hAnsi="Calibri" w:cs="Calibri"/>
        </w:rPr>
        <w:t xml:space="preserve"> jejich</w:t>
      </w:r>
      <w:r w:rsidRPr="00843A52">
        <w:rPr>
          <w:rFonts w:ascii="Calibri" w:hAnsi="Calibri" w:cs="Calibri"/>
        </w:rPr>
        <w:t xml:space="preserve"> udržitelnému rozvoji</w:t>
      </w:r>
      <w:r>
        <w:rPr>
          <w:rFonts w:ascii="Calibri" w:hAnsi="Calibri" w:cs="Calibri"/>
        </w:rPr>
        <w:t xml:space="preserve"> spočívající v </w:t>
      </w:r>
      <w:r w:rsidRPr="00843A52">
        <w:rPr>
          <w:rFonts w:ascii="Calibri" w:hAnsi="Calibri" w:cs="Calibri"/>
        </w:rPr>
        <w:t>zavádění</w:t>
      </w:r>
      <w:r>
        <w:rPr>
          <w:rFonts w:ascii="Calibri" w:hAnsi="Calibri" w:cs="Calibri"/>
        </w:rPr>
        <w:t xml:space="preserve"> </w:t>
      </w:r>
      <w:r w:rsidRPr="00843A52">
        <w:rPr>
          <w:rFonts w:ascii="Calibri" w:hAnsi="Calibri" w:cs="Calibri"/>
        </w:rPr>
        <w:t>moderních technologií</w:t>
      </w:r>
      <w:r>
        <w:rPr>
          <w:rFonts w:ascii="Calibri" w:hAnsi="Calibri" w:cs="Calibri"/>
        </w:rPr>
        <w:t xml:space="preserve">. K </w:t>
      </w:r>
      <w:r w:rsidRPr="00843A52">
        <w:rPr>
          <w:rFonts w:ascii="Calibri" w:hAnsi="Calibri" w:cs="Calibri"/>
        </w:rPr>
        <w:t>největší</w:t>
      </w:r>
      <w:r>
        <w:rPr>
          <w:rFonts w:ascii="Calibri" w:hAnsi="Calibri" w:cs="Calibri"/>
        </w:rPr>
        <w:t>mu</w:t>
      </w:r>
      <w:r w:rsidRPr="00843A52">
        <w:rPr>
          <w:rFonts w:ascii="Calibri" w:hAnsi="Calibri" w:cs="Calibri"/>
        </w:rPr>
        <w:t xml:space="preserve"> uplatnění konceptu </w:t>
      </w:r>
      <w:r>
        <w:rPr>
          <w:rFonts w:ascii="Calibri" w:hAnsi="Calibri" w:cs="Calibri"/>
        </w:rPr>
        <w:t xml:space="preserve">dochází </w:t>
      </w:r>
      <w:r w:rsidRPr="00843A52">
        <w:rPr>
          <w:rFonts w:ascii="Calibri" w:hAnsi="Calibri" w:cs="Calibri"/>
        </w:rPr>
        <w:t xml:space="preserve">v oblasti dopravy, energetiky a </w:t>
      </w:r>
      <w:r>
        <w:rPr>
          <w:rFonts w:ascii="Calibri" w:hAnsi="Calibri" w:cs="Calibri"/>
        </w:rPr>
        <w:t>z</w:t>
      </w:r>
      <w:r w:rsidRPr="00843A52">
        <w:rPr>
          <w:rFonts w:ascii="Calibri" w:hAnsi="Calibri" w:cs="Calibri"/>
        </w:rPr>
        <w:t>avádění moderních informačních a komunikačních technologií (ICT),</w:t>
      </w:r>
      <w:r>
        <w:rPr>
          <w:rFonts w:ascii="Calibri" w:hAnsi="Calibri" w:cs="Calibri"/>
        </w:rPr>
        <w:t xml:space="preserve"> ovšem využít lze i </w:t>
      </w:r>
      <w:r w:rsidRPr="00843A52">
        <w:rPr>
          <w:rFonts w:ascii="Calibri" w:hAnsi="Calibri" w:cs="Calibri"/>
        </w:rPr>
        <w:t>v dalších oblastech, např. odpadové</w:t>
      </w:r>
      <w:r>
        <w:rPr>
          <w:rFonts w:ascii="Calibri" w:hAnsi="Calibri" w:cs="Calibri"/>
        </w:rPr>
        <w:t>m</w:t>
      </w:r>
      <w:r w:rsidRPr="00843A52">
        <w:rPr>
          <w:rFonts w:ascii="Calibri" w:hAnsi="Calibri" w:cs="Calibri"/>
        </w:rPr>
        <w:t xml:space="preserve"> hospodářství</w:t>
      </w:r>
      <w:r>
        <w:rPr>
          <w:rFonts w:ascii="Calibri" w:hAnsi="Calibri" w:cs="Calibri"/>
        </w:rPr>
        <w:t xml:space="preserve"> a</w:t>
      </w:r>
      <w:r w:rsidRPr="00843A52">
        <w:rPr>
          <w:rFonts w:ascii="Calibri" w:hAnsi="Calibri" w:cs="Calibri"/>
        </w:rPr>
        <w:t xml:space="preserve"> vodohospodářství</w:t>
      </w:r>
      <w:r>
        <w:rPr>
          <w:rFonts w:ascii="Calibri" w:hAnsi="Calibri" w:cs="Calibri"/>
        </w:rPr>
        <w:t>.</w:t>
      </w:r>
    </w:p>
    <w:p w14:paraId="02F6AD4C" w14:textId="77777777" w:rsidR="00A36526" w:rsidRDefault="00A36526" w:rsidP="00A36526">
      <w:pPr>
        <w:spacing w:after="0"/>
        <w:rPr>
          <w:rFonts w:ascii="Calibri" w:hAnsi="Calibri" w:cs="Calibri"/>
        </w:rPr>
      </w:pPr>
    </w:p>
    <w:p w14:paraId="4C6300DF" w14:textId="77777777" w:rsidR="00A36526" w:rsidRPr="00CD7BF9" w:rsidRDefault="00A36526" w:rsidP="00A36526">
      <w:pPr>
        <w:spacing w:after="0"/>
        <w:rPr>
          <w:rFonts w:ascii="Calibri" w:hAnsi="Calibri" w:cs="Calibri"/>
          <w:b/>
          <w:i/>
        </w:rPr>
      </w:pPr>
      <w:r w:rsidRPr="00CD7BF9">
        <w:rPr>
          <w:rFonts w:ascii="Calibri" w:hAnsi="Calibri" w:cs="Calibri"/>
          <w:b/>
          <w:i/>
        </w:rPr>
        <w:t>Nové zdroje energie</w:t>
      </w:r>
    </w:p>
    <w:p w14:paraId="0D253C33" w14:textId="77777777" w:rsidR="00A36526" w:rsidRDefault="00A36526" w:rsidP="00A36526">
      <w:pPr>
        <w:spacing w:after="0"/>
        <w:rPr>
          <w:rFonts w:ascii="Calibri" w:hAnsi="Calibri" w:cs="Calibri"/>
        </w:rPr>
      </w:pPr>
      <w:r>
        <w:rPr>
          <w:rFonts w:ascii="Calibri" w:hAnsi="Calibri" w:cs="Calibri"/>
        </w:rPr>
        <w:t>Sem patří především široké spektrum inovativních a stále více efektivních technologií využití obnovitelných zdrojů, zejména solární a větrné energie.</w:t>
      </w:r>
    </w:p>
    <w:p w14:paraId="688318D6" w14:textId="77777777" w:rsidR="00A36526" w:rsidRDefault="00A36526" w:rsidP="00A36526">
      <w:pPr>
        <w:spacing w:after="0"/>
        <w:rPr>
          <w:rFonts w:ascii="Calibri" w:hAnsi="Calibri" w:cs="Calibri"/>
        </w:rPr>
      </w:pPr>
    </w:p>
    <w:p w14:paraId="085CBF4F" w14:textId="77777777" w:rsidR="00A36526" w:rsidRPr="00CD7BF9" w:rsidRDefault="00A36526" w:rsidP="00A36526">
      <w:pPr>
        <w:spacing w:after="0"/>
        <w:rPr>
          <w:rFonts w:ascii="Calibri" w:hAnsi="Calibri" w:cs="Calibri"/>
          <w:b/>
          <w:i/>
        </w:rPr>
      </w:pPr>
      <w:r w:rsidRPr="00CD7BF9">
        <w:rPr>
          <w:rFonts w:ascii="Calibri" w:hAnsi="Calibri" w:cs="Calibri"/>
          <w:b/>
          <w:i/>
        </w:rPr>
        <w:t>Decentralizace výroby energie</w:t>
      </w:r>
    </w:p>
    <w:p w14:paraId="6923ECF3" w14:textId="77777777" w:rsidR="00A36526" w:rsidRPr="00B769A0" w:rsidRDefault="00A36526" w:rsidP="00A36526">
      <w:pPr>
        <w:spacing w:after="0"/>
        <w:rPr>
          <w:rFonts w:ascii="Calibri" w:hAnsi="Calibri" w:cs="Calibri"/>
        </w:rPr>
      </w:pPr>
      <w:r w:rsidRPr="00B769A0">
        <w:rPr>
          <w:rFonts w:ascii="Calibri" w:hAnsi="Calibri" w:cs="Calibri"/>
        </w:rPr>
        <w:t>Decentralizovaná energetika produkuje elektřinu (a teplo, tam kde je to možné) s vysokou účinností blízko místa spotřeby, bez ohledu na výkon, druh paliva nebo technologii. Zahrnuje široký rozsah technologií, instalovaného výkonu a zdrojů energie a patří do ní zejména</w:t>
      </w:r>
      <w:r>
        <w:rPr>
          <w:rFonts w:ascii="Calibri" w:hAnsi="Calibri" w:cs="Calibri"/>
        </w:rPr>
        <w:t xml:space="preserve">: a) </w:t>
      </w:r>
      <w:r w:rsidRPr="00B769A0">
        <w:rPr>
          <w:rFonts w:ascii="Calibri" w:hAnsi="Calibri" w:cs="Calibri"/>
        </w:rPr>
        <w:t>kogenerační zdroje s vysokou účinností</w:t>
      </w:r>
      <w:r>
        <w:rPr>
          <w:rFonts w:ascii="Calibri" w:hAnsi="Calibri" w:cs="Calibri"/>
        </w:rPr>
        <w:t xml:space="preserve"> </w:t>
      </w:r>
      <w:r w:rsidRPr="00B769A0">
        <w:rPr>
          <w:rFonts w:ascii="Calibri" w:hAnsi="Calibri" w:cs="Calibri"/>
        </w:rPr>
        <w:t xml:space="preserve">využívající spalovací motory a turbíny, parní turbíny, stirlingovy motory, mikroturbíny </w:t>
      </w:r>
      <w:r w:rsidRPr="00B769A0">
        <w:rPr>
          <w:rFonts w:ascii="Calibri" w:hAnsi="Calibri" w:cs="Calibri"/>
        </w:rPr>
        <w:lastRenderedPageBreak/>
        <w:t xml:space="preserve">a palivové články </w:t>
      </w:r>
      <w:r>
        <w:rPr>
          <w:rFonts w:ascii="Calibri" w:hAnsi="Calibri" w:cs="Calibri"/>
        </w:rPr>
        <w:t xml:space="preserve">a b) </w:t>
      </w:r>
      <w:r w:rsidRPr="00B769A0">
        <w:rPr>
          <w:rFonts w:ascii="Calibri" w:hAnsi="Calibri" w:cs="Calibri"/>
        </w:rPr>
        <w:t>místní energetické systémy, využívající obnovitelné zdroje energie, odpadní teplo, nebo jiné formy dosud nevyužívané energie.</w:t>
      </w:r>
    </w:p>
    <w:p w14:paraId="22460969" w14:textId="77777777" w:rsidR="00A36526" w:rsidRDefault="00A36526" w:rsidP="00A36526">
      <w:pPr>
        <w:spacing w:after="0"/>
        <w:rPr>
          <w:rFonts w:ascii="Calibri" w:hAnsi="Calibri" w:cs="Calibri"/>
        </w:rPr>
      </w:pPr>
    </w:p>
    <w:p w14:paraId="73E3C088" w14:textId="77777777" w:rsidR="00A36526" w:rsidRPr="00CD7BF9" w:rsidRDefault="00A36526" w:rsidP="00A36526">
      <w:pPr>
        <w:spacing w:after="0"/>
        <w:rPr>
          <w:rFonts w:ascii="Calibri" w:hAnsi="Calibri" w:cs="Calibri"/>
          <w:b/>
          <w:i/>
        </w:rPr>
      </w:pPr>
      <w:r w:rsidRPr="00CD7BF9">
        <w:rPr>
          <w:rFonts w:ascii="Calibri" w:hAnsi="Calibri" w:cs="Calibri"/>
          <w:b/>
          <w:i/>
        </w:rPr>
        <w:t>Akumulace energie</w:t>
      </w:r>
    </w:p>
    <w:p w14:paraId="035E14E0" w14:textId="77777777" w:rsidR="00A36526" w:rsidRDefault="00A36526" w:rsidP="00A36526">
      <w:pPr>
        <w:spacing w:after="0"/>
        <w:rPr>
          <w:rFonts w:ascii="Calibri" w:hAnsi="Calibri" w:cs="Calibri"/>
        </w:rPr>
      </w:pPr>
      <w:r w:rsidRPr="00AF7DCE">
        <w:rPr>
          <w:rFonts w:ascii="Calibri" w:hAnsi="Calibri" w:cs="Calibri"/>
        </w:rPr>
        <w:t xml:space="preserve">Akumulace energie je důležitou součástí </w:t>
      </w:r>
      <w:r>
        <w:rPr>
          <w:rFonts w:ascii="Calibri" w:hAnsi="Calibri" w:cs="Calibri"/>
        </w:rPr>
        <w:t xml:space="preserve">tématu moderních energií z </w:t>
      </w:r>
      <w:r w:rsidRPr="00AF7DCE">
        <w:rPr>
          <w:rFonts w:ascii="Calibri" w:hAnsi="Calibri" w:cs="Calibri"/>
        </w:rPr>
        <w:t>OZE</w:t>
      </w:r>
      <w:r>
        <w:rPr>
          <w:rFonts w:ascii="Calibri" w:hAnsi="Calibri" w:cs="Calibri"/>
        </w:rPr>
        <w:t xml:space="preserve">. </w:t>
      </w:r>
      <w:r w:rsidRPr="00AF7DCE">
        <w:rPr>
          <w:rFonts w:ascii="Calibri" w:hAnsi="Calibri" w:cs="Calibri"/>
        </w:rPr>
        <w:t>Bateriové systémy nabízí řešení pro vyrovnání frekvence v síti, například při vyšším zastoupení energie z fotovoltaiky a větru</w:t>
      </w:r>
      <w:r>
        <w:rPr>
          <w:rFonts w:ascii="Calibri" w:hAnsi="Calibri" w:cs="Calibri"/>
        </w:rPr>
        <w:t xml:space="preserve">. Trendy v oblasti </w:t>
      </w:r>
      <w:r w:rsidRPr="00AF7DCE">
        <w:rPr>
          <w:rFonts w:ascii="Calibri" w:hAnsi="Calibri" w:cs="Calibri"/>
        </w:rPr>
        <w:t xml:space="preserve">akumulace elektřiny </w:t>
      </w:r>
      <w:r>
        <w:rPr>
          <w:rFonts w:ascii="Calibri" w:hAnsi="Calibri" w:cs="Calibri"/>
        </w:rPr>
        <w:t xml:space="preserve">zahrnují </w:t>
      </w:r>
      <w:r w:rsidRPr="00AF7DCE">
        <w:rPr>
          <w:rFonts w:ascii="Calibri" w:hAnsi="Calibri" w:cs="Calibri"/>
        </w:rPr>
        <w:t xml:space="preserve">různé technologie využívající vratné fyzikální procesy nebo vratné chemické reakce. </w:t>
      </w:r>
    </w:p>
    <w:p w14:paraId="4B538567" w14:textId="77777777" w:rsidR="00A36526" w:rsidRDefault="00A36526" w:rsidP="00A36526">
      <w:pPr>
        <w:spacing w:after="0"/>
        <w:rPr>
          <w:rFonts w:ascii="Calibri" w:hAnsi="Calibri" w:cs="Calibri"/>
        </w:rPr>
      </w:pPr>
    </w:p>
    <w:p w14:paraId="5E31AAD1" w14:textId="77777777" w:rsidR="00A36526" w:rsidRDefault="00A36526" w:rsidP="00A36526">
      <w:pPr>
        <w:spacing w:after="0"/>
        <w:rPr>
          <w:rFonts w:ascii="Calibri" w:hAnsi="Calibri" w:cs="Calibri"/>
        </w:rPr>
      </w:pPr>
      <w:r w:rsidRPr="00AF7DCE">
        <w:rPr>
          <w:rFonts w:ascii="Calibri" w:hAnsi="Calibri" w:cs="Calibri"/>
        </w:rPr>
        <w:t xml:space="preserve">Zvláště v oblasti rozvoje Li-Ion baterií probíhá v posledních letech extrémně rychlý rozvoj, který významně zlepšuje jejich kvalitu i snižuje cenu. Druhou oblastí je dlouhodobější uložení energie. Z hlediska vykrývání malých decentralizovaných zdrojů nabývají stále většího významu akumulátorové baterie. </w:t>
      </w:r>
      <w:r>
        <w:rPr>
          <w:rFonts w:ascii="Calibri" w:hAnsi="Calibri" w:cs="Calibri"/>
        </w:rPr>
        <w:t>P</w:t>
      </w:r>
      <w:r w:rsidRPr="00AF7DCE">
        <w:rPr>
          <w:rFonts w:ascii="Calibri" w:hAnsi="Calibri" w:cs="Calibri"/>
        </w:rPr>
        <w:t xml:space="preserve">řibývají </w:t>
      </w:r>
      <w:r>
        <w:rPr>
          <w:rFonts w:ascii="Calibri" w:hAnsi="Calibri" w:cs="Calibri"/>
        </w:rPr>
        <w:t xml:space="preserve">instalace </w:t>
      </w:r>
      <w:r w:rsidRPr="00AF7DCE">
        <w:rPr>
          <w:rFonts w:ascii="Calibri" w:hAnsi="Calibri" w:cs="Calibri"/>
        </w:rPr>
        <w:t>kombinovan</w:t>
      </w:r>
      <w:r>
        <w:rPr>
          <w:rFonts w:ascii="Calibri" w:hAnsi="Calibri" w:cs="Calibri"/>
        </w:rPr>
        <w:t>ých</w:t>
      </w:r>
      <w:r w:rsidRPr="00AF7DCE">
        <w:rPr>
          <w:rFonts w:ascii="Calibri" w:hAnsi="Calibri" w:cs="Calibri"/>
        </w:rPr>
        <w:t xml:space="preserve"> sestav střešních fotovoltaik a akumulátoru. </w:t>
      </w:r>
    </w:p>
    <w:p w14:paraId="3272EB12" w14:textId="77777777" w:rsidR="00A36526" w:rsidRDefault="00A36526" w:rsidP="00A36526">
      <w:pPr>
        <w:spacing w:after="0"/>
        <w:rPr>
          <w:rFonts w:ascii="Calibri" w:hAnsi="Calibri" w:cs="Calibri"/>
        </w:rPr>
      </w:pPr>
    </w:p>
    <w:p w14:paraId="7DB0CE87" w14:textId="0D643DEE" w:rsidR="00A36526" w:rsidRPr="00CD7BF9" w:rsidRDefault="00A36526" w:rsidP="00A36526">
      <w:pPr>
        <w:spacing w:after="0"/>
        <w:rPr>
          <w:rFonts w:ascii="Calibri" w:hAnsi="Calibri" w:cs="Calibri"/>
          <w:b/>
          <w:i/>
        </w:rPr>
      </w:pPr>
      <w:r w:rsidRPr="00CD7BF9">
        <w:rPr>
          <w:rFonts w:ascii="Calibri" w:hAnsi="Calibri" w:cs="Calibri"/>
          <w:b/>
          <w:i/>
        </w:rPr>
        <w:t xml:space="preserve">Modernizace a digitalizace </w:t>
      </w:r>
      <w:r w:rsidR="00BF5A98" w:rsidRPr="00CD7BF9">
        <w:rPr>
          <w:rFonts w:ascii="Calibri" w:hAnsi="Calibri" w:cs="Calibri"/>
          <w:b/>
          <w:i/>
        </w:rPr>
        <w:t xml:space="preserve">energetických </w:t>
      </w:r>
      <w:r w:rsidRPr="00CD7BF9">
        <w:rPr>
          <w:rFonts w:ascii="Calibri" w:hAnsi="Calibri" w:cs="Calibri"/>
          <w:b/>
          <w:i/>
        </w:rPr>
        <w:t>sítí</w:t>
      </w:r>
    </w:p>
    <w:p w14:paraId="02F00BB4" w14:textId="77777777" w:rsidR="00A36526" w:rsidRDefault="00A36526" w:rsidP="00A36526">
      <w:pPr>
        <w:spacing w:after="0"/>
        <w:rPr>
          <w:rFonts w:ascii="Calibri" w:hAnsi="Calibri" w:cs="Calibri"/>
        </w:rPr>
      </w:pPr>
      <w:r>
        <w:rPr>
          <w:rFonts w:ascii="Calibri" w:hAnsi="Calibri" w:cs="Calibri"/>
        </w:rPr>
        <w:t>Do této oblasti trendů patří zejména:</w:t>
      </w:r>
    </w:p>
    <w:p w14:paraId="4DFDB934"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 xml:space="preserve">rozvoj infrastruktury pro „smart“ řešení vedoucích k optimalizaci spotřeby energií a tím pádem k vyšší efektivnosti, </w:t>
      </w:r>
    </w:p>
    <w:p w14:paraId="19B6DE4E"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 xml:space="preserve">rostoucí automatizace provozu distribučních sítí s dopadem na dispečerské řízení, </w:t>
      </w:r>
    </w:p>
    <w:p w14:paraId="177B1BB9"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 xml:space="preserve">virtuální elektrárny, </w:t>
      </w:r>
    </w:p>
    <w:p w14:paraId="68E34353"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 xml:space="preserve">monitorovací a měřicí systémy a procesy pro efektivní provoz distribuční soustavy, </w:t>
      </w:r>
    </w:p>
    <w:p w14:paraId="719AAD0D"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automatizace obchodních měření,</w:t>
      </w:r>
    </w:p>
    <w:p w14:paraId="55EDCD1F"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inteligentní metody automatického zpracování rozsáhlých souborů provozních a technologických dat,</w:t>
      </w:r>
    </w:p>
    <w:p w14:paraId="1EE312C7"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aplikace nástrojů umělé inteligence,</w:t>
      </w:r>
    </w:p>
    <w:p w14:paraId="08542115" w14:textId="77777777" w:rsidR="00A36526" w:rsidRPr="00DF3744" w:rsidRDefault="00A36526" w:rsidP="00650591">
      <w:pPr>
        <w:pStyle w:val="Odstavecseseznamem"/>
        <w:numPr>
          <w:ilvl w:val="0"/>
          <w:numId w:val="42"/>
        </w:numPr>
        <w:spacing w:line="276" w:lineRule="auto"/>
        <w:rPr>
          <w:rFonts w:ascii="Calibri" w:hAnsi="Calibri" w:cs="Calibri"/>
          <w:sz w:val="22"/>
        </w:rPr>
      </w:pPr>
      <w:r w:rsidRPr="00DF3744">
        <w:rPr>
          <w:rFonts w:ascii="Calibri" w:hAnsi="Calibri" w:cs="Calibri"/>
          <w:sz w:val="22"/>
        </w:rPr>
        <w:t>kybernetická bezpečnost aj.</w:t>
      </w:r>
    </w:p>
    <w:p w14:paraId="1E85CC5E" w14:textId="77777777" w:rsidR="00A36526" w:rsidRDefault="00A36526" w:rsidP="00650591">
      <w:pPr>
        <w:spacing w:after="0"/>
        <w:rPr>
          <w:rFonts w:ascii="Calibri" w:hAnsi="Calibri" w:cs="Calibri"/>
        </w:rPr>
      </w:pPr>
    </w:p>
    <w:p w14:paraId="0DFDEC4C" w14:textId="77777777" w:rsidR="00A36526" w:rsidRPr="00CD7BF9" w:rsidRDefault="00A36526" w:rsidP="00A36526">
      <w:pPr>
        <w:spacing w:after="0"/>
        <w:rPr>
          <w:rFonts w:ascii="Calibri" w:hAnsi="Calibri" w:cs="Calibri"/>
          <w:b/>
          <w:i/>
        </w:rPr>
      </w:pPr>
      <w:r w:rsidRPr="00CD7BF9">
        <w:rPr>
          <w:rFonts w:ascii="Calibri" w:hAnsi="Calibri" w:cs="Calibri"/>
          <w:b/>
          <w:i/>
        </w:rPr>
        <w:t>Chytré budovy</w:t>
      </w:r>
    </w:p>
    <w:p w14:paraId="615ED149" w14:textId="77777777" w:rsidR="00A36526" w:rsidRPr="004D05BA" w:rsidRDefault="00A36526" w:rsidP="00650591">
      <w:pPr>
        <w:spacing w:after="0"/>
        <w:rPr>
          <w:rFonts w:ascii="Calibri" w:hAnsi="Calibri" w:cs="Calibri"/>
        </w:rPr>
      </w:pPr>
      <w:r>
        <w:rPr>
          <w:rFonts w:ascii="Calibri" w:hAnsi="Calibri" w:cs="Calibri"/>
        </w:rPr>
        <w:t>Do konceptu chytrých budov lze zařadit témata a trendy v oblastech:</w:t>
      </w:r>
      <w:r w:rsidRPr="004D05BA">
        <w:rPr>
          <w:rFonts w:ascii="Calibri" w:hAnsi="Calibri" w:cs="Calibri"/>
        </w:rPr>
        <w:tab/>
      </w:r>
    </w:p>
    <w:p w14:paraId="0D8FC7C5" w14:textId="77777777" w:rsidR="00A36526" w:rsidRPr="004D05BA" w:rsidRDefault="00A36526" w:rsidP="00650591">
      <w:pPr>
        <w:pStyle w:val="Odstavecseseznamem"/>
        <w:numPr>
          <w:ilvl w:val="0"/>
          <w:numId w:val="43"/>
        </w:numPr>
        <w:spacing w:line="276" w:lineRule="auto"/>
        <w:rPr>
          <w:rFonts w:ascii="Calibri" w:hAnsi="Calibri" w:cs="Calibri"/>
          <w:sz w:val="22"/>
        </w:rPr>
      </w:pPr>
      <w:r w:rsidRPr="004D05BA">
        <w:rPr>
          <w:rFonts w:ascii="Calibri" w:hAnsi="Calibri" w:cs="Calibri"/>
          <w:sz w:val="22"/>
        </w:rPr>
        <w:t>Architektura a interakce budov s životním prostředím: obvodové pláště budov, stavební fyzika a pokročilé materiálové řešení.</w:t>
      </w:r>
    </w:p>
    <w:p w14:paraId="5FEF99C5" w14:textId="77777777" w:rsidR="00A36526" w:rsidRPr="004D05BA" w:rsidRDefault="00A36526" w:rsidP="00650591">
      <w:pPr>
        <w:pStyle w:val="Odstavecseseznamem"/>
        <w:numPr>
          <w:ilvl w:val="0"/>
          <w:numId w:val="43"/>
        </w:numPr>
        <w:spacing w:line="276" w:lineRule="auto"/>
        <w:rPr>
          <w:rFonts w:ascii="Calibri" w:hAnsi="Calibri" w:cs="Calibri"/>
          <w:sz w:val="22"/>
        </w:rPr>
      </w:pPr>
      <w:r w:rsidRPr="004D05BA">
        <w:rPr>
          <w:rFonts w:ascii="Calibri" w:hAnsi="Calibri" w:cs="Calibri"/>
          <w:sz w:val="22"/>
        </w:rPr>
        <w:t>Energetické systémy budov: nové koncepce decentralizovaných zdrojů energie (obnovitelné, palivové) pro energeticky efektivní interaktivní budovy.</w:t>
      </w:r>
    </w:p>
    <w:p w14:paraId="05EB062B" w14:textId="77777777" w:rsidR="00A36526" w:rsidRPr="004D05BA" w:rsidRDefault="00A36526" w:rsidP="00650591">
      <w:pPr>
        <w:pStyle w:val="Odstavecseseznamem"/>
        <w:numPr>
          <w:ilvl w:val="0"/>
          <w:numId w:val="43"/>
        </w:numPr>
        <w:spacing w:line="276" w:lineRule="auto"/>
        <w:rPr>
          <w:rFonts w:ascii="Calibri" w:hAnsi="Calibri" w:cs="Calibri"/>
          <w:sz w:val="22"/>
        </w:rPr>
      </w:pPr>
      <w:r w:rsidRPr="004D05BA">
        <w:rPr>
          <w:rFonts w:ascii="Calibri" w:hAnsi="Calibri" w:cs="Calibri"/>
          <w:sz w:val="22"/>
        </w:rPr>
        <w:t>Kvalita vnitřního prostředí: zajištění kvalitního (zdravého, bezpečného a komfortního) vnitřního prostředí uživatelům energeticky efektivních budov.</w:t>
      </w:r>
    </w:p>
    <w:p w14:paraId="24584CCE" w14:textId="77777777" w:rsidR="00A36526" w:rsidRPr="004D05BA" w:rsidRDefault="00A36526" w:rsidP="00650591">
      <w:pPr>
        <w:pStyle w:val="Odstavecseseznamem"/>
        <w:numPr>
          <w:ilvl w:val="0"/>
          <w:numId w:val="43"/>
        </w:numPr>
        <w:spacing w:line="276" w:lineRule="auto"/>
        <w:rPr>
          <w:rFonts w:ascii="Calibri" w:hAnsi="Calibri" w:cs="Calibri"/>
          <w:sz w:val="22"/>
        </w:rPr>
      </w:pPr>
      <w:r w:rsidRPr="004D05BA">
        <w:rPr>
          <w:rFonts w:ascii="Calibri" w:hAnsi="Calibri" w:cs="Calibri"/>
          <w:sz w:val="22"/>
        </w:rPr>
        <w:t>Materiály a konstrukce budov: výzkum a vývoj materiálů a konstrukcí za běžné teploty i za požáru.</w:t>
      </w:r>
    </w:p>
    <w:p w14:paraId="6A87429D" w14:textId="77777777" w:rsidR="00A36526" w:rsidRPr="004D05BA" w:rsidRDefault="00A36526" w:rsidP="00650591">
      <w:pPr>
        <w:pStyle w:val="Odstavecseseznamem"/>
        <w:numPr>
          <w:ilvl w:val="0"/>
          <w:numId w:val="43"/>
        </w:numPr>
        <w:spacing w:line="276" w:lineRule="auto"/>
        <w:rPr>
          <w:rFonts w:ascii="Calibri" w:hAnsi="Calibri" w:cs="Calibri"/>
          <w:sz w:val="22"/>
        </w:rPr>
      </w:pPr>
      <w:r w:rsidRPr="004D05BA">
        <w:rPr>
          <w:rFonts w:ascii="Calibri" w:hAnsi="Calibri" w:cs="Calibri"/>
          <w:sz w:val="22"/>
        </w:rPr>
        <w:t>Monitorování, diagnostika a inteligentní řízení budov: senzorové sítě, vyhodnocování dlouhodobých strukturních změn ve stavebních konstrukcí a monitorování (diagnostika) budov ve vazbě na zdroje energie a technické systémy budov.</w:t>
      </w:r>
    </w:p>
    <w:p w14:paraId="621381AF" w14:textId="1B60ED50" w:rsidR="00A36526" w:rsidRDefault="00A36526" w:rsidP="00650591">
      <w:pPr>
        <w:spacing w:after="0"/>
        <w:rPr>
          <w:rFonts w:ascii="Calibri" w:hAnsi="Calibri" w:cs="Calibri"/>
        </w:rPr>
      </w:pPr>
    </w:p>
    <w:p w14:paraId="707CCF15" w14:textId="7F213B3B" w:rsidR="00FD2AC4" w:rsidRDefault="00FD2AC4" w:rsidP="00650591">
      <w:pPr>
        <w:spacing w:after="0"/>
        <w:rPr>
          <w:rFonts w:ascii="Calibri" w:hAnsi="Calibri" w:cs="Calibri"/>
        </w:rPr>
      </w:pPr>
    </w:p>
    <w:p w14:paraId="38EA4823" w14:textId="77777777" w:rsidR="00FD2AC4" w:rsidRDefault="00FD2AC4" w:rsidP="00650591">
      <w:pPr>
        <w:spacing w:after="0"/>
        <w:rPr>
          <w:rFonts w:ascii="Calibri" w:hAnsi="Calibri" w:cs="Calibri"/>
        </w:rPr>
      </w:pPr>
    </w:p>
    <w:p w14:paraId="2163120F" w14:textId="77777777" w:rsidR="00A36526" w:rsidRPr="00CD7BF9" w:rsidRDefault="00A36526" w:rsidP="00A36526">
      <w:pPr>
        <w:spacing w:after="0"/>
        <w:rPr>
          <w:rFonts w:ascii="Calibri" w:hAnsi="Calibri" w:cs="Calibri"/>
          <w:b/>
          <w:i/>
        </w:rPr>
      </w:pPr>
      <w:r w:rsidRPr="00CD7BF9">
        <w:rPr>
          <w:rFonts w:ascii="Calibri" w:hAnsi="Calibri" w:cs="Calibri"/>
          <w:b/>
          <w:i/>
        </w:rPr>
        <w:lastRenderedPageBreak/>
        <w:t>Bezemisní doprava</w:t>
      </w:r>
    </w:p>
    <w:p w14:paraId="70B88A1C" w14:textId="77777777" w:rsidR="00A36526" w:rsidRDefault="00A36526" w:rsidP="00A36526">
      <w:pPr>
        <w:spacing w:after="0"/>
        <w:rPr>
          <w:rFonts w:ascii="Calibri" w:hAnsi="Calibri" w:cs="Calibri"/>
        </w:rPr>
      </w:pPr>
      <w:r>
        <w:rPr>
          <w:rFonts w:ascii="Calibri" w:hAnsi="Calibri" w:cs="Calibri"/>
        </w:rPr>
        <w:t>Další rozvoj elektromobility</w:t>
      </w:r>
      <w:r w:rsidRPr="00AF4D1A">
        <w:rPr>
          <w:rFonts w:ascii="Calibri" w:hAnsi="Calibri" w:cs="Calibri"/>
        </w:rPr>
        <w:t xml:space="preserve"> se dá očekávat </w:t>
      </w:r>
      <w:r>
        <w:rPr>
          <w:rFonts w:ascii="Calibri" w:hAnsi="Calibri" w:cs="Calibri"/>
        </w:rPr>
        <w:t>mj. v návaznosti na rozhodnutí řady výrobců automobilů tento segment vozidel zavádět do výroby a rozvíjet</w:t>
      </w:r>
      <w:r w:rsidRPr="00AF4D1A">
        <w:rPr>
          <w:rFonts w:ascii="Calibri" w:hAnsi="Calibri" w:cs="Calibri"/>
        </w:rPr>
        <w:t xml:space="preserve">. </w:t>
      </w:r>
      <w:r>
        <w:rPr>
          <w:rFonts w:ascii="Calibri" w:hAnsi="Calibri" w:cs="Calibri"/>
        </w:rPr>
        <w:t>Akcelerátorem jsou i</w:t>
      </w:r>
      <w:r w:rsidRPr="00AF4D1A">
        <w:rPr>
          <w:rFonts w:ascii="Calibri" w:hAnsi="Calibri" w:cs="Calibri"/>
        </w:rPr>
        <w:t xml:space="preserve"> samotné firmy, které se čím dál častěji přiklánějí k zelené energii.</w:t>
      </w:r>
    </w:p>
    <w:p w14:paraId="72974B01" w14:textId="77777777" w:rsidR="00A36526" w:rsidRDefault="00A36526" w:rsidP="00A36526">
      <w:pPr>
        <w:spacing w:after="0"/>
        <w:rPr>
          <w:rFonts w:ascii="Calibri" w:hAnsi="Calibri" w:cs="Calibri"/>
        </w:rPr>
      </w:pPr>
    </w:p>
    <w:p w14:paraId="312568DD" w14:textId="77777777" w:rsidR="00A36526" w:rsidRDefault="00A36526" w:rsidP="00A36526">
      <w:pPr>
        <w:spacing w:after="0"/>
        <w:rPr>
          <w:rFonts w:ascii="Calibri" w:hAnsi="Calibri" w:cs="Calibri"/>
        </w:rPr>
      </w:pPr>
      <w:r>
        <w:rPr>
          <w:rFonts w:ascii="Calibri" w:hAnsi="Calibri" w:cs="Calibri"/>
        </w:rPr>
        <w:t>V návaznosti na rozvoj výroby elektromobilů se dá očekávat pokles cen</w:t>
      </w:r>
      <w:r w:rsidRPr="00AF4D1A">
        <w:rPr>
          <w:rFonts w:ascii="Calibri" w:hAnsi="Calibri" w:cs="Calibri"/>
        </w:rPr>
        <w:t>, čímž se stanou dostupnější nejen elektromobily, ale také vysokokapacitní úložné baterie</w:t>
      </w:r>
      <w:r>
        <w:rPr>
          <w:rFonts w:ascii="Calibri" w:hAnsi="Calibri" w:cs="Calibri"/>
        </w:rPr>
        <w:t xml:space="preserve"> pro nabíjení</w:t>
      </w:r>
      <w:r w:rsidRPr="00AF4D1A">
        <w:rPr>
          <w:rFonts w:ascii="Calibri" w:hAnsi="Calibri" w:cs="Calibri"/>
        </w:rPr>
        <w:t>,</w:t>
      </w:r>
      <w:r>
        <w:rPr>
          <w:rFonts w:ascii="Calibri" w:hAnsi="Calibri" w:cs="Calibri"/>
        </w:rPr>
        <w:t xml:space="preserve"> a to nejen vozidel ale i provozů nebo domácností</w:t>
      </w:r>
      <w:r w:rsidRPr="00AF4D1A">
        <w:rPr>
          <w:rFonts w:ascii="Calibri" w:hAnsi="Calibri" w:cs="Calibri"/>
        </w:rPr>
        <w:t>. To přin</w:t>
      </w:r>
      <w:r>
        <w:rPr>
          <w:rFonts w:ascii="Calibri" w:hAnsi="Calibri" w:cs="Calibri"/>
        </w:rPr>
        <w:t xml:space="preserve">áší </w:t>
      </w:r>
      <w:r w:rsidRPr="00AF4D1A">
        <w:rPr>
          <w:rFonts w:ascii="Calibri" w:hAnsi="Calibri" w:cs="Calibri"/>
        </w:rPr>
        <w:t>větší tendenc</w:t>
      </w:r>
      <w:r>
        <w:rPr>
          <w:rFonts w:ascii="Calibri" w:hAnsi="Calibri" w:cs="Calibri"/>
        </w:rPr>
        <w:t xml:space="preserve">e </w:t>
      </w:r>
      <w:r w:rsidRPr="00AF4D1A">
        <w:rPr>
          <w:rFonts w:ascii="Calibri" w:hAnsi="Calibri" w:cs="Calibri"/>
        </w:rPr>
        <w:t>využív</w:t>
      </w:r>
      <w:r>
        <w:rPr>
          <w:rFonts w:ascii="Calibri" w:hAnsi="Calibri" w:cs="Calibri"/>
        </w:rPr>
        <w:t xml:space="preserve">at </w:t>
      </w:r>
      <w:r w:rsidRPr="00AF4D1A">
        <w:rPr>
          <w:rFonts w:ascii="Calibri" w:hAnsi="Calibri" w:cs="Calibri"/>
        </w:rPr>
        <w:t>obnoviteln</w:t>
      </w:r>
      <w:r>
        <w:rPr>
          <w:rFonts w:ascii="Calibri" w:hAnsi="Calibri" w:cs="Calibri"/>
        </w:rPr>
        <w:t>é</w:t>
      </w:r>
      <w:r w:rsidRPr="00AF4D1A">
        <w:rPr>
          <w:rFonts w:ascii="Calibri" w:hAnsi="Calibri" w:cs="Calibri"/>
        </w:rPr>
        <w:t xml:space="preserve"> zdroj</w:t>
      </w:r>
      <w:r>
        <w:rPr>
          <w:rFonts w:ascii="Calibri" w:hAnsi="Calibri" w:cs="Calibri"/>
        </w:rPr>
        <w:t>e</w:t>
      </w:r>
      <w:r w:rsidRPr="00AF4D1A">
        <w:rPr>
          <w:rFonts w:ascii="Calibri" w:hAnsi="Calibri" w:cs="Calibri"/>
        </w:rPr>
        <w:t xml:space="preserve"> energie.</w:t>
      </w:r>
    </w:p>
    <w:p w14:paraId="0334B7BC" w14:textId="77777777" w:rsidR="00A36526" w:rsidRDefault="00A36526" w:rsidP="00A36526">
      <w:pPr>
        <w:spacing w:after="0"/>
        <w:rPr>
          <w:rFonts w:ascii="Calibri" w:hAnsi="Calibri" w:cs="Calibri"/>
        </w:rPr>
      </w:pPr>
    </w:p>
    <w:p w14:paraId="18796BC9" w14:textId="3726BBFA" w:rsidR="00A36526" w:rsidRPr="00CD7BF9" w:rsidRDefault="00A36526" w:rsidP="00A36526">
      <w:pPr>
        <w:spacing w:after="0"/>
        <w:rPr>
          <w:rFonts w:ascii="Calibri" w:hAnsi="Calibri" w:cs="Calibri"/>
          <w:b/>
          <w:i/>
        </w:rPr>
      </w:pPr>
      <w:r w:rsidRPr="00CD7BF9">
        <w:rPr>
          <w:rFonts w:ascii="Calibri" w:hAnsi="Calibri" w:cs="Calibri"/>
          <w:b/>
          <w:i/>
        </w:rPr>
        <w:t>Využití metanu v</w:t>
      </w:r>
      <w:r w:rsidR="00CD7BF9">
        <w:rPr>
          <w:rFonts w:ascii="Calibri" w:hAnsi="Calibri" w:cs="Calibri"/>
          <w:b/>
          <w:i/>
        </w:rPr>
        <w:t> </w:t>
      </w:r>
      <w:r w:rsidRPr="00CD7BF9">
        <w:rPr>
          <w:rFonts w:ascii="Calibri" w:hAnsi="Calibri" w:cs="Calibri"/>
          <w:b/>
          <w:i/>
        </w:rPr>
        <w:t>energetice</w:t>
      </w:r>
      <w:r w:rsidR="00CD7BF9">
        <w:rPr>
          <w:rFonts w:ascii="Calibri" w:hAnsi="Calibri" w:cs="Calibri"/>
          <w:b/>
          <w:i/>
        </w:rPr>
        <w:t xml:space="preserve"> a v dopravě</w:t>
      </w:r>
    </w:p>
    <w:p w14:paraId="0528B240" w14:textId="77777777" w:rsidR="00A36526" w:rsidRDefault="00A36526" w:rsidP="00A36526">
      <w:pPr>
        <w:spacing w:after="0"/>
      </w:pPr>
      <w:r>
        <w:rPr>
          <w:rFonts w:ascii="Calibri" w:hAnsi="Calibri" w:cs="Calibri"/>
        </w:rPr>
        <w:t>Sem patří zejména jeho výroba z bioplynu nebo t</w:t>
      </w:r>
      <w:r w:rsidRPr="00337DA7">
        <w:rPr>
          <w:rFonts w:ascii="Calibri" w:hAnsi="Calibri" w:cs="Calibri"/>
        </w:rPr>
        <w:t>echnologi</w:t>
      </w:r>
      <w:r>
        <w:rPr>
          <w:rFonts w:ascii="Calibri" w:hAnsi="Calibri" w:cs="Calibri"/>
        </w:rPr>
        <w:t>í Pow</w:t>
      </w:r>
      <w:r w:rsidRPr="00337DA7">
        <w:rPr>
          <w:rFonts w:ascii="Calibri" w:hAnsi="Calibri" w:cs="Calibri"/>
        </w:rPr>
        <w:t>er-to-gas</w:t>
      </w:r>
      <w:r>
        <w:rPr>
          <w:rFonts w:ascii="Calibri" w:hAnsi="Calibri" w:cs="Calibri"/>
        </w:rPr>
        <w:t>, kdy se p</w:t>
      </w:r>
      <w:r w:rsidRPr="00337DA7">
        <w:rPr>
          <w:rFonts w:ascii="Calibri" w:hAnsi="Calibri" w:cs="Calibri"/>
        </w:rPr>
        <w:t>řebytek elektřiny využívá k výrobě vodíku</w:t>
      </w:r>
      <w:r>
        <w:rPr>
          <w:rFonts w:ascii="Calibri" w:hAnsi="Calibri" w:cs="Calibri"/>
        </w:rPr>
        <w:t xml:space="preserve">. Ten </w:t>
      </w:r>
      <w:r w:rsidRPr="00337DA7">
        <w:rPr>
          <w:rFonts w:ascii="Calibri" w:hAnsi="Calibri" w:cs="Calibri"/>
        </w:rPr>
        <w:t>lze následně použít k výrobě metanu</w:t>
      </w:r>
      <w:r>
        <w:rPr>
          <w:rFonts w:ascii="Calibri" w:hAnsi="Calibri" w:cs="Calibri"/>
        </w:rPr>
        <w:t xml:space="preserve"> </w:t>
      </w:r>
      <w:r w:rsidRPr="00337DA7">
        <w:rPr>
          <w:rFonts w:ascii="Calibri" w:hAnsi="Calibri" w:cs="Calibri"/>
        </w:rPr>
        <w:t>využitelného k výrobě elektřiny, v teplárenství i k pohonu aut.</w:t>
      </w:r>
      <w:r w:rsidRPr="00337DA7">
        <w:t xml:space="preserve"> </w:t>
      </w:r>
    </w:p>
    <w:p w14:paraId="054AFC86" w14:textId="77777777" w:rsidR="00A36526" w:rsidRDefault="00A36526" w:rsidP="00A36526">
      <w:pPr>
        <w:spacing w:after="0"/>
        <w:rPr>
          <w:rFonts w:ascii="Calibri" w:hAnsi="Calibri" w:cs="Calibri"/>
        </w:rPr>
      </w:pPr>
    </w:p>
    <w:p w14:paraId="28C647CB" w14:textId="77777777" w:rsidR="00A36526" w:rsidRPr="00B3060B" w:rsidRDefault="00A36526" w:rsidP="00A36526">
      <w:pPr>
        <w:spacing w:after="0"/>
        <w:rPr>
          <w:rFonts w:ascii="Calibri" w:hAnsi="Calibri" w:cs="Calibri"/>
          <w:b/>
          <w:color w:val="0070C0"/>
        </w:rPr>
      </w:pPr>
      <w:r w:rsidRPr="00B3060B">
        <w:rPr>
          <w:rFonts w:ascii="Calibri" w:hAnsi="Calibri" w:cs="Calibri"/>
          <w:b/>
          <w:color w:val="0070C0"/>
        </w:rPr>
        <w:t>TRENDY V OBLASTI VYUŽÍVÁNÍ DRUHOTNÝCH SUROVIN</w:t>
      </w:r>
    </w:p>
    <w:p w14:paraId="59BD098A" w14:textId="77777777" w:rsidR="00A36526" w:rsidRDefault="00A36526" w:rsidP="00A36526">
      <w:pPr>
        <w:spacing w:after="0"/>
        <w:rPr>
          <w:rFonts w:ascii="Calibri" w:hAnsi="Calibri" w:cs="Calibri"/>
        </w:rPr>
      </w:pPr>
      <w:r>
        <w:rPr>
          <w:rFonts w:ascii="Calibri" w:hAnsi="Calibri" w:cs="Calibri"/>
        </w:rPr>
        <w:t>I</w:t>
      </w:r>
      <w:r w:rsidRPr="00E962EB">
        <w:rPr>
          <w:rFonts w:ascii="Calibri" w:hAnsi="Calibri" w:cs="Calibri"/>
        </w:rPr>
        <w:t>dentifik</w:t>
      </w:r>
      <w:r>
        <w:rPr>
          <w:rFonts w:ascii="Calibri" w:hAnsi="Calibri" w:cs="Calibri"/>
        </w:rPr>
        <w:t xml:space="preserve">ace konkrétních, aktuálních </w:t>
      </w:r>
      <w:r w:rsidRPr="00E962EB">
        <w:rPr>
          <w:rFonts w:ascii="Calibri" w:hAnsi="Calibri" w:cs="Calibri"/>
        </w:rPr>
        <w:t>trend</w:t>
      </w:r>
      <w:r>
        <w:rPr>
          <w:rFonts w:ascii="Calibri" w:hAnsi="Calibri" w:cs="Calibri"/>
        </w:rPr>
        <w:t>ů</w:t>
      </w:r>
      <w:r w:rsidRPr="00E962EB">
        <w:rPr>
          <w:rFonts w:ascii="Calibri" w:hAnsi="Calibri" w:cs="Calibri"/>
        </w:rPr>
        <w:t xml:space="preserve"> v zavádění inovativních nízkouhlíkových technologií při využívání druhotných surovin</w:t>
      </w:r>
      <w:r>
        <w:rPr>
          <w:rFonts w:ascii="Calibri" w:hAnsi="Calibri" w:cs="Calibri"/>
        </w:rPr>
        <w:t xml:space="preserve"> je limitována do značné míry šířkou a různorodostí této tematické oblasti a také (ne)dostupností dat.</w:t>
      </w:r>
      <w:r w:rsidRPr="00E962EB">
        <w:rPr>
          <w:rFonts w:ascii="Calibri" w:hAnsi="Calibri" w:cs="Calibri"/>
        </w:rPr>
        <w:t xml:space="preserve"> </w:t>
      </w:r>
    </w:p>
    <w:p w14:paraId="4423E852" w14:textId="77777777" w:rsidR="00A36526" w:rsidRDefault="00A36526" w:rsidP="00A36526">
      <w:pPr>
        <w:spacing w:after="0"/>
        <w:rPr>
          <w:rFonts w:ascii="Calibri" w:hAnsi="Calibri" w:cs="Calibri"/>
        </w:rPr>
      </w:pPr>
    </w:p>
    <w:p w14:paraId="30946EED" w14:textId="77777777" w:rsidR="00A36526" w:rsidRDefault="00A36526" w:rsidP="00A36526">
      <w:pPr>
        <w:spacing w:after="0"/>
        <w:rPr>
          <w:rFonts w:ascii="Calibri" w:hAnsi="Calibri" w:cs="Calibri"/>
        </w:rPr>
      </w:pPr>
      <w:r w:rsidRPr="0086627B">
        <w:rPr>
          <w:rFonts w:ascii="Calibri" w:hAnsi="Calibri" w:cs="Calibri"/>
        </w:rPr>
        <w:t>Aktuální trendy zpracování odpadů popisuje analytický podklad pro aktualizaci PDS ČR</w:t>
      </w:r>
      <w:r>
        <w:rPr>
          <w:rStyle w:val="Znakapoznpodarou"/>
          <w:rFonts w:ascii="Calibri" w:hAnsi="Calibri" w:cs="Calibri"/>
        </w:rPr>
        <w:footnoteReference w:id="25"/>
      </w:r>
      <w:r w:rsidRPr="0086627B">
        <w:rPr>
          <w:rFonts w:ascii="Calibri" w:hAnsi="Calibri" w:cs="Calibri"/>
        </w:rPr>
        <w:t xml:space="preserve"> a člení je podle hlavních kategorií odpadů</w:t>
      </w:r>
      <w:r>
        <w:rPr>
          <w:rFonts w:ascii="Calibri" w:hAnsi="Calibri" w:cs="Calibri"/>
        </w:rPr>
        <w:t>. Základní přehled přináší tabulka:</w:t>
      </w:r>
    </w:p>
    <w:p w14:paraId="49704B78" w14:textId="77777777" w:rsidR="00A36526" w:rsidRDefault="00A36526" w:rsidP="00A36526">
      <w:pPr>
        <w:spacing w:after="0"/>
        <w:rPr>
          <w:rFonts w:ascii="Calibri" w:hAnsi="Calibri" w:cs="Calibri"/>
        </w:rPr>
      </w:pPr>
    </w:p>
    <w:p w14:paraId="17240A64" w14:textId="3EEF5801" w:rsidR="0043022E" w:rsidRDefault="0043022E" w:rsidP="0043022E">
      <w:pPr>
        <w:pStyle w:val="Titulek"/>
      </w:pPr>
      <w:bookmarkStart w:id="167" w:name="_Toc10730032"/>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13</w:t>
      </w:r>
      <w:r w:rsidR="00BD754F">
        <w:rPr>
          <w:noProof/>
        </w:rPr>
        <w:fldChar w:fldCharType="end"/>
      </w:r>
      <w:r>
        <w:t>: Trendy recyklace a využití odpadů (dle hlavních kategorií odpadů)</w:t>
      </w:r>
      <w:bookmarkEnd w:id="167"/>
    </w:p>
    <w:tbl>
      <w:tblPr>
        <w:tblStyle w:val="Mkatabulky"/>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7513"/>
      </w:tblGrid>
      <w:tr w:rsidR="00A36526" w:rsidRPr="00E256AE" w14:paraId="0112F861" w14:textId="77777777" w:rsidTr="00AF06A0">
        <w:trPr>
          <w:trHeight w:val="485"/>
          <w:tblHeader/>
        </w:trPr>
        <w:tc>
          <w:tcPr>
            <w:tcW w:w="1838" w:type="dxa"/>
            <w:shd w:val="clear" w:color="auto" w:fill="002060"/>
          </w:tcPr>
          <w:p w14:paraId="740C1E78" w14:textId="77777777" w:rsidR="00A36526" w:rsidRPr="00E256AE" w:rsidRDefault="00A36526" w:rsidP="00AF06A0">
            <w:pPr>
              <w:rPr>
                <w:rFonts w:ascii="Calibri" w:hAnsi="Calibri" w:cs="Calibri"/>
                <w:b/>
                <w:sz w:val="20"/>
                <w:szCs w:val="20"/>
              </w:rPr>
            </w:pPr>
            <w:r w:rsidRPr="00E256AE">
              <w:rPr>
                <w:rFonts w:ascii="Calibri" w:hAnsi="Calibri" w:cs="Calibri"/>
                <w:b/>
                <w:sz w:val="20"/>
                <w:szCs w:val="20"/>
              </w:rPr>
              <w:t>Kategorie odpadu</w:t>
            </w:r>
          </w:p>
        </w:tc>
        <w:tc>
          <w:tcPr>
            <w:tcW w:w="7513" w:type="dxa"/>
            <w:shd w:val="clear" w:color="auto" w:fill="002060"/>
          </w:tcPr>
          <w:p w14:paraId="0FF9E6AB" w14:textId="77777777" w:rsidR="00A36526" w:rsidRPr="00E256AE" w:rsidRDefault="00A36526" w:rsidP="00AF06A0">
            <w:pPr>
              <w:rPr>
                <w:rFonts w:ascii="Calibri" w:hAnsi="Calibri" w:cs="Calibri"/>
                <w:b/>
                <w:sz w:val="20"/>
                <w:szCs w:val="20"/>
              </w:rPr>
            </w:pPr>
            <w:r w:rsidRPr="00E256AE">
              <w:rPr>
                <w:rFonts w:ascii="Calibri" w:hAnsi="Calibri" w:cs="Calibri"/>
                <w:b/>
                <w:sz w:val="20"/>
                <w:szCs w:val="20"/>
              </w:rPr>
              <w:t>Způsoby recyklace a využití</w:t>
            </w:r>
          </w:p>
        </w:tc>
      </w:tr>
      <w:tr w:rsidR="00A36526" w:rsidRPr="00981EDB" w14:paraId="2A58F60A" w14:textId="77777777" w:rsidTr="00AF06A0">
        <w:tc>
          <w:tcPr>
            <w:tcW w:w="1838" w:type="dxa"/>
          </w:tcPr>
          <w:p w14:paraId="4FCF54F0" w14:textId="77777777" w:rsidR="00A36526" w:rsidRPr="00981EDB" w:rsidRDefault="00A36526" w:rsidP="00AF06A0">
            <w:pPr>
              <w:rPr>
                <w:rFonts w:ascii="Calibri" w:hAnsi="Calibri" w:cs="Calibri"/>
                <w:sz w:val="20"/>
                <w:szCs w:val="20"/>
              </w:rPr>
            </w:pPr>
            <w:r>
              <w:rPr>
                <w:rFonts w:ascii="Calibri" w:hAnsi="Calibri" w:cs="Calibri"/>
                <w:sz w:val="20"/>
                <w:szCs w:val="20"/>
              </w:rPr>
              <w:t>Papír</w:t>
            </w:r>
          </w:p>
        </w:tc>
        <w:tc>
          <w:tcPr>
            <w:tcW w:w="7513" w:type="dxa"/>
          </w:tcPr>
          <w:p w14:paraId="5FFA61C4"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Výroba izolačních materiálů</w:t>
            </w:r>
          </w:p>
          <w:p w14:paraId="238574B2"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Kompostování</w:t>
            </w:r>
          </w:p>
          <w:p w14:paraId="51DA97FF"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Výroba alternativních paliv</w:t>
            </w:r>
          </w:p>
          <w:p w14:paraId="4A05E87A"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Spalování s využitím energie</w:t>
            </w:r>
          </w:p>
          <w:p w14:paraId="5FB47E2A"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Jiné (např. výroba stavebních desek)</w:t>
            </w:r>
          </w:p>
        </w:tc>
      </w:tr>
      <w:tr w:rsidR="00A36526" w:rsidRPr="00981EDB" w14:paraId="4F5BC41C" w14:textId="77777777" w:rsidTr="00AF06A0">
        <w:tc>
          <w:tcPr>
            <w:tcW w:w="1838" w:type="dxa"/>
          </w:tcPr>
          <w:p w14:paraId="31E39CE0" w14:textId="77777777" w:rsidR="00A36526" w:rsidRPr="00981EDB" w:rsidRDefault="00A36526" w:rsidP="00AF06A0">
            <w:pPr>
              <w:rPr>
                <w:rFonts w:ascii="Calibri" w:hAnsi="Calibri" w:cs="Calibri"/>
                <w:sz w:val="20"/>
                <w:szCs w:val="20"/>
              </w:rPr>
            </w:pPr>
            <w:r>
              <w:rPr>
                <w:rFonts w:ascii="Calibri" w:hAnsi="Calibri" w:cs="Calibri"/>
                <w:sz w:val="20"/>
                <w:szCs w:val="20"/>
              </w:rPr>
              <w:t>Sklo</w:t>
            </w:r>
          </w:p>
        </w:tc>
        <w:tc>
          <w:tcPr>
            <w:tcW w:w="7513" w:type="dxa"/>
          </w:tcPr>
          <w:p w14:paraId="0405FC8B"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Opětovná výroba obalového skla, kdy odpadní sklo se používá jako náhrada primární suroviny. </w:t>
            </w:r>
          </w:p>
          <w:p w14:paraId="74B618B0"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Výroba tepelných izolací v podobě skelné vaty, přičemž uvedený materiál je opakovaně recyklovatelný, minimálně ve fázi výroby. </w:t>
            </w:r>
          </w:p>
          <w:p w14:paraId="08DE20FC"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Výroba pěnového skla – foamglass, kdy vzniká tepelně izolační, porézní materiál. </w:t>
            </w:r>
          </w:p>
          <w:p w14:paraId="4CA41F90" w14:textId="77777777" w:rsidR="00A36526" w:rsidRPr="00E256AE" w:rsidRDefault="00A36526" w:rsidP="00A36526">
            <w:pPr>
              <w:numPr>
                <w:ilvl w:val="0"/>
                <w:numId w:val="44"/>
              </w:numPr>
              <w:rPr>
                <w:rFonts w:ascii="Calibri" w:hAnsi="Calibri" w:cs="Calibri"/>
                <w:sz w:val="20"/>
                <w:szCs w:val="20"/>
              </w:rPr>
            </w:pPr>
            <w:r w:rsidRPr="00981EDB">
              <w:rPr>
                <w:rFonts w:ascii="Calibri" w:hAnsi="Calibri" w:cs="Calibri"/>
                <w:sz w:val="20"/>
                <w:szCs w:val="20"/>
              </w:rPr>
              <w:t>Využití střepů při výrobě plochého skla.</w:t>
            </w:r>
          </w:p>
        </w:tc>
      </w:tr>
      <w:tr w:rsidR="00A36526" w:rsidRPr="00981EDB" w14:paraId="3BCB78E5" w14:textId="77777777" w:rsidTr="00AF06A0">
        <w:tc>
          <w:tcPr>
            <w:tcW w:w="1838" w:type="dxa"/>
          </w:tcPr>
          <w:p w14:paraId="0E7F3620" w14:textId="77777777" w:rsidR="00A36526" w:rsidRPr="00981EDB" w:rsidRDefault="00A36526" w:rsidP="00AF06A0">
            <w:pPr>
              <w:rPr>
                <w:rFonts w:ascii="Calibri" w:hAnsi="Calibri" w:cs="Calibri"/>
                <w:sz w:val="20"/>
                <w:szCs w:val="20"/>
              </w:rPr>
            </w:pPr>
            <w:r>
              <w:rPr>
                <w:rFonts w:ascii="Calibri" w:hAnsi="Calibri" w:cs="Calibri"/>
                <w:sz w:val="20"/>
                <w:szCs w:val="20"/>
              </w:rPr>
              <w:t>Plasty</w:t>
            </w:r>
          </w:p>
        </w:tc>
        <w:tc>
          <w:tcPr>
            <w:tcW w:w="7513" w:type="dxa"/>
          </w:tcPr>
          <w:p w14:paraId="414C15D5"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Upravené plasty se využívají zejména ve výrobě: primárních plastů, nových plastových výrobků, fólií, preforem nápojových obalů, silonových a umělých vláken, výrobků ze směsných plastů a ve stavebním průmyslu.</w:t>
            </w:r>
          </w:p>
          <w:p w14:paraId="1EEE6CAA" w14:textId="77777777" w:rsidR="00A36526" w:rsidRPr="00981EDB" w:rsidRDefault="00A36526" w:rsidP="00A36526">
            <w:pPr>
              <w:numPr>
                <w:ilvl w:val="0"/>
                <w:numId w:val="44"/>
              </w:numPr>
              <w:rPr>
                <w:rFonts w:ascii="Calibri" w:hAnsi="Calibri" w:cs="Calibri"/>
                <w:sz w:val="20"/>
                <w:szCs w:val="20"/>
              </w:rPr>
            </w:pPr>
            <w:r>
              <w:rPr>
                <w:rFonts w:ascii="Calibri" w:hAnsi="Calibri" w:cs="Calibri"/>
                <w:sz w:val="20"/>
                <w:szCs w:val="20"/>
              </w:rPr>
              <w:t>Te</w:t>
            </w:r>
            <w:r w:rsidRPr="00981EDB">
              <w:rPr>
                <w:rFonts w:ascii="Calibri" w:hAnsi="Calibri" w:cs="Calibri"/>
                <w:sz w:val="20"/>
                <w:szCs w:val="20"/>
              </w:rPr>
              <w:t>chnologie chemické recyklace spočívající ve štěpení makromolekul, např. depolymerací, katalytickým krakováním nebo plazmovým zplyňováním</w:t>
            </w:r>
          </w:p>
        </w:tc>
      </w:tr>
      <w:tr w:rsidR="00A36526" w:rsidRPr="00981EDB" w14:paraId="6B319C81" w14:textId="77777777" w:rsidTr="00AF06A0">
        <w:tc>
          <w:tcPr>
            <w:tcW w:w="1838" w:type="dxa"/>
          </w:tcPr>
          <w:p w14:paraId="07E9B971" w14:textId="77777777" w:rsidR="00A36526" w:rsidRPr="00981EDB" w:rsidRDefault="00A36526" w:rsidP="00AF06A0">
            <w:pPr>
              <w:rPr>
                <w:rFonts w:ascii="Calibri" w:hAnsi="Calibri" w:cs="Calibri"/>
                <w:sz w:val="20"/>
                <w:szCs w:val="20"/>
              </w:rPr>
            </w:pPr>
            <w:r>
              <w:rPr>
                <w:rFonts w:ascii="Calibri" w:hAnsi="Calibri" w:cs="Calibri"/>
                <w:sz w:val="20"/>
                <w:szCs w:val="20"/>
              </w:rPr>
              <w:t>Kovy</w:t>
            </w:r>
          </w:p>
        </w:tc>
        <w:tc>
          <w:tcPr>
            <w:tcW w:w="7513" w:type="dxa"/>
          </w:tcPr>
          <w:p w14:paraId="2C7BEC22" w14:textId="77777777" w:rsidR="00A36526" w:rsidRPr="00981EDB" w:rsidRDefault="00A36526" w:rsidP="00AF06A0">
            <w:pPr>
              <w:rPr>
                <w:rFonts w:ascii="Calibri" w:hAnsi="Calibri" w:cs="Calibri"/>
                <w:sz w:val="20"/>
                <w:szCs w:val="20"/>
              </w:rPr>
            </w:pPr>
            <w:r>
              <w:rPr>
                <w:rFonts w:ascii="Calibri" w:hAnsi="Calibri" w:cs="Calibri"/>
                <w:sz w:val="20"/>
                <w:szCs w:val="20"/>
              </w:rPr>
              <w:t xml:space="preserve">Technologie zpracování </w:t>
            </w:r>
            <w:r w:rsidRPr="00981EDB">
              <w:rPr>
                <w:rFonts w:ascii="Calibri" w:hAnsi="Calibri" w:cs="Calibri"/>
                <w:sz w:val="20"/>
                <w:szCs w:val="20"/>
              </w:rPr>
              <w:t>kovového odpadu (šrotu)</w:t>
            </w:r>
            <w:r>
              <w:rPr>
                <w:rFonts w:ascii="Calibri" w:hAnsi="Calibri" w:cs="Calibri"/>
                <w:sz w:val="20"/>
                <w:szCs w:val="20"/>
              </w:rPr>
              <w:t>:</w:t>
            </w:r>
          </w:p>
          <w:p w14:paraId="291EA427"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lisování,</w:t>
            </w:r>
          </w:p>
          <w:p w14:paraId="178C30CE"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stříhání,</w:t>
            </w:r>
          </w:p>
          <w:p w14:paraId="783910FF"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drcení a mletí,</w:t>
            </w:r>
          </w:p>
          <w:p w14:paraId="404DEF63"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lastRenderedPageBreak/>
              <w:t>lámání,</w:t>
            </w:r>
          </w:p>
          <w:p w14:paraId="08E58069"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briketování,</w:t>
            </w:r>
          </w:p>
          <w:p w14:paraId="677BEEA5"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granulování.</w:t>
            </w:r>
          </w:p>
          <w:p w14:paraId="187F1A1E" w14:textId="77777777" w:rsidR="00A36526" w:rsidRDefault="00A36526" w:rsidP="00AF06A0">
            <w:pPr>
              <w:rPr>
                <w:rFonts w:ascii="Calibri" w:hAnsi="Calibri" w:cs="Calibri"/>
                <w:sz w:val="20"/>
                <w:szCs w:val="20"/>
              </w:rPr>
            </w:pPr>
            <w:r>
              <w:rPr>
                <w:rFonts w:ascii="Calibri" w:hAnsi="Calibri" w:cs="Calibri"/>
                <w:sz w:val="20"/>
                <w:szCs w:val="20"/>
              </w:rPr>
              <w:t>N</w:t>
            </w:r>
            <w:r w:rsidRPr="00981EDB">
              <w:rPr>
                <w:rFonts w:ascii="Calibri" w:hAnsi="Calibri" w:cs="Calibri"/>
                <w:sz w:val="20"/>
                <w:szCs w:val="20"/>
              </w:rPr>
              <w:t>eželezn</w:t>
            </w:r>
            <w:r>
              <w:rPr>
                <w:rFonts w:ascii="Calibri" w:hAnsi="Calibri" w:cs="Calibri"/>
                <w:sz w:val="20"/>
                <w:szCs w:val="20"/>
              </w:rPr>
              <w:t xml:space="preserve">é kovy: </w:t>
            </w:r>
            <w:r w:rsidRPr="00981EDB">
              <w:rPr>
                <w:rFonts w:ascii="Calibri" w:hAnsi="Calibri" w:cs="Calibri"/>
                <w:sz w:val="20"/>
                <w:szCs w:val="20"/>
              </w:rPr>
              <w:t>oddělení jednotlivých materiálových frakcí</w:t>
            </w:r>
            <w:r>
              <w:rPr>
                <w:rFonts w:ascii="Calibri" w:hAnsi="Calibri" w:cs="Calibri"/>
                <w:sz w:val="20"/>
                <w:szCs w:val="20"/>
              </w:rPr>
              <w:t>:</w:t>
            </w:r>
          </w:p>
          <w:p w14:paraId="5F19B322" w14:textId="77777777" w:rsidR="00A36526"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drcením, </w:t>
            </w:r>
          </w:p>
          <w:p w14:paraId="77FA0F11" w14:textId="77777777" w:rsidR="00A36526"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demontáží, </w:t>
            </w:r>
          </w:p>
          <w:p w14:paraId="4F20F8B5" w14:textId="77777777" w:rsidR="00A36526"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homogenizací a </w:t>
            </w:r>
          </w:p>
          <w:p w14:paraId="3EF22992"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zkusověním (briketizace, peletizace) využitelných složek.</w:t>
            </w:r>
          </w:p>
        </w:tc>
      </w:tr>
      <w:tr w:rsidR="00A36526" w:rsidRPr="00981EDB" w14:paraId="20F6C1CC" w14:textId="77777777" w:rsidTr="00AF06A0">
        <w:tc>
          <w:tcPr>
            <w:tcW w:w="1838" w:type="dxa"/>
          </w:tcPr>
          <w:p w14:paraId="694DF23A" w14:textId="77777777" w:rsidR="00A36526" w:rsidRPr="00981EDB" w:rsidRDefault="00A36526" w:rsidP="00AF06A0">
            <w:pPr>
              <w:rPr>
                <w:rFonts w:ascii="Calibri" w:hAnsi="Calibri" w:cs="Calibri"/>
                <w:sz w:val="20"/>
                <w:szCs w:val="20"/>
              </w:rPr>
            </w:pPr>
            <w:r>
              <w:rPr>
                <w:rFonts w:ascii="Calibri" w:hAnsi="Calibri" w:cs="Calibri"/>
                <w:sz w:val="20"/>
                <w:szCs w:val="20"/>
              </w:rPr>
              <w:lastRenderedPageBreak/>
              <w:t>Stavební a demoliční hmoty</w:t>
            </w:r>
          </w:p>
        </w:tc>
        <w:tc>
          <w:tcPr>
            <w:tcW w:w="7513" w:type="dxa"/>
          </w:tcPr>
          <w:p w14:paraId="6E529487"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stavební prvky a stavební směsi použitelné k výrobě konstrukce, </w:t>
            </w:r>
          </w:p>
          <w:p w14:paraId="7118E9BD" w14:textId="77777777" w:rsidR="00A36526" w:rsidRPr="00981EDB" w:rsidRDefault="00A36526" w:rsidP="00A36526">
            <w:pPr>
              <w:numPr>
                <w:ilvl w:val="0"/>
                <w:numId w:val="44"/>
              </w:numPr>
              <w:rPr>
                <w:rFonts w:ascii="Calibri" w:hAnsi="Calibri" w:cs="Calibri"/>
                <w:sz w:val="20"/>
                <w:szCs w:val="20"/>
              </w:rPr>
            </w:pPr>
            <w:r w:rsidRPr="00981EDB">
              <w:rPr>
                <w:rFonts w:ascii="Calibri" w:hAnsi="Calibri" w:cs="Calibri"/>
                <w:sz w:val="20"/>
                <w:szCs w:val="20"/>
              </w:rPr>
              <w:t>zemní konstrukce, tepeln</w:t>
            </w:r>
            <w:r>
              <w:rPr>
                <w:rFonts w:ascii="Calibri" w:hAnsi="Calibri" w:cs="Calibri"/>
                <w:sz w:val="20"/>
                <w:szCs w:val="20"/>
              </w:rPr>
              <w:t>é</w:t>
            </w:r>
            <w:r w:rsidRPr="00981EDB">
              <w:rPr>
                <w:rFonts w:ascii="Calibri" w:hAnsi="Calibri" w:cs="Calibri"/>
                <w:sz w:val="20"/>
                <w:szCs w:val="20"/>
              </w:rPr>
              <w:t xml:space="preserve"> izola</w:t>
            </w:r>
            <w:r>
              <w:rPr>
                <w:rFonts w:ascii="Calibri" w:hAnsi="Calibri" w:cs="Calibri"/>
                <w:sz w:val="20"/>
                <w:szCs w:val="20"/>
              </w:rPr>
              <w:t>ce, filtrace</w:t>
            </w:r>
            <w:r w:rsidRPr="00981EDB">
              <w:rPr>
                <w:rFonts w:ascii="Calibri" w:hAnsi="Calibri" w:cs="Calibri"/>
                <w:sz w:val="20"/>
                <w:szCs w:val="20"/>
              </w:rPr>
              <w:t xml:space="preserve">, </w:t>
            </w:r>
          </w:p>
          <w:p w14:paraId="63CBEAAC" w14:textId="77777777" w:rsidR="00A36526" w:rsidRPr="00E256AE" w:rsidRDefault="00A36526" w:rsidP="00A36526">
            <w:pPr>
              <w:numPr>
                <w:ilvl w:val="0"/>
                <w:numId w:val="44"/>
              </w:numPr>
              <w:rPr>
                <w:rFonts w:ascii="Calibri" w:hAnsi="Calibri" w:cs="Calibri"/>
                <w:sz w:val="20"/>
                <w:szCs w:val="20"/>
              </w:rPr>
            </w:pPr>
            <w:r w:rsidRPr="00981EDB">
              <w:rPr>
                <w:rFonts w:ascii="Calibri" w:hAnsi="Calibri" w:cs="Calibri"/>
                <w:sz w:val="20"/>
                <w:szCs w:val="20"/>
              </w:rPr>
              <w:t xml:space="preserve">zásypy liniových staveb, vytváření nenosných zemních těles apod. </w:t>
            </w:r>
          </w:p>
        </w:tc>
      </w:tr>
      <w:tr w:rsidR="00A36526" w:rsidRPr="00981EDB" w14:paraId="447ACEEB" w14:textId="77777777" w:rsidTr="00AF06A0">
        <w:tc>
          <w:tcPr>
            <w:tcW w:w="1838" w:type="dxa"/>
          </w:tcPr>
          <w:p w14:paraId="35756582" w14:textId="77777777" w:rsidR="00A36526" w:rsidRPr="00981EDB" w:rsidRDefault="00A36526" w:rsidP="00AF06A0">
            <w:pPr>
              <w:rPr>
                <w:rFonts w:ascii="Calibri" w:hAnsi="Calibri" w:cs="Calibri"/>
                <w:sz w:val="20"/>
                <w:szCs w:val="20"/>
              </w:rPr>
            </w:pPr>
            <w:r>
              <w:rPr>
                <w:rFonts w:ascii="Calibri" w:hAnsi="Calibri" w:cs="Calibri"/>
                <w:sz w:val="20"/>
                <w:szCs w:val="20"/>
              </w:rPr>
              <w:t>Vedlejší energetické produkty</w:t>
            </w:r>
          </w:p>
        </w:tc>
        <w:tc>
          <w:tcPr>
            <w:tcW w:w="7513" w:type="dxa"/>
          </w:tcPr>
          <w:p w14:paraId="73C4011E" w14:textId="77777777" w:rsidR="00A36526" w:rsidRDefault="00A36526" w:rsidP="00AF06A0">
            <w:pPr>
              <w:rPr>
                <w:rFonts w:ascii="Calibri" w:hAnsi="Calibri" w:cs="Calibri"/>
                <w:sz w:val="20"/>
                <w:szCs w:val="20"/>
              </w:rPr>
            </w:pPr>
            <w:r>
              <w:rPr>
                <w:rFonts w:ascii="Calibri" w:hAnsi="Calibri" w:cs="Calibri"/>
                <w:sz w:val="20"/>
                <w:szCs w:val="20"/>
              </w:rPr>
              <w:t>Popílky:</w:t>
            </w:r>
          </w:p>
          <w:p w14:paraId="416BD462" w14:textId="77777777" w:rsidR="00A36526" w:rsidRDefault="00A36526" w:rsidP="00A36526">
            <w:pPr>
              <w:numPr>
                <w:ilvl w:val="0"/>
                <w:numId w:val="44"/>
              </w:numPr>
              <w:rPr>
                <w:rFonts w:ascii="Calibri" w:hAnsi="Calibri" w:cs="Calibri"/>
                <w:sz w:val="20"/>
                <w:szCs w:val="20"/>
              </w:rPr>
            </w:pPr>
            <w:r>
              <w:rPr>
                <w:rFonts w:ascii="Calibri" w:hAnsi="Calibri" w:cs="Calibri"/>
                <w:sz w:val="20"/>
                <w:szCs w:val="20"/>
              </w:rPr>
              <w:t>betonové směsi</w:t>
            </w:r>
          </w:p>
          <w:p w14:paraId="60BF9070" w14:textId="77777777" w:rsidR="00A36526" w:rsidRDefault="00A36526" w:rsidP="00AF06A0">
            <w:pPr>
              <w:rPr>
                <w:rFonts w:ascii="Calibri" w:hAnsi="Calibri" w:cs="Calibri"/>
                <w:sz w:val="20"/>
                <w:szCs w:val="20"/>
              </w:rPr>
            </w:pPr>
            <w:r>
              <w:rPr>
                <w:rFonts w:ascii="Calibri" w:hAnsi="Calibri" w:cs="Calibri"/>
                <w:sz w:val="20"/>
                <w:szCs w:val="20"/>
              </w:rPr>
              <w:t>Energosádrovec:</w:t>
            </w:r>
          </w:p>
          <w:p w14:paraId="3014F48D" w14:textId="77777777" w:rsidR="00A36526" w:rsidRDefault="00A36526" w:rsidP="00A36526">
            <w:pPr>
              <w:numPr>
                <w:ilvl w:val="0"/>
                <w:numId w:val="44"/>
              </w:numPr>
              <w:rPr>
                <w:rFonts w:ascii="Calibri" w:hAnsi="Calibri" w:cs="Calibri"/>
                <w:sz w:val="20"/>
                <w:szCs w:val="20"/>
              </w:rPr>
            </w:pPr>
            <w:r w:rsidRPr="009F5B03">
              <w:rPr>
                <w:rFonts w:ascii="Calibri" w:hAnsi="Calibri" w:cs="Calibri"/>
                <w:sz w:val="20"/>
                <w:szCs w:val="20"/>
              </w:rPr>
              <w:t>výrobě sádry a cementu</w:t>
            </w:r>
            <w:r>
              <w:rPr>
                <w:rFonts w:ascii="Calibri" w:hAnsi="Calibri" w:cs="Calibri"/>
                <w:sz w:val="20"/>
                <w:szCs w:val="20"/>
              </w:rPr>
              <w:t>,</w:t>
            </w:r>
          </w:p>
          <w:p w14:paraId="2EF69339" w14:textId="77777777" w:rsidR="00A36526" w:rsidRPr="00981EDB" w:rsidRDefault="00A36526" w:rsidP="00A36526">
            <w:pPr>
              <w:numPr>
                <w:ilvl w:val="0"/>
                <w:numId w:val="44"/>
              </w:numPr>
              <w:rPr>
                <w:rFonts w:ascii="Calibri" w:hAnsi="Calibri" w:cs="Calibri"/>
                <w:sz w:val="20"/>
                <w:szCs w:val="20"/>
              </w:rPr>
            </w:pPr>
            <w:r w:rsidRPr="009F5B03">
              <w:rPr>
                <w:rFonts w:ascii="Calibri" w:hAnsi="Calibri" w:cs="Calibri"/>
                <w:sz w:val="20"/>
                <w:szCs w:val="20"/>
              </w:rPr>
              <w:t>výrob</w:t>
            </w:r>
            <w:r>
              <w:rPr>
                <w:rFonts w:ascii="Calibri" w:hAnsi="Calibri" w:cs="Calibri"/>
                <w:sz w:val="20"/>
                <w:szCs w:val="20"/>
              </w:rPr>
              <w:t>a</w:t>
            </w:r>
            <w:r w:rsidRPr="009F5B03">
              <w:rPr>
                <w:rFonts w:ascii="Calibri" w:hAnsi="Calibri" w:cs="Calibri"/>
                <w:sz w:val="20"/>
                <w:szCs w:val="20"/>
              </w:rPr>
              <w:t xml:space="preserve"> sádrokartonových a sádrovláknitých desek, samonivelačních podlahových směsí a omítek</w:t>
            </w:r>
          </w:p>
        </w:tc>
      </w:tr>
      <w:tr w:rsidR="00A36526" w:rsidRPr="00981EDB" w14:paraId="4097594D" w14:textId="77777777" w:rsidTr="00AF06A0">
        <w:tc>
          <w:tcPr>
            <w:tcW w:w="1838" w:type="dxa"/>
          </w:tcPr>
          <w:p w14:paraId="3660E5B6" w14:textId="77777777" w:rsidR="00A36526" w:rsidRPr="00981EDB" w:rsidRDefault="00A36526" w:rsidP="00AF06A0">
            <w:pPr>
              <w:rPr>
                <w:rFonts w:ascii="Calibri" w:hAnsi="Calibri" w:cs="Calibri"/>
                <w:sz w:val="20"/>
                <w:szCs w:val="20"/>
              </w:rPr>
            </w:pPr>
            <w:r>
              <w:rPr>
                <w:rFonts w:ascii="Calibri" w:hAnsi="Calibri" w:cs="Calibri"/>
                <w:sz w:val="20"/>
                <w:szCs w:val="20"/>
              </w:rPr>
              <w:t>Odpadní elektrická a elektronická zařízení</w:t>
            </w:r>
          </w:p>
        </w:tc>
        <w:tc>
          <w:tcPr>
            <w:tcW w:w="7513" w:type="dxa"/>
          </w:tcPr>
          <w:p w14:paraId="3E5956E0" w14:textId="77777777" w:rsidR="00A36526" w:rsidRDefault="00A36526" w:rsidP="00A36526">
            <w:pPr>
              <w:numPr>
                <w:ilvl w:val="0"/>
                <w:numId w:val="44"/>
              </w:numPr>
              <w:rPr>
                <w:rFonts w:ascii="Calibri" w:hAnsi="Calibri" w:cs="Calibri"/>
                <w:sz w:val="20"/>
                <w:szCs w:val="20"/>
              </w:rPr>
            </w:pPr>
            <w:r w:rsidRPr="00FC7ECD">
              <w:rPr>
                <w:rFonts w:ascii="Calibri" w:hAnsi="Calibri" w:cs="Calibri"/>
                <w:sz w:val="20"/>
                <w:szCs w:val="20"/>
              </w:rPr>
              <w:t xml:space="preserve">drcení, </w:t>
            </w:r>
          </w:p>
          <w:p w14:paraId="0466AE77" w14:textId="77777777" w:rsidR="00A36526" w:rsidRDefault="00A36526" w:rsidP="00A36526">
            <w:pPr>
              <w:numPr>
                <w:ilvl w:val="0"/>
                <w:numId w:val="44"/>
              </w:numPr>
              <w:rPr>
                <w:rFonts w:ascii="Calibri" w:hAnsi="Calibri" w:cs="Calibri"/>
                <w:sz w:val="20"/>
                <w:szCs w:val="20"/>
              </w:rPr>
            </w:pPr>
            <w:r w:rsidRPr="00FC7ECD">
              <w:rPr>
                <w:rFonts w:ascii="Calibri" w:hAnsi="Calibri" w:cs="Calibri"/>
                <w:sz w:val="20"/>
                <w:szCs w:val="20"/>
              </w:rPr>
              <w:t xml:space="preserve">magnetická separace, </w:t>
            </w:r>
          </w:p>
          <w:p w14:paraId="723FAB99" w14:textId="77777777" w:rsidR="00A36526" w:rsidRDefault="00A36526" w:rsidP="00A36526">
            <w:pPr>
              <w:numPr>
                <w:ilvl w:val="0"/>
                <w:numId w:val="44"/>
              </w:numPr>
              <w:rPr>
                <w:rFonts w:ascii="Calibri" w:hAnsi="Calibri" w:cs="Calibri"/>
                <w:sz w:val="20"/>
                <w:szCs w:val="20"/>
              </w:rPr>
            </w:pPr>
            <w:r w:rsidRPr="00FC7ECD">
              <w:rPr>
                <w:rFonts w:ascii="Calibri" w:hAnsi="Calibri" w:cs="Calibri"/>
                <w:sz w:val="20"/>
                <w:szCs w:val="20"/>
              </w:rPr>
              <w:t xml:space="preserve">vibrační separace, </w:t>
            </w:r>
          </w:p>
          <w:p w14:paraId="0FA6F868" w14:textId="77777777" w:rsidR="00A36526" w:rsidRDefault="00A36526" w:rsidP="00A36526">
            <w:pPr>
              <w:numPr>
                <w:ilvl w:val="0"/>
                <w:numId w:val="44"/>
              </w:numPr>
              <w:rPr>
                <w:rFonts w:ascii="Calibri" w:hAnsi="Calibri" w:cs="Calibri"/>
                <w:sz w:val="20"/>
                <w:szCs w:val="20"/>
              </w:rPr>
            </w:pPr>
            <w:r w:rsidRPr="00FC7ECD">
              <w:rPr>
                <w:rFonts w:ascii="Calibri" w:hAnsi="Calibri" w:cs="Calibri"/>
                <w:sz w:val="20"/>
                <w:szCs w:val="20"/>
              </w:rPr>
              <w:t xml:space="preserve">elektrostatická separace, </w:t>
            </w:r>
          </w:p>
          <w:p w14:paraId="13946FF2" w14:textId="77777777" w:rsidR="00A36526" w:rsidRPr="00981EDB" w:rsidRDefault="00A36526" w:rsidP="00A36526">
            <w:pPr>
              <w:numPr>
                <w:ilvl w:val="0"/>
                <w:numId w:val="44"/>
              </w:numPr>
              <w:rPr>
                <w:rFonts w:ascii="Calibri" w:hAnsi="Calibri" w:cs="Calibri"/>
                <w:sz w:val="20"/>
                <w:szCs w:val="20"/>
              </w:rPr>
            </w:pPr>
            <w:r w:rsidRPr="00FC7ECD">
              <w:rPr>
                <w:rFonts w:ascii="Calibri" w:hAnsi="Calibri" w:cs="Calibri"/>
                <w:sz w:val="20"/>
                <w:szCs w:val="20"/>
              </w:rPr>
              <w:t>optická separace, apod.</w:t>
            </w:r>
          </w:p>
        </w:tc>
      </w:tr>
      <w:tr w:rsidR="00A36526" w:rsidRPr="00981EDB" w14:paraId="7F8625D5" w14:textId="77777777" w:rsidTr="00AF06A0">
        <w:tc>
          <w:tcPr>
            <w:tcW w:w="1838" w:type="dxa"/>
          </w:tcPr>
          <w:p w14:paraId="0949B645" w14:textId="77777777" w:rsidR="00A36526" w:rsidRPr="00981EDB" w:rsidRDefault="00A36526" w:rsidP="00AF06A0">
            <w:pPr>
              <w:rPr>
                <w:rFonts w:ascii="Calibri" w:hAnsi="Calibri" w:cs="Calibri"/>
                <w:sz w:val="20"/>
                <w:szCs w:val="20"/>
              </w:rPr>
            </w:pPr>
            <w:r>
              <w:rPr>
                <w:rFonts w:ascii="Calibri" w:hAnsi="Calibri" w:cs="Calibri"/>
                <w:sz w:val="20"/>
                <w:szCs w:val="20"/>
              </w:rPr>
              <w:t>Pneumatiky a pryže</w:t>
            </w:r>
          </w:p>
        </w:tc>
        <w:tc>
          <w:tcPr>
            <w:tcW w:w="7513" w:type="dxa"/>
          </w:tcPr>
          <w:p w14:paraId="6BE219A1" w14:textId="77777777" w:rsidR="00A36526" w:rsidRDefault="00A36526" w:rsidP="00A36526">
            <w:pPr>
              <w:numPr>
                <w:ilvl w:val="0"/>
                <w:numId w:val="44"/>
              </w:numPr>
              <w:rPr>
                <w:rFonts w:ascii="Calibri" w:hAnsi="Calibri" w:cs="Calibri"/>
                <w:sz w:val="20"/>
                <w:szCs w:val="20"/>
              </w:rPr>
            </w:pPr>
            <w:r>
              <w:rPr>
                <w:rFonts w:ascii="Calibri" w:hAnsi="Calibri" w:cs="Calibri"/>
                <w:sz w:val="20"/>
                <w:szCs w:val="20"/>
              </w:rPr>
              <w:t>protektorování,</w:t>
            </w:r>
          </w:p>
          <w:p w14:paraId="5BFE27E7" w14:textId="77777777" w:rsidR="00A36526" w:rsidRDefault="00A36526" w:rsidP="00A36526">
            <w:pPr>
              <w:numPr>
                <w:ilvl w:val="0"/>
                <w:numId w:val="44"/>
              </w:numPr>
              <w:rPr>
                <w:rFonts w:ascii="Calibri" w:hAnsi="Calibri" w:cs="Calibri"/>
                <w:sz w:val="20"/>
                <w:szCs w:val="20"/>
              </w:rPr>
            </w:pPr>
            <w:r>
              <w:rPr>
                <w:rFonts w:ascii="Calibri" w:hAnsi="Calibri" w:cs="Calibri"/>
                <w:sz w:val="20"/>
                <w:szCs w:val="20"/>
              </w:rPr>
              <w:t>pryžový granulát (sportoviště, asfaltové příměsi, stavebnictví),</w:t>
            </w:r>
          </w:p>
          <w:p w14:paraId="404DB0D8" w14:textId="77777777" w:rsidR="00A36526" w:rsidRPr="00981EDB" w:rsidRDefault="00A36526" w:rsidP="00A36526">
            <w:pPr>
              <w:numPr>
                <w:ilvl w:val="0"/>
                <w:numId w:val="44"/>
              </w:numPr>
              <w:rPr>
                <w:rFonts w:ascii="Calibri" w:hAnsi="Calibri" w:cs="Calibri"/>
                <w:sz w:val="20"/>
                <w:szCs w:val="20"/>
              </w:rPr>
            </w:pPr>
            <w:r>
              <w:rPr>
                <w:rFonts w:ascii="Calibri" w:hAnsi="Calibri" w:cs="Calibri"/>
                <w:sz w:val="20"/>
                <w:szCs w:val="20"/>
              </w:rPr>
              <w:t>textilní vlákna (izloace, hipotextil, průmyslové palivo)</w:t>
            </w:r>
          </w:p>
        </w:tc>
      </w:tr>
      <w:tr w:rsidR="00A36526" w:rsidRPr="00981EDB" w14:paraId="63FDA6E8" w14:textId="77777777" w:rsidTr="00AF06A0">
        <w:tc>
          <w:tcPr>
            <w:tcW w:w="1838" w:type="dxa"/>
          </w:tcPr>
          <w:p w14:paraId="586654A3" w14:textId="77777777" w:rsidR="00A36526" w:rsidRPr="00981EDB" w:rsidRDefault="00A36526" w:rsidP="00AF06A0">
            <w:pPr>
              <w:rPr>
                <w:rFonts w:ascii="Calibri" w:hAnsi="Calibri" w:cs="Calibri"/>
                <w:sz w:val="20"/>
                <w:szCs w:val="20"/>
              </w:rPr>
            </w:pPr>
            <w:r>
              <w:rPr>
                <w:rFonts w:ascii="Calibri" w:hAnsi="Calibri" w:cs="Calibri"/>
                <w:sz w:val="20"/>
                <w:szCs w:val="20"/>
              </w:rPr>
              <w:t>Baterie a akumulátory</w:t>
            </w:r>
          </w:p>
        </w:tc>
        <w:tc>
          <w:tcPr>
            <w:tcW w:w="7513" w:type="dxa"/>
          </w:tcPr>
          <w:p w14:paraId="68C9DF95" w14:textId="77777777" w:rsidR="00A36526" w:rsidRDefault="00A36526" w:rsidP="00A36526">
            <w:pPr>
              <w:numPr>
                <w:ilvl w:val="0"/>
                <w:numId w:val="44"/>
              </w:numPr>
              <w:rPr>
                <w:rFonts w:ascii="Calibri" w:hAnsi="Calibri" w:cs="Calibri"/>
                <w:sz w:val="20"/>
                <w:szCs w:val="20"/>
              </w:rPr>
            </w:pPr>
            <w:r>
              <w:rPr>
                <w:rFonts w:ascii="Calibri" w:hAnsi="Calibri" w:cs="Calibri"/>
                <w:sz w:val="20"/>
                <w:szCs w:val="20"/>
              </w:rPr>
              <w:t>repase,</w:t>
            </w:r>
          </w:p>
          <w:p w14:paraId="23934653" w14:textId="77777777" w:rsidR="00A36526" w:rsidRPr="00981EDB" w:rsidRDefault="00A36526" w:rsidP="00A36526">
            <w:pPr>
              <w:numPr>
                <w:ilvl w:val="0"/>
                <w:numId w:val="44"/>
              </w:numPr>
              <w:rPr>
                <w:rFonts w:ascii="Calibri" w:hAnsi="Calibri" w:cs="Calibri"/>
                <w:sz w:val="20"/>
                <w:szCs w:val="20"/>
              </w:rPr>
            </w:pPr>
            <w:r w:rsidRPr="00167120">
              <w:rPr>
                <w:rFonts w:ascii="Calibri" w:hAnsi="Calibri" w:cs="Calibri"/>
                <w:sz w:val="20"/>
                <w:szCs w:val="20"/>
              </w:rPr>
              <w:t>metalurgické a destilační metody zpracování kovů</w:t>
            </w:r>
          </w:p>
        </w:tc>
      </w:tr>
    </w:tbl>
    <w:p w14:paraId="2EAC3A3C" w14:textId="77777777" w:rsidR="00A36526" w:rsidRDefault="00A36526" w:rsidP="00A36526">
      <w:pPr>
        <w:spacing w:after="0"/>
        <w:rPr>
          <w:rFonts w:ascii="Calibri" w:hAnsi="Calibri" w:cs="Calibri"/>
        </w:rPr>
      </w:pPr>
    </w:p>
    <w:p w14:paraId="2042D555" w14:textId="77777777" w:rsidR="00A36526" w:rsidRDefault="00A36526" w:rsidP="00A36526">
      <w:pPr>
        <w:spacing w:after="0"/>
        <w:rPr>
          <w:rFonts w:ascii="Calibri" w:hAnsi="Calibri" w:cs="Calibri"/>
        </w:rPr>
      </w:pPr>
      <w:r>
        <w:rPr>
          <w:rFonts w:ascii="Calibri" w:hAnsi="Calibri" w:cs="Calibri"/>
        </w:rPr>
        <w:t xml:space="preserve">Dle názoru hodnotitele je zaměření SC 3.4 široce koncipované a soubor opatření, která mají být podporována v rámci tohoto SC (tak, jak je vymezuje programový dokument), pokrývá všechny hlavní tematické oblasti zavádění inovativních nízkouhlíkových technologií v oblasti nakládání energií a při využívání druhotných surovin. </w:t>
      </w:r>
    </w:p>
    <w:p w14:paraId="3EFEE6EF" w14:textId="77777777" w:rsidR="00A36526" w:rsidRDefault="00A36526" w:rsidP="00A36526">
      <w:pPr>
        <w:spacing w:after="0"/>
        <w:rPr>
          <w:rFonts w:ascii="Calibri" w:hAnsi="Calibri" w:cs="Calibri"/>
        </w:rPr>
      </w:pPr>
    </w:p>
    <w:p w14:paraId="53EE3C7C" w14:textId="24E50486" w:rsidR="00A36526" w:rsidRDefault="00A36526" w:rsidP="00A36526">
      <w:pPr>
        <w:spacing w:after="0"/>
        <w:rPr>
          <w:rFonts w:ascii="Calibri" w:hAnsi="Calibri" w:cs="Calibri"/>
        </w:rPr>
      </w:pPr>
      <w:r>
        <w:rPr>
          <w:rFonts w:ascii="Calibri" w:hAnsi="Calibri" w:cs="Calibri"/>
        </w:rPr>
        <w:t>S ohledem na stav realizace PP NUT nelze zatím jednoznačně prokázat vliv SC 3.4 na zvýšen</w:t>
      </w:r>
      <w:r w:rsidR="00B3060B">
        <w:rPr>
          <w:rFonts w:ascii="Calibri" w:hAnsi="Calibri" w:cs="Calibri"/>
        </w:rPr>
        <w:t>í</w:t>
      </w:r>
      <w:r>
        <w:rPr>
          <w:rFonts w:ascii="Calibri" w:hAnsi="Calibri" w:cs="Calibri"/>
        </w:rPr>
        <w:t xml:space="preserve"> trend</w:t>
      </w:r>
      <w:r w:rsidR="00B3060B">
        <w:rPr>
          <w:rFonts w:ascii="Calibri" w:hAnsi="Calibri" w:cs="Calibri"/>
        </w:rPr>
        <w:t>u</w:t>
      </w:r>
      <w:r>
        <w:rPr>
          <w:rFonts w:ascii="Calibri" w:hAnsi="Calibri" w:cs="Calibri"/>
        </w:rPr>
        <w:t xml:space="preserve"> uplatnění nějaké konkrétní inovativní nízkouhlíkové technologie, která se dříve běžně komerčně neuplatňovala. </w:t>
      </w:r>
      <w:r w:rsidR="001A1547">
        <w:rPr>
          <w:rFonts w:ascii="Calibri" w:hAnsi="Calibri" w:cs="Calibri"/>
        </w:rPr>
        <w:t>V tomto dílčím závěru/zjištění hodnotitel nezohledňuje o</w:t>
      </w:r>
      <w:r w:rsidR="00CD7BF9">
        <w:rPr>
          <w:rFonts w:ascii="Calibri" w:hAnsi="Calibri" w:cs="Calibri"/>
        </w:rPr>
        <w:t>blast elektromobility ve formě nákupu vozidel a související dobíjecí infrastruktury</w:t>
      </w:r>
      <w:r w:rsidR="001A1547">
        <w:rPr>
          <w:rFonts w:ascii="Calibri" w:hAnsi="Calibri" w:cs="Calibri"/>
        </w:rPr>
        <w:t xml:space="preserve"> </w:t>
      </w:r>
      <w:r w:rsidR="00CD7BF9">
        <w:rPr>
          <w:rFonts w:ascii="Calibri" w:hAnsi="Calibri" w:cs="Calibri"/>
        </w:rPr>
        <w:t>vzhledem k tomu, že se jedná o technologie již komerčně využívané</w:t>
      </w:r>
      <w:r w:rsidR="001A1547">
        <w:rPr>
          <w:rFonts w:ascii="Calibri" w:hAnsi="Calibri" w:cs="Calibri"/>
        </w:rPr>
        <w:t>, byť v nedostačujícím rozsahu</w:t>
      </w:r>
      <w:r w:rsidR="00CD7BF9">
        <w:rPr>
          <w:rFonts w:ascii="Calibri" w:hAnsi="Calibri" w:cs="Calibri"/>
        </w:rPr>
        <w:t xml:space="preserve">. </w:t>
      </w:r>
      <w:r>
        <w:rPr>
          <w:rFonts w:ascii="Calibri" w:hAnsi="Calibri" w:cs="Calibri"/>
        </w:rPr>
        <w:t xml:space="preserve"> </w:t>
      </w:r>
    </w:p>
    <w:p w14:paraId="75933CD5" w14:textId="77777777" w:rsidR="00A36526" w:rsidRDefault="00A36526" w:rsidP="00A36526">
      <w:pPr>
        <w:spacing w:after="0"/>
        <w:rPr>
          <w:rFonts w:ascii="Calibri" w:hAnsi="Calibri" w:cs="Calibri"/>
        </w:rPr>
      </w:pPr>
    </w:p>
    <w:p w14:paraId="2C91A4C7" w14:textId="77777777" w:rsidR="00A36526" w:rsidRPr="00795CCC" w:rsidRDefault="00A36526" w:rsidP="00A36526">
      <w:pPr>
        <w:spacing w:after="0"/>
        <w:rPr>
          <w:rFonts w:ascii="Calibri" w:hAnsi="Calibri" w:cs="Calibri"/>
        </w:rPr>
      </w:pPr>
      <w:r>
        <w:rPr>
          <w:rFonts w:ascii="Calibri" w:hAnsi="Calibri" w:cs="Calibri"/>
        </w:rPr>
        <w:t xml:space="preserve">Na základě vyhodnocení dat a informací o dosud podpořených projektech v PP NUT lze zatím spatřovat největší potenciál působení PP NUT zejména v oblasti zavádění technologií akumulace energie (pro vlastní spotřebu podniků).   </w:t>
      </w:r>
    </w:p>
    <w:p w14:paraId="7CC02323" w14:textId="77777777" w:rsidR="001C210E" w:rsidRPr="001C210E" w:rsidRDefault="001C210E" w:rsidP="001C210E">
      <w:pPr>
        <w:spacing w:after="0"/>
        <w:rPr>
          <w:rFonts w:ascii="Calibri" w:hAnsi="Calibri" w:cs="Calibri"/>
        </w:rPr>
      </w:pPr>
    </w:p>
    <w:p w14:paraId="4A5163D7" w14:textId="24AA26AC" w:rsidR="00F43AB6" w:rsidRPr="007B7853" w:rsidRDefault="00F43AB6" w:rsidP="00F43AB6">
      <w:pPr>
        <w:pStyle w:val="Nadpis1"/>
      </w:pPr>
      <w:bookmarkStart w:id="168" w:name="_Toc4596855"/>
      <w:bookmarkStart w:id="169" w:name="_Toc10729974"/>
      <w:r w:rsidRPr="007B7853">
        <w:lastRenderedPageBreak/>
        <w:t>Evaluační otázka 11 (NUT)</w:t>
      </w:r>
      <w:bookmarkEnd w:id="168"/>
      <w:bookmarkEnd w:id="169"/>
    </w:p>
    <w:p w14:paraId="2F7010E3" w14:textId="17EB795A" w:rsidR="00F43AB6" w:rsidRPr="00FE4816" w:rsidRDefault="00F43AB6" w:rsidP="00F43AB6">
      <w:pPr>
        <w:spacing w:after="0"/>
        <w:rPr>
          <w:rFonts w:ascii="Calibri" w:hAnsi="Calibri" w:cs="Calibri"/>
          <w:b/>
        </w:rPr>
      </w:pPr>
      <w:r w:rsidRPr="007B7853">
        <w:rPr>
          <w:rFonts w:ascii="Calibri" w:hAnsi="Calibri" w:cs="Calibri"/>
          <w:b/>
        </w:rPr>
        <w:t>Dochází vlivem podpořených projektů ke zvýšení soběstačnosti ČR v surovinových zdrojích substitucí primárních zdrojů druhotnými surovinami? Ve kterých odvětvích dochází</w:t>
      </w:r>
      <w:r w:rsidR="003D7715">
        <w:rPr>
          <w:rFonts w:ascii="Calibri" w:hAnsi="Calibri" w:cs="Calibri"/>
          <w:b/>
        </w:rPr>
        <w:t xml:space="preserve"> k</w:t>
      </w:r>
      <w:r w:rsidRPr="007B7853">
        <w:rPr>
          <w:rFonts w:ascii="Calibri" w:hAnsi="Calibri" w:cs="Calibri"/>
          <w:b/>
        </w:rPr>
        <w:t xml:space="preserve"> největšímu snížení energetické a materiálové náročnosti?</w:t>
      </w:r>
    </w:p>
    <w:p w14:paraId="7944AFE0" w14:textId="77777777" w:rsidR="00F43AB6" w:rsidRDefault="00F43AB6" w:rsidP="00F43AB6">
      <w:pPr>
        <w:spacing w:after="0"/>
        <w:rPr>
          <w:rFonts w:ascii="Calibri" w:hAnsi="Calibri" w:cs="Calibri"/>
        </w:rPr>
      </w:pPr>
    </w:p>
    <w:p w14:paraId="5B1C154A" w14:textId="77777777" w:rsidR="00F43AB6" w:rsidRPr="001C210E" w:rsidRDefault="00F43AB6" w:rsidP="00F43AB6">
      <w:pPr>
        <w:pStyle w:val="Nadpis2"/>
      </w:pPr>
      <w:bookmarkStart w:id="170" w:name="_Toc4596856"/>
      <w:bookmarkStart w:id="171" w:name="_Toc10729975"/>
      <w:r w:rsidRPr="001C210E">
        <w:t>Úkol</w:t>
      </w:r>
      <w:bookmarkEnd w:id="170"/>
      <w:bookmarkEnd w:id="171"/>
    </w:p>
    <w:p w14:paraId="05382F38" w14:textId="77777777" w:rsidR="007B7853" w:rsidRDefault="007B7853" w:rsidP="007B7853">
      <w:pPr>
        <w:spacing w:after="0"/>
        <w:rPr>
          <w:rFonts w:ascii="Calibri" w:hAnsi="Calibri" w:cs="Calibri"/>
        </w:rPr>
      </w:pPr>
      <w:r>
        <w:rPr>
          <w:rFonts w:ascii="Calibri" w:hAnsi="Calibri" w:cs="Calibri"/>
        </w:rPr>
        <w:t xml:space="preserve">Posoudit </w:t>
      </w:r>
      <w:r w:rsidRPr="00BC2399">
        <w:rPr>
          <w:rFonts w:ascii="Calibri" w:hAnsi="Calibri" w:cs="Calibri"/>
        </w:rPr>
        <w:t>vliv projektů</w:t>
      </w:r>
      <w:r>
        <w:rPr>
          <w:rFonts w:ascii="Calibri" w:hAnsi="Calibri" w:cs="Calibri"/>
        </w:rPr>
        <w:t xml:space="preserve"> financovaných z PP NUT na </w:t>
      </w:r>
      <w:r w:rsidRPr="00BC2399">
        <w:rPr>
          <w:rFonts w:ascii="Calibri" w:hAnsi="Calibri" w:cs="Calibri"/>
        </w:rPr>
        <w:t>soběstačnost ČR v surovinových zdrojích</w:t>
      </w:r>
      <w:r>
        <w:rPr>
          <w:rFonts w:ascii="Calibri" w:hAnsi="Calibri" w:cs="Calibri"/>
        </w:rPr>
        <w:t>. Identifikovat odvětví s ne</w:t>
      </w:r>
      <w:r w:rsidRPr="00BC2399">
        <w:rPr>
          <w:rFonts w:ascii="Calibri" w:hAnsi="Calibri" w:cs="Calibri"/>
        </w:rPr>
        <w:t>jvětším snížení</w:t>
      </w:r>
      <w:r>
        <w:rPr>
          <w:rFonts w:ascii="Calibri" w:hAnsi="Calibri" w:cs="Calibri"/>
        </w:rPr>
        <w:t>m</w:t>
      </w:r>
      <w:r w:rsidRPr="00BC2399">
        <w:rPr>
          <w:rFonts w:ascii="Calibri" w:hAnsi="Calibri" w:cs="Calibri"/>
        </w:rPr>
        <w:t xml:space="preserve"> energetické a materiálové náročnosti</w:t>
      </w:r>
      <w:r>
        <w:rPr>
          <w:rFonts w:ascii="Calibri" w:hAnsi="Calibri" w:cs="Calibri"/>
        </w:rPr>
        <w:t>.</w:t>
      </w:r>
    </w:p>
    <w:p w14:paraId="5F69ADE5" w14:textId="77777777" w:rsidR="00F43AB6" w:rsidRPr="001C210E" w:rsidRDefault="00F43AB6" w:rsidP="00F43AB6">
      <w:pPr>
        <w:spacing w:after="0"/>
        <w:rPr>
          <w:rFonts w:ascii="Calibri" w:hAnsi="Calibri" w:cs="Calibri"/>
        </w:rPr>
      </w:pPr>
    </w:p>
    <w:p w14:paraId="74410740" w14:textId="77777777" w:rsidR="00F43AB6" w:rsidRPr="001C210E" w:rsidRDefault="00F43AB6" w:rsidP="00F43AB6">
      <w:pPr>
        <w:pStyle w:val="Nadpis2"/>
      </w:pPr>
      <w:bookmarkStart w:id="172" w:name="_Toc4596857"/>
      <w:bookmarkStart w:id="173" w:name="_Toc10729976"/>
      <w:r w:rsidRPr="001C210E">
        <w:t>Východiska</w:t>
      </w:r>
      <w:bookmarkEnd w:id="172"/>
      <w:bookmarkEnd w:id="173"/>
    </w:p>
    <w:p w14:paraId="3897CD7D" w14:textId="2EC63B5E" w:rsidR="007B7853" w:rsidRPr="00BC2399" w:rsidRDefault="007B7853" w:rsidP="007B7853">
      <w:pPr>
        <w:spacing w:after="0"/>
        <w:rPr>
          <w:rFonts w:ascii="Calibri" w:hAnsi="Calibri" w:cs="Calibri"/>
        </w:rPr>
      </w:pPr>
      <w:r w:rsidRPr="00BC2399">
        <w:rPr>
          <w:rFonts w:ascii="Calibri" w:hAnsi="Calibri" w:cs="Calibri"/>
        </w:rPr>
        <w:t xml:space="preserve">Za účelem podpory využívání druhotných surovin je v rámci PP NUT poskytována podpora </w:t>
      </w:r>
      <w:r>
        <w:rPr>
          <w:rFonts w:ascii="Calibri" w:hAnsi="Calibri" w:cs="Calibri"/>
        </w:rPr>
        <w:t xml:space="preserve">prostřednictvím dílčí </w:t>
      </w:r>
      <w:r w:rsidRPr="00BC2399">
        <w:rPr>
          <w:rFonts w:ascii="Calibri" w:hAnsi="Calibri" w:cs="Calibri"/>
        </w:rPr>
        <w:t>typov</w:t>
      </w:r>
      <w:r>
        <w:rPr>
          <w:rFonts w:ascii="Calibri" w:hAnsi="Calibri" w:cs="Calibri"/>
        </w:rPr>
        <w:t>é</w:t>
      </w:r>
      <w:r w:rsidRPr="00BC2399">
        <w:rPr>
          <w:rFonts w:ascii="Calibri" w:hAnsi="Calibri" w:cs="Calibri"/>
        </w:rPr>
        <w:t xml:space="preserve"> aktivit</w:t>
      </w:r>
      <w:r>
        <w:rPr>
          <w:rFonts w:ascii="Calibri" w:hAnsi="Calibri" w:cs="Calibri"/>
        </w:rPr>
        <w:t>y „c) druhotné suroviny“.</w:t>
      </w:r>
    </w:p>
    <w:p w14:paraId="7DC01303" w14:textId="77777777" w:rsidR="00F43AB6" w:rsidRDefault="00F43AB6" w:rsidP="00F43AB6">
      <w:pPr>
        <w:spacing w:after="0"/>
        <w:rPr>
          <w:rFonts w:ascii="Calibri" w:hAnsi="Calibri" w:cs="Calibri"/>
          <w:b/>
        </w:rPr>
      </w:pPr>
    </w:p>
    <w:p w14:paraId="4CA66887" w14:textId="77777777" w:rsidR="00F43AB6" w:rsidRPr="001C210E" w:rsidRDefault="00F43AB6" w:rsidP="00F43AB6">
      <w:pPr>
        <w:pStyle w:val="Nadpis2"/>
      </w:pPr>
      <w:bookmarkStart w:id="174" w:name="_Toc4596858"/>
      <w:bookmarkStart w:id="175" w:name="_Toc10729977"/>
      <w:r w:rsidRPr="001C210E">
        <w:t>Zjištění v návaznosti na evaluační otázku a úkol</w:t>
      </w:r>
      <w:bookmarkEnd w:id="174"/>
      <w:bookmarkEnd w:id="175"/>
    </w:p>
    <w:tbl>
      <w:tblPr>
        <w:tblStyle w:val="Svtlmkatabulky1"/>
        <w:tblW w:w="0" w:type="auto"/>
        <w:tblLook w:val="04A0" w:firstRow="1" w:lastRow="0" w:firstColumn="1" w:lastColumn="0" w:noHBand="0" w:noVBand="1"/>
      </w:tblPr>
      <w:tblGrid>
        <w:gridCol w:w="2972"/>
        <w:gridCol w:w="5954"/>
      </w:tblGrid>
      <w:tr w:rsidR="00F43AB6" w:rsidRPr="001C210E" w14:paraId="1CB2877C" w14:textId="77777777" w:rsidTr="00047EB6">
        <w:tc>
          <w:tcPr>
            <w:tcW w:w="2972" w:type="dxa"/>
            <w:shd w:val="clear" w:color="auto" w:fill="F2F2F2" w:themeFill="background1" w:themeFillShade="F2"/>
          </w:tcPr>
          <w:p w14:paraId="2704E86C" w14:textId="77777777" w:rsidR="00F43AB6" w:rsidRPr="001C210E" w:rsidRDefault="00F43AB6" w:rsidP="00047EB6">
            <w:pPr>
              <w:rPr>
                <w:rFonts w:ascii="Calibri" w:hAnsi="Calibri" w:cs="Calibri"/>
                <w:b/>
              </w:rPr>
            </w:pPr>
            <w:r w:rsidRPr="001C210E">
              <w:rPr>
                <w:rFonts w:ascii="Calibri" w:hAnsi="Calibri" w:cs="Calibri"/>
                <w:b/>
              </w:rPr>
              <w:t>Evaluační otázka</w:t>
            </w:r>
          </w:p>
        </w:tc>
        <w:tc>
          <w:tcPr>
            <w:tcW w:w="5954" w:type="dxa"/>
          </w:tcPr>
          <w:p w14:paraId="50C8F165" w14:textId="77777777" w:rsidR="008233A1" w:rsidRDefault="00F43AB6" w:rsidP="00047EB6">
            <w:pPr>
              <w:rPr>
                <w:rFonts w:ascii="Calibri" w:hAnsi="Calibri" w:cs="Calibri"/>
                <w:b/>
              </w:rPr>
            </w:pPr>
            <w:r w:rsidRPr="00F43AB6">
              <w:rPr>
                <w:rFonts w:ascii="Calibri" w:hAnsi="Calibri" w:cs="Calibri"/>
                <w:b/>
              </w:rPr>
              <w:t xml:space="preserve">Dochází vlivem podpořených projektů ke zvýšení soběstačnosti ČR v surovinových zdrojích substitucí primárních zdrojů druhotnými surovinami? </w:t>
            </w:r>
          </w:p>
          <w:p w14:paraId="025547DC" w14:textId="7EB9062F" w:rsidR="00F43AB6" w:rsidRPr="00FE4816" w:rsidRDefault="00F43AB6" w:rsidP="00047EB6">
            <w:pPr>
              <w:rPr>
                <w:rFonts w:ascii="Calibri" w:hAnsi="Calibri" w:cs="Calibri"/>
                <w:b/>
              </w:rPr>
            </w:pPr>
            <w:r w:rsidRPr="00F43AB6">
              <w:rPr>
                <w:rFonts w:ascii="Calibri" w:hAnsi="Calibri" w:cs="Calibri"/>
                <w:b/>
              </w:rPr>
              <w:t xml:space="preserve">Ve kterých odvětvích dochází </w:t>
            </w:r>
            <w:r w:rsidR="00F25461">
              <w:rPr>
                <w:rFonts w:ascii="Calibri" w:hAnsi="Calibri" w:cs="Calibri"/>
                <w:b/>
              </w:rPr>
              <w:t xml:space="preserve">k </w:t>
            </w:r>
            <w:r w:rsidRPr="00F43AB6">
              <w:rPr>
                <w:rFonts w:ascii="Calibri" w:hAnsi="Calibri" w:cs="Calibri"/>
                <w:b/>
              </w:rPr>
              <w:t>největšímu snížení energetické a materiálové náročnosti?</w:t>
            </w:r>
          </w:p>
        </w:tc>
      </w:tr>
      <w:tr w:rsidR="00F43AB6" w:rsidRPr="001C210E" w14:paraId="23A5221F" w14:textId="77777777" w:rsidTr="00047EB6">
        <w:tc>
          <w:tcPr>
            <w:tcW w:w="2972" w:type="dxa"/>
            <w:shd w:val="clear" w:color="auto" w:fill="F2F2F2" w:themeFill="background1" w:themeFillShade="F2"/>
          </w:tcPr>
          <w:p w14:paraId="08045B3F" w14:textId="77777777" w:rsidR="00F43AB6" w:rsidRPr="001C210E" w:rsidRDefault="00F43AB6" w:rsidP="00047EB6">
            <w:pPr>
              <w:rPr>
                <w:rFonts w:ascii="Calibri" w:hAnsi="Calibri" w:cs="Calibri"/>
              </w:rPr>
            </w:pPr>
            <w:r w:rsidRPr="001C210E">
              <w:rPr>
                <w:rFonts w:ascii="Calibri" w:hAnsi="Calibri" w:cs="Calibri"/>
                <w:b/>
                <w:bCs/>
              </w:rPr>
              <w:t>Zhodnocení</w:t>
            </w:r>
            <w:r w:rsidRPr="001C210E">
              <w:rPr>
                <w:rFonts w:ascii="Calibri" w:hAnsi="Calibri" w:cs="Calibri"/>
                <w:b/>
                <w:bCs/>
              </w:rPr>
              <w:br/>
            </w:r>
            <w:r w:rsidRPr="001C210E">
              <w:rPr>
                <w:rFonts w:ascii="Calibri" w:hAnsi="Calibri" w:cs="Calibri"/>
              </w:rPr>
              <w:t>(Ano, Spíše ano, Spíše ne, Ne, Není relevantní)</w:t>
            </w:r>
          </w:p>
        </w:tc>
        <w:tc>
          <w:tcPr>
            <w:tcW w:w="5954" w:type="dxa"/>
          </w:tcPr>
          <w:p w14:paraId="605D29B6" w14:textId="77777777" w:rsidR="008233A1" w:rsidRDefault="002E164D" w:rsidP="00047EB6">
            <w:pPr>
              <w:rPr>
                <w:rFonts w:ascii="Calibri" w:hAnsi="Calibri" w:cs="Calibri"/>
              </w:rPr>
            </w:pPr>
            <w:r>
              <w:rPr>
                <w:rFonts w:ascii="Calibri" w:hAnsi="Calibri" w:cs="Calibri"/>
              </w:rPr>
              <w:t>Ne</w:t>
            </w:r>
          </w:p>
          <w:p w14:paraId="2A2D3709" w14:textId="246F1CF4" w:rsidR="008233A1" w:rsidRPr="001C210E" w:rsidRDefault="008233A1" w:rsidP="00047EB6">
            <w:pPr>
              <w:rPr>
                <w:rFonts w:ascii="Calibri" w:hAnsi="Calibri" w:cs="Calibri"/>
              </w:rPr>
            </w:pPr>
            <w:r>
              <w:rPr>
                <w:rFonts w:ascii="Calibri" w:hAnsi="Calibri" w:cs="Calibri"/>
              </w:rPr>
              <w:t>Není relevantní</w:t>
            </w:r>
          </w:p>
        </w:tc>
      </w:tr>
      <w:tr w:rsidR="00F43AB6" w:rsidRPr="001C210E" w14:paraId="55CEE1B4" w14:textId="77777777" w:rsidTr="00047EB6">
        <w:tc>
          <w:tcPr>
            <w:tcW w:w="2972" w:type="dxa"/>
            <w:shd w:val="clear" w:color="auto" w:fill="F2F2F2" w:themeFill="background1" w:themeFillShade="F2"/>
          </w:tcPr>
          <w:p w14:paraId="111ACE8A" w14:textId="77777777" w:rsidR="00F43AB6" w:rsidRPr="001C210E" w:rsidRDefault="00F43AB6" w:rsidP="00047EB6">
            <w:pPr>
              <w:rPr>
                <w:rFonts w:ascii="Calibri" w:hAnsi="Calibri" w:cs="Calibri"/>
                <w:b/>
              </w:rPr>
            </w:pPr>
            <w:r>
              <w:rPr>
                <w:rFonts w:ascii="Calibri" w:hAnsi="Calibri" w:cs="Calibri"/>
                <w:b/>
              </w:rPr>
              <w:t>Hlavní závěry a zjištění</w:t>
            </w:r>
            <w:r w:rsidRPr="001C210E">
              <w:rPr>
                <w:rFonts w:ascii="Calibri" w:hAnsi="Calibri" w:cs="Calibri"/>
                <w:b/>
              </w:rPr>
              <w:t xml:space="preserve"> </w:t>
            </w:r>
          </w:p>
        </w:tc>
        <w:tc>
          <w:tcPr>
            <w:tcW w:w="5954" w:type="dxa"/>
          </w:tcPr>
          <w:p w14:paraId="14E6FF1B" w14:textId="77777777" w:rsidR="00F43AB6" w:rsidRDefault="002E164D" w:rsidP="00047EB6">
            <w:pPr>
              <w:rPr>
                <w:rFonts w:ascii="Calibri" w:hAnsi="Calibri" w:cs="Calibri"/>
              </w:rPr>
            </w:pPr>
            <w:r>
              <w:rPr>
                <w:rFonts w:ascii="Calibri" w:hAnsi="Calibri" w:cs="Calibri"/>
              </w:rPr>
              <w:t xml:space="preserve">Hodnotitel neidentifikoval bezprostřední, významný vliv dosud podpořených projektů v typové aktivitě „druhotné suroviny“ na </w:t>
            </w:r>
            <w:r w:rsidRPr="00A07414">
              <w:rPr>
                <w:rFonts w:ascii="Calibri" w:hAnsi="Calibri" w:cs="Calibri"/>
              </w:rPr>
              <w:t>zvýšení soběstačnosti ČR v surovinových zdrojích substitucí primárních zdrojů druhotnými surovinami</w:t>
            </w:r>
            <w:r>
              <w:rPr>
                <w:rFonts w:ascii="Calibri" w:hAnsi="Calibri" w:cs="Calibri"/>
              </w:rPr>
              <w:t>. Lze uvažovat spíše o potenciálu těchto projektů z pohledu širšího využití zaváděných technologií do budoucna.</w:t>
            </w:r>
          </w:p>
          <w:p w14:paraId="24F9B039" w14:textId="77777777" w:rsidR="002E164D" w:rsidRDefault="002E164D" w:rsidP="00047EB6">
            <w:pPr>
              <w:rPr>
                <w:rFonts w:ascii="Calibri" w:hAnsi="Calibri" w:cs="Calibri"/>
              </w:rPr>
            </w:pPr>
          </w:p>
          <w:p w14:paraId="29CA2556" w14:textId="77777777" w:rsidR="002E164D" w:rsidRDefault="002E164D" w:rsidP="00047EB6">
            <w:pPr>
              <w:rPr>
                <w:rFonts w:ascii="Calibri" w:hAnsi="Calibri" w:cs="Calibri"/>
              </w:rPr>
            </w:pPr>
            <w:r>
              <w:rPr>
                <w:rFonts w:ascii="Calibri" w:hAnsi="Calibri" w:cs="Calibri"/>
              </w:rPr>
              <w:t>K největšímu snížení energetické náročnosti dochází v posledních letech zejména v odvětvích chemického a petrochemického průmyslu, textilního a kožedělného, papírenského a dřevozpracujícího průmyslu.</w:t>
            </w:r>
          </w:p>
          <w:p w14:paraId="6D576F1C" w14:textId="77777777" w:rsidR="002E164D" w:rsidRDefault="002E164D" w:rsidP="00047EB6">
            <w:pPr>
              <w:rPr>
                <w:rFonts w:ascii="Calibri" w:hAnsi="Calibri" w:cs="Calibri"/>
              </w:rPr>
            </w:pPr>
          </w:p>
          <w:p w14:paraId="4C723E5A" w14:textId="38CDCBA6" w:rsidR="002E164D" w:rsidRPr="001C210E" w:rsidRDefault="002E164D" w:rsidP="00047EB6">
            <w:pPr>
              <w:rPr>
                <w:rFonts w:ascii="Calibri" w:hAnsi="Calibri" w:cs="Calibri"/>
              </w:rPr>
            </w:pPr>
            <w:r>
              <w:rPr>
                <w:rFonts w:ascii="Calibri" w:hAnsi="Calibri" w:cs="Calibri"/>
              </w:rPr>
              <w:t>K největšímu snížení materiálové náročnosti došlo v průměru za poslední 3 sledované roky v odvětvích výroby tabákových výrobků, výroby usní a souvisejících produktů, výroby chemických látek a přípravků a výroby nápojů.</w:t>
            </w:r>
          </w:p>
        </w:tc>
      </w:tr>
      <w:tr w:rsidR="00F43AB6" w:rsidRPr="001C210E" w14:paraId="33FF306B" w14:textId="77777777" w:rsidTr="00047EB6">
        <w:tc>
          <w:tcPr>
            <w:tcW w:w="2972" w:type="dxa"/>
            <w:shd w:val="clear" w:color="auto" w:fill="F2F2F2" w:themeFill="background1" w:themeFillShade="F2"/>
          </w:tcPr>
          <w:p w14:paraId="7CB59C84" w14:textId="77777777" w:rsidR="00F43AB6" w:rsidRPr="001C210E" w:rsidRDefault="00F43AB6" w:rsidP="00047EB6">
            <w:pPr>
              <w:rPr>
                <w:rFonts w:ascii="Calibri" w:hAnsi="Calibri" w:cs="Calibri"/>
                <w:b/>
              </w:rPr>
            </w:pPr>
            <w:r w:rsidRPr="001C210E">
              <w:rPr>
                <w:rFonts w:ascii="Calibri" w:hAnsi="Calibri" w:cs="Calibri"/>
                <w:b/>
              </w:rPr>
              <w:t>Doporučení pro programové období 2014 - 2020</w:t>
            </w:r>
          </w:p>
        </w:tc>
        <w:tc>
          <w:tcPr>
            <w:tcW w:w="5954" w:type="dxa"/>
          </w:tcPr>
          <w:p w14:paraId="5E4263E5" w14:textId="5AC96BE8" w:rsidR="00F43AB6" w:rsidRPr="002E164D" w:rsidRDefault="002E164D" w:rsidP="00047EB6">
            <w:pPr>
              <w:rPr>
                <w:rFonts w:ascii="Calibri" w:hAnsi="Calibri" w:cs="Calibri"/>
              </w:rPr>
            </w:pPr>
            <w:r w:rsidRPr="002E164D">
              <w:rPr>
                <w:rFonts w:ascii="Calibri" w:hAnsi="Calibri" w:cs="Calibri"/>
              </w:rPr>
              <w:t>Posouzení příspěvku SC 3.4 ke zvýšení soběstačnosti ČR v surovinových zdrojích substitucí primárních zdrojů druhotnými surovinami provést v rámci ex post evaluace.</w:t>
            </w:r>
          </w:p>
        </w:tc>
      </w:tr>
      <w:tr w:rsidR="00F43AB6" w:rsidRPr="001C210E" w14:paraId="691BF8AE" w14:textId="77777777" w:rsidTr="00047EB6">
        <w:tc>
          <w:tcPr>
            <w:tcW w:w="2972" w:type="dxa"/>
            <w:shd w:val="clear" w:color="auto" w:fill="F2F2F2" w:themeFill="background1" w:themeFillShade="F2"/>
          </w:tcPr>
          <w:p w14:paraId="37F1D614" w14:textId="308C18B9" w:rsidR="00F43AB6" w:rsidRPr="001C210E" w:rsidRDefault="00F43AB6" w:rsidP="00047EB6">
            <w:pPr>
              <w:rPr>
                <w:rFonts w:ascii="Calibri" w:hAnsi="Calibri" w:cs="Calibri"/>
                <w:b/>
              </w:rPr>
            </w:pPr>
            <w:r w:rsidRPr="001C210E">
              <w:rPr>
                <w:rFonts w:ascii="Calibri" w:hAnsi="Calibri" w:cs="Calibri"/>
                <w:b/>
              </w:rPr>
              <w:t>Doporučení pro programové období 2021</w:t>
            </w:r>
            <w:r w:rsidR="00FE4EF8">
              <w:rPr>
                <w:rFonts w:ascii="Calibri" w:hAnsi="Calibri" w:cs="Calibri"/>
                <w:b/>
              </w:rPr>
              <w:t xml:space="preserve"> 2027</w:t>
            </w:r>
          </w:p>
        </w:tc>
        <w:tc>
          <w:tcPr>
            <w:tcW w:w="5954" w:type="dxa"/>
          </w:tcPr>
          <w:p w14:paraId="53AE8472" w14:textId="3596276D" w:rsidR="00F43AB6" w:rsidRPr="001C210E" w:rsidRDefault="002E164D" w:rsidP="00047EB6">
            <w:pPr>
              <w:rPr>
                <w:rFonts w:ascii="Calibri" w:hAnsi="Calibri" w:cs="Calibri"/>
              </w:rPr>
            </w:pPr>
            <w:r>
              <w:rPr>
                <w:rFonts w:ascii="Calibri" w:hAnsi="Calibri" w:cs="Calibri"/>
              </w:rPr>
              <w:t>Zachovat a rozvíjet podporu zavádění inovativních NUT v oblasti využívání druhotných surovin, v souladu s konceptem oběhového hospodářství.</w:t>
            </w:r>
          </w:p>
        </w:tc>
      </w:tr>
      <w:tr w:rsidR="00311EA3" w:rsidRPr="001C210E" w14:paraId="0294FE4D" w14:textId="77777777" w:rsidTr="00047EB6">
        <w:tc>
          <w:tcPr>
            <w:tcW w:w="2972" w:type="dxa"/>
            <w:shd w:val="clear" w:color="auto" w:fill="F2F2F2" w:themeFill="background1" w:themeFillShade="F2"/>
          </w:tcPr>
          <w:p w14:paraId="63D28A80" w14:textId="77777777" w:rsidR="00311EA3" w:rsidRPr="001C210E" w:rsidRDefault="00311EA3" w:rsidP="00047EB6">
            <w:pPr>
              <w:rPr>
                <w:rFonts w:ascii="Calibri" w:hAnsi="Calibri" w:cs="Calibri"/>
                <w:b/>
              </w:rPr>
            </w:pPr>
          </w:p>
        </w:tc>
        <w:tc>
          <w:tcPr>
            <w:tcW w:w="5954" w:type="dxa"/>
          </w:tcPr>
          <w:p w14:paraId="1F184ED5" w14:textId="21B0BD46" w:rsidR="00311EA3" w:rsidRDefault="00311EA3" w:rsidP="00047EB6">
            <w:pPr>
              <w:rPr>
                <w:rFonts w:ascii="Calibri" w:hAnsi="Calibri" w:cs="Calibri"/>
              </w:rPr>
            </w:pPr>
            <w:r>
              <w:rPr>
                <w:rFonts w:ascii="Calibri" w:hAnsi="Calibri" w:cs="Calibri"/>
              </w:rPr>
              <w:t>V typové aktivitě „druhotné suroviny“ upřednostňovat projekty zaměřené na materiálově nejnáročnější průmyslová odvětví (např. formou bodové bonifikace v hodnotících kritériích).</w:t>
            </w:r>
          </w:p>
        </w:tc>
      </w:tr>
    </w:tbl>
    <w:p w14:paraId="30DB793E" w14:textId="77777777" w:rsidR="00F43AB6" w:rsidRPr="001C210E" w:rsidRDefault="00F43AB6" w:rsidP="00F43AB6">
      <w:pPr>
        <w:spacing w:after="0"/>
        <w:rPr>
          <w:rFonts w:ascii="Calibri" w:hAnsi="Calibri" w:cs="Calibri"/>
        </w:rPr>
      </w:pPr>
    </w:p>
    <w:p w14:paraId="6EC71D2E" w14:textId="77777777" w:rsidR="00F43AB6" w:rsidRPr="001C210E" w:rsidRDefault="00F43AB6" w:rsidP="00F43AB6">
      <w:pPr>
        <w:pStyle w:val="Nadpis2"/>
      </w:pPr>
      <w:bookmarkStart w:id="176" w:name="_Toc4596859"/>
      <w:bookmarkStart w:id="177" w:name="_Toc10729978"/>
      <w:r w:rsidRPr="001C210E">
        <w:t>Doplňující informace k evaluační otázce</w:t>
      </w:r>
      <w:bookmarkEnd w:id="176"/>
      <w:bookmarkEnd w:id="177"/>
    </w:p>
    <w:p w14:paraId="1902808B" w14:textId="77777777" w:rsidR="007B7853" w:rsidRDefault="007B7853" w:rsidP="007B7853">
      <w:pPr>
        <w:spacing w:after="0"/>
        <w:rPr>
          <w:rFonts w:ascii="Calibri" w:hAnsi="Calibri" w:cs="Calibri"/>
        </w:rPr>
      </w:pPr>
      <w:r>
        <w:rPr>
          <w:rFonts w:ascii="Calibri" w:hAnsi="Calibri" w:cs="Calibri"/>
        </w:rPr>
        <w:t>Ke konci roku 2018 bylo v MS2014+ evidováno celkem 31 podpořených projektů v typové aktivitě „druhotné suroviny“ (tj. ve stavu s vydaným RoPD a výše). Jedná se o projekty zaměřené na</w:t>
      </w:r>
      <w:r w:rsidRPr="00A35F82">
        <w:rPr>
          <w:rFonts w:ascii="Calibri" w:hAnsi="Calibri" w:cs="Calibri"/>
        </w:rPr>
        <w:t xml:space="preserve"> zavádění nových technologií v oblasti druhotných surovin, které dosud nejsou v ČR ve větší míře využívané</w:t>
      </w:r>
      <w:r>
        <w:rPr>
          <w:rFonts w:ascii="Calibri" w:hAnsi="Calibri" w:cs="Calibri"/>
        </w:rPr>
        <w:t xml:space="preserve">. </w:t>
      </w:r>
    </w:p>
    <w:p w14:paraId="100A14F0" w14:textId="77777777" w:rsidR="007B7853" w:rsidRDefault="007B7853" w:rsidP="007B7853">
      <w:pPr>
        <w:spacing w:after="0"/>
        <w:rPr>
          <w:rFonts w:ascii="Calibri" w:hAnsi="Calibri" w:cs="Calibri"/>
        </w:rPr>
      </w:pPr>
    </w:p>
    <w:p w14:paraId="6DD1F6C1" w14:textId="4C6BB20A" w:rsidR="007B7853" w:rsidRDefault="007B7853" w:rsidP="007B7853">
      <w:pPr>
        <w:spacing w:after="0"/>
        <w:rPr>
          <w:rFonts w:ascii="Calibri" w:hAnsi="Calibri" w:cs="Calibri"/>
        </w:rPr>
      </w:pPr>
      <w:r>
        <w:rPr>
          <w:rFonts w:ascii="Calibri" w:hAnsi="Calibri" w:cs="Calibri"/>
        </w:rPr>
        <w:t>Hodnotitel neidentifikoval bezprostřední</w:t>
      </w:r>
      <w:r w:rsidR="00D96EC5">
        <w:rPr>
          <w:rFonts w:ascii="Calibri" w:hAnsi="Calibri" w:cs="Calibri"/>
        </w:rPr>
        <w:t>,</w:t>
      </w:r>
      <w:r>
        <w:rPr>
          <w:rFonts w:ascii="Calibri" w:hAnsi="Calibri" w:cs="Calibri"/>
        </w:rPr>
        <w:t xml:space="preserve"> významný vliv těchto projektů na </w:t>
      </w:r>
      <w:r w:rsidRPr="00A07414">
        <w:rPr>
          <w:rFonts w:ascii="Calibri" w:hAnsi="Calibri" w:cs="Calibri"/>
        </w:rPr>
        <w:t>zvýšení soběstačnosti ČR v surovinových zdrojích substitucí primárních zdrojů druhotnými surovinami</w:t>
      </w:r>
      <w:r>
        <w:rPr>
          <w:rFonts w:ascii="Calibri" w:hAnsi="Calibri" w:cs="Calibri"/>
        </w:rPr>
        <w:t>. Lze uvažovat spíše o potenciálu těchto projektů z pohledu širšího využití zaváděných technologií do budoucna. Hodnocení je tak možné založit převážně na kvalitativních přístupech.</w:t>
      </w:r>
    </w:p>
    <w:p w14:paraId="2AF43377" w14:textId="77777777" w:rsidR="007B7853" w:rsidRDefault="007B7853" w:rsidP="007B7853">
      <w:pPr>
        <w:spacing w:after="0"/>
        <w:rPr>
          <w:rFonts w:ascii="Calibri" w:hAnsi="Calibri" w:cs="Calibri"/>
        </w:rPr>
      </w:pPr>
    </w:p>
    <w:p w14:paraId="75671EB0" w14:textId="77777777" w:rsidR="007B7853" w:rsidRPr="000B6F24" w:rsidRDefault="007B7853" w:rsidP="007B7853">
      <w:pPr>
        <w:spacing w:after="0"/>
        <w:rPr>
          <w:rFonts w:ascii="Calibri" w:hAnsi="Calibri" w:cs="Calibri"/>
          <w:b/>
        </w:rPr>
      </w:pPr>
      <w:r w:rsidRPr="000B6F24">
        <w:rPr>
          <w:rFonts w:ascii="Calibri" w:hAnsi="Calibri" w:cs="Calibri"/>
          <w:b/>
        </w:rPr>
        <w:t>Energetická náročnost</w:t>
      </w:r>
    </w:p>
    <w:p w14:paraId="10114A90" w14:textId="4814EF21" w:rsidR="007B7853" w:rsidRDefault="007B7853" w:rsidP="007B7853">
      <w:pPr>
        <w:spacing w:after="0"/>
        <w:rPr>
          <w:rFonts w:ascii="Calibri" w:hAnsi="Calibri" w:cs="Calibri"/>
        </w:rPr>
      </w:pPr>
      <w:r>
        <w:rPr>
          <w:rFonts w:ascii="Calibri" w:hAnsi="Calibri" w:cs="Calibri"/>
        </w:rPr>
        <w:t xml:space="preserve">Energetická náročnost výrobních odvětví byla posuzována jako podíl konečné spotřeby energie na hrubé přidané hodnotě. Meziroční změny ve vybraných odvětvích, resp. odvětvových agregacích znázorňuje </w:t>
      </w:r>
      <w:r w:rsidRPr="007A2593">
        <w:rPr>
          <w:rFonts w:ascii="Calibri" w:hAnsi="Calibri" w:cs="Calibri"/>
        </w:rPr>
        <w:t xml:space="preserve">tabulka </w:t>
      </w:r>
      <w:r w:rsidR="000B7AFC" w:rsidRPr="007A2593">
        <w:rPr>
          <w:rFonts w:ascii="Calibri" w:hAnsi="Calibri" w:cs="Calibri"/>
        </w:rPr>
        <w:t>14</w:t>
      </w:r>
      <w:r w:rsidRPr="007A2593">
        <w:rPr>
          <w:rFonts w:ascii="Calibri" w:hAnsi="Calibri" w:cs="Calibri"/>
        </w:rPr>
        <w:t>:</w:t>
      </w:r>
    </w:p>
    <w:p w14:paraId="02663D46" w14:textId="77777777" w:rsidR="007B7853" w:rsidRDefault="007B7853" w:rsidP="007B7853">
      <w:pPr>
        <w:spacing w:after="0"/>
        <w:rPr>
          <w:rFonts w:ascii="Calibri" w:hAnsi="Calibri" w:cs="Calibri"/>
        </w:rPr>
      </w:pPr>
    </w:p>
    <w:p w14:paraId="27495A6F" w14:textId="7C93A65B" w:rsidR="007B7853" w:rsidRDefault="007B7853" w:rsidP="007B7853">
      <w:pPr>
        <w:pStyle w:val="Titulek"/>
      </w:pPr>
      <w:bookmarkStart w:id="178" w:name="_Toc10730033"/>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14</w:t>
      </w:r>
      <w:r w:rsidR="00BD754F">
        <w:rPr>
          <w:noProof/>
        </w:rPr>
        <w:fldChar w:fldCharType="end"/>
      </w:r>
      <w:r>
        <w:t>: Energetická náročnost vybraných odvětvových agregací (meziroční změna, v %)</w:t>
      </w:r>
      <w:bookmarkEnd w:id="178"/>
    </w:p>
    <w:tbl>
      <w:tblPr>
        <w:tblStyle w:val="Mkatabulky"/>
        <w:tblW w:w="0" w:type="auto"/>
        <w:tblLook w:val="04A0" w:firstRow="1" w:lastRow="0" w:firstColumn="1" w:lastColumn="0" w:noHBand="0" w:noVBand="1"/>
      </w:tblPr>
      <w:tblGrid>
        <w:gridCol w:w="3397"/>
        <w:gridCol w:w="960"/>
        <w:gridCol w:w="960"/>
        <w:gridCol w:w="960"/>
      </w:tblGrid>
      <w:tr w:rsidR="007B7853" w:rsidRPr="000B7AFC" w14:paraId="0D505333" w14:textId="77777777" w:rsidTr="00AF06A0">
        <w:trPr>
          <w:trHeight w:val="288"/>
        </w:trPr>
        <w:tc>
          <w:tcPr>
            <w:tcW w:w="3397" w:type="dxa"/>
            <w:shd w:val="clear" w:color="auto" w:fill="002060"/>
            <w:noWrap/>
            <w:hideMark/>
          </w:tcPr>
          <w:p w14:paraId="441F0A0D" w14:textId="77777777" w:rsidR="007B7853" w:rsidRPr="000B7AFC" w:rsidRDefault="007B7853" w:rsidP="00AF06A0">
            <w:pPr>
              <w:jc w:val="center"/>
              <w:rPr>
                <w:rFonts w:ascii="Calibri" w:hAnsi="Calibri" w:cs="Calibri"/>
                <w:b/>
                <w:sz w:val="20"/>
              </w:rPr>
            </w:pPr>
          </w:p>
        </w:tc>
        <w:tc>
          <w:tcPr>
            <w:tcW w:w="960" w:type="dxa"/>
            <w:shd w:val="clear" w:color="auto" w:fill="002060"/>
            <w:noWrap/>
            <w:hideMark/>
          </w:tcPr>
          <w:p w14:paraId="75D16844" w14:textId="77777777" w:rsidR="007B7853" w:rsidRPr="000B7AFC" w:rsidRDefault="007B7853" w:rsidP="00AF06A0">
            <w:pPr>
              <w:jc w:val="center"/>
              <w:rPr>
                <w:rFonts w:ascii="Calibri" w:hAnsi="Calibri" w:cs="Calibri"/>
                <w:b/>
                <w:sz w:val="20"/>
              </w:rPr>
            </w:pPr>
            <w:r w:rsidRPr="000B7AFC">
              <w:rPr>
                <w:rFonts w:ascii="Calibri" w:hAnsi="Calibri" w:cs="Calibri"/>
                <w:b/>
                <w:sz w:val="20"/>
              </w:rPr>
              <w:t>2015</w:t>
            </w:r>
          </w:p>
        </w:tc>
        <w:tc>
          <w:tcPr>
            <w:tcW w:w="960" w:type="dxa"/>
            <w:shd w:val="clear" w:color="auto" w:fill="002060"/>
            <w:noWrap/>
            <w:hideMark/>
          </w:tcPr>
          <w:p w14:paraId="7D99E6D8" w14:textId="77777777" w:rsidR="007B7853" w:rsidRPr="000B7AFC" w:rsidRDefault="007B7853" w:rsidP="00AF06A0">
            <w:pPr>
              <w:jc w:val="center"/>
              <w:rPr>
                <w:rFonts w:ascii="Calibri" w:hAnsi="Calibri" w:cs="Calibri"/>
                <w:b/>
                <w:sz w:val="20"/>
              </w:rPr>
            </w:pPr>
            <w:r w:rsidRPr="000B7AFC">
              <w:rPr>
                <w:rFonts w:ascii="Calibri" w:hAnsi="Calibri" w:cs="Calibri"/>
                <w:b/>
                <w:sz w:val="20"/>
              </w:rPr>
              <w:t>2016</w:t>
            </w:r>
          </w:p>
        </w:tc>
        <w:tc>
          <w:tcPr>
            <w:tcW w:w="960" w:type="dxa"/>
            <w:shd w:val="clear" w:color="auto" w:fill="002060"/>
            <w:noWrap/>
            <w:hideMark/>
          </w:tcPr>
          <w:p w14:paraId="1439ED46" w14:textId="77777777" w:rsidR="007B7853" w:rsidRPr="000B7AFC" w:rsidRDefault="007B7853" w:rsidP="00AF06A0">
            <w:pPr>
              <w:jc w:val="center"/>
              <w:rPr>
                <w:rFonts w:ascii="Calibri" w:hAnsi="Calibri" w:cs="Calibri"/>
                <w:b/>
                <w:sz w:val="20"/>
              </w:rPr>
            </w:pPr>
            <w:r w:rsidRPr="000B7AFC">
              <w:rPr>
                <w:rFonts w:ascii="Calibri" w:hAnsi="Calibri" w:cs="Calibri"/>
                <w:b/>
                <w:sz w:val="20"/>
              </w:rPr>
              <w:t>2017</w:t>
            </w:r>
          </w:p>
        </w:tc>
      </w:tr>
      <w:tr w:rsidR="007B7853" w:rsidRPr="007033DE" w14:paraId="5C2F292F" w14:textId="77777777" w:rsidTr="00AF06A0">
        <w:trPr>
          <w:trHeight w:val="288"/>
        </w:trPr>
        <w:tc>
          <w:tcPr>
            <w:tcW w:w="3397" w:type="dxa"/>
            <w:noWrap/>
            <w:hideMark/>
          </w:tcPr>
          <w:p w14:paraId="5D948AEA" w14:textId="77777777" w:rsidR="007B7853" w:rsidRPr="007033DE" w:rsidRDefault="007B7853" w:rsidP="00AF06A0">
            <w:pPr>
              <w:rPr>
                <w:rFonts w:ascii="Calibri" w:hAnsi="Calibri" w:cs="Calibri"/>
                <w:sz w:val="20"/>
              </w:rPr>
            </w:pPr>
            <w:r w:rsidRPr="007033DE">
              <w:rPr>
                <w:rFonts w:ascii="Calibri" w:hAnsi="Calibri" w:cs="Calibri"/>
                <w:sz w:val="20"/>
              </w:rPr>
              <w:t>Železné a neželezné kovy</w:t>
            </w:r>
          </w:p>
        </w:tc>
        <w:tc>
          <w:tcPr>
            <w:tcW w:w="960" w:type="dxa"/>
            <w:noWrap/>
            <w:hideMark/>
          </w:tcPr>
          <w:p w14:paraId="26A22679" w14:textId="77777777" w:rsidR="007B7853" w:rsidRPr="007033DE" w:rsidRDefault="007B7853" w:rsidP="00AF06A0">
            <w:pPr>
              <w:jc w:val="center"/>
              <w:rPr>
                <w:rFonts w:ascii="Calibri" w:hAnsi="Calibri" w:cs="Calibri"/>
                <w:sz w:val="20"/>
              </w:rPr>
            </w:pPr>
            <w:r w:rsidRPr="007033DE">
              <w:rPr>
                <w:rFonts w:ascii="Calibri" w:hAnsi="Calibri" w:cs="Calibri"/>
                <w:sz w:val="20"/>
              </w:rPr>
              <w:t>-6,7%</w:t>
            </w:r>
          </w:p>
        </w:tc>
        <w:tc>
          <w:tcPr>
            <w:tcW w:w="960" w:type="dxa"/>
            <w:noWrap/>
            <w:hideMark/>
          </w:tcPr>
          <w:p w14:paraId="35AAC646" w14:textId="77777777" w:rsidR="007B7853" w:rsidRPr="007033DE" w:rsidRDefault="007B7853" w:rsidP="00AF06A0">
            <w:pPr>
              <w:jc w:val="center"/>
              <w:rPr>
                <w:rFonts w:ascii="Calibri" w:hAnsi="Calibri" w:cs="Calibri"/>
                <w:sz w:val="20"/>
              </w:rPr>
            </w:pPr>
            <w:r w:rsidRPr="007033DE">
              <w:rPr>
                <w:rFonts w:ascii="Calibri" w:hAnsi="Calibri" w:cs="Calibri"/>
                <w:sz w:val="20"/>
              </w:rPr>
              <w:t>11,1%</w:t>
            </w:r>
          </w:p>
        </w:tc>
        <w:tc>
          <w:tcPr>
            <w:tcW w:w="960" w:type="dxa"/>
            <w:noWrap/>
            <w:hideMark/>
          </w:tcPr>
          <w:p w14:paraId="73854EDB" w14:textId="77777777" w:rsidR="007B7853" w:rsidRPr="007033DE" w:rsidRDefault="007B7853" w:rsidP="00AF06A0">
            <w:pPr>
              <w:jc w:val="center"/>
              <w:rPr>
                <w:rFonts w:ascii="Calibri" w:hAnsi="Calibri" w:cs="Calibri"/>
                <w:sz w:val="20"/>
              </w:rPr>
            </w:pPr>
            <w:r w:rsidRPr="007033DE">
              <w:rPr>
                <w:rFonts w:ascii="Calibri" w:hAnsi="Calibri" w:cs="Calibri"/>
                <w:sz w:val="20"/>
              </w:rPr>
              <w:t>9,6%</w:t>
            </w:r>
          </w:p>
        </w:tc>
      </w:tr>
      <w:tr w:rsidR="007B7853" w:rsidRPr="007033DE" w14:paraId="4C999E7E" w14:textId="77777777" w:rsidTr="00AF06A0">
        <w:trPr>
          <w:trHeight w:val="288"/>
        </w:trPr>
        <w:tc>
          <w:tcPr>
            <w:tcW w:w="3397" w:type="dxa"/>
            <w:noWrap/>
            <w:hideMark/>
          </w:tcPr>
          <w:p w14:paraId="184BD335" w14:textId="77777777" w:rsidR="007B7853" w:rsidRPr="007033DE" w:rsidRDefault="007B7853" w:rsidP="00AF06A0">
            <w:pPr>
              <w:rPr>
                <w:rFonts w:ascii="Calibri" w:hAnsi="Calibri" w:cs="Calibri"/>
                <w:sz w:val="20"/>
              </w:rPr>
            </w:pPr>
            <w:r w:rsidRPr="007033DE">
              <w:rPr>
                <w:rFonts w:ascii="Calibri" w:hAnsi="Calibri" w:cs="Calibri"/>
                <w:sz w:val="20"/>
              </w:rPr>
              <w:t>Chemický a petrochemický</w:t>
            </w:r>
          </w:p>
        </w:tc>
        <w:tc>
          <w:tcPr>
            <w:tcW w:w="960" w:type="dxa"/>
            <w:noWrap/>
            <w:hideMark/>
          </w:tcPr>
          <w:p w14:paraId="2FF257A5" w14:textId="77777777" w:rsidR="007B7853" w:rsidRPr="007033DE" w:rsidRDefault="007B7853" w:rsidP="00AF06A0">
            <w:pPr>
              <w:jc w:val="center"/>
              <w:rPr>
                <w:rFonts w:ascii="Calibri" w:hAnsi="Calibri" w:cs="Calibri"/>
                <w:sz w:val="20"/>
              </w:rPr>
            </w:pPr>
            <w:r w:rsidRPr="007033DE">
              <w:rPr>
                <w:rFonts w:ascii="Calibri" w:hAnsi="Calibri" w:cs="Calibri"/>
                <w:sz w:val="20"/>
              </w:rPr>
              <w:t>-3,5%</w:t>
            </w:r>
          </w:p>
        </w:tc>
        <w:tc>
          <w:tcPr>
            <w:tcW w:w="960" w:type="dxa"/>
            <w:noWrap/>
            <w:hideMark/>
          </w:tcPr>
          <w:p w14:paraId="7F19220A" w14:textId="77777777" w:rsidR="007B7853" w:rsidRPr="007033DE" w:rsidRDefault="007B7853" w:rsidP="00AF06A0">
            <w:pPr>
              <w:jc w:val="center"/>
              <w:rPr>
                <w:rFonts w:ascii="Calibri" w:hAnsi="Calibri" w:cs="Calibri"/>
                <w:sz w:val="20"/>
              </w:rPr>
            </w:pPr>
            <w:r w:rsidRPr="007033DE">
              <w:rPr>
                <w:rFonts w:ascii="Calibri" w:hAnsi="Calibri" w:cs="Calibri"/>
                <w:sz w:val="20"/>
              </w:rPr>
              <w:t>8,1%</w:t>
            </w:r>
          </w:p>
        </w:tc>
        <w:tc>
          <w:tcPr>
            <w:tcW w:w="960" w:type="dxa"/>
            <w:noWrap/>
            <w:hideMark/>
          </w:tcPr>
          <w:p w14:paraId="023BD651" w14:textId="77777777" w:rsidR="007B7853" w:rsidRPr="007033DE" w:rsidRDefault="007B7853" w:rsidP="00AF06A0">
            <w:pPr>
              <w:jc w:val="center"/>
              <w:rPr>
                <w:rFonts w:ascii="Calibri" w:hAnsi="Calibri" w:cs="Calibri"/>
                <w:sz w:val="20"/>
              </w:rPr>
            </w:pPr>
            <w:r w:rsidRPr="007033DE">
              <w:rPr>
                <w:rFonts w:ascii="Calibri" w:hAnsi="Calibri" w:cs="Calibri"/>
                <w:sz w:val="20"/>
              </w:rPr>
              <w:t>-17,7%</w:t>
            </w:r>
          </w:p>
        </w:tc>
      </w:tr>
      <w:tr w:rsidR="007B7853" w:rsidRPr="007033DE" w14:paraId="148C1523" w14:textId="77777777" w:rsidTr="00AF06A0">
        <w:trPr>
          <w:trHeight w:val="288"/>
        </w:trPr>
        <w:tc>
          <w:tcPr>
            <w:tcW w:w="3397" w:type="dxa"/>
            <w:noWrap/>
            <w:hideMark/>
          </w:tcPr>
          <w:p w14:paraId="3C62230A" w14:textId="77777777" w:rsidR="007B7853" w:rsidRPr="007033DE" w:rsidRDefault="007B7853" w:rsidP="00AF06A0">
            <w:pPr>
              <w:rPr>
                <w:rFonts w:ascii="Calibri" w:hAnsi="Calibri" w:cs="Calibri"/>
                <w:sz w:val="20"/>
              </w:rPr>
            </w:pPr>
            <w:r w:rsidRPr="007033DE">
              <w:rPr>
                <w:rFonts w:ascii="Calibri" w:hAnsi="Calibri" w:cs="Calibri"/>
                <w:sz w:val="20"/>
              </w:rPr>
              <w:t>Nekovové minerály</w:t>
            </w:r>
          </w:p>
        </w:tc>
        <w:tc>
          <w:tcPr>
            <w:tcW w:w="960" w:type="dxa"/>
            <w:noWrap/>
            <w:hideMark/>
          </w:tcPr>
          <w:p w14:paraId="1BE70A41" w14:textId="77777777" w:rsidR="007B7853" w:rsidRPr="007033DE" w:rsidRDefault="007B7853" w:rsidP="00AF06A0">
            <w:pPr>
              <w:jc w:val="center"/>
              <w:rPr>
                <w:rFonts w:ascii="Calibri" w:hAnsi="Calibri" w:cs="Calibri"/>
                <w:sz w:val="20"/>
              </w:rPr>
            </w:pPr>
            <w:r w:rsidRPr="007033DE">
              <w:rPr>
                <w:rFonts w:ascii="Calibri" w:hAnsi="Calibri" w:cs="Calibri"/>
                <w:sz w:val="20"/>
              </w:rPr>
              <w:t>-13,1%</w:t>
            </w:r>
          </w:p>
        </w:tc>
        <w:tc>
          <w:tcPr>
            <w:tcW w:w="960" w:type="dxa"/>
            <w:noWrap/>
            <w:hideMark/>
          </w:tcPr>
          <w:p w14:paraId="09812E5E" w14:textId="77777777" w:rsidR="007B7853" w:rsidRPr="007033DE" w:rsidRDefault="007B7853" w:rsidP="00AF06A0">
            <w:pPr>
              <w:jc w:val="center"/>
              <w:rPr>
                <w:rFonts w:ascii="Calibri" w:hAnsi="Calibri" w:cs="Calibri"/>
                <w:sz w:val="20"/>
              </w:rPr>
            </w:pPr>
            <w:r w:rsidRPr="007033DE">
              <w:rPr>
                <w:rFonts w:ascii="Calibri" w:hAnsi="Calibri" w:cs="Calibri"/>
                <w:sz w:val="20"/>
              </w:rPr>
              <w:t>-7,1%</w:t>
            </w:r>
          </w:p>
        </w:tc>
        <w:tc>
          <w:tcPr>
            <w:tcW w:w="960" w:type="dxa"/>
            <w:noWrap/>
            <w:hideMark/>
          </w:tcPr>
          <w:p w14:paraId="3BDC7BF4" w14:textId="77777777" w:rsidR="007B7853" w:rsidRPr="007033DE" w:rsidRDefault="007B7853" w:rsidP="00AF06A0">
            <w:pPr>
              <w:jc w:val="center"/>
              <w:rPr>
                <w:rFonts w:ascii="Calibri" w:hAnsi="Calibri" w:cs="Calibri"/>
                <w:sz w:val="20"/>
              </w:rPr>
            </w:pPr>
            <w:r w:rsidRPr="007033DE">
              <w:rPr>
                <w:rFonts w:ascii="Calibri" w:hAnsi="Calibri" w:cs="Calibri"/>
                <w:sz w:val="20"/>
              </w:rPr>
              <w:t>13,1%</w:t>
            </w:r>
          </w:p>
        </w:tc>
      </w:tr>
      <w:tr w:rsidR="007B7853" w:rsidRPr="007033DE" w14:paraId="6B34B74D" w14:textId="77777777" w:rsidTr="00AF06A0">
        <w:trPr>
          <w:trHeight w:val="288"/>
        </w:trPr>
        <w:tc>
          <w:tcPr>
            <w:tcW w:w="3397" w:type="dxa"/>
            <w:noWrap/>
            <w:hideMark/>
          </w:tcPr>
          <w:p w14:paraId="5D139CDB" w14:textId="77777777" w:rsidR="007B7853" w:rsidRPr="007033DE" w:rsidRDefault="007B7853" w:rsidP="00AF06A0">
            <w:pPr>
              <w:rPr>
                <w:rFonts w:ascii="Calibri" w:hAnsi="Calibri" w:cs="Calibri"/>
                <w:sz w:val="20"/>
              </w:rPr>
            </w:pPr>
            <w:r w:rsidRPr="007033DE">
              <w:rPr>
                <w:rFonts w:ascii="Calibri" w:hAnsi="Calibri" w:cs="Calibri"/>
                <w:sz w:val="20"/>
              </w:rPr>
              <w:t>Dopravní zařízení</w:t>
            </w:r>
          </w:p>
        </w:tc>
        <w:tc>
          <w:tcPr>
            <w:tcW w:w="960" w:type="dxa"/>
            <w:noWrap/>
            <w:hideMark/>
          </w:tcPr>
          <w:p w14:paraId="54755FCA" w14:textId="77777777" w:rsidR="007B7853" w:rsidRPr="007033DE" w:rsidRDefault="007B7853" w:rsidP="00AF06A0">
            <w:pPr>
              <w:jc w:val="center"/>
              <w:rPr>
                <w:rFonts w:ascii="Calibri" w:hAnsi="Calibri" w:cs="Calibri"/>
                <w:sz w:val="20"/>
              </w:rPr>
            </w:pPr>
            <w:r w:rsidRPr="007033DE">
              <w:rPr>
                <w:rFonts w:ascii="Calibri" w:hAnsi="Calibri" w:cs="Calibri"/>
                <w:sz w:val="20"/>
              </w:rPr>
              <w:t>-3,8%</w:t>
            </w:r>
          </w:p>
        </w:tc>
        <w:tc>
          <w:tcPr>
            <w:tcW w:w="960" w:type="dxa"/>
            <w:noWrap/>
            <w:hideMark/>
          </w:tcPr>
          <w:p w14:paraId="35E8A73E" w14:textId="77777777" w:rsidR="007B7853" w:rsidRPr="007033DE" w:rsidRDefault="007B7853" w:rsidP="00AF06A0">
            <w:pPr>
              <w:jc w:val="center"/>
              <w:rPr>
                <w:rFonts w:ascii="Calibri" w:hAnsi="Calibri" w:cs="Calibri"/>
                <w:sz w:val="20"/>
              </w:rPr>
            </w:pPr>
            <w:r w:rsidRPr="007033DE">
              <w:rPr>
                <w:rFonts w:ascii="Calibri" w:hAnsi="Calibri" w:cs="Calibri"/>
                <w:sz w:val="20"/>
              </w:rPr>
              <w:t>8,1%</w:t>
            </w:r>
          </w:p>
        </w:tc>
        <w:tc>
          <w:tcPr>
            <w:tcW w:w="960" w:type="dxa"/>
            <w:noWrap/>
            <w:hideMark/>
          </w:tcPr>
          <w:p w14:paraId="3964CDB7" w14:textId="77777777" w:rsidR="007B7853" w:rsidRPr="007033DE" w:rsidRDefault="007B7853" w:rsidP="00AF06A0">
            <w:pPr>
              <w:jc w:val="center"/>
              <w:rPr>
                <w:rFonts w:ascii="Calibri" w:hAnsi="Calibri" w:cs="Calibri"/>
                <w:sz w:val="20"/>
              </w:rPr>
            </w:pPr>
            <w:r w:rsidRPr="007033DE">
              <w:rPr>
                <w:rFonts w:ascii="Calibri" w:hAnsi="Calibri" w:cs="Calibri"/>
                <w:sz w:val="20"/>
              </w:rPr>
              <w:t>10,0%</w:t>
            </w:r>
          </w:p>
        </w:tc>
      </w:tr>
      <w:tr w:rsidR="007B7853" w:rsidRPr="007033DE" w14:paraId="75FBA521" w14:textId="77777777" w:rsidTr="00AF06A0">
        <w:trPr>
          <w:trHeight w:val="288"/>
        </w:trPr>
        <w:tc>
          <w:tcPr>
            <w:tcW w:w="3397" w:type="dxa"/>
            <w:noWrap/>
            <w:hideMark/>
          </w:tcPr>
          <w:p w14:paraId="6068EC4C" w14:textId="77777777" w:rsidR="007B7853" w:rsidRPr="007033DE" w:rsidRDefault="007B7853" w:rsidP="00AF06A0">
            <w:pPr>
              <w:rPr>
                <w:rFonts w:ascii="Calibri" w:hAnsi="Calibri" w:cs="Calibri"/>
                <w:sz w:val="20"/>
              </w:rPr>
            </w:pPr>
            <w:r w:rsidRPr="007033DE">
              <w:rPr>
                <w:rFonts w:ascii="Calibri" w:hAnsi="Calibri" w:cs="Calibri"/>
                <w:sz w:val="20"/>
              </w:rPr>
              <w:t>Strojírenství</w:t>
            </w:r>
          </w:p>
        </w:tc>
        <w:tc>
          <w:tcPr>
            <w:tcW w:w="960" w:type="dxa"/>
            <w:noWrap/>
            <w:hideMark/>
          </w:tcPr>
          <w:p w14:paraId="343E0C08" w14:textId="77777777" w:rsidR="007B7853" w:rsidRPr="007033DE" w:rsidRDefault="007B7853" w:rsidP="00AF06A0">
            <w:pPr>
              <w:jc w:val="center"/>
              <w:rPr>
                <w:rFonts w:ascii="Calibri" w:hAnsi="Calibri" w:cs="Calibri"/>
                <w:sz w:val="20"/>
              </w:rPr>
            </w:pPr>
            <w:r w:rsidRPr="007033DE">
              <w:rPr>
                <w:rFonts w:ascii="Calibri" w:hAnsi="Calibri" w:cs="Calibri"/>
                <w:sz w:val="20"/>
              </w:rPr>
              <w:t>-0,7%</w:t>
            </w:r>
          </w:p>
        </w:tc>
        <w:tc>
          <w:tcPr>
            <w:tcW w:w="960" w:type="dxa"/>
            <w:noWrap/>
            <w:hideMark/>
          </w:tcPr>
          <w:p w14:paraId="4B606260" w14:textId="77777777" w:rsidR="007B7853" w:rsidRPr="007033DE" w:rsidRDefault="007B7853" w:rsidP="00AF06A0">
            <w:pPr>
              <w:jc w:val="center"/>
              <w:rPr>
                <w:rFonts w:ascii="Calibri" w:hAnsi="Calibri" w:cs="Calibri"/>
                <w:sz w:val="20"/>
              </w:rPr>
            </w:pPr>
            <w:r w:rsidRPr="007033DE">
              <w:rPr>
                <w:rFonts w:ascii="Calibri" w:hAnsi="Calibri" w:cs="Calibri"/>
                <w:sz w:val="20"/>
              </w:rPr>
              <w:t>3,3%</w:t>
            </w:r>
          </w:p>
        </w:tc>
        <w:tc>
          <w:tcPr>
            <w:tcW w:w="960" w:type="dxa"/>
            <w:noWrap/>
            <w:hideMark/>
          </w:tcPr>
          <w:p w14:paraId="4BAAE40D" w14:textId="77777777" w:rsidR="007B7853" w:rsidRPr="007033DE" w:rsidRDefault="007B7853" w:rsidP="00AF06A0">
            <w:pPr>
              <w:jc w:val="center"/>
              <w:rPr>
                <w:rFonts w:ascii="Calibri" w:hAnsi="Calibri" w:cs="Calibri"/>
                <w:sz w:val="20"/>
              </w:rPr>
            </w:pPr>
            <w:r w:rsidRPr="007033DE">
              <w:rPr>
                <w:rFonts w:ascii="Calibri" w:hAnsi="Calibri" w:cs="Calibri"/>
                <w:sz w:val="20"/>
              </w:rPr>
              <w:t>-3,1%</w:t>
            </w:r>
          </w:p>
        </w:tc>
      </w:tr>
      <w:tr w:rsidR="007B7853" w:rsidRPr="007033DE" w14:paraId="56C39BD0" w14:textId="77777777" w:rsidTr="00AF06A0">
        <w:trPr>
          <w:trHeight w:val="288"/>
        </w:trPr>
        <w:tc>
          <w:tcPr>
            <w:tcW w:w="3397" w:type="dxa"/>
            <w:noWrap/>
            <w:hideMark/>
          </w:tcPr>
          <w:p w14:paraId="51FADE18" w14:textId="77777777" w:rsidR="007B7853" w:rsidRPr="007033DE" w:rsidRDefault="007B7853" w:rsidP="00AF06A0">
            <w:pPr>
              <w:rPr>
                <w:rFonts w:ascii="Calibri" w:hAnsi="Calibri" w:cs="Calibri"/>
                <w:sz w:val="20"/>
              </w:rPr>
            </w:pPr>
            <w:r w:rsidRPr="007033DE">
              <w:rPr>
                <w:rFonts w:ascii="Calibri" w:hAnsi="Calibri" w:cs="Calibri"/>
                <w:sz w:val="20"/>
              </w:rPr>
              <w:t>Těžba a dobývání neenerg. surovin</w:t>
            </w:r>
          </w:p>
        </w:tc>
        <w:tc>
          <w:tcPr>
            <w:tcW w:w="960" w:type="dxa"/>
            <w:noWrap/>
            <w:hideMark/>
          </w:tcPr>
          <w:p w14:paraId="20272958" w14:textId="77777777" w:rsidR="007B7853" w:rsidRPr="007033DE" w:rsidRDefault="007B7853" w:rsidP="00AF06A0">
            <w:pPr>
              <w:jc w:val="center"/>
              <w:rPr>
                <w:rFonts w:ascii="Calibri" w:hAnsi="Calibri" w:cs="Calibri"/>
                <w:sz w:val="20"/>
              </w:rPr>
            </w:pPr>
            <w:r w:rsidRPr="007033DE">
              <w:rPr>
                <w:rFonts w:ascii="Calibri" w:hAnsi="Calibri" w:cs="Calibri"/>
                <w:sz w:val="20"/>
              </w:rPr>
              <w:t>8,6%</w:t>
            </w:r>
          </w:p>
        </w:tc>
        <w:tc>
          <w:tcPr>
            <w:tcW w:w="960" w:type="dxa"/>
            <w:noWrap/>
            <w:hideMark/>
          </w:tcPr>
          <w:p w14:paraId="1969DAA8" w14:textId="77777777" w:rsidR="007B7853" w:rsidRPr="007033DE" w:rsidRDefault="007B7853" w:rsidP="00AF06A0">
            <w:pPr>
              <w:jc w:val="center"/>
              <w:rPr>
                <w:rFonts w:ascii="Calibri" w:hAnsi="Calibri" w:cs="Calibri"/>
                <w:sz w:val="20"/>
              </w:rPr>
            </w:pPr>
            <w:r w:rsidRPr="007033DE">
              <w:rPr>
                <w:rFonts w:ascii="Calibri" w:hAnsi="Calibri" w:cs="Calibri"/>
                <w:sz w:val="20"/>
              </w:rPr>
              <w:t>11,9%</w:t>
            </w:r>
          </w:p>
        </w:tc>
        <w:tc>
          <w:tcPr>
            <w:tcW w:w="960" w:type="dxa"/>
            <w:noWrap/>
            <w:hideMark/>
          </w:tcPr>
          <w:p w14:paraId="0CF60FAA" w14:textId="77777777" w:rsidR="007B7853" w:rsidRPr="007033DE" w:rsidRDefault="007B7853" w:rsidP="00AF06A0">
            <w:pPr>
              <w:jc w:val="center"/>
              <w:rPr>
                <w:rFonts w:ascii="Calibri" w:hAnsi="Calibri" w:cs="Calibri"/>
                <w:sz w:val="20"/>
              </w:rPr>
            </w:pPr>
            <w:r w:rsidRPr="007033DE">
              <w:rPr>
                <w:rFonts w:ascii="Calibri" w:hAnsi="Calibri" w:cs="Calibri"/>
                <w:sz w:val="20"/>
              </w:rPr>
              <w:t>-4,2%</w:t>
            </w:r>
          </w:p>
        </w:tc>
      </w:tr>
      <w:tr w:rsidR="007B7853" w:rsidRPr="007033DE" w14:paraId="4F59F112" w14:textId="77777777" w:rsidTr="00AF06A0">
        <w:trPr>
          <w:trHeight w:val="288"/>
        </w:trPr>
        <w:tc>
          <w:tcPr>
            <w:tcW w:w="3397" w:type="dxa"/>
            <w:noWrap/>
            <w:hideMark/>
          </w:tcPr>
          <w:p w14:paraId="293D571A" w14:textId="77777777" w:rsidR="007B7853" w:rsidRPr="007033DE" w:rsidRDefault="007B7853" w:rsidP="00AF06A0">
            <w:pPr>
              <w:rPr>
                <w:rFonts w:ascii="Calibri" w:hAnsi="Calibri" w:cs="Calibri"/>
                <w:sz w:val="20"/>
              </w:rPr>
            </w:pPr>
            <w:r w:rsidRPr="007033DE">
              <w:rPr>
                <w:rFonts w:ascii="Calibri" w:hAnsi="Calibri" w:cs="Calibri"/>
                <w:sz w:val="20"/>
              </w:rPr>
              <w:t>Potraviny, nápoje a tabák</w:t>
            </w:r>
          </w:p>
        </w:tc>
        <w:tc>
          <w:tcPr>
            <w:tcW w:w="960" w:type="dxa"/>
            <w:noWrap/>
            <w:hideMark/>
          </w:tcPr>
          <w:p w14:paraId="3143406F" w14:textId="77777777" w:rsidR="007B7853" w:rsidRPr="007033DE" w:rsidRDefault="007B7853" w:rsidP="00AF06A0">
            <w:pPr>
              <w:jc w:val="center"/>
              <w:rPr>
                <w:rFonts w:ascii="Calibri" w:hAnsi="Calibri" w:cs="Calibri"/>
                <w:sz w:val="20"/>
              </w:rPr>
            </w:pPr>
            <w:r w:rsidRPr="007033DE">
              <w:rPr>
                <w:rFonts w:ascii="Calibri" w:hAnsi="Calibri" w:cs="Calibri"/>
                <w:sz w:val="20"/>
              </w:rPr>
              <w:t>6,1%</w:t>
            </w:r>
          </w:p>
        </w:tc>
        <w:tc>
          <w:tcPr>
            <w:tcW w:w="960" w:type="dxa"/>
            <w:noWrap/>
            <w:hideMark/>
          </w:tcPr>
          <w:p w14:paraId="7C0BC0CE" w14:textId="77777777" w:rsidR="007B7853" w:rsidRPr="007033DE" w:rsidRDefault="007B7853" w:rsidP="00AF06A0">
            <w:pPr>
              <w:jc w:val="center"/>
              <w:rPr>
                <w:rFonts w:ascii="Calibri" w:hAnsi="Calibri" w:cs="Calibri"/>
                <w:sz w:val="20"/>
              </w:rPr>
            </w:pPr>
            <w:r w:rsidRPr="007033DE">
              <w:rPr>
                <w:rFonts w:ascii="Calibri" w:hAnsi="Calibri" w:cs="Calibri"/>
                <w:sz w:val="20"/>
              </w:rPr>
              <w:t>-8,5%</w:t>
            </w:r>
          </w:p>
        </w:tc>
        <w:tc>
          <w:tcPr>
            <w:tcW w:w="960" w:type="dxa"/>
            <w:noWrap/>
            <w:hideMark/>
          </w:tcPr>
          <w:p w14:paraId="69F0A0E9" w14:textId="77777777" w:rsidR="007B7853" w:rsidRPr="007033DE" w:rsidRDefault="007B7853" w:rsidP="00AF06A0">
            <w:pPr>
              <w:jc w:val="center"/>
              <w:rPr>
                <w:rFonts w:ascii="Calibri" w:hAnsi="Calibri" w:cs="Calibri"/>
                <w:sz w:val="20"/>
              </w:rPr>
            </w:pPr>
            <w:r w:rsidRPr="007033DE">
              <w:rPr>
                <w:rFonts w:ascii="Calibri" w:hAnsi="Calibri" w:cs="Calibri"/>
                <w:sz w:val="20"/>
              </w:rPr>
              <w:t>0,1%</w:t>
            </w:r>
          </w:p>
        </w:tc>
      </w:tr>
      <w:tr w:rsidR="007B7853" w:rsidRPr="007033DE" w14:paraId="22C37416" w14:textId="77777777" w:rsidTr="00AF06A0">
        <w:trPr>
          <w:trHeight w:val="288"/>
        </w:trPr>
        <w:tc>
          <w:tcPr>
            <w:tcW w:w="3397" w:type="dxa"/>
            <w:noWrap/>
            <w:hideMark/>
          </w:tcPr>
          <w:p w14:paraId="488224FE" w14:textId="77777777" w:rsidR="007B7853" w:rsidRPr="007033DE" w:rsidRDefault="007B7853" w:rsidP="00AF06A0">
            <w:pPr>
              <w:rPr>
                <w:rFonts w:ascii="Calibri" w:hAnsi="Calibri" w:cs="Calibri"/>
                <w:sz w:val="20"/>
              </w:rPr>
            </w:pPr>
            <w:r w:rsidRPr="007033DE">
              <w:rPr>
                <w:rFonts w:ascii="Calibri" w:hAnsi="Calibri" w:cs="Calibri"/>
                <w:sz w:val="20"/>
              </w:rPr>
              <w:t>Papír, buničina a tisk</w:t>
            </w:r>
          </w:p>
        </w:tc>
        <w:tc>
          <w:tcPr>
            <w:tcW w:w="960" w:type="dxa"/>
            <w:noWrap/>
            <w:hideMark/>
          </w:tcPr>
          <w:p w14:paraId="43D1FBDD" w14:textId="77777777" w:rsidR="007B7853" w:rsidRPr="007033DE" w:rsidRDefault="007B7853" w:rsidP="00AF06A0">
            <w:pPr>
              <w:jc w:val="center"/>
              <w:rPr>
                <w:rFonts w:ascii="Calibri" w:hAnsi="Calibri" w:cs="Calibri"/>
                <w:sz w:val="20"/>
              </w:rPr>
            </w:pPr>
            <w:r w:rsidRPr="007033DE">
              <w:rPr>
                <w:rFonts w:ascii="Calibri" w:hAnsi="Calibri" w:cs="Calibri"/>
                <w:sz w:val="20"/>
              </w:rPr>
              <w:t>-7,5%</w:t>
            </w:r>
          </w:p>
        </w:tc>
        <w:tc>
          <w:tcPr>
            <w:tcW w:w="960" w:type="dxa"/>
            <w:noWrap/>
            <w:hideMark/>
          </w:tcPr>
          <w:p w14:paraId="69B83416" w14:textId="77777777" w:rsidR="007B7853" w:rsidRPr="007033DE" w:rsidRDefault="007B7853" w:rsidP="00AF06A0">
            <w:pPr>
              <w:jc w:val="center"/>
              <w:rPr>
                <w:rFonts w:ascii="Calibri" w:hAnsi="Calibri" w:cs="Calibri"/>
                <w:sz w:val="20"/>
              </w:rPr>
            </w:pPr>
            <w:r w:rsidRPr="007033DE">
              <w:rPr>
                <w:rFonts w:ascii="Calibri" w:hAnsi="Calibri" w:cs="Calibri"/>
                <w:sz w:val="20"/>
              </w:rPr>
              <w:t>-7,1%</w:t>
            </w:r>
          </w:p>
        </w:tc>
        <w:tc>
          <w:tcPr>
            <w:tcW w:w="960" w:type="dxa"/>
            <w:noWrap/>
            <w:hideMark/>
          </w:tcPr>
          <w:p w14:paraId="5AB311EC" w14:textId="77777777" w:rsidR="007B7853" w:rsidRPr="007033DE" w:rsidRDefault="007B7853" w:rsidP="00AF06A0">
            <w:pPr>
              <w:jc w:val="center"/>
              <w:rPr>
                <w:rFonts w:ascii="Calibri" w:hAnsi="Calibri" w:cs="Calibri"/>
                <w:sz w:val="20"/>
              </w:rPr>
            </w:pPr>
            <w:r w:rsidRPr="007033DE">
              <w:rPr>
                <w:rFonts w:ascii="Calibri" w:hAnsi="Calibri" w:cs="Calibri"/>
                <w:sz w:val="20"/>
              </w:rPr>
              <w:t>3,6%</w:t>
            </w:r>
          </w:p>
        </w:tc>
      </w:tr>
      <w:tr w:rsidR="007B7853" w:rsidRPr="007033DE" w14:paraId="43B8FE99" w14:textId="77777777" w:rsidTr="00AF06A0">
        <w:trPr>
          <w:trHeight w:val="288"/>
        </w:trPr>
        <w:tc>
          <w:tcPr>
            <w:tcW w:w="3397" w:type="dxa"/>
            <w:noWrap/>
            <w:hideMark/>
          </w:tcPr>
          <w:p w14:paraId="3F49324E" w14:textId="77777777" w:rsidR="007B7853" w:rsidRPr="007033DE" w:rsidRDefault="007B7853" w:rsidP="00AF06A0">
            <w:pPr>
              <w:rPr>
                <w:rFonts w:ascii="Calibri" w:hAnsi="Calibri" w:cs="Calibri"/>
                <w:sz w:val="20"/>
              </w:rPr>
            </w:pPr>
            <w:r w:rsidRPr="007033DE">
              <w:rPr>
                <w:rFonts w:ascii="Calibri" w:hAnsi="Calibri" w:cs="Calibri"/>
                <w:sz w:val="20"/>
              </w:rPr>
              <w:t>Dřevo a dřevěné výrobky</w:t>
            </w:r>
          </w:p>
        </w:tc>
        <w:tc>
          <w:tcPr>
            <w:tcW w:w="960" w:type="dxa"/>
            <w:noWrap/>
            <w:hideMark/>
          </w:tcPr>
          <w:p w14:paraId="761BAAA8" w14:textId="77777777" w:rsidR="007B7853" w:rsidRPr="007033DE" w:rsidRDefault="007B7853" w:rsidP="00AF06A0">
            <w:pPr>
              <w:jc w:val="center"/>
              <w:rPr>
                <w:rFonts w:ascii="Calibri" w:hAnsi="Calibri" w:cs="Calibri"/>
                <w:sz w:val="20"/>
              </w:rPr>
            </w:pPr>
            <w:r w:rsidRPr="007033DE">
              <w:rPr>
                <w:rFonts w:ascii="Calibri" w:hAnsi="Calibri" w:cs="Calibri"/>
                <w:sz w:val="20"/>
              </w:rPr>
              <w:t>0,3%</w:t>
            </w:r>
          </w:p>
        </w:tc>
        <w:tc>
          <w:tcPr>
            <w:tcW w:w="960" w:type="dxa"/>
            <w:noWrap/>
            <w:hideMark/>
          </w:tcPr>
          <w:p w14:paraId="1E6EE472" w14:textId="77777777" w:rsidR="007B7853" w:rsidRPr="007033DE" w:rsidRDefault="007B7853" w:rsidP="00AF06A0">
            <w:pPr>
              <w:jc w:val="center"/>
              <w:rPr>
                <w:rFonts w:ascii="Calibri" w:hAnsi="Calibri" w:cs="Calibri"/>
                <w:sz w:val="20"/>
              </w:rPr>
            </w:pPr>
            <w:r w:rsidRPr="007033DE">
              <w:rPr>
                <w:rFonts w:ascii="Calibri" w:hAnsi="Calibri" w:cs="Calibri"/>
                <w:sz w:val="20"/>
              </w:rPr>
              <w:t>-9,6%</w:t>
            </w:r>
          </w:p>
        </w:tc>
        <w:tc>
          <w:tcPr>
            <w:tcW w:w="960" w:type="dxa"/>
            <w:noWrap/>
            <w:hideMark/>
          </w:tcPr>
          <w:p w14:paraId="1F3EB52B" w14:textId="77777777" w:rsidR="007B7853" w:rsidRPr="007033DE" w:rsidRDefault="007B7853" w:rsidP="00AF06A0">
            <w:pPr>
              <w:jc w:val="center"/>
              <w:rPr>
                <w:rFonts w:ascii="Calibri" w:hAnsi="Calibri" w:cs="Calibri"/>
                <w:sz w:val="20"/>
              </w:rPr>
            </w:pPr>
            <w:r w:rsidRPr="007033DE">
              <w:rPr>
                <w:rFonts w:ascii="Calibri" w:hAnsi="Calibri" w:cs="Calibri"/>
                <w:sz w:val="20"/>
              </w:rPr>
              <w:t>-9,8%</w:t>
            </w:r>
          </w:p>
        </w:tc>
      </w:tr>
      <w:tr w:rsidR="007B7853" w:rsidRPr="007033DE" w14:paraId="1120CC8F" w14:textId="77777777" w:rsidTr="00AF06A0">
        <w:trPr>
          <w:trHeight w:val="288"/>
        </w:trPr>
        <w:tc>
          <w:tcPr>
            <w:tcW w:w="3397" w:type="dxa"/>
            <w:noWrap/>
            <w:hideMark/>
          </w:tcPr>
          <w:p w14:paraId="2B0C1477" w14:textId="77777777" w:rsidR="007B7853" w:rsidRPr="007033DE" w:rsidRDefault="007B7853" w:rsidP="00AF06A0">
            <w:pPr>
              <w:rPr>
                <w:rFonts w:ascii="Calibri" w:hAnsi="Calibri" w:cs="Calibri"/>
                <w:sz w:val="20"/>
              </w:rPr>
            </w:pPr>
            <w:r w:rsidRPr="007033DE">
              <w:rPr>
                <w:rFonts w:ascii="Calibri" w:hAnsi="Calibri" w:cs="Calibri"/>
                <w:sz w:val="20"/>
              </w:rPr>
              <w:t>Stavebnictví</w:t>
            </w:r>
          </w:p>
        </w:tc>
        <w:tc>
          <w:tcPr>
            <w:tcW w:w="960" w:type="dxa"/>
            <w:noWrap/>
            <w:hideMark/>
          </w:tcPr>
          <w:p w14:paraId="0979EDC1" w14:textId="77777777" w:rsidR="007B7853" w:rsidRPr="007033DE" w:rsidRDefault="007B7853" w:rsidP="00AF06A0">
            <w:pPr>
              <w:jc w:val="center"/>
              <w:rPr>
                <w:rFonts w:ascii="Calibri" w:hAnsi="Calibri" w:cs="Calibri"/>
                <w:sz w:val="20"/>
              </w:rPr>
            </w:pPr>
            <w:r w:rsidRPr="007033DE">
              <w:rPr>
                <w:rFonts w:ascii="Calibri" w:hAnsi="Calibri" w:cs="Calibri"/>
                <w:sz w:val="20"/>
              </w:rPr>
              <w:t>-7,0%</w:t>
            </w:r>
          </w:p>
        </w:tc>
        <w:tc>
          <w:tcPr>
            <w:tcW w:w="960" w:type="dxa"/>
            <w:noWrap/>
            <w:hideMark/>
          </w:tcPr>
          <w:p w14:paraId="25A2B465" w14:textId="77777777" w:rsidR="007B7853" w:rsidRPr="007033DE" w:rsidRDefault="007B7853" w:rsidP="00AF06A0">
            <w:pPr>
              <w:jc w:val="center"/>
              <w:rPr>
                <w:rFonts w:ascii="Calibri" w:hAnsi="Calibri" w:cs="Calibri"/>
                <w:sz w:val="20"/>
              </w:rPr>
            </w:pPr>
            <w:r w:rsidRPr="007033DE">
              <w:rPr>
                <w:rFonts w:ascii="Calibri" w:hAnsi="Calibri" w:cs="Calibri"/>
                <w:sz w:val="20"/>
              </w:rPr>
              <w:t>-3,8%</w:t>
            </w:r>
          </w:p>
        </w:tc>
        <w:tc>
          <w:tcPr>
            <w:tcW w:w="960" w:type="dxa"/>
            <w:noWrap/>
            <w:hideMark/>
          </w:tcPr>
          <w:p w14:paraId="6DEF51C4" w14:textId="77777777" w:rsidR="007B7853" w:rsidRPr="007033DE" w:rsidRDefault="007B7853" w:rsidP="00AF06A0">
            <w:pPr>
              <w:jc w:val="center"/>
              <w:rPr>
                <w:rFonts w:ascii="Calibri" w:hAnsi="Calibri" w:cs="Calibri"/>
                <w:sz w:val="20"/>
              </w:rPr>
            </w:pPr>
            <w:r w:rsidRPr="007033DE">
              <w:rPr>
                <w:rFonts w:ascii="Calibri" w:hAnsi="Calibri" w:cs="Calibri"/>
                <w:sz w:val="20"/>
              </w:rPr>
              <w:t>-1,7%</w:t>
            </w:r>
          </w:p>
        </w:tc>
      </w:tr>
      <w:tr w:rsidR="007B7853" w:rsidRPr="007033DE" w14:paraId="3CF2EE78" w14:textId="77777777" w:rsidTr="00AF06A0">
        <w:trPr>
          <w:trHeight w:val="288"/>
        </w:trPr>
        <w:tc>
          <w:tcPr>
            <w:tcW w:w="3397" w:type="dxa"/>
            <w:noWrap/>
            <w:hideMark/>
          </w:tcPr>
          <w:p w14:paraId="32544345" w14:textId="77777777" w:rsidR="007B7853" w:rsidRPr="007033DE" w:rsidRDefault="007B7853" w:rsidP="00AF06A0">
            <w:pPr>
              <w:rPr>
                <w:rFonts w:ascii="Calibri" w:hAnsi="Calibri" w:cs="Calibri"/>
                <w:sz w:val="20"/>
              </w:rPr>
            </w:pPr>
            <w:r w:rsidRPr="007033DE">
              <w:rPr>
                <w:rFonts w:ascii="Calibri" w:hAnsi="Calibri" w:cs="Calibri"/>
                <w:sz w:val="20"/>
              </w:rPr>
              <w:t>Textil a kůže</w:t>
            </w:r>
          </w:p>
        </w:tc>
        <w:tc>
          <w:tcPr>
            <w:tcW w:w="960" w:type="dxa"/>
            <w:noWrap/>
            <w:hideMark/>
          </w:tcPr>
          <w:p w14:paraId="65A5862E" w14:textId="77777777" w:rsidR="007B7853" w:rsidRPr="007033DE" w:rsidRDefault="007B7853" w:rsidP="00AF06A0">
            <w:pPr>
              <w:jc w:val="center"/>
              <w:rPr>
                <w:rFonts w:ascii="Calibri" w:hAnsi="Calibri" w:cs="Calibri"/>
                <w:sz w:val="20"/>
              </w:rPr>
            </w:pPr>
            <w:r w:rsidRPr="007033DE">
              <w:rPr>
                <w:rFonts w:ascii="Calibri" w:hAnsi="Calibri" w:cs="Calibri"/>
                <w:sz w:val="20"/>
              </w:rPr>
              <w:t>8,3%</w:t>
            </w:r>
          </w:p>
        </w:tc>
        <w:tc>
          <w:tcPr>
            <w:tcW w:w="960" w:type="dxa"/>
            <w:noWrap/>
            <w:hideMark/>
          </w:tcPr>
          <w:p w14:paraId="1A1983EE" w14:textId="77777777" w:rsidR="007B7853" w:rsidRPr="007033DE" w:rsidRDefault="007B7853" w:rsidP="00AF06A0">
            <w:pPr>
              <w:jc w:val="center"/>
              <w:rPr>
                <w:rFonts w:ascii="Calibri" w:hAnsi="Calibri" w:cs="Calibri"/>
                <w:sz w:val="20"/>
              </w:rPr>
            </w:pPr>
            <w:r w:rsidRPr="007033DE">
              <w:rPr>
                <w:rFonts w:ascii="Calibri" w:hAnsi="Calibri" w:cs="Calibri"/>
                <w:sz w:val="20"/>
              </w:rPr>
              <w:t>-2,6%</w:t>
            </w:r>
          </w:p>
        </w:tc>
        <w:tc>
          <w:tcPr>
            <w:tcW w:w="960" w:type="dxa"/>
            <w:noWrap/>
            <w:hideMark/>
          </w:tcPr>
          <w:p w14:paraId="5FE7068B" w14:textId="77777777" w:rsidR="007B7853" w:rsidRPr="007033DE" w:rsidRDefault="007B7853" w:rsidP="00AF06A0">
            <w:pPr>
              <w:jc w:val="center"/>
              <w:rPr>
                <w:rFonts w:ascii="Calibri" w:hAnsi="Calibri" w:cs="Calibri"/>
                <w:sz w:val="20"/>
              </w:rPr>
            </w:pPr>
            <w:r w:rsidRPr="007033DE">
              <w:rPr>
                <w:rFonts w:ascii="Calibri" w:hAnsi="Calibri" w:cs="Calibri"/>
                <w:sz w:val="20"/>
              </w:rPr>
              <w:t>-13,5%</w:t>
            </w:r>
          </w:p>
        </w:tc>
      </w:tr>
    </w:tbl>
    <w:p w14:paraId="4EB3419E" w14:textId="77777777" w:rsidR="007B7853" w:rsidRPr="0019720B" w:rsidRDefault="007B7853" w:rsidP="007B7853">
      <w:pPr>
        <w:spacing w:after="0"/>
        <w:rPr>
          <w:rFonts w:ascii="Calibri" w:hAnsi="Calibri" w:cs="Calibri"/>
          <w:i/>
          <w:sz w:val="16"/>
        </w:rPr>
      </w:pPr>
      <w:bookmarkStart w:id="179" w:name="_Hlk9865279"/>
      <w:r w:rsidRPr="0019720B">
        <w:rPr>
          <w:rFonts w:ascii="Calibri" w:hAnsi="Calibri" w:cs="Calibri"/>
          <w:i/>
          <w:sz w:val="16"/>
        </w:rPr>
        <w:t>Zdroj: ČSÚ</w:t>
      </w:r>
      <w:r>
        <w:rPr>
          <w:rFonts w:ascii="Calibri" w:hAnsi="Calibri" w:cs="Calibri"/>
          <w:i/>
          <w:sz w:val="16"/>
        </w:rPr>
        <w:t>,</w:t>
      </w:r>
      <w:r w:rsidRPr="0019720B">
        <w:rPr>
          <w:rFonts w:ascii="Calibri" w:hAnsi="Calibri" w:cs="Calibri"/>
          <w:i/>
          <w:sz w:val="16"/>
        </w:rPr>
        <w:t xml:space="preserve"> MPO, vlastní propočty.</w:t>
      </w:r>
    </w:p>
    <w:bookmarkEnd w:id="179"/>
    <w:p w14:paraId="4DE923F0" w14:textId="77777777" w:rsidR="007B7853" w:rsidRDefault="007B7853" w:rsidP="007B7853">
      <w:pPr>
        <w:spacing w:after="0"/>
        <w:rPr>
          <w:rFonts w:ascii="Calibri" w:hAnsi="Calibri" w:cs="Calibri"/>
        </w:rPr>
      </w:pPr>
    </w:p>
    <w:p w14:paraId="04148A5A" w14:textId="609B6EED" w:rsidR="007B7853" w:rsidRDefault="007B7853" w:rsidP="007B7853">
      <w:pPr>
        <w:spacing w:after="0"/>
        <w:rPr>
          <w:rFonts w:ascii="Calibri" w:hAnsi="Calibri" w:cs="Calibri"/>
        </w:rPr>
      </w:pPr>
      <w:r>
        <w:rPr>
          <w:rFonts w:ascii="Calibri" w:hAnsi="Calibri" w:cs="Calibri"/>
        </w:rPr>
        <w:t>V</w:t>
      </w:r>
      <w:r w:rsidR="001A1547">
        <w:rPr>
          <w:rFonts w:ascii="Calibri" w:hAnsi="Calibri" w:cs="Calibri"/>
        </w:rPr>
        <w:t> letech 2015 - 2017</w:t>
      </w:r>
      <w:r>
        <w:rPr>
          <w:rFonts w:ascii="Calibri" w:hAnsi="Calibri" w:cs="Calibri"/>
        </w:rPr>
        <w:t xml:space="preserve"> došlo v průměru k největšímu snížení energetické náročnosti v odvětvích chemického a petrochemického průmyslu, textilního a kožedělného, papírenského a dřevozpracujícího průmyslu. Naopak, celkové zvýšení energetické náročnosti zaznamenala odvětví kovových materiálů, dopravních zařízení a těžby neenergetických surovin. </w:t>
      </w:r>
    </w:p>
    <w:p w14:paraId="230C6235" w14:textId="77777777" w:rsidR="007B7853" w:rsidRDefault="007B7853" w:rsidP="007B7853">
      <w:pPr>
        <w:spacing w:after="0"/>
        <w:rPr>
          <w:rFonts w:ascii="Calibri" w:hAnsi="Calibri" w:cs="Calibri"/>
        </w:rPr>
      </w:pPr>
    </w:p>
    <w:p w14:paraId="6E80450B" w14:textId="77777777" w:rsidR="00A12CDE" w:rsidRDefault="007B7853" w:rsidP="007B7853">
      <w:pPr>
        <w:spacing w:after="0"/>
        <w:rPr>
          <w:rFonts w:ascii="Calibri" w:hAnsi="Calibri" w:cs="Calibri"/>
        </w:rPr>
      </w:pPr>
      <w:r>
        <w:rPr>
          <w:rFonts w:ascii="Calibri" w:hAnsi="Calibri" w:cs="Calibri"/>
        </w:rPr>
        <w:t xml:space="preserve">V delším časovém úseku let 2010 – 2017 bylo zaznamenáno v průměru snížení energetické náročnosti u všech sledovaných odvětvových agregací s výjimkou těžby neenergetických produktů a stavebnictví, kde se energetická náročnost pohybuje v průměru zhruba na stejné úrovni. </w:t>
      </w:r>
    </w:p>
    <w:p w14:paraId="085C6333" w14:textId="77777777" w:rsidR="00A12CDE" w:rsidRDefault="00A12CDE" w:rsidP="007B7853">
      <w:pPr>
        <w:spacing w:after="0"/>
        <w:rPr>
          <w:rFonts w:ascii="Calibri" w:hAnsi="Calibri" w:cs="Calibri"/>
        </w:rPr>
      </w:pPr>
    </w:p>
    <w:p w14:paraId="753EB470" w14:textId="62A58E1A" w:rsidR="00A12CDE" w:rsidRDefault="00A12CDE" w:rsidP="007B7853">
      <w:pPr>
        <w:spacing w:after="0"/>
        <w:rPr>
          <w:rFonts w:ascii="Calibri" w:hAnsi="Calibri" w:cs="Calibri"/>
        </w:rPr>
      </w:pPr>
      <w:r>
        <w:rPr>
          <w:rFonts w:ascii="Calibri" w:hAnsi="Calibri" w:cs="Calibri"/>
        </w:rPr>
        <w:lastRenderedPageBreak/>
        <w:t>Mezi energeticky nejnáročnější odvětvové agregace v průmyslu podle posledních dostupných údajů za rok 2017 patří:</w:t>
      </w:r>
    </w:p>
    <w:p w14:paraId="379E5206" w14:textId="0C3CE47D" w:rsidR="00A12CDE" w:rsidRPr="00E81C2D" w:rsidRDefault="00A12CDE" w:rsidP="00E81C2D">
      <w:pPr>
        <w:pStyle w:val="Odstavecseseznamem"/>
        <w:numPr>
          <w:ilvl w:val="0"/>
          <w:numId w:val="45"/>
        </w:numPr>
        <w:rPr>
          <w:rFonts w:ascii="Calibri" w:hAnsi="Calibri" w:cs="Calibri"/>
          <w:sz w:val="22"/>
        </w:rPr>
      </w:pPr>
      <w:r w:rsidRPr="00E81C2D">
        <w:rPr>
          <w:rFonts w:ascii="Calibri" w:hAnsi="Calibri" w:cs="Calibri"/>
          <w:sz w:val="22"/>
        </w:rPr>
        <w:t>Dřevo a dřevěné výrobky</w:t>
      </w:r>
    </w:p>
    <w:p w14:paraId="17164549" w14:textId="705CE7EC" w:rsidR="00A12CDE" w:rsidRPr="00E81C2D" w:rsidRDefault="00A12CDE" w:rsidP="00E81C2D">
      <w:pPr>
        <w:pStyle w:val="Odstavecseseznamem"/>
        <w:numPr>
          <w:ilvl w:val="0"/>
          <w:numId w:val="45"/>
        </w:numPr>
        <w:rPr>
          <w:rFonts w:ascii="Calibri" w:hAnsi="Calibri" w:cs="Calibri"/>
          <w:sz w:val="22"/>
        </w:rPr>
      </w:pPr>
      <w:r w:rsidRPr="00E81C2D">
        <w:rPr>
          <w:rFonts w:ascii="Calibri" w:hAnsi="Calibri" w:cs="Calibri"/>
          <w:sz w:val="22"/>
        </w:rPr>
        <w:t>Těžba a dobývání neenerg</w:t>
      </w:r>
      <w:r w:rsidR="00B5129E">
        <w:rPr>
          <w:rFonts w:ascii="Calibri" w:hAnsi="Calibri" w:cs="Calibri"/>
          <w:sz w:val="22"/>
        </w:rPr>
        <w:t>etických</w:t>
      </w:r>
      <w:r w:rsidRPr="00E81C2D">
        <w:rPr>
          <w:rFonts w:ascii="Calibri" w:hAnsi="Calibri" w:cs="Calibri"/>
          <w:sz w:val="22"/>
        </w:rPr>
        <w:t xml:space="preserve"> surovin</w:t>
      </w:r>
    </w:p>
    <w:p w14:paraId="58755323" w14:textId="0164E509" w:rsidR="00A12CDE" w:rsidRPr="00E81C2D" w:rsidRDefault="00A12CDE" w:rsidP="00E81C2D">
      <w:pPr>
        <w:pStyle w:val="Odstavecseseznamem"/>
        <w:numPr>
          <w:ilvl w:val="0"/>
          <w:numId w:val="45"/>
        </w:numPr>
        <w:rPr>
          <w:rFonts w:ascii="Calibri" w:hAnsi="Calibri" w:cs="Calibri"/>
          <w:sz w:val="22"/>
        </w:rPr>
      </w:pPr>
      <w:r w:rsidRPr="00E81C2D">
        <w:rPr>
          <w:rFonts w:ascii="Calibri" w:hAnsi="Calibri" w:cs="Calibri"/>
          <w:sz w:val="22"/>
        </w:rPr>
        <w:t>Železo a neželezné kovy</w:t>
      </w:r>
    </w:p>
    <w:p w14:paraId="4CDC1206" w14:textId="77777777" w:rsidR="007B7853" w:rsidRDefault="007B7853" w:rsidP="007B7853">
      <w:pPr>
        <w:spacing w:after="0"/>
        <w:rPr>
          <w:rFonts w:ascii="Calibri" w:hAnsi="Calibri" w:cs="Calibri"/>
        </w:rPr>
      </w:pPr>
    </w:p>
    <w:p w14:paraId="31AC41DA" w14:textId="77777777" w:rsidR="007B7853" w:rsidRPr="000B6F24" w:rsidRDefault="007B7853" w:rsidP="007B7853">
      <w:pPr>
        <w:spacing w:after="0"/>
        <w:rPr>
          <w:rFonts w:ascii="Calibri" w:hAnsi="Calibri" w:cs="Calibri"/>
          <w:b/>
        </w:rPr>
      </w:pPr>
      <w:r w:rsidRPr="000B6F24">
        <w:rPr>
          <w:rFonts w:ascii="Calibri" w:hAnsi="Calibri" w:cs="Calibri"/>
          <w:b/>
        </w:rPr>
        <w:t xml:space="preserve">Materiálová náročnost </w:t>
      </w:r>
    </w:p>
    <w:p w14:paraId="38672196" w14:textId="77777777" w:rsidR="007B7853" w:rsidRDefault="007B7853" w:rsidP="007B7853">
      <w:pPr>
        <w:spacing w:after="0"/>
        <w:rPr>
          <w:rFonts w:ascii="Calibri" w:hAnsi="Calibri" w:cs="Calibri"/>
        </w:rPr>
      </w:pPr>
      <w:r>
        <w:rPr>
          <w:rFonts w:ascii="Calibri" w:hAnsi="Calibri" w:cs="Calibri"/>
        </w:rPr>
        <w:t xml:space="preserve">Pro účely sledování materiálové náročnosti výroby, resp. </w:t>
      </w:r>
      <w:r w:rsidRPr="000B6F24">
        <w:rPr>
          <w:rFonts w:ascii="Calibri" w:hAnsi="Calibri" w:cs="Calibri"/>
        </w:rPr>
        <w:t>efektivit</w:t>
      </w:r>
      <w:r>
        <w:rPr>
          <w:rFonts w:ascii="Calibri" w:hAnsi="Calibri" w:cs="Calibri"/>
        </w:rPr>
        <w:t>y</w:t>
      </w:r>
      <w:r w:rsidRPr="000B6F24">
        <w:rPr>
          <w:rFonts w:ascii="Calibri" w:hAnsi="Calibri" w:cs="Calibri"/>
        </w:rPr>
        <w:t xml:space="preserve"> přepracování surovin, polotovarů, energií, využitých služeb atd. na finální produkt</w:t>
      </w:r>
      <w:r>
        <w:rPr>
          <w:rFonts w:ascii="Calibri" w:hAnsi="Calibri" w:cs="Calibri"/>
        </w:rPr>
        <w:t xml:space="preserve"> lze použít ukazatel </w:t>
      </w:r>
      <w:r w:rsidRPr="000B6F24">
        <w:rPr>
          <w:rFonts w:ascii="Calibri" w:hAnsi="Calibri" w:cs="Calibri"/>
        </w:rPr>
        <w:t>podíl</w:t>
      </w:r>
      <w:r>
        <w:rPr>
          <w:rFonts w:ascii="Calibri" w:hAnsi="Calibri" w:cs="Calibri"/>
        </w:rPr>
        <w:t>u</w:t>
      </w:r>
      <w:r w:rsidRPr="000B6F24">
        <w:rPr>
          <w:rFonts w:ascii="Calibri" w:hAnsi="Calibri" w:cs="Calibri"/>
        </w:rPr>
        <w:t xml:space="preserve"> mezispotřeby na produkci. </w:t>
      </w:r>
    </w:p>
    <w:p w14:paraId="678045B7" w14:textId="77777777" w:rsidR="007B7853" w:rsidRDefault="007B7853" w:rsidP="007B7853">
      <w:pPr>
        <w:spacing w:after="0"/>
        <w:rPr>
          <w:rFonts w:ascii="Calibri" w:hAnsi="Calibri" w:cs="Calibri"/>
        </w:rPr>
      </w:pPr>
    </w:p>
    <w:p w14:paraId="3EFF6F99" w14:textId="77777777" w:rsidR="007B7853" w:rsidRDefault="007B7853" w:rsidP="007B7853">
      <w:pPr>
        <w:spacing w:after="0"/>
        <w:rPr>
          <w:rFonts w:ascii="Calibri" w:hAnsi="Calibri" w:cs="Calibri"/>
        </w:rPr>
      </w:pPr>
      <w:r>
        <w:rPr>
          <w:rFonts w:ascii="Calibri" w:hAnsi="Calibri" w:cs="Calibri"/>
        </w:rPr>
        <w:t>Podle poslední dostupných údajů za rok 2017 lze zařadit mezi materiálově nejnáročnější výrobní odvětví (CZ NACE):</w:t>
      </w:r>
    </w:p>
    <w:p w14:paraId="68690C8F"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koksu a rafinovaných ropných produktů</w:t>
      </w:r>
    </w:p>
    <w:p w14:paraId="2113AAD5"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základních kovů, hutní zpracování kovů; slévárenství</w:t>
      </w:r>
    </w:p>
    <w:p w14:paraId="0A8D81E7"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motorových vozidel (kromě motocyklů), přívěsů a návěsů</w:t>
      </w:r>
    </w:p>
    <w:p w14:paraId="71BD2A32"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počítačů, elektronických a optických přístrojů a zařízení</w:t>
      </w:r>
    </w:p>
    <w:p w14:paraId="0108B19C"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potravinářských výrobků</w:t>
      </w:r>
    </w:p>
    <w:p w14:paraId="45926173"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Výroba papíru a výrobků z papíru</w:t>
      </w:r>
    </w:p>
    <w:p w14:paraId="1BB13FF7" w14:textId="77777777" w:rsidR="007B7853" w:rsidRPr="00B6556A" w:rsidRDefault="007B7853" w:rsidP="007B7853">
      <w:pPr>
        <w:pStyle w:val="Odstavecseseznamem"/>
        <w:numPr>
          <w:ilvl w:val="0"/>
          <w:numId w:val="45"/>
        </w:numPr>
        <w:rPr>
          <w:rFonts w:ascii="Calibri" w:hAnsi="Calibri" w:cs="Calibri"/>
          <w:sz w:val="22"/>
        </w:rPr>
      </w:pPr>
      <w:r w:rsidRPr="00B6556A">
        <w:rPr>
          <w:rFonts w:ascii="Calibri" w:hAnsi="Calibri" w:cs="Calibri"/>
          <w:sz w:val="22"/>
        </w:rPr>
        <w:t>Zpracování dřeva, výroba dřevěných, korkových, proutěných a slaměných výrobků, kromě nábytku</w:t>
      </w:r>
    </w:p>
    <w:p w14:paraId="79EF94BC" w14:textId="77777777" w:rsidR="007B7853" w:rsidRDefault="007B7853" w:rsidP="007B7853">
      <w:pPr>
        <w:spacing w:after="0"/>
        <w:rPr>
          <w:rFonts w:ascii="Calibri" w:hAnsi="Calibri" w:cs="Calibri"/>
        </w:rPr>
      </w:pPr>
    </w:p>
    <w:p w14:paraId="7729DE5D" w14:textId="77777777" w:rsidR="007B7853" w:rsidRDefault="007B7853" w:rsidP="007B7853">
      <w:pPr>
        <w:spacing w:after="0"/>
        <w:rPr>
          <w:rFonts w:ascii="Calibri" w:hAnsi="Calibri" w:cs="Calibri"/>
        </w:rPr>
      </w:pPr>
      <w:r>
        <w:rPr>
          <w:rFonts w:ascii="Calibri" w:hAnsi="Calibri" w:cs="Calibri"/>
        </w:rPr>
        <w:t>K největšímu snížení materiálové náročnosti došlo v průměru za poslední 3 sledované roky v odvětvích výroby tabákových výrobků, výroby usní a souvisejících produktů, výroby chemických látek a přípravků a výroby nápojů. Obdobné výsledky ukazují i data za delší časový úsek 2010 – 2017. Obecně lze konstatovat, že ve většině výrobních odvětví došlo ke snížení materiálové náročnosti, u zbývající části pak k nevýznamnému nárůstu.</w:t>
      </w:r>
    </w:p>
    <w:p w14:paraId="1C448F8C" w14:textId="77777777" w:rsidR="007B7853" w:rsidRDefault="007B7853" w:rsidP="007B7853">
      <w:pPr>
        <w:spacing w:after="0"/>
        <w:rPr>
          <w:rFonts w:ascii="Calibri" w:hAnsi="Calibri" w:cs="Calibri"/>
        </w:rPr>
      </w:pPr>
    </w:p>
    <w:p w14:paraId="0D43A7C8" w14:textId="043127C3" w:rsidR="007B7853" w:rsidRDefault="007B7853" w:rsidP="007B7853">
      <w:pPr>
        <w:pStyle w:val="Titulek"/>
      </w:pPr>
      <w:bookmarkStart w:id="180" w:name="_Toc10730034"/>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15</w:t>
      </w:r>
      <w:r w:rsidR="00BD754F">
        <w:rPr>
          <w:noProof/>
        </w:rPr>
        <w:fldChar w:fldCharType="end"/>
      </w:r>
      <w:r>
        <w:t>: Materiálová náročnost vybraných odvětví (meziroční změna, v %)</w:t>
      </w:r>
      <w:bookmarkEnd w:id="180"/>
    </w:p>
    <w:tbl>
      <w:tblPr>
        <w:tblStyle w:val="Mkatabulky"/>
        <w:tblW w:w="8642" w:type="dxa"/>
        <w:tblLook w:val="04A0" w:firstRow="1" w:lastRow="0" w:firstColumn="1" w:lastColumn="0" w:noHBand="0" w:noVBand="1"/>
      </w:tblPr>
      <w:tblGrid>
        <w:gridCol w:w="6091"/>
        <w:gridCol w:w="850"/>
        <w:gridCol w:w="851"/>
        <w:gridCol w:w="850"/>
      </w:tblGrid>
      <w:tr w:rsidR="007B7853" w:rsidRPr="000B7AFC" w14:paraId="0E885D78" w14:textId="77777777" w:rsidTr="00FD2AC4">
        <w:trPr>
          <w:trHeight w:val="288"/>
          <w:tblHeader/>
        </w:trPr>
        <w:tc>
          <w:tcPr>
            <w:tcW w:w="6091" w:type="dxa"/>
            <w:shd w:val="clear" w:color="auto" w:fill="002060"/>
            <w:noWrap/>
            <w:hideMark/>
          </w:tcPr>
          <w:p w14:paraId="778866CA" w14:textId="77777777" w:rsidR="007B7853" w:rsidRPr="000B7AFC" w:rsidRDefault="007B7853" w:rsidP="00AF06A0">
            <w:pPr>
              <w:rPr>
                <w:rFonts w:ascii="Calibri" w:hAnsi="Calibri" w:cs="Calibri"/>
                <w:b/>
                <w:sz w:val="20"/>
              </w:rPr>
            </w:pPr>
            <w:r w:rsidRPr="000B7AFC">
              <w:rPr>
                <w:rFonts w:ascii="Calibri" w:hAnsi="Calibri" w:cs="Calibri"/>
                <w:b/>
                <w:sz w:val="20"/>
              </w:rPr>
              <w:t>CZ NACE</w:t>
            </w:r>
          </w:p>
        </w:tc>
        <w:tc>
          <w:tcPr>
            <w:tcW w:w="850" w:type="dxa"/>
            <w:shd w:val="clear" w:color="auto" w:fill="002060"/>
            <w:hideMark/>
          </w:tcPr>
          <w:p w14:paraId="46DC49FF" w14:textId="77777777" w:rsidR="007B7853" w:rsidRPr="000B7AFC" w:rsidRDefault="007B7853" w:rsidP="00AF06A0">
            <w:pPr>
              <w:jc w:val="center"/>
              <w:rPr>
                <w:rFonts w:ascii="Calibri" w:hAnsi="Calibri" w:cs="Calibri"/>
                <w:b/>
                <w:bCs/>
                <w:sz w:val="20"/>
              </w:rPr>
            </w:pPr>
            <w:r w:rsidRPr="000B7AFC">
              <w:rPr>
                <w:rFonts w:ascii="Calibri" w:hAnsi="Calibri" w:cs="Calibri"/>
                <w:b/>
                <w:bCs/>
                <w:sz w:val="20"/>
              </w:rPr>
              <w:t>2015</w:t>
            </w:r>
          </w:p>
        </w:tc>
        <w:tc>
          <w:tcPr>
            <w:tcW w:w="851" w:type="dxa"/>
            <w:shd w:val="clear" w:color="auto" w:fill="002060"/>
            <w:hideMark/>
          </w:tcPr>
          <w:p w14:paraId="0C0F83CC" w14:textId="77777777" w:rsidR="007B7853" w:rsidRPr="000B7AFC" w:rsidRDefault="007B7853" w:rsidP="00AF06A0">
            <w:pPr>
              <w:jc w:val="center"/>
              <w:rPr>
                <w:rFonts w:ascii="Calibri" w:hAnsi="Calibri" w:cs="Calibri"/>
                <w:b/>
                <w:bCs/>
                <w:sz w:val="20"/>
              </w:rPr>
            </w:pPr>
            <w:r w:rsidRPr="000B7AFC">
              <w:rPr>
                <w:rFonts w:ascii="Calibri" w:hAnsi="Calibri" w:cs="Calibri"/>
                <w:b/>
                <w:bCs/>
                <w:sz w:val="20"/>
              </w:rPr>
              <w:t>2016</w:t>
            </w:r>
          </w:p>
        </w:tc>
        <w:tc>
          <w:tcPr>
            <w:tcW w:w="850" w:type="dxa"/>
            <w:shd w:val="clear" w:color="auto" w:fill="002060"/>
            <w:hideMark/>
          </w:tcPr>
          <w:p w14:paraId="4A3FD983" w14:textId="77777777" w:rsidR="007B7853" w:rsidRPr="000B7AFC" w:rsidRDefault="007B7853" w:rsidP="00AF06A0">
            <w:pPr>
              <w:jc w:val="center"/>
              <w:rPr>
                <w:rFonts w:ascii="Calibri" w:hAnsi="Calibri" w:cs="Calibri"/>
                <w:b/>
                <w:bCs/>
                <w:sz w:val="20"/>
              </w:rPr>
            </w:pPr>
            <w:r w:rsidRPr="000B7AFC">
              <w:rPr>
                <w:rFonts w:ascii="Calibri" w:hAnsi="Calibri" w:cs="Calibri"/>
                <w:b/>
                <w:bCs/>
                <w:sz w:val="20"/>
              </w:rPr>
              <w:t>2017</w:t>
            </w:r>
          </w:p>
        </w:tc>
      </w:tr>
      <w:tr w:rsidR="007B7853" w:rsidRPr="00B6556A" w14:paraId="3AEA6C4E" w14:textId="77777777" w:rsidTr="00AF06A0">
        <w:trPr>
          <w:trHeight w:val="70"/>
        </w:trPr>
        <w:tc>
          <w:tcPr>
            <w:tcW w:w="6091" w:type="dxa"/>
            <w:hideMark/>
          </w:tcPr>
          <w:p w14:paraId="20768722" w14:textId="77777777" w:rsidR="007B7853" w:rsidRPr="00B6556A" w:rsidRDefault="007B7853" w:rsidP="00AF06A0">
            <w:pPr>
              <w:rPr>
                <w:rFonts w:ascii="Calibri" w:hAnsi="Calibri" w:cs="Calibri"/>
                <w:sz w:val="20"/>
              </w:rPr>
            </w:pPr>
            <w:r w:rsidRPr="00B6556A">
              <w:rPr>
                <w:rFonts w:ascii="Calibri" w:hAnsi="Calibri" w:cs="Calibri"/>
                <w:sz w:val="20"/>
              </w:rPr>
              <w:t>10 Výroba potravinářských výrobků</w:t>
            </w:r>
          </w:p>
        </w:tc>
        <w:tc>
          <w:tcPr>
            <w:tcW w:w="850" w:type="dxa"/>
            <w:noWrap/>
            <w:hideMark/>
          </w:tcPr>
          <w:p w14:paraId="7E2AE237" w14:textId="77777777" w:rsidR="007B7853" w:rsidRPr="00B6556A" w:rsidRDefault="007B7853" w:rsidP="00AF06A0">
            <w:pPr>
              <w:jc w:val="center"/>
              <w:rPr>
                <w:rFonts w:ascii="Calibri" w:hAnsi="Calibri" w:cs="Calibri"/>
                <w:sz w:val="20"/>
              </w:rPr>
            </w:pPr>
            <w:r w:rsidRPr="00B6556A">
              <w:rPr>
                <w:rFonts w:ascii="Calibri" w:hAnsi="Calibri" w:cs="Calibri"/>
                <w:sz w:val="20"/>
              </w:rPr>
              <w:t>-0,8%</w:t>
            </w:r>
          </w:p>
        </w:tc>
        <w:tc>
          <w:tcPr>
            <w:tcW w:w="851" w:type="dxa"/>
            <w:noWrap/>
            <w:hideMark/>
          </w:tcPr>
          <w:p w14:paraId="4E354108" w14:textId="77777777" w:rsidR="007B7853" w:rsidRPr="00B6556A" w:rsidRDefault="007B7853" w:rsidP="00AF06A0">
            <w:pPr>
              <w:jc w:val="center"/>
              <w:rPr>
                <w:rFonts w:ascii="Calibri" w:hAnsi="Calibri" w:cs="Calibri"/>
                <w:sz w:val="20"/>
              </w:rPr>
            </w:pPr>
            <w:r w:rsidRPr="00B6556A">
              <w:rPr>
                <w:rFonts w:ascii="Calibri" w:hAnsi="Calibri" w:cs="Calibri"/>
                <w:sz w:val="20"/>
              </w:rPr>
              <w:t>-2,9%</w:t>
            </w:r>
          </w:p>
        </w:tc>
        <w:tc>
          <w:tcPr>
            <w:tcW w:w="850" w:type="dxa"/>
            <w:noWrap/>
            <w:hideMark/>
          </w:tcPr>
          <w:p w14:paraId="6C0C9CDB"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r>
      <w:tr w:rsidR="007B7853" w:rsidRPr="00B6556A" w14:paraId="42893FF1" w14:textId="77777777" w:rsidTr="00AF06A0">
        <w:trPr>
          <w:trHeight w:val="70"/>
        </w:trPr>
        <w:tc>
          <w:tcPr>
            <w:tcW w:w="6091" w:type="dxa"/>
            <w:hideMark/>
          </w:tcPr>
          <w:p w14:paraId="4E49B1CB" w14:textId="77777777" w:rsidR="007B7853" w:rsidRPr="00B6556A" w:rsidRDefault="007B7853" w:rsidP="00AF06A0">
            <w:pPr>
              <w:rPr>
                <w:rFonts w:ascii="Calibri" w:hAnsi="Calibri" w:cs="Calibri"/>
                <w:sz w:val="20"/>
              </w:rPr>
            </w:pPr>
            <w:r w:rsidRPr="00B6556A">
              <w:rPr>
                <w:rFonts w:ascii="Calibri" w:hAnsi="Calibri" w:cs="Calibri"/>
                <w:sz w:val="20"/>
              </w:rPr>
              <w:t>11 Výroba nápojů</w:t>
            </w:r>
          </w:p>
        </w:tc>
        <w:tc>
          <w:tcPr>
            <w:tcW w:w="850" w:type="dxa"/>
            <w:noWrap/>
            <w:hideMark/>
          </w:tcPr>
          <w:p w14:paraId="7C36A131" w14:textId="77777777" w:rsidR="007B7853" w:rsidRPr="00B6556A" w:rsidRDefault="007B7853" w:rsidP="00AF06A0">
            <w:pPr>
              <w:jc w:val="center"/>
              <w:rPr>
                <w:rFonts w:ascii="Calibri" w:hAnsi="Calibri" w:cs="Calibri"/>
                <w:sz w:val="20"/>
              </w:rPr>
            </w:pPr>
            <w:r w:rsidRPr="00B6556A">
              <w:rPr>
                <w:rFonts w:ascii="Calibri" w:hAnsi="Calibri" w:cs="Calibri"/>
                <w:sz w:val="20"/>
              </w:rPr>
              <w:t>-0,5%</w:t>
            </w:r>
          </w:p>
        </w:tc>
        <w:tc>
          <w:tcPr>
            <w:tcW w:w="851" w:type="dxa"/>
            <w:noWrap/>
            <w:hideMark/>
          </w:tcPr>
          <w:p w14:paraId="56D2DCF2" w14:textId="77777777" w:rsidR="007B7853" w:rsidRPr="00B6556A" w:rsidRDefault="007B7853" w:rsidP="00AF06A0">
            <w:pPr>
              <w:jc w:val="center"/>
              <w:rPr>
                <w:rFonts w:ascii="Calibri" w:hAnsi="Calibri" w:cs="Calibri"/>
                <w:sz w:val="20"/>
              </w:rPr>
            </w:pPr>
            <w:r w:rsidRPr="00B6556A">
              <w:rPr>
                <w:rFonts w:ascii="Calibri" w:hAnsi="Calibri" w:cs="Calibri"/>
                <w:sz w:val="20"/>
              </w:rPr>
              <w:t>-3,8%</w:t>
            </w:r>
          </w:p>
        </w:tc>
        <w:tc>
          <w:tcPr>
            <w:tcW w:w="850" w:type="dxa"/>
            <w:noWrap/>
            <w:hideMark/>
          </w:tcPr>
          <w:p w14:paraId="72730B66" w14:textId="77777777" w:rsidR="007B7853" w:rsidRPr="00B6556A" w:rsidRDefault="007B7853" w:rsidP="00AF06A0">
            <w:pPr>
              <w:jc w:val="center"/>
              <w:rPr>
                <w:rFonts w:ascii="Calibri" w:hAnsi="Calibri" w:cs="Calibri"/>
                <w:sz w:val="20"/>
              </w:rPr>
            </w:pPr>
            <w:r w:rsidRPr="00B6556A">
              <w:rPr>
                <w:rFonts w:ascii="Calibri" w:hAnsi="Calibri" w:cs="Calibri"/>
                <w:sz w:val="20"/>
              </w:rPr>
              <w:t>-4,0%</w:t>
            </w:r>
          </w:p>
        </w:tc>
      </w:tr>
      <w:tr w:rsidR="007B7853" w:rsidRPr="00B6556A" w14:paraId="42094F7E" w14:textId="77777777" w:rsidTr="00AF06A0">
        <w:trPr>
          <w:trHeight w:val="70"/>
        </w:trPr>
        <w:tc>
          <w:tcPr>
            <w:tcW w:w="6091" w:type="dxa"/>
            <w:hideMark/>
          </w:tcPr>
          <w:p w14:paraId="2666CC01" w14:textId="77777777" w:rsidR="007B7853" w:rsidRPr="00B6556A" w:rsidRDefault="007B7853" w:rsidP="00AF06A0">
            <w:pPr>
              <w:rPr>
                <w:rFonts w:ascii="Calibri" w:hAnsi="Calibri" w:cs="Calibri"/>
                <w:sz w:val="20"/>
              </w:rPr>
            </w:pPr>
            <w:r w:rsidRPr="00B6556A">
              <w:rPr>
                <w:rFonts w:ascii="Calibri" w:hAnsi="Calibri" w:cs="Calibri"/>
                <w:sz w:val="20"/>
              </w:rPr>
              <w:t>12 Výroba tabákových výrobků</w:t>
            </w:r>
          </w:p>
        </w:tc>
        <w:tc>
          <w:tcPr>
            <w:tcW w:w="850" w:type="dxa"/>
            <w:noWrap/>
            <w:hideMark/>
          </w:tcPr>
          <w:p w14:paraId="50AD18D4" w14:textId="77777777" w:rsidR="007B7853" w:rsidRPr="00B6556A" w:rsidRDefault="007B7853" w:rsidP="00AF06A0">
            <w:pPr>
              <w:jc w:val="center"/>
              <w:rPr>
                <w:rFonts w:ascii="Calibri" w:hAnsi="Calibri" w:cs="Calibri"/>
                <w:sz w:val="20"/>
              </w:rPr>
            </w:pPr>
            <w:r w:rsidRPr="00B6556A">
              <w:rPr>
                <w:rFonts w:ascii="Calibri" w:hAnsi="Calibri" w:cs="Calibri"/>
                <w:sz w:val="20"/>
              </w:rPr>
              <w:t>-43,5%</w:t>
            </w:r>
          </w:p>
        </w:tc>
        <w:tc>
          <w:tcPr>
            <w:tcW w:w="851" w:type="dxa"/>
            <w:noWrap/>
            <w:hideMark/>
          </w:tcPr>
          <w:p w14:paraId="1B9E6E62" w14:textId="77777777" w:rsidR="007B7853" w:rsidRPr="00B6556A" w:rsidRDefault="007B7853" w:rsidP="00AF06A0">
            <w:pPr>
              <w:jc w:val="center"/>
              <w:rPr>
                <w:rFonts w:ascii="Calibri" w:hAnsi="Calibri" w:cs="Calibri"/>
                <w:sz w:val="20"/>
              </w:rPr>
            </w:pPr>
            <w:r w:rsidRPr="00B6556A">
              <w:rPr>
                <w:rFonts w:ascii="Calibri" w:hAnsi="Calibri" w:cs="Calibri"/>
                <w:sz w:val="20"/>
              </w:rPr>
              <w:t>-4,5%</w:t>
            </w:r>
          </w:p>
        </w:tc>
        <w:tc>
          <w:tcPr>
            <w:tcW w:w="850" w:type="dxa"/>
            <w:noWrap/>
            <w:hideMark/>
          </w:tcPr>
          <w:p w14:paraId="27FD78A0" w14:textId="77777777" w:rsidR="007B7853" w:rsidRPr="00B6556A" w:rsidRDefault="007B7853" w:rsidP="00AF06A0">
            <w:pPr>
              <w:jc w:val="center"/>
              <w:rPr>
                <w:rFonts w:ascii="Calibri" w:hAnsi="Calibri" w:cs="Calibri"/>
                <w:sz w:val="20"/>
              </w:rPr>
            </w:pPr>
            <w:r w:rsidRPr="00B6556A">
              <w:rPr>
                <w:rFonts w:ascii="Calibri" w:hAnsi="Calibri" w:cs="Calibri"/>
                <w:sz w:val="20"/>
              </w:rPr>
              <w:t>2,0%</w:t>
            </w:r>
          </w:p>
        </w:tc>
      </w:tr>
      <w:tr w:rsidR="007B7853" w:rsidRPr="00B6556A" w14:paraId="7ABB661D" w14:textId="77777777" w:rsidTr="00AF06A0">
        <w:trPr>
          <w:trHeight w:val="70"/>
        </w:trPr>
        <w:tc>
          <w:tcPr>
            <w:tcW w:w="6091" w:type="dxa"/>
            <w:hideMark/>
          </w:tcPr>
          <w:p w14:paraId="7A3B658B" w14:textId="77777777" w:rsidR="007B7853" w:rsidRPr="00B6556A" w:rsidRDefault="007B7853" w:rsidP="00AF06A0">
            <w:pPr>
              <w:rPr>
                <w:rFonts w:ascii="Calibri" w:hAnsi="Calibri" w:cs="Calibri"/>
                <w:sz w:val="20"/>
              </w:rPr>
            </w:pPr>
            <w:r w:rsidRPr="00B6556A">
              <w:rPr>
                <w:rFonts w:ascii="Calibri" w:hAnsi="Calibri" w:cs="Calibri"/>
                <w:sz w:val="20"/>
              </w:rPr>
              <w:t>13 Výroba textilií</w:t>
            </w:r>
          </w:p>
        </w:tc>
        <w:tc>
          <w:tcPr>
            <w:tcW w:w="850" w:type="dxa"/>
            <w:noWrap/>
            <w:hideMark/>
          </w:tcPr>
          <w:p w14:paraId="53B37E5B" w14:textId="77777777" w:rsidR="007B7853" w:rsidRPr="00B6556A" w:rsidRDefault="007B7853" w:rsidP="00AF06A0">
            <w:pPr>
              <w:jc w:val="center"/>
              <w:rPr>
                <w:rFonts w:ascii="Calibri" w:hAnsi="Calibri" w:cs="Calibri"/>
                <w:sz w:val="20"/>
              </w:rPr>
            </w:pPr>
            <w:r w:rsidRPr="00B6556A">
              <w:rPr>
                <w:rFonts w:ascii="Calibri" w:hAnsi="Calibri" w:cs="Calibri"/>
                <w:sz w:val="20"/>
              </w:rPr>
              <w:t>1,4%</w:t>
            </w:r>
          </w:p>
        </w:tc>
        <w:tc>
          <w:tcPr>
            <w:tcW w:w="851" w:type="dxa"/>
            <w:noWrap/>
            <w:hideMark/>
          </w:tcPr>
          <w:p w14:paraId="28034273"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c>
          <w:tcPr>
            <w:tcW w:w="850" w:type="dxa"/>
            <w:noWrap/>
            <w:hideMark/>
          </w:tcPr>
          <w:p w14:paraId="20190401" w14:textId="77777777" w:rsidR="007B7853" w:rsidRPr="00B6556A" w:rsidRDefault="007B7853" w:rsidP="00AF06A0">
            <w:pPr>
              <w:jc w:val="center"/>
              <w:rPr>
                <w:rFonts w:ascii="Calibri" w:hAnsi="Calibri" w:cs="Calibri"/>
                <w:sz w:val="20"/>
              </w:rPr>
            </w:pPr>
            <w:r w:rsidRPr="00B6556A">
              <w:rPr>
                <w:rFonts w:ascii="Calibri" w:hAnsi="Calibri" w:cs="Calibri"/>
                <w:sz w:val="20"/>
              </w:rPr>
              <w:t>-0,7%</w:t>
            </w:r>
          </w:p>
        </w:tc>
      </w:tr>
      <w:tr w:rsidR="007B7853" w:rsidRPr="00B6556A" w14:paraId="3486AF70" w14:textId="77777777" w:rsidTr="00AF06A0">
        <w:trPr>
          <w:trHeight w:val="70"/>
        </w:trPr>
        <w:tc>
          <w:tcPr>
            <w:tcW w:w="6091" w:type="dxa"/>
            <w:hideMark/>
          </w:tcPr>
          <w:p w14:paraId="024958E1" w14:textId="77777777" w:rsidR="007B7853" w:rsidRPr="00B6556A" w:rsidRDefault="007B7853" w:rsidP="00AF06A0">
            <w:pPr>
              <w:rPr>
                <w:rFonts w:ascii="Calibri" w:hAnsi="Calibri" w:cs="Calibri"/>
                <w:sz w:val="20"/>
              </w:rPr>
            </w:pPr>
            <w:r w:rsidRPr="00B6556A">
              <w:rPr>
                <w:rFonts w:ascii="Calibri" w:hAnsi="Calibri" w:cs="Calibri"/>
                <w:sz w:val="20"/>
              </w:rPr>
              <w:t>14 Výroba oděvů</w:t>
            </w:r>
          </w:p>
        </w:tc>
        <w:tc>
          <w:tcPr>
            <w:tcW w:w="850" w:type="dxa"/>
            <w:noWrap/>
            <w:hideMark/>
          </w:tcPr>
          <w:p w14:paraId="52E36A68" w14:textId="77777777" w:rsidR="007B7853" w:rsidRPr="00B6556A" w:rsidRDefault="007B7853" w:rsidP="00AF06A0">
            <w:pPr>
              <w:jc w:val="center"/>
              <w:rPr>
                <w:rFonts w:ascii="Calibri" w:hAnsi="Calibri" w:cs="Calibri"/>
                <w:sz w:val="20"/>
              </w:rPr>
            </w:pPr>
            <w:r w:rsidRPr="00B6556A">
              <w:rPr>
                <w:rFonts w:ascii="Calibri" w:hAnsi="Calibri" w:cs="Calibri"/>
                <w:sz w:val="20"/>
              </w:rPr>
              <w:t>-0,8%</w:t>
            </w:r>
          </w:p>
        </w:tc>
        <w:tc>
          <w:tcPr>
            <w:tcW w:w="851" w:type="dxa"/>
            <w:noWrap/>
            <w:hideMark/>
          </w:tcPr>
          <w:p w14:paraId="7975FA3C" w14:textId="77777777" w:rsidR="007B7853" w:rsidRPr="00B6556A" w:rsidRDefault="007B7853" w:rsidP="00AF06A0">
            <w:pPr>
              <w:jc w:val="center"/>
              <w:rPr>
                <w:rFonts w:ascii="Calibri" w:hAnsi="Calibri" w:cs="Calibri"/>
                <w:sz w:val="20"/>
              </w:rPr>
            </w:pPr>
            <w:r w:rsidRPr="00B6556A">
              <w:rPr>
                <w:rFonts w:ascii="Calibri" w:hAnsi="Calibri" w:cs="Calibri"/>
                <w:sz w:val="20"/>
              </w:rPr>
              <w:t>-4,1%</w:t>
            </w:r>
          </w:p>
        </w:tc>
        <w:tc>
          <w:tcPr>
            <w:tcW w:w="850" w:type="dxa"/>
            <w:noWrap/>
            <w:hideMark/>
          </w:tcPr>
          <w:p w14:paraId="3E0DDA91" w14:textId="77777777" w:rsidR="007B7853" w:rsidRPr="00B6556A" w:rsidRDefault="007B7853" w:rsidP="00AF06A0">
            <w:pPr>
              <w:jc w:val="center"/>
              <w:rPr>
                <w:rFonts w:ascii="Calibri" w:hAnsi="Calibri" w:cs="Calibri"/>
                <w:sz w:val="20"/>
              </w:rPr>
            </w:pPr>
            <w:r w:rsidRPr="00B6556A">
              <w:rPr>
                <w:rFonts w:ascii="Calibri" w:hAnsi="Calibri" w:cs="Calibri"/>
                <w:sz w:val="20"/>
              </w:rPr>
              <w:t>1,8%</w:t>
            </w:r>
          </w:p>
        </w:tc>
      </w:tr>
      <w:tr w:rsidR="007B7853" w:rsidRPr="00B6556A" w14:paraId="4E9A2E19" w14:textId="77777777" w:rsidTr="00AF06A0">
        <w:trPr>
          <w:trHeight w:val="141"/>
        </w:trPr>
        <w:tc>
          <w:tcPr>
            <w:tcW w:w="6091" w:type="dxa"/>
            <w:hideMark/>
          </w:tcPr>
          <w:p w14:paraId="2E052F75" w14:textId="77777777" w:rsidR="007B7853" w:rsidRPr="00B6556A" w:rsidRDefault="007B7853" w:rsidP="00AF06A0">
            <w:pPr>
              <w:rPr>
                <w:rFonts w:ascii="Calibri" w:hAnsi="Calibri" w:cs="Calibri"/>
                <w:sz w:val="20"/>
              </w:rPr>
            </w:pPr>
            <w:r w:rsidRPr="00B6556A">
              <w:rPr>
                <w:rFonts w:ascii="Calibri" w:hAnsi="Calibri" w:cs="Calibri"/>
                <w:sz w:val="20"/>
              </w:rPr>
              <w:t>15 Výroba usní a souvisejících výrobků</w:t>
            </w:r>
          </w:p>
        </w:tc>
        <w:tc>
          <w:tcPr>
            <w:tcW w:w="850" w:type="dxa"/>
            <w:noWrap/>
            <w:hideMark/>
          </w:tcPr>
          <w:p w14:paraId="17FA7831" w14:textId="77777777" w:rsidR="007B7853" w:rsidRPr="00B6556A" w:rsidRDefault="007B7853" w:rsidP="00AF06A0">
            <w:pPr>
              <w:jc w:val="center"/>
              <w:rPr>
                <w:rFonts w:ascii="Calibri" w:hAnsi="Calibri" w:cs="Calibri"/>
                <w:sz w:val="20"/>
              </w:rPr>
            </w:pPr>
            <w:r w:rsidRPr="00B6556A">
              <w:rPr>
                <w:rFonts w:ascii="Calibri" w:hAnsi="Calibri" w:cs="Calibri"/>
                <w:sz w:val="20"/>
              </w:rPr>
              <w:t>-3,6%</w:t>
            </w:r>
          </w:p>
        </w:tc>
        <w:tc>
          <w:tcPr>
            <w:tcW w:w="851" w:type="dxa"/>
            <w:noWrap/>
            <w:hideMark/>
          </w:tcPr>
          <w:p w14:paraId="7EE1BDB9" w14:textId="77777777" w:rsidR="007B7853" w:rsidRPr="00B6556A" w:rsidRDefault="007B7853" w:rsidP="00AF06A0">
            <w:pPr>
              <w:jc w:val="center"/>
              <w:rPr>
                <w:rFonts w:ascii="Calibri" w:hAnsi="Calibri" w:cs="Calibri"/>
                <w:sz w:val="20"/>
              </w:rPr>
            </w:pPr>
            <w:r w:rsidRPr="00B6556A">
              <w:rPr>
                <w:rFonts w:ascii="Calibri" w:hAnsi="Calibri" w:cs="Calibri"/>
                <w:sz w:val="20"/>
              </w:rPr>
              <w:t>-5,1%</w:t>
            </w:r>
          </w:p>
        </w:tc>
        <w:tc>
          <w:tcPr>
            <w:tcW w:w="850" w:type="dxa"/>
            <w:noWrap/>
            <w:hideMark/>
          </w:tcPr>
          <w:p w14:paraId="35385ED0" w14:textId="77777777" w:rsidR="007B7853" w:rsidRPr="00B6556A" w:rsidRDefault="007B7853" w:rsidP="00AF06A0">
            <w:pPr>
              <w:jc w:val="center"/>
              <w:rPr>
                <w:rFonts w:ascii="Calibri" w:hAnsi="Calibri" w:cs="Calibri"/>
                <w:sz w:val="20"/>
              </w:rPr>
            </w:pPr>
            <w:r w:rsidRPr="00B6556A">
              <w:rPr>
                <w:rFonts w:ascii="Calibri" w:hAnsi="Calibri" w:cs="Calibri"/>
                <w:sz w:val="20"/>
              </w:rPr>
              <w:t>-3,0%</w:t>
            </w:r>
          </w:p>
        </w:tc>
      </w:tr>
      <w:tr w:rsidR="007B7853" w:rsidRPr="00B6556A" w14:paraId="2F592FFE" w14:textId="77777777" w:rsidTr="00AF06A0">
        <w:trPr>
          <w:trHeight w:val="456"/>
        </w:trPr>
        <w:tc>
          <w:tcPr>
            <w:tcW w:w="6091" w:type="dxa"/>
            <w:hideMark/>
          </w:tcPr>
          <w:p w14:paraId="0BE75B70" w14:textId="77777777" w:rsidR="007B7853" w:rsidRPr="00B6556A" w:rsidRDefault="007B7853" w:rsidP="00AF06A0">
            <w:pPr>
              <w:rPr>
                <w:rFonts w:ascii="Calibri" w:hAnsi="Calibri" w:cs="Calibri"/>
                <w:sz w:val="20"/>
              </w:rPr>
            </w:pPr>
            <w:r w:rsidRPr="00B6556A">
              <w:rPr>
                <w:rFonts w:ascii="Calibri" w:hAnsi="Calibri" w:cs="Calibri"/>
                <w:sz w:val="20"/>
              </w:rPr>
              <w:t>16 Zpracování dřeva, výroba dřevěných, korkových, proutěných a slaměných výrobků, kromě nábytku</w:t>
            </w:r>
          </w:p>
        </w:tc>
        <w:tc>
          <w:tcPr>
            <w:tcW w:w="850" w:type="dxa"/>
            <w:noWrap/>
            <w:hideMark/>
          </w:tcPr>
          <w:p w14:paraId="45AB8FCF" w14:textId="77777777" w:rsidR="007B7853" w:rsidRPr="00B6556A" w:rsidRDefault="007B7853" w:rsidP="00AF06A0">
            <w:pPr>
              <w:jc w:val="center"/>
              <w:rPr>
                <w:rFonts w:ascii="Calibri" w:hAnsi="Calibri" w:cs="Calibri"/>
                <w:sz w:val="20"/>
              </w:rPr>
            </w:pPr>
            <w:r w:rsidRPr="00B6556A">
              <w:rPr>
                <w:rFonts w:ascii="Calibri" w:hAnsi="Calibri" w:cs="Calibri"/>
                <w:sz w:val="20"/>
              </w:rPr>
              <w:t>-0,8%</w:t>
            </w:r>
          </w:p>
        </w:tc>
        <w:tc>
          <w:tcPr>
            <w:tcW w:w="851" w:type="dxa"/>
            <w:noWrap/>
            <w:hideMark/>
          </w:tcPr>
          <w:p w14:paraId="61B8D3E9" w14:textId="77777777" w:rsidR="007B7853" w:rsidRPr="00B6556A" w:rsidRDefault="007B7853" w:rsidP="00AF06A0">
            <w:pPr>
              <w:jc w:val="center"/>
              <w:rPr>
                <w:rFonts w:ascii="Calibri" w:hAnsi="Calibri" w:cs="Calibri"/>
                <w:sz w:val="20"/>
              </w:rPr>
            </w:pPr>
            <w:r w:rsidRPr="00B6556A">
              <w:rPr>
                <w:rFonts w:ascii="Calibri" w:hAnsi="Calibri" w:cs="Calibri"/>
                <w:sz w:val="20"/>
              </w:rPr>
              <w:t>-1,8%</w:t>
            </w:r>
          </w:p>
        </w:tc>
        <w:tc>
          <w:tcPr>
            <w:tcW w:w="850" w:type="dxa"/>
            <w:noWrap/>
            <w:hideMark/>
          </w:tcPr>
          <w:p w14:paraId="0AA67813" w14:textId="77777777" w:rsidR="007B7853" w:rsidRPr="00B6556A" w:rsidRDefault="007B7853" w:rsidP="00AF06A0">
            <w:pPr>
              <w:jc w:val="center"/>
              <w:rPr>
                <w:rFonts w:ascii="Calibri" w:hAnsi="Calibri" w:cs="Calibri"/>
                <w:sz w:val="20"/>
              </w:rPr>
            </w:pPr>
            <w:r w:rsidRPr="00B6556A">
              <w:rPr>
                <w:rFonts w:ascii="Calibri" w:hAnsi="Calibri" w:cs="Calibri"/>
                <w:sz w:val="20"/>
              </w:rPr>
              <w:t>-0,1%</w:t>
            </w:r>
          </w:p>
        </w:tc>
      </w:tr>
      <w:tr w:rsidR="007B7853" w:rsidRPr="00B6556A" w14:paraId="5A726174" w14:textId="77777777" w:rsidTr="00AF06A0">
        <w:trPr>
          <w:trHeight w:val="70"/>
        </w:trPr>
        <w:tc>
          <w:tcPr>
            <w:tcW w:w="6091" w:type="dxa"/>
            <w:hideMark/>
          </w:tcPr>
          <w:p w14:paraId="0B92FADE" w14:textId="77777777" w:rsidR="007B7853" w:rsidRPr="00B6556A" w:rsidRDefault="007B7853" w:rsidP="00AF06A0">
            <w:pPr>
              <w:rPr>
                <w:rFonts w:ascii="Calibri" w:hAnsi="Calibri" w:cs="Calibri"/>
                <w:sz w:val="20"/>
              </w:rPr>
            </w:pPr>
            <w:r w:rsidRPr="00B6556A">
              <w:rPr>
                <w:rFonts w:ascii="Calibri" w:hAnsi="Calibri" w:cs="Calibri"/>
                <w:sz w:val="20"/>
              </w:rPr>
              <w:t>17 Výroba papíru a výrobků z papíru</w:t>
            </w:r>
          </w:p>
        </w:tc>
        <w:tc>
          <w:tcPr>
            <w:tcW w:w="850" w:type="dxa"/>
            <w:noWrap/>
            <w:hideMark/>
          </w:tcPr>
          <w:p w14:paraId="20AED717" w14:textId="77777777" w:rsidR="007B7853" w:rsidRPr="00B6556A" w:rsidRDefault="007B7853" w:rsidP="00AF06A0">
            <w:pPr>
              <w:jc w:val="center"/>
              <w:rPr>
                <w:rFonts w:ascii="Calibri" w:hAnsi="Calibri" w:cs="Calibri"/>
                <w:sz w:val="20"/>
              </w:rPr>
            </w:pPr>
            <w:r w:rsidRPr="00B6556A">
              <w:rPr>
                <w:rFonts w:ascii="Calibri" w:hAnsi="Calibri" w:cs="Calibri"/>
                <w:sz w:val="20"/>
              </w:rPr>
              <w:t>-0,7%</w:t>
            </w:r>
          </w:p>
        </w:tc>
        <w:tc>
          <w:tcPr>
            <w:tcW w:w="851" w:type="dxa"/>
            <w:noWrap/>
            <w:hideMark/>
          </w:tcPr>
          <w:p w14:paraId="6E7E48EC" w14:textId="77777777" w:rsidR="007B7853" w:rsidRPr="00B6556A" w:rsidRDefault="007B7853" w:rsidP="00AF06A0">
            <w:pPr>
              <w:jc w:val="center"/>
              <w:rPr>
                <w:rFonts w:ascii="Calibri" w:hAnsi="Calibri" w:cs="Calibri"/>
                <w:sz w:val="20"/>
              </w:rPr>
            </w:pPr>
            <w:r w:rsidRPr="00B6556A">
              <w:rPr>
                <w:rFonts w:ascii="Calibri" w:hAnsi="Calibri" w:cs="Calibri"/>
                <w:sz w:val="20"/>
              </w:rPr>
              <w:t>-3,3%</w:t>
            </w:r>
          </w:p>
        </w:tc>
        <w:tc>
          <w:tcPr>
            <w:tcW w:w="850" w:type="dxa"/>
            <w:noWrap/>
            <w:hideMark/>
          </w:tcPr>
          <w:p w14:paraId="7DC06F15" w14:textId="77777777" w:rsidR="007B7853" w:rsidRPr="00B6556A" w:rsidRDefault="007B7853" w:rsidP="00AF06A0">
            <w:pPr>
              <w:jc w:val="center"/>
              <w:rPr>
                <w:rFonts w:ascii="Calibri" w:hAnsi="Calibri" w:cs="Calibri"/>
                <w:sz w:val="20"/>
              </w:rPr>
            </w:pPr>
            <w:r w:rsidRPr="00B6556A">
              <w:rPr>
                <w:rFonts w:ascii="Calibri" w:hAnsi="Calibri" w:cs="Calibri"/>
                <w:sz w:val="20"/>
              </w:rPr>
              <w:t>-1,4%</w:t>
            </w:r>
          </w:p>
        </w:tc>
      </w:tr>
      <w:tr w:rsidR="007B7853" w:rsidRPr="00B6556A" w14:paraId="06645E8A" w14:textId="77777777" w:rsidTr="00AF06A0">
        <w:trPr>
          <w:trHeight w:val="126"/>
        </w:trPr>
        <w:tc>
          <w:tcPr>
            <w:tcW w:w="6091" w:type="dxa"/>
            <w:hideMark/>
          </w:tcPr>
          <w:p w14:paraId="71117D79" w14:textId="77777777" w:rsidR="007B7853" w:rsidRPr="00B6556A" w:rsidRDefault="007B7853" w:rsidP="00AF06A0">
            <w:pPr>
              <w:rPr>
                <w:rFonts w:ascii="Calibri" w:hAnsi="Calibri" w:cs="Calibri"/>
                <w:sz w:val="20"/>
              </w:rPr>
            </w:pPr>
            <w:r w:rsidRPr="00B6556A">
              <w:rPr>
                <w:rFonts w:ascii="Calibri" w:hAnsi="Calibri" w:cs="Calibri"/>
                <w:sz w:val="20"/>
              </w:rPr>
              <w:t>18 Tisk a rozmnožování nahraných nosičů</w:t>
            </w:r>
          </w:p>
        </w:tc>
        <w:tc>
          <w:tcPr>
            <w:tcW w:w="850" w:type="dxa"/>
            <w:noWrap/>
            <w:hideMark/>
          </w:tcPr>
          <w:p w14:paraId="47077F19" w14:textId="77777777" w:rsidR="007B7853" w:rsidRPr="00B6556A" w:rsidRDefault="007B7853" w:rsidP="00AF06A0">
            <w:pPr>
              <w:jc w:val="center"/>
              <w:rPr>
                <w:rFonts w:ascii="Calibri" w:hAnsi="Calibri" w:cs="Calibri"/>
                <w:sz w:val="20"/>
              </w:rPr>
            </w:pPr>
            <w:r w:rsidRPr="00B6556A">
              <w:rPr>
                <w:rFonts w:ascii="Calibri" w:hAnsi="Calibri" w:cs="Calibri"/>
                <w:sz w:val="20"/>
              </w:rPr>
              <w:t>-2,0%</w:t>
            </w:r>
          </w:p>
        </w:tc>
        <w:tc>
          <w:tcPr>
            <w:tcW w:w="851" w:type="dxa"/>
            <w:noWrap/>
            <w:hideMark/>
          </w:tcPr>
          <w:p w14:paraId="05A3AA8B" w14:textId="77777777" w:rsidR="007B7853" w:rsidRPr="00B6556A" w:rsidRDefault="007B7853" w:rsidP="00AF06A0">
            <w:pPr>
              <w:jc w:val="center"/>
              <w:rPr>
                <w:rFonts w:ascii="Calibri" w:hAnsi="Calibri" w:cs="Calibri"/>
                <w:sz w:val="20"/>
              </w:rPr>
            </w:pPr>
            <w:r w:rsidRPr="00B6556A">
              <w:rPr>
                <w:rFonts w:ascii="Calibri" w:hAnsi="Calibri" w:cs="Calibri"/>
                <w:sz w:val="20"/>
              </w:rPr>
              <w:t>-1,9%</w:t>
            </w:r>
          </w:p>
        </w:tc>
        <w:tc>
          <w:tcPr>
            <w:tcW w:w="850" w:type="dxa"/>
            <w:noWrap/>
            <w:hideMark/>
          </w:tcPr>
          <w:p w14:paraId="72D23C68" w14:textId="77777777" w:rsidR="007B7853" w:rsidRPr="00B6556A" w:rsidRDefault="007B7853" w:rsidP="00AF06A0">
            <w:pPr>
              <w:jc w:val="center"/>
              <w:rPr>
                <w:rFonts w:ascii="Calibri" w:hAnsi="Calibri" w:cs="Calibri"/>
                <w:sz w:val="20"/>
              </w:rPr>
            </w:pPr>
            <w:r w:rsidRPr="00B6556A">
              <w:rPr>
                <w:rFonts w:ascii="Calibri" w:hAnsi="Calibri" w:cs="Calibri"/>
                <w:sz w:val="20"/>
              </w:rPr>
              <w:t>2,8%</w:t>
            </w:r>
          </w:p>
        </w:tc>
      </w:tr>
      <w:tr w:rsidR="007B7853" w:rsidRPr="00B6556A" w14:paraId="19C88CFA" w14:textId="77777777" w:rsidTr="00AF06A0">
        <w:trPr>
          <w:trHeight w:val="300"/>
        </w:trPr>
        <w:tc>
          <w:tcPr>
            <w:tcW w:w="6091" w:type="dxa"/>
            <w:hideMark/>
          </w:tcPr>
          <w:p w14:paraId="538B983E" w14:textId="77777777" w:rsidR="007B7853" w:rsidRPr="00B6556A" w:rsidRDefault="007B7853" w:rsidP="00AF06A0">
            <w:pPr>
              <w:rPr>
                <w:rFonts w:ascii="Calibri" w:hAnsi="Calibri" w:cs="Calibri"/>
                <w:sz w:val="20"/>
              </w:rPr>
            </w:pPr>
            <w:r w:rsidRPr="00B6556A">
              <w:rPr>
                <w:rFonts w:ascii="Calibri" w:hAnsi="Calibri" w:cs="Calibri"/>
                <w:sz w:val="20"/>
              </w:rPr>
              <w:t>19 Výroba koksu a rafinovaných ropných produktů</w:t>
            </w:r>
          </w:p>
        </w:tc>
        <w:tc>
          <w:tcPr>
            <w:tcW w:w="850" w:type="dxa"/>
            <w:noWrap/>
            <w:hideMark/>
          </w:tcPr>
          <w:p w14:paraId="2D5C60A3"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c>
          <w:tcPr>
            <w:tcW w:w="851" w:type="dxa"/>
            <w:noWrap/>
            <w:hideMark/>
          </w:tcPr>
          <w:p w14:paraId="4BF40616" w14:textId="77777777" w:rsidR="007B7853" w:rsidRPr="00B6556A" w:rsidRDefault="007B7853" w:rsidP="00AF06A0">
            <w:pPr>
              <w:jc w:val="center"/>
              <w:rPr>
                <w:rFonts w:ascii="Calibri" w:hAnsi="Calibri" w:cs="Calibri"/>
                <w:sz w:val="20"/>
              </w:rPr>
            </w:pPr>
            <w:r w:rsidRPr="00B6556A">
              <w:rPr>
                <w:rFonts w:ascii="Calibri" w:hAnsi="Calibri" w:cs="Calibri"/>
                <w:sz w:val="20"/>
              </w:rPr>
              <w:t>3,0%</w:t>
            </w:r>
          </w:p>
        </w:tc>
        <w:tc>
          <w:tcPr>
            <w:tcW w:w="850" w:type="dxa"/>
            <w:noWrap/>
            <w:hideMark/>
          </w:tcPr>
          <w:p w14:paraId="6B9A4EA9" w14:textId="77777777" w:rsidR="007B7853" w:rsidRPr="00B6556A" w:rsidRDefault="007B7853" w:rsidP="00AF06A0">
            <w:pPr>
              <w:jc w:val="center"/>
              <w:rPr>
                <w:rFonts w:ascii="Calibri" w:hAnsi="Calibri" w:cs="Calibri"/>
                <w:sz w:val="20"/>
              </w:rPr>
            </w:pPr>
            <w:r w:rsidRPr="00B6556A">
              <w:rPr>
                <w:rFonts w:ascii="Calibri" w:hAnsi="Calibri" w:cs="Calibri"/>
                <w:sz w:val="20"/>
              </w:rPr>
              <w:t>0,3%</w:t>
            </w:r>
          </w:p>
        </w:tc>
      </w:tr>
      <w:tr w:rsidR="007B7853" w:rsidRPr="00B6556A" w14:paraId="35B454C2" w14:textId="77777777" w:rsidTr="00AF06A0">
        <w:trPr>
          <w:trHeight w:val="70"/>
        </w:trPr>
        <w:tc>
          <w:tcPr>
            <w:tcW w:w="6091" w:type="dxa"/>
            <w:hideMark/>
          </w:tcPr>
          <w:p w14:paraId="3DD515BB" w14:textId="77777777" w:rsidR="007B7853" w:rsidRPr="00B6556A" w:rsidRDefault="007B7853" w:rsidP="00AF06A0">
            <w:pPr>
              <w:rPr>
                <w:rFonts w:ascii="Calibri" w:hAnsi="Calibri" w:cs="Calibri"/>
                <w:sz w:val="20"/>
              </w:rPr>
            </w:pPr>
            <w:r w:rsidRPr="00B6556A">
              <w:rPr>
                <w:rFonts w:ascii="Calibri" w:hAnsi="Calibri" w:cs="Calibri"/>
                <w:sz w:val="20"/>
              </w:rPr>
              <w:t>20 Výroba chemických látek a chemických přípravků</w:t>
            </w:r>
          </w:p>
        </w:tc>
        <w:tc>
          <w:tcPr>
            <w:tcW w:w="850" w:type="dxa"/>
            <w:noWrap/>
            <w:hideMark/>
          </w:tcPr>
          <w:p w14:paraId="32AF88A4" w14:textId="77777777" w:rsidR="007B7853" w:rsidRPr="00B6556A" w:rsidRDefault="007B7853" w:rsidP="00AF06A0">
            <w:pPr>
              <w:jc w:val="center"/>
              <w:rPr>
                <w:rFonts w:ascii="Calibri" w:hAnsi="Calibri" w:cs="Calibri"/>
                <w:sz w:val="20"/>
              </w:rPr>
            </w:pPr>
            <w:r w:rsidRPr="00B6556A">
              <w:rPr>
                <w:rFonts w:ascii="Calibri" w:hAnsi="Calibri" w:cs="Calibri"/>
                <w:sz w:val="20"/>
              </w:rPr>
              <w:t>-3,8%</w:t>
            </w:r>
          </w:p>
        </w:tc>
        <w:tc>
          <w:tcPr>
            <w:tcW w:w="851" w:type="dxa"/>
            <w:noWrap/>
            <w:hideMark/>
          </w:tcPr>
          <w:p w14:paraId="1319D006" w14:textId="77777777" w:rsidR="007B7853" w:rsidRPr="00B6556A" w:rsidRDefault="007B7853" w:rsidP="00AF06A0">
            <w:pPr>
              <w:jc w:val="center"/>
              <w:rPr>
                <w:rFonts w:ascii="Calibri" w:hAnsi="Calibri" w:cs="Calibri"/>
                <w:sz w:val="20"/>
              </w:rPr>
            </w:pPr>
            <w:r w:rsidRPr="00B6556A">
              <w:rPr>
                <w:rFonts w:ascii="Calibri" w:hAnsi="Calibri" w:cs="Calibri"/>
                <w:sz w:val="20"/>
              </w:rPr>
              <w:t>1,7%</w:t>
            </w:r>
          </w:p>
        </w:tc>
        <w:tc>
          <w:tcPr>
            <w:tcW w:w="850" w:type="dxa"/>
            <w:noWrap/>
            <w:hideMark/>
          </w:tcPr>
          <w:p w14:paraId="604E44DA" w14:textId="77777777" w:rsidR="007B7853" w:rsidRPr="00B6556A" w:rsidRDefault="007B7853" w:rsidP="00AF06A0">
            <w:pPr>
              <w:jc w:val="center"/>
              <w:rPr>
                <w:rFonts w:ascii="Calibri" w:hAnsi="Calibri" w:cs="Calibri"/>
                <w:sz w:val="20"/>
              </w:rPr>
            </w:pPr>
            <w:r w:rsidRPr="00B6556A">
              <w:rPr>
                <w:rFonts w:ascii="Calibri" w:hAnsi="Calibri" w:cs="Calibri"/>
                <w:sz w:val="20"/>
              </w:rPr>
              <w:t>-9,1%</w:t>
            </w:r>
          </w:p>
        </w:tc>
      </w:tr>
      <w:tr w:rsidR="007B7853" w:rsidRPr="00B6556A" w14:paraId="200211B9" w14:textId="77777777" w:rsidTr="00AF06A0">
        <w:trPr>
          <w:trHeight w:val="449"/>
        </w:trPr>
        <w:tc>
          <w:tcPr>
            <w:tcW w:w="6091" w:type="dxa"/>
            <w:hideMark/>
          </w:tcPr>
          <w:p w14:paraId="62247017" w14:textId="77777777" w:rsidR="007B7853" w:rsidRPr="00B6556A" w:rsidRDefault="007B7853" w:rsidP="00AF06A0">
            <w:pPr>
              <w:rPr>
                <w:rFonts w:ascii="Calibri" w:hAnsi="Calibri" w:cs="Calibri"/>
                <w:sz w:val="20"/>
              </w:rPr>
            </w:pPr>
            <w:r w:rsidRPr="00B6556A">
              <w:rPr>
                <w:rFonts w:ascii="Calibri" w:hAnsi="Calibri" w:cs="Calibri"/>
                <w:sz w:val="20"/>
              </w:rPr>
              <w:t>21 Výroba základních farmaceutických výrobků a farmaceutických přípravků</w:t>
            </w:r>
          </w:p>
        </w:tc>
        <w:tc>
          <w:tcPr>
            <w:tcW w:w="850" w:type="dxa"/>
            <w:noWrap/>
            <w:hideMark/>
          </w:tcPr>
          <w:p w14:paraId="2AED057D" w14:textId="77777777" w:rsidR="007B7853" w:rsidRPr="00B6556A" w:rsidRDefault="007B7853" w:rsidP="00AF06A0">
            <w:pPr>
              <w:jc w:val="center"/>
              <w:rPr>
                <w:rFonts w:ascii="Calibri" w:hAnsi="Calibri" w:cs="Calibri"/>
                <w:sz w:val="20"/>
              </w:rPr>
            </w:pPr>
            <w:r w:rsidRPr="00B6556A">
              <w:rPr>
                <w:rFonts w:ascii="Calibri" w:hAnsi="Calibri" w:cs="Calibri"/>
                <w:sz w:val="20"/>
              </w:rPr>
              <w:t>2,5%</w:t>
            </w:r>
          </w:p>
        </w:tc>
        <w:tc>
          <w:tcPr>
            <w:tcW w:w="851" w:type="dxa"/>
            <w:noWrap/>
            <w:hideMark/>
          </w:tcPr>
          <w:p w14:paraId="61F84BCC"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c>
          <w:tcPr>
            <w:tcW w:w="850" w:type="dxa"/>
            <w:noWrap/>
            <w:hideMark/>
          </w:tcPr>
          <w:p w14:paraId="0D80C494" w14:textId="77777777" w:rsidR="007B7853" w:rsidRPr="00B6556A" w:rsidRDefault="007B7853" w:rsidP="00AF06A0">
            <w:pPr>
              <w:jc w:val="center"/>
              <w:rPr>
                <w:rFonts w:ascii="Calibri" w:hAnsi="Calibri" w:cs="Calibri"/>
                <w:sz w:val="20"/>
              </w:rPr>
            </w:pPr>
            <w:r w:rsidRPr="00B6556A">
              <w:rPr>
                <w:rFonts w:ascii="Calibri" w:hAnsi="Calibri" w:cs="Calibri"/>
                <w:sz w:val="20"/>
              </w:rPr>
              <w:t>-1,7%</w:t>
            </w:r>
          </w:p>
        </w:tc>
      </w:tr>
      <w:tr w:rsidR="007B7853" w:rsidRPr="00B6556A" w14:paraId="6A40DECC" w14:textId="77777777" w:rsidTr="00AF06A0">
        <w:trPr>
          <w:trHeight w:val="70"/>
        </w:trPr>
        <w:tc>
          <w:tcPr>
            <w:tcW w:w="6091" w:type="dxa"/>
            <w:hideMark/>
          </w:tcPr>
          <w:p w14:paraId="0A6EA347" w14:textId="77777777" w:rsidR="007B7853" w:rsidRPr="00B6556A" w:rsidRDefault="007B7853" w:rsidP="00AF06A0">
            <w:pPr>
              <w:rPr>
                <w:rFonts w:ascii="Calibri" w:hAnsi="Calibri" w:cs="Calibri"/>
                <w:sz w:val="20"/>
              </w:rPr>
            </w:pPr>
            <w:r w:rsidRPr="00B6556A">
              <w:rPr>
                <w:rFonts w:ascii="Calibri" w:hAnsi="Calibri" w:cs="Calibri"/>
                <w:sz w:val="20"/>
              </w:rPr>
              <w:t>22 Výroba pryžových a plastových výrobků</w:t>
            </w:r>
          </w:p>
        </w:tc>
        <w:tc>
          <w:tcPr>
            <w:tcW w:w="850" w:type="dxa"/>
            <w:noWrap/>
            <w:hideMark/>
          </w:tcPr>
          <w:p w14:paraId="517A8FB1" w14:textId="77777777" w:rsidR="007B7853" w:rsidRPr="00B6556A" w:rsidRDefault="007B7853" w:rsidP="00AF06A0">
            <w:pPr>
              <w:jc w:val="center"/>
              <w:rPr>
                <w:rFonts w:ascii="Calibri" w:hAnsi="Calibri" w:cs="Calibri"/>
                <w:sz w:val="20"/>
              </w:rPr>
            </w:pPr>
            <w:r w:rsidRPr="00B6556A">
              <w:rPr>
                <w:rFonts w:ascii="Calibri" w:hAnsi="Calibri" w:cs="Calibri"/>
                <w:sz w:val="20"/>
              </w:rPr>
              <w:t>-2,5%</w:t>
            </w:r>
          </w:p>
        </w:tc>
        <w:tc>
          <w:tcPr>
            <w:tcW w:w="851" w:type="dxa"/>
            <w:noWrap/>
            <w:hideMark/>
          </w:tcPr>
          <w:p w14:paraId="65E75C47" w14:textId="77777777" w:rsidR="007B7853" w:rsidRPr="00B6556A" w:rsidRDefault="007B7853" w:rsidP="00AF06A0">
            <w:pPr>
              <w:jc w:val="center"/>
              <w:rPr>
                <w:rFonts w:ascii="Calibri" w:hAnsi="Calibri" w:cs="Calibri"/>
                <w:sz w:val="20"/>
              </w:rPr>
            </w:pPr>
            <w:r w:rsidRPr="00B6556A">
              <w:rPr>
                <w:rFonts w:ascii="Calibri" w:hAnsi="Calibri" w:cs="Calibri"/>
                <w:sz w:val="20"/>
              </w:rPr>
              <w:t>-0,4%</w:t>
            </w:r>
          </w:p>
        </w:tc>
        <w:tc>
          <w:tcPr>
            <w:tcW w:w="850" w:type="dxa"/>
            <w:noWrap/>
            <w:hideMark/>
          </w:tcPr>
          <w:p w14:paraId="77CC0DF8" w14:textId="77777777" w:rsidR="007B7853" w:rsidRPr="00B6556A" w:rsidRDefault="007B7853" w:rsidP="00AF06A0">
            <w:pPr>
              <w:jc w:val="center"/>
              <w:rPr>
                <w:rFonts w:ascii="Calibri" w:hAnsi="Calibri" w:cs="Calibri"/>
                <w:sz w:val="20"/>
              </w:rPr>
            </w:pPr>
            <w:r w:rsidRPr="00B6556A">
              <w:rPr>
                <w:rFonts w:ascii="Calibri" w:hAnsi="Calibri" w:cs="Calibri"/>
                <w:sz w:val="20"/>
              </w:rPr>
              <w:t>1,2%</w:t>
            </w:r>
          </w:p>
        </w:tc>
      </w:tr>
      <w:tr w:rsidR="007B7853" w:rsidRPr="00B6556A" w14:paraId="3AAB5B59" w14:textId="77777777" w:rsidTr="00AF06A0">
        <w:trPr>
          <w:trHeight w:val="247"/>
        </w:trPr>
        <w:tc>
          <w:tcPr>
            <w:tcW w:w="6091" w:type="dxa"/>
            <w:hideMark/>
          </w:tcPr>
          <w:p w14:paraId="55B0341D" w14:textId="77777777" w:rsidR="007B7853" w:rsidRPr="00B6556A" w:rsidRDefault="007B7853" w:rsidP="00AF06A0">
            <w:pPr>
              <w:rPr>
                <w:rFonts w:ascii="Calibri" w:hAnsi="Calibri" w:cs="Calibri"/>
                <w:sz w:val="20"/>
              </w:rPr>
            </w:pPr>
            <w:r w:rsidRPr="00B6556A">
              <w:rPr>
                <w:rFonts w:ascii="Calibri" w:hAnsi="Calibri" w:cs="Calibri"/>
                <w:sz w:val="20"/>
              </w:rPr>
              <w:t>23 Výroba ostatních nekovových minerálních výrobků</w:t>
            </w:r>
          </w:p>
        </w:tc>
        <w:tc>
          <w:tcPr>
            <w:tcW w:w="850" w:type="dxa"/>
            <w:noWrap/>
            <w:hideMark/>
          </w:tcPr>
          <w:p w14:paraId="63CC2DFA" w14:textId="77777777" w:rsidR="007B7853" w:rsidRPr="00B6556A" w:rsidRDefault="007B7853" w:rsidP="00AF06A0">
            <w:pPr>
              <w:jc w:val="center"/>
              <w:rPr>
                <w:rFonts w:ascii="Calibri" w:hAnsi="Calibri" w:cs="Calibri"/>
                <w:sz w:val="20"/>
              </w:rPr>
            </w:pPr>
            <w:r w:rsidRPr="00B6556A">
              <w:rPr>
                <w:rFonts w:ascii="Calibri" w:hAnsi="Calibri" w:cs="Calibri"/>
                <w:sz w:val="20"/>
              </w:rPr>
              <w:t>-2,5%</w:t>
            </w:r>
          </w:p>
        </w:tc>
        <w:tc>
          <w:tcPr>
            <w:tcW w:w="851" w:type="dxa"/>
            <w:noWrap/>
            <w:hideMark/>
          </w:tcPr>
          <w:p w14:paraId="2B0CA9D0" w14:textId="77777777" w:rsidR="007B7853" w:rsidRPr="00B6556A" w:rsidRDefault="007B7853" w:rsidP="00AF06A0">
            <w:pPr>
              <w:jc w:val="center"/>
              <w:rPr>
                <w:rFonts w:ascii="Calibri" w:hAnsi="Calibri" w:cs="Calibri"/>
                <w:sz w:val="20"/>
              </w:rPr>
            </w:pPr>
            <w:r w:rsidRPr="00B6556A">
              <w:rPr>
                <w:rFonts w:ascii="Calibri" w:hAnsi="Calibri" w:cs="Calibri"/>
                <w:sz w:val="20"/>
              </w:rPr>
              <w:t>-0,4%</w:t>
            </w:r>
          </w:p>
        </w:tc>
        <w:tc>
          <w:tcPr>
            <w:tcW w:w="850" w:type="dxa"/>
            <w:noWrap/>
            <w:hideMark/>
          </w:tcPr>
          <w:p w14:paraId="1FDB49CF" w14:textId="77777777" w:rsidR="007B7853" w:rsidRPr="00B6556A" w:rsidRDefault="007B7853" w:rsidP="00AF06A0">
            <w:pPr>
              <w:jc w:val="center"/>
              <w:rPr>
                <w:rFonts w:ascii="Calibri" w:hAnsi="Calibri" w:cs="Calibri"/>
                <w:sz w:val="20"/>
              </w:rPr>
            </w:pPr>
            <w:r w:rsidRPr="00B6556A">
              <w:rPr>
                <w:rFonts w:ascii="Calibri" w:hAnsi="Calibri" w:cs="Calibri"/>
                <w:sz w:val="20"/>
              </w:rPr>
              <w:t>0,4%</w:t>
            </w:r>
          </w:p>
        </w:tc>
      </w:tr>
      <w:tr w:rsidR="007B7853" w:rsidRPr="00B6556A" w14:paraId="45F4991E" w14:textId="77777777" w:rsidTr="00AF06A0">
        <w:trPr>
          <w:trHeight w:val="138"/>
        </w:trPr>
        <w:tc>
          <w:tcPr>
            <w:tcW w:w="6091" w:type="dxa"/>
            <w:hideMark/>
          </w:tcPr>
          <w:p w14:paraId="5ADC344E" w14:textId="77777777" w:rsidR="007B7853" w:rsidRPr="00B6556A" w:rsidRDefault="007B7853" w:rsidP="00AF06A0">
            <w:pPr>
              <w:rPr>
                <w:rFonts w:ascii="Calibri" w:hAnsi="Calibri" w:cs="Calibri"/>
                <w:sz w:val="20"/>
              </w:rPr>
            </w:pPr>
            <w:r w:rsidRPr="00B6556A">
              <w:rPr>
                <w:rFonts w:ascii="Calibri" w:hAnsi="Calibri" w:cs="Calibri"/>
                <w:sz w:val="20"/>
              </w:rPr>
              <w:t>24 Výroba základních kovů, hutní zpracování kovů; slévárenství</w:t>
            </w:r>
          </w:p>
        </w:tc>
        <w:tc>
          <w:tcPr>
            <w:tcW w:w="850" w:type="dxa"/>
            <w:noWrap/>
            <w:hideMark/>
          </w:tcPr>
          <w:p w14:paraId="4CCF7F68" w14:textId="77777777" w:rsidR="007B7853" w:rsidRPr="00B6556A" w:rsidRDefault="007B7853" w:rsidP="00AF06A0">
            <w:pPr>
              <w:jc w:val="center"/>
              <w:rPr>
                <w:rFonts w:ascii="Calibri" w:hAnsi="Calibri" w:cs="Calibri"/>
                <w:sz w:val="20"/>
              </w:rPr>
            </w:pPr>
            <w:r w:rsidRPr="00B6556A">
              <w:rPr>
                <w:rFonts w:ascii="Calibri" w:hAnsi="Calibri" w:cs="Calibri"/>
                <w:sz w:val="20"/>
              </w:rPr>
              <w:t>-2,4%</w:t>
            </w:r>
          </w:p>
        </w:tc>
        <w:tc>
          <w:tcPr>
            <w:tcW w:w="851" w:type="dxa"/>
            <w:noWrap/>
            <w:hideMark/>
          </w:tcPr>
          <w:p w14:paraId="4F57A846" w14:textId="77777777" w:rsidR="007B7853" w:rsidRPr="00B6556A" w:rsidRDefault="007B7853" w:rsidP="00AF06A0">
            <w:pPr>
              <w:jc w:val="center"/>
              <w:rPr>
                <w:rFonts w:ascii="Calibri" w:hAnsi="Calibri" w:cs="Calibri"/>
                <w:sz w:val="20"/>
              </w:rPr>
            </w:pPr>
            <w:r w:rsidRPr="00B6556A">
              <w:rPr>
                <w:rFonts w:ascii="Calibri" w:hAnsi="Calibri" w:cs="Calibri"/>
                <w:sz w:val="20"/>
              </w:rPr>
              <w:t>1,7%</w:t>
            </w:r>
          </w:p>
        </w:tc>
        <w:tc>
          <w:tcPr>
            <w:tcW w:w="850" w:type="dxa"/>
            <w:noWrap/>
            <w:hideMark/>
          </w:tcPr>
          <w:p w14:paraId="70DF6A0E" w14:textId="77777777" w:rsidR="007B7853" w:rsidRPr="00B6556A" w:rsidRDefault="007B7853" w:rsidP="00AF06A0">
            <w:pPr>
              <w:jc w:val="center"/>
              <w:rPr>
                <w:rFonts w:ascii="Calibri" w:hAnsi="Calibri" w:cs="Calibri"/>
                <w:sz w:val="20"/>
              </w:rPr>
            </w:pPr>
            <w:r w:rsidRPr="00B6556A">
              <w:rPr>
                <w:rFonts w:ascii="Calibri" w:hAnsi="Calibri" w:cs="Calibri"/>
                <w:sz w:val="20"/>
              </w:rPr>
              <w:t>3,4%</w:t>
            </w:r>
          </w:p>
        </w:tc>
      </w:tr>
      <w:tr w:rsidR="007B7853" w:rsidRPr="00B6556A" w14:paraId="72D22AF6" w14:textId="77777777" w:rsidTr="00AF06A0">
        <w:trPr>
          <w:trHeight w:val="311"/>
        </w:trPr>
        <w:tc>
          <w:tcPr>
            <w:tcW w:w="6091" w:type="dxa"/>
            <w:hideMark/>
          </w:tcPr>
          <w:p w14:paraId="53A2DB74" w14:textId="77777777" w:rsidR="007B7853" w:rsidRPr="00B6556A" w:rsidRDefault="007B7853" w:rsidP="00AF06A0">
            <w:pPr>
              <w:rPr>
                <w:rFonts w:ascii="Calibri" w:hAnsi="Calibri" w:cs="Calibri"/>
                <w:sz w:val="20"/>
              </w:rPr>
            </w:pPr>
            <w:r w:rsidRPr="00B6556A">
              <w:rPr>
                <w:rFonts w:ascii="Calibri" w:hAnsi="Calibri" w:cs="Calibri"/>
                <w:sz w:val="20"/>
              </w:rPr>
              <w:lastRenderedPageBreak/>
              <w:t>25 Výroba kovových konstrukcí a kovodělných výrobků, kromě strojů a zařízení</w:t>
            </w:r>
          </w:p>
        </w:tc>
        <w:tc>
          <w:tcPr>
            <w:tcW w:w="850" w:type="dxa"/>
            <w:noWrap/>
            <w:hideMark/>
          </w:tcPr>
          <w:p w14:paraId="29C9DCE4" w14:textId="77777777" w:rsidR="007B7853" w:rsidRPr="00B6556A" w:rsidRDefault="007B7853" w:rsidP="00AF06A0">
            <w:pPr>
              <w:jc w:val="center"/>
              <w:rPr>
                <w:rFonts w:ascii="Calibri" w:hAnsi="Calibri" w:cs="Calibri"/>
                <w:sz w:val="20"/>
              </w:rPr>
            </w:pPr>
            <w:r w:rsidRPr="00B6556A">
              <w:rPr>
                <w:rFonts w:ascii="Calibri" w:hAnsi="Calibri" w:cs="Calibri"/>
                <w:sz w:val="20"/>
              </w:rPr>
              <w:t>-1,5%</w:t>
            </w:r>
          </w:p>
        </w:tc>
        <w:tc>
          <w:tcPr>
            <w:tcW w:w="851" w:type="dxa"/>
            <w:noWrap/>
            <w:hideMark/>
          </w:tcPr>
          <w:p w14:paraId="402BD1F2" w14:textId="77777777" w:rsidR="007B7853" w:rsidRPr="00B6556A" w:rsidRDefault="007B7853" w:rsidP="00AF06A0">
            <w:pPr>
              <w:jc w:val="center"/>
              <w:rPr>
                <w:rFonts w:ascii="Calibri" w:hAnsi="Calibri" w:cs="Calibri"/>
                <w:sz w:val="20"/>
              </w:rPr>
            </w:pPr>
            <w:r w:rsidRPr="00B6556A">
              <w:rPr>
                <w:rFonts w:ascii="Calibri" w:hAnsi="Calibri" w:cs="Calibri"/>
                <w:sz w:val="20"/>
              </w:rPr>
              <w:t>-1,5%</w:t>
            </w:r>
          </w:p>
        </w:tc>
        <w:tc>
          <w:tcPr>
            <w:tcW w:w="850" w:type="dxa"/>
            <w:noWrap/>
            <w:hideMark/>
          </w:tcPr>
          <w:p w14:paraId="6C2216D0" w14:textId="77777777" w:rsidR="007B7853" w:rsidRPr="00B6556A" w:rsidRDefault="007B7853" w:rsidP="00AF06A0">
            <w:pPr>
              <w:jc w:val="center"/>
              <w:rPr>
                <w:rFonts w:ascii="Calibri" w:hAnsi="Calibri" w:cs="Calibri"/>
                <w:sz w:val="20"/>
              </w:rPr>
            </w:pPr>
            <w:r w:rsidRPr="00B6556A">
              <w:rPr>
                <w:rFonts w:ascii="Calibri" w:hAnsi="Calibri" w:cs="Calibri"/>
                <w:sz w:val="20"/>
              </w:rPr>
              <w:t>3,2%</w:t>
            </w:r>
          </w:p>
        </w:tc>
      </w:tr>
      <w:tr w:rsidR="007B7853" w:rsidRPr="00B6556A" w14:paraId="3821E589" w14:textId="77777777" w:rsidTr="00AF06A0">
        <w:trPr>
          <w:trHeight w:val="92"/>
        </w:trPr>
        <w:tc>
          <w:tcPr>
            <w:tcW w:w="6091" w:type="dxa"/>
            <w:hideMark/>
          </w:tcPr>
          <w:p w14:paraId="03C713E2" w14:textId="77777777" w:rsidR="007B7853" w:rsidRPr="00B6556A" w:rsidRDefault="007B7853" w:rsidP="00AF06A0">
            <w:pPr>
              <w:rPr>
                <w:rFonts w:ascii="Calibri" w:hAnsi="Calibri" w:cs="Calibri"/>
                <w:sz w:val="20"/>
              </w:rPr>
            </w:pPr>
            <w:r w:rsidRPr="00B6556A">
              <w:rPr>
                <w:rFonts w:ascii="Calibri" w:hAnsi="Calibri" w:cs="Calibri"/>
                <w:sz w:val="20"/>
              </w:rPr>
              <w:t>26 Výroba počítačů, elektronických a optických přístrojů a zařízení</w:t>
            </w:r>
          </w:p>
        </w:tc>
        <w:tc>
          <w:tcPr>
            <w:tcW w:w="850" w:type="dxa"/>
            <w:noWrap/>
            <w:hideMark/>
          </w:tcPr>
          <w:p w14:paraId="075289F7" w14:textId="77777777" w:rsidR="007B7853" w:rsidRPr="00B6556A" w:rsidRDefault="007B7853" w:rsidP="00AF06A0">
            <w:pPr>
              <w:jc w:val="center"/>
              <w:rPr>
                <w:rFonts w:ascii="Calibri" w:hAnsi="Calibri" w:cs="Calibri"/>
                <w:sz w:val="20"/>
              </w:rPr>
            </w:pPr>
            <w:r w:rsidRPr="00B6556A">
              <w:rPr>
                <w:rFonts w:ascii="Calibri" w:hAnsi="Calibri" w:cs="Calibri"/>
                <w:sz w:val="20"/>
              </w:rPr>
              <w:t>1,9%</w:t>
            </w:r>
          </w:p>
        </w:tc>
        <w:tc>
          <w:tcPr>
            <w:tcW w:w="851" w:type="dxa"/>
            <w:noWrap/>
            <w:hideMark/>
          </w:tcPr>
          <w:p w14:paraId="04837970" w14:textId="77777777" w:rsidR="007B7853" w:rsidRPr="00B6556A" w:rsidRDefault="007B7853" w:rsidP="00AF06A0">
            <w:pPr>
              <w:jc w:val="center"/>
              <w:rPr>
                <w:rFonts w:ascii="Calibri" w:hAnsi="Calibri" w:cs="Calibri"/>
                <w:sz w:val="20"/>
              </w:rPr>
            </w:pPr>
            <w:r w:rsidRPr="00B6556A">
              <w:rPr>
                <w:rFonts w:ascii="Calibri" w:hAnsi="Calibri" w:cs="Calibri"/>
                <w:sz w:val="20"/>
              </w:rPr>
              <w:t>-1,6%</w:t>
            </w:r>
          </w:p>
        </w:tc>
        <w:tc>
          <w:tcPr>
            <w:tcW w:w="850" w:type="dxa"/>
            <w:noWrap/>
            <w:hideMark/>
          </w:tcPr>
          <w:p w14:paraId="42D673B6" w14:textId="77777777" w:rsidR="007B7853" w:rsidRPr="00B6556A" w:rsidRDefault="007B7853" w:rsidP="00AF06A0">
            <w:pPr>
              <w:jc w:val="center"/>
              <w:rPr>
                <w:rFonts w:ascii="Calibri" w:hAnsi="Calibri" w:cs="Calibri"/>
                <w:sz w:val="20"/>
              </w:rPr>
            </w:pPr>
            <w:r w:rsidRPr="00B6556A">
              <w:rPr>
                <w:rFonts w:ascii="Calibri" w:hAnsi="Calibri" w:cs="Calibri"/>
                <w:sz w:val="20"/>
              </w:rPr>
              <w:t>-0,8%</w:t>
            </w:r>
          </w:p>
        </w:tc>
      </w:tr>
      <w:tr w:rsidR="007B7853" w:rsidRPr="00B6556A" w14:paraId="0A49BA9A" w14:textId="77777777" w:rsidTr="00AF06A0">
        <w:trPr>
          <w:trHeight w:val="70"/>
        </w:trPr>
        <w:tc>
          <w:tcPr>
            <w:tcW w:w="6091" w:type="dxa"/>
            <w:hideMark/>
          </w:tcPr>
          <w:p w14:paraId="076F7923" w14:textId="77777777" w:rsidR="007B7853" w:rsidRPr="00B6556A" w:rsidRDefault="007B7853" w:rsidP="00AF06A0">
            <w:pPr>
              <w:rPr>
                <w:rFonts w:ascii="Calibri" w:hAnsi="Calibri" w:cs="Calibri"/>
                <w:sz w:val="20"/>
              </w:rPr>
            </w:pPr>
            <w:r w:rsidRPr="00B6556A">
              <w:rPr>
                <w:rFonts w:ascii="Calibri" w:hAnsi="Calibri" w:cs="Calibri"/>
                <w:sz w:val="20"/>
              </w:rPr>
              <w:t>27 Výroba elektrických zařízení</w:t>
            </w:r>
          </w:p>
        </w:tc>
        <w:tc>
          <w:tcPr>
            <w:tcW w:w="850" w:type="dxa"/>
            <w:noWrap/>
            <w:hideMark/>
          </w:tcPr>
          <w:p w14:paraId="5A86E850" w14:textId="77777777" w:rsidR="007B7853" w:rsidRPr="00B6556A" w:rsidRDefault="007B7853" w:rsidP="00AF06A0">
            <w:pPr>
              <w:jc w:val="center"/>
              <w:rPr>
                <w:rFonts w:ascii="Calibri" w:hAnsi="Calibri" w:cs="Calibri"/>
                <w:sz w:val="20"/>
              </w:rPr>
            </w:pPr>
            <w:r w:rsidRPr="00B6556A">
              <w:rPr>
                <w:rFonts w:ascii="Calibri" w:hAnsi="Calibri" w:cs="Calibri"/>
                <w:sz w:val="20"/>
              </w:rPr>
              <w:t>0,3%</w:t>
            </w:r>
          </w:p>
        </w:tc>
        <w:tc>
          <w:tcPr>
            <w:tcW w:w="851" w:type="dxa"/>
            <w:noWrap/>
            <w:hideMark/>
          </w:tcPr>
          <w:p w14:paraId="048B3289" w14:textId="77777777" w:rsidR="007B7853" w:rsidRPr="00B6556A" w:rsidRDefault="007B7853" w:rsidP="00AF06A0">
            <w:pPr>
              <w:jc w:val="center"/>
              <w:rPr>
                <w:rFonts w:ascii="Calibri" w:hAnsi="Calibri" w:cs="Calibri"/>
                <w:sz w:val="20"/>
              </w:rPr>
            </w:pPr>
            <w:r w:rsidRPr="00B6556A">
              <w:rPr>
                <w:rFonts w:ascii="Calibri" w:hAnsi="Calibri" w:cs="Calibri"/>
                <w:sz w:val="20"/>
              </w:rPr>
              <w:t>0,5%</w:t>
            </w:r>
          </w:p>
        </w:tc>
        <w:tc>
          <w:tcPr>
            <w:tcW w:w="850" w:type="dxa"/>
            <w:noWrap/>
            <w:hideMark/>
          </w:tcPr>
          <w:p w14:paraId="6B1E73B4" w14:textId="77777777" w:rsidR="007B7853" w:rsidRPr="00B6556A" w:rsidRDefault="007B7853" w:rsidP="00AF06A0">
            <w:pPr>
              <w:jc w:val="center"/>
              <w:rPr>
                <w:rFonts w:ascii="Calibri" w:hAnsi="Calibri" w:cs="Calibri"/>
                <w:sz w:val="20"/>
              </w:rPr>
            </w:pPr>
            <w:r w:rsidRPr="00B6556A">
              <w:rPr>
                <w:rFonts w:ascii="Calibri" w:hAnsi="Calibri" w:cs="Calibri"/>
                <w:sz w:val="20"/>
              </w:rPr>
              <w:t>0,4%</w:t>
            </w:r>
          </w:p>
        </w:tc>
      </w:tr>
      <w:tr w:rsidR="007B7853" w:rsidRPr="00B6556A" w14:paraId="730ED093" w14:textId="77777777" w:rsidTr="00AF06A0">
        <w:trPr>
          <w:trHeight w:val="156"/>
        </w:trPr>
        <w:tc>
          <w:tcPr>
            <w:tcW w:w="6091" w:type="dxa"/>
            <w:hideMark/>
          </w:tcPr>
          <w:p w14:paraId="49886350" w14:textId="77777777" w:rsidR="007B7853" w:rsidRPr="00B6556A" w:rsidRDefault="007B7853" w:rsidP="00AF06A0">
            <w:pPr>
              <w:rPr>
                <w:rFonts w:ascii="Calibri" w:hAnsi="Calibri" w:cs="Calibri"/>
                <w:sz w:val="20"/>
              </w:rPr>
            </w:pPr>
            <w:r w:rsidRPr="00B6556A">
              <w:rPr>
                <w:rFonts w:ascii="Calibri" w:hAnsi="Calibri" w:cs="Calibri"/>
                <w:sz w:val="20"/>
              </w:rPr>
              <w:t>28 Výroba strojů a zařízení j. n.</w:t>
            </w:r>
          </w:p>
        </w:tc>
        <w:tc>
          <w:tcPr>
            <w:tcW w:w="850" w:type="dxa"/>
            <w:noWrap/>
            <w:hideMark/>
          </w:tcPr>
          <w:p w14:paraId="1056C4D7" w14:textId="77777777" w:rsidR="007B7853" w:rsidRPr="00B6556A" w:rsidRDefault="007B7853" w:rsidP="00AF06A0">
            <w:pPr>
              <w:jc w:val="center"/>
              <w:rPr>
                <w:rFonts w:ascii="Calibri" w:hAnsi="Calibri" w:cs="Calibri"/>
                <w:sz w:val="20"/>
              </w:rPr>
            </w:pPr>
            <w:r w:rsidRPr="00B6556A">
              <w:rPr>
                <w:rFonts w:ascii="Calibri" w:hAnsi="Calibri" w:cs="Calibri"/>
                <w:sz w:val="20"/>
              </w:rPr>
              <w:t>-0,5%</w:t>
            </w:r>
          </w:p>
        </w:tc>
        <w:tc>
          <w:tcPr>
            <w:tcW w:w="851" w:type="dxa"/>
            <w:noWrap/>
            <w:hideMark/>
          </w:tcPr>
          <w:p w14:paraId="6BCA183C" w14:textId="77777777" w:rsidR="007B7853" w:rsidRPr="00B6556A" w:rsidRDefault="007B7853" w:rsidP="00AF06A0">
            <w:pPr>
              <w:jc w:val="center"/>
              <w:rPr>
                <w:rFonts w:ascii="Calibri" w:hAnsi="Calibri" w:cs="Calibri"/>
                <w:sz w:val="20"/>
              </w:rPr>
            </w:pPr>
            <w:r w:rsidRPr="00B6556A">
              <w:rPr>
                <w:rFonts w:ascii="Calibri" w:hAnsi="Calibri" w:cs="Calibri"/>
                <w:sz w:val="20"/>
              </w:rPr>
              <w:t>1,1%</w:t>
            </w:r>
          </w:p>
        </w:tc>
        <w:tc>
          <w:tcPr>
            <w:tcW w:w="850" w:type="dxa"/>
            <w:noWrap/>
            <w:hideMark/>
          </w:tcPr>
          <w:p w14:paraId="4310B57A" w14:textId="77777777" w:rsidR="007B7853" w:rsidRPr="00B6556A" w:rsidRDefault="007B7853" w:rsidP="00AF06A0">
            <w:pPr>
              <w:jc w:val="center"/>
              <w:rPr>
                <w:rFonts w:ascii="Calibri" w:hAnsi="Calibri" w:cs="Calibri"/>
                <w:sz w:val="20"/>
              </w:rPr>
            </w:pPr>
            <w:r w:rsidRPr="00B6556A">
              <w:rPr>
                <w:rFonts w:ascii="Calibri" w:hAnsi="Calibri" w:cs="Calibri"/>
                <w:sz w:val="20"/>
              </w:rPr>
              <w:t>1,0%</w:t>
            </w:r>
          </w:p>
        </w:tc>
      </w:tr>
      <w:tr w:rsidR="007B7853" w:rsidRPr="00B6556A" w14:paraId="035C2D93" w14:textId="77777777" w:rsidTr="00AF06A0">
        <w:trPr>
          <w:trHeight w:val="187"/>
        </w:trPr>
        <w:tc>
          <w:tcPr>
            <w:tcW w:w="6091" w:type="dxa"/>
            <w:hideMark/>
          </w:tcPr>
          <w:p w14:paraId="1A648DA4" w14:textId="77777777" w:rsidR="007B7853" w:rsidRPr="00B6556A" w:rsidRDefault="007B7853" w:rsidP="00AF06A0">
            <w:pPr>
              <w:rPr>
                <w:rFonts w:ascii="Calibri" w:hAnsi="Calibri" w:cs="Calibri"/>
                <w:sz w:val="20"/>
              </w:rPr>
            </w:pPr>
            <w:r w:rsidRPr="00B6556A">
              <w:rPr>
                <w:rFonts w:ascii="Calibri" w:hAnsi="Calibri" w:cs="Calibri"/>
                <w:sz w:val="20"/>
              </w:rPr>
              <w:t>29 Výroba motorových vozidel (kromě motocyklů), přívěsů a návěsů</w:t>
            </w:r>
          </w:p>
        </w:tc>
        <w:tc>
          <w:tcPr>
            <w:tcW w:w="850" w:type="dxa"/>
            <w:noWrap/>
            <w:hideMark/>
          </w:tcPr>
          <w:p w14:paraId="1E9A9855"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c>
          <w:tcPr>
            <w:tcW w:w="851" w:type="dxa"/>
            <w:noWrap/>
            <w:hideMark/>
          </w:tcPr>
          <w:p w14:paraId="2BD2C0DC" w14:textId="77777777" w:rsidR="007B7853" w:rsidRPr="00B6556A" w:rsidRDefault="007B7853" w:rsidP="00AF06A0">
            <w:pPr>
              <w:jc w:val="center"/>
              <w:rPr>
                <w:rFonts w:ascii="Calibri" w:hAnsi="Calibri" w:cs="Calibri"/>
                <w:sz w:val="20"/>
              </w:rPr>
            </w:pPr>
            <w:r w:rsidRPr="00B6556A">
              <w:rPr>
                <w:rFonts w:ascii="Calibri" w:hAnsi="Calibri" w:cs="Calibri"/>
                <w:sz w:val="20"/>
              </w:rPr>
              <w:t>-0,6%</w:t>
            </w:r>
          </w:p>
        </w:tc>
        <w:tc>
          <w:tcPr>
            <w:tcW w:w="850" w:type="dxa"/>
            <w:noWrap/>
            <w:hideMark/>
          </w:tcPr>
          <w:p w14:paraId="4F3D7271" w14:textId="77777777" w:rsidR="007B7853" w:rsidRPr="00B6556A" w:rsidRDefault="007B7853" w:rsidP="00AF06A0">
            <w:pPr>
              <w:jc w:val="center"/>
              <w:rPr>
                <w:rFonts w:ascii="Calibri" w:hAnsi="Calibri" w:cs="Calibri"/>
                <w:sz w:val="20"/>
              </w:rPr>
            </w:pPr>
            <w:r w:rsidRPr="00B6556A">
              <w:rPr>
                <w:rFonts w:ascii="Calibri" w:hAnsi="Calibri" w:cs="Calibri"/>
                <w:sz w:val="20"/>
              </w:rPr>
              <w:t>0,0%</w:t>
            </w:r>
          </w:p>
        </w:tc>
      </w:tr>
      <w:tr w:rsidR="007B7853" w:rsidRPr="00B6556A" w14:paraId="19246C06" w14:textId="77777777" w:rsidTr="00AF06A0">
        <w:trPr>
          <w:trHeight w:val="70"/>
        </w:trPr>
        <w:tc>
          <w:tcPr>
            <w:tcW w:w="6091" w:type="dxa"/>
            <w:hideMark/>
          </w:tcPr>
          <w:p w14:paraId="024D0FB0" w14:textId="77777777" w:rsidR="007B7853" w:rsidRPr="00B6556A" w:rsidRDefault="007B7853" w:rsidP="00AF06A0">
            <w:pPr>
              <w:rPr>
                <w:rFonts w:ascii="Calibri" w:hAnsi="Calibri" w:cs="Calibri"/>
                <w:sz w:val="20"/>
              </w:rPr>
            </w:pPr>
            <w:r w:rsidRPr="00B6556A">
              <w:rPr>
                <w:rFonts w:ascii="Calibri" w:hAnsi="Calibri" w:cs="Calibri"/>
                <w:sz w:val="20"/>
              </w:rPr>
              <w:t>30 Výroba ostatních dopravních prostředků a zařízení</w:t>
            </w:r>
          </w:p>
        </w:tc>
        <w:tc>
          <w:tcPr>
            <w:tcW w:w="850" w:type="dxa"/>
            <w:noWrap/>
            <w:hideMark/>
          </w:tcPr>
          <w:p w14:paraId="615F77A7" w14:textId="77777777" w:rsidR="007B7853" w:rsidRPr="00B6556A" w:rsidRDefault="007B7853" w:rsidP="00AF06A0">
            <w:pPr>
              <w:jc w:val="center"/>
              <w:rPr>
                <w:rFonts w:ascii="Calibri" w:hAnsi="Calibri" w:cs="Calibri"/>
                <w:sz w:val="20"/>
              </w:rPr>
            </w:pPr>
            <w:r w:rsidRPr="00B6556A">
              <w:rPr>
                <w:rFonts w:ascii="Calibri" w:hAnsi="Calibri" w:cs="Calibri"/>
                <w:sz w:val="20"/>
              </w:rPr>
              <w:t>-0,3%</w:t>
            </w:r>
          </w:p>
        </w:tc>
        <w:tc>
          <w:tcPr>
            <w:tcW w:w="851" w:type="dxa"/>
            <w:noWrap/>
            <w:hideMark/>
          </w:tcPr>
          <w:p w14:paraId="267E1BA9" w14:textId="77777777" w:rsidR="007B7853" w:rsidRPr="00B6556A" w:rsidRDefault="007B7853" w:rsidP="00AF06A0">
            <w:pPr>
              <w:jc w:val="center"/>
              <w:rPr>
                <w:rFonts w:ascii="Calibri" w:hAnsi="Calibri" w:cs="Calibri"/>
                <w:sz w:val="20"/>
              </w:rPr>
            </w:pPr>
            <w:r w:rsidRPr="00B6556A">
              <w:rPr>
                <w:rFonts w:ascii="Calibri" w:hAnsi="Calibri" w:cs="Calibri"/>
                <w:sz w:val="20"/>
              </w:rPr>
              <w:t>-3,2%</w:t>
            </w:r>
          </w:p>
        </w:tc>
        <w:tc>
          <w:tcPr>
            <w:tcW w:w="850" w:type="dxa"/>
            <w:noWrap/>
            <w:hideMark/>
          </w:tcPr>
          <w:p w14:paraId="4EF7F2A4" w14:textId="77777777" w:rsidR="007B7853" w:rsidRPr="00B6556A" w:rsidRDefault="007B7853" w:rsidP="00AF06A0">
            <w:pPr>
              <w:jc w:val="center"/>
              <w:rPr>
                <w:rFonts w:ascii="Calibri" w:hAnsi="Calibri" w:cs="Calibri"/>
                <w:sz w:val="20"/>
              </w:rPr>
            </w:pPr>
            <w:r w:rsidRPr="00B6556A">
              <w:rPr>
                <w:rFonts w:ascii="Calibri" w:hAnsi="Calibri" w:cs="Calibri"/>
                <w:sz w:val="20"/>
              </w:rPr>
              <w:t>5,6%</w:t>
            </w:r>
          </w:p>
        </w:tc>
      </w:tr>
      <w:tr w:rsidR="007B7853" w:rsidRPr="00B6556A" w14:paraId="2FC75656" w14:textId="77777777" w:rsidTr="00AF06A0">
        <w:trPr>
          <w:trHeight w:val="70"/>
        </w:trPr>
        <w:tc>
          <w:tcPr>
            <w:tcW w:w="6091" w:type="dxa"/>
            <w:hideMark/>
          </w:tcPr>
          <w:p w14:paraId="2550F1FB" w14:textId="77777777" w:rsidR="007B7853" w:rsidRPr="00B6556A" w:rsidRDefault="007B7853" w:rsidP="00AF06A0">
            <w:pPr>
              <w:rPr>
                <w:rFonts w:ascii="Calibri" w:hAnsi="Calibri" w:cs="Calibri"/>
                <w:sz w:val="20"/>
              </w:rPr>
            </w:pPr>
            <w:r w:rsidRPr="00B6556A">
              <w:rPr>
                <w:rFonts w:ascii="Calibri" w:hAnsi="Calibri" w:cs="Calibri"/>
                <w:sz w:val="20"/>
              </w:rPr>
              <w:t>31 Výroba nábytku</w:t>
            </w:r>
          </w:p>
        </w:tc>
        <w:tc>
          <w:tcPr>
            <w:tcW w:w="850" w:type="dxa"/>
            <w:noWrap/>
            <w:hideMark/>
          </w:tcPr>
          <w:p w14:paraId="2D5FEED2" w14:textId="77777777" w:rsidR="007B7853" w:rsidRPr="00B6556A" w:rsidRDefault="007B7853" w:rsidP="00AF06A0">
            <w:pPr>
              <w:jc w:val="center"/>
              <w:rPr>
                <w:rFonts w:ascii="Calibri" w:hAnsi="Calibri" w:cs="Calibri"/>
                <w:sz w:val="20"/>
              </w:rPr>
            </w:pPr>
            <w:r w:rsidRPr="00B6556A">
              <w:rPr>
                <w:rFonts w:ascii="Calibri" w:hAnsi="Calibri" w:cs="Calibri"/>
                <w:sz w:val="20"/>
              </w:rPr>
              <w:t>0,8%</w:t>
            </w:r>
          </w:p>
        </w:tc>
        <w:tc>
          <w:tcPr>
            <w:tcW w:w="851" w:type="dxa"/>
            <w:noWrap/>
            <w:hideMark/>
          </w:tcPr>
          <w:p w14:paraId="5459B073" w14:textId="77777777" w:rsidR="007B7853" w:rsidRPr="00B6556A" w:rsidRDefault="007B7853" w:rsidP="00AF06A0">
            <w:pPr>
              <w:jc w:val="center"/>
              <w:rPr>
                <w:rFonts w:ascii="Calibri" w:hAnsi="Calibri" w:cs="Calibri"/>
                <w:sz w:val="20"/>
              </w:rPr>
            </w:pPr>
            <w:r w:rsidRPr="00B6556A">
              <w:rPr>
                <w:rFonts w:ascii="Calibri" w:hAnsi="Calibri" w:cs="Calibri"/>
                <w:sz w:val="20"/>
              </w:rPr>
              <w:t>-4,2%</w:t>
            </w:r>
          </w:p>
        </w:tc>
        <w:tc>
          <w:tcPr>
            <w:tcW w:w="850" w:type="dxa"/>
            <w:noWrap/>
            <w:hideMark/>
          </w:tcPr>
          <w:p w14:paraId="0FD31488" w14:textId="77777777" w:rsidR="007B7853" w:rsidRPr="00B6556A" w:rsidRDefault="007B7853" w:rsidP="00AF06A0">
            <w:pPr>
              <w:jc w:val="center"/>
              <w:rPr>
                <w:rFonts w:ascii="Calibri" w:hAnsi="Calibri" w:cs="Calibri"/>
                <w:sz w:val="20"/>
              </w:rPr>
            </w:pPr>
            <w:r w:rsidRPr="00B6556A">
              <w:rPr>
                <w:rFonts w:ascii="Calibri" w:hAnsi="Calibri" w:cs="Calibri"/>
                <w:sz w:val="20"/>
              </w:rPr>
              <w:t>0,2%</w:t>
            </w:r>
          </w:p>
        </w:tc>
      </w:tr>
      <w:tr w:rsidR="007B7853" w:rsidRPr="00B6556A" w14:paraId="2C36537D" w14:textId="77777777" w:rsidTr="00AF06A0">
        <w:trPr>
          <w:trHeight w:val="142"/>
        </w:trPr>
        <w:tc>
          <w:tcPr>
            <w:tcW w:w="6091" w:type="dxa"/>
            <w:hideMark/>
          </w:tcPr>
          <w:p w14:paraId="0D47EC2D" w14:textId="77777777" w:rsidR="007B7853" w:rsidRPr="00B6556A" w:rsidRDefault="007B7853" w:rsidP="00AF06A0">
            <w:pPr>
              <w:rPr>
                <w:rFonts w:ascii="Calibri" w:hAnsi="Calibri" w:cs="Calibri"/>
                <w:sz w:val="20"/>
              </w:rPr>
            </w:pPr>
            <w:r w:rsidRPr="00B6556A">
              <w:rPr>
                <w:rFonts w:ascii="Calibri" w:hAnsi="Calibri" w:cs="Calibri"/>
                <w:sz w:val="20"/>
              </w:rPr>
              <w:t>32 Ostatní zpracovatelský průmysl</w:t>
            </w:r>
          </w:p>
        </w:tc>
        <w:tc>
          <w:tcPr>
            <w:tcW w:w="850" w:type="dxa"/>
            <w:noWrap/>
            <w:hideMark/>
          </w:tcPr>
          <w:p w14:paraId="1B3C200A" w14:textId="77777777" w:rsidR="007B7853" w:rsidRPr="00B6556A" w:rsidRDefault="007B7853" w:rsidP="00AF06A0">
            <w:pPr>
              <w:jc w:val="center"/>
              <w:rPr>
                <w:rFonts w:ascii="Calibri" w:hAnsi="Calibri" w:cs="Calibri"/>
                <w:sz w:val="20"/>
              </w:rPr>
            </w:pPr>
            <w:r w:rsidRPr="00B6556A">
              <w:rPr>
                <w:rFonts w:ascii="Calibri" w:hAnsi="Calibri" w:cs="Calibri"/>
                <w:sz w:val="20"/>
              </w:rPr>
              <w:t>1,3%</w:t>
            </w:r>
          </w:p>
        </w:tc>
        <w:tc>
          <w:tcPr>
            <w:tcW w:w="851" w:type="dxa"/>
            <w:noWrap/>
            <w:hideMark/>
          </w:tcPr>
          <w:p w14:paraId="6CA5E11E" w14:textId="77777777" w:rsidR="007B7853" w:rsidRPr="00B6556A" w:rsidRDefault="007B7853" w:rsidP="00AF06A0">
            <w:pPr>
              <w:jc w:val="center"/>
              <w:rPr>
                <w:rFonts w:ascii="Calibri" w:hAnsi="Calibri" w:cs="Calibri"/>
                <w:sz w:val="20"/>
              </w:rPr>
            </w:pPr>
            <w:r w:rsidRPr="00B6556A">
              <w:rPr>
                <w:rFonts w:ascii="Calibri" w:hAnsi="Calibri" w:cs="Calibri"/>
                <w:sz w:val="20"/>
              </w:rPr>
              <w:t>-2,9%</w:t>
            </w:r>
          </w:p>
        </w:tc>
        <w:tc>
          <w:tcPr>
            <w:tcW w:w="850" w:type="dxa"/>
            <w:noWrap/>
            <w:hideMark/>
          </w:tcPr>
          <w:p w14:paraId="32BA32A9" w14:textId="77777777" w:rsidR="007B7853" w:rsidRPr="00B6556A" w:rsidRDefault="007B7853" w:rsidP="00AF06A0">
            <w:pPr>
              <w:jc w:val="center"/>
              <w:rPr>
                <w:rFonts w:ascii="Calibri" w:hAnsi="Calibri" w:cs="Calibri"/>
                <w:sz w:val="20"/>
              </w:rPr>
            </w:pPr>
            <w:r w:rsidRPr="00B6556A">
              <w:rPr>
                <w:rFonts w:ascii="Calibri" w:hAnsi="Calibri" w:cs="Calibri"/>
                <w:sz w:val="20"/>
              </w:rPr>
              <w:t>-2,0%</w:t>
            </w:r>
          </w:p>
        </w:tc>
      </w:tr>
    </w:tbl>
    <w:p w14:paraId="3B2DB0F0" w14:textId="77777777" w:rsidR="007B7853" w:rsidRPr="0019720B" w:rsidRDefault="007B7853" w:rsidP="007B7853">
      <w:pPr>
        <w:spacing w:after="0"/>
        <w:rPr>
          <w:rFonts w:ascii="Calibri" w:hAnsi="Calibri" w:cs="Calibri"/>
          <w:i/>
          <w:sz w:val="16"/>
        </w:rPr>
      </w:pPr>
      <w:r w:rsidRPr="0019720B">
        <w:rPr>
          <w:rFonts w:ascii="Calibri" w:hAnsi="Calibri" w:cs="Calibri"/>
          <w:i/>
          <w:sz w:val="16"/>
        </w:rPr>
        <w:t>Zdroj: ČSÚ</w:t>
      </w:r>
      <w:r>
        <w:rPr>
          <w:rFonts w:ascii="Calibri" w:hAnsi="Calibri" w:cs="Calibri"/>
          <w:i/>
          <w:sz w:val="16"/>
        </w:rPr>
        <w:t>,</w:t>
      </w:r>
      <w:r w:rsidRPr="0019720B">
        <w:rPr>
          <w:rFonts w:ascii="Calibri" w:hAnsi="Calibri" w:cs="Calibri"/>
          <w:i/>
          <w:sz w:val="16"/>
        </w:rPr>
        <w:t xml:space="preserve"> vlastní propočty.</w:t>
      </w:r>
    </w:p>
    <w:p w14:paraId="67B76FDC" w14:textId="77777777" w:rsidR="00F43AB6" w:rsidRPr="001C210E" w:rsidRDefault="00F43AB6" w:rsidP="00F43AB6">
      <w:pPr>
        <w:spacing w:after="0"/>
        <w:rPr>
          <w:rFonts w:ascii="Calibri" w:hAnsi="Calibri" w:cs="Calibri"/>
        </w:rPr>
      </w:pPr>
    </w:p>
    <w:p w14:paraId="1CAF70B3" w14:textId="71E1E1C4" w:rsidR="00CE74DA" w:rsidRPr="00980834" w:rsidRDefault="00CE74DA" w:rsidP="00CE74DA">
      <w:pPr>
        <w:pStyle w:val="Nadpis1"/>
      </w:pPr>
      <w:bookmarkStart w:id="181" w:name="_Toc4596860"/>
      <w:bookmarkStart w:id="182" w:name="_Toc10729979"/>
      <w:r w:rsidRPr="00980834">
        <w:lastRenderedPageBreak/>
        <w:t>Evaluační otázka 12 (NUT)</w:t>
      </w:r>
      <w:bookmarkEnd w:id="181"/>
      <w:bookmarkEnd w:id="182"/>
    </w:p>
    <w:p w14:paraId="11835753" w14:textId="414215FD" w:rsidR="00CE74DA" w:rsidRPr="00FE4816" w:rsidRDefault="00CE74DA" w:rsidP="00CE74DA">
      <w:pPr>
        <w:spacing w:after="0"/>
        <w:rPr>
          <w:rFonts w:ascii="Calibri" w:hAnsi="Calibri" w:cs="Calibri"/>
          <w:b/>
        </w:rPr>
      </w:pPr>
      <w:r w:rsidRPr="00980834">
        <w:rPr>
          <w:rFonts w:ascii="Calibri" w:hAnsi="Calibri" w:cs="Calibri"/>
          <w:b/>
        </w:rPr>
        <w:t>Jaké je procentuální rozložení jednotlivých typů podporovaných aktivit mezi podpořenými projekty z hlediska a) jejich počtu, b) výše podpory?</w:t>
      </w:r>
    </w:p>
    <w:p w14:paraId="76B9CBE3" w14:textId="77777777" w:rsidR="00CE74DA" w:rsidRDefault="00CE74DA" w:rsidP="00CE74DA">
      <w:pPr>
        <w:spacing w:after="0"/>
        <w:rPr>
          <w:rFonts w:ascii="Calibri" w:hAnsi="Calibri" w:cs="Calibri"/>
        </w:rPr>
      </w:pPr>
    </w:p>
    <w:p w14:paraId="50CFC145" w14:textId="77777777" w:rsidR="00CE74DA" w:rsidRPr="001C210E" w:rsidRDefault="00CE74DA" w:rsidP="00CE74DA">
      <w:pPr>
        <w:pStyle w:val="Nadpis2"/>
      </w:pPr>
      <w:bookmarkStart w:id="183" w:name="_Toc4596861"/>
      <w:bookmarkStart w:id="184" w:name="_Toc10729980"/>
      <w:r w:rsidRPr="001C210E">
        <w:t>Úkol</w:t>
      </w:r>
      <w:bookmarkEnd w:id="183"/>
      <w:bookmarkEnd w:id="184"/>
    </w:p>
    <w:p w14:paraId="5707ACFE" w14:textId="77777777" w:rsidR="00980834" w:rsidRDefault="00980834" w:rsidP="00980834">
      <w:pPr>
        <w:spacing w:after="0"/>
        <w:rPr>
          <w:rFonts w:ascii="Calibri" w:hAnsi="Calibri" w:cs="Calibri"/>
        </w:rPr>
      </w:pPr>
      <w:r>
        <w:rPr>
          <w:rFonts w:ascii="Calibri" w:hAnsi="Calibri" w:cs="Calibri"/>
        </w:rPr>
        <w:t xml:space="preserve">Znázornit </w:t>
      </w:r>
      <w:r w:rsidRPr="0028167E">
        <w:rPr>
          <w:rFonts w:ascii="Calibri" w:hAnsi="Calibri" w:cs="Calibri"/>
        </w:rPr>
        <w:t xml:space="preserve">rozložení jednotlivých typů podporovaných aktivit </w:t>
      </w:r>
      <w:r>
        <w:rPr>
          <w:rFonts w:ascii="Calibri" w:hAnsi="Calibri" w:cs="Calibri"/>
        </w:rPr>
        <w:t xml:space="preserve">v PP NUT </w:t>
      </w:r>
      <w:r w:rsidRPr="0028167E">
        <w:rPr>
          <w:rFonts w:ascii="Calibri" w:hAnsi="Calibri" w:cs="Calibri"/>
        </w:rPr>
        <w:t>mezi podpořenými projekty z hlediska jejich počtu</w:t>
      </w:r>
      <w:r>
        <w:rPr>
          <w:rFonts w:ascii="Calibri" w:hAnsi="Calibri" w:cs="Calibri"/>
        </w:rPr>
        <w:t xml:space="preserve"> a </w:t>
      </w:r>
      <w:r w:rsidRPr="0028167E">
        <w:rPr>
          <w:rFonts w:ascii="Calibri" w:hAnsi="Calibri" w:cs="Calibri"/>
        </w:rPr>
        <w:t>výše podpory</w:t>
      </w:r>
      <w:r>
        <w:rPr>
          <w:rFonts w:ascii="Calibri" w:hAnsi="Calibri" w:cs="Calibri"/>
        </w:rPr>
        <w:t>.</w:t>
      </w:r>
    </w:p>
    <w:p w14:paraId="4D364D01" w14:textId="77777777" w:rsidR="00CE74DA" w:rsidRPr="001C210E" w:rsidRDefault="00CE74DA" w:rsidP="00CE74DA">
      <w:pPr>
        <w:spacing w:after="0"/>
        <w:rPr>
          <w:rFonts w:ascii="Calibri" w:hAnsi="Calibri" w:cs="Calibri"/>
        </w:rPr>
      </w:pPr>
    </w:p>
    <w:p w14:paraId="37351082" w14:textId="77777777" w:rsidR="00CE74DA" w:rsidRPr="001C210E" w:rsidRDefault="00CE74DA" w:rsidP="00CE74DA">
      <w:pPr>
        <w:pStyle w:val="Nadpis2"/>
      </w:pPr>
      <w:bookmarkStart w:id="185" w:name="_Toc4596862"/>
      <w:bookmarkStart w:id="186" w:name="_Toc10729981"/>
      <w:r w:rsidRPr="001C210E">
        <w:t>Východiska</w:t>
      </w:r>
      <w:bookmarkEnd w:id="185"/>
      <w:bookmarkEnd w:id="186"/>
    </w:p>
    <w:p w14:paraId="02D54969" w14:textId="77777777" w:rsidR="00980834" w:rsidRDefault="00980834" w:rsidP="00980834">
      <w:pPr>
        <w:spacing w:after="0"/>
        <w:rPr>
          <w:rFonts w:ascii="Calibri" w:hAnsi="Calibri" w:cs="Calibri"/>
        </w:rPr>
      </w:pPr>
      <w:r w:rsidRPr="00CC094C">
        <w:rPr>
          <w:rFonts w:ascii="Calibri" w:hAnsi="Calibri" w:cs="Calibri"/>
        </w:rPr>
        <w:t>V </w:t>
      </w:r>
      <w:r>
        <w:rPr>
          <w:rFonts w:ascii="Calibri" w:hAnsi="Calibri" w:cs="Calibri"/>
        </w:rPr>
        <w:t>rámci</w:t>
      </w:r>
      <w:r w:rsidRPr="00CC094C">
        <w:rPr>
          <w:rFonts w:ascii="Calibri" w:hAnsi="Calibri" w:cs="Calibri"/>
        </w:rPr>
        <w:t xml:space="preserve"> PP NUT byly</w:t>
      </w:r>
      <w:r>
        <w:rPr>
          <w:rFonts w:ascii="Calibri" w:hAnsi="Calibri" w:cs="Calibri"/>
        </w:rPr>
        <w:t xml:space="preserve"> dosud</w:t>
      </w:r>
      <w:r w:rsidRPr="00CC094C">
        <w:rPr>
          <w:rFonts w:ascii="Calibri" w:hAnsi="Calibri" w:cs="Calibri"/>
        </w:rPr>
        <w:t xml:space="preserve"> vyhlášeny </w:t>
      </w:r>
      <w:r>
        <w:rPr>
          <w:rFonts w:ascii="Calibri" w:hAnsi="Calibri" w:cs="Calibri"/>
        </w:rPr>
        <w:t>4</w:t>
      </w:r>
      <w:r w:rsidRPr="00CC094C">
        <w:rPr>
          <w:rFonts w:ascii="Calibri" w:hAnsi="Calibri" w:cs="Calibri"/>
        </w:rPr>
        <w:t xml:space="preserve"> výzvy zaměřené na 4 hlavní typové aktivity:</w:t>
      </w:r>
    </w:p>
    <w:p w14:paraId="4B6E0075" w14:textId="77777777" w:rsidR="00980834" w:rsidRPr="00CC094C" w:rsidRDefault="00980834" w:rsidP="00980834">
      <w:pPr>
        <w:pStyle w:val="Odstavecseseznamem"/>
        <w:numPr>
          <w:ilvl w:val="0"/>
          <w:numId w:val="46"/>
        </w:numPr>
        <w:rPr>
          <w:rFonts w:ascii="Calibri" w:hAnsi="Calibri" w:cs="Calibri"/>
          <w:sz w:val="22"/>
          <w:szCs w:val="22"/>
        </w:rPr>
      </w:pPr>
      <w:r w:rsidRPr="00CC094C">
        <w:rPr>
          <w:rFonts w:ascii="Calibri" w:hAnsi="Calibri" w:cs="Calibri"/>
          <w:sz w:val="22"/>
          <w:szCs w:val="22"/>
        </w:rPr>
        <w:t>Elektromobilita</w:t>
      </w:r>
    </w:p>
    <w:p w14:paraId="56147500" w14:textId="77777777" w:rsidR="00980834" w:rsidRPr="00CC094C" w:rsidRDefault="00980834" w:rsidP="00980834">
      <w:pPr>
        <w:pStyle w:val="Odstavecseseznamem"/>
        <w:numPr>
          <w:ilvl w:val="0"/>
          <w:numId w:val="46"/>
        </w:numPr>
        <w:rPr>
          <w:rFonts w:ascii="Calibri" w:hAnsi="Calibri" w:cs="Calibri"/>
          <w:sz w:val="22"/>
          <w:szCs w:val="22"/>
        </w:rPr>
      </w:pPr>
      <w:r w:rsidRPr="00CC094C">
        <w:rPr>
          <w:rFonts w:ascii="Calibri" w:hAnsi="Calibri" w:cs="Calibri"/>
          <w:sz w:val="22"/>
          <w:szCs w:val="22"/>
        </w:rPr>
        <w:t>Akumulace energie</w:t>
      </w:r>
    </w:p>
    <w:p w14:paraId="69D97270" w14:textId="77777777" w:rsidR="00980834" w:rsidRPr="00CC094C" w:rsidRDefault="00980834" w:rsidP="00980834">
      <w:pPr>
        <w:pStyle w:val="Odstavecseseznamem"/>
        <w:numPr>
          <w:ilvl w:val="0"/>
          <w:numId w:val="46"/>
        </w:numPr>
        <w:rPr>
          <w:rFonts w:ascii="Calibri" w:hAnsi="Calibri" w:cs="Calibri"/>
          <w:sz w:val="22"/>
          <w:szCs w:val="22"/>
        </w:rPr>
      </w:pPr>
      <w:r w:rsidRPr="00CC094C">
        <w:rPr>
          <w:rFonts w:ascii="Calibri" w:hAnsi="Calibri" w:cs="Calibri"/>
          <w:sz w:val="22"/>
          <w:szCs w:val="22"/>
        </w:rPr>
        <w:t>Druhotné suroviny</w:t>
      </w:r>
    </w:p>
    <w:p w14:paraId="5608330A" w14:textId="77777777" w:rsidR="00980834" w:rsidRPr="00CB5D7D" w:rsidRDefault="00980834" w:rsidP="00980834">
      <w:pPr>
        <w:pStyle w:val="Odstavecseseznamem"/>
        <w:numPr>
          <w:ilvl w:val="0"/>
          <w:numId w:val="46"/>
        </w:numPr>
        <w:rPr>
          <w:rFonts w:ascii="Calibri" w:hAnsi="Calibri" w:cs="Calibri"/>
          <w:sz w:val="22"/>
          <w:szCs w:val="22"/>
        </w:rPr>
      </w:pPr>
      <w:r w:rsidRPr="00CC094C">
        <w:rPr>
          <w:rFonts w:ascii="Calibri" w:hAnsi="Calibri" w:cs="Calibri"/>
          <w:sz w:val="22"/>
          <w:szCs w:val="22"/>
        </w:rPr>
        <w:t>Úprava bioplynu na biometan a jeho vtláčení do sítě (v rámci III. a IV. výzvy)</w:t>
      </w:r>
    </w:p>
    <w:p w14:paraId="09C70959" w14:textId="77777777" w:rsidR="00CE74DA" w:rsidRDefault="00CE74DA" w:rsidP="00CE74DA">
      <w:pPr>
        <w:spacing w:after="0"/>
        <w:rPr>
          <w:rFonts w:ascii="Calibri" w:hAnsi="Calibri" w:cs="Calibri"/>
          <w:b/>
        </w:rPr>
      </w:pPr>
    </w:p>
    <w:p w14:paraId="33BE3EB3" w14:textId="77777777" w:rsidR="00CE74DA" w:rsidRPr="001C210E" w:rsidRDefault="00CE74DA" w:rsidP="00CE74DA">
      <w:pPr>
        <w:pStyle w:val="Nadpis2"/>
      </w:pPr>
      <w:bookmarkStart w:id="187" w:name="_Toc4596863"/>
      <w:bookmarkStart w:id="188" w:name="_Toc10729982"/>
      <w:r w:rsidRPr="001C210E">
        <w:t>Zjištění v návaznosti na evaluační otázku a úkol</w:t>
      </w:r>
      <w:bookmarkEnd w:id="187"/>
      <w:bookmarkEnd w:id="188"/>
    </w:p>
    <w:tbl>
      <w:tblPr>
        <w:tblStyle w:val="Svtlmkatabulky1"/>
        <w:tblW w:w="0" w:type="auto"/>
        <w:tblLook w:val="04A0" w:firstRow="1" w:lastRow="0" w:firstColumn="1" w:lastColumn="0" w:noHBand="0" w:noVBand="1"/>
      </w:tblPr>
      <w:tblGrid>
        <w:gridCol w:w="2972"/>
        <w:gridCol w:w="5954"/>
      </w:tblGrid>
      <w:tr w:rsidR="00CE74DA" w:rsidRPr="001C210E" w14:paraId="69FC220C" w14:textId="77777777" w:rsidTr="00047EB6">
        <w:tc>
          <w:tcPr>
            <w:tcW w:w="2972" w:type="dxa"/>
            <w:shd w:val="clear" w:color="auto" w:fill="F2F2F2" w:themeFill="background1" w:themeFillShade="F2"/>
          </w:tcPr>
          <w:p w14:paraId="247828AE" w14:textId="77777777" w:rsidR="00CE74DA" w:rsidRPr="001C210E" w:rsidRDefault="00CE74DA" w:rsidP="00047EB6">
            <w:pPr>
              <w:rPr>
                <w:rFonts w:ascii="Calibri" w:hAnsi="Calibri" w:cs="Calibri"/>
                <w:b/>
              </w:rPr>
            </w:pPr>
            <w:bookmarkStart w:id="189" w:name="_Hlk12024312"/>
            <w:r w:rsidRPr="001C210E">
              <w:rPr>
                <w:rFonts w:ascii="Calibri" w:hAnsi="Calibri" w:cs="Calibri"/>
                <w:b/>
              </w:rPr>
              <w:t>Evaluační otázka</w:t>
            </w:r>
          </w:p>
        </w:tc>
        <w:tc>
          <w:tcPr>
            <w:tcW w:w="5954" w:type="dxa"/>
          </w:tcPr>
          <w:p w14:paraId="30BD51E9" w14:textId="7C867E55" w:rsidR="00CE74DA" w:rsidRPr="00FE4816" w:rsidRDefault="00CE74DA" w:rsidP="00047EB6">
            <w:pPr>
              <w:rPr>
                <w:rFonts w:ascii="Calibri" w:hAnsi="Calibri" w:cs="Calibri"/>
                <w:b/>
              </w:rPr>
            </w:pPr>
            <w:r w:rsidRPr="00CE74DA">
              <w:rPr>
                <w:rFonts w:ascii="Calibri" w:hAnsi="Calibri" w:cs="Calibri"/>
                <w:b/>
              </w:rPr>
              <w:t>Jaké je procentuální rozložení jednotlivých typů podporovaných aktivit mezi podpořenými projekty z hlediska a) jejich počtu, b) výše podpory?</w:t>
            </w:r>
          </w:p>
        </w:tc>
      </w:tr>
      <w:tr w:rsidR="00CE74DA" w:rsidRPr="001C210E" w14:paraId="608E8940" w14:textId="77777777" w:rsidTr="00047EB6">
        <w:tc>
          <w:tcPr>
            <w:tcW w:w="2972" w:type="dxa"/>
            <w:shd w:val="clear" w:color="auto" w:fill="F2F2F2" w:themeFill="background1" w:themeFillShade="F2"/>
          </w:tcPr>
          <w:p w14:paraId="08B30E5D" w14:textId="77777777" w:rsidR="00CE74DA" w:rsidRPr="001C210E" w:rsidRDefault="00CE74DA" w:rsidP="00047EB6">
            <w:pPr>
              <w:rPr>
                <w:rFonts w:ascii="Calibri" w:hAnsi="Calibri" w:cs="Calibri"/>
              </w:rPr>
            </w:pPr>
            <w:r w:rsidRPr="001C210E">
              <w:rPr>
                <w:rFonts w:ascii="Calibri" w:hAnsi="Calibri" w:cs="Calibri"/>
                <w:b/>
                <w:bCs/>
              </w:rPr>
              <w:t>Zhodnocení</w:t>
            </w:r>
            <w:r w:rsidRPr="001C210E">
              <w:rPr>
                <w:rFonts w:ascii="Calibri" w:hAnsi="Calibri" w:cs="Calibri"/>
                <w:b/>
                <w:bCs/>
              </w:rPr>
              <w:br/>
            </w:r>
            <w:r w:rsidRPr="001C210E">
              <w:rPr>
                <w:rFonts w:ascii="Calibri" w:hAnsi="Calibri" w:cs="Calibri"/>
              </w:rPr>
              <w:t>(Ano, Spíše ano, Spíše ne, Ne, Není relevantní)</w:t>
            </w:r>
          </w:p>
        </w:tc>
        <w:tc>
          <w:tcPr>
            <w:tcW w:w="5954" w:type="dxa"/>
          </w:tcPr>
          <w:p w14:paraId="583ABDC1" w14:textId="55FED2AE" w:rsidR="00CE74DA" w:rsidRPr="001C210E" w:rsidRDefault="000B7AFC" w:rsidP="00047EB6">
            <w:pPr>
              <w:rPr>
                <w:rFonts w:ascii="Calibri" w:hAnsi="Calibri" w:cs="Calibri"/>
              </w:rPr>
            </w:pPr>
            <w:r>
              <w:rPr>
                <w:rFonts w:ascii="Calibri" w:hAnsi="Calibri" w:cs="Calibri"/>
              </w:rPr>
              <w:t>Není relevantní</w:t>
            </w:r>
          </w:p>
        </w:tc>
      </w:tr>
      <w:tr w:rsidR="00CE74DA" w:rsidRPr="001C210E" w14:paraId="6861FD89" w14:textId="77777777" w:rsidTr="00047EB6">
        <w:tc>
          <w:tcPr>
            <w:tcW w:w="2972" w:type="dxa"/>
            <w:shd w:val="clear" w:color="auto" w:fill="F2F2F2" w:themeFill="background1" w:themeFillShade="F2"/>
          </w:tcPr>
          <w:p w14:paraId="57344AEB" w14:textId="77777777" w:rsidR="00CE74DA" w:rsidRPr="001C210E" w:rsidRDefault="00CE74DA" w:rsidP="00047EB6">
            <w:pPr>
              <w:rPr>
                <w:rFonts w:ascii="Calibri" w:hAnsi="Calibri" w:cs="Calibri"/>
                <w:b/>
              </w:rPr>
            </w:pPr>
            <w:r>
              <w:rPr>
                <w:rFonts w:ascii="Calibri" w:hAnsi="Calibri" w:cs="Calibri"/>
                <w:b/>
              </w:rPr>
              <w:t>Hlavní závěry a zjištění</w:t>
            </w:r>
            <w:r w:rsidRPr="001C210E">
              <w:rPr>
                <w:rFonts w:ascii="Calibri" w:hAnsi="Calibri" w:cs="Calibri"/>
                <w:b/>
              </w:rPr>
              <w:t xml:space="preserve"> </w:t>
            </w:r>
          </w:p>
        </w:tc>
        <w:tc>
          <w:tcPr>
            <w:tcW w:w="5954" w:type="dxa"/>
          </w:tcPr>
          <w:p w14:paraId="7B96E09D" w14:textId="77777777" w:rsidR="00194B0C" w:rsidRDefault="002E164D" w:rsidP="00047EB6">
            <w:pPr>
              <w:rPr>
                <w:rFonts w:ascii="Calibri" w:hAnsi="Calibri" w:cs="Calibri"/>
              </w:rPr>
            </w:pPr>
            <w:r>
              <w:rPr>
                <w:rFonts w:ascii="Calibri" w:hAnsi="Calibri" w:cs="Calibri"/>
              </w:rPr>
              <w:t xml:space="preserve">V </w:t>
            </w:r>
            <w:r w:rsidR="00194B0C">
              <w:rPr>
                <w:rFonts w:ascii="Calibri" w:hAnsi="Calibri" w:cs="Calibri"/>
              </w:rPr>
              <w:t xml:space="preserve">dosavadním průběhu realizace </w:t>
            </w:r>
            <w:r>
              <w:rPr>
                <w:rFonts w:ascii="Calibri" w:hAnsi="Calibri" w:cs="Calibri"/>
              </w:rPr>
              <w:t xml:space="preserve">PP NUT </w:t>
            </w:r>
            <w:r w:rsidR="00194B0C">
              <w:rPr>
                <w:rFonts w:ascii="Calibri" w:hAnsi="Calibri" w:cs="Calibri"/>
              </w:rPr>
              <w:t xml:space="preserve">jsou podporovány 4 </w:t>
            </w:r>
            <w:r>
              <w:rPr>
                <w:rFonts w:ascii="Calibri" w:hAnsi="Calibri" w:cs="Calibri"/>
              </w:rPr>
              <w:t>typové aktivity</w:t>
            </w:r>
            <w:r w:rsidR="00194B0C">
              <w:rPr>
                <w:rFonts w:ascii="Calibri" w:hAnsi="Calibri" w:cs="Calibri"/>
              </w:rPr>
              <w:t xml:space="preserve">. </w:t>
            </w:r>
          </w:p>
          <w:p w14:paraId="6F8B88DE" w14:textId="77777777" w:rsidR="00194B0C" w:rsidRDefault="00194B0C" w:rsidP="00047EB6">
            <w:pPr>
              <w:rPr>
                <w:rFonts w:ascii="Calibri" w:hAnsi="Calibri" w:cs="Calibri"/>
              </w:rPr>
            </w:pPr>
          </w:p>
          <w:p w14:paraId="5BD409A3" w14:textId="28CAB893" w:rsidR="00194B0C" w:rsidRDefault="00194B0C" w:rsidP="00047EB6">
            <w:pPr>
              <w:rPr>
                <w:rFonts w:ascii="Calibri" w:hAnsi="Calibri" w:cs="Calibri"/>
              </w:rPr>
            </w:pPr>
            <w:r>
              <w:rPr>
                <w:rFonts w:ascii="Calibri" w:hAnsi="Calibri" w:cs="Calibri"/>
              </w:rPr>
              <w:t>Největší zastoupení mezi podpořenými projekty má typová aktivita a) „elektromobilita“ (65 %), nejmenší naopak typová aktivita d) „ú</w:t>
            </w:r>
            <w:r w:rsidRPr="00194B0C">
              <w:rPr>
                <w:rFonts w:ascii="Calibri" w:hAnsi="Calibri" w:cs="Calibri"/>
              </w:rPr>
              <w:t>prava bioplynu na biometan a jeho vtláčení do sítě</w:t>
            </w:r>
            <w:r>
              <w:rPr>
                <w:rFonts w:ascii="Calibri" w:hAnsi="Calibri" w:cs="Calibri"/>
              </w:rPr>
              <w:t>“, kde byl ke konci roku 2018 zatím pouze 1 schválený projekt.</w:t>
            </w:r>
          </w:p>
          <w:p w14:paraId="5BF03EFF" w14:textId="77777777" w:rsidR="00194B0C" w:rsidRDefault="00194B0C" w:rsidP="00047EB6">
            <w:pPr>
              <w:rPr>
                <w:rFonts w:ascii="Calibri" w:hAnsi="Calibri" w:cs="Calibri"/>
              </w:rPr>
            </w:pPr>
          </w:p>
          <w:p w14:paraId="56640DE1" w14:textId="49B9B0D2" w:rsidR="00194B0C" w:rsidRDefault="00194B0C" w:rsidP="00047EB6">
            <w:pPr>
              <w:rPr>
                <w:rFonts w:ascii="Calibri" w:hAnsi="Calibri" w:cs="Calibri"/>
              </w:rPr>
            </w:pPr>
            <w:r>
              <w:rPr>
                <w:rFonts w:ascii="Calibri" w:hAnsi="Calibri" w:cs="Calibri"/>
              </w:rPr>
              <w:t>Z hlediska celkového objemu dosud přiznané podpory připadá největší část na aktivitu b) „akumulace energie“ (38 %) a aktivitu c) „druhotné suroviny“ (35,7 %).</w:t>
            </w:r>
          </w:p>
          <w:p w14:paraId="48D62DC0" w14:textId="77777777" w:rsidR="00194B0C" w:rsidRDefault="00194B0C" w:rsidP="00047EB6">
            <w:pPr>
              <w:rPr>
                <w:rFonts w:ascii="Calibri" w:hAnsi="Calibri" w:cs="Calibri"/>
              </w:rPr>
            </w:pPr>
          </w:p>
          <w:p w14:paraId="0C2AFE14" w14:textId="3E0A4AC1" w:rsidR="00CE74DA" w:rsidRPr="001C210E" w:rsidRDefault="00194B0C" w:rsidP="00047EB6">
            <w:pPr>
              <w:rPr>
                <w:rFonts w:ascii="Calibri" w:hAnsi="Calibri" w:cs="Calibri"/>
              </w:rPr>
            </w:pPr>
            <w:r>
              <w:rPr>
                <w:rFonts w:ascii="Calibri" w:hAnsi="Calibri" w:cs="Calibri"/>
              </w:rPr>
              <w:t>Nejvyšší průměrná výše přiznané podpory na 1 projekt je v aktivitě c) „druhotné suroviny“.</w:t>
            </w:r>
            <w:r w:rsidR="002E164D">
              <w:rPr>
                <w:rFonts w:ascii="Calibri" w:hAnsi="Calibri" w:cs="Calibri"/>
              </w:rPr>
              <w:t xml:space="preserve"> </w:t>
            </w:r>
          </w:p>
        </w:tc>
      </w:tr>
      <w:bookmarkEnd w:id="189"/>
      <w:tr w:rsidR="00CE74DA" w:rsidRPr="001C210E" w14:paraId="2A19944A" w14:textId="77777777" w:rsidTr="00047EB6">
        <w:tc>
          <w:tcPr>
            <w:tcW w:w="2972" w:type="dxa"/>
            <w:shd w:val="clear" w:color="auto" w:fill="F2F2F2" w:themeFill="background1" w:themeFillShade="F2"/>
          </w:tcPr>
          <w:p w14:paraId="12485A6C" w14:textId="77777777" w:rsidR="00CE74DA" w:rsidRPr="001C210E" w:rsidRDefault="00CE74DA" w:rsidP="00047EB6">
            <w:pPr>
              <w:rPr>
                <w:rFonts w:ascii="Calibri" w:hAnsi="Calibri" w:cs="Calibri"/>
                <w:b/>
              </w:rPr>
            </w:pPr>
            <w:r w:rsidRPr="001C210E">
              <w:rPr>
                <w:rFonts w:ascii="Calibri" w:hAnsi="Calibri" w:cs="Calibri"/>
                <w:b/>
              </w:rPr>
              <w:t>Doporučení pro programové období 2014 - 2020</w:t>
            </w:r>
          </w:p>
        </w:tc>
        <w:tc>
          <w:tcPr>
            <w:tcW w:w="5954" w:type="dxa"/>
          </w:tcPr>
          <w:p w14:paraId="7CC1990D" w14:textId="2BE53328" w:rsidR="00CE74DA" w:rsidRPr="001C210E" w:rsidRDefault="000B7AFC" w:rsidP="00047EB6">
            <w:pPr>
              <w:rPr>
                <w:rFonts w:ascii="Calibri" w:hAnsi="Calibri" w:cs="Calibri"/>
              </w:rPr>
            </w:pPr>
            <w:r>
              <w:rPr>
                <w:rFonts w:ascii="Calibri" w:hAnsi="Calibri" w:cs="Calibri"/>
              </w:rPr>
              <w:t>-</w:t>
            </w:r>
          </w:p>
        </w:tc>
      </w:tr>
      <w:tr w:rsidR="00CE74DA" w:rsidRPr="001C210E" w14:paraId="5542B7E0" w14:textId="77777777" w:rsidTr="00047EB6">
        <w:tc>
          <w:tcPr>
            <w:tcW w:w="2972" w:type="dxa"/>
            <w:shd w:val="clear" w:color="auto" w:fill="F2F2F2" w:themeFill="background1" w:themeFillShade="F2"/>
          </w:tcPr>
          <w:p w14:paraId="36A77212" w14:textId="425AB404" w:rsidR="00CE74DA" w:rsidRPr="001C210E" w:rsidRDefault="00CE74DA" w:rsidP="00047EB6">
            <w:pPr>
              <w:rPr>
                <w:rFonts w:ascii="Calibri" w:hAnsi="Calibri" w:cs="Calibri"/>
                <w:b/>
              </w:rPr>
            </w:pPr>
            <w:r w:rsidRPr="001C210E">
              <w:rPr>
                <w:rFonts w:ascii="Calibri" w:hAnsi="Calibri" w:cs="Calibri"/>
                <w:b/>
              </w:rPr>
              <w:t>Doporučení pro programové období 2021</w:t>
            </w:r>
            <w:r w:rsidR="00FE4EF8">
              <w:rPr>
                <w:rFonts w:ascii="Calibri" w:hAnsi="Calibri" w:cs="Calibri"/>
                <w:b/>
              </w:rPr>
              <w:t xml:space="preserve"> - 2027</w:t>
            </w:r>
          </w:p>
        </w:tc>
        <w:tc>
          <w:tcPr>
            <w:tcW w:w="5954" w:type="dxa"/>
          </w:tcPr>
          <w:p w14:paraId="50CFF6FA" w14:textId="12E8461F" w:rsidR="00CE74DA" w:rsidRPr="001C210E" w:rsidRDefault="000B7AFC" w:rsidP="00047EB6">
            <w:pPr>
              <w:rPr>
                <w:rFonts w:ascii="Calibri" w:hAnsi="Calibri" w:cs="Calibri"/>
              </w:rPr>
            </w:pPr>
            <w:r>
              <w:rPr>
                <w:rFonts w:ascii="Calibri" w:hAnsi="Calibri" w:cs="Calibri"/>
              </w:rPr>
              <w:t>-</w:t>
            </w:r>
          </w:p>
        </w:tc>
      </w:tr>
    </w:tbl>
    <w:p w14:paraId="40F2600F" w14:textId="77777777" w:rsidR="00CE74DA" w:rsidRPr="001C210E" w:rsidRDefault="00CE74DA" w:rsidP="00CE74DA">
      <w:pPr>
        <w:spacing w:after="0"/>
        <w:rPr>
          <w:rFonts w:ascii="Calibri" w:hAnsi="Calibri" w:cs="Calibri"/>
        </w:rPr>
      </w:pPr>
    </w:p>
    <w:p w14:paraId="2D5BE8F5" w14:textId="77777777" w:rsidR="00CE74DA" w:rsidRPr="001C210E" w:rsidRDefault="00CE74DA" w:rsidP="00CE74DA">
      <w:pPr>
        <w:pStyle w:val="Nadpis2"/>
      </w:pPr>
      <w:bookmarkStart w:id="190" w:name="_Toc4596864"/>
      <w:bookmarkStart w:id="191" w:name="_Toc10729983"/>
      <w:r w:rsidRPr="001C210E">
        <w:t>Doplňující informace k evaluační otázce</w:t>
      </w:r>
      <w:bookmarkEnd w:id="190"/>
      <w:bookmarkEnd w:id="191"/>
    </w:p>
    <w:p w14:paraId="7B333DA1" w14:textId="77777777" w:rsidR="00980834" w:rsidRDefault="00980834" w:rsidP="00980834">
      <w:pPr>
        <w:spacing w:after="0"/>
        <w:rPr>
          <w:rFonts w:ascii="Calibri" w:hAnsi="Calibri" w:cs="Calibri"/>
        </w:rPr>
      </w:pPr>
      <w:r>
        <w:rPr>
          <w:rFonts w:ascii="Calibri" w:hAnsi="Calibri" w:cs="Calibri"/>
        </w:rPr>
        <w:t>Následující obrázky znázorňují zastoupení jednotlivých typů podporovaných aktivit v PP NUT z pohledu:</w:t>
      </w:r>
    </w:p>
    <w:p w14:paraId="77D03588" w14:textId="77777777"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lastRenderedPageBreak/>
        <w:t>podílu na počtu podpořených projektů k 31. 12. 2018 (aktivní projekty ve stavu s vydaným RoPD a výše)</w:t>
      </w:r>
      <w:r>
        <w:rPr>
          <w:rFonts w:ascii="Calibri" w:hAnsi="Calibri" w:cs="Calibri"/>
          <w:sz w:val="22"/>
        </w:rPr>
        <w:t>,</w:t>
      </w:r>
    </w:p>
    <w:p w14:paraId="09A29FEA" w14:textId="5F78EE4E"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t>podílu na celkovém objemu podpory z EFRR,</w:t>
      </w:r>
    </w:p>
    <w:p w14:paraId="3EDD9113" w14:textId="77777777"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t>absolutního počtu podpořených projektů v jednotlivých výzvách</w:t>
      </w:r>
      <w:r>
        <w:rPr>
          <w:rFonts w:ascii="Calibri" w:hAnsi="Calibri" w:cs="Calibri"/>
          <w:sz w:val="22"/>
        </w:rPr>
        <w:t>,</w:t>
      </w:r>
    </w:p>
    <w:p w14:paraId="5513612A" w14:textId="77777777"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t>absolutní výše podpory v jednotlivých výzvách</w:t>
      </w:r>
      <w:r>
        <w:rPr>
          <w:rFonts w:ascii="Calibri" w:hAnsi="Calibri" w:cs="Calibri"/>
          <w:sz w:val="22"/>
        </w:rPr>
        <w:t>,</w:t>
      </w:r>
    </w:p>
    <w:p w14:paraId="63836B3C" w14:textId="77777777"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t>průměrné výše podpory na 1 projekt</w:t>
      </w:r>
      <w:r>
        <w:rPr>
          <w:rFonts w:ascii="Calibri" w:hAnsi="Calibri" w:cs="Calibri"/>
          <w:sz w:val="22"/>
        </w:rPr>
        <w:t>,</w:t>
      </w:r>
    </w:p>
    <w:p w14:paraId="43B5DAFA" w14:textId="77777777" w:rsidR="00980834" w:rsidRPr="004C455D" w:rsidRDefault="00980834" w:rsidP="00980834">
      <w:pPr>
        <w:pStyle w:val="Odstavecseseznamem"/>
        <w:numPr>
          <w:ilvl w:val="0"/>
          <w:numId w:val="47"/>
        </w:numPr>
        <w:rPr>
          <w:rFonts w:ascii="Calibri" w:hAnsi="Calibri" w:cs="Calibri"/>
          <w:sz w:val="22"/>
        </w:rPr>
      </w:pPr>
      <w:r w:rsidRPr="004C455D">
        <w:rPr>
          <w:rFonts w:ascii="Calibri" w:hAnsi="Calibri" w:cs="Calibri"/>
          <w:sz w:val="22"/>
        </w:rPr>
        <w:t>absolutní výše proplacených ŽoPl</w:t>
      </w:r>
      <w:r>
        <w:rPr>
          <w:rFonts w:ascii="Calibri" w:hAnsi="Calibri" w:cs="Calibri"/>
          <w:sz w:val="22"/>
        </w:rPr>
        <w:t>.</w:t>
      </w:r>
    </w:p>
    <w:p w14:paraId="329E7E2A" w14:textId="77777777" w:rsidR="00980834" w:rsidRDefault="00980834" w:rsidP="00980834">
      <w:pPr>
        <w:spacing w:after="0"/>
        <w:rPr>
          <w:rFonts w:ascii="Calibri" w:hAnsi="Calibri" w:cs="Calibri"/>
        </w:rPr>
      </w:pPr>
    </w:p>
    <w:p w14:paraId="055AE6D4" w14:textId="1996DBBE" w:rsidR="00980834" w:rsidRPr="000B7AFC" w:rsidRDefault="00980834" w:rsidP="00980834">
      <w:pPr>
        <w:pStyle w:val="Titulek"/>
      </w:pPr>
      <w:bookmarkStart w:id="192" w:name="_Toc10730051"/>
      <w:r w:rsidRPr="000B7AFC">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9</w:t>
      </w:r>
      <w:r w:rsidR="00BD754F">
        <w:rPr>
          <w:noProof/>
        </w:rPr>
        <w:fldChar w:fldCharType="end"/>
      </w:r>
      <w:r w:rsidRPr="000B7AFC">
        <w:t>: Zastoupení typových aktivit v PP NUT z hlediska počtu podpořených projektů</w:t>
      </w:r>
      <w:bookmarkEnd w:id="192"/>
      <w:r w:rsidRPr="000B7AFC">
        <w:t xml:space="preserve"> </w:t>
      </w:r>
    </w:p>
    <w:p w14:paraId="0B561721" w14:textId="77777777" w:rsidR="00980834" w:rsidRDefault="00980834" w:rsidP="00980834">
      <w:pPr>
        <w:spacing w:after="0"/>
        <w:rPr>
          <w:rFonts w:ascii="Calibri" w:hAnsi="Calibri" w:cs="Calibri"/>
        </w:rPr>
      </w:pPr>
      <w:r>
        <w:rPr>
          <w:noProof/>
          <w:lang w:eastAsia="cs-CZ"/>
        </w:rPr>
        <w:drawing>
          <wp:inline distT="0" distB="0" distL="0" distR="0" wp14:anchorId="42803432" wp14:editId="5303B5AF">
            <wp:extent cx="3975652" cy="2878372"/>
            <wp:effectExtent l="0" t="0" r="6350" b="17780"/>
            <wp:docPr id="32" name="Graf 32">
              <a:extLst xmlns:a="http://schemas.openxmlformats.org/drawingml/2006/main">
                <a:ext uri="{FF2B5EF4-FFF2-40B4-BE49-F238E27FC236}">
                  <a16:creationId xmlns:a16="http://schemas.microsoft.com/office/drawing/2014/main" id="{390CF8E1-0590-4341-9811-5A3A1FDD6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C204BD" w14:textId="77777777" w:rsidR="00980834" w:rsidRDefault="00980834" w:rsidP="00980834">
      <w:pPr>
        <w:spacing w:after="0"/>
        <w:rPr>
          <w:rFonts w:ascii="Calibri" w:hAnsi="Calibri" w:cs="Calibri"/>
        </w:rPr>
      </w:pPr>
    </w:p>
    <w:p w14:paraId="2E3C7F88" w14:textId="0260F782" w:rsidR="00980834" w:rsidRPr="000B7AFC" w:rsidRDefault="00980834" w:rsidP="00980834">
      <w:pPr>
        <w:pStyle w:val="Titulek"/>
      </w:pPr>
      <w:bookmarkStart w:id="193" w:name="_Toc10730052"/>
      <w:r w:rsidRPr="000B7AFC">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10</w:t>
      </w:r>
      <w:r w:rsidR="00BD754F">
        <w:rPr>
          <w:noProof/>
        </w:rPr>
        <w:fldChar w:fldCharType="end"/>
      </w:r>
      <w:r w:rsidRPr="000B7AFC">
        <w:t>: Zastoupení typových aktivit v PP NUT z hlediska objemu podpory</w:t>
      </w:r>
      <w:bookmarkEnd w:id="193"/>
      <w:r w:rsidR="00FE27BD">
        <w:t xml:space="preserve"> (podpořené projekty)</w:t>
      </w:r>
    </w:p>
    <w:p w14:paraId="61F55913" w14:textId="77777777" w:rsidR="00980834" w:rsidRDefault="00980834" w:rsidP="00980834">
      <w:pPr>
        <w:spacing w:after="0"/>
        <w:rPr>
          <w:rFonts w:ascii="Calibri" w:hAnsi="Calibri" w:cs="Calibri"/>
        </w:rPr>
      </w:pPr>
      <w:r>
        <w:rPr>
          <w:noProof/>
          <w:lang w:eastAsia="cs-CZ"/>
        </w:rPr>
        <w:drawing>
          <wp:inline distT="0" distB="0" distL="0" distR="0" wp14:anchorId="209BF7E1" wp14:editId="1BEBEFE5">
            <wp:extent cx="4000500" cy="3209925"/>
            <wp:effectExtent l="0" t="0" r="0" b="9525"/>
            <wp:docPr id="33" name="Graf 33">
              <a:extLst xmlns:a="http://schemas.openxmlformats.org/drawingml/2006/main">
                <a:ext uri="{FF2B5EF4-FFF2-40B4-BE49-F238E27FC236}">
                  <a16:creationId xmlns:a16="http://schemas.microsoft.com/office/drawing/2014/main" id="{15543561-692F-4FEC-B875-AA52F979E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671CFC" w14:textId="77777777" w:rsidR="00980834" w:rsidRDefault="00980834" w:rsidP="00980834">
      <w:pPr>
        <w:spacing w:after="0"/>
      </w:pPr>
      <w:r>
        <w:rPr>
          <w:rFonts w:ascii="Calibri" w:hAnsi="Calibri" w:cs="Calibri"/>
        </w:rPr>
        <w:t xml:space="preserve"> </w:t>
      </w:r>
    </w:p>
    <w:p w14:paraId="3ACFC112" w14:textId="6591F8BE" w:rsidR="00980834" w:rsidRPr="000B7AFC" w:rsidRDefault="00980834" w:rsidP="00980834">
      <w:pPr>
        <w:pStyle w:val="Titulek"/>
        <w:rPr>
          <w:szCs w:val="18"/>
        </w:rPr>
      </w:pPr>
      <w:bookmarkStart w:id="194" w:name="_Toc10730053"/>
      <w:r w:rsidRPr="000B7AFC">
        <w:rPr>
          <w:szCs w:val="18"/>
        </w:rPr>
        <w:lastRenderedPageBreak/>
        <w:t xml:space="preserve">Obrázek </w:t>
      </w:r>
      <w:r w:rsidR="00624A2A" w:rsidRPr="000B7AFC">
        <w:rPr>
          <w:szCs w:val="18"/>
        </w:rPr>
        <w:fldChar w:fldCharType="begin"/>
      </w:r>
      <w:r w:rsidR="00624A2A" w:rsidRPr="000B7AFC">
        <w:rPr>
          <w:szCs w:val="18"/>
        </w:rPr>
        <w:instrText xml:space="preserve"> SEQ Obrázek \* ARABIC </w:instrText>
      </w:r>
      <w:r w:rsidR="00624A2A" w:rsidRPr="000B7AFC">
        <w:rPr>
          <w:szCs w:val="18"/>
        </w:rPr>
        <w:fldChar w:fldCharType="separate"/>
      </w:r>
      <w:r w:rsidR="00E12F39">
        <w:rPr>
          <w:noProof/>
          <w:szCs w:val="18"/>
        </w:rPr>
        <w:t>11</w:t>
      </w:r>
      <w:r w:rsidR="00624A2A" w:rsidRPr="000B7AFC">
        <w:rPr>
          <w:szCs w:val="18"/>
        </w:rPr>
        <w:fldChar w:fldCharType="end"/>
      </w:r>
      <w:r w:rsidRPr="000B7AFC">
        <w:rPr>
          <w:szCs w:val="18"/>
        </w:rPr>
        <w:t>: Počty podpořených projektů podle výzev</w:t>
      </w:r>
      <w:bookmarkEnd w:id="194"/>
    </w:p>
    <w:p w14:paraId="4F2E9AFE" w14:textId="77777777" w:rsidR="00980834" w:rsidRDefault="00980834" w:rsidP="00980834">
      <w:pPr>
        <w:spacing w:after="0"/>
        <w:rPr>
          <w:rFonts w:ascii="Calibri" w:hAnsi="Calibri" w:cs="Calibri"/>
        </w:rPr>
      </w:pPr>
      <w:r>
        <w:rPr>
          <w:noProof/>
          <w:lang w:eastAsia="cs-CZ"/>
        </w:rPr>
        <w:drawing>
          <wp:inline distT="0" distB="0" distL="0" distR="0" wp14:anchorId="6CC2A2AD" wp14:editId="4E99B032">
            <wp:extent cx="4410075" cy="3467100"/>
            <wp:effectExtent l="0" t="0" r="9525" b="0"/>
            <wp:docPr id="12" name="Graf 12">
              <a:extLst xmlns:a="http://schemas.openxmlformats.org/drawingml/2006/main">
                <a:ext uri="{FF2B5EF4-FFF2-40B4-BE49-F238E27FC236}">
                  <a16:creationId xmlns:a16="http://schemas.microsoft.com/office/drawing/2014/main" id="{CF6167A5-E00E-4A04-8224-CDF85AF68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FCD8BE" w14:textId="77777777" w:rsidR="00980834" w:rsidRDefault="00980834" w:rsidP="00980834">
      <w:pPr>
        <w:spacing w:after="0"/>
        <w:rPr>
          <w:rFonts w:ascii="Calibri" w:hAnsi="Calibri" w:cs="Calibri"/>
        </w:rPr>
      </w:pPr>
    </w:p>
    <w:p w14:paraId="0413BC08" w14:textId="5264FF6C" w:rsidR="00980834" w:rsidRPr="000B7AFC" w:rsidRDefault="00980834" w:rsidP="00980834">
      <w:pPr>
        <w:pStyle w:val="Titulek"/>
      </w:pPr>
      <w:bookmarkStart w:id="195" w:name="_Toc10730054"/>
      <w:r w:rsidRPr="000B7AFC">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12</w:t>
      </w:r>
      <w:r w:rsidR="00BD754F">
        <w:rPr>
          <w:noProof/>
        </w:rPr>
        <w:fldChar w:fldCharType="end"/>
      </w:r>
      <w:r w:rsidRPr="000B7AFC">
        <w:t>: Absolutní výše podpory podle výzev</w:t>
      </w:r>
      <w:bookmarkEnd w:id="195"/>
      <w:r w:rsidR="00FE27BD">
        <w:t xml:space="preserve"> (podpořené projekty)</w:t>
      </w:r>
    </w:p>
    <w:p w14:paraId="04212B91" w14:textId="77777777" w:rsidR="00980834" w:rsidRDefault="00980834" w:rsidP="00980834">
      <w:pPr>
        <w:spacing w:after="0"/>
        <w:rPr>
          <w:rFonts w:ascii="Calibri" w:hAnsi="Calibri" w:cs="Calibri"/>
        </w:rPr>
      </w:pPr>
      <w:r>
        <w:rPr>
          <w:noProof/>
          <w:lang w:eastAsia="cs-CZ"/>
        </w:rPr>
        <w:drawing>
          <wp:inline distT="0" distB="0" distL="0" distR="0" wp14:anchorId="33D1CF36" wp14:editId="1840D101">
            <wp:extent cx="4486275" cy="3305175"/>
            <wp:effectExtent l="0" t="0" r="9525" b="9525"/>
            <wp:docPr id="34" name="Graf 34">
              <a:extLst xmlns:a="http://schemas.openxmlformats.org/drawingml/2006/main">
                <a:ext uri="{FF2B5EF4-FFF2-40B4-BE49-F238E27FC236}">
                  <a16:creationId xmlns:a16="http://schemas.microsoft.com/office/drawing/2014/main" id="{302ECB2B-ECD1-4D84-AFAB-F1491673C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91170C" w14:textId="77777777" w:rsidR="00980834" w:rsidRDefault="00980834" w:rsidP="00980834">
      <w:pPr>
        <w:spacing w:after="0"/>
        <w:rPr>
          <w:rFonts w:ascii="Calibri" w:hAnsi="Calibri" w:cs="Calibri"/>
        </w:rPr>
      </w:pPr>
    </w:p>
    <w:p w14:paraId="642DD1C4" w14:textId="1BE8AE9F" w:rsidR="00980834" w:rsidRPr="000B7AFC" w:rsidRDefault="00980834" w:rsidP="00980834">
      <w:pPr>
        <w:pStyle w:val="Titulek"/>
      </w:pPr>
      <w:bookmarkStart w:id="196" w:name="_Toc10730055"/>
      <w:r w:rsidRPr="000B7AFC">
        <w:lastRenderedPageBreak/>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13</w:t>
      </w:r>
      <w:r w:rsidR="00BD754F">
        <w:rPr>
          <w:noProof/>
        </w:rPr>
        <w:fldChar w:fldCharType="end"/>
      </w:r>
      <w:r w:rsidRPr="000B7AFC">
        <w:t>: Výše podpory a proplacené Žádosti o platbu</w:t>
      </w:r>
      <w:bookmarkEnd w:id="196"/>
      <w:r w:rsidR="00FE27BD">
        <w:t xml:space="preserve"> (podpořené projekty)</w:t>
      </w:r>
    </w:p>
    <w:p w14:paraId="4CD54510" w14:textId="77777777" w:rsidR="00980834" w:rsidRDefault="00980834" w:rsidP="00980834">
      <w:pPr>
        <w:spacing w:after="0"/>
        <w:rPr>
          <w:rFonts w:ascii="Calibri" w:hAnsi="Calibri" w:cs="Calibri"/>
        </w:rPr>
      </w:pPr>
      <w:r>
        <w:rPr>
          <w:noProof/>
          <w:lang w:eastAsia="cs-CZ"/>
        </w:rPr>
        <w:drawing>
          <wp:inline distT="0" distB="0" distL="0" distR="0" wp14:anchorId="13CC6828" wp14:editId="53D35434">
            <wp:extent cx="4505325" cy="3133725"/>
            <wp:effectExtent l="0" t="0" r="9525" b="9525"/>
            <wp:docPr id="35" name="Graf 35">
              <a:extLst xmlns:a="http://schemas.openxmlformats.org/drawingml/2006/main">
                <a:ext uri="{FF2B5EF4-FFF2-40B4-BE49-F238E27FC236}">
                  <a16:creationId xmlns:a16="http://schemas.microsoft.com/office/drawing/2014/main" id="{17AE9A15-6AB3-42A8-89E2-887700996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C75021" w14:textId="77777777" w:rsidR="00980834" w:rsidRDefault="00980834" w:rsidP="00980834">
      <w:pPr>
        <w:spacing w:after="0"/>
        <w:rPr>
          <w:rFonts w:ascii="Calibri" w:hAnsi="Calibri" w:cs="Calibri"/>
        </w:rPr>
      </w:pPr>
    </w:p>
    <w:p w14:paraId="7559C93E" w14:textId="247304C0" w:rsidR="00980834" w:rsidRPr="000B7AFC" w:rsidRDefault="00980834" w:rsidP="00980834">
      <w:pPr>
        <w:pStyle w:val="Titulek"/>
      </w:pPr>
      <w:bookmarkStart w:id="197" w:name="_Toc10730056"/>
      <w:r w:rsidRPr="000B7AFC">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14</w:t>
      </w:r>
      <w:r w:rsidR="00BD754F">
        <w:rPr>
          <w:noProof/>
        </w:rPr>
        <w:fldChar w:fldCharType="end"/>
      </w:r>
      <w:r w:rsidRPr="000B7AFC">
        <w:t>: Průměrná výše podpory na 1 projekt</w:t>
      </w:r>
      <w:bookmarkEnd w:id="197"/>
      <w:r w:rsidR="00FE27BD">
        <w:t xml:space="preserve"> (podpořené projekty)</w:t>
      </w:r>
    </w:p>
    <w:p w14:paraId="108A45C3" w14:textId="77777777" w:rsidR="00980834" w:rsidRDefault="00980834" w:rsidP="00980834">
      <w:pPr>
        <w:spacing w:after="0"/>
        <w:rPr>
          <w:rFonts w:ascii="Calibri" w:hAnsi="Calibri" w:cs="Calibri"/>
        </w:rPr>
      </w:pPr>
      <w:r>
        <w:rPr>
          <w:noProof/>
          <w:lang w:eastAsia="cs-CZ"/>
        </w:rPr>
        <w:drawing>
          <wp:inline distT="0" distB="0" distL="0" distR="0" wp14:anchorId="44D121A8" wp14:editId="3CEF7600">
            <wp:extent cx="4524375" cy="3238500"/>
            <wp:effectExtent l="0" t="0" r="9525" b="0"/>
            <wp:docPr id="36" name="Graf 36">
              <a:extLst xmlns:a="http://schemas.openxmlformats.org/drawingml/2006/main">
                <a:ext uri="{FF2B5EF4-FFF2-40B4-BE49-F238E27FC236}">
                  <a16:creationId xmlns:a16="http://schemas.microsoft.com/office/drawing/2014/main" id="{B3609972-6E9C-4A38-A027-EB8C79CFD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A31598" w14:textId="77777777" w:rsidR="00980834" w:rsidRDefault="00980834" w:rsidP="00980834">
      <w:pPr>
        <w:spacing w:after="0"/>
        <w:rPr>
          <w:rFonts w:ascii="Calibri" w:hAnsi="Calibri" w:cs="Calibri"/>
        </w:rPr>
      </w:pPr>
    </w:p>
    <w:p w14:paraId="7210F970" w14:textId="69C972F2" w:rsidR="001C210E" w:rsidRDefault="001C210E" w:rsidP="00D3770C">
      <w:pPr>
        <w:spacing w:after="0"/>
        <w:rPr>
          <w:rFonts w:ascii="Calibri" w:hAnsi="Calibri" w:cs="Calibri"/>
        </w:rPr>
      </w:pPr>
    </w:p>
    <w:p w14:paraId="20443F04" w14:textId="3BC30F93" w:rsidR="00CE74DA" w:rsidRDefault="00CE74DA" w:rsidP="00CE74DA">
      <w:pPr>
        <w:pStyle w:val="Nadpis1"/>
      </w:pPr>
      <w:bookmarkStart w:id="198" w:name="_Toc4596865"/>
      <w:bookmarkStart w:id="199" w:name="_Toc10729984"/>
      <w:r>
        <w:lastRenderedPageBreak/>
        <w:t>Evaluační otázka 13 (OZE, ÚE, NUT)</w:t>
      </w:r>
      <w:bookmarkEnd w:id="198"/>
      <w:bookmarkEnd w:id="199"/>
    </w:p>
    <w:p w14:paraId="75323B2A" w14:textId="0DBE8A42" w:rsidR="00CE74DA" w:rsidRPr="00FE4816" w:rsidRDefault="00CE74DA" w:rsidP="00CE74DA">
      <w:pPr>
        <w:spacing w:after="0"/>
        <w:rPr>
          <w:rFonts w:ascii="Calibri" w:hAnsi="Calibri" w:cs="Calibri"/>
          <w:b/>
        </w:rPr>
      </w:pPr>
      <w:r w:rsidRPr="00CE74DA">
        <w:rPr>
          <w:rFonts w:ascii="Calibri" w:hAnsi="Calibri" w:cs="Calibri"/>
          <w:b/>
        </w:rPr>
        <w:t>Jaké jsou nezamýšlené (pozitivní i negativní) efekty v rámci dosahování těchto cílů?</w:t>
      </w:r>
      <w:r w:rsidR="00794463">
        <w:rPr>
          <w:rFonts w:ascii="Calibri" w:hAnsi="Calibri" w:cs="Calibri"/>
          <w:b/>
        </w:rPr>
        <w:t xml:space="preserve"> </w:t>
      </w:r>
      <w:r w:rsidR="00794463" w:rsidRPr="00794463">
        <w:rPr>
          <w:rFonts w:ascii="Calibri" w:hAnsi="Calibri" w:cs="Calibri"/>
          <w:b/>
        </w:rPr>
        <w:t>Dodavatel zjistí nezamýšlené dopady a vyhodnotí jejich význam.</w:t>
      </w:r>
    </w:p>
    <w:p w14:paraId="2314BBBC" w14:textId="77777777" w:rsidR="00CE74DA" w:rsidRDefault="00CE74DA" w:rsidP="00CE74DA">
      <w:pPr>
        <w:spacing w:after="0"/>
        <w:rPr>
          <w:rFonts w:ascii="Calibri" w:hAnsi="Calibri" w:cs="Calibri"/>
        </w:rPr>
      </w:pPr>
    </w:p>
    <w:p w14:paraId="6D72F057" w14:textId="77777777" w:rsidR="00CE74DA" w:rsidRPr="001C210E" w:rsidRDefault="00CE74DA" w:rsidP="00CE74DA">
      <w:pPr>
        <w:pStyle w:val="Nadpis2"/>
      </w:pPr>
      <w:bookmarkStart w:id="200" w:name="_Toc4596866"/>
      <w:bookmarkStart w:id="201" w:name="_Toc10729985"/>
      <w:r w:rsidRPr="001C210E">
        <w:t>Úkol</w:t>
      </w:r>
      <w:bookmarkEnd w:id="200"/>
      <w:bookmarkEnd w:id="201"/>
    </w:p>
    <w:p w14:paraId="71711F44" w14:textId="3A6E62D0" w:rsidR="006C26D2" w:rsidRDefault="00AF06A0" w:rsidP="00AF06A0">
      <w:pPr>
        <w:spacing w:after="0"/>
        <w:rPr>
          <w:rFonts w:ascii="Calibri" w:hAnsi="Calibri" w:cs="Calibri"/>
        </w:rPr>
      </w:pPr>
      <w:r>
        <w:rPr>
          <w:rFonts w:ascii="Calibri" w:hAnsi="Calibri" w:cs="Calibri"/>
        </w:rPr>
        <w:t>Zjistit nezamýšlené dopady intervencí SC 3.1, 3.2 a 3.4 a vyhodnotit jejich význam.</w:t>
      </w:r>
    </w:p>
    <w:p w14:paraId="37D1A985" w14:textId="77777777" w:rsidR="00AF06A0" w:rsidRPr="001C50E7" w:rsidRDefault="00AF06A0" w:rsidP="00AF06A0">
      <w:pPr>
        <w:spacing w:after="0"/>
      </w:pPr>
    </w:p>
    <w:p w14:paraId="26946381" w14:textId="77777777" w:rsidR="00CE74DA" w:rsidRDefault="00CE74DA" w:rsidP="00CE74DA">
      <w:pPr>
        <w:pStyle w:val="Nadpis2"/>
      </w:pPr>
      <w:bookmarkStart w:id="202" w:name="_Toc4596867"/>
      <w:bookmarkStart w:id="203" w:name="_Toc10729986"/>
      <w:r w:rsidRPr="001C210E">
        <w:t>Východiska</w:t>
      </w:r>
      <w:bookmarkEnd w:id="202"/>
      <w:bookmarkEnd w:id="203"/>
    </w:p>
    <w:p w14:paraId="25BA1020" w14:textId="7B8DBB3F" w:rsidR="00CE74DA" w:rsidRDefault="00AF06A0" w:rsidP="00AF06A0">
      <w:pPr>
        <w:spacing w:after="0"/>
        <w:rPr>
          <w:lang w:eastAsia="sk-SK"/>
        </w:rPr>
      </w:pPr>
      <w:r w:rsidRPr="00AF06A0">
        <w:rPr>
          <w:lang w:eastAsia="sk-SK"/>
        </w:rPr>
        <w:t>Evaluační přístup je v této evaluační otázce obecně nastavený a nepracuje s žádnou hypotézou. Nezamýšlené efekty je z podstaty obtížné předpokládat, tím spíše, je-li předmětem hodnocení široce zaměřený PP NUT s velice různorodými intervencemi. Totéž ale platí i pro PP ÚE i OZE. Specificky formulované hypotézy by proto mohly dopředu omezit rozsah identifikace efektů, následná analýza by se zaměřila na verifikaci těchto hypotéz, a neměla by tak dostatečnou šíři pro zachycení všech relevantních nezamýšlených efektů, a to ať už pozitivních, nebo i negativních.</w:t>
      </w:r>
    </w:p>
    <w:p w14:paraId="07556916" w14:textId="77777777" w:rsidR="00AF06A0" w:rsidRPr="001D4858" w:rsidRDefault="00AF06A0" w:rsidP="00AF06A0">
      <w:pPr>
        <w:spacing w:after="0"/>
        <w:rPr>
          <w:lang w:eastAsia="sk-SK"/>
        </w:rPr>
      </w:pPr>
    </w:p>
    <w:p w14:paraId="6E09614E" w14:textId="77777777" w:rsidR="00CE74DA" w:rsidRPr="001C210E" w:rsidRDefault="00CE74DA" w:rsidP="00CE74DA">
      <w:pPr>
        <w:pStyle w:val="Nadpis2"/>
      </w:pPr>
      <w:bookmarkStart w:id="204" w:name="_Toc4596868"/>
      <w:bookmarkStart w:id="205" w:name="_Toc10729987"/>
      <w:r w:rsidRPr="001C210E">
        <w:t>Zjištění v návaznosti na evaluační otázku a úkol</w:t>
      </w:r>
      <w:bookmarkEnd w:id="204"/>
      <w:bookmarkEnd w:id="205"/>
    </w:p>
    <w:tbl>
      <w:tblPr>
        <w:tblStyle w:val="Svtlmkatabulky1"/>
        <w:tblW w:w="0" w:type="auto"/>
        <w:tblLook w:val="04A0" w:firstRow="1" w:lastRow="0" w:firstColumn="1" w:lastColumn="0" w:noHBand="0" w:noVBand="1"/>
      </w:tblPr>
      <w:tblGrid>
        <w:gridCol w:w="2972"/>
        <w:gridCol w:w="5954"/>
      </w:tblGrid>
      <w:tr w:rsidR="00CE74DA" w:rsidRPr="001C210E" w14:paraId="4E091853" w14:textId="77777777" w:rsidTr="00047EB6">
        <w:tc>
          <w:tcPr>
            <w:tcW w:w="2972" w:type="dxa"/>
            <w:shd w:val="clear" w:color="auto" w:fill="F2F2F2" w:themeFill="background1" w:themeFillShade="F2"/>
          </w:tcPr>
          <w:p w14:paraId="78E6EAB0" w14:textId="77777777" w:rsidR="00CE74DA" w:rsidRPr="001C210E" w:rsidRDefault="00CE74DA" w:rsidP="00047EB6">
            <w:pPr>
              <w:rPr>
                <w:rFonts w:ascii="Calibri" w:hAnsi="Calibri" w:cs="Calibri"/>
                <w:b/>
              </w:rPr>
            </w:pPr>
            <w:r w:rsidRPr="001C210E">
              <w:rPr>
                <w:rFonts w:ascii="Calibri" w:hAnsi="Calibri" w:cs="Calibri"/>
                <w:b/>
              </w:rPr>
              <w:t>Evaluační otázka</w:t>
            </w:r>
          </w:p>
        </w:tc>
        <w:tc>
          <w:tcPr>
            <w:tcW w:w="5954" w:type="dxa"/>
          </w:tcPr>
          <w:p w14:paraId="4DC65DCB" w14:textId="1E10C85E" w:rsidR="00CE74DA" w:rsidRPr="00FE4816" w:rsidRDefault="00CE74DA" w:rsidP="00047EB6">
            <w:pPr>
              <w:rPr>
                <w:rFonts w:ascii="Calibri" w:hAnsi="Calibri" w:cs="Calibri"/>
                <w:b/>
              </w:rPr>
            </w:pPr>
            <w:r w:rsidRPr="00CE74DA">
              <w:rPr>
                <w:rFonts w:ascii="Calibri" w:hAnsi="Calibri" w:cs="Calibri"/>
                <w:b/>
              </w:rPr>
              <w:t>Jaké jsou nezamýšlené (pozitivní i negativní) efekty v rámci dosahování těchto cílů?</w:t>
            </w:r>
          </w:p>
        </w:tc>
      </w:tr>
      <w:tr w:rsidR="00CE74DA" w:rsidRPr="001C210E" w14:paraId="2A226EE4" w14:textId="77777777" w:rsidTr="00047EB6">
        <w:tc>
          <w:tcPr>
            <w:tcW w:w="2972" w:type="dxa"/>
            <w:shd w:val="clear" w:color="auto" w:fill="F2F2F2" w:themeFill="background1" w:themeFillShade="F2"/>
          </w:tcPr>
          <w:p w14:paraId="4DF7115A" w14:textId="77777777" w:rsidR="00CE74DA" w:rsidRPr="001C210E" w:rsidRDefault="00CE74DA" w:rsidP="00047EB6">
            <w:pPr>
              <w:rPr>
                <w:rFonts w:ascii="Calibri" w:hAnsi="Calibri" w:cs="Calibri"/>
              </w:rPr>
            </w:pPr>
            <w:r w:rsidRPr="001C210E">
              <w:rPr>
                <w:rFonts w:ascii="Calibri" w:hAnsi="Calibri" w:cs="Calibri"/>
                <w:b/>
                <w:bCs/>
              </w:rPr>
              <w:t>Zhodnocení</w:t>
            </w:r>
            <w:r w:rsidRPr="001C210E">
              <w:rPr>
                <w:rFonts w:ascii="Calibri" w:hAnsi="Calibri" w:cs="Calibri"/>
                <w:b/>
                <w:bCs/>
              </w:rPr>
              <w:br/>
            </w:r>
            <w:r w:rsidRPr="001C210E">
              <w:rPr>
                <w:rFonts w:ascii="Calibri" w:hAnsi="Calibri" w:cs="Calibri"/>
              </w:rPr>
              <w:t>(Ano, Spíše ano, Spíše ne, Ne, Není relevantní)</w:t>
            </w:r>
          </w:p>
        </w:tc>
        <w:tc>
          <w:tcPr>
            <w:tcW w:w="5954" w:type="dxa"/>
          </w:tcPr>
          <w:p w14:paraId="1A618470" w14:textId="4438605E" w:rsidR="00CE74DA" w:rsidRPr="001C210E" w:rsidRDefault="006C26D2" w:rsidP="00047EB6">
            <w:pPr>
              <w:rPr>
                <w:rFonts w:ascii="Calibri" w:hAnsi="Calibri" w:cs="Calibri"/>
              </w:rPr>
            </w:pPr>
            <w:r>
              <w:rPr>
                <w:rFonts w:ascii="Calibri" w:hAnsi="Calibri" w:cs="Calibri"/>
              </w:rPr>
              <w:t>Není relevantní</w:t>
            </w:r>
          </w:p>
        </w:tc>
      </w:tr>
      <w:tr w:rsidR="00CE74DA" w:rsidRPr="001C210E" w14:paraId="4306E8F9" w14:textId="77777777" w:rsidTr="00047EB6">
        <w:tc>
          <w:tcPr>
            <w:tcW w:w="2972" w:type="dxa"/>
            <w:shd w:val="clear" w:color="auto" w:fill="F2F2F2" w:themeFill="background1" w:themeFillShade="F2"/>
          </w:tcPr>
          <w:p w14:paraId="0604EF22" w14:textId="77777777" w:rsidR="00CE74DA" w:rsidRPr="00230E9A" w:rsidRDefault="00CE74DA" w:rsidP="00047EB6">
            <w:pPr>
              <w:rPr>
                <w:rFonts w:ascii="Calibri" w:hAnsi="Calibri" w:cs="Calibri"/>
                <w:b/>
              </w:rPr>
            </w:pPr>
            <w:r w:rsidRPr="00230E9A">
              <w:rPr>
                <w:rFonts w:ascii="Calibri" w:hAnsi="Calibri" w:cs="Calibri"/>
                <w:b/>
              </w:rPr>
              <w:t xml:space="preserve">Hlavní závěry a zjištění </w:t>
            </w:r>
          </w:p>
        </w:tc>
        <w:tc>
          <w:tcPr>
            <w:tcW w:w="5954" w:type="dxa"/>
          </w:tcPr>
          <w:p w14:paraId="1A7A4779" w14:textId="4C9812C6" w:rsidR="00CE74DA" w:rsidRDefault="00151CAA" w:rsidP="00047EB6">
            <w:pPr>
              <w:rPr>
                <w:rFonts w:ascii="Calibri" w:hAnsi="Calibri" w:cs="Calibri"/>
              </w:rPr>
            </w:pPr>
            <w:r w:rsidRPr="00230E9A">
              <w:rPr>
                <w:rFonts w:ascii="Calibri" w:hAnsi="Calibri" w:cs="Calibri"/>
              </w:rPr>
              <w:t>Většina příjemců neidentifikovala žádné nezamýšlené efekty, ať pozitivního či negativního charakteru.</w:t>
            </w:r>
          </w:p>
          <w:p w14:paraId="011509C7" w14:textId="77777777" w:rsidR="00C0021E" w:rsidRPr="00230E9A" w:rsidRDefault="00C0021E" w:rsidP="00047EB6">
            <w:pPr>
              <w:rPr>
                <w:rFonts w:ascii="Calibri" w:hAnsi="Calibri" w:cs="Calibri"/>
              </w:rPr>
            </w:pPr>
          </w:p>
          <w:p w14:paraId="6014BACE" w14:textId="0C0BA944" w:rsidR="00F24B65" w:rsidRPr="00230E9A" w:rsidRDefault="00F24B65" w:rsidP="00047EB6">
            <w:pPr>
              <w:rPr>
                <w:rFonts w:ascii="Calibri" w:hAnsi="Calibri" w:cs="Calibri"/>
              </w:rPr>
            </w:pPr>
            <w:r w:rsidRPr="00230E9A">
              <w:rPr>
                <w:rFonts w:ascii="Calibri" w:hAnsi="Calibri" w:cs="Calibri"/>
              </w:rPr>
              <w:t>Pozitivní neočekávané efekty:</w:t>
            </w:r>
          </w:p>
          <w:p w14:paraId="182D2013" w14:textId="1BF81B4D" w:rsidR="00F24B65" w:rsidRPr="00230E9A" w:rsidRDefault="00F24B65" w:rsidP="00131C2F">
            <w:pPr>
              <w:pStyle w:val="Odstavecseseznamem"/>
              <w:numPr>
                <w:ilvl w:val="0"/>
                <w:numId w:val="27"/>
              </w:numPr>
              <w:rPr>
                <w:rFonts w:ascii="Calibri" w:hAnsi="Calibri" w:cs="Calibri"/>
                <w:sz w:val="22"/>
                <w:szCs w:val="22"/>
              </w:rPr>
            </w:pPr>
            <w:r w:rsidRPr="00230E9A">
              <w:rPr>
                <w:rFonts w:ascii="Calibri" w:hAnsi="Calibri" w:cs="Calibri"/>
                <w:sz w:val="22"/>
                <w:szCs w:val="22"/>
              </w:rPr>
              <w:t>vyšší účinnost pořízené technologie (SC 3.1)</w:t>
            </w:r>
          </w:p>
          <w:p w14:paraId="33BD3E7D" w14:textId="78D298A3" w:rsidR="00F24B65" w:rsidRPr="00230E9A" w:rsidRDefault="00F24B65" w:rsidP="00131C2F">
            <w:pPr>
              <w:pStyle w:val="Odstavecseseznamem"/>
              <w:numPr>
                <w:ilvl w:val="0"/>
                <w:numId w:val="27"/>
              </w:numPr>
              <w:rPr>
                <w:rFonts w:ascii="Calibri" w:hAnsi="Calibri" w:cs="Calibri"/>
                <w:sz w:val="22"/>
                <w:szCs w:val="22"/>
              </w:rPr>
            </w:pPr>
            <w:r w:rsidRPr="00230E9A">
              <w:rPr>
                <w:rFonts w:ascii="Calibri" w:hAnsi="Calibri" w:cs="Calibri"/>
                <w:sz w:val="22"/>
                <w:szCs w:val="22"/>
              </w:rPr>
              <w:t>snížení nákladů pro odběratel</w:t>
            </w:r>
            <w:r w:rsidR="001D356F">
              <w:rPr>
                <w:rFonts w:ascii="Calibri" w:hAnsi="Calibri" w:cs="Calibri"/>
                <w:sz w:val="22"/>
                <w:szCs w:val="22"/>
              </w:rPr>
              <w:t>e</w:t>
            </w:r>
            <w:r w:rsidRPr="00230E9A">
              <w:rPr>
                <w:rFonts w:ascii="Calibri" w:hAnsi="Calibri" w:cs="Calibri"/>
                <w:sz w:val="22"/>
                <w:szCs w:val="22"/>
              </w:rPr>
              <w:t xml:space="preserve"> tepla z OZE (SC 3.1)</w:t>
            </w:r>
          </w:p>
          <w:p w14:paraId="0878C536" w14:textId="64BBDFC8" w:rsidR="00F24B65" w:rsidRPr="00230E9A" w:rsidRDefault="00F24B65" w:rsidP="00131C2F">
            <w:pPr>
              <w:pStyle w:val="Odstavecseseznamem"/>
              <w:numPr>
                <w:ilvl w:val="0"/>
                <w:numId w:val="27"/>
              </w:numPr>
              <w:rPr>
                <w:rFonts w:ascii="Calibri" w:hAnsi="Calibri" w:cs="Calibri"/>
                <w:sz w:val="22"/>
                <w:szCs w:val="22"/>
              </w:rPr>
            </w:pPr>
            <w:r w:rsidRPr="00230E9A">
              <w:rPr>
                <w:rFonts w:ascii="Calibri" w:hAnsi="Calibri" w:cs="Calibri"/>
                <w:sz w:val="22"/>
                <w:szCs w:val="22"/>
              </w:rPr>
              <w:t>zlepšení vzhledu budovy v důsledku jejího zateplení (SC 3.2)</w:t>
            </w:r>
          </w:p>
          <w:p w14:paraId="131C8046" w14:textId="6FA2750D" w:rsidR="00F24B65" w:rsidRPr="00230E9A" w:rsidRDefault="00F24B65" w:rsidP="00131C2F">
            <w:pPr>
              <w:pStyle w:val="Odstavecseseznamem"/>
              <w:numPr>
                <w:ilvl w:val="0"/>
                <w:numId w:val="27"/>
              </w:numPr>
              <w:rPr>
                <w:rFonts w:ascii="Calibri" w:hAnsi="Calibri" w:cs="Calibri"/>
                <w:sz w:val="22"/>
                <w:szCs w:val="22"/>
              </w:rPr>
            </w:pPr>
            <w:r w:rsidRPr="00230E9A">
              <w:rPr>
                <w:rFonts w:ascii="Calibri" w:hAnsi="Calibri" w:cs="Calibri"/>
                <w:sz w:val="22"/>
                <w:szCs w:val="22"/>
              </w:rPr>
              <w:t>teplotní pohoda a více světla v provozních prostorách firmy (SC 3.2)</w:t>
            </w:r>
          </w:p>
          <w:p w14:paraId="501F107C" w14:textId="5847DBA0" w:rsidR="00F24B65" w:rsidRDefault="00F24B65" w:rsidP="00131C2F">
            <w:pPr>
              <w:pStyle w:val="Odstavecseseznamem"/>
              <w:numPr>
                <w:ilvl w:val="0"/>
                <w:numId w:val="27"/>
              </w:numPr>
              <w:rPr>
                <w:rFonts w:ascii="Calibri" w:hAnsi="Calibri" w:cs="Calibri"/>
                <w:sz w:val="22"/>
                <w:szCs w:val="22"/>
              </w:rPr>
            </w:pPr>
            <w:r w:rsidRPr="00230E9A">
              <w:rPr>
                <w:rFonts w:ascii="Calibri" w:hAnsi="Calibri" w:cs="Calibri"/>
                <w:sz w:val="22"/>
                <w:szCs w:val="22"/>
              </w:rPr>
              <w:t>snížení emisí při výrobě tepla (SC 3.2)</w:t>
            </w:r>
          </w:p>
          <w:p w14:paraId="16B40447" w14:textId="77777777" w:rsidR="00BD0D48" w:rsidRDefault="00D96EC5" w:rsidP="00131C2F">
            <w:pPr>
              <w:pStyle w:val="Odstavecseseznamem"/>
              <w:numPr>
                <w:ilvl w:val="0"/>
                <w:numId w:val="27"/>
              </w:numPr>
              <w:rPr>
                <w:rFonts w:ascii="Calibri" w:hAnsi="Calibri" w:cs="Calibri"/>
                <w:sz w:val="22"/>
                <w:szCs w:val="22"/>
              </w:rPr>
            </w:pPr>
            <w:r>
              <w:rPr>
                <w:rFonts w:ascii="Calibri" w:hAnsi="Calibri" w:cs="Calibri"/>
                <w:sz w:val="22"/>
                <w:szCs w:val="22"/>
              </w:rPr>
              <w:t xml:space="preserve">zájem </w:t>
            </w:r>
            <w:r w:rsidR="00BD0D48">
              <w:rPr>
                <w:rFonts w:ascii="Calibri" w:hAnsi="Calibri" w:cs="Calibri"/>
                <w:sz w:val="22"/>
                <w:szCs w:val="22"/>
              </w:rPr>
              <w:t xml:space="preserve">širšího </w:t>
            </w:r>
            <w:r>
              <w:rPr>
                <w:rFonts w:ascii="Calibri" w:hAnsi="Calibri" w:cs="Calibri"/>
                <w:sz w:val="22"/>
                <w:szCs w:val="22"/>
              </w:rPr>
              <w:t>oko</w:t>
            </w:r>
            <w:r w:rsidR="00BD0D48">
              <w:rPr>
                <w:rFonts w:ascii="Calibri" w:hAnsi="Calibri" w:cs="Calibri"/>
                <w:sz w:val="22"/>
                <w:szCs w:val="22"/>
              </w:rPr>
              <w:t>lí o pořízené technologie (SC 3.4)</w:t>
            </w:r>
          </w:p>
          <w:p w14:paraId="57C15F24" w14:textId="5BB3826D" w:rsidR="00D96EC5" w:rsidRPr="00230E9A" w:rsidRDefault="00BD0D48" w:rsidP="00131C2F">
            <w:pPr>
              <w:pStyle w:val="Odstavecseseznamem"/>
              <w:numPr>
                <w:ilvl w:val="0"/>
                <w:numId w:val="27"/>
              </w:numPr>
              <w:rPr>
                <w:rFonts w:ascii="Calibri" w:hAnsi="Calibri" w:cs="Calibri"/>
                <w:sz w:val="22"/>
                <w:szCs w:val="22"/>
              </w:rPr>
            </w:pPr>
            <w:r>
              <w:rPr>
                <w:rFonts w:ascii="Calibri" w:hAnsi="Calibri" w:cs="Calibri"/>
                <w:sz w:val="22"/>
                <w:szCs w:val="22"/>
              </w:rPr>
              <w:t xml:space="preserve">iniciace dalších nápadů (SC 3.4) </w:t>
            </w:r>
            <w:r w:rsidR="00D96EC5">
              <w:rPr>
                <w:rFonts w:ascii="Calibri" w:hAnsi="Calibri" w:cs="Calibri"/>
                <w:sz w:val="22"/>
                <w:szCs w:val="22"/>
              </w:rPr>
              <w:t xml:space="preserve"> </w:t>
            </w:r>
          </w:p>
          <w:p w14:paraId="5CE592F8" w14:textId="77777777" w:rsidR="00C0021E" w:rsidRDefault="00C0021E" w:rsidP="00F24B65">
            <w:pPr>
              <w:rPr>
                <w:rFonts w:ascii="Calibri" w:hAnsi="Calibri" w:cs="Calibri"/>
              </w:rPr>
            </w:pPr>
          </w:p>
          <w:p w14:paraId="459F3302" w14:textId="46F26A51" w:rsidR="00F24B65" w:rsidRPr="00230E9A" w:rsidRDefault="00F24B65" w:rsidP="00F24B65">
            <w:pPr>
              <w:rPr>
                <w:rFonts w:ascii="Calibri" w:hAnsi="Calibri" w:cs="Calibri"/>
              </w:rPr>
            </w:pPr>
            <w:r w:rsidRPr="00230E9A">
              <w:rPr>
                <w:rFonts w:ascii="Calibri" w:hAnsi="Calibri" w:cs="Calibri"/>
              </w:rPr>
              <w:t>Negativní neočekávané efekty:</w:t>
            </w:r>
          </w:p>
          <w:p w14:paraId="3C9FAE25" w14:textId="0A4AEBE1" w:rsidR="00F24B65" w:rsidRPr="00230E9A" w:rsidRDefault="00F24B65" w:rsidP="00131C2F">
            <w:pPr>
              <w:pStyle w:val="Odstavecseseznamem"/>
              <w:numPr>
                <w:ilvl w:val="0"/>
                <w:numId w:val="28"/>
              </w:numPr>
              <w:rPr>
                <w:rFonts w:ascii="Calibri" w:hAnsi="Calibri" w:cs="Calibri"/>
              </w:rPr>
            </w:pPr>
            <w:r w:rsidRPr="00230E9A">
              <w:rPr>
                <w:rFonts w:ascii="Calibri" w:hAnsi="Calibri" w:cs="Calibri"/>
                <w:sz w:val="22"/>
              </w:rPr>
              <w:t xml:space="preserve">objekty napojené teplovodem na BPS toto teplo nevyužívají a dál topí fosilními palivy </w:t>
            </w:r>
            <w:r w:rsidRPr="00230E9A">
              <w:rPr>
                <w:rFonts w:ascii="Calibri" w:hAnsi="Calibri" w:cs="Calibri"/>
                <w:sz w:val="22"/>
                <w:szCs w:val="22"/>
              </w:rPr>
              <w:t>(SC 3.1)</w:t>
            </w:r>
          </w:p>
          <w:p w14:paraId="780A8850" w14:textId="7AD40EC0" w:rsidR="00F24B65" w:rsidRPr="00230E9A" w:rsidRDefault="00F24B65" w:rsidP="00131C2F">
            <w:pPr>
              <w:pStyle w:val="Odstavecseseznamem"/>
              <w:numPr>
                <w:ilvl w:val="0"/>
                <w:numId w:val="28"/>
              </w:numPr>
              <w:rPr>
                <w:rFonts w:ascii="Calibri" w:hAnsi="Calibri" w:cs="Calibri"/>
                <w:sz w:val="22"/>
                <w:szCs w:val="22"/>
              </w:rPr>
            </w:pPr>
            <w:r w:rsidRPr="00230E9A">
              <w:rPr>
                <w:rFonts w:ascii="Calibri" w:hAnsi="Calibri" w:cs="Calibri"/>
                <w:sz w:val="22"/>
              </w:rPr>
              <w:t xml:space="preserve">velká administrativní zátěž a dlouhá doba </w:t>
            </w:r>
            <w:r w:rsidRPr="00230E9A">
              <w:rPr>
                <w:rFonts w:ascii="Calibri" w:hAnsi="Calibri" w:cs="Calibri"/>
                <w:sz w:val="22"/>
                <w:szCs w:val="22"/>
              </w:rPr>
              <w:t>vyhodnocování žádosti o dotaci (SC 3.2</w:t>
            </w:r>
            <w:r w:rsidR="00BD0D48">
              <w:rPr>
                <w:rFonts w:ascii="Calibri" w:hAnsi="Calibri" w:cs="Calibri"/>
                <w:sz w:val="22"/>
                <w:szCs w:val="22"/>
              </w:rPr>
              <w:t>, SC 3.4</w:t>
            </w:r>
            <w:r w:rsidRPr="00230E9A">
              <w:rPr>
                <w:rFonts w:ascii="Calibri" w:hAnsi="Calibri" w:cs="Calibri"/>
                <w:sz w:val="22"/>
                <w:szCs w:val="22"/>
              </w:rPr>
              <w:t>)</w:t>
            </w:r>
          </w:p>
          <w:p w14:paraId="65EDDF56" w14:textId="1B2B17F1" w:rsidR="00F24B65" w:rsidRPr="00230E9A" w:rsidRDefault="00F24B65" w:rsidP="00131C2F">
            <w:pPr>
              <w:pStyle w:val="Odstavecseseznamem"/>
              <w:numPr>
                <w:ilvl w:val="0"/>
                <w:numId w:val="28"/>
              </w:numPr>
              <w:rPr>
                <w:rFonts w:ascii="Calibri" w:hAnsi="Calibri" w:cs="Calibri"/>
                <w:sz w:val="22"/>
                <w:szCs w:val="22"/>
              </w:rPr>
            </w:pPr>
            <w:r w:rsidRPr="00230E9A">
              <w:rPr>
                <w:rFonts w:ascii="Calibri" w:hAnsi="Calibri" w:cs="Calibri"/>
                <w:sz w:val="22"/>
                <w:szCs w:val="22"/>
              </w:rPr>
              <w:t>nižší dopad úsporných opatření v důsledku růstu cen energií (SC 3.2)</w:t>
            </w:r>
          </w:p>
          <w:p w14:paraId="4DC808EE" w14:textId="77777777" w:rsidR="00F24B65" w:rsidRPr="00BD0D48" w:rsidRDefault="00F24B65" w:rsidP="00131C2F">
            <w:pPr>
              <w:pStyle w:val="Odstavecseseznamem"/>
              <w:numPr>
                <w:ilvl w:val="0"/>
                <w:numId w:val="28"/>
              </w:numPr>
              <w:rPr>
                <w:rFonts w:ascii="Calibri" w:hAnsi="Calibri" w:cs="Calibri"/>
                <w:sz w:val="22"/>
                <w:szCs w:val="22"/>
              </w:rPr>
            </w:pPr>
            <w:r w:rsidRPr="00230E9A">
              <w:rPr>
                <w:rFonts w:ascii="Calibri" w:hAnsi="Calibri" w:cs="Calibri"/>
                <w:sz w:val="22"/>
                <w:szCs w:val="22"/>
              </w:rPr>
              <w:t>oproti plánům vyšší náklady projektu (SC 3.2)</w:t>
            </w:r>
          </w:p>
          <w:p w14:paraId="065697B7" w14:textId="0F648982" w:rsidR="00BD0D48" w:rsidRPr="00230E9A" w:rsidRDefault="00BD0D48" w:rsidP="00131C2F">
            <w:pPr>
              <w:pStyle w:val="Odstavecseseznamem"/>
              <w:numPr>
                <w:ilvl w:val="0"/>
                <w:numId w:val="28"/>
              </w:numPr>
              <w:rPr>
                <w:rFonts w:ascii="Calibri" w:hAnsi="Calibri" w:cs="Calibri"/>
              </w:rPr>
            </w:pPr>
            <w:r w:rsidRPr="00BD0D48">
              <w:rPr>
                <w:rFonts w:ascii="Calibri" w:hAnsi="Calibri" w:cs="Calibri"/>
                <w:sz w:val="22"/>
                <w:szCs w:val="22"/>
              </w:rPr>
              <w:t>omezující podmínky využití výstupů projektu (SC 3.4)</w:t>
            </w:r>
          </w:p>
        </w:tc>
      </w:tr>
      <w:tr w:rsidR="00CE74DA" w:rsidRPr="00151CAA" w14:paraId="55C359CC" w14:textId="77777777" w:rsidTr="00047EB6">
        <w:tc>
          <w:tcPr>
            <w:tcW w:w="2972" w:type="dxa"/>
            <w:shd w:val="clear" w:color="auto" w:fill="F2F2F2" w:themeFill="background1" w:themeFillShade="F2"/>
          </w:tcPr>
          <w:p w14:paraId="7B2479B6" w14:textId="719DD715" w:rsidR="00CE74DA" w:rsidRPr="00151CAA" w:rsidRDefault="00CE74DA" w:rsidP="00047EB6">
            <w:pPr>
              <w:rPr>
                <w:rFonts w:ascii="Calibri" w:hAnsi="Calibri" w:cs="Calibri"/>
                <w:b/>
              </w:rPr>
            </w:pPr>
            <w:r w:rsidRPr="00151CAA">
              <w:rPr>
                <w:rFonts w:ascii="Calibri" w:hAnsi="Calibri" w:cs="Calibri"/>
                <w:b/>
              </w:rPr>
              <w:lastRenderedPageBreak/>
              <w:t>Doporučení pro programové období 2014 - 2020</w:t>
            </w:r>
          </w:p>
        </w:tc>
        <w:tc>
          <w:tcPr>
            <w:tcW w:w="5954" w:type="dxa"/>
          </w:tcPr>
          <w:p w14:paraId="415E327A" w14:textId="03CA1806" w:rsidR="00CE74DA" w:rsidRPr="00151CAA" w:rsidRDefault="00C0021E" w:rsidP="00047EB6">
            <w:pPr>
              <w:rPr>
                <w:rFonts w:ascii="Calibri" w:hAnsi="Calibri" w:cs="Calibri"/>
              </w:rPr>
            </w:pPr>
            <w:r>
              <w:rPr>
                <w:rFonts w:ascii="Calibri" w:hAnsi="Calibri" w:cs="Calibri"/>
              </w:rPr>
              <w:t xml:space="preserve">Zrychlit procesy administrace předkládaných žádostí o podporu. Za tímto účelem zvážit krátkodobé posílení administrativní kapacity ŘO, vč. využití externích specialistů. </w:t>
            </w:r>
          </w:p>
        </w:tc>
      </w:tr>
      <w:tr w:rsidR="00CE74DA" w:rsidRPr="00151CAA" w14:paraId="2089C54F" w14:textId="77777777" w:rsidTr="00047EB6">
        <w:tc>
          <w:tcPr>
            <w:tcW w:w="2972" w:type="dxa"/>
            <w:shd w:val="clear" w:color="auto" w:fill="F2F2F2" w:themeFill="background1" w:themeFillShade="F2"/>
          </w:tcPr>
          <w:p w14:paraId="4258BB07" w14:textId="1421461E" w:rsidR="00CE74DA" w:rsidRPr="00151CAA" w:rsidRDefault="00CE74DA" w:rsidP="00047EB6">
            <w:pPr>
              <w:rPr>
                <w:rFonts w:ascii="Calibri" w:hAnsi="Calibri" w:cs="Calibri"/>
                <w:b/>
              </w:rPr>
            </w:pPr>
          </w:p>
        </w:tc>
        <w:tc>
          <w:tcPr>
            <w:tcW w:w="5954" w:type="dxa"/>
          </w:tcPr>
          <w:p w14:paraId="610BE62A" w14:textId="4CEDC953" w:rsidR="00CE74DA" w:rsidRPr="00151CAA" w:rsidRDefault="00C0021E" w:rsidP="00047EB6">
            <w:pPr>
              <w:rPr>
                <w:rFonts w:ascii="Calibri" w:hAnsi="Calibri" w:cs="Calibri"/>
              </w:rPr>
            </w:pPr>
            <w:r>
              <w:rPr>
                <w:rFonts w:ascii="Calibri" w:hAnsi="Calibri" w:cs="Calibri"/>
              </w:rPr>
              <w:t xml:space="preserve">Posilovat komunikační a propagační aktivity směrem k cílovým skupinám PP s využitím konkrétních příkladů dobré (i špatné) praxe. </w:t>
            </w:r>
          </w:p>
        </w:tc>
      </w:tr>
      <w:tr w:rsidR="00CE74DA" w:rsidRPr="001C210E" w14:paraId="77D4645C" w14:textId="77777777" w:rsidTr="00047EB6">
        <w:tc>
          <w:tcPr>
            <w:tcW w:w="2972" w:type="dxa"/>
            <w:shd w:val="clear" w:color="auto" w:fill="F2F2F2" w:themeFill="background1" w:themeFillShade="F2"/>
          </w:tcPr>
          <w:p w14:paraId="60631853" w14:textId="28DBDA9E" w:rsidR="00CE74DA" w:rsidRPr="00151CAA" w:rsidRDefault="00CE74DA" w:rsidP="00047EB6">
            <w:pPr>
              <w:rPr>
                <w:rFonts w:ascii="Calibri" w:hAnsi="Calibri" w:cs="Calibri"/>
                <w:b/>
              </w:rPr>
            </w:pPr>
            <w:r w:rsidRPr="00151CAA">
              <w:rPr>
                <w:rFonts w:ascii="Calibri" w:hAnsi="Calibri" w:cs="Calibri"/>
                <w:b/>
              </w:rPr>
              <w:t>Doporučení pro programové období 2021</w:t>
            </w:r>
            <w:r w:rsidR="001D356F">
              <w:rPr>
                <w:rFonts w:ascii="Calibri" w:hAnsi="Calibri" w:cs="Calibri"/>
                <w:b/>
              </w:rPr>
              <w:t xml:space="preserve"> - 2027</w:t>
            </w:r>
          </w:p>
        </w:tc>
        <w:tc>
          <w:tcPr>
            <w:tcW w:w="5954" w:type="dxa"/>
          </w:tcPr>
          <w:p w14:paraId="54A923EF" w14:textId="54CEA563" w:rsidR="00CE74DA" w:rsidRPr="001C210E" w:rsidRDefault="001D356F" w:rsidP="00047EB6">
            <w:pPr>
              <w:rPr>
                <w:rFonts w:ascii="Calibri" w:hAnsi="Calibri" w:cs="Calibri"/>
              </w:rPr>
            </w:pPr>
            <w:r>
              <w:rPr>
                <w:rFonts w:ascii="Calibri" w:hAnsi="Calibri" w:cs="Calibri"/>
              </w:rPr>
              <w:t xml:space="preserve">Zavést </w:t>
            </w:r>
            <w:r w:rsidR="00C0021E">
              <w:rPr>
                <w:rFonts w:ascii="Calibri" w:hAnsi="Calibri" w:cs="Calibri"/>
              </w:rPr>
              <w:t xml:space="preserve">opatření ke zrychlení a zefektivnění systému administrace projektů, ve vhodných případech využít zjednodušených přístupů (např. paušálních sazeb, větší zapojení krajských pracovišť API aj.). </w:t>
            </w:r>
          </w:p>
        </w:tc>
      </w:tr>
    </w:tbl>
    <w:p w14:paraId="2D6E8D8E" w14:textId="77777777" w:rsidR="00CE74DA" w:rsidRPr="001C210E" w:rsidRDefault="00CE74DA" w:rsidP="00CE74DA">
      <w:pPr>
        <w:spacing w:after="0"/>
        <w:rPr>
          <w:rFonts w:ascii="Calibri" w:hAnsi="Calibri" w:cs="Calibri"/>
        </w:rPr>
      </w:pPr>
    </w:p>
    <w:p w14:paraId="0539406E" w14:textId="77777777" w:rsidR="00CE74DA" w:rsidRPr="001C210E" w:rsidRDefault="00CE74DA" w:rsidP="00CE74DA">
      <w:pPr>
        <w:pStyle w:val="Nadpis2"/>
      </w:pPr>
      <w:bookmarkStart w:id="206" w:name="_Toc4596869"/>
      <w:bookmarkStart w:id="207" w:name="_Toc10729988"/>
      <w:r w:rsidRPr="001C210E">
        <w:t>Doplňující informace k evaluační otázce</w:t>
      </w:r>
      <w:bookmarkEnd w:id="206"/>
      <w:bookmarkEnd w:id="207"/>
    </w:p>
    <w:p w14:paraId="46E4B5CF" w14:textId="3E2CD082" w:rsidR="006C26D2" w:rsidRPr="006B6689" w:rsidRDefault="002A7BA4" w:rsidP="006C26D2">
      <w:pPr>
        <w:spacing w:after="0"/>
        <w:rPr>
          <w:rFonts w:ascii="Calibri" w:hAnsi="Calibri" w:cs="Calibri"/>
        </w:rPr>
      </w:pPr>
      <w:r>
        <w:rPr>
          <w:rFonts w:ascii="Calibri" w:hAnsi="Calibri" w:cs="Calibri"/>
        </w:rPr>
        <w:t>Hlavními metodami zjišťování n</w:t>
      </w:r>
      <w:r w:rsidR="006C26D2" w:rsidRPr="006B6689">
        <w:rPr>
          <w:rFonts w:ascii="Calibri" w:hAnsi="Calibri" w:cs="Calibri"/>
        </w:rPr>
        <w:t>ezamýšlen</w:t>
      </w:r>
      <w:r>
        <w:rPr>
          <w:rFonts w:ascii="Calibri" w:hAnsi="Calibri" w:cs="Calibri"/>
        </w:rPr>
        <w:t>ých</w:t>
      </w:r>
      <w:r w:rsidR="006C26D2" w:rsidRPr="006B6689">
        <w:rPr>
          <w:rFonts w:ascii="Calibri" w:hAnsi="Calibri" w:cs="Calibri"/>
        </w:rPr>
        <w:t xml:space="preserve"> efekt</w:t>
      </w:r>
      <w:r>
        <w:rPr>
          <w:rFonts w:ascii="Calibri" w:hAnsi="Calibri" w:cs="Calibri"/>
        </w:rPr>
        <w:t>ů</w:t>
      </w:r>
      <w:r w:rsidR="006C26D2" w:rsidRPr="006B6689">
        <w:rPr>
          <w:rFonts w:ascii="Calibri" w:hAnsi="Calibri" w:cs="Calibri"/>
        </w:rPr>
        <w:t xml:space="preserve"> </w:t>
      </w:r>
      <w:r w:rsidR="001D4858">
        <w:rPr>
          <w:rFonts w:ascii="Calibri" w:hAnsi="Calibri" w:cs="Calibri"/>
        </w:rPr>
        <w:t xml:space="preserve">podpory </w:t>
      </w:r>
      <w:r>
        <w:rPr>
          <w:rFonts w:ascii="Calibri" w:hAnsi="Calibri" w:cs="Calibri"/>
        </w:rPr>
        <w:t xml:space="preserve">v rámci SC </w:t>
      </w:r>
      <w:r w:rsidR="001D4858">
        <w:rPr>
          <w:rFonts w:ascii="Calibri" w:hAnsi="Calibri" w:cs="Calibri"/>
        </w:rPr>
        <w:t xml:space="preserve">3.1, 3.2 a 3.4 </w:t>
      </w:r>
      <w:r w:rsidR="006C26D2" w:rsidRPr="006B6689">
        <w:rPr>
          <w:rFonts w:ascii="Calibri" w:hAnsi="Calibri" w:cs="Calibri"/>
        </w:rPr>
        <w:t>byl</w:t>
      </w:r>
      <w:r>
        <w:rPr>
          <w:rFonts w:ascii="Calibri" w:hAnsi="Calibri" w:cs="Calibri"/>
        </w:rPr>
        <w:t>a terénní šetření pomocí dotazníků a individuálních rozhovorů mezi příjemci a také se zástupci ŘO</w:t>
      </w:r>
      <w:r w:rsidR="006C26D2" w:rsidRPr="006B6689">
        <w:rPr>
          <w:rFonts w:ascii="Calibri" w:hAnsi="Calibri" w:cs="Calibri"/>
        </w:rPr>
        <w:t>.</w:t>
      </w:r>
      <w:r w:rsidR="00D96EC5">
        <w:rPr>
          <w:rFonts w:ascii="Calibri" w:hAnsi="Calibri" w:cs="Calibri"/>
        </w:rPr>
        <w:t xml:space="preserve"> Kromě souhrnných přehledů byly výstupy z této EO zpracovány také formou případových studií, které tvoří přílohu ZZ. </w:t>
      </w:r>
      <w:r w:rsidR="006C26D2" w:rsidRPr="006B6689">
        <w:rPr>
          <w:rFonts w:ascii="Calibri" w:hAnsi="Calibri" w:cs="Calibri"/>
        </w:rPr>
        <w:t xml:space="preserve"> </w:t>
      </w:r>
    </w:p>
    <w:p w14:paraId="4F1FA941" w14:textId="77777777" w:rsidR="006C26D2" w:rsidRPr="006B6689" w:rsidRDefault="006C26D2" w:rsidP="006C26D2">
      <w:pPr>
        <w:spacing w:after="0"/>
        <w:rPr>
          <w:rFonts w:ascii="Calibri" w:hAnsi="Calibri" w:cs="Calibri"/>
        </w:rPr>
      </w:pPr>
    </w:p>
    <w:p w14:paraId="06E54540" w14:textId="0D6D51A3" w:rsidR="002A7BA4" w:rsidRDefault="006C26D2" w:rsidP="006C26D2">
      <w:pPr>
        <w:spacing w:after="0"/>
        <w:rPr>
          <w:rFonts w:ascii="Calibri" w:hAnsi="Calibri" w:cs="Calibri"/>
        </w:rPr>
      </w:pPr>
      <w:r w:rsidRPr="006B6689">
        <w:rPr>
          <w:rFonts w:ascii="Calibri" w:hAnsi="Calibri" w:cs="Calibri"/>
        </w:rPr>
        <w:t xml:space="preserve">Obecně lze </w:t>
      </w:r>
      <w:r w:rsidR="002A7BA4">
        <w:rPr>
          <w:rFonts w:ascii="Calibri" w:hAnsi="Calibri" w:cs="Calibri"/>
        </w:rPr>
        <w:t xml:space="preserve">konstatovat, že většina respondentů z řad příjemců </w:t>
      </w:r>
      <w:r w:rsidRPr="006B6689">
        <w:rPr>
          <w:rFonts w:ascii="Calibri" w:hAnsi="Calibri" w:cs="Calibri"/>
        </w:rPr>
        <w:t>žádné neočekávané efekty</w:t>
      </w:r>
      <w:r w:rsidR="002A7BA4">
        <w:rPr>
          <w:rFonts w:ascii="Calibri" w:hAnsi="Calibri" w:cs="Calibri"/>
        </w:rPr>
        <w:t xml:space="preserve"> podpory</w:t>
      </w:r>
      <w:r w:rsidRPr="006B6689">
        <w:rPr>
          <w:rFonts w:ascii="Calibri" w:hAnsi="Calibri" w:cs="Calibri"/>
        </w:rPr>
        <w:t xml:space="preserve"> neidentif</w:t>
      </w:r>
      <w:r w:rsidR="002A7BA4">
        <w:rPr>
          <w:rFonts w:ascii="Calibri" w:hAnsi="Calibri" w:cs="Calibri"/>
        </w:rPr>
        <w:t xml:space="preserve">ikovala, případně si tyto efekty ztotožňovala s pozitivními nebo negativními zkušenostmi z průběhu realizace projektů. </w:t>
      </w:r>
      <w:r w:rsidR="00BF5A98">
        <w:rPr>
          <w:rFonts w:ascii="Calibri" w:hAnsi="Calibri" w:cs="Calibri"/>
        </w:rPr>
        <w:t>Významná</w:t>
      </w:r>
      <w:r w:rsidR="002A7BA4">
        <w:rPr>
          <w:rFonts w:ascii="Calibri" w:hAnsi="Calibri" w:cs="Calibri"/>
        </w:rPr>
        <w:t xml:space="preserve"> </w:t>
      </w:r>
      <w:r w:rsidR="00E3578E">
        <w:rPr>
          <w:rFonts w:ascii="Calibri" w:hAnsi="Calibri" w:cs="Calibri"/>
        </w:rPr>
        <w:t xml:space="preserve">část odpovědí </w:t>
      </w:r>
      <w:r w:rsidR="002A7BA4">
        <w:rPr>
          <w:rFonts w:ascii="Calibri" w:hAnsi="Calibri" w:cs="Calibri"/>
        </w:rPr>
        <w:t>(např</w:t>
      </w:r>
      <w:r w:rsidR="00E3578E">
        <w:rPr>
          <w:rFonts w:ascii="Calibri" w:hAnsi="Calibri" w:cs="Calibri"/>
        </w:rPr>
        <w:t xml:space="preserve">. </w:t>
      </w:r>
      <w:r w:rsidR="002A7BA4">
        <w:rPr>
          <w:rFonts w:ascii="Calibri" w:hAnsi="Calibri" w:cs="Calibri"/>
        </w:rPr>
        <w:t xml:space="preserve">v PP ÚE </w:t>
      </w:r>
      <w:r w:rsidR="00E3578E">
        <w:rPr>
          <w:rFonts w:ascii="Calibri" w:hAnsi="Calibri" w:cs="Calibri"/>
        </w:rPr>
        <w:t>13 z</w:t>
      </w:r>
      <w:r w:rsidR="002A7BA4">
        <w:rPr>
          <w:rFonts w:ascii="Calibri" w:hAnsi="Calibri" w:cs="Calibri"/>
        </w:rPr>
        <w:t> </w:t>
      </w:r>
      <w:r w:rsidR="00E3578E">
        <w:rPr>
          <w:rFonts w:ascii="Calibri" w:hAnsi="Calibri" w:cs="Calibri"/>
        </w:rPr>
        <w:t>24</w:t>
      </w:r>
      <w:r w:rsidR="002A7BA4">
        <w:rPr>
          <w:rFonts w:ascii="Calibri" w:hAnsi="Calibri" w:cs="Calibri"/>
        </w:rPr>
        <w:t xml:space="preserve"> </w:t>
      </w:r>
      <w:r w:rsidR="00E3578E">
        <w:rPr>
          <w:rFonts w:ascii="Calibri" w:hAnsi="Calibri" w:cs="Calibri"/>
        </w:rPr>
        <w:t>respondentů)</w:t>
      </w:r>
      <w:r w:rsidR="002A7BA4">
        <w:rPr>
          <w:rFonts w:ascii="Calibri" w:hAnsi="Calibri" w:cs="Calibri"/>
        </w:rPr>
        <w:t xml:space="preserve"> se </w:t>
      </w:r>
      <w:r w:rsidR="00BF5A98">
        <w:rPr>
          <w:rFonts w:ascii="Calibri" w:hAnsi="Calibri" w:cs="Calibri"/>
        </w:rPr>
        <w:t>t</w:t>
      </w:r>
      <w:r w:rsidR="002A7BA4">
        <w:rPr>
          <w:rFonts w:ascii="Calibri" w:hAnsi="Calibri" w:cs="Calibri"/>
        </w:rPr>
        <w:t>ýkala</w:t>
      </w:r>
      <w:r w:rsidR="00BF5A98">
        <w:rPr>
          <w:rFonts w:ascii="Calibri" w:hAnsi="Calibri" w:cs="Calibri"/>
        </w:rPr>
        <w:t xml:space="preserve"> </w:t>
      </w:r>
      <w:r w:rsidR="00E3578E">
        <w:rPr>
          <w:rFonts w:ascii="Calibri" w:hAnsi="Calibri" w:cs="Calibri"/>
        </w:rPr>
        <w:t xml:space="preserve">administrativní náročnosti zpracování žádosti o dotace a délce </w:t>
      </w:r>
      <w:r w:rsidR="00EB6A66">
        <w:rPr>
          <w:rFonts w:ascii="Calibri" w:hAnsi="Calibri" w:cs="Calibri"/>
        </w:rPr>
        <w:t xml:space="preserve">hodnotícího procesu. </w:t>
      </w:r>
    </w:p>
    <w:p w14:paraId="677FDF47" w14:textId="77777777" w:rsidR="002A7BA4" w:rsidRDefault="002A7BA4" w:rsidP="006C26D2">
      <w:pPr>
        <w:spacing w:after="0"/>
        <w:rPr>
          <w:rFonts w:ascii="Calibri" w:hAnsi="Calibri" w:cs="Calibri"/>
        </w:rPr>
      </w:pPr>
    </w:p>
    <w:p w14:paraId="497379C5" w14:textId="1CDFC6F6" w:rsidR="006C26D2" w:rsidRPr="006B6689" w:rsidRDefault="00EB6A66" w:rsidP="006C26D2">
      <w:pPr>
        <w:spacing w:after="0"/>
        <w:rPr>
          <w:rFonts w:ascii="Calibri" w:hAnsi="Calibri" w:cs="Calibri"/>
        </w:rPr>
      </w:pPr>
      <w:r>
        <w:rPr>
          <w:rFonts w:ascii="Calibri" w:hAnsi="Calibri" w:cs="Calibri"/>
        </w:rPr>
        <w:t xml:space="preserve">Mezi identifikované nezamýšlené efekty </w:t>
      </w:r>
      <w:r w:rsidR="00BF5A98">
        <w:rPr>
          <w:rFonts w:ascii="Calibri" w:hAnsi="Calibri" w:cs="Calibri"/>
        </w:rPr>
        <w:t xml:space="preserve">lze zařadit </w:t>
      </w:r>
      <w:r>
        <w:rPr>
          <w:rFonts w:ascii="Calibri" w:hAnsi="Calibri" w:cs="Calibri"/>
        </w:rPr>
        <w:t>následující:</w:t>
      </w:r>
    </w:p>
    <w:p w14:paraId="1D855021" w14:textId="77777777" w:rsidR="006C26D2" w:rsidRPr="006C26D2" w:rsidRDefault="006C26D2" w:rsidP="006C26D2">
      <w:pPr>
        <w:spacing w:after="0"/>
        <w:rPr>
          <w:rFonts w:ascii="Calibri" w:hAnsi="Calibri" w:cs="Calibri"/>
          <w:b/>
          <w:highlight w:val="yellow"/>
        </w:rPr>
      </w:pPr>
    </w:p>
    <w:p w14:paraId="492C26A8" w14:textId="5C13E5A2" w:rsidR="001230CC" w:rsidRPr="00C958C6" w:rsidRDefault="001230CC" w:rsidP="00AF06A0">
      <w:pPr>
        <w:pStyle w:val="Nadpis3"/>
      </w:pPr>
      <w:bookmarkStart w:id="208" w:name="_Toc10729989"/>
      <w:r w:rsidRPr="00C958C6">
        <w:t>S</w:t>
      </w:r>
      <w:r w:rsidR="00AF06A0">
        <w:t xml:space="preserve">pecifický cíl </w:t>
      </w:r>
      <w:r w:rsidRPr="00C958C6">
        <w:t>3.1</w:t>
      </w:r>
      <w:bookmarkEnd w:id="208"/>
    </w:p>
    <w:p w14:paraId="3DD3DD7D" w14:textId="77777777" w:rsidR="001230CC" w:rsidRPr="00C958C6" w:rsidRDefault="001230CC" w:rsidP="001230CC">
      <w:pPr>
        <w:spacing w:after="0"/>
        <w:rPr>
          <w:rFonts w:ascii="Calibri" w:hAnsi="Calibri" w:cs="Calibri"/>
        </w:rPr>
      </w:pPr>
      <w:r w:rsidRPr="00C958C6">
        <w:rPr>
          <w:rFonts w:ascii="Calibri" w:hAnsi="Calibri" w:cs="Calibri"/>
        </w:rPr>
        <w:t>Pozitivní neočekávané efekty:</w:t>
      </w:r>
    </w:p>
    <w:p w14:paraId="03E4D1D1" w14:textId="77777777" w:rsidR="001230CC" w:rsidRDefault="001230CC"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vyplývající z použité technologie</w:t>
      </w:r>
    </w:p>
    <w:p w14:paraId="7C51E463" w14:textId="77777777" w:rsidR="001230CC" w:rsidRDefault="001230CC" w:rsidP="009F7891">
      <w:pPr>
        <w:pStyle w:val="Odstavecseseznamem"/>
        <w:numPr>
          <w:ilvl w:val="1"/>
          <w:numId w:val="6"/>
        </w:numPr>
        <w:spacing w:line="276" w:lineRule="auto"/>
        <w:ind w:left="1434" w:hanging="357"/>
        <w:rPr>
          <w:rFonts w:ascii="Calibri" w:hAnsi="Calibri" w:cs="Calibri"/>
          <w:sz w:val="22"/>
          <w:szCs w:val="22"/>
        </w:rPr>
      </w:pPr>
      <w:r w:rsidRPr="00C958C6">
        <w:rPr>
          <w:rFonts w:ascii="Calibri" w:hAnsi="Calibri" w:cs="Calibri"/>
          <w:sz w:val="22"/>
          <w:szCs w:val="22"/>
        </w:rPr>
        <w:t>výkonnost technologie</w:t>
      </w:r>
      <w:r>
        <w:rPr>
          <w:rFonts w:ascii="Calibri" w:hAnsi="Calibri" w:cs="Calibri"/>
          <w:sz w:val="22"/>
          <w:szCs w:val="22"/>
        </w:rPr>
        <w:t xml:space="preserve"> - příjemce očekával nižší </w:t>
      </w:r>
      <w:r w:rsidRPr="00C958C6">
        <w:rPr>
          <w:rFonts w:ascii="Calibri" w:hAnsi="Calibri" w:cs="Calibri"/>
          <w:sz w:val="22"/>
          <w:szCs w:val="22"/>
        </w:rPr>
        <w:t xml:space="preserve">produkci tepla. Díky tomu </w:t>
      </w:r>
      <w:r>
        <w:rPr>
          <w:rFonts w:ascii="Calibri" w:hAnsi="Calibri" w:cs="Calibri"/>
          <w:sz w:val="22"/>
          <w:szCs w:val="22"/>
        </w:rPr>
        <w:t>neočekávanému efektu dojde u žadatele k navýšení produkce příjemce</w:t>
      </w:r>
    </w:p>
    <w:p w14:paraId="6CB3A345" w14:textId="77777777" w:rsidR="001230CC" w:rsidRDefault="001230CC" w:rsidP="009F7891">
      <w:pPr>
        <w:pStyle w:val="Odstavecseseznamem"/>
        <w:numPr>
          <w:ilvl w:val="1"/>
          <w:numId w:val="6"/>
        </w:numPr>
        <w:spacing w:line="276" w:lineRule="auto"/>
        <w:ind w:left="1434" w:hanging="357"/>
        <w:rPr>
          <w:rFonts w:ascii="Calibri" w:hAnsi="Calibri" w:cs="Calibri"/>
          <w:sz w:val="22"/>
          <w:szCs w:val="22"/>
        </w:rPr>
      </w:pPr>
      <w:r>
        <w:rPr>
          <w:rFonts w:ascii="Calibri" w:hAnsi="Calibri" w:cs="Calibri"/>
          <w:sz w:val="22"/>
          <w:szCs w:val="22"/>
        </w:rPr>
        <w:t>snížení cen za teplo produkované díky OZE - díky vybudování nové kotelny na biomasu došlo ke snížení ceny tepla pro jeho odběratele (obyvatele obce)</w:t>
      </w:r>
    </w:p>
    <w:p w14:paraId="428B9144" w14:textId="77777777" w:rsidR="001230CC" w:rsidRPr="006854DC" w:rsidRDefault="001230CC" w:rsidP="009F7891">
      <w:pPr>
        <w:spacing w:after="0"/>
        <w:rPr>
          <w:rFonts w:ascii="Calibri" w:hAnsi="Calibri" w:cs="Calibri"/>
        </w:rPr>
      </w:pPr>
      <w:r>
        <w:rPr>
          <w:rFonts w:ascii="Calibri" w:hAnsi="Calibri" w:cs="Calibri"/>
        </w:rPr>
        <w:t xml:space="preserve">Negativní </w:t>
      </w:r>
      <w:r w:rsidRPr="006854DC">
        <w:rPr>
          <w:rFonts w:ascii="Calibri" w:hAnsi="Calibri" w:cs="Calibri"/>
        </w:rPr>
        <w:t>neočekávané efekty:</w:t>
      </w:r>
    </w:p>
    <w:p w14:paraId="7F50B9A3" w14:textId="77777777" w:rsidR="001230CC" w:rsidRDefault="001230CC"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projektové povahy</w:t>
      </w:r>
    </w:p>
    <w:p w14:paraId="56EE9D8C" w14:textId="77777777" w:rsidR="001230CC" w:rsidRPr="006854DC" w:rsidRDefault="001230CC" w:rsidP="009F7891">
      <w:pPr>
        <w:pStyle w:val="Odstavecseseznamem"/>
        <w:numPr>
          <w:ilvl w:val="1"/>
          <w:numId w:val="6"/>
        </w:numPr>
        <w:spacing w:line="276" w:lineRule="auto"/>
        <w:rPr>
          <w:rFonts w:ascii="Calibri" w:hAnsi="Calibri" w:cs="Calibri"/>
          <w:sz w:val="22"/>
          <w:szCs w:val="22"/>
        </w:rPr>
      </w:pPr>
      <w:r w:rsidRPr="006854DC">
        <w:rPr>
          <w:rFonts w:ascii="Calibri" w:hAnsi="Calibri" w:cs="Calibri"/>
          <w:sz w:val="22"/>
          <w:szCs w:val="22"/>
        </w:rPr>
        <w:t>některé objekty napojené teplovodem na bioplynovou stanici nevyužívají tento zdroj tepla, ale pořád topí tuhými palivy. Zatím se je nepodařilo žádným způsobem přesvědčit, aby odběr tepla zahájili nebo zvýšili. Kvůli tomu se nedaří naplňovat indikátor projektu 32100 Užitečné teplo.</w:t>
      </w:r>
    </w:p>
    <w:p w14:paraId="496DA4A1" w14:textId="77777777" w:rsidR="00776068" w:rsidRDefault="00776068" w:rsidP="009F7891">
      <w:pPr>
        <w:spacing w:after="0"/>
        <w:rPr>
          <w:rFonts w:ascii="Calibri" w:hAnsi="Calibri" w:cs="Calibri"/>
          <w:b/>
        </w:rPr>
      </w:pPr>
    </w:p>
    <w:p w14:paraId="63C065A4" w14:textId="404E2906" w:rsidR="00C958C6" w:rsidRPr="00C958C6" w:rsidRDefault="00C958C6" w:rsidP="00AF06A0">
      <w:pPr>
        <w:pStyle w:val="Nadpis3"/>
      </w:pPr>
      <w:bookmarkStart w:id="209" w:name="_Toc10729990"/>
      <w:r w:rsidRPr="00C958C6">
        <w:t>S</w:t>
      </w:r>
      <w:r w:rsidR="00AF06A0">
        <w:t>pecifický cíl</w:t>
      </w:r>
      <w:r w:rsidRPr="00C958C6">
        <w:t xml:space="preserve"> 3.2</w:t>
      </w:r>
      <w:bookmarkEnd w:id="209"/>
    </w:p>
    <w:p w14:paraId="67082CE0" w14:textId="77777777" w:rsidR="00C958C6" w:rsidRPr="00C958C6" w:rsidRDefault="00C958C6" w:rsidP="009F7891">
      <w:pPr>
        <w:spacing w:after="0"/>
        <w:rPr>
          <w:rFonts w:ascii="Calibri" w:hAnsi="Calibri" w:cs="Calibri"/>
        </w:rPr>
      </w:pPr>
      <w:r w:rsidRPr="00C958C6">
        <w:rPr>
          <w:rFonts w:ascii="Calibri" w:hAnsi="Calibri" w:cs="Calibri"/>
        </w:rPr>
        <w:t>Pozitivní neočekávané efekty:</w:t>
      </w:r>
    </w:p>
    <w:p w14:paraId="2C3B6B67" w14:textId="11B4E105" w:rsidR="002F614E" w:rsidRDefault="002F614E"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vyplývající z použité technologie</w:t>
      </w:r>
    </w:p>
    <w:p w14:paraId="043653D4" w14:textId="3491CDBF" w:rsidR="00C958C6" w:rsidRPr="00C958C6" w:rsidRDefault="00C958C6" w:rsidP="009F7891">
      <w:pPr>
        <w:pStyle w:val="Odstavecseseznamem"/>
        <w:numPr>
          <w:ilvl w:val="1"/>
          <w:numId w:val="6"/>
        </w:numPr>
        <w:spacing w:line="276" w:lineRule="auto"/>
        <w:rPr>
          <w:rFonts w:ascii="Calibri" w:hAnsi="Calibri" w:cs="Calibri"/>
          <w:sz w:val="22"/>
          <w:szCs w:val="22"/>
        </w:rPr>
      </w:pPr>
      <w:r w:rsidRPr="00C958C6">
        <w:rPr>
          <w:rFonts w:ascii="Calibri" w:hAnsi="Calibri" w:cs="Calibri"/>
          <w:sz w:val="22"/>
          <w:szCs w:val="22"/>
        </w:rPr>
        <w:t>Zlepšení celkového vzhledu budovy po zateplení</w:t>
      </w:r>
      <w:r w:rsidR="002F614E">
        <w:rPr>
          <w:rFonts w:ascii="Calibri" w:hAnsi="Calibri" w:cs="Calibri"/>
          <w:sz w:val="22"/>
          <w:szCs w:val="22"/>
        </w:rPr>
        <w:t xml:space="preserve"> (8 % odpovědí)</w:t>
      </w:r>
    </w:p>
    <w:p w14:paraId="06A68C99" w14:textId="0A8515EF" w:rsidR="00C958C6" w:rsidRPr="00C958C6" w:rsidRDefault="00C958C6" w:rsidP="009F7891">
      <w:pPr>
        <w:pStyle w:val="Odstavecseseznamem"/>
        <w:numPr>
          <w:ilvl w:val="1"/>
          <w:numId w:val="6"/>
        </w:numPr>
        <w:spacing w:line="276" w:lineRule="auto"/>
        <w:rPr>
          <w:rFonts w:ascii="Calibri" w:hAnsi="Calibri" w:cs="Calibri"/>
          <w:sz w:val="22"/>
          <w:szCs w:val="22"/>
        </w:rPr>
      </w:pPr>
      <w:r w:rsidRPr="00C958C6">
        <w:rPr>
          <w:rFonts w:ascii="Calibri" w:hAnsi="Calibri" w:cs="Calibri"/>
          <w:sz w:val="22"/>
          <w:szCs w:val="22"/>
        </w:rPr>
        <w:t>Teplotní pohoda v provozních prostorách firmy a dík</w:t>
      </w:r>
      <w:r w:rsidR="00776068">
        <w:rPr>
          <w:rFonts w:ascii="Calibri" w:hAnsi="Calibri" w:cs="Calibri"/>
          <w:sz w:val="22"/>
          <w:szCs w:val="22"/>
        </w:rPr>
        <w:t>y výměně světlíků i více světla</w:t>
      </w:r>
      <w:r w:rsidR="00976A5A">
        <w:rPr>
          <w:rFonts w:ascii="Calibri" w:hAnsi="Calibri" w:cs="Calibri"/>
          <w:sz w:val="22"/>
          <w:szCs w:val="22"/>
        </w:rPr>
        <w:t xml:space="preserve"> (4 % </w:t>
      </w:r>
      <w:r w:rsidR="00976A5A">
        <w:rPr>
          <w:rFonts w:ascii="Calibri" w:hAnsi="Calibri" w:cs="Calibri"/>
          <w:sz w:val="22"/>
          <w:szCs w:val="22"/>
        </w:rPr>
        <w:lastRenderedPageBreak/>
        <w:t>odpovědí)</w:t>
      </w:r>
    </w:p>
    <w:p w14:paraId="3E6C732B" w14:textId="0FCC900E" w:rsidR="00C958C6" w:rsidRDefault="00C958C6" w:rsidP="009F7891">
      <w:pPr>
        <w:pStyle w:val="Odstavecseseznamem"/>
        <w:numPr>
          <w:ilvl w:val="1"/>
          <w:numId w:val="6"/>
        </w:numPr>
        <w:spacing w:line="276" w:lineRule="auto"/>
        <w:rPr>
          <w:rFonts w:ascii="Calibri" w:hAnsi="Calibri" w:cs="Calibri"/>
          <w:sz w:val="22"/>
          <w:szCs w:val="22"/>
        </w:rPr>
      </w:pPr>
      <w:r w:rsidRPr="00C958C6">
        <w:rPr>
          <w:rFonts w:ascii="Calibri" w:hAnsi="Calibri" w:cs="Calibri"/>
          <w:sz w:val="22"/>
          <w:szCs w:val="22"/>
        </w:rPr>
        <w:t>Výrazné</w:t>
      </w:r>
      <w:r w:rsidR="00776068">
        <w:rPr>
          <w:rFonts w:ascii="Calibri" w:hAnsi="Calibri" w:cs="Calibri"/>
          <w:sz w:val="22"/>
          <w:szCs w:val="22"/>
        </w:rPr>
        <w:t xml:space="preserve"> snížení emisí při výrobě tepla</w:t>
      </w:r>
      <w:r w:rsidR="00976A5A">
        <w:rPr>
          <w:rFonts w:ascii="Calibri" w:hAnsi="Calibri" w:cs="Calibri"/>
          <w:sz w:val="22"/>
          <w:szCs w:val="22"/>
        </w:rPr>
        <w:t xml:space="preserve"> (4 % odpovědí)</w:t>
      </w:r>
    </w:p>
    <w:p w14:paraId="6329486B" w14:textId="6B83A65A" w:rsidR="002F614E" w:rsidRDefault="002F614E"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ekonomické povahy</w:t>
      </w:r>
    </w:p>
    <w:p w14:paraId="6B907320" w14:textId="268355A5" w:rsidR="00776068" w:rsidRDefault="00776068" w:rsidP="009F7891">
      <w:pPr>
        <w:pStyle w:val="Odstavecseseznamem"/>
        <w:numPr>
          <w:ilvl w:val="1"/>
          <w:numId w:val="6"/>
        </w:numPr>
        <w:spacing w:line="276" w:lineRule="auto"/>
        <w:rPr>
          <w:rFonts w:ascii="Calibri" w:hAnsi="Calibri" w:cs="Calibri"/>
          <w:sz w:val="22"/>
          <w:szCs w:val="22"/>
        </w:rPr>
      </w:pPr>
      <w:r>
        <w:rPr>
          <w:rFonts w:ascii="Calibri" w:hAnsi="Calibri" w:cs="Calibri"/>
          <w:sz w:val="22"/>
          <w:szCs w:val="22"/>
        </w:rPr>
        <w:t>Dosažení vyšší úspory elektrické energie</w:t>
      </w:r>
      <w:r w:rsidR="00976A5A">
        <w:rPr>
          <w:rFonts w:ascii="Calibri" w:hAnsi="Calibri" w:cs="Calibri"/>
          <w:sz w:val="22"/>
          <w:szCs w:val="22"/>
        </w:rPr>
        <w:t xml:space="preserve"> (8 % odpovědí)</w:t>
      </w:r>
    </w:p>
    <w:p w14:paraId="0E518809" w14:textId="77777777" w:rsidR="00776068" w:rsidRPr="00C958C6" w:rsidRDefault="00776068" w:rsidP="009F7891">
      <w:pPr>
        <w:pStyle w:val="Odstavecseseznamem"/>
        <w:spacing w:line="276" w:lineRule="auto"/>
        <w:rPr>
          <w:rFonts w:ascii="Calibri" w:hAnsi="Calibri" w:cs="Calibri"/>
          <w:sz w:val="22"/>
          <w:szCs w:val="22"/>
        </w:rPr>
      </w:pPr>
    </w:p>
    <w:p w14:paraId="64293539" w14:textId="17E7DE40" w:rsidR="006C26D2" w:rsidRDefault="006C26D2" w:rsidP="009F7891">
      <w:pPr>
        <w:spacing w:after="0"/>
        <w:rPr>
          <w:rFonts w:ascii="Calibri" w:hAnsi="Calibri" w:cs="Calibri"/>
        </w:rPr>
      </w:pPr>
      <w:r w:rsidRPr="00C958C6">
        <w:rPr>
          <w:rFonts w:ascii="Calibri" w:hAnsi="Calibri" w:cs="Calibri"/>
        </w:rPr>
        <w:t>Spíše negativní neočekávané efekty:</w:t>
      </w:r>
    </w:p>
    <w:p w14:paraId="3E27242B" w14:textId="5CCE60D2" w:rsidR="00976A5A" w:rsidRDefault="00976A5A"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projektové povahy</w:t>
      </w:r>
    </w:p>
    <w:p w14:paraId="7EA36108" w14:textId="14B42EFF" w:rsidR="00976A5A" w:rsidRDefault="00976A5A" w:rsidP="009F7891">
      <w:pPr>
        <w:pStyle w:val="Odstavecseseznamem"/>
        <w:numPr>
          <w:ilvl w:val="1"/>
          <w:numId w:val="6"/>
        </w:numPr>
        <w:spacing w:line="276" w:lineRule="auto"/>
        <w:rPr>
          <w:rFonts w:ascii="Calibri" w:hAnsi="Calibri" w:cs="Calibri"/>
          <w:sz w:val="22"/>
          <w:szCs w:val="22"/>
        </w:rPr>
      </w:pPr>
      <w:r>
        <w:rPr>
          <w:rFonts w:ascii="Calibri" w:hAnsi="Calibri" w:cs="Calibri"/>
          <w:sz w:val="22"/>
          <w:szCs w:val="22"/>
        </w:rPr>
        <w:t>Velká administrativní zátěž a dlouhá doba vyhodnocování žádosti o dotaci (58 % odpovědí)</w:t>
      </w:r>
    </w:p>
    <w:p w14:paraId="26DBE5F4" w14:textId="77777777" w:rsidR="00976A5A" w:rsidRDefault="00976A5A" w:rsidP="009F7891">
      <w:pPr>
        <w:pStyle w:val="Odstavecseseznamem"/>
        <w:numPr>
          <w:ilvl w:val="0"/>
          <w:numId w:val="6"/>
        </w:numPr>
        <w:spacing w:line="276" w:lineRule="auto"/>
        <w:rPr>
          <w:rFonts w:ascii="Calibri" w:hAnsi="Calibri" w:cs="Calibri"/>
          <w:sz w:val="22"/>
          <w:szCs w:val="22"/>
        </w:rPr>
      </w:pPr>
      <w:r>
        <w:rPr>
          <w:rFonts w:ascii="Calibri" w:hAnsi="Calibri" w:cs="Calibri"/>
          <w:sz w:val="22"/>
          <w:szCs w:val="22"/>
        </w:rPr>
        <w:t>Efekty ekonomické povahy</w:t>
      </w:r>
    </w:p>
    <w:p w14:paraId="05455E19" w14:textId="710F0521" w:rsidR="00776068" w:rsidRDefault="00776068" w:rsidP="009F7891">
      <w:pPr>
        <w:pStyle w:val="Odstavecseseznamem"/>
        <w:numPr>
          <w:ilvl w:val="1"/>
          <w:numId w:val="6"/>
        </w:numPr>
        <w:spacing w:line="276" w:lineRule="auto"/>
        <w:rPr>
          <w:rFonts w:ascii="Calibri" w:hAnsi="Calibri" w:cs="Calibri"/>
          <w:sz w:val="22"/>
          <w:szCs w:val="22"/>
        </w:rPr>
      </w:pPr>
      <w:r>
        <w:rPr>
          <w:rFonts w:ascii="Calibri" w:hAnsi="Calibri" w:cs="Calibri"/>
          <w:sz w:val="22"/>
          <w:szCs w:val="22"/>
        </w:rPr>
        <w:t>Příjemce očekával vyšší úsporu díky snížení spotřeby vody a elektrické energie v návaznosti na realizaci projektu. V důsledku zvýšení cen energií je v</w:t>
      </w:r>
      <w:r w:rsidR="00976A5A">
        <w:rPr>
          <w:rFonts w:ascii="Calibri" w:hAnsi="Calibri" w:cs="Calibri"/>
          <w:sz w:val="22"/>
          <w:szCs w:val="22"/>
        </w:rPr>
        <w:t>šak úspora podniku mnohem nižší (4 % odpovědí)</w:t>
      </w:r>
    </w:p>
    <w:p w14:paraId="0AD05F4C" w14:textId="040288A6" w:rsidR="00976A5A" w:rsidRPr="00976A5A" w:rsidRDefault="00776068" w:rsidP="009F7891">
      <w:pPr>
        <w:pStyle w:val="Odstavecseseznamem"/>
        <w:numPr>
          <w:ilvl w:val="1"/>
          <w:numId w:val="6"/>
        </w:numPr>
        <w:spacing w:line="276" w:lineRule="auto"/>
        <w:rPr>
          <w:rFonts w:ascii="Calibri" w:hAnsi="Calibri" w:cs="Calibri"/>
          <w:sz w:val="22"/>
          <w:szCs w:val="22"/>
        </w:rPr>
      </w:pPr>
      <w:r>
        <w:rPr>
          <w:rFonts w:ascii="Calibri" w:hAnsi="Calibri" w:cs="Calibri"/>
          <w:sz w:val="22"/>
          <w:szCs w:val="22"/>
        </w:rPr>
        <w:t>Skutečné náklady projektu byly vyšší než ty plánované</w:t>
      </w:r>
      <w:r w:rsidR="00976A5A">
        <w:rPr>
          <w:rFonts w:ascii="Calibri" w:hAnsi="Calibri" w:cs="Calibri"/>
          <w:sz w:val="22"/>
          <w:szCs w:val="22"/>
        </w:rPr>
        <w:t xml:space="preserve"> (8 % odpovědí)</w:t>
      </w:r>
    </w:p>
    <w:p w14:paraId="00696626" w14:textId="693100F8" w:rsidR="00CE74DA" w:rsidRDefault="00CE74DA" w:rsidP="009F7891">
      <w:pPr>
        <w:spacing w:after="0"/>
        <w:rPr>
          <w:rFonts w:ascii="Calibri" w:hAnsi="Calibri" w:cs="Calibri"/>
        </w:rPr>
      </w:pPr>
    </w:p>
    <w:p w14:paraId="68DC890C" w14:textId="0A244A5C" w:rsidR="00776068" w:rsidRPr="00AF06A0" w:rsidRDefault="00AF06A0" w:rsidP="00AF06A0">
      <w:pPr>
        <w:pStyle w:val="Nadpis3"/>
      </w:pPr>
      <w:bookmarkStart w:id="210" w:name="_Toc10729991"/>
      <w:r w:rsidRPr="00AF06A0">
        <w:t xml:space="preserve">Specifický cíl </w:t>
      </w:r>
      <w:r w:rsidR="00776068" w:rsidRPr="00AF06A0">
        <w:t>3.4</w:t>
      </w:r>
      <w:bookmarkEnd w:id="210"/>
    </w:p>
    <w:p w14:paraId="2E29D03D" w14:textId="77777777" w:rsidR="00AF06A0" w:rsidRPr="00AF06A0" w:rsidRDefault="00AF06A0" w:rsidP="00A36FD1">
      <w:pPr>
        <w:spacing w:after="0"/>
        <w:rPr>
          <w:rFonts w:ascii="Calibri" w:hAnsi="Calibri" w:cs="Calibri"/>
        </w:rPr>
      </w:pPr>
      <w:r w:rsidRPr="00AF06A0">
        <w:rPr>
          <w:rFonts w:ascii="Calibri" w:hAnsi="Calibri" w:cs="Calibri"/>
        </w:rPr>
        <w:t>Z provedených terénních šetření mezi příjemci podpory, zástupci implementační struktury i dalšími zainteresovanými stranami i z vlastních analytických činností hodnotitele vyplývají následující zjištění:</w:t>
      </w:r>
    </w:p>
    <w:p w14:paraId="15267DD1" w14:textId="77777777" w:rsidR="00AF06A0" w:rsidRPr="00AF06A0" w:rsidRDefault="00AF06A0" w:rsidP="00A36FD1">
      <w:pPr>
        <w:spacing w:after="0"/>
        <w:rPr>
          <w:rFonts w:ascii="Calibri" w:hAnsi="Calibri" w:cs="Calibri"/>
        </w:rPr>
      </w:pPr>
    </w:p>
    <w:p w14:paraId="00B5839C" w14:textId="6E0AA52A" w:rsidR="00AF06A0" w:rsidRPr="00AF06A0" w:rsidRDefault="00AF06A0" w:rsidP="00A36FD1">
      <w:pPr>
        <w:widowControl w:val="0"/>
        <w:numPr>
          <w:ilvl w:val="0"/>
          <w:numId w:val="48"/>
        </w:numPr>
        <w:suppressAutoHyphens/>
        <w:spacing w:after="0"/>
        <w:ind w:left="360"/>
        <w:contextualSpacing/>
        <w:rPr>
          <w:rFonts w:ascii="Calibri" w:eastAsia="Lucida Sans Unicode" w:hAnsi="Calibri" w:cs="Calibri"/>
          <w:kern w:val="1"/>
          <w:szCs w:val="24"/>
        </w:rPr>
      </w:pPr>
      <w:r w:rsidRPr="00AF06A0">
        <w:rPr>
          <w:rFonts w:ascii="Calibri" w:eastAsia="Lucida Sans Unicode" w:hAnsi="Calibri" w:cs="Calibri"/>
          <w:kern w:val="1"/>
          <w:szCs w:val="24"/>
        </w:rPr>
        <w:t xml:space="preserve">V dosavadních zkušenostech příjemců podpory v aktivitě „elektromobilita“ jednoznačně převažují pozitivní efekty, a to zejména ve smyslu </w:t>
      </w:r>
      <w:r w:rsidR="00D96EC5">
        <w:rPr>
          <w:rFonts w:ascii="Calibri" w:eastAsia="Lucida Sans Unicode" w:hAnsi="Calibri" w:cs="Calibri"/>
          <w:kern w:val="1"/>
          <w:szCs w:val="24"/>
        </w:rPr>
        <w:t>kladných</w:t>
      </w:r>
      <w:r w:rsidRPr="00AF06A0">
        <w:rPr>
          <w:rFonts w:ascii="Calibri" w:eastAsia="Lucida Sans Unicode" w:hAnsi="Calibri" w:cs="Calibri"/>
          <w:kern w:val="1"/>
          <w:szCs w:val="24"/>
        </w:rPr>
        <w:t xml:space="preserve"> reakc</w:t>
      </w:r>
      <w:r w:rsidR="00D96EC5">
        <w:rPr>
          <w:rFonts w:ascii="Calibri" w:eastAsia="Lucida Sans Unicode" w:hAnsi="Calibri" w:cs="Calibri"/>
          <w:kern w:val="1"/>
          <w:szCs w:val="24"/>
        </w:rPr>
        <w:t>í</w:t>
      </w:r>
      <w:r w:rsidRPr="00AF06A0">
        <w:rPr>
          <w:rFonts w:ascii="Calibri" w:eastAsia="Lucida Sans Unicode" w:hAnsi="Calibri" w:cs="Calibri"/>
          <w:kern w:val="1"/>
          <w:szCs w:val="24"/>
        </w:rPr>
        <w:t xml:space="preserve"> a vnímání ze strany stávajících i potencionálních zákazníků, ale také široké veřejnosti. Dalším pozitivně vnímaným efektem samotných příjemců je přispění ke snižování emisí z dopravy. Dílčí negativní efekty byly zaznamenány např. z pohledu reálného dojezdu elektromobilu nebo nemožnosti zpřístupnit dobíjecí stanici i pro externí uživatele. </w:t>
      </w:r>
    </w:p>
    <w:p w14:paraId="4E86B27D" w14:textId="77777777" w:rsidR="00AF06A0" w:rsidRPr="00AF06A0" w:rsidRDefault="00AF06A0" w:rsidP="00A36FD1">
      <w:pPr>
        <w:widowControl w:val="0"/>
        <w:suppressAutoHyphens/>
        <w:spacing w:after="0"/>
        <w:ind w:left="360"/>
        <w:contextualSpacing/>
        <w:rPr>
          <w:rFonts w:ascii="Calibri" w:eastAsia="Lucida Sans Unicode" w:hAnsi="Calibri" w:cs="Calibri"/>
          <w:kern w:val="1"/>
          <w:szCs w:val="24"/>
        </w:rPr>
      </w:pPr>
    </w:p>
    <w:p w14:paraId="207A55CE" w14:textId="77777777" w:rsidR="00AF06A0" w:rsidRPr="00AF06A0" w:rsidRDefault="00AF06A0" w:rsidP="00A36FD1">
      <w:pPr>
        <w:widowControl w:val="0"/>
        <w:numPr>
          <w:ilvl w:val="0"/>
          <w:numId w:val="48"/>
        </w:numPr>
        <w:suppressAutoHyphens/>
        <w:spacing w:after="0"/>
        <w:ind w:left="360"/>
        <w:contextualSpacing/>
        <w:rPr>
          <w:rFonts w:ascii="Calibri" w:eastAsia="Lucida Sans Unicode" w:hAnsi="Calibri" w:cs="Calibri"/>
          <w:kern w:val="1"/>
          <w:szCs w:val="24"/>
        </w:rPr>
      </w:pPr>
      <w:r w:rsidRPr="00AF06A0">
        <w:rPr>
          <w:rFonts w:ascii="Calibri" w:eastAsia="Lucida Sans Unicode" w:hAnsi="Calibri" w:cs="Calibri"/>
          <w:kern w:val="1"/>
          <w:szCs w:val="24"/>
        </w:rPr>
        <w:t xml:space="preserve">Co se týká projektů v oblasti „akumulace energie“, i zde převažují spíše pozitivní efekty. Obdobně jako v případě elektromobility se jedná především o zájem ze strany okolí o instalované technologie. Negativní efekty vnímají příjemci například z pohledu komplikované realizace projektu. </w:t>
      </w:r>
    </w:p>
    <w:p w14:paraId="103A9076" w14:textId="77777777" w:rsidR="00AF06A0" w:rsidRPr="00AF06A0" w:rsidRDefault="00AF06A0" w:rsidP="00A36FD1">
      <w:pPr>
        <w:spacing w:after="0"/>
        <w:rPr>
          <w:rFonts w:ascii="Calibri" w:hAnsi="Calibri" w:cs="Calibri"/>
        </w:rPr>
      </w:pPr>
    </w:p>
    <w:p w14:paraId="31C4C36E" w14:textId="77777777" w:rsidR="00AF06A0" w:rsidRPr="00AF06A0" w:rsidRDefault="00AF06A0" w:rsidP="00A36FD1">
      <w:pPr>
        <w:widowControl w:val="0"/>
        <w:numPr>
          <w:ilvl w:val="0"/>
          <w:numId w:val="48"/>
        </w:numPr>
        <w:suppressAutoHyphens/>
        <w:spacing w:after="0"/>
        <w:ind w:left="360"/>
        <w:contextualSpacing/>
        <w:rPr>
          <w:rFonts w:ascii="Calibri" w:eastAsia="Lucida Sans Unicode" w:hAnsi="Calibri" w:cs="Calibri"/>
          <w:kern w:val="1"/>
          <w:szCs w:val="24"/>
        </w:rPr>
      </w:pPr>
      <w:r w:rsidRPr="00AF06A0">
        <w:rPr>
          <w:rFonts w:ascii="Calibri" w:eastAsia="Lucida Sans Unicode" w:hAnsi="Calibri" w:cs="Calibri"/>
          <w:kern w:val="1"/>
          <w:szCs w:val="24"/>
        </w:rPr>
        <w:t xml:space="preserve">V případě respondentů z řad příjemců v aktivitě „druhotné suroviny“ byly zaznamenány vesměs pozitivně vnímané efekty. Jedná se například o to, že realizace projektu inspirovala podnik k dalším nápadům, jak pokračovat v technickém zlepšování procesů recyklace odpadů. Další efekty jsou spatřování ve zvýšení efektivnosti procesů zpracování odpadů a také ve zvýšeném zájmu o nově poskytované služby mezi zákazníky, a to i v zahraničí. </w:t>
      </w:r>
    </w:p>
    <w:p w14:paraId="648A0E27" w14:textId="77777777" w:rsidR="00AF06A0" w:rsidRPr="00AF06A0" w:rsidRDefault="00AF06A0" w:rsidP="00A36FD1">
      <w:pPr>
        <w:spacing w:after="0"/>
        <w:rPr>
          <w:rFonts w:ascii="Calibri" w:hAnsi="Calibri" w:cs="Calibri"/>
        </w:rPr>
      </w:pPr>
    </w:p>
    <w:p w14:paraId="1F4DDB0B" w14:textId="77777777" w:rsidR="00AF06A0" w:rsidRPr="00AF06A0" w:rsidRDefault="00AF06A0" w:rsidP="00A36FD1">
      <w:pPr>
        <w:widowControl w:val="0"/>
        <w:numPr>
          <w:ilvl w:val="0"/>
          <w:numId w:val="48"/>
        </w:numPr>
        <w:suppressAutoHyphens/>
        <w:spacing w:after="0"/>
        <w:ind w:left="360"/>
        <w:contextualSpacing/>
        <w:rPr>
          <w:rFonts w:ascii="Calibri" w:eastAsia="Lucida Sans Unicode" w:hAnsi="Calibri" w:cs="Calibri"/>
          <w:kern w:val="1"/>
          <w:szCs w:val="24"/>
        </w:rPr>
      </w:pPr>
      <w:r w:rsidRPr="00AF06A0">
        <w:rPr>
          <w:rFonts w:ascii="Calibri" w:eastAsia="Lucida Sans Unicode" w:hAnsi="Calibri" w:cs="Calibri"/>
          <w:kern w:val="1"/>
          <w:szCs w:val="24"/>
        </w:rPr>
        <w:t>Mezi pozitivní efekty v rámci dosahování SC 3.4 lze obecně zařadit:</w:t>
      </w:r>
    </w:p>
    <w:p w14:paraId="08D8E58E"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Zájem ze strany cílových skupin/žadatelů o PP NUT. Dostatečná absorpční kapacita vedla k navýšení původní indikativní alokace a také výsledkového indikátoru SC 3.4.</w:t>
      </w:r>
    </w:p>
    <w:p w14:paraId="03EB20AD"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 xml:space="preserve">Obsahově zajímavé, inovativní projekty zejména v aktivitě „druhotné suroviny“, ale i akumulace energie, s vysokou přidanou hodnotou a potenciálem využití v širším měřítku. </w:t>
      </w:r>
    </w:p>
    <w:p w14:paraId="6E514724" w14:textId="0EDE2A61" w:rsidR="00AF06A0" w:rsidRDefault="00AF06A0" w:rsidP="00A36FD1">
      <w:pPr>
        <w:spacing w:after="0"/>
        <w:rPr>
          <w:rFonts w:ascii="Calibri" w:hAnsi="Calibri" w:cs="Calibri"/>
        </w:rPr>
      </w:pPr>
    </w:p>
    <w:p w14:paraId="7C0C7F89" w14:textId="77777777" w:rsidR="00FD2AC4" w:rsidRPr="00AF06A0" w:rsidRDefault="00FD2AC4" w:rsidP="00A36FD1">
      <w:pPr>
        <w:spacing w:after="0"/>
        <w:rPr>
          <w:rFonts w:ascii="Calibri" w:hAnsi="Calibri" w:cs="Calibri"/>
        </w:rPr>
      </w:pPr>
    </w:p>
    <w:p w14:paraId="3F23160E" w14:textId="77777777" w:rsidR="00AF06A0" w:rsidRPr="00AF06A0" w:rsidRDefault="00AF06A0" w:rsidP="00A36FD1">
      <w:pPr>
        <w:widowControl w:val="0"/>
        <w:numPr>
          <w:ilvl w:val="0"/>
          <w:numId w:val="48"/>
        </w:numPr>
        <w:suppressAutoHyphens/>
        <w:spacing w:after="0"/>
        <w:ind w:left="360"/>
        <w:contextualSpacing/>
        <w:rPr>
          <w:rFonts w:ascii="Calibri" w:eastAsia="Lucida Sans Unicode" w:hAnsi="Calibri" w:cs="Calibri"/>
          <w:kern w:val="1"/>
          <w:szCs w:val="24"/>
        </w:rPr>
      </w:pPr>
      <w:r w:rsidRPr="00AF06A0">
        <w:rPr>
          <w:rFonts w:ascii="Calibri" w:eastAsia="Lucida Sans Unicode" w:hAnsi="Calibri" w:cs="Calibri"/>
          <w:kern w:val="1"/>
          <w:szCs w:val="24"/>
        </w:rPr>
        <w:lastRenderedPageBreak/>
        <w:t>Negativně vnímané efekty lze spatřovat následující:</w:t>
      </w:r>
    </w:p>
    <w:p w14:paraId="4011F92B"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Oproti původním předpokladům ŘO dominují v typové aktivitě „elektromobilita“ projekty pořízení 1 elektromobilu (příp. v kombinaci s dobíjecí stanicí). Výchozí představa byla spíše taková, že podpora bude směřována na projekty vícečetných flotil vozidel, zejména pro rozvážkové (spediční) společnosti. Velké množství malých projektů zatěžuje administrativní kapacity na straně poskytovatele podpory a prodlužuje lhůty procesů hodnocení a schvalování projektů, změnových řízení a proplácení prostředků.</w:t>
      </w:r>
    </w:p>
    <w:p w14:paraId="0C90B78C"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V souvislosti s výše uvedeným vnímá ŘO zvýšené riziko udržitelnosti projektů.</w:t>
      </w:r>
    </w:p>
    <w:p w14:paraId="26DE2FEE"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Negativním jevem je také nedostatek elektromobilů z kategorie užitkových vozidel na trhu.</w:t>
      </w:r>
    </w:p>
    <w:p w14:paraId="34E18E89" w14:textId="77777777" w:rsidR="00AF06A0" w:rsidRPr="00AF06A0" w:rsidRDefault="00AF06A0" w:rsidP="00A36FD1">
      <w:pPr>
        <w:widowControl w:val="0"/>
        <w:numPr>
          <w:ilvl w:val="0"/>
          <w:numId w:val="49"/>
        </w:numPr>
        <w:suppressAutoHyphens/>
        <w:spacing w:after="0"/>
        <w:contextualSpacing/>
        <w:rPr>
          <w:rFonts w:ascii="Calibri" w:eastAsia="Lucida Sans Unicode" w:hAnsi="Calibri" w:cs="Calibri"/>
          <w:kern w:val="1"/>
          <w:szCs w:val="24"/>
        </w:rPr>
      </w:pPr>
      <w:r w:rsidRPr="00AF06A0">
        <w:rPr>
          <w:rFonts w:ascii="Calibri" w:eastAsia="Lucida Sans Unicode" w:hAnsi="Calibri" w:cs="Calibri"/>
          <w:kern w:val="1"/>
          <w:szCs w:val="24"/>
        </w:rPr>
        <w:t xml:space="preserve">Negativní vliv na dosahování SC 3.4 mají také pravidla veřejné podpory, která neumožňují využít blokové výjimky na některé typy původně zamýšlených podporovaných aktivit (např. v oblasti inteligentních budov, velkokapacitních bateriových systémů akumulace energie aj.). Notifikační řízení jsou značně administrativně a časově náročná. </w:t>
      </w:r>
    </w:p>
    <w:p w14:paraId="3FC57E4B" w14:textId="77777777" w:rsidR="00AF06A0" w:rsidRPr="00776068" w:rsidRDefault="00AF06A0" w:rsidP="00A36FD1">
      <w:pPr>
        <w:spacing w:after="0"/>
        <w:rPr>
          <w:rFonts w:ascii="Calibri" w:hAnsi="Calibri" w:cs="Calibri"/>
          <w:b/>
        </w:rPr>
      </w:pPr>
    </w:p>
    <w:p w14:paraId="2E468DFD" w14:textId="47543259" w:rsidR="00664EBC" w:rsidRDefault="00664EBC" w:rsidP="00664EBC">
      <w:pPr>
        <w:pStyle w:val="Nadpis1"/>
      </w:pPr>
      <w:bookmarkStart w:id="211" w:name="_Toc4596870"/>
      <w:bookmarkStart w:id="212" w:name="_Toc10729992"/>
      <w:r>
        <w:lastRenderedPageBreak/>
        <w:t>Evaluační otázka 14 (OZE, ÚE, NUT)</w:t>
      </w:r>
      <w:bookmarkEnd w:id="211"/>
      <w:bookmarkEnd w:id="212"/>
    </w:p>
    <w:p w14:paraId="63C1E6CB" w14:textId="3439D0DB" w:rsidR="00664EBC" w:rsidRPr="00FE4816" w:rsidRDefault="00664EBC" w:rsidP="00664EBC">
      <w:pPr>
        <w:spacing w:after="0"/>
        <w:rPr>
          <w:rFonts w:ascii="Calibri" w:hAnsi="Calibri" w:cs="Calibri"/>
          <w:b/>
        </w:rPr>
      </w:pPr>
      <w:r w:rsidRPr="00664EBC">
        <w:rPr>
          <w:rFonts w:ascii="Calibri" w:hAnsi="Calibri" w:cs="Calibri"/>
          <w:b/>
        </w:rPr>
        <w:t>Lze předpokládat, že intervence realizované v rámci SC 3.1, 3.2 a 3.4 povedou k trvalému zlepšení identifikovaných problémů? Je v tomto smyslu potřeba dané aktivity podporovat i nadále, nebo se další podpora z hlediska principu 3E nejeví jako smysluplná?</w:t>
      </w:r>
    </w:p>
    <w:p w14:paraId="20BFE951" w14:textId="77777777" w:rsidR="00664EBC" w:rsidRDefault="00664EBC" w:rsidP="00664EBC">
      <w:pPr>
        <w:spacing w:after="0"/>
        <w:rPr>
          <w:rFonts w:ascii="Calibri" w:hAnsi="Calibri" w:cs="Calibri"/>
        </w:rPr>
      </w:pPr>
    </w:p>
    <w:p w14:paraId="7D668DA8" w14:textId="77777777" w:rsidR="00664EBC" w:rsidRPr="001C210E" w:rsidRDefault="00664EBC" w:rsidP="00664EBC">
      <w:pPr>
        <w:pStyle w:val="Nadpis2"/>
      </w:pPr>
      <w:bookmarkStart w:id="213" w:name="_Toc4596871"/>
      <w:bookmarkStart w:id="214" w:name="_Toc10729993"/>
      <w:r w:rsidRPr="001C210E">
        <w:t>Úkol</w:t>
      </w:r>
      <w:bookmarkEnd w:id="213"/>
      <w:bookmarkEnd w:id="214"/>
    </w:p>
    <w:p w14:paraId="5CA6DB06" w14:textId="77777777" w:rsidR="006C26D2" w:rsidRPr="001C50E7" w:rsidRDefault="006C26D2" w:rsidP="006C26D2">
      <w:pPr>
        <w:spacing w:after="0"/>
        <w:rPr>
          <w:rFonts w:ascii="Calibri" w:hAnsi="Calibri" w:cs="Calibri"/>
        </w:rPr>
      </w:pPr>
      <w:r w:rsidRPr="001C50E7">
        <w:rPr>
          <w:rFonts w:ascii="Calibri" w:hAnsi="Calibri" w:cs="Calibri"/>
        </w:rPr>
        <w:t xml:space="preserve">Na základě kvalitativní analýzy ověřit, zda podporované intervence mohou přispět k trvalému zlepšení identifikovaných problémů a zda je jejich další podpora opodstatněná (z hlediska principů 3E). </w:t>
      </w:r>
    </w:p>
    <w:p w14:paraId="62555FF0" w14:textId="77777777" w:rsidR="00664EBC" w:rsidRPr="001C210E" w:rsidRDefault="00664EBC" w:rsidP="00664EBC">
      <w:pPr>
        <w:spacing w:after="0"/>
        <w:rPr>
          <w:rFonts w:ascii="Calibri" w:hAnsi="Calibri" w:cs="Calibri"/>
        </w:rPr>
      </w:pPr>
    </w:p>
    <w:p w14:paraId="004E6869" w14:textId="77777777" w:rsidR="00664EBC" w:rsidRPr="001C210E" w:rsidRDefault="00664EBC" w:rsidP="00664EBC">
      <w:pPr>
        <w:pStyle w:val="Nadpis2"/>
      </w:pPr>
      <w:bookmarkStart w:id="215" w:name="_Toc4596872"/>
      <w:bookmarkStart w:id="216" w:name="_Toc10729994"/>
      <w:r w:rsidRPr="001C210E">
        <w:t>Východiska</w:t>
      </w:r>
      <w:bookmarkEnd w:id="215"/>
      <w:bookmarkEnd w:id="216"/>
    </w:p>
    <w:p w14:paraId="48EA7421" w14:textId="4FE09146" w:rsidR="00C91048" w:rsidRDefault="00C91048" w:rsidP="00BF5A98">
      <w:pPr>
        <w:spacing w:after="0"/>
      </w:pPr>
      <w:r w:rsidRPr="00497258">
        <w:t xml:space="preserve">Situační analýza, ze které vycházelo nastavení SC 3.1 OP PIK, identifikovala </w:t>
      </w:r>
      <w:r w:rsidR="00880810">
        <w:t xml:space="preserve">jako stěžejní problém </w:t>
      </w:r>
      <w:r w:rsidR="00497258" w:rsidRPr="00497258">
        <w:t>nízk</w:t>
      </w:r>
      <w:r w:rsidR="00880810">
        <w:t>ou</w:t>
      </w:r>
      <w:r w:rsidR="00497258" w:rsidRPr="00497258">
        <w:t xml:space="preserve"> intenzit</w:t>
      </w:r>
      <w:r w:rsidR="00880810">
        <w:t xml:space="preserve">u </w:t>
      </w:r>
      <w:r w:rsidR="00497258" w:rsidRPr="00497258">
        <w:t xml:space="preserve">využívání </w:t>
      </w:r>
      <w:r w:rsidR="00497258">
        <w:t xml:space="preserve">obnovitelných zdrojů energie </w:t>
      </w:r>
      <w:r w:rsidR="00880810">
        <w:t>a nedařící se dlouhodobé navyšování podílu OZE na hrubé konečné spotřebě.</w:t>
      </w:r>
    </w:p>
    <w:p w14:paraId="75321653" w14:textId="77777777" w:rsidR="00BF5A98" w:rsidRDefault="00BF5A98" w:rsidP="00BF5A98">
      <w:pPr>
        <w:spacing w:after="0"/>
      </w:pPr>
    </w:p>
    <w:p w14:paraId="4F24889C" w14:textId="03C79687" w:rsidR="00880810" w:rsidRDefault="00880810" w:rsidP="00BF5A98">
      <w:pPr>
        <w:spacing w:after="0"/>
        <w:rPr>
          <w:rFonts w:ascii="Calibri" w:hAnsi="Calibri" w:cs="Calibri"/>
        </w:rPr>
      </w:pPr>
      <w:r>
        <w:rPr>
          <w:rFonts w:ascii="Calibri" w:hAnsi="Calibri" w:cs="Calibri"/>
        </w:rPr>
        <w:t>Dále situační analýza identifikovala také překážky, v jejichž důsledku se nedaří řešit výše nastíněný problém. Těmito překážkami jsou:</w:t>
      </w:r>
    </w:p>
    <w:p w14:paraId="53C33B52" w14:textId="3CBE218A" w:rsidR="00880810" w:rsidRPr="00880810" w:rsidRDefault="00880810" w:rsidP="00BF5A98">
      <w:pPr>
        <w:pStyle w:val="Odstavecseseznamem"/>
        <w:numPr>
          <w:ilvl w:val="0"/>
          <w:numId w:val="14"/>
        </w:numPr>
        <w:spacing w:line="276" w:lineRule="auto"/>
        <w:ind w:left="714" w:hanging="357"/>
        <w:rPr>
          <w:rFonts w:ascii="Calibri" w:hAnsi="Calibri" w:cs="Calibri"/>
          <w:sz w:val="22"/>
        </w:rPr>
      </w:pPr>
      <w:r w:rsidRPr="00880810">
        <w:rPr>
          <w:rFonts w:ascii="Calibri" w:hAnsi="Calibri" w:cs="Calibri"/>
          <w:sz w:val="22"/>
        </w:rPr>
        <w:t>nízká konkurenceschopnost OZE vycházející z vysokých pořizovacích nákladů</w:t>
      </w:r>
    </w:p>
    <w:p w14:paraId="1FDE0CD2" w14:textId="21BF9884" w:rsidR="00880810" w:rsidRPr="00880810" w:rsidRDefault="00880810" w:rsidP="00BF5A98">
      <w:pPr>
        <w:pStyle w:val="Odstavecseseznamem"/>
        <w:numPr>
          <w:ilvl w:val="0"/>
          <w:numId w:val="14"/>
        </w:numPr>
        <w:spacing w:line="276" w:lineRule="auto"/>
        <w:ind w:left="714" w:hanging="357"/>
        <w:rPr>
          <w:rFonts w:ascii="Calibri" w:hAnsi="Calibri" w:cs="Calibri"/>
          <w:sz w:val="22"/>
        </w:rPr>
      </w:pPr>
      <w:r w:rsidRPr="00880810">
        <w:rPr>
          <w:rFonts w:ascii="Calibri" w:hAnsi="Calibri" w:cs="Calibri"/>
          <w:sz w:val="22"/>
        </w:rPr>
        <w:t>tradičně skeptický pohled podnikatelské i nepodnikatelské sféry na OZE a jejich využití</w:t>
      </w:r>
    </w:p>
    <w:p w14:paraId="42698195" w14:textId="7BCB3F5D" w:rsidR="00880810" w:rsidRPr="00880810" w:rsidRDefault="00880810" w:rsidP="00BF5A98">
      <w:pPr>
        <w:pStyle w:val="Odstavecseseznamem"/>
        <w:numPr>
          <w:ilvl w:val="0"/>
          <w:numId w:val="14"/>
        </w:numPr>
        <w:spacing w:line="276" w:lineRule="auto"/>
        <w:ind w:left="714" w:hanging="357"/>
        <w:rPr>
          <w:rFonts w:ascii="Calibri" w:hAnsi="Calibri" w:cs="Calibri"/>
          <w:sz w:val="22"/>
        </w:rPr>
      </w:pPr>
      <w:r>
        <w:rPr>
          <w:rFonts w:ascii="Calibri" w:hAnsi="Calibri" w:cs="Calibri"/>
          <w:sz w:val="22"/>
        </w:rPr>
        <w:t>r</w:t>
      </w:r>
      <w:r w:rsidRPr="00880810">
        <w:rPr>
          <w:rFonts w:ascii="Calibri" w:hAnsi="Calibri" w:cs="Calibri"/>
          <w:sz w:val="22"/>
        </w:rPr>
        <w:t xml:space="preserve">egulatorní omezení </w:t>
      </w:r>
      <w:r>
        <w:rPr>
          <w:rFonts w:ascii="Calibri" w:hAnsi="Calibri" w:cs="Calibri"/>
          <w:sz w:val="22"/>
        </w:rPr>
        <w:t xml:space="preserve">konkrétně </w:t>
      </w:r>
      <w:r w:rsidRPr="00880810">
        <w:rPr>
          <w:rFonts w:ascii="Calibri" w:hAnsi="Calibri" w:cs="Calibri"/>
          <w:sz w:val="22"/>
        </w:rPr>
        <w:t>zákaz kombinac</w:t>
      </w:r>
      <w:r>
        <w:rPr>
          <w:rFonts w:ascii="Calibri" w:hAnsi="Calibri" w:cs="Calibri"/>
          <w:sz w:val="22"/>
        </w:rPr>
        <w:t>e investiční a provozní podpory</w:t>
      </w:r>
    </w:p>
    <w:p w14:paraId="649D08B8" w14:textId="4EBC65F1" w:rsidR="00880810" w:rsidRPr="00880810" w:rsidRDefault="00880810" w:rsidP="00BF5A98">
      <w:pPr>
        <w:pStyle w:val="Odstavecseseznamem"/>
        <w:numPr>
          <w:ilvl w:val="0"/>
          <w:numId w:val="14"/>
        </w:numPr>
        <w:spacing w:line="276" w:lineRule="auto"/>
        <w:ind w:left="714" w:hanging="357"/>
        <w:rPr>
          <w:rFonts w:ascii="Calibri" w:hAnsi="Calibri" w:cs="Calibri"/>
          <w:sz w:val="22"/>
        </w:rPr>
      </w:pPr>
      <w:r>
        <w:rPr>
          <w:rFonts w:ascii="Calibri" w:hAnsi="Calibri" w:cs="Calibri"/>
          <w:sz w:val="22"/>
        </w:rPr>
        <w:t>l</w:t>
      </w:r>
      <w:r w:rsidRPr="00880810">
        <w:rPr>
          <w:rFonts w:ascii="Calibri" w:hAnsi="Calibri" w:cs="Calibri"/>
          <w:sz w:val="22"/>
        </w:rPr>
        <w:t>egisla</w:t>
      </w:r>
      <w:r>
        <w:rPr>
          <w:rFonts w:ascii="Calibri" w:hAnsi="Calibri" w:cs="Calibri"/>
          <w:sz w:val="22"/>
        </w:rPr>
        <w:t>tivně nestabilní prostředí v ČR</w:t>
      </w:r>
    </w:p>
    <w:p w14:paraId="03BA6BA0" w14:textId="44CE70EB" w:rsidR="00880810" w:rsidRPr="00880810" w:rsidRDefault="00880810" w:rsidP="00BF5A98">
      <w:pPr>
        <w:pStyle w:val="Odstavecseseznamem"/>
        <w:numPr>
          <w:ilvl w:val="0"/>
          <w:numId w:val="14"/>
        </w:numPr>
        <w:spacing w:line="276" w:lineRule="auto"/>
        <w:ind w:left="714" w:hanging="357"/>
        <w:rPr>
          <w:rFonts w:ascii="Calibri" w:hAnsi="Calibri" w:cs="Calibri"/>
          <w:sz w:val="22"/>
        </w:rPr>
      </w:pPr>
      <w:r>
        <w:rPr>
          <w:rFonts w:ascii="Calibri" w:hAnsi="Calibri" w:cs="Calibri"/>
          <w:sz w:val="22"/>
        </w:rPr>
        <w:t>o</w:t>
      </w:r>
      <w:r w:rsidRPr="00880810">
        <w:rPr>
          <w:rFonts w:ascii="Calibri" w:hAnsi="Calibri" w:cs="Calibri"/>
          <w:sz w:val="22"/>
        </w:rPr>
        <w:t>mezený potenciál OZE v ČR</w:t>
      </w:r>
    </w:p>
    <w:p w14:paraId="3ECEB1C6" w14:textId="77777777" w:rsidR="00880810" w:rsidRDefault="00880810" w:rsidP="00BF5A98">
      <w:pPr>
        <w:spacing w:after="0"/>
        <w:rPr>
          <w:rFonts w:ascii="Calibri" w:hAnsi="Calibri" w:cs="Calibri"/>
        </w:rPr>
      </w:pPr>
    </w:p>
    <w:p w14:paraId="3A93F20D" w14:textId="6C8EC655" w:rsidR="00C91048" w:rsidRPr="001C50E7" w:rsidRDefault="00880810" w:rsidP="00BF5A98">
      <w:pPr>
        <w:spacing w:after="0"/>
      </w:pPr>
      <w:r>
        <w:t>Zdroje OP PIK by měly</w:t>
      </w:r>
      <w:r w:rsidR="00A33DAB">
        <w:t>/mají</w:t>
      </w:r>
      <w:r>
        <w:t xml:space="preserve"> být využity k</w:t>
      </w:r>
      <w:r w:rsidR="00A33DAB">
        <w:t xml:space="preserve"> eliminaci či minimalizaci </w:t>
      </w:r>
      <w:r w:rsidR="008F01DF">
        <w:t xml:space="preserve">nezájmu o instalaci zařízení </w:t>
      </w:r>
      <w:r w:rsidR="00A33DAB">
        <w:t xml:space="preserve">OZE v důsledku vysoké nákladovosti prvotní investice. </w:t>
      </w:r>
    </w:p>
    <w:p w14:paraId="6669F1D2" w14:textId="2309FE73" w:rsidR="00C91048" w:rsidRDefault="00C91048" w:rsidP="00BF5A98">
      <w:pPr>
        <w:spacing w:after="0"/>
        <w:rPr>
          <w:rFonts w:ascii="Calibri" w:hAnsi="Calibri" w:cs="Calibri"/>
        </w:rPr>
      </w:pPr>
      <w:r w:rsidRPr="00C861B0">
        <w:rPr>
          <w:rFonts w:ascii="Calibri" w:hAnsi="Calibri" w:cs="Calibri"/>
        </w:rPr>
        <w:t xml:space="preserve">K odstranění uvedených příčin </w:t>
      </w:r>
      <w:r w:rsidR="00811453">
        <w:rPr>
          <w:rFonts w:ascii="Calibri" w:hAnsi="Calibri" w:cs="Calibri"/>
        </w:rPr>
        <w:t>nízkého podíl</w:t>
      </w:r>
      <w:r w:rsidR="008F01DF">
        <w:rPr>
          <w:rFonts w:ascii="Calibri" w:hAnsi="Calibri" w:cs="Calibri"/>
        </w:rPr>
        <w:t>u</w:t>
      </w:r>
      <w:r w:rsidR="00811453">
        <w:rPr>
          <w:rFonts w:ascii="Calibri" w:hAnsi="Calibri" w:cs="Calibri"/>
        </w:rPr>
        <w:t xml:space="preserve"> OZE na hrubé konečné spotřebě</w:t>
      </w:r>
      <w:r w:rsidRPr="00C861B0">
        <w:rPr>
          <w:rFonts w:ascii="Calibri" w:hAnsi="Calibri" w:cs="Calibri"/>
        </w:rPr>
        <w:t xml:space="preserve"> v Č</w:t>
      </w:r>
      <w:r w:rsidR="00A33DAB">
        <w:rPr>
          <w:rFonts w:ascii="Calibri" w:hAnsi="Calibri" w:cs="Calibri"/>
        </w:rPr>
        <w:t>esku</w:t>
      </w:r>
      <w:r w:rsidRPr="00C861B0">
        <w:rPr>
          <w:rFonts w:ascii="Calibri" w:hAnsi="Calibri" w:cs="Calibri"/>
        </w:rPr>
        <w:t xml:space="preserve"> byl</w:t>
      </w:r>
      <w:r w:rsidR="00A33DAB">
        <w:rPr>
          <w:rFonts w:ascii="Calibri" w:hAnsi="Calibri" w:cs="Calibri"/>
        </w:rPr>
        <w:t>y</w:t>
      </w:r>
      <w:r w:rsidRPr="00C861B0">
        <w:rPr>
          <w:rFonts w:ascii="Calibri" w:hAnsi="Calibri" w:cs="Calibri"/>
        </w:rPr>
        <w:t xml:space="preserve"> navrženy následující aktivity:</w:t>
      </w:r>
    </w:p>
    <w:p w14:paraId="59E36115" w14:textId="62A26864" w:rsidR="00A33DAB" w:rsidRPr="00A33DAB" w:rsidRDefault="00A33DAB" w:rsidP="00BF5A98">
      <w:pPr>
        <w:pStyle w:val="Odstavecseseznamem"/>
        <w:numPr>
          <w:ilvl w:val="0"/>
          <w:numId w:val="15"/>
        </w:numPr>
        <w:spacing w:line="276" w:lineRule="auto"/>
        <w:ind w:left="714" w:hanging="357"/>
        <w:rPr>
          <w:rFonts w:ascii="Calibri" w:hAnsi="Calibri" w:cs="Calibri"/>
          <w:sz w:val="22"/>
        </w:rPr>
      </w:pPr>
      <w:r w:rsidRPr="00A33DAB">
        <w:rPr>
          <w:rFonts w:ascii="Calibri" w:hAnsi="Calibri" w:cs="Calibri"/>
          <w:sz w:val="22"/>
        </w:rPr>
        <w:t>podpora výstavby, rekonstrukce a modernizace malých vodních elektráren,</w:t>
      </w:r>
    </w:p>
    <w:p w14:paraId="03103BA6" w14:textId="77777777" w:rsidR="00A33DAB" w:rsidRPr="00A33DAB" w:rsidRDefault="00A33DAB" w:rsidP="00BF5A98">
      <w:pPr>
        <w:pStyle w:val="Odstavecseseznamem"/>
        <w:numPr>
          <w:ilvl w:val="0"/>
          <w:numId w:val="15"/>
        </w:numPr>
        <w:spacing w:line="276" w:lineRule="auto"/>
        <w:ind w:left="714" w:hanging="357"/>
        <w:rPr>
          <w:rFonts w:ascii="Calibri" w:hAnsi="Calibri" w:cs="Calibri"/>
          <w:sz w:val="22"/>
        </w:rPr>
      </w:pPr>
      <w:r w:rsidRPr="00A33DAB">
        <w:rPr>
          <w:rFonts w:ascii="Calibri" w:hAnsi="Calibri" w:cs="Calibri"/>
          <w:sz w:val="22"/>
        </w:rPr>
        <w:t>vyvedení tepla ze stávajících bioplynových stanic pomocí tepelných rozvodných zařízení do místa spotřeby, instalace vzdálené kogenerační jednotky využívající bioplyn ze stávající bioplynové stanice za účelem využití užitečného tepla v soustavě zásobování teplem či jiným vysoce efektivním způsobem,</w:t>
      </w:r>
    </w:p>
    <w:p w14:paraId="267AA585" w14:textId="165179F2" w:rsidR="00A33DAB" w:rsidRPr="00A33DAB" w:rsidRDefault="00A33DAB" w:rsidP="00BF5A98">
      <w:pPr>
        <w:pStyle w:val="Odstavecseseznamem"/>
        <w:numPr>
          <w:ilvl w:val="0"/>
          <w:numId w:val="15"/>
        </w:numPr>
        <w:spacing w:line="276" w:lineRule="auto"/>
        <w:ind w:left="714" w:hanging="357"/>
        <w:rPr>
          <w:rFonts w:ascii="Calibri" w:hAnsi="Calibri" w:cs="Calibri"/>
          <w:sz w:val="22"/>
        </w:rPr>
      </w:pPr>
      <w:r w:rsidRPr="00A33DAB">
        <w:rPr>
          <w:rFonts w:ascii="Calibri" w:hAnsi="Calibri" w:cs="Calibri"/>
          <w:sz w:val="22"/>
        </w:rPr>
        <w:t>výstavba a rekonstrukce zdrojů tepla a kombinované výroby elektřiny a tepla z biomasy a vyvedení tepla</w:t>
      </w:r>
    </w:p>
    <w:p w14:paraId="5BFAAB8C" w14:textId="77777777" w:rsidR="00C91048" w:rsidRPr="00A33DAB" w:rsidRDefault="00C91048" w:rsidP="00BF5A98">
      <w:pPr>
        <w:spacing w:after="0"/>
        <w:rPr>
          <w:rFonts w:ascii="Calibri" w:hAnsi="Calibri" w:cs="Calibri"/>
        </w:rPr>
      </w:pPr>
    </w:p>
    <w:p w14:paraId="4EBFFB9A" w14:textId="5039DADC" w:rsidR="00A33DAB" w:rsidRDefault="00A33DAB" w:rsidP="00BF5A98">
      <w:pPr>
        <w:spacing w:after="0"/>
        <w:rPr>
          <w:rFonts w:ascii="Calibri" w:hAnsi="Calibri" w:cs="Calibri"/>
        </w:rPr>
      </w:pPr>
      <w:r w:rsidRPr="00A33DAB">
        <w:rPr>
          <w:rFonts w:ascii="Calibri" w:hAnsi="Calibri" w:cs="Calibri"/>
        </w:rPr>
        <w:t>Pro SC 3.2</w:t>
      </w:r>
      <w:r>
        <w:rPr>
          <w:rFonts w:ascii="Calibri" w:hAnsi="Calibri" w:cs="Calibri"/>
        </w:rPr>
        <w:t xml:space="preserve"> identifikovala situační analýza jako hlavní problém vysokou energetickou náročnost (nadprůměrnou</w:t>
      </w:r>
      <w:r w:rsidRPr="00A33DAB">
        <w:rPr>
          <w:rFonts w:ascii="Calibri" w:hAnsi="Calibri" w:cs="Calibri"/>
        </w:rPr>
        <w:t xml:space="preserve"> </w:t>
      </w:r>
      <w:r>
        <w:rPr>
          <w:rFonts w:ascii="Calibri" w:hAnsi="Calibri" w:cs="Calibri"/>
        </w:rPr>
        <w:t>v rámci EU-27) a poměrně velký potenciál realizovatelných energetických úspor.</w:t>
      </w:r>
    </w:p>
    <w:p w14:paraId="51B60DBD" w14:textId="72E3ED9A" w:rsidR="00A33DAB" w:rsidRDefault="00A33DAB" w:rsidP="00BF5A98">
      <w:pPr>
        <w:spacing w:after="0"/>
        <w:rPr>
          <w:rFonts w:ascii="Calibri" w:hAnsi="Calibri" w:cs="Calibri"/>
        </w:rPr>
      </w:pPr>
      <w:r>
        <w:rPr>
          <w:rFonts w:ascii="Calibri" w:hAnsi="Calibri" w:cs="Calibri"/>
        </w:rPr>
        <w:t>Jako příčiny tohoto stavu byly určeny:</w:t>
      </w:r>
    </w:p>
    <w:p w14:paraId="0A9848AC" w14:textId="20D753C2" w:rsidR="00A33DAB" w:rsidRDefault="00A33DAB" w:rsidP="002A55B2">
      <w:pPr>
        <w:pStyle w:val="Odstavecseseznamem"/>
        <w:numPr>
          <w:ilvl w:val="0"/>
          <w:numId w:val="16"/>
        </w:numPr>
        <w:spacing w:line="276" w:lineRule="auto"/>
        <w:ind w:left="714" w:hanging="357"/>
        <w:rPr>
          <w:rFonts w:ascii="Calibri" w:hAnsi="Calibri" w:cs="Calibri"/>
          <w:sz w:val="22"/>
        </w:rPr>
      </w:pPr>
      <w:r>
        <w:rPr>
          <w:rFonts w:ascii="Calibri" w:hAnsi="Calibri" w:cs="Calibri"/>
          <w:sz w:val="22"/>
        </w:rPr>
        <w:t>vysoké vstupní náklady na realizaci projektů na energetické úspory</w:t>
      </w:r>
    </w:p>
    <w:p w14:paraId="279B4B1F" w14:textId="77777777" w:rsidR="00811453" w:rsidRPr="00811453" w:rsidRDefault="00A33DAB" w:rsidP="002A55B2">
      <w:pPr>
        <w:pStyle w:val="Odstavecseseznamem"/>
        <w:numPr>
          <w:ilvl w:val="0"/>
          <w:numId w:val="16"/>
        </w:numPr>
        <w:spacing w:line="276" w:lineRule="auto"/>
        <w:ind w:left="714" w:hanging="357"/>
        <w:rPr>
          <w:rFonts w:ascii="Calibri" w:hAnsi="Calibri" w:cs="Calibri"/>
        </w:rPr>
      </w:pPr>
      <w:r w:rsidRPr="00811453">
        <w:rPr>
          <w:rFonts w:ascii="Calibri" w:hAnsi="Calibri" w:cs="Calibri"/>
          <w:sz w:val="22"/>
        </w:rPr>
        <w:t>vysoké provozní náklady výroby brání investicí</w:t>
      </w:r>
      <w:r w:rsidR="00811453" w:rsidRPr="00811453">
        <w:rPr>
          <w:rFonts w:ascii="Calibri" w:hAnsi="Calibri" w:cs="Calibri"/>
          <w:sz w:val="22"/>
        </w:rPr>
        <w:t>m do opatření snižujících energetickou náročnost</w:t>
      </w:r>
    </w:p>
    <w:p w14:paraId="7BC64FDD" w14:textId="0FEE8D73" w:rsidR="00A33DAB" w:rsidRDefault="00811453" w:rsidP="002A55B2">
      <w:pPr>
        <w:pStyle w:val="Odstavecseseznamem"/>
        <w:numPr>
          <w:ilvl w:val="0"/>
          <w:numId w:val="16"/>
        </w:numPr>
        <w:spacing w:line="276" w:lineRule="auto"/>
        <w:ind w:left="714" w:hanging="357"/>
        <w:rPr>
          <w:rFonts w:asciiTheme="minorHAnsi" w:hAnsiTheme="minorHAnsi" w:cstheme="minorHAnsi"/>
          <w:sz w:val="22"/>
        </w:rPr>
      </w:pPr>
      <w:r>
        <w:rPr>
          <w:rFonts w:asciiTheme="minorHAnsi" w:hAnsiTheme="minorHAnsi" w:cstheme="minorHAnsi"/>
          <w:sz w:val="22"/>
        </w:rPr>
        <w:t xml:space="preserve">nízké uplatnění </w:t>
      </w:r>
      <w:r w:rsidR="00A33DAB" w:rsidRPr="00811453">
        <w:rPr>
          <w:rFonts w:asciiTheme="minorHAnsi" w:hAnsiTheme="minorHAnsi" w:cstheme="minorHAnsi"/>
          <w:sz w:val="22"/>
        </w:rPr>
        <w:t>energetických služeb jako způsobu financování investičních opatření na sni</w:t>
      </w:r>
      <w:r>
        <w:rPr>
          <w:rFonts w:asciiTheme="minorHAnsi" w:hAnsiTheme="minorHAnsi" w:cstheme="minorHAnsi"/>
          <w:sz w:val="22"/>
        </w:rPr>
        <w:t xml:space="preserve">žování energetické náročnosti, které je způsobeno omezenými finančními možnostmi poskytovatelů </w:t>
      </w:r>
      <w:r>
        <w:rPr>
          <w:rFonts w:asciiTheme="minorHAnsi" w:hAnsiTheme="minorHAnsi" w:cstheme="minorHAnsi"/>
          <w:sz w:val="22"/>
        </w:rPr>
        <w:lastRenderedPageBreak/>
        <w:t>energetických služeb.</w:t>
      </w:r>
      <w:r w:rsidR="00A33DAB" w:rsidRPr="00811453">
        <w:rPr>
          <w:rFonts w:asciiTheme="minorHAnsi" w:hAnsiTheme="minorHAnsi" w:cstheme="minorHAnsi"/>
          <w:sz w:val="22"/>
        </w:rPr>
        <w:t xml:space="preserve"> </w:t>
      </w:r>
    </w:p>
    <w:p w14:paraId="4DB52AA6" w14:textId="77777777" w:rsidR="00811453" w:rsidRPr="00811453" w:rsidRDefault="00811453" w:rsidP="002A55B2">
      <w:pPr>
        <w:spacing w:after="0"/>
        <w:rPr>
          <w:rFonts w:ascii="Calibri" w:hAnsi="Calibri" w:cs="Calibri"/>
        </w:rPr>
      </w:pPr>
    </w:p>
    <w:p w14:paraId="0B95CB8A" w14:textId="5415D9EF" w:rsidR="00811453" w:rsidRDefault="00811453" w:rsidP="002A55B2">
      <w:pPr>
        <w:spacing w:after="0"/>
        <w:rPr>
          <w:rFonts w:cstheme="minorHAnsi"/>
        </w:rPr>
      </w:pPr>
      <w:r>
        <w:rPr>
          <w:rFonts w:cstheme="minorHAnsi"/>
        </w:rPr>
        <w:t xml:space="preserve">Podpora z PP Úspory energie by měla pomoct řešit vysoké náklady na realizaci projektů úspor ve všech oblastech a omezené využívání </w:t>
      </w:r>
      <w:r w:rsidRPr="00811453">
        <w:rPr>
          <w:rFonts w:cstheme="minorHAnsi"/>
        </w:rPr>
        <w:t>energetických služeb, které mohou nedostatek finančních prostředků ze strany vlastníka subjektu přenést na poskytovatele energetických služeb</w:t>
      </w:r>
      <w:r>
        <w:rPr>
          <w:rFonts w:cstheme="minorHAnsi"/>
        </w:rPr>
        <w:t>.</w:t>
      </w:r>
    </w:p>
    <w:p w14:paraId="26B742F5" w14:textId="72A0A984" w:rsidR="004F0335" w:rsidRDefault="004F0335" w:rsidP="002A55B2">
      <w:pPr>
        <w:spacing w:after="0"/>
        <w:rPr>
          <w:rFonts w:cstheme="minorHAnsi"/>
        </w:rPr>
      </w:pPr>
      <w:r>
        <w:rPr>
          <w:rFonts w:cstheme="minorHAnsi"/>
        </w:rPr>
        <w:t>Jako aktivity, které by měly přispět ke zlepšení situace, byly identifikovány:</w:t>
      </w:r>
    </w:p>
    <w:p w14:paraId="6CD14C5C" w14:textId="48157181"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Pr>
          <w:rFonts w:asciiTheme="minorHAnsi" w:hAnsiTheme="minorHAnsi" w:cstheme="minorHAnsi"/>
          <w:sz w:val="22"/>
        </w:rPr>
        <w:t>m</w:t>
      </w:r>
      <w:r w:rsidRPr="004F0335">
        <w:rPr>
          <w:rFonts w:asciiTheme="minorHAnsi" w:hAnsiTheme="minorHAnsi" w:cstheme="minorHAnsi"/>
          <w:sz w:val="22"/>
        </w:rPr>
        <w:t>odernizace a rekonstrukce rozvodů elektřiny, plynu a tepla v budovách a v energetických hospodářstvích výrobních závodů za účelem zvýšení účinnosti</w:t>
      </w:r>
    </w:p>
    <w:p w14:paraId="346B67A6"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zavádění a modernizace systémů měření a regulace,</w:t>
      </w:r>
    </w:p>
    <w:p w14:paraId="1774194F"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modernizace, rekonstrukce a snižování ztrát v rozvodech elektřiny a tepla, v budovách a výrobních závodech,</w:t>
      </w:r>
    </w:p>
    <w:p w14:paraId="5BFBA28C"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realizace opatření ke snižování energetické náročnosti budov v podnikatelském sektoru (zateplení obvodového pláště, výměna a renovace otvorových výplní, další stavební opatření mající prokazatelně vliv na energetickou náročnost budovy, instalace vzduchotechniky s rekuperací odpadního tepla),</w:t>
      </w:r>
    </w:p>
    <w:p w14:paraId="5F97AD33"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využití odpadní energie ve výrobních procesech,</w:t>
      </w:r>
    </w:p>
    <w:p w14:paraId="58DC5D49"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snižování energetické náročnosti/zvyšování energetické účinnosti výrobních a technologických procesů,</w:t>
      </w:r>
    </w:p>
    <w:p w14:paraId="18F3989B"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instalace OZE pro vlastní spotřebu podniku,</w:t>
      </w:r>
    </w:p>
    <w:p w14:paraId="5432390A"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instalace kogenerační jednotky s maximálním využitím elektrické a tepelné energie pro vlastní spotřebu podniku,</w:t>
      </w:r>
    </w:p>
    <w:p w14:paraId="25C32075" w14:textId="77777777" w:rsidR="004F0335" w:rsidRP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akumulace elektrické energie,</w:t>
      </w:r>
    </w:p>
    <w:p w14:paraId="404C1C08" w14:textId="49C0EA97" w:rsidR="004F0335" w:rsidRDefault="004F0335" w:rsidP="002A55B2">
      <w:pPr>
        <w:pStyle w:val="Odstavecseseznamem"/>
        <w:numPr>
          <w:ilvl w:val="0"/>
          <w:numId w:val="17"/>
        </w:numPr>
        <w:spacing w:line="276" w:lineRule="auto"/>
        <w:ind w:left="714" w:hanging="357"/>
        <w:rPr>
          <w:rFonts w:asciiTheme="minorHAnsi" w:hAnsiTheme="minorHAnsi" w:cstheme="minorHAnsi"/>
          <w:sz w:val="22"/>
        </w:rPr>
      </w:pPr>
      <w:r w:rsidRPr="004F0335">
        <w:rPr>
          <w:rFonts w:asciiTheme="minorHAnsi" w:hAnsiTheme="minorHAnsi" w:cstheme="minorHAnsi"/>
          <w:sz w:val="22"/>
        </w:rPr>
        <w:t>výstavba budov ve vysokém energetickém standardu. Podpora bude poskytnuta na pokrytí části vícenákladu na dosažení pasivního energetického standardu. Tato oblast podpory slouží jako podpora implementace požadavků na budovy s téměř nulovou spotřebou energie v rámci EPBD čl. 9 Směrnice 2010/31/EU o energetické náročnosti budov (a § 7 transpozičního zákona č. 406/2000 Sb., o hospodaření energií.</w:t>
      </w:r>
    </w:p>
    <w:p w14:paraId="2BF2E722" w14:textId="77777777" w:rsidR="004F0335" w:rsidRDefault="004F0335" w:rsidP="002A55B2">
      <w:pPr>
        <w:pStyle w:val="Odstavecseseznamem"/>
        <w:spacing w:line="276" w:lineRule="auto"/>
        <w:rPr>
          <w:rFonts w:asciiTheme="minorHAnsi" w:hAnsiTheme="minorHAnsi" w:cstheme="minorHAnsi"/>
          <w:sz w:val="22"/>
        </w:rPr>
      </w:pPr>
    </w:p>
    <w:p w14:paraId="041D6A86" w14:textId="77777777" w:rsidR="002A55B2" w:rsidRPr="002A55B2" w:rsidRDefault="002A55B2" w:rsidP="002A55B2">
      <w:pPr>
        <w:spacing w:after="0"/>
        <w:rPr>
          <w:rFonts w:ascii="Calibri" w:hAnsi="Calibri" w:cs="Calibri"/>
        </w:rPr>
      </w:pPr>
      <w:r w:rsidRPr="002A55B2">
        <w:rPr>
          <w:rFonts w:ascii="Calibri" w:hAnsi="Calibri" w:cs="Calibri"/>
        </w:rPr>
        <w:t xml:space="preserve">Situační analýza, ze které vycházelo nastavení SC 3.4 OP PIK, identifikovala problém v podobě nedostatečného propojení výzkumné a firemní sféry v inovačním prostředí pro oblast energetiky. Problémem je také vyšší nákladnost investic do inovativních nízkouhlíkových technologií ve srovnání s klasickými technologiemi. </w:t>
      </w:r>
    </w:p>
    <w:p w14:paraId="778C50F9" w14:textId="77777777" w:rsidR="002A55B2" w:rsidRPr="002A55B2" w:rsidRDefault="002A55B2" w:rsidP="002A55B2">
      <w:pPr>
        <w:spacing w:after="0"/>
        <w:rPr>
          <w:rFonts w:ascii="Calibri" w:hAnsi="Calibri" w:cs="Calibri"/>
        </w:rPr>
      </w:pPr>
    </w:p>
    <w:p w14:paraId="5D0B466F" w14:textId="77777777" w:rsidR="002A55B2" w:rsidRPr="002A55B2" w:rsidRDefault="002A55B2" w:rsidP="002A55B2">
      <w:pPr>
        <w:spacing w:after="0"/>
        <w:rPr>
          <w:rFonts w:ascii="Calibri" w:hAnsi="Calibri" w:cs="Calibri"/>
        </w:rPr>
      </w:pPr>
      <w:r w:rsidRPr="002A55B2">
        <w:rPr>
          <w:rFonts w:ascii="Calibri" w:hAnsi="Calibri" w:cs="Calibri"/>
        </w:rPr>
        <w:t>Jako hlavní příčiny problémů, k jejichž řešení mělo/má být využito zdrojů OP PIK, byly identifikovány:</w:t>
      </w:r>
    </w:p>
    <w:p w14:paraId="1499F269" w14:textId="77777777" w:rsidR="002A55B2" w:rsidRPr="002A55B2" w:rsidRDefault="002A55B2" w:rsidP="002A55B2">
      <w:pPr>
        <w:numPr>
          <w:ilvl w:val="0"/>
          <w:numId w:val="50"/>
        </w:numPr>
        <w:spacing w:after="0"/>
        <w:rPr>
          <w:rFonts w:ascii="Calibri" w:hAnsi="Calibri" w:cs="Calibri"/>
        </w:rPr>
      </w:pPr>
      <w:r w:rsidRPr="002A55B2">
        <w:rPr>
          <w:rFonts w:ascii="Calibri" w:hAnsi="Calibri" w:cs="Calibri"/>
        </w:rPr>
        <w:tab/>
        <w:t>Omezená dostupnost finančních zdrojů na inovační aktivity</w:t>
      </w:r>
    </w:p>
    <w:p w14:paraId="70F550B3" w14:textId="77777777" w:rsidR="002A55B2" w:rsidRPr="002A55B2" w:rsidRDefault="002A55B2" w:rsidP="002A55B2">
      <w:pPr>
        <w:numPr>
          <w:ilvl w:val="0"/>
          <w:numId w:val="50"/>
        </w:numPr>
        <w:spacing w:after="0"/>
        <w:rPr>
          <w:rFonts w:ascii="Calibri" w:hAnsi="Calibri" w:cs="Calibri"/>
        </w:rPr>
      </w:pPr>
      <w:r w:rsidRPr="002A55B2">
        <w:rPr>
          <w:rFonts w:ascii="Calibri" w:hAnsi="Calibri" w:cs="Calibri"/>
        </w:rPr>
        <w:t>Nedostatečná úroveň zpracovávání odpadů a jejich přeměna v druhotné suroviny k dalšímu materiálovému využití</w:t>
      </w:r>
    </w:p>
    <w:p w14:paraId="0E25E9D4" w14:textId="77777777" w:rsidR="002A55B2" w:rsidRPr="002A55B2" w:rsidRDefault="002A55B2" w:rsidP="002A55B2">
      <w:pPr>
        <w:spacing w:after="0"/>
        <w:rPr>
          <w:rFonts w:ascii="Calibri" w:hAnsi="Calibri" w:cs="Calibri"/>
        </w:rPr>
      </w:pPr>
    </w:p>
    <w:p w14:paraId="5F8814CC" w14:textId="77777777" w:rsidR="002A55B2" w:rsidRPr="002A55B2" w:rsidRDefault="002A55B2" w:rsidP="002A55B2">
      <w:pPr>
        <w:spacing w:after="0"/>
        <w:rPr>
          <w:rFonts w:ascii="Calibri" w:hAnsi="Calibri" w:cs="Calibri"/>
          <w:highlight w:val="yellow"/>
        </w:rPr>
      </w:pPr>
      <w:r w:rsidRPr="002A55B2">
        <w:rPr>
          <w:rFonts w:ascii="Calibri" w:hAnsi="Calibri" w:cs="Calibri"/>
        </w:rPr>
        <w:t>K odstranění uvedených příčin nízkého využívání inovativních nízkouhlíkových technologií v nakládání energií a získávání a využívání druhotných surovin v ČR bylo navrženo široké spektrum aktivit v oblasti nízkouhlíkové dopravy, technologií akumulace energie, technologií v budovách, technologií v oblasti výroby energie z obnovitelných zdrojů, zavádění off grid systémů, systémů řízení spotřeby energií, technologií v oblasti získávání, zpracování a využívání druhotných surovin aj.</w:t>
      </w:r>
    </w:p>
    <w:p w14:paraId="6572E739" w14:textId="77777777" w:rsidR="002A55B2" w:rsidRPr="004F0335" w:rsidRDefault="002A55B2" w:rsidP="002A55B2">
      <w:pPr>
        <w:spacing w:after="0"/>
      </w:pPr>
    </w:p>
    <w:p w14:paraId="666733A1" w14:textId="77777777" w:rsidR="00664EBC" w:rsidRPr="001C210E" w:rsidRDefault="00664EBC" w:rsidP="00664EBC">
      <w:pPr>
        <w:pStyle w:val="Nadpis2"/>
      </w:pPr>
      <w:bookmarkStart w:id="217" w:name="_Toc4596873"/>
      <w:bookmarkStart w:id="218" w:name="_Toc10729995"/>
      <w:r w:rsidRPr="001C210E">
        <w:t>Zjištění v návaznosti na evaluační otázku a úkol</w:t>
      </w:r>
      <w:bookmarkEnd w:id="217"/>
      <w:bookmarkEnd w:id="218"/>
    </w:p>
    <w:tbl>
      <w:tblPr>
        <w:tblStyle w:val="Svtlmkatabulky1"/>
        <w:tblW w:w="0" w:type="auto"/>
        <w:tblLook w:val="04A0" w:firstRow="1" w:lastRow="0" w:firstColumn="1" w:lastColumn="0" w:noHBand="0" w:noVBand="1"/>
      </w:tblPr>
      <w:tblGrid>
        <w:gridCol w:w="2972"/>
        <w:gridCol w:w="5954"/>
      </w:tblGrid>
      <w:tr w:rsidR="00664EBC" w:rsidRPr="001C210E" w14:paraId="30CD650C" w14:textId="77777777" w:rsidTr="00047EB6">
        <w:tc>
          <w:tcPr>
            <w:tcW w:w="2972" w:type="dxa"/>
            <w:shd w:val="clear" w:color="auto" w:fill="F2F2F2" w:themeFill="background1" w:themeFillShade="F2"/>
          </w:tcPr>
          <w:p w14:paraId="20349D47" w14:textId="77777777" w:rsidR="00664EBC" w:rsidRPr="001C210E" w:rsidRDefault="00664EBC" w:rsidP="00047EB6">
            <w:pPr>
              <w:rPr>
                <w:rFonts w:ascii="Calibri" w:hAnsi="Calibri" w:cs="Calibri"/>
                <w:b/>
              </w:rPr>
            </w:pPr>
            <w:r w:rsidRPr="001C210E">
              <w:rPr>
                <w:rFonts w:ascii="Calibri" w:hAnsi="Calibri" w:cs="Calibri"/>
                <w:b/>
              </w:rPr>
              <w:t>Evaluační otázka</w:t>
            </w:r>
          </w:p>
        </w:tc>
        <w:tc>
          <w:tcPr>
            <w:tcW w:w="5954" w:type="dxa"/>
          </w:tcPr>
          <w:p w14:paraId="14FD6F87" w14:textId="77777777" w:rsidR="008E33DA" w:rsidRDefault="00664EBC" w:rsidP="00047EB6">
            <w:pPr>
              <w:rPr>
                <w:rFonts w:ascii="Calibri" w:hAnsi="Calibri" w:cs="Calibri"/>
                <w:b/>
              </w:rPr>
            </w:pPr>
            <w:r w:rsidRPr="00664EBC">
              <w:rPr>
                <w:rFonts w:ascii="Calibri" w:hAnsi="Calibri" w:cs="Calibri"/>
                <w:b/>
              </w:rPr>
              <w:t xml:space="preserve">Lze předpokládat, že intervence realizované v rámci SC 3.1, 3.2 a 3.4 povedou k trvalému zlepšení identifikovaných problémů? </w:t>
            </w:r>
          </w:p>
          <w:p w14:paraId="1D8274F4" w14:textId="4823804A" w:rsidR="00664EBC" w:rsidRPr="00FE4816" w:rsidRDefault="00664EBC" w:rsidP="00047EB6">
            <w:pPr>
              <w:rPr>
                <w:rFonts w:ascii="Calibri" w:hAnsi="Calibri" w:cs="Calibri"/>
                <w:b/>
              </w:rPr>
            </w:pPr>
            <w:r w:rsidRPr="00664EBC">
              <w:rPr>
                <w:rFonts w:ascii="Calibri" w:hAnsi="Calibri" w:cs="Calibri"/>
                <w:b/>
              </w:rPr>
              <w:t>Je v tomto smyslu potřeba dané aktivity podporovat i nadále, nebo se další podpora z hlediska principu 3E nejeví jako smysluplná?</w:t>
            </w:r>
          </w:p>
        </w:tc>
      </w:tr>
      <w:tr w:rsidR="00664EBC" w:rsidRPr="00D91553" w14:paraId="7508DBDF" w14:textId="77777777" w:rsidTr="00047EB6">
        <w:tc>
          <w:tcPr>
            <w:tcW w:w="2972" w:type="dxa"/>
            <w:shd w:val="clear" w:color="auto" w:fill="F2F2F2" w:themeFill="background1" w:themeFillShade="F2"/>
          </w:tcPr>
          <w:p w14:paraId="52AA3DDF" w14:textId="77777777" w:rsidR="00664EBC" w:rsidRPr="00D91553" w:rsidRDefault="00664EBC" w:rsidP="00047EB6">
            <w:pPr>
              <w:rPr>
                <w:rFonts w:ascii="Calibri" w:hAnsi="Calibri" w:cs="Calibri"/>
              </w:rPr>
            </w:pPr>
            <w:r w:rsidRPr="00D91553">
              <w:rPr>
                <w:rFonts w:ascii="Calibri" w:hAnsi="Calibri" w:cs="Calibri"/>
                <w:b/>
                <w:bCs/>
              </w:rPr>
              <w:t>Zhodnocení</w:t>
            </w:r>
            <w:r w:rsidRPr="00D91553">
              <w:rPr>
                <w:rFonts w:ascii="Calibri" w:hAnsi="Calibri" w:cs="Calibri"/>
                <w:b/>
                <w:bCs/>
              </w:rPr>
              <w:br/>
            </w:r>
            <w:r w:rsidRPr="00D91553">
              <w:rPr>
                <w:rFonts w:ascii="Calibri" w:hAnsi="Calibri" w:cs="Calibri"/>
              </w:rPr>
              <w:t>(Ano, Spíše ano, Spíše ne, Ne, Není relevantní)</w:t>
            </w:r>
          </w:p>
        </w:tc>
        <w:tc>
          <w:tcPr>
            <w:tcW w:w="5954" w:type="dxa"/>
          </w:tcPr>
          <w:p w14:paraId="0F853AA9" w14:textId="77777777" w:rsidR="00664EBC" w:rsidRDefault="00D91553" w:rsidP="00047EB6">
            <w:pPr>
              <w:rPr>
                <w:rFonts w:ascii="Calibri" w:hAnsi="Calibri" w:cs="Calibri"/>
              </w:rPr>
            </w:pPr>
            <w:r w:rsidRPr="00D91553">
              <w:rPr>
                <w:rFonts w:ascii="Calibri" w:hAnsi="Calibri" w:cs="Calibri"/>
              </w:rPr>
              <w:t>Ano</w:t>
            </w:r>
          </w:p>
          <w:p w14:paraId="68147CE9" w14:textId="6B8428F0" w:rsidR="008E33DA" w:rsidRPr="00D91553" w:rsidRDefault="008E33DA" w:rsidP="00047EB6">
            <w:pPr>
              <w:rPr>
                <w:rFonts w:ascii="Calibri" w:hAnsi="Calibri" w:cs="Calibri"/>
              </w:rPr>
            </w:pPr>
            <w:r>
              <w:rPr>
                <w:rFonts w:ascii="Calibri" w:hAnsi="Calibri" w:cs="Calibri"/>
              </w:rPr>
              <w:t>Ano</w:t>
            </w:r>
          </w:p>
        </w:tc>
      </w:tr>
      <w:tr w:rsidR="00664EBC" w:rsidRPr="001C210E" w14:paraId="1DC38CA9" w14:textId="77777777" w:rsidTr="00047EB6">
        <w:tc>
          <w:tcPr>
            <w:tcW w:w="2972" w:type="dxa"/>
            <w:shd w:val="clear" w:color="auto" w:fill="F2F2F2" w:themeFill="background1" w:themeFillShade="F2"/>
          </w:tcPr>
          <w:p w14:paraId="6FE7E30F" w14:textId="77777777" w:rsidR="00664EBC" w:rsidRPr="00D91553" w:rsidRDefault="00664EBC" w:rsidP="00047EB6">
            <w:pPr>
              <w:rPr>
                <w:rFonts w:ascii="Calibri" w:hAnsi="Calibri" w:cs="Calibri"/>
                <w:b/>
              </w:rPr>
            </w:pPr>
            <w:r w:rsidRPr="00D91553">
              <w:rPr>
                <w:rFonts w:ascii="Calibri" w:hAnsi="Calibri" w:cs="Calibri"/>
                <w:b/>
              </w:rPr>
              <w:t xml:space="preserve">Hlavní závěry a zjištění </w:t>
            </w:r>
          </w:p>
        </w:tc>
        <w:tc>
          <w:tcPr>
            <w:tcW w:w="5954" w:type="dxa"/>
          </w:tcPr>
          <w:p w14:paraId="42DA9B8F" w14:textId="7F981E46" w:rsidR="00D91553" w:rsidRPr="00D91553" w:rsidRDefault="00D91553" w:rsidP="00D91553">
            <w:pPr>
              <w:rPr>
                <w:rFonts w:ascii="Calibri" w:hAnsi="Calibri" w:cs="Calibri"/>
              </w:rPr>
            </w:pPr>
            <w:r w:rsidRPr="00D91553">
              <w:rPr>
                <w:rFonts w:ascii="Calibri" w:hAnsi="Calibri" w:cs="Calibri"/>
              </w:rPr>
              <w:t xml:space="preserve">Byla potvrzena existence souvislostí mezi intervencemi a cíli SC </w:t>
            </w:r>
            <w:r>
              <w:rPr>
                <w:rFonts w:ascii="Calibri" w:hAnsi="Calibri" w:cs="Calibri"/>
              </w:rPr>
              <w:t>3.1, 3.2 a 3.4</w:t>
            </w:r>
            <w:r w:rsidRPr="00D91553">
              <w:rPr>
                <w:rFonts w:ascii="Calibri" w:hAnsi="Calibri" w:cs="Calibri"/>
              </w:rPr>
              <w:t xml:space="preserve"> ve smyslu kauzálního řetězce: vstupy – aktivity – výstupy – okamžité efekty – střednědobé změny – dopady.</w:t>
            </w:r>
          </w:p>
          <w:p w14:paraId="578E84F4" w14:textId="4E1BCC3C" w:rsidR="00D91553" w:rsidRPr="00D91553" w:rsidRDefault="00D91553" w:rsidP="00D91553">
            <w:pPr>
              <w:rPr>
                <w:rFonts w:ascii="Calibri" w:hAnsi="Calibri" w:cs="Calibri"/>
              </w:rPr>
            </w:pPr>
            <w:r w:rsidRPr="00D91553">
              <w:rPr>
                <w:rFonts w:ascii="Calibri" w:hAnsi="Calibri" w:cs="Calibri"/>
              </w:rPr>
              <w:t xml:space="preserve">Intervence realizované v rámci </w:t>
            </w:r>
            <w:r>
              <w:rPr>
                <w:rFonts w:ascii="Calibri" w:hAnsi="Calibri" w:cs="Calibri"/>
              </w:rPr>
              <w:t xml:space="preserve">sledovaných </w:t>
            </w:r>
            <w:r w:rsidRPr="00D91553">
              <w:rPr>
                <w:rFonts w:ascii="Calibri" w:hAnsi="Calibri" w:cs="Calibri"/>
              </w:rPr>
              <w:t xml:space="preserve">SC mohou přispět k trvalému zlepšení identifikovaných problémů. Nezbytnou podmínkou je naplnění souvisejících předpokladů a rovněž pozitivní působení externích vlivů. </w:t>
            </w:r>
          </w:p>
          <w:p w14:paraId="118F73D6" w14:textId="77777777" w:rsidR="00D91553" w:rsidRPr="00D91553" w:rsidRDefault="00D91553" w:rsidP="00D91553">
            <w:pPr>
              <w:rPr>
                <w:rFonts w:ascii="Calibri" w:hAnsi="Calibri" w:cs="Calibri"/>
              </w:rPr>
            </w:pPr>
            <w:r w:rsidRPr="00D91553">
              <w:rPr>
                <w:rFonts w:ascii="Calibri" w:hAnsi="Calibri" w:cs="Calibri"/>
              </w:rPr>
              <w:t>Vzhledem k tomu, že:</w:t>
            </w:r>
          </w:p>
          <w:p w14:paraId="475BA17F" w14:textId="759A29FC" w:rsidR="00D91553" w:rsidRPr="00D91553" w:rsidRDefault="00D91553" w:rsidP="00131C2F">
            <w:pPr>
              <w:numPr>
                <w:ilvl w:val="0"/>
                <w:numId w:val="30"/>
              </w:numPr>
              <w:rPr>
                <w:rFonts w:ascii="Calibri" w:hAnsi="Calibri" w:cs="Calibri"/>
              </w:rPr>
            </w:pPr>
            <w:r w:rsidRPr="00D91553">
              <w:rPr>
                <w:rFonts w:ascii="Calibri" w:hAnsi="Calibri" w:cs="Calibri"/>
              </w:rPr>
              <w:t xml:space="preserve">plánované cíle SC </w:t>
            </w:r>
            <w:r>
              <w:rPr>
                <w:rFonts w:ascii="Calibri" w:hAnsi="Calibri" w:cs="Calibri"/>
              </w:rPr>
              <w:t>3.1, 3.2 a 3.4</w:t>
            </w:r>
            <w:r w:rsidRPr="00D91553">
              <w:rPr>
                <w:rFonts w:ascii="Calibri" w:hAnsi="Calibri" w:cs="Calibri"/>
              </w:rPr>
              <w:t xml:space="preserve"> nebyly zatím dosaženy a</w:t>
            </w:r>
          </w:p>
          <w:p w14:paraId="214F6D4A" w14:textId="77777777" w:rsidR="00D91553" w:rsidRPr="00D91553" w:rsidRDefault="00D91553" w:rsidP="00131C2F">
            <w:pPr>
              <w:numPr>
                <w:ilvl w:val="0"/>
                <w:numId w:val="30"/>
              </w:numPr>
              <w:rPr>
                <w:rFonts w:ascii="Calibri" w:hAnsi="Calibri" w:cs="Calibri"/>
              </w:rPr>
            </w:pPr>
            <w:r w:rsidRPr="00D91553">
              <w:rPr>
                <w:rFonts w:ascii="Calibri" w:hAnsi="Calibri" w:cs="Calibri"/>
              </w:rPr>
              <w:t>při poskytování podpory jsou naplňovány principy 3E</w:t>
            </w:r>
          </w:p>
          <w:p w14:paraId="2DFEA9C4" w14:textId="7F2075CA" w:rsidR="00664EBC" w:rsidRPr="00D91553" w:rsidRDefault="00D91553" w:rsidP="00D91553">
            <w:pPr>
              <w:rPr>
                <w:rFonts w:ascii="Calibri" w:hAnsi="Calibri" w:cs="Calibri"/>
              </w:rPr>
            </w:pPr>
            <w:r w:rsidRPr="00D91553">
              <w:rPr>
                <w:rFonts w:ascii="Calibri" w:hAnsi="Calibri" w:cs="Calibri"/>
              </w:rPr>
              <w:t>je potřebné a smysluplné dané aktivity podporovat i nadále.</w:t>
            </w:r>
          </w:p>
        </w:tc>
      </w:tr>
      <w:tr w:rsidR="00664EBC" w:rsidRPr="007F65B1" w14:paraId="08603ADA" w14:textId="77777777" w:rsidTr="00047EB6">
        <w:tc>
          <w:tcPr>
            <w:tcW w:w="2972" w:type="dxa"/>
            <w:shd w:val="clear" w:color="auto" w:fill="F2F2F2" w:themeFill="background1" w:themeFillShade="F2"/>
          </w:tcPr>
          <w:p w14:paraId="71F7FBAB" w14:textId="77777777" w:rsidR="00664EBC" w:rsidRPr="007F65B1" w:rsidRDefault="00664EBC" w:rsidP="00047EB6">
            <w:pPr>
              <w:rPr>
                <w:rFonts w:ascii="Calibri" w:hAnsi="Calibri" w:cs="Calibri"/>
                <w:b/>
              </w:rPr>
            </w:pPr>
            <w:r w:rsidRPr="007F65B1">
              <w:rPr>
                <w:rFonts w:ascii="Calibri" w:hAnsi="Calibri" w:cs="Calibri"/>
                <w:b/>
              </w:rPr>
              <w:t>Doporučení pro programové období 2014 - 2020</w:t>
            </w:r>
          </w:p>
        </w:tc>
        <w:tc>
          <w:tcPr>
            <w:tcW w:w="5954" w:type="dxa"/>
          </w:tcPr>
          <w:p w14:paraId="517ECBE0" w14:textId="4D5C7865" w:rsidR="00664EBC" w:rsidRPr="007F65B1" w:rsidRDefault="004942B8" w:rsidP="00047EB6">
            <w:pPr>
              <w:rPr>
                <w:rFonts w:ascii="Calibri" w:hAnsi="Calibri" w:cs="Calibri"/>
              </w:rPr>
            </w:pPr>
            <w:r w:rsidRPr="007F65B1">
              <w:rPr>
                <w:rFonts w:ascii="Calibri" w:hAnsi="Calibri" w:cs="Calibri"/>
              </w:rPr>
              <w:t>Snížit administrativní zátěž žadatelů při podávání žádosti o dotaci např. v souvislosti s dokladováním MSP, prokazování vlastnické struktury.</w:t>
            </w:r>
          </w:p>
        </w:tc>
      </w:tr>
      <w:tr w:rsidR="00664EBC" w:rsidRPr="001C210E" w14:paraId="5C8B93C3" w14:textId="77777777" w:rsidTr="00047EB6">
        <w:tc>
          <w:tcPr>
            <w:tcW w:w="2972" w:type="dxa"/>
            <w:shd w:val="clear" w:color="auto" w:fill="F2F2F2" w:themeFill="background1" w:themeFillShade="F2"/>
          </w:tcPr>
          <w:p w14:paraId="6EBE74F0" w14:textId="77777777" w:rsidR="00664EBC" w:rsidRPr="007F65B1" w:rsidRDefault="00664EBC" w:rsidP="00047EB6">
            <w:pPr>
              <w:rPr>
                <w:rFonts w:ascii="Calibri" w:hAnsi="Calibri" w:cs="Calibri"/>
                <w:b/>
              </w:rPr>
            </w:pPr>
          </w:p>
        </w:tc>
        <w:tc>
          <w:tcPr>
            <w:tcW w:w="5954" w:type="dxa"/>
          </w:tcPr>
          <w:p w14:paraId="1B9920CA" w14:textId="49F28CF5" w:rsidR="00664EBC" w:rsidRPr="007F65B1" w:rsidRDefault="008E33DA" w:rsidP="007F65B1">
            <w:pPr>
              <w:rPr>
                <w:rFonts w:ascii="Calibri" w:hAnsi="Calibri" w:cs="Calibri"/>
              </w:rPr>
            </w:pPr>
            <w:r>
              <w:rPr>
                <w:rFonts w:ascii="Calibri" w:hAnsi="Calibri" w:cs="Calibri"/>
              </w:rPr>
              <w:t>Ve výzvách nestanovovat absolutní maximální výši podpory. Limit stanovit pro celkové způsobilé výdaje projektu (do výše hranice tzv. velkého projektu).</w:t>
            </w:r>
          </w:p>
        </w:tc>
      </w:tr>
      <w:tr w:rsidR="00664EBC" w:rsidRPr="001C210E" w14:paraId="2161CA30" w14:textId="77777777" w:rsidTr="00047EB6">
        <w:tc>
          <w:tcPr>
            <w:tcW w:w="2972" w:type="dxa"/>
            <w:shd w:val="clear" w:color="auto" w:fill="F2F2F2" w:themeFill="background1" w:themeFillShade="F2"/>
          </w:tcPr>
          <w:p w14:paraId="71B08A63" w14:textId="371E542E" w:rsidR="00664EBC" w:rsidRPr="004F0335" w:rsidRDefault="00664EBC" w:rsidP="00047EB6">
            <w:pPr>
              <w:rPr>
                <w:rFonts w:ascii="Calibri" w:hAnsi="Calibri" w:cs="Calibri"/>
                <w:b/>
                <w:highlight w:val="yellow"/>
              </w:rPr>
            </w:pPr>
            <w:r w:rsidRPr="00434AF0">
              <w:rPr>
                <w:rFonts w:ascii="Calibri" w:hAnsi="Calibri" w:cs="Calibri"/>
                <w:b/>
              </w:rPr>
              <w:t>Doporučení pro programové období 2021</w:t>
            </w:r>
            <w:r w:rsidR="00931913">
              <w:rPr>
                <w:rFonts w:ascii="Calibri" w:hAnsi="Calibri" w:cs="Calibri"/>
                <w:b/>
              </w:rPr>
              <w:t xml:space="preserve"> - 2027</w:t>
            </w:r>
          </w:p>
        </w:tc>
        <w:tc>
          <w:tcPr>
            <w:tcW w:w="5954" w:type="dxa"/>
          </w:tcPr>
          <w:p w14:paraId="1CB9DD0C" w14:textId="782C46F9" w:rsidR="00664EBC" w:rsidRPr="004F0335" w:rsidRDefault="00931913" w:rsidP="00047EB6">
            <w:pPr>
              <w:rPr>
                <w:rFonts w:ascii="Calibri" w:hAnsi="Calibri" w:cs="Calibri"/>
                <w:highlight w:val="yellow"/>
              </w:rPr>
            </w:pPr>
            <w:r>
              <w:rPr>
                <w:rFonts w:ascii="Calibri" w:hAnsi="Calibri" w:cs="Calibri"/>
              </w:rPr>
              <w:t>Z</w:t>
            </w:r>
            <w:r w:rsidR="00194B0C" w:rsidRPr="001C50E7">
              <w:rPr>
                <w:rFonts w:ascii="Calibri" w:hAnsi="Calibri" w:cs="Calibri"/>
              </w:rPr>
              <w:t xml:space="preserve">achovat </w:t>
            </w:r>
            <w:r w:rsidR="00194B0C">
              <w:rPr>
                <w:rFonts w:ascii="Calibri" w:hAnsi="Calibri" w:cs="Calibri"/>
              </w:rPr>
              <w:t xml:space="preserve">a rozvíjet nástroje veřejné </w:t>
            </w:r>
            <w:r w:rsidR="00194B0C" w:rsidRPr="001C50E7">
              <w:rPr>
                <w:rFonts w:ascii="Calibri" w:hAnsi="Calibri" w:cs="Calibri"/>
              </w:rPr>
              <w:t>podpor</w:t>
            </w:r>
            <w:r w:rsidR="00194B0C">
              <w:rPr>
                <w:rFonts w:ascii="Calibri" w:hAnsi="Calibri" w:cs="Calibri"/>
              </w:rPr>
              <w:t>y</w:t>
            </w:r>
            <w:r w:rsidR="00194B0C" w:rsidRPr="001C50E7">
              <w:rPr>
                <w:rFonts w:ascii="Calibri" w:hAnsi="Calibri" w:cs="Calibri"/>
              </w:rPr>
              <w:t xml:space="preserve"> </w:t>
            </w:r>
            <w:r w:rsidR="00194B0C">
              <w:rPr>
                <w:rFonts w:ascii="Calibri" w:hAnsi="Calibri" w:cs="Calibri"/>
              </w:rPr>
              <w:t>v oblasti OZE, energetické účinnosti i inovativních NUT.</w:t>
            </w:r>
          </w:p>
        </w:tc>
      </w:tr>
      <w:tr w:rsidR="004E5589" w:rsidRPr="001C210E" w14:paraId="16C1B907" w14:textId="77777777" w:rsidTr="00047EB6">
        <w:tc>
          <w:tcPr>
            <w:tcW w:w="2972" w:type="dxa"/>
            <w:shd w:val="clear" w:color="auto" w:fill="F2F2F2" w:themeFill="background1" w:themeFillShade="F2"/>
          </w:tcPr>
          <w:p w14:paraId="56EF1F0E" w14:textId="77777777" w:rsidR="004E5589" w:rsidRPr="004F0335" w:rsidRDefault="004E5589" w:rsidP="00047EB6">
            <w:pPr>
              <w:rPr>
                <w:rFonts w:ascii="Calibri" w:hAnsi="Calibri" w:cs="Calibri"/>
                <w:b/>
                <w:highlight w:val="yellow"/>
              </w:rPr>
            </w:pPr>
          </w:p>
        </w:tc>
        <w:tc>
          <w:tcPr>
            <w:tcW w:w="5954" w:type="dxa"/>
          </w:tcPr>
          <w:p w14:paraId="2E874729" w14:textId="4B95DE35" w:rsidR="004E5589" w:rsidRDefault="004E5589" w:rsidP="00047EB6">
            <w:pPr>
              <w:rPr>
                <w:rFonts w:ascii="Calibri" w:hAnsi="Calibri" w:cs="Calibri"/>
              </w:rPr>
            </w:pPr>
            <w:r w:rsidRPr="007F65B1">
              <w:rPr>
                <w:rFonts w:ascii="Calibri" w:hAnsi="Calibri" w:cs="Calibri"/>
              </w:rPr>
              <w:t>Zjednodušit věcné hodnocení projekt</w:t>
            </w:r>
            <w:r>
              <w:rPr>
                <w:rFonts w:ascii="Calibri" w:hAnsi="Calibri" w:cs="Calibri"/>
              </w:rPr>
              <w:t>ů</w:t>
            </w:r>
            <w:r w:rsidRPr="007F65B1">
              <w:rPr>
                <w:rFonts w:ascii="Calibri" w:hAnsi="Calibri" w:cs="Calibri"/>
              </w:rPr>
              <w:t xml:space="preserve"> v oblasti hodnocení hospodárnosti projektu</w:t>
            </w:r>
            <w:r>
              <w:rPr>
                <w:rFonts w:ascii="Calibri" w:hAnsi="Calibri" w:cs="Calibri"/>
              </w:rPr>
              <w:t>. Aplikovat nástroje zjednodušené metodiky vykazování ve vhodných typových aktivitách.</w:t>
            </w:r>
          </w:p>
        </w:tc>
      </w:tr>
      <w:tr w:rsidR="004E5589" w:rsidRPr="001C210E" w14:paraId="16740445" w14:textId="77777777" w:rsidTr="00047EB6">
        <w:tc>
          <w:tcPr>
            <w:tcW w:w="2972" w:type="dxa"/>
            <w:shd w:val="clear" w:color="auto" w:fill="F2F2F2" w:themeFill="background1" w:themeFillShade="F2"/>
          </w:tcPr>
          <w:p w14:paraId="366B9208" w14:textId="77777777" w:rsidR="004E5589" w:rsidRPr="004F0335" w:rsidRDefault="004E5589" w:rsidP="00047EB6">
            <w:pPr>
              <w:rPr>
                <w:rFonts w:ascii="Calibri" w:hAnsi="Calibri" w:cs="Calibri"/>
                <w:b/>
                <w:highlight w:val="yellow"/>
              </w:rPr>
            </w:pPr>
          </w:p>
        </w:tc>
        <w:tc>
          <w:tcPr>
            <w:tcW w:w="5954" w:type="dxa"/>
          </w:tcPr>
          <w:p w14:paraId="57CE0A75" w14:textId="3C85C420" w:rsidR="004E5589" w:rsidRDefault="004E5589" w:rsidP="00047EB6">
            <w:pPr>
              <w:rPr>
                <w:rFonts w:ascii="Calibri" w:hAnsi="Calibri" w:cs="Calibri"/>
              </w:rPr>
            </w:pPr>
            <w:r>
              <w:rPr>
                <w:rFonts w:ascii="Calibri" w:hAnsi="Calibri" w:cs="Calibri"/>
              </w:rPr>
              <w:t xml:space="preserve">Snížit administrativní zátěž ŘO spojenou s realizací některých typových aktivit, zejména tam, kde je předkládáno větší množství žádostí o podporu v malých </w:t>
            </w:r>
            <w:r w:rsidR="00F6797F">
              <w:rPr>
                <w:rFonts w:ascii="Calibri" w:hAnsi="Calibri" w:cs="Calibri"/>
              </w:rPr>
              <w:t xml:space="preserve">finančních </w:t>
            </w:r>
            <w:r>
              <w:rPr>
                <w:rFonts w:ascii="Calibri" w:hAnsi="Calibri" w:cs="Calibri"/>
              </w:rPr>
              <w:t>objemech</w:t>
            </w:r>
            <w:r w:rsidR="00EB7F24">
              <w:rPr>
                <w:rFonts w:ascii="Calibri" w:hAnsi="Calibri" w:cs="Calibri"/>
              </w:rPr>
              <w:t xml:space="preserve">, a to např. </w:t>
            </w:r>
            <w:r>
              <w:rPr>
                <w:rFonts w:ascii="Calibri" w:hAnsi="Calibri" w:cs="Calibri"/>
              </w:rPr>
              <w:t>v</w:t>
            </w:r>
            <w:r w:rsidR="00EB7F24">
              <w:rPr>
                <w:rFonts w:ascii="Calibri" w:hAnsi="Calibri" w:cs="Calibri"/>
              </w:rPr>
              <w:t xml:space="preserve">ětším </w:t>
            </w:r>
            <w:r>
              <w:rPr>
                <w:rFonts w:ascii="Calibri" w:hAnsi="Calibri" w:cs="Calibri"/>
              </w:rPr>
              <w:t>zapoj</w:t>
            </w:r>
            <w:r w:rsidR="00EB7F24">
              <w:rPr>
                <w:rFonts w:ascii="Calibri" w:hAnsi="Calibri" w:cs="Calibri"/>
              </w:rPr>
              <w:t>ením</w:t>
            </w:r>
            <w:r>
              <w:rPr>
                <w:rFonts w:ascii="Calibri" w:hAnsi="Calibri" w:cs="Calibri"/>
              </w:rPr>
              <w:t xml:space="preserve"> regionální</w:t>
            </w:r>
            <w:r w:rsidR="00EB7F24">
              <w:rPr>
                <w:rFonts w:ascii="Calibri" w:hAnsi="Calibri" w:cs="Calibri"/>
              </w:rPr>
              <w:t>ch</w:t>
            </w:r>
            <w:r>
              <w:rPr>
                <w:rFonts w:ascii="Calibri" w:hAnsi="Calibri" w:cs="Calibri"/>
              </w:rPr>
              <w:t xml:space="preserve"> pracoviš</w:t>
            </w:r>
            <w:r w:rsidR="00EB7F24">
              <w:rPr>
                <w:rFonts w:ascii="Calibri" w:hAnsi="Calibri" w:cs="Calibri"/>
              </w:rPr>
              <w:t>ť</w:t>
            </w:r>
            <w:r>
              <w:rPr>
                <w:rFonts w:ascii="Calibri" w:hAnsi="Calibri" w:cs="Calibri"/>
              </w:rPr>
              <w:t xml:space="preserve"> API</w:t>
            </w:r>
            <w:r w:rsidR="00EB7F24">
              <w:rPr>
                <w:rFonts w:ascii="Calibri" w:hAnsi="Calibri" w:cs="Calibri"/>
              </w:rPr>
              <w:t xml:space="preserve"> (zejména do procesů věcného hodnocení žádostí o podporu a kontroly vynaložených výdajů/ŽoPl)</w:t>
            </w:r>
            <w:r>
              <w:rPr>
                <w:rFonts w:ascii="Calibri" w:hAnsi="Calibri" w:cs="Calibri"/>
              </w:rPr>
              <w:t xml:space="preserve">. </w:t>
            </w:r>
          </w:p>
        </w:tc>
      </w:tr>
      <w:tr w:rsidR="004E5589" w:rsidRPr="001C210E" w14:paraId="02D49455" w14:textId="77777777" w:rsidTr="00047EB6">
        <w:tc>
          <w:tcPr>
            <w:tcW w:w="2972" w:type="dxa"/>
            <w:shd w:val="clear" w:color="auto" w:fill="F2F2F2" w:themeFill="background1" w:themeFillShade="F2"/>
          </w:tcPr>
          <w:p w14:paraId="59F0E5AB" w14:textId="77777777" w:rsidR="004E5589" w:rsidRPr="004F0335" w:rsidRDefault="004E5589" w:rsidP="00047EB6">
            <w:pPr>
              <w:rPr>
                <w:rFonts w:ascii="Calibri" w:hAnsi="Calibri" w:cs="Calibri"/>
                <w:b/>
                <w:highlight w:val="yellow"/>
              </w:rPr>
            </w:pPr>
          </w:p>
        </w:tc>
        <w:tc>
          <w:tcPr>
            <w:tcW w:w="5954" w:type="dxa"/>
          </w:tcPr>
          <w:p w14:paraId="09A7BB99" w14:textId="712E9260" w:rsidR="004E5589" w:rsidRPr="007F65B1" w:rsidRDefault="004E5589" w:rsidP="00047EB6">
            <w:pPr>
              <w:rPr>
                <w:rFonts w:ascii="Calibri" w:hAnsi="Calibri" w:cs="Calibri"/>
              </w:rPr>
            </w:pPr>
            <w:r>
              <w:rPr>
                <w:rFonts w:ascii="Calibri" w:hAnsi="Calibri" w:cs="Calibri"/>
              </w:rPr>
              <w:t xml:space="preserve">S dostatečným předstihem provést notifikaci veřejné podpory u těch typových aktivit, u kterých není vhodné/možné – na základě dosavadních zkušeností – účinně aplikovat blokové výjimky. </w:t>
            </w:r>
          </w:p>
        </w:tc>
      </w:tr>
      <w:tr w:rsidR="00664EBC" w:rsidRPr="001C210E" w14:paraId="2DBCFB6E" w14:textId="77777777" w:rsidTr="00047EB6">
        <w:tc>
          <w:tcPr>
            <w:tcW w:w="2972" w:type="dxa"/>
            <w:shd w:val="clear" w:color="auto" w:fill="F2F2F2" w:themeFill="background1" w:themeFillShade="F2"/>
          </w:tcPr>
          <w:p w14:paraId="3F964916" w14:textId="77777777" w:rsidR="00664EBC" w:rsidRPr="001C210E" w:rsidRDefault="00664EBC" w:rsidP="00047EB6">
            <w:pPr>
              <w:rPr>
                <w:rFonts w:ascii="Calibri" w:hAnsi="Calibri" w:cs="Calibri"/>
                <w:b/>
              </w:rPr>
            </w:pPr>
          </w:p>
        </w:tc>
        <w:tc>
          <w:tcPr>
            <w:tcW w:w="5954" w:type="dxa"/>
          </w:tcPr>
          <w:p w14:paraId="037EACEF" w14:textId="08A2C3AC" w:rsidR="00664EBC" w:rsidRDefault="001C0733" w:rsidP="00047EB6">
            <w:pPr>
              <w:rPr>
                <w:rFonts w:ascii="Calibri" w:hAnsi="Calibri" w:cs="Calibri"/>
              </w:rPr>
            </w:pPr>
            <w:r>
              <w:rPr>
                <w:rFonts w:ascii="Calibri" w:hAnsi="Calibri" w:cs="Calibri"/>
              </w:rPr>
              <w:t xml:space="preserve">Zvážit </w:t>
            </w:r>
            <w:r w:rsidR="004E5589" w:rsidRPr="004E5589">
              <w:rPr>
                <w:rFonts w:ascii="Calibri" w:hAnsi="Calibri" w:cs="Calibri"/>
              </w:rPr>
              <w:t>zapojení inovativních finančních nástrojů pro vytvoření dlouhodobého, stabilního systému financování investic v oblasti zvyšování energetické účinnosti.</w:t>
            </w:r>
          </w:p>
        </w:tc>
      </w:tr>
    </w:tbl>
    <w:p w14:paraId="4606840D" w14:textId="77777777" w:rsidR="00664EBC" w:rsidRPr="001C210E" w:rsidRDefault="00664EBC" w:rsidP="00664EBC">
      <w:pPr>
        <w:spacing w:after="0"/>
        <w:rPr>
          <w:rFonts w:ascii="Calibri" w:hAnsi="Calibri" w:cs="Calibri"/>
        </w:rPr>
      </w:pPr>
    </w:p>
    <w:p w14:paraId="0304BF71" w14:textId="77777777" w:rsidR="00664EBC" w:rsidRPr="001C210E" w:rsidRDefault="00664EBC" w:rsidP="00664EBC">
      <w:pPr>
        <w:pStyle w:val="Nadpis2"/>
      </w:pPr>
      <w:bookmarkStart w:id="219" w:name="_Toc4596874"/>
      <w:bookmarkStart w:id="220" w:name="_Toc10729996"/>
      <w:r w:rsidRPr="001C210E">
        <w:lastRenderedPageBreak/>
        <w:t>Doplňující informace k evaluační otázce</w:t>
      </w:r>
      <w:bookmarkEnd w:id="219"/>
      <w:bookmarkEnd w:id="220"/>
    </w:p>
    <w:p w14:paraId="63596A94" w14:textId="77777777" w:rsidR="00C4535D" w:rsidRDefault="00E92A89" w:rsidP="002A55B2">
      <w:pPr>
        <w:spacing w:after="0"/>
        <w:rPr>
          <w:rFonts w:ascii="Calibri" w:hAnsi="Calibri" w:cs="Calibri"/>
        </w:rPr>
      </w:pPr>
      <w:r w:rsidRPr="005A2B16">
        <w:rPr>
          <w:rFonts w:ascii="Calibri" w:hAnsi="Calibri" w:cs="Calibri"/>
        </w:rPr>
        <w:t>Každý z výše uvedených specifických cílů má vytvořen právě jeden program podpory</w:t>
      </w:r>
      <w:r w:rsidR="00C4535D" w:rsidRPr="005A2B16">
        <w:rPr>
          <w:rFonts w:ascii="Calibri" w:hAnsi="Calibri" w:cs="Calibri"/>
        </w:rPr>
        <w:t>, který je nástrojem pro poskytování podpory z OP PIK. V rámci těchto programů je vymezen především:</w:t>
      </w:r>
    </w:p>
    <w:p w14:paraId="32340598" w14:textId="77777777" w:rsidR="00C4535D" w:rsidRPr="008F01DF" w:rsidRDefault="00E92A89"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 xml:space="preserve">předmět a účel podpory, </w:t>
      </w:r>
    </w:p>
    <w:p w14:paraId="4EDCB635" w14:textId="77777777" w:rsidR="00C4535D"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oprávnění příjemci</w:t>
      </w:r>
    </w:p>
    <w:p w14:paraId="2EDF1599" w14:textId="77777777" w:rsidR="00C4535D"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podmínky programu</w:t>
      </w:r>
    </w:p>
    <w:p w14:paraId="109C5F15" w14:textId="745416EF" w:rsidR="00E92A89"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 xml:space="preserve">forma a výše podpory atd. </w:t>
      </w:r>
    </w:p>
    <w:p w14:paraId="59F85908" w14:textId="77777777" w:rsidR="00E92A89" w:rsidRPr="001C50E7" w:rsidRDefault="00E92A89" w:rsidP="002A55B2">
      <w:pPr>
        <w:spacing w:after="0"/>
        <w:rPr>
          <w:rFonts w:ascii="Calibri" w:hAnsi="Calibri" w:cs="Calibri"/>
        </w:rPr>
      </w:pPr>
    </w:p>
    <w:p w14:paraId="1BA1E30D" w14:textId="7AE39497" w:rsidR="00C4535D" w:rsidRDefault="00C4535D" w:rsidP="002A55B2">
      <w:pPr>
        <w:spacing w:after="0"/>
        <w:rPr>
          <w:rFonts w:ascii="Calibri" w:hAnsi="Calibri" w:cs="Calibri"/>
        </w:rPr>
      </w:pPr>
      <w:r>
        <w:rPr>
          <w:rFonts w:ascii="Calibri" w:hAnsi="Calibri" w:cs="Calibri"/>
        </w:rPr>
        <w:t>Řídicí orgán formuloval pro specifické cíle tyto programy podpory:</w:t>
      </w:r>
    </w:p>
    <w:p w14:paraId="5952D4CA" w14:textId="719A187A" w:rsidR="00C4535D"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SC 3.1: Obnovitelné zdroje energie</w:t>
      </w:r>
    </w:p>
    <w:p w14:paraId="1394A612" w14:textId="72F67785" w:rsidR="00C4535D"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SC 3.2: Úspory energie</w:t>
      </w:r>
    </w:p>
    <w:p w14:paraId="2FC61DDF" w14:textId="420667E8" w:rsidR="00C4535D" w:rsidRPr="008F01DF" w:rsidRDefault="00C4535D"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SC 3.4: Nízkouhlíkové technologie</w:t>
      </w:r>
    </w:p>
    <w:p w14:paraId="66A0CDDC" w14:textId="77777777" w:rsidR="00C4535D" w:rsidRPr="00C4535D" w:rsidRDefault="00C4535D" w:rsidP="002A55B2">
      <w:pPr>
        <w:spacing w:after="0"/>
        <w:rPr>
          <w:rFonts w:ascii="Calibri" w:hAnsi="Calibri" w:cs="Calibri"/>
        </w:rPr>
      </w:pPr>
    </w:p>
    <w:p w14:paraId="24070CB8" w14:textId="281583ED" w:rsidR="00E92A89" w:rsidRDefault="00C4535D" w:rsidP="002A55B2">
      <w:pPr>
        <w:spacing w:after="0"/>
        <w:rPr>
          <w:rFonts w:ascii="Calibri" w:hAnsi="Calibri" w:cs="Calibri"/>
        </w:rPr>
      </w:pPr>
      <w:r w:rsidRPr="006111FC">
        <w:rPr>
          <w:rFonts w:ascii="Calibri" w:hAnsi="Calibri" w:cs="Calibri"/>
        </w:rPr>
        <w:t xml:space="preserve">Pro vyhodnocení této evaluační otázky byla hodnotitelem sestavena teorie změn všech tří specifických cílů </w:t>
      </w:r>
      <w:r w:rsidR="00E92A89" w:rsidRPr="006111FC">
        <w:rPr>
          <w:rFonts w:ascii="Calibri" w:hAnsi="Calibri" w:cs="Calibri"/>
        </w:rPr>
        <w:t>za účelem ověření kauzálních vazeb mezi aktiv</w:t>
      </w:r>
      <w:r w:rsidR="006111FC" w:rsidRPr="006111FC">
        <w:rPr>
          <w:rFonts w:ascii="Calibri" w:hAnsi="Calibri" w:cs="Calibri"/>
        </w:rPr>
        <w:t xml:space="preserve">itami/intervencemi SC, výstupy, očekávanými cíli a dopady. Podkladem byla intervenční logika programu / teorie změny pro SC 3.1, 3.2 a 3.4 </w:t>
      </w:r>
      <w:r w:rsidR="00E92A89" w:rsidRPr="006111FC">
        <w:rPr>
          <w:rFonts w:ascii="Calibri" w:hAnsi="Calibri" w:cs="Calibri"/>
        </w:rPr>
        <w:t>zpracovan</w:t>
      </w:r>
      <w:r w:rsidR="006111FC" w:rsidRPr="006111FC">
        <w:rPr>
          <w:rFonts w:ascii="Calibri" w:hAnsi="Calibri" w:cs="Calibri"/>
        </w:rPr>
        <w:t>á</w:t>
      </w:r>
      <w:r w:rsidR="00E92A89" w:rsidRPr="006111FC">
        <w:rPr>
          <w:rFonts w:ascii="Calibri" w:hAnsi="Calibri" w:cs="Calibri"/>
        </w:rPr>
        <w:t xml:space="preserve"> ŘO OP PIK, rešerše relevantních informačních zdrojů a </w:t>
      </w:r>
      <w:r w:rsidR="006111FC" w:rsidRPr="006111FC">
        <w:rPr>
          <w:rFonts w:ascii="Calibri" w:hAnsi="Calibri" w:cs="Calibri"/>
        </w:rPr>
        <w:t>znalosti a zkušenosti hodnotitele.</w:t>
      </w:r>
    </w:p>
    <w:p w14:paraId="3D7FB9B3" w14:textId="77777777" w:rsidR="00E92A89" w:rsidRPr="001C50E7" w:rsidRDefault="00E92A89" w:rsidP="002A55B2">
      <w:pPr>
        <w:spacing w:after="0"/>
        <w:rPr>
          <w:rFonts w:ascii="Calibri" w:hAnsi="Calibri" w:cs="Calibri"/>
        </w:rPr>
      </w:pPr>
    </w:p>
    <w:p w14:paraId="6803CD1C" w14:textId="292FF712" w:rsidR="00E92A89" w:rsidRPr="001C50E7" w:rsidRDefault="00E92A89" w:rsidP="002A55B2">
      <w:pPr>
        <w:spacing w:after="0"/>
        <w:rPr>
          <w:rFonts w:ascii="Calibri" w:hAnsi="Calibri" w:cs="Calibri"/>
        </w:rPr>
      </w:pPr>
      <w:r w:rsidRPr="001C50E7">
        <w:rPr>
          <w:rFonts w:ascii="Calibri" w:hAnsi="Calibri" w:cs="Calibri"/>
        </w:rPr>
        <w:t xml:space="preserve">Kauzální vazby </w:t>
      </w:r>
      <w:r w:rsidR="006111FC">
        <w:rPr>
          <w:rFonts w:ascii="Calibri" w:hAnsi="Calibri" w:cs="Calibri"/>
        </w:rPr>
        <w:t>lze vyjádřit tímto schématem</w:t>
      </w:r>
      <w:r w:rsidRPr="001C50E7">
        <w:rPr>
          <w:rFonts w:ascii="Calibri" w:hAnsi="Calibri" w:cs="Calibri"/>
        </w:rPr>
        <w:t>:</w:t>
      </w:r>
    </w:p>
    <w:p w14:paraId="74E09724" w14:textId="77777777" w:rsidR="00E92A89" w:rsidRPr="001C50E7" w:rsidRDefault="00E92A89" w:rsidP="00E92A89">
      <w:pPr>
        <w:spacing w:after="0"/>
        <w:rPr>
          <w:rFonts w:ascii="Calibri" w:hAnsi="Calibri" w:cs="Calibri"/>
        </w:rPr>
      </w:pPr>
      <w:r>
        <w:rPr>
          <w:rFonts w:ascii="Calibri" w:hAnsi="Calibri" w:cs="Calibri"/>
          <w:noProof/>
          <w:lang w:eastAsia="cs-CZ"/>
        </w:rPr>
        <mc:AlternateContent>
          <mc:Choice Requires="wps">
            <w:drawing>
              <wp:anchor distT="0" distB="0" distL="114300" distR="114300" simplePos="0" relativeHeight="251678720" behindDoc="0" locked="0" layoutInCell="1" allowOverlap="1" wp14:anchorId="0E9A8C25" wp14:editId="59FF1AEA">
                <wp:simplePos x="0" y="0"/>
                <wp:positionH relativeFrom="column">
                  <wp:posOffset>5060315</wp:posOffset>
                </wp:positionH>
                <wp:positionV relativeFrom="paragraph">
                  <wp:posOffset>1182370</wp:posOffset>
                </wp:positionV>
                <wp:extent cx="45720" cy="115570"/>
                <wp:effectExtent l="38100" t="38100" r="49530" b="17780"/>
                <wp:wrapNone/>
                <wp:docPr id="214" name="Přímá spojnice se šipkou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115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AD8113" id="_x0000_t32" coordsize="21600,21600" o:spt="32" o:oned="t" path="m,l21600,21600e" filled="f">
                <v:path arrowok="t" fillok="f" o:connecttype="none"/>
                <o:lock v:ext="edit" shapetype="t"/>
              </v:shapetype>
              <v:shape id="Přímá spojnice se šipkou 29" o:spid="_x0000_s1026" type="#_x0000_t32" style="position:absolute;margin-left:398.45pt;margin-top:93.1pt;width:3.6pt;height:9.1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67456" behindDoc="0" locked="0" layoutInCell="1" allowOverlap="1" wp14:anchorId="2AB87B0B" wp14:editId="02552E64">
                <wp:simplePos x="0" y="0"/>
                <wp:positionH relativeFrom="column">
                  <wp:posOffset>4326890</wp:posOffset>
                </wp:positionH>
                <wp:positionV relativeFrom="paragraph">
                  <wp:posOffset>1296670</wp:posOffset>
                </wp:positionV>
                <wp:extent cx="1485900" cy="255270"/>
                <wp:effectExtent l="0" t="0" r="19050" b="11430"/>
                <wp:wrapNone/>
                <wp:docPr id="29"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150450" w14:textId="77777777" w:rsidR="00101AEB" w:rsidRPr="009725CA" w:rsidRDefault="00101AEB" w:rsidP="00E92A89">
                            <w:pPr>
                              <w:jc w:val="center"/>
                              <w:rPr>
                                <w:sz w:val="20"/>
                                <w:szCs w:val="20"/>
                              </w:rPr>
                            </w:pPr>
                            <w:r w:rsidRPr="009725CA">
                              <w:rPr>
                                <w:sz w:val="20"/>
                                <w:szCs w:val="20"/>
                              </w:rPr>
                              <w:t>externí vlivy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B87B0B" id="_x0000_t202" coordsize="21600,21600" o:spt="202" path="m,l,21600r21600,l21600,xe">
                <v:stroke joinstyle="miter"/>
                <v:path gradientshapeok="t" o:connecttype="rect"/>
              </v:shapetype>
              <v:shape id="Textové pole 11" o:spid="_x0000_s1026" type="#_x0000_t202" style="position:absolute;margin-left:340.7pt;margin-top:102.1pt;width:117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" fillcolor="white [3201]" strokeweight=".5pt">
                <v:path arrowok="t"/>
                <v:textbox>
                  <w:txbxContent>
                    <w:p w14:paraId="07150450" w14:textId="77777777" w:rsidR="00101AEB" w:rsidRPr="009725CA" w:rsidRDefault="00101AEB" w:rsidP="00E92A89">
                      <w:pPr>
                        <w:jc w:val="center"/>
                        <w:rPr>
                          <w:sz w:val="20"/>
                          <w:szCs w:val="20"/>
                        </w:rPr>
                      </w:pPr>
                      <w:r w:rsidRPr="009725CA">
                        <w:rPr>
                          <w:sz w:val="20"/>
                          <w:szCs w:val="20"/>
                        </w:rPr>
                        <w:t>externí vlivy</w:t>
                      </w:r>
                    </w:p>
                  </w:txbxContent>
                </v:textbox>
              </v:shape>
            </w:pict>
          </mc:Fallback>
        </mc:AlternateContent>
      </w:r>
      <w:r>
        <w:rPr>
          <w:rFonts w:ascii="Calibri" w:hAnsi="Calibri" w:cs="Calibri"/>
          <w:noProof/>
          <w:lang w:eastAsia="cs-CZ"/>
        </w:rPr>
        <mc:AlternateContent>
          <mc:Choice Requires="wps">
            <w:drawing>
              <wp:anchor distT="0" distB="0" distL="114299" distR="114299" simplePos="0" relativeHeight="251677696" behindDoc="0" locked="0" layoutInCell="1" allowOverlap="1" wp14:anchorId="18E15A31" wp14:editId="184DD58F">
                <wp:simplePos x="0" y="0"/>
                <wp:positionH relativeFrom="column">
                  <wp:posOffset>961389</wp:posOffset>
                </wp:positionH>
                <wp:positionV relativeFrom="paragraph">
                  <wp:posOffset>1161415</wp:posOffset>
                </wp:positionV>
                <wp:extent cx="0" cy="124460"/>
                <wp:effectExtent l="76200" t="38100" r="57150" b="27940"/>
                <wp:wrapNone/>
                <wp:docPr id="28" name="Přímá spojnice se šipkou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4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3FCC1E" id="Přímá spojnice se šipkou 28" o:spid="_x0000_s1026" type="#_x0000_t32" style="position:absolute;margin-left:75.7pt;margin-top:91.45pt;width:0;height:9.8pt;flip: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76672" behindDoc="0" locked="0" layoutInCell="1" allowOverlap="1" wp14:anchorId="7D068B90" wp14:editId="7F25117D">
                <wp:simplePos x="0" y="0"/>
                <wp:positionH relativeFrom="column">
                  <wp:posOffset>4167505</wp:posOffset>
                </wp:positionH>
                <wp:positionV relativeFrom="paragraph">
                  <wp:posOffset>704215</wp:posOffset>
                </wp:positionV>
                <wp:extent cx="5715" cy="136525"/>
                <wp:effectExtent l="76200" t="38100" r="70485" b="15875"/>
                <wp:wrapNone/>
                <wp:docPr id="27" name="Přímá spojnice se šipkou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136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7D82D7" id="Přímá spojnice se šipkou 27" o:spid="_x0000_s1026" type="#_x0000_t32" style="position:absolute;margin-left:328.15pt;margin-top:55.45pt;width:.45pt;height:10.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75648" behindDoc="0" locked="0" layoutInCell="1" allowOverlap="1" wp14:anchorId="4C1CE41E" wp14:editId="0B68288C">
                <wp:simplePos x="0" y="0"/>
                <wp:positionH relativeFrom="column">
                  <wp:posOffset>1917065</wp:posOffset>
                </wp:positionH>
                <wp:positionV relativeFrom="paragraph">
                  <wp:posOffset>704215</wp:posOffset>
                </wp:positionV>
                <wp:extent cx="5715" cy="136525"/>
                <wp:effectExtent l="76200" t="38100" r="70485" b="15875"/>
                <wp:wrapNone/>
                <wp:docPr id="26"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136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4C6BB9" id="Přímá spojnice se šipkou 26" o:spid="_x0000_s1026" type="#_x0000_t32" style="position:absolute;margin-left:150.95pt;margin-top:55.45pt;width:.45pt;height:10.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299" distR="114299" simplePos="0" relativeHeight="251674624" behindDoc="0" locked="0" layoutInCell="1" allowOverlap="1" wp14:anchorId="35E82793" wp14:editId="26430C65">
                <wp:simplePos x="0" y="0"/>
                <wp:positionH relativeFrom="column">
                  <wp:posOffset>2914649</wp:posOffset>
                </wp:positionH>
                <wp:positionV relativeFrom="paragraph">
                  <wp:posOffset>698500</wp:posOffset>
                </wp:positionV>
                <wp:extent cx="0" cy="148590"/>
                <wp:effectExtent l="76200" t="38100" r="57150" b="22860"/>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8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12D457" id="Přímá spojnice se šipkou 25" o:spid="_x0000_s1026" type="#_x0000_t32" style="position:absolute;margin-left:229.5pt;margin-top:55pt;width:0;height:11.7pt;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73600" behindDoc="0" locked="0" layoutInCell="1" allowOverlap="1" wp14:anchorId="753F37EF" wp14:editId="1551C356">
                <wp:simplePos x="0" y="0"/>
                <wp:positionH relativeFrom="column">
                  <wp:posOffset>5120005</wp:posOffset>
                </wp:positionH>
                <wp:positionV relativeFrom="paragraph">
                  <wp:posOffset>407670</wp:posOffset>
                </wp:positionV>
                <wp:extent cx="146050" cy="5715"/>
                <wp:effectExtent l="0" t="76200" r="25400" b="89535"/>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0" cy="5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68BF85" id="Přímá spojnice se šipkou 24" o:spid="_x0000_s1026" type="#_x0000_t32" style="position:absolute;margin-left:403.15pt;margin-top:32.1pt;width:1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" strokecolor="#4579b8 [3044]">
                <v:stroke endarrow="block"/>
                <o:lock v:ext="edit" shapetype="f"/>
              </v:shape>
            </w:pict>
          </mc:Fallback>
        </mc:AlternateContent>
      </w:r>
      <w:r>
        <w:rPr>
          <w:rFonts w:ascii="Calibri" w:hAnsi="Calibri" w:cs="Calibri"/>
          <w:noProof/>
          <w:lang w:eastAsia="cs-CZ"/>
        </w:rPr>
        <mc:AlternateContent>
          <mc:Choice Requires="wps">
            <w:drawing>
              <wp:anchor distT="4294967295" distB="4294967295" distL="114300" distR="114300" simplePos="0" relativeHeight="251672576" behindDoc="0" locked="0" layoutInCell="1" allowOverlap="1" wp14:anchorId="7CBF894A" wp14:editId="5B02CDEC">
                <wp:simplePos x="0" y="0"/>
                <wp:positionH relativeFrom="column">
                  <wp:posOffset>4084320</wp:posOffset>
                </wp:positionH>
                <wp:positionV relativeFrom="paragraph">
                  <wp:posOffset>395604</wp:posOffset>
                </wp:positionV>
                <wp:extent cx="178435" cy="0"/>
                <wp:effectExtent l="0" t="76200" r="12065" b="95250"/>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4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43AF3F" id="Přímá spojnice se šipkou 23" o:spid="_x0000_s1026" type="#_x0000_t32" style="position:absolute;margin-left:321.6pt;margin-top:31.15pt;width:14.0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63360" behindDoc="0" locked="0" layoutInCell="1" allowOverlap="1" wp14:anchorId="15A2C21C" wp14:editId="1FFD6AD0">
                <wp:simplePos x="0" y="0"/>
                <wp:positionH relativeFrom="column">
                  <wp:posOffset>4262120</wp:posOffset>
                </wp:positionH>
                <wp:positionV relativeFrom="paragraph">
                  <wp:posOffset>184785</wp:posOffset>
                </wp:positionV>
                <wp:extent cx="857250" cy="488315"/>
                <wp:effectExtent l="0" t="0" r="19050" b="26035"/>
                <wp:wrapNone/>
                <wp:docPr id="2"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6BA24A" w14:textId="77777777" w:rsidR="00101AEB" w:rsidRPr="009725CA" w:rsidRDefault="00101AEB" w:rsidP="00E92A89">
                            <w:pPr>
                              <w:jc w:val="center"/>
                              <w:rPr>
                                <w:sz w:val="20"/>
                                <w:szCs w:val="20"/>
                              </w:rPr>
                            </w:pPr>
                            <w:r w:rsidRPr="009725CA">
                              <w:rPr>
                                <w:sz w:val="20"/>
                                <w:szCs w:val="20"/>
                              </w:rPr>
                              <w:t>střednědobé změny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C21C" id="Textové pole 7" o:spid="_x0000_s1027" type="#_x0000_t202" style="position:absolute;margin-left:335.6pt;margin-top:14.55pt;width:67.5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" fillcolor="white [3201]" strokeweight=".5pt">
                <v:path arrowok="t"/>
                <v:textbox>
                  <w:txbxContent>
                    <w:p w14:paraId="2B6BA24A" w14:textId="77777777" w:rsidR="00101AEB" w:rsidRPr="009725CA" w:rsidRDefault="00101AEB" w:rsidP="00E92A89">
                      <w:pPr>
                        <w:jc w:val="center"/>
                        <w:rPr>
                          <w:sz w:val="20"/>
                          <w:szCs w:val="20"/>
                        </w:rPr>
                      </w:pPr>
                      <w:r w:rsidRPr="009725CA">
                        <w:rPr>
                          <w:sz w:val="20"/>
                          <w:szCs w:val="20"/>
                        </w:rPr>
                        <w:t>střednědobé změny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62336" behindDoc="0" locked="0" layoutInCell="1" allowOverlap="1" wp14:anchorId="57F781B5" wp14:editId="4D37D5EB">
                <wp:simplePos x="0" y="0"/>
                <wp:positionH relativeFrom="column">
                  <wp:posOffset>2980055</wp:posOffset>
                </wp:positionH>
                <wp:positionV relativeFrom="paragraph">
                  <wp:posOffset>175895</wp:posOffset>
                </wp:positionV>
                <wp:extent cx="1098550" cy="485775"/>
                <wp:effectExtent l="0" t="0" r="25400" b="28575"/>
                <wp:wrapNone/>
                <wp:docPr id="5"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B3AB95" w14:textId="77777777" w:rsidR="00101AEB" w:rsidRPr="009725CA" w:rsidRDefault="00101AEB" w:rsidP="00E92A89">
                            <w:pPr>
                              <w:jc w:val="center"/>
                              <w:rPr>
                                <w:sz w:val="20"/>
                                <w:szCs w:val="20"/>
                              </w:rPr>
                            </w:pPr>
                            <w:r w:rsidRPr="009725CA">
                              <w:rPr>
                                <w:sz w:val="20"/>
                                <w:szCs w:val="20"/>
                              </w:rPr>
                              <w:t>okamžité efekty (výsledky)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81B5" id="Textové pole 6" o:spid="_x0000_s1028" type="#_x0000_t202" style="position:absolute;margin-left:234.65pt;margin-top:13.85pt;width:86.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" fillcolor="white [3201]" strokeweight=".5pt">
                <v:path arrowok="t"/>
                <v:textbox>
                  <w:txbxContent>
                    <w:p w14:paraId="6CB3AB95" w14:textId="77777777" w:rsidR="00101AEB" w:rsidRPr="009725CA" w:rsidRDefault="00101AEB" w:rsidP="00E92A89">
                      <w:pPr>
                        <w:jc w:val="center"/>
                        <w:rPr>
                          <w:sz w:val="20"/>
                          <w:szCs w:val="20"/>
                        </w:rPr>
                      </w:pPr>
                      <w:r w:rsidRPr="009725CA">
                        <w:rPr>
                          <w:sz w:val="20"/>
                          <w:szCs w:val="20"/>
                        </w:rPr>
                        <w:t>okamžité efekty (výsledky)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64384" behindDoc="0" locked="0" layoutInCell="1" allowOverlap="1" wp14:anchorId="7216780D" wp14:editId="63088933">
                <wp:simplePos x="0" y="0"/>
                <wp:positionH relativeFrom="column">
                  <wp:posOffset>5264785</wp:posOffset>
                </wp:positionH>
                <wp:positionV relativeFrom="paragraph">
                  <wp:posOffset>185420</wp:posOffset>
                </wp:positionV>
                <wp:extent cx="609600" cy="476250"/>
                <wp:effectExtent l="0" t="0" r="19050" b="1905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8DB51" w14:textId="77777777" w:rsidR="00101AEB" w:rsidRPr="009725CA" w:rsidRDefault="00101AEB" w:rsidP="00E92A89">
                            <w:pPr>
                              <w:jc w:val="center"/>
                              <w:rPr>
                                <w:sz w:val="20"/>
                                <w:szCs w:val="20"/>
                              </w:rPr>
                            </w:pPr>
                            <w:r w:rsidRPr="009725CA">
                              <w:rPr>
                                <w:sz w:val="20"/>
                                <w:szCs w:val="20"/>
                              </w:rPr>
                              <w:t>dopady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16780D" id="Textové pole 9" o:spid="_x0000_s1029" type="#_x0000_t202" style="position:absolute;margin-left:414.55pt;margin-top:14.6pt;width:48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" fillcolor="white [3201]" strokeweight=".5pt">
                <v:path arrowok="t"/>
                <v:textbox>
                  <w:txbxContent>
                    <w:p w14:paraId="4838DB51" w14:textId="77777777" w:rsidR="00101AEB" w:rsidRPr="009725CA" w:rsidRDefault="00101AEB" w:rsidP="00E92A89">
                      <w:pPr>
                        <w:jc w:val="center"/>
                        <w:rPr>
                          <w:sz w:val="20"/>
                          <w:szCs w:val="20"/>
                        </w:rPr>
                      </w:pPr>
                      <w:r w:rsidRPr="009725CA">
                        <w:rPr>
                          <w:sz w:val="20"/>
                          <w:szCs w:val="20"/>
                        </w:rPr>
                        <w:t>dopady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71552" behindDoc="0" locked="0" layoutInCell="1" allowOverlap="1" wp14:anchorId="59845ABE" wp14:editId="459A1678">
                <wp:simplePos x="0" y="0"/>
                <wp:positionH relativeFrom="column">
                  <wp:posOffset>2778125</wp:posOffset>
                </wp:positionH>
                <wp:positionV relativeFrom="paragraph">
                  <wp:posOffset>377825</wp:posOffset>
                </wp:positionV>
                <wp:extent cx="201930" cy="5715"/>
                <wp:effectExtent l="0" t="76200" r="26670" b="89535"/>
                <wp:wrapNone/>
                <wp:docPr id="2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 cy="5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527737" id="Přímá spojnice se šipkou 22" o:spid="_x0000_s1026" type="#_x0000_t32" style="position:absolute;margin-left:218.75pt;margin-top:29.75pt;width:15.9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" strokecolor="#4579b8 [3044]">
                <v:stroke endarrow="block"/>
                <o:lock v:ext="edit" shapetype="f"/>
              </v:shape>
            </w:pict>
          </mc:Fallback>
        </mc:AlternateContent>
      </w:r>
      <w:r>
        <w:rPr>
          <w:rFonts w:ascii="Calibri" w:hAnsi="Calibri" w:cs="Calibri"/>
          <w:noProof/>
          <w:lang w:eastAsia="cs-CZ"/>
        </w:rPr>
        <mc:AlternateContent>
          <mc:Choice Requires="wps">
            <w:drawing>
              <wp:anchor distT="4294967295" distB="4294967295" distL="114300" distR="114300" simplePos="0" relativeHeight="251670528" behindDoc="0" locked="0" layoutInCell="1" allowOverlap="1" wp14:anchorId="435CE591" wp14:editId="5DDFBBB3">
                <wp:simplePos x="0" y="0"/>
                <wp:positionH relativeFrom="column">
                  <wp:posOffset>1828800</wp:posOffset>
                </wp:positionH>
                <wp:positionV relativeFrom="paragraph">
                  <wp:posOffset>395604</wp:posOffset>
                </wp:positionV>
                <wp:extent cx="219075" cy="0"/>
                <wp:effectExtent l="0" t="76200" r="9525" b="95250"/>
                <wp:wrapNone/>
                <wp:docPr id="21" name="Přímá spojnice se šipkou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A80C02" id="Přímá spojnice se šipkou 21" o:spid="_x0000_s1026" type="#_x0000_t32" style="position:absolute;margin-left:2in;margin-top:31.15pt;width:17.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61312" behindDoc="0" locked="0" layoutInCell="1" allowOverlap="1" wp14:anchorId="6B309B90" wp14:editId="42CCE5D6">
                <wp:simplePos x="0" y="0"/>
                <wp:positionH relativeFrom="column">
                  <wp:posOffset>2047875</wp:posOffset>
                </wp:positionH>
                <wp:positionV relativeFrom="paragraph">
                  <wp:posOffset>162560</wp:posOffset>
                </wp:positionV>
                <wp:extent cx="723900" cy="499745"/>
                <wp:effectExtent l="0" t="0" r="19050" b="14605"/>
                <wp:wrapNone/>
                <wp:docPr id="10"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73853B" w14:textId="77777777" w:rsidR="00101AEB" w:rsidRPr="009725CA" w:rsidRDefault="00101AEB" w:rsidP="00E92A89">
                            <w:pPr>
                              <w:jc w:val="center"/>
                              <w:rPr>
                                <w:sz w:val="20"/>
                                <w:szCs w:val="20"/>
                              </w:rPr>
                            </w:pPr>
                            <w:r w:rsidRPr="009725CA">
                              <w:rPr>
                                <w:sz w:val="20"/>
                                <w:szCs w:val="20"/>
                              </w:rPr>
                              <w:t>výstupy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9B90" id="Textové pole 5" o:spid="_x0000_s1030" type="#_x0000_t202" style="position:absolute;margin-left:161.25pt;margin-top:12.8pt;width:57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" fillcolor="white [3201]" strokeweight=".5pt">
                <v:path arrowok="t"/>
                <v:textbox>
                  <w:txbxContent>
                    <w:p w14:paraId="3B73853B" w14:textId="77777777" w:rsidR="00101AEB" w:rsidRPr="009725CA" w:rsidRDefault="00101AEB" w:rsidP="00E92A89">
                      <w:pPr>
                        <w:jc w:val="center"/>
                        <w:rPr>
                          <w:sz w:val="20"/>
                          <w:szCs w:val="20"/>
                        </w:rPr>
                      </w:pPr>
                      <w:r w:rsidRPr="009725CA">
                        <w:rPr>
                          <w:sz w:val="20"/>
                          <w:szCs w:val="20"/>
                        </w:rPr>
                        <w:t>výstupy</w:t>
                      </w:r>
                    </w:p>
                  </w:txbxContent>
                </v:textbox>
              </v:shape>
            </w:pict>
          </mc:Fallback>
        </mc:AlternateContent>
      </w:r>
      <w:r>
        <w:rPr>
          <w:rFonts w:ascii="Calibri" w:hAnsi="Calibri" w:cs="Calibri"/>
          <w:noProof/>
          <w:lang w:eastAsia="cs-CZ"/>
        </w:rPr>
        <mc:AlternateContent>
          <mc:Choice Requires="wps">
            <w:drawing>
              <wp:anchor distT="4294967295" distB="4294967295" distL="114300" distR="114300" simplePos="0" relativeHeight="251669504" behindDoc="0" locked="0" layoutInCell="1" allowOverlap="1" wp14:anchorId="499A2C9E" wp14:editId="3AAE7620">
                <wp:simplePos x="0" y="0"/>
                <wp:positionH relativeFrom="column">
                  <wp:posOffset>872490</wp:posOffset>
                </wp:positionH>
                <wp:positionV relativeFrom="paragraph">
                  <wp:posOffset>395604</wp:posOffset>
                </wp:positionV>
                <wp:extent cx="213995" cy="0"/>
                <wp:effectExtent l="0" t="76200" r="14605" b="95250"/>
                <wp:wrapNone/>
                <wp:docPr id="19"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0A5539" id="Přímá spojnice se šipkou 19" o:spid="_x0000_s1026" type="#_x0000_t32" style="position:absolute;margin-left:68.7pt;margin-top:31.15pt;width:16.8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" strokecolor="#4579b8 [3044]">
                <v:stroke endarrow="block"/>
                <o:lock v:ext="edit" shapetype="f"/>
              </v:shape>
            </w:pict>
          </mc:Fallback>
        </mc:AlternateContent>
      </w:r>
      <w:r>
        <w:rPr>
          <w:rFonts w:ascii="Calibri" w:hAnsi="Calibri" w:cs="Calibri"/>
          <w:noProof/>
          <w:lang w:eastAsia="cs-CZ"/>
        </w:rPr>
        <mc:AlternateContent>
          <mc:Choice Requires="wps">
            <w:drawing>
              <wp:anchor distT="4294967295" distB="4294967295" distL="114299" distR="114299" simplePos="0" relativeHeight="251668480" behindDoc="0" locked="0" layoutInCell="1" allowOverlap="1" wp14:anchorId="51F68377" wp14:editId="791E3DE6">
                <wp:simplePos x="0" y="0"/>
                <wp:positionH relativeFrom="column">
                  <wp:posOffset>872489</wp:posOffset>
                </wp:positionH>
                <wp:positionV relativeFrom="paragraph">
                  <wp:posOffset>419099</wp:posOffset>
                </wp:positionV>
                <wp:extent cx="0" cy="0"/>
                <wp:effectExtent l="0" t="0" r="0" b="0"/>
                <wp:wrapNone/>
                <wp:docPr id="17" name="Pravoúhlá spojnic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9F08C0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17" o:spid="_x0000_s1026" type="#_x0000_t34" style="position:absolute;margin-left:68.7pt;margin-top:33pt;width:0;height:0;z-index:2516684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" strokecolor="#4579b8 [3044]">
                <v:stroke endarrow="block"/>
                <o:lock v:ext="edit" shapetype="f"/>
              </v:shape>
            </w:pict>
          </mc:Fallback>
        </mc:AlternateContent>
      </w:r>
      <w:r>
        <w:rPr>
          <w:rFonts w:ascii="Calibri" w:hAnsi="Calibri" w:cs="Calibri"/>
          <w:noProof/>
          <w:lang w:eastAsia="cs-CZ"/>
        </w:rPr>
        <mc:AlternateContent>
          <mc:Choice Requires="wps">
            <w:drawing>
              <wp:anchor distT="0" distB="0" distL="114300" distR="114300" simplePos="0" relativeHeight="251660288" behindDoc="0" locked="0" layoutInCell="1" allowOverlap="1" wp14:anchorId="1839A04F" wp14:editId="75C7C4FF">
                <wp:simplePos x="0" y="0"/>
                <wp:positionH relativeFrom="column">
                  <wp:posOffset>1085850</wp:posOffset>
                </wp:positionH>
                <wp:positionV relativeFrom="paragraph">
                  <wp:posOffset>158115</wp:posOffset>
                </wp:positionV>
                <wp:extent cx="742950" cy="504825"/>
                <wp:effectExtent l="0" t="0" r="19050" b="28575"/>
                <wp:wrapNone/>
                <wp:docPr id="16"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E7E2E" w14:textId="77777777" w:rsidR="00101AEB" w:rsidRPr="009725CA" w:rsidRDefault="00101AEB" w:rsidP="00E92A89">
                            <w:pPr>
                              <w:jc w:val="center"/>
                              <w:rPr>
                                <w:sz w:val="20"/>
                                <w:szCs w:val="20"/>
                              </w:rPr>
                            </w:pPr>
                            <w:r w:rsidRPr="009725CA">
                              <w:rPr>
                                <w:sz w:val="20"/>
                                <w:szCs w:val="20"/>
                              </w:rPr>
                              <w:t>aktivity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A04F" id="Textové pole 1" o:spid="_x0000_s1031" type="#_x0000_t202" style="position:absolute;margin-left:85.5pt;margin-top:12.45pt;width:58.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" fillcolor="white [3201]" strokeweight=".5pt">
                <v:path arrowok="t"/>
                <v:textbox>
                  <w:txbxContent>
                    <w:p w14:paraId="5A4E7E2E" w14:textId="77777777" w:rsidR="00101AEB" w:rsidRPr="009725CA" w:rsidRDefault="00101AEB" w:rsidP="00E92A89">
                      <w:pPr>
                        <w:jc w:val="center"/>
                        <w:rPr>
                          <w:sz w:val="20"/>
                          <w:szCs w:val="20"/>
                        </w:rPr>
                      </w:pPr>
                      <w:r w:rsidRPr="009725CA">
                        <w:rPr>
                          <w:sz w:val="20"/>
                          <w:szCs w:val="20"/>
                        </w:rPr>
                        <w:t>aktivity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59264" behindDoc="0" locked="0" layoutInCell="1" allowOverlap="1" wp14:anchorId="0BDD63B9" wp14:editId="47477810">
                <wp:simplePos x="0" y="0"/>
                <wp:positionH relativeFrom="column">
                  <wp:posOffset>189230</wp:posOffset>
                </wp:positionH>
                <wp:positionV relativeFrom="paragraph">
                  <wp:posOffset>158115</wp:posOffset>
                </wp:positionV>
                <wp:extent cx="676910" cy="516890"/>
                <wp:effectExtent l="0" t="0" r="27940" b="1651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516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05E5EB" w14:textId="77777777" w:rsidR="00101AEB" w:rsidRPr="009725CA" w:rsidRDefault="00101AEB" w:rsidP="00E92A89">
                            <w:pPr>
                              <w:jc w:val="center"/>
                              <w:rPr>
                                <w:sz w:val="20"/>
                                <w:szCs w:val="20"/>
                              </w:rPr>
                            </w:pPr>
                            <w:r w:rsidRPr="009725CA">
                              <w:rPr>
                                <w:sz w:val="20"/>
                                <w:szCs w:val="20"/>
                              </w:rPr>
                              <w:t>vstupy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63B9" id="Textové pole 18" o:spid="_x0000_s1032" type="#_x0000_t202" style="position:absolute;margin-left:14.9pt;margin-top:12.45pt;width:53.3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" fillcolor="white [3201]" strokeweight=".5pt">
                <v:path arrowok="t"/>
                <v:textbox>
                  <w:txbxContent>
                    <w:p w14:paraId="3F05E5EB" w14:textId="77777777" w:rsidR="00101AEB" w:rsidRPr="009725CA" w:rsidRDefault="00101AEB" w:rsidP="00E92A89">
                      <w:pPr>
                        <w:jc w:val="center"/>
                        <w:rPr>
                          <w:sz w:val="20"/>
                          <w:szCs w:val="20"/>
                        </w:rPr>
                      </w:pPr>
                      <w:r w:rsidRPr="009725CA">
                        <w:rPr>
                          <w:sz w:val="20"/>
                          <w:szCs w:val="20"/>
                        </w:rPr>
                        <w:t>vstupy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66432" behindDoc="0" locked="0" layoutInCell="1" allowOverlap="1" wp14:anchorId="1BD5DF12" wp14:editId="76DB8689">
                <wp:simplePos x="0" y="0"/>
                <wp:positionH relativeFrom="column">
                  <wp:posOffset>202565</wp:posOffset>
                </wp:positionH>
                <wp:positionV relativeFrom="paragraph">
                  <wp:posOffset>1283335</wp:posOffset>
                </wp:positionV>
                <wp:extent cx="1571625" cy="266700"/>
                <wp:effectExtent l="0" t="0" r="28575" b="1905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FDE0F" w14:textId="77777777" w:rsidR="00101AEB" w:rsidRPr="009725CA" w:rsidRDefault="00101AEB" w:rsidP="00E92A89">
                            <w:pPr>
                              <w:jc w:val="center"/>
                              <w:rPr>
                                <w:sz w:val="20"/>
                                <w:szCs w:val="20"/>
                              </w:rPr>
                            </w:pPr>
                            <w:r w:rsidRPr="009725CA">
                              <w:rPr>
                                <w:sz w:val="20"/>
                                <w:szCs w:val="20"/>
                              </w:rPr>
                              <w:t>externí vlivy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D5DF12" id="Textové pole 20" o:spid="_x0000_s1033" type="#_x0000_t202" style="position:absolute;margin-left:15.95pt;margin-top:101.05pt;width:123.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" fillcolor="white [3201]" strokeweight=".5pt">
                <v:path arrowok="t"/>
                <v:textbox>
                  <w:txbxContent>
                    <w:p w14:paraId="4C6FDE0F" w14:textId="77777777" w:rsidR="00101AEB" w:rsidRPr="009725CA" w:rsidRDefault="00101AEB" w:rsidP="00E92A89">
                      <w:pPr>
                        <w:jc w:val="center"/>
                        <w:rPr>
                          <w:sz w:val="20"/>
                          <w:szCs w:val="20"/>
                        </w:rPr>
                      </w:pPr>
                      <w:r w:rsidRPr="009725CA">
                        <w:rPr>
                          <w:sz w:val="20"/>
                          <w:szCs w:val="20"/>
                        </w:rPr>
                        <w:t>externí vlivy</w:t>
                      </w:r>
                    </w:p>
                  </w:txbxContent>
                </v:textbox>
              </v:shape>
            </w:pict>
          </mc:Fallback>
        </mc:AlternateContent>
      </w:r>
      <w:r>
        <w:rPr>
          <w:rFonts w:ascii="Calibri" w:hAnsi="Calibri" w:cs="Calibri"/>
          <w:noProof/>
          <w:lang w:eastAsia="cs-CZ"/>
        </w:rPr>
        <mc:AlternateContent>
          <mc:Choice Requires="wps">
            <w:drawing>
              <wp:anchor distT="0" distB="0" distL="114300" distR="114300" simplePos="0" relativeHeight="251665408" behindDoc="0" locked="0" layoutInCell="1" allowOverlap="1" wp14:anchorId="5EC51D2B" wp14:editId="4AFCEDEF">
                <wp:simplePos x="0" y="0"/>
                <wp:positionH relativeFrom="column">
                  <wp:posOffset>909955</wp:posOffset>
                </wp:positionH>
                <wp:positionV relativeFrom="paragraph">
                  <wp:posOffset>842010</wp:posOffset>
                </wp:positionV>
                <wp:extent cx="4000500" cy="257175"/>
                <wp:effectExtent l="0" t="0" r="19050" b="28575"/>
                <wp:wrapNone/>
                <wp:docPr id="30" name="Textové pol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FDCAE" w14:textId="77777777" w:rsidR="00101AEB" w:rsidRPr="009725CA" w:rsidRDefault="00101AEB" w:rsidP="00E92A89">
                            <w:pPr>
                              <w:jc w:val="center"/>
                              <w:rPr>
                                <w:sz w:val="20"/>
                                <w:szCs w:val="20"/>
                              </w:rPr>
                            </w:pPr>
                            <w:r w:rsidRPr="009725CA">
                              <w:rPr>
                                <w:sz w:val="20"/>
                                <w:szCs w:val="20"/>
                              </w:rPr>
                              <w:t>předpoklady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C51D2B" id="Textové pole 30" o:spid="_x0000_s1034" type="#_x0000_t202" style="position:absolute;margin-left:71.65pt;margin-top:66.3pt;width:31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" fillcolor="white [3201]" strokeweight=".5pt">
                <v:path arrowok="t"/>
                <v:textbox>
                  <w:txbxContent>
                    <w:p w14:paraId="6B4FDCAE" w14:textId="77777777" w:rsidR="00101AEB" w:rsidRPr="009725CA" w:rsidRDefault="00101AEB" w:rsidP="00E92A89">
                      <w:pPr>
                        <w:jc w:val="center"/>
                        <w:rPr>
                          <w:sz w:val="20"/>
                          <w:szCs w:val="20"/>
                        </w:rPr>
                      </w:pPr>
                      <w:r w:rsidRPr="009725CA">
                        <w:rPr>
                          <w:sz w:val="20"/>
                          <w:szCs w:val="20"/>
                        </w:rPr>
                        <w:t>předpoklady</w:t>
                      </w:r>
                    </w:p>
                  </w:txbxContent>
                </v:textbox>
              </v:shape>
            </w:pict>
          </mc:Fallback>
        </mc:AlternateContent>
      </w:r>
      <w:r>
        <w:rPr>
          <w:rFonts w:ascii="Calibri" w:hAnsi="Calibri" w:cs="Calibri"/>
          <w:noProof/>
          <w:lang w:eastAsia="cs-CZ"/>
        </w:rPr>
        <mc:AlternateContent>
          <mc:Choice Requires="wps">
            <w:drawing>
              <wp:inline distT="0" distB="0" distL="0" distR="0" wp14:anchorId="6440D891" wp14:editId="26C11E59">
                <wp:extent cx="5981700" cy="1704340"/>
                <wp:effectExtent l="8890" t="10160" r="10160" b="9525"/>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704340"/>
                        </a:xfrm>
                        <a:prstGeom prst="rect">
                          <a:avLst/>
                        </a:prstGeom>
                        <a:solidFill>
                          <a:srgbClr val="FFFFFF"/>
                        </a:solidFill>
                        <a:ln w="9525">
                          <a:solidFill>
                            <a:srgbClr val="000000"/>
                          </a:solidFill>
                          <a:miter lim="800000"/>
                          <a:headEnd/>
                          <a:tailEnd/>
                        </a:ln>
                      </wps:spPr>
                      <wps:txbx>
                        <w:txbxContent>
                          <w:p w14:paraId="1E29AF50" w14:textId="77777777" w:rsidR="00101AEB" w:rsidRDefault="00101AEB" w:rsidP="00E92A89"/>
                        </w:txbxContent>
                      </wps:txbx>
                      <wps:bodyPr rot="0" vert="horz" wrap="square" lIns="91440" tIns="45720" rIns="91440" bIns="45720" anchor="t" anchorCtr="0" upright="1">
                        <a:noAutofit/>
                      </wps:bodyPr>
                    </wps:wsp>
                  </a:graphicData>
                </a:graphic>
              </wp:inline>
            </w:drawing>
          </mc:Choice>
          <mc:Fallback>
            <w:pict>
              <v:shape w14:anchorId="6440D891" id="Textové pole 2" o:spid="_x0000_s1035" type="#_x0000_t202" style="width:471pt;height:1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">
                <v:textbox>
                  <w:txbxContent>
                    <w:p w14:paraId="1E29AF50" w14:textId="77777777" w:rsidR="00101AEB" w:rsidRDefault="00101AEB" w:rsidP="00E92A89"/>
                  </w:txbxContent>
                </v:textbox>
                <w10:anchorlock/>
              </v:shape>
            </w:pict>
          </mc:Fallback>
        </mc:AlternateContent>
      </w:r>
    </w:p>
    <w:p w14:paraId="67133676" w14:textId="77777777" w:rsidR="00E92A89" w:rsidRPr="001C50E7" w:rsidRDefault="00E92A89" w:rsidP="00E92A89">
      <w:pPr>
        <w:spacing w:after="0"/>
        <w:rPr>
          <w:rFonts w:ascii="Calibri" w:hAnsi="Calibri" w:cs="Calibri"/>
        </w:rPr>
      </w:pPr>
      <w:r w:rsidRPr="001C50E7">
        <w:rPr>
          <w:rFonts w:ascii="Calibri" w:hAnsi="Calibri" w:cs="Calibri"/>
        </w:rPr>
        <w:t xml:space="preserve">        </w:t>
      </w:r>
    </w:p>
    <w:p w14:paraId="671D4CC5" w14:textId="3CB020E7" w:rsidR="00E92A89" w:rsidRDefault="00E92A89" w:rsidP="00E92A89">
      <w:pPr>
        <w:spacing w:after="0"/>
        <w:rPr>
          <w:rFonts w:ascii="Calibri" w:hAnsi="Calibri" w:cs="Calibri"/>
        </w:rPr>
      </w:pPr>
      <w:r w:rsidRPr="001C50E7">
        <w:rPr>
          <w:rFonts w:ascii="Calibri" w:hAnsi="Calibri" w:cs="Calibri"/>
        </w:rPr>
        <w:t xml:space="preserve">ToC </w:t>
      </w:r>
      <w:r w:rsidR="006111FC">
        <w:rPr>
          <w:rFonts w:ascii="Calibri" w:hAnsi="Calibri" w:cs="Calibri"/>
        </w:rPr>
        <w:t>byla verifikována prostřednictvím analýzy dat o stavu realizace SC a prostřednictvím informací o projektech podpořených v jednotlivých PP</w:t>
      </w:r>
      <w:r w:rsidRPr="001C50E7">
        <w:rPr>
          <w:rFonts w:ascii="Calibri" w:hAnsi="Calibri" w:cs="Calibri"/>
        </w:rPr>
        <w:t xml:space="preserve">. </w:t>
      </w:r>
      <w:r w:rsidRPr="008B5485">
        <w:rPr>
          <w:rFonts w:ascii="Calibri" w:hAnsi="Calibri" w:cs="Calibri"/>
        </w:rPr>
        <w:t>ToC sestavené hodnotitelem k</w:t>
      </w:r>
      <w:r w:rsidR="006111FC" w:rsidRPr="008B5485">
        <w:rPr>
          <w:rFonts w:ascii="Calibri" w:hAnsi="Calibri" w:cs="Calibri"/>
        </w:rPr>
        <w:t xml:space="preserve">e všem </w:t>
      </w:r>
      <w:r w:rsidR="006111FC" w:rsidRPr="00A75E34">
        <w:rPr>
          <w:rFonts w:ascii="Calibri" w:hAnsi="Calibri" w:cs="Calibri"/>
        </w:rPr>
        <w:t>třem</w:t>
      </w:r>
      <w:r w:rsidRPr="00A75E34">
        <w:rPr>
          <w:rFonts w:ascii="Calibri" w:hAnsi="Calibri" w:cs="Calibri"/>
        </w:rPr>
        <w:t xml:space="preserve"> SC, včetně doplňujících informací a komentářů, </w:t>
      </w:r>
      <w:r w:rsidRPr="007A2593">
        <w:rPr>
          <w:rFonts w:ascii="Calibri" w:hAnsi="Calibri" w:cs="Calibri"/>
        </w:rPr>
        <w:t xml:space="preserve">obsahuje příloha </w:t>
      </w:r>
      <w:r w:rsidR="007A2593" w:rsidRPr="007A2593">
        <w:rPr>
          <w:rFonts w:ascii="Calibri" w:hAnsi="Calibri" w:cs="Calibri"/>
        </w:rPr>
        <w:t>1</w:t>
      </w:r>
      <w:r w:rsidRPr="007A2593">
        <w:rPr>
          <w:rFonts w:ascii="Calibri" w:hAnsi="Calibri" w:cs="Calibri"/>
        </w:rPr>
        <w:t xml:space="preserve"> této Závěrečné zprávy</w:t>
      </w:r>
      <w:r w:rsidRPr="003B2614">
        <w:rPr>
          <w:rFonts w:ascii="Calibri" w:hAnsi="Calibri" w:cs="Calibri"/>
        </w:rPr>
        <w:t>.</w:t>
      </w:r>
    </w:p>
    <w:p w14:paraId="6A16FDBA" w14:textId="77777777" w:rsidR="00E92A89" w:rsidRPr="001C50E7" w:rsidRDefault="00E92A89" w:rsidP="00E92A89">
      <w:pPr>
        <w:spacing w:after="0"/>
        <w:rPr>
          <w:rFonts w:ascii="Calibri" w:hAnsi="Calibri" w:cs="Calibri"/>
        </w:rPr>
      </w:pPr>
    </w:p>
    <w:p w14:paraId="0F10B273" w14:textId="6968355C" w:rsidR="00E92A89" w:rsidRPr="00D47B20" w:rsidRDefault="00E92A89" w:rsidP="00E92A89">
      <w:pPr>
        <w:spacing w:after="0"/>
        <w:rPr>
          <w:rFonts w:ascii="Calibri" w:hAnsi="Calibri" w:cs="Calibri"/>
        </w:rPr>
      </w:pPr>
      <w:r w:rsidRPr="00D47B20">
        <w:rPr>
          <w:rFonts w:ascii="Calibri" w:hAnsi="Calibri" w:cs="Calibri"/>
        </w:rPr>
        <w:t xml:space="preserve">Zjištění hodnotitele </w:t>
      </w:r>
      <w:r w:rsidRPr="002A55B2">
        <w:rPr>
          <w:rFonts w:ascii="Calibri" w:hAnsi="Calibri" w:cs="Calibri"/>
          <w:b/>
        </w:rPr>
        <w:t xml:space="preserve">potvrzují existenci souvislostí (příčin a následků) mezi intervencemi a cíli SC </w:t>
      </w:r>
      <w:r w:rsidR="006111FC" w:rsidRPr="002A55B2">
        <w:rPr>
          <w:rFonts w:ascii="Calibri" w:hAnsi="Calibri" w:cs="Calibri"/>
          <w:b/>
        </w:rPr>
        <w:t>3</w:t>
      </w:r>
      <w:r w:rsidR="00D47B20" w:rsidRPr="002A55B2">
        <w:rPr>
          <w:rFonts w:ascii="Calibri" w:hAnsi="Calibri" w:cs="Calibri"/>
          <w:b/>
        </w:rPr>
        <w:t>.1,</w:t>
      </w:r>
      <w:r w:rsidRPr="002A55B2">
        <w:rPr>
          <w:rFonts w:ascii="Calibri" w:hAnsi="Calibri" w:cs="Calibri"/>
          <w:b/>
        </w:rPr>
        <w:t xml:space="preserve"> </w:t>
      </w:r>
      <w:r w:rsidR="006111FC" w:rsidRPr="002A55B2">
        <w:rPr>
          <w:rFonts w:ascii="Calibri" w:hAnsi="Calibri" w:cs="Calibri"/>
          <w:b/>
        </w:rPr>
        <w:t>3</w:t>
      </w:r>
      <w:r w:rsidRPr="002A55B2">
        <w:rPr>
          <w:rFonts w:ascii="Calibri" w:hAnsi="Calibri" w:cs="Calibri"/>
          <w:b/>
        </w:rPr>
        <w:t xml:space="preserve">.2 </w:t>
      </w:r>
      <w:r w:rsidR="00D47B20" w:rsidRPr="002A55B2">
        <w:rPr>
          <w:rFonts w:ascii="Calibri" w:hAnsi="Calibri" w:cs="Calibri"/>
          <w:b/>
        </w:rPr>
        <w:t xml:space="preserve">i 3.4 </w:t>
      </w:r>
      <w:r w:rsidRPr="002A55B2">
        <w:rPr>
          <w:rFonts w:ascii="Calibri" w:hAnsi="Calibri" w:cs="Calibri"/>
          <w:b/>
        </w:rPr>
        <w:t>ve smyslu kauzálního řetězce: vstupy – aktivity – výstupy – okamžité efekty – střednědobé změny - dopady.</w:t>
      </w:r>
    </w:p>
    <w:p w14:paraId="683107EC" w14:textId="77777777" w:rsidR="00664EBC" w:rsidRDefault="00664EBC" w:rsidP="00664EBC">
      <w:pPr>
        <w:spacing w:after="0"/>
        <w:rPr>
          <w:rFonts w:ascii="Calibri" w:hAnsi="Calibri" w:cs="Calibri"/>
        </w:rPr>
      </w:pPr>
    </w:p>
    <w:p w14:paraId="0038C6B9" w14:textId="77777777" w:rsidR="00C91048" w:rsidRDefault="00C91048" w:rsidP="00C91048">
      <w:pPr>
        <w:pStyle w:val="Nadpis3"/>
      </w:pPr>
      <w:bookmarkStart w:id="221" w:name="_Toc1398415"/>
      <w:bookmarkStart w:id="222" w:name="_Toc10729997"/>
      <w:r w:rsidRPr="00F014A1">
        <w:t>Relevance</w:t>
      </w:r>
      <w:bookmarkEnd w:id="221"/>
      <w:bookmarkEnd w:id="222"/>
    </w:p>
    <w:p w14:paraId="472A286F" w14:textId="12AAA9C6" w:rsidR="004960D6" w:rsidRDefault="004960D6" w:rsidP="002A55B2">
      <w:pPr>
        <w:spacing w:after="0"/>
      </w:pPr>
      <w:r>
        <w:rPr>
          <w:rFonts w:ascii="Calibri" w:hAnsi="Calibri" w:cs="Calibri"/>
        </w:rPr>
        <w:t xml:space="preserve">Jak bylo již prokázáno ve studii </w:t>
      </w:r>
      <w:r w:rsidRPr="004960D6">
        <w:rPr>
          <w:rFonts w:ascii="Calibri" w:hAnsi="Calibri" w:cs="Calibri"/>
        </w:rPr>
        <w:t>Relevance rozvojových potřeb a příspěvek k plnění cílů</w:t>
      </w:r>
      <w:r w:rsidR="00D47B20">
        <w:rPr>
          <w:rFonts w:ascii="Calibri" w:hAnsi="Calibri" w:cs="Calibri"/>
        </w:rPr>
        <w:t xml:space="preserve"> Dohody o </w:t>
      </w:r>
      <w:r w:rsidRPr="004960D6">
        <w:rPr>
          <w:rFonts w:ascii="Calibri" w:hAnsi="Calibri" w:cs="Calibri"/>
        </w:rPr>
        <w:t>partnerství za léta 2014 – 2016</w:t>
      </w:r>
      <w:r w:rsidR="007153D4">
        <w:rPr>
          <w:rStyle w:val="Znakapoznpodarou"/>
          <w:rFonts w:ascii="Calibri" w:hAnsi="Calibri" w:cs="Calibri"/>
        </w:rPr>
        <w:footnoteReference w:id="26"/>
      </w:r>
      <w:r>
        <w:rPr>
          <w:rFonts w:ascii="Calibri" w:hAnsi="Calibri" w:cs="Calibri"/>
        </w:rPr>
        <w:t xml:space="preserve">, která byla aktualizovaná v lednu 2018, sledované strategické cíle OP </w:t>
      </w:r>
      <w:r>
        <w:rPr>
          <w:rFonts w:ascii="Calibri" w:hAnsi="Calibri" w:cs="Calibri"/>
        </w:rPr>
        <w:lastRenderedPageBreak/>
        <w:t xml:space="preserve">PIK jsou nastavené tak, aby realizace projektů </w:t>
      </w:r>
      <w:r w:rsidR="00751071">
        <w:rPr>
          <w:rFonts w:ascii="Calibri" w:hAnsi="Calibri" w:cs="Calibri"/>
        </w:rPr>
        <w:t xml:space="preserve">probíhající </w:t>
      </w:r>
      <w:r>
        <w:rPr>
          <w:rFonts w:ascii="Calibri" w:hAnsi="Calibri" w:cs="Calibri"/>
        </w:rPr>
        <w:t xml:space="preserve">v rámci těchto SC řešila problémy a potřeby identifikované v Dohodě o partnerství a specifikované v návazných koncepčních a strategických dokumentech prostřednictvím tematického cíle 4 </w:t>
      </w:r>
      <w:r w:rsidR="008B514C">
        <w:rPr>
          <w:rFonts w:ascii="Calibri" w:hAnsi="Calibri" w:cs="Calibri"/>
        </w:rPr>
        <w:t>„</w:t>
      </w:r>
      <w:r>
        <w:t>Podpora přechodu na nízkouhlíkové hospodářství ve všech odvětvích</w:t>
      </w:r>
      <w:r w:rsidR="008B514C">
        <w:t>“</w:t>
      </w:r>
      <w:r>
        <w:t>.</w:t>
      </w:r>
    </w:p>
    <w:p w14:paraId="31BFFA64" w14:textId="77777777" w:rsidR="002A55B2" w:rsidRDefault="002A55B2" w:rsidP="002A55B2">
      <w:pPr>
        <w:spacing w:after="0"/>
      </w:pPr>
    </w:p>
    <w:p w14:paraId="79744D2C" w14:textId="77777777" w:rsidR="002A55B2" w:rsidRDefault="00751071" w:rsidP="002A55B2">
      <w:pPr>
        <w:spacing w:after="0"/>
        <w:rPr>
          <w:rFonts w:ascii="Calibri" w:hAnsi="Calibri" w:cs="Calibri"/>
        </w:rPr>
      </w:pPr>
      <w:r>
        <w:rPr>
          <w:rFonts w:ascii="Calibri" w:hAnsi="Calibri" w:cs="Calibri"/>
        </w:rPr>
        <w:t>Specifické cíle tak, jak jsou koncipovány, jsou v souladu s </w:t>
      </w:r>
      <w:r w:rsidR="002A55B2">
        <w:rPr>
          <w:rFonts w:ascii="Calibri" w:hAnsi="Calibri" w:cs="Calibri"/>
        </w:rPr>
        <w:t>hlavními</w:t>
      </w:r>
      <w:r>
        <w:rPr>
          <w:rFonts w:ascii="Calibri" w:hAnsi="Calibri" w:cs="Calibri"/>
        </w:rPr>
        <w:t xml:space="preserve"> strategický</w:t>
      </w:r>
      <w:r w:rsidR="002A55B2">
        <w:rPr>
          <w:rFonts w:ascii="Calibri" w:hAnsi="Calibri" w:cs="Calibri"/>
        </w:rPr>
        <w:t>mi</w:t>
      </w:r>
      <w:r>
        <w:rPr>
          <w:rFonts w:ascii="Calibri" w:hAnsi="Calibri" w:cs="Calibri"/>
        </w:rPr>
        <w:t xml:space="preserve"> a koncepční</w:t>
      </w:r>
      <w:r w:rsidR="002A55B2">
        <w:rPr>
          <w:rFonts w:ascii="Calibri" w:hAnsi="Calibri" w:cs="Calibri"/>
        </w:rPr>
        <w:t>mi</w:t>
      </w:r>
      <w:r>
        <w:rPr>
          <w:rFonts w:ascii="Calibri" w:hAnsi="Calibri" w:cs="Calibri"/>
        </w:rPr>
        <w:t xml:space="preserve"> dokument</w:t>
      </w:r>
      <w:r w:rsidR="002A55B2">
        <w:rPr>
          <w:rFonts w:ascii="Calibri" w:hAnsi="Calibri" w:cs="Calibri"/>
        </w:rPr>
        <w:t xml:space="preserve">y na evropské a národní </w:t>
      </w:r>
      <w:r>
        <w:rPr>
          <w:rFonts w:ascii="Calibri" w:hAnsi="Calibri" w:cs="Calibri"/>
        </w:rPr>
        <w:t>úrovn</w:t>
      </w:r>
      <w:r w:rsidR="002A55B2">
        <w:rPr>
          <w:rFonts w:ascii="Calibri" w:hAnsi="Calibri" w:cs="Calibri"/>
        </w:rPr>
        <w:t>i, mezi které patří zejm.: S</w:t>
      </w:r>
      <w:r>
        <w:rPr>
          <w:rFonts w:ascii="Calibri" w:hAnsi="Calibri" w:cs="Calibri"/>
        </w:rPr>
        <w:t>trategie Evropa 2020, Národní plán reforem</w:t>
      </w:r>
      <w:r w:rsidR="002A55B2">
        <w:rPr>
          <w:rFonts w:ascii="Calibri" w:hAnsi="Calibri" w:cs="Calibri"/>
        </w:rPr>
        <w:t xml:space="preserve"> a Dohoda o partnerství 2014 - 2020.</w:t>
      </w:r>
    </w:p>
    <w:p w14:paraId="0DC215E4" w14:textId="77777777" w:rsidR="002A55B2" w:rsidRDefault="002A55B2" w:rsidP="002A55B2">
      <w:pPr>
        <w:spacing w:after="0"/>
        <w:rPr>
          <w:rFonts w:ascii="Calibri" w:hAnsi="Calibri" w:cs="Calibri"/>
        </w:rPr>
      </w:pPr>
    </w:p>
    <w:p w14:paraId="3F6E4540" w14:textId="0A7F22B0" w:rsidR="005E0F64" w:rsidRDefault="00751071" w:rsidP="002A55B2">
      <w:pPr>
        <w:spacing w:after="0"/>
        <w:rPr>
          <w:rFonts w:ascii="Calibri" w:hAnsi="Calibri" w:cs="Calibri"/>
        </w:rPr>
      </w:pPr>
      <w:r>
        <w:rPr>
          <w:rFonts w:ascii="Calibri" w:hAnsi="Calibri" w:cs="Calibri"/>
        </w:rPr>
        <w:t xml:space="preserve">Z hlediska návaznosti na tematicky zaměřené strategie je stěžejní </w:t>
      </w:r>
      <w:r w:rsidR="002A55B2" w:rsidRPr="00A041C7">
        <w:rPr>
          <w:rFonts w:ascii="Calibri" w:hAnsi="Calibri" w:cs="Calibri"/>
        </w:rPr>
        <w:t xml:space="preserve">aktualizovaná </w:t>
      </w:r>
      <w:r w:rsidRPr="00A041C7">
        <w:rPr>
          <w:rFonts w:ascii="Calibri" w:hAnsi="Calibri" w:cs="Calibri"/>
        </w:rPr>
        <w:t>Státní energetická koncepce</w:t>
      </w:r>
      <w:r w:rsidR="00A041C7">
        <w:rPr>
          <w:rFonts w:ascii="Calibri" w:hAnsi="Calibri" w:cs="Calibri"/>
        </w:rPr>
        <w:t xml:space="preserve"> ČR</w:t>
      </w:r>
      <w:r>
        <w:rPr>
          <w:rStyle w:val="Znakapoznpodarou"/>
          <w:rFonts w:ascii="Calibri" w:hAnsi="Calibri" w:cs="Calibri"/>
        </w:rPr>
        <w:footnoteReference w:id="27"/>
      </w:r>
      <w:r>
        <w:rPr>
          <w:rFonts w:ascii="Calibri" w:hAnsi="Calibri" w:cs="Calibri"/>
        </w:rPr>
        <w:t>. SC 3.1 a 3.4 jsou v přímé vazbě na Prioritu I: Vyvážený energetický mix a SC</w:t>
      </w:r>
      <w:r w:rsidR="002A55B2">
        <w:rPr>
          <w:rFonts w:ascii="Calibri" w:hAnsi="Calibri" w:cs="Calibri"/>
        </w:rPr>
        <w:t xml:space="preserve"> </w:t>
      </w:r>
      <w:r>
        <w:rPr>
          <w:rFonts w:ascii="Calibri" w:hAnsi="Calibri" w:cs="Calibri"/>
        </w:rPr>
        <w:t xml:space="preserve">3.2 je vázán na Prioritu II: Zvyšování energetické účinnosti národního hospodářství. V rámci dokumentem stanovené strategie do roku 2040 by mělo být mimo jiné v Prioritě </w:t>
      </w:r>
      <w:r w:rsidR="005E0F64">
        <w:rPr>
          <w:rFonts w:ascii="Calibri" w:hAnsi="Calibri" w:cs="Calibri"/>
        </w:rPr>
        <w:t>I dosaženo:</w:t>
      </w:r>
    </w:p>
    <w:p w14:paraId="67E04694" w14:textId="77777777" w:rsidR="005E0F64" w:rsidRPr="008F01DF" w:rsidRDefault="005E0F64"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 xml:space="preserve">PI.4: </w:t>
      </w:r>
      <w:r w:rsidR="00751071" w:rsidRPr="008F01DF">
        <w:rPr>
          <w:rFonts w:asciiTheme="minorHAnsi" w:hAnsiTheme="minorHAnsi" w:cstheme="minorHAnsi"/>
          <w:sz w:val="22"/>
        </w:rPr>
        <w:t>Rozvoje konkurenceschopných OZE s účinnou podporou státu v oblasti přístupu k síti, povolovacích procesů, podpory technologického vývoje a pilotních projektů a současně veřejné přijatelnosti rozvoje OZE s cílem dosažení jejich podílu na výrobě elektřiny nejméně 18 %, zapojení OZE do řízení bilanční rovnováhy</w:t>
      </w:r>
      <w:r w:rsidRPr="008F01DF">
        <w:rPr>
          <w:rFonts w:asciiTheme="minorHAnsi" w:hAnsiTheme="minorHAnsi" w:cstheme="minorHAnsi"/>
          <w:sz w:val="22"/>
        </w:rPr>
        <w:t>“</w:t>
      </w:r>
    </w:p>
    <w:p w14:paraId="1A8983C4" w14:textId="77777777" w:rsidR="005E0F64" w:rsidRPr="008F01DF" w:rsidRDefault="005E0F64"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PI.5: Významné zvýšení využití odpadů v zařízeních na energetické využívání odpadů s cílem dosáhnout až 100 % využití spalitelné složky odpadů po jejich vytřídění do roku 2024.</w:t>
      </w:r>
    </w:p>
    <w:p w14:paraId="752ADA33" w14:textId="6760E9DE" w:rsidR="005E0F64" w:rsidRPr="008F01DF" w:rsidRDefault="005E0F64" w:rsidP="002A55B2">
      <w:pPr>
        <w:pStyle w:val="Odstavecseseznamem"/>
        <w:numPr>
          <w:ilvl w:val="0"/>
          <w:numId w:val="17"/>
        </w:numPr>
        <w:spacing w:line="276" w:lineRule="auto"/>
        <w:ind w:left="714" w:hanging="357"/>
        <w:rPr>
          <w:rFonts w:asciiTheme="minorHAnsi" w:hAnsiTheme="minorHAnsi" w:cstheme="minorHAnsi"/>
          <w:sz w:val="22"/>
        </w:rPr>
      </w:pPr>
      <w:r w:rsidRPr="008F01DF">
        <w:rPr>
          <w:rFonts w:asciiTheme="minorHAnsi" w:hAnsiTheme="minorHAnsi" w:cstheme="minorHAnsi"/>
          <w:sz w:val="22"/>
        </w:rPr>
        <w:t>PI.11:</w:t>
      </w:r>
      <w:r w:rsidR="002A55B2">
        <w:rPr>
          <w:rFonts w:asciiTheme="minorHAnsi" w:hAnsiTheme="minorHAnsi" w:cstheme="minorHAnsi"/>
          <w:sz w:val="22"/>
        </w:rPr>
        <w:t xml:space="preserve"> </w:t>
      </w:r>
      <w:r w:rsidRPr="008F01DF">
        <w:rPr>
          <w:rFonts w:asciiTheme="minorHAnsi" w:hAnsiTheme="minorHAnsi" w:cstheme="minorHAnsi"/>
          <w:sz w:val="22"/>
        </w:rPr>
        <w:t>Postupný pokles spotřeby kapalných paliv, daný zejména zvyšující se účinností, zvýšením podílu elektrizovaných systémů veřejné hromadné dopravy (kolejová doprava, příp. trolejbusy) a dále pak zvýšením podílu LNG a CNG v dopravě a později i postupný nárůst elektromobility.</w:t>
      </w:r>
      <w:r w:rsidRPr="007153D4">
        <w:rPr>
          <w:rFonts w:asciiTheme="minorHAnsi" w:hAnsiTheme="minorHAnsi" w:cstheme="minorHAnsi"/>
          <w:sz w:val="23"/>
          <w:szCs w:val="23"/>
          <w:vertAlign w:val="superscript"/>
        </w:rPr>
        <w:footnoteReference w:id="28"/>
      </w:r>
    </w:p>
    <w:p w14:paraId="4944395B" w14:textId="77777777" w:rsidR="005E0F64" w:rsidRDefault="005E0F64" w:rsidP="002A55B2">
      <w:pPr>
        <w:pStyle w:val="Default"/>
        <w:spacing w:line="276" w:lineRule="auto"/>
        <w:rPr>
          <w:sz w:val="22"/>
        </w:rPr>
      </w:pPr>
    </w:p>
    <w:p w14:paraId="54C7817F" w14:textId="02AD9F83" w:rsidR="005E0F64" w:rsidRDefault="005E0F64" w:rsidP="002A55B2">
      <w:pPr>
        <w:spacing w:after="0"/>
      </w:pPr>
      <w:r>
        <w:t xml:space="preserve">Priorita II by měla do roku 2040 dosáhnout následujících, pro SC 3.2 relevantních, </w:t>
      </w:r>
      <w:r w:rsidR="00A65620">
        <w:t>cílů</w:t>
      </w:r>
      <w:r>
        <w:t>:</w:t>
      </w:r>
    </w:p>
    <w:p w14:paraId="3BA3C586"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PII.8. Snižovat energetickou náročnost budov, tzn. plnit požadavky na energetickou náročnost budovy podle zákona o hospodaření energií </w:t>
      </w:r>
    </w:p>
    <w:p w14:paraId="21DF67BE"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PII.11. Maximalizovat využití dotačních programů EU k dosažení energetických úspor (míra dosažených energetických úspor jako jedno z výběrových kritérií v operačních programech). </w:t>
      </w:r>
    </w:p>
    <w:p w14:paraId="129BB480"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PII.12. Podporovat využívání energetických služeb se zaručeným výsledkem (EPC) v nerezidenčním sektoru. </w:t>
      </w:r>
    </w:p>
    <w:p w14:paraId="2DFB4F86"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PII.14. Snižovat energetickou náročnost budov v průmyslu. </w:t>
      </w:r>
    </w:p>
    <w:p w14:paraId="1D268426"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PII.15. Podporovat rekonstrukce zařízení a technologií za účelem zvýšení jejich efektivity a celkově zvyšovat energetickou účinnost průmyslových provozů. </w:t>
      </w:r>
    </w:p>
    <w:p w14:paraId="69A86FAF" w14:textId="77777777" w:rsidR="005E0F64" w:rsidRPr="00E020A2" w:rsidRDefault="005E0F64" w:rsidP="002A55B2">
      <w:pPr>
        <w:pStyle w:val="Default"/>
        <w:numPr>
          <w:ilvl w:val="0"/>
          <w:numId w:val="18"/>
        </w:numPr>
        <w:spacing w:line="276" w:lineRule="auto"/>
        <w:ind w:left="714" w:hanging="357"/>
        <w:rPr>
          <w:sz w:val="22"/>
          <w:szCs w:val="22"/>
        </w:rPr>
      </w:pPr>
      <w:r w:rsidRPr="00E020A2">
        <w:rPr>
          <w:sz w:val="22"/>
          <w:szCs w:val="22"/>
        </w:rPr>
        <w:t xml:space="preserve">PII.16. Podporovat zavádění systému energetického managementu a jeho certifikaci podle ČSN EN ISO 50001 - Systém managementu hospodaření s energií. </w:t>
      </w:r>
    </w:p>
    <w:p w14:paraId="698CB5CE" w14:textId="7D4EFC04" w:rsidR="005E0F64" w:rsidRDefault="005E0F64" w:rsidP="002A55B2">
      <w:pPr>
        <w:pStyle w:val="Default"/>
        <w:numPr>
          <w:ilvl w:val="0"/>
          <w:numId w:val="18"/>
        </w:numPr>
        <w:spacing w:line="276" w:lineRule="auto"/>
        <w:ind w:left="714" w:hanging="357"/>
        <w:rPr>
          <w:sz w:val="23"/>
          <w:szCs w:val="23"/>
        </w:rPr>
      </w:pPr>
      <w:r w:rsidRPr="00E020A2">
        <w:rPr>
          <w:sz w:val="22"/>
          <w:szCs w:val="23"/>
        </w:rPr>
        <w:t>PII.20. Zvýšit využívání alternativních pohonných hmot – CNG a elektromobility</w:t>
      </w:r>
      <w:r>
        <w:rPr>
          <w:rStyle w:val="Znakapoznpodarou"/>
          <w:sz w:val="23"/>
          <w:szCs w:val="23"/>
        </w:rPr>
        <w:footnoteReference w:id="29"/>
      </w:r>
      <w:r>
        <w:rPr>
          <w:sz w:val="23"/>
          <w:szCs w:val="23"/>
        </w:rPr>
        <w:t xml:space="preserve">. </w:t>
      </w:r>
    </w:p>
    <w:p w14:paraId="238A74A8" w14:textId="77777777" w:rsidR="005E0F64" w:rsidRPr="005E0F64" w:rsidRDefault="005E0F64" w:rsidP="002A55B2">
      <w:pPr>
        <w:pStyle w:val="Default"/>
        <w:spacing w:line="276" w:lineRule="auto"/>
        <w:rPr>
          <w:sz w:val="22"/>
        </w:rPr>
      </w:pPr>
    </w:p>
    <w:p w14:paraId="742C35E7" w14:textId="71AF7D8B" w:rsidR="004960D6" w:rsidRDefault="00A65620" w:rsidP="002A55B2">
      <w:pPr>
        <w:spacing w:after="0"/>
      </w:pPr>
      <w:r>
        <w:t xml:space="preserve">SC 3.1, 3.2 a 3.4 jsou v souladu s touto strategií a pomáhají naplňovat výše uvedené cíle. Jediným cílem, k jehož realizaci v rámci SC 3.2 nedošlo, byť si to tento SC klade za jeden z dílčích úkolů, je bod PII.12 - podporovat využívání EPC. Jak již bylo uvedeno u evaluační otázky 8b, v rámci PP ÚE zatím nebyly </w:t>
      </w:r>
      <w:r>
        <w:lastRenderedPageBreak/>
        <w:t xml:space="preserve">vytvořeny takové podmínky, aby žadatelé oprávnění žádat v tomto PP mohli těchto služeb využívat (detailně viz vyhodnocení </w:t>
      </w:r>
      <w:r w:rsidR="007153D4">
        <w:t>evaluační otázky</w:t>
      </w:r>
      <w:r>
        <w:t xml:space="preserve"> 8).</w:t>
      </w:r>
    </w:p>
    <w:p w14:paraId="74702D70" w14:textId="77777777" w:rsidR="002A55B2" w:rsidRDefault="002A55B2" w:rsidP="002A55B2">
      <w:pPr>
        <w:spacing w:after="0"/>
      </w:pPr>
    </w:p>
    <w:p w14:paraId="36A2E562" w14:textId="58BDF723" w:rsidR="00E27C0C" w:rsidRDefault="00E27C0C" w:rsidP="002A55B2">
      <w:pPr>
        <w:spacing w:after="0"/>
      </w:pPr>
      <w:r>
        <w:t xml:space="preserve">V rámci </w:t>
      </w:r>
      <w:r w:rsidR="00490C1B">
        <w:t>Státní energetické koncepce</w:t>
      </w:r>
      <w:r>
        <w:t xml:space="preserve"> byl stanoven cíl ve výši 18% podílu OZE na hrubé konečné spotřebě.</w:t>
      </w:r>
      <w:r w:rsidR="007153D4">
        <w:rPr>
          <w:rStyle w:val="Znakapoznpodarou"/>
        </w:rPr>
        <w:footnoteReference w:id="30"/>
      </w:r>
      <w:r>
        <w:t xml:space="preserve"> Maxima bylo prozatím dosaženo v roce 2015, kdy podíl činil </w:t>
      </w:r>
      <w:r w:rsidR="00490C1B">
        <w:t>15,03</w:t>
      </w:r>
      <w:r>
        <w:t xml:space="preserve"> %. Poslední data z roku 2017 hovoří o </w:t>
      </w:r>
      <w:r w:rsidR="00490C1B">
        <w:t xml:space="preserve">poklesu </w:t>
      </w:r>
      <w:r>
        <w:t>podílu</w:t>
      </w:r>
      <w:r w:rsidR="00490C1B">
        <w:t>, a to na úroveň</w:t>
      </w:r>
      <w:r>
        <w:t xml:space="preserve"> ve výši </w:t>
      </w:r>
      <w:r w:rsidR="00490C1B">
        <w:t>14,76</w:t>
      </w:r>
      <w:r>
        <w:t xml:space="preserve"> %. </w:t>
      </w:r>
      <w:r w:rsidR="00490C1B">
        <w:t>Vzhledem k vývoji podílu OZE na hrubé konečné spotřebě energie nelze předpokládat, že by byl 18% podíl v roce 2020 dosažen. Nejvyššího nárůstu podílu OZE bylo dosaženo v roce 2011 v důsledku fotovolt</w:t>
      </w:r>
      <w:r w:rsidR="008E0FFA">
        <w:t>ai</w:t>
      </w:r>
      <w:r w:rsidR="00490C1B">
        <w:t>ckého boomu. Během tohoto roku se zvýšil podíl OZE z 10,95 % na 12,83 %. Vzhledem k tomu, že jsou činěn</w:t>
      </w:r>
      <w:r w:rsidR="00E020A2">
        <w:t>y</w:t>
      </w:r>
      <w:r w:rsidR="00490C1B">
        <w:t xml:space="preserve"> kroky k tomu, aby se podobný boom neopakoval, nelze předpokládat, že </w:t>
      </w:r>
      <w:r w:rsidR="00E020A2">
        <w:t xml:space="preserve">by mezi lety 2017-2020 došlo k nárůstu podílu OZE na hrubé konečné spotřebě energie o </w:t>
      </w:r>
      <w:r w:rsidR="00490C1B">
        <w:t>2,24 %</w:t>
      </w:r>
      <w:r w:rsidR="00E020A2">
        <w:t>.</w:t>
      </w:r>
    </w:p>
    <w:p w14:paraId="07322E10" w14:textId="77777777" w:rsidR="002A55B2" w:rsidRDefault="002A55B2" w:rsidP="002A55B2">
      <w:pPr>
        <w:spacing w:after="0"/>
      </w:pPr>
    </w:p>
    <w:p w14:paraId="50167446" w14:textId="29CECB13" w:rsidR="00A65620" w:rsidRDefault="00E020A2" w:rsidP="002A55B2">
      <w:pPr>
        <w:spacing w:after="0"/>
      </w:pPr>
      <w:r>
        <w:t>Z hlediska zvyšování energetické účinnosti byl stanoven cíl snížení konečn</w:t>
      </w:r>
      <w:r w:rsidR="007153D4">
        <w:t xml:space="preserve">é spotřeby energie v ČR, a to </w:t>
      </w:r>
      <w:r w:rsidR="007153D4" w:rsidRPr="007153D4">
        <w:t>o</w:t>
      </w:r>
      <w:r w:rsidR="007153D4">
        <w:t> </w:t>
      </w:r>
      <w:r w:rsidRPr="007153D4">
        <w:t>20</w:t>
      </w:r>
      <w:r>
        <w:t xml:space="preserve"> % oproti referenčnímu roku 2007. </w:t>
      </w:r>
      <w:r w:rsidRPr="00E020A2">
        <w:t>Výše vnitrostátního orientačního cíle energetické účinnosti ČR je stanovena na úrovni 1060 PJ, tj. 25,315 Mtoe konečné spotřeby energie.</w:t>
      </w:r>
      <w:r w:rsidR="00FE6565" w:rsidRPr="007378B2">
        <w:rPr>
          <w:sz w:val="23"/>
          <w:szCs w:val="23"/>
          <w:vertAlign w:val="superscript"/>
        </w:rPr>
        <w:footnoteReference w:id="31"/>
      </w:r>
      <w:r w:rsidR="00FE6565" w:rsidRPr="007378B2">
        <w:rPr>
          <w:sz w:val="23"/>
          <w:szCs w:val="23"/>
          <w:vertAlign w:val="superscript"/>
        </w:rPr>
        <w:t xml:space="preserve"> </w:t>
      </w:r>
      <w:r w:rsidR="00FE6565">
        <w:t>Této hodnoty bylo dosaženo již v roce 2015, kdy dosáhla 1010 PJ</w:t>
      </w:r>
      <w:r w:rsidR="007378B2">
        <w:t>.</w:t>
      </w:r>
      <w:r w:rsidR="007378B2" w:rsidRPr="007378B2">
        <w:rPr>
          <w:sz w:val="23"/>
          <w:szCs w:val="23"/>
          <w:vertAlign w:val="superscript"/>
        </w:rPr>
        <w:footnoteReference w:id="32"/>
      </w:r>
      <w:r w:rsidR="00FE6565">
        <w:t xml:space="preserve"> </w:t>
      </w:r>
      <w:r w:rsidR="007378B2">
        <w:t>Stejně pozitivní trend vykazuje také konečná spotřeba energie v průmyslu (</w:t>
      </w:r>
      <w:r w:rsidR="007378B2" w:rsidRPr="007A2593">
        <w:t>viz tab. 6 a obrázek 1),</w:t>
      </w:r>
      <w:r w:rsidR="007378B2">
        <w:t xml:space="preserve"> naopak nárůst spotřeby energie je zaznamenáván ve službách.</w:t>
      </w:r>
    </w:p>
    <w:p w14:paraId="7D516EAA" w14:textId="380F7D00" w:rsidR="002A55B2" w:rsidRDefault="002A55B2" w:rsidP="002A55B2">
      <w:pPr>
        <w:spacing w:after="0"/>
      </w:pPr>
    </w:p>
    <w:p w14:paraId="4E27769F" w14:textId="383FC169" w:rsidR="002A55B2" w:rsidRPr="002A55B2" w:rsidRDefault="002A55B2" w:rsidP="002A55B2">
      <w:pPr>
        <w:spacing w:after="0"/>
        <w:rPr>
          <w:rFonts w:ascii="Calibri" w:hAnsi="Calibri" w:cs="Calibri"/>
        </w:rPr>
      </w:pPr>
      <w:r>
        <w:t xml:space="preserve">SC 3.4 </w:t>
      </w:r>
      <w:r w:rsidRPr="002A55B2">
        <w:rPr>
          <w:rFonts w:ascii="Calibri" w:hAnsi="Calibri" w:cs="Calibri"/>
        </w:rPr>
        <w:t>je</w:t>
      </w:r>
      <w:r>
        <w:rPr>
          <w:rFonts w:ascii="Calibri" w:hAnsi="Calibri" w:cs="Calibri"/>
        </w:rPr>
        <w:t xml:space="preserve"> v své části zaměřené na oblast druhotných surovin</w:t>
      </w:r>
      <w:r w:rsidRPr="002A55B2">
        <w:rPr>
          <w:rFonts w:ascii="Calibri" w:hAnsi="Calibri" w:cs="Calibri"/>
        </w:rPr>
        <w:t xml:space="preserve"> relevantní vůči vybraným strategickým </w:t>
      </w:r>
      <w:r w:rsidRPr="00A041C7">
        <w:rPr>
          <w:rFonts w:ascii="Calibri" w:hAnsi="Calibri" w:cs="Calibri"/>
        </w:rPr>
        <w:t>cílům Politiky druhotných surovin ČR</w:t>
      </w:r>
      <w:r w:rsidR="008B514C">
        <w:rPr>
          <w:rStyle w:val="Znakapoznpodarou"/>
          <w:rFonts w:ascii="Calibri" w:hAnsi="Calibri" w:cs="Calibri"/>
        </w:rPr>
        <w:footnoteReference w:id="33"/>
      </w:r>
      <w:r w:rsidRPr="002A55B2">
        <w:rPr>
          <w:rFonts w:ascii="Calibri" w:hAnsi="Calibri" w:cs="Calibri"/>
        </w:rPr>
        <w:t>. Jedná se zejména o strategický cíl 2 „Podporovat inovace a rozvoj oběhového hospodářství v rámci podnikání“, jehož součástí je úkol podporovat rozvoj zpracovatelských kapacit pro využití druhotných surovin a odpadů prostřednictvím národních a evropských dotačních programů. Vazba SC 3.4 je také na strategický cíl 4 „Intenzivně podporovat osvětu a vzdělávání v oblasti oběhového hospodářství“ a úkol zveřejňovat příklady dobré praxe v oblasti získávání, zpracování a využívání druhotných surovin.</w:t>
      </w:r>
    </w:p>
    <w:p w14:paraId="69EE44EB" w14:textId="77777777" w:rsidR="002A55B2" w:rsidRPr="007378B2" w:rsidRDefault="002A55B2" w:rsidP="002A55B2">
      <w:pPr>
        <w:spacing w:after="0"/>
      </w:pPr>
    </w:p>
    <w:p w14:paraId="79D5AD0F" w14:textId="77777777" w:rsidR="00C91048" w:rsidRPr="00C14DD4" w:rsidRDefault="00C91048" w:rsidP="00C91048">
      <w:pPr>
        <w:pStyle w:val="Nadpis3"/>
      </w:pPr>
      <w:bookmarkStart w:id="223" w:name="_Toc1398416"/>
      <w:bookmarkStart w:id="224" w:name="_Toc10729998"/>
      <w:bookmarkStart w:id="225" w:name="_Toc1398417"/>
      <w:bookmarkStart w:id="226" w:name="_Toc1398418"/>
      <w:bookmarkStart w:id="227" w:name="_Toc1398419"/>
      <w:bookmarkStart w:id="228" w:name="_Toc1398420"/>
      <w:bookmarkStart w:id="229" w:name="_Toc1398421"/>
      <w:r w:rsidRPr="00C14DD4">
        <w:t>Účelnost (Effectiveness)</w:t>
      </w:r>
      <w:bookmarkEnd w:id="223"/>
      <w:bookmarkEnd w:id="224"/>
      <w:r w:rsidRPr="00C14DD4">
        <w:tab/>
      </w:r>
    </w:p>
    <w:p w14:paraId="4DD56692" w14:textId="7F0035DA" w:rsidR="008E0FFA" w:rsidRPr="001026EF" w:rsidRDefault="008E0FFA" w:rsidP="008E0FFA">
      <w:pPr>
        <w:spacing w:after="0"/>
        <w:rPr>
          <w:rFonts w:ascii="Calibri" w:hAnsi="Calibri" w:cs="Calibri"/>
        </w:rPr>
      </w:pPr>
      <w:r w:rsidRPr="00C14DD4">
        <w:rPr>
          <w:rFonts w:ascii="Calibri" w:hAnsi="Calibri" w:cs="Calibri"/>
        </w:rPr>
        <w:t>Předmětem posouzení účelnosti je poměření dosažených výstupů a výsledků realizovaných intervencí vůči stanoveným cílům. Cíle OP PIK v oblasti zvyšování podílů OZE, zvyšování energetické účinnosti podnikatelského sektoru i v oblasti zavádění inovativních nízkouhlíkových technologií jsou</w:t>
      </w:r>
      <w:r w:rsidRPr="001026EF">
        <w:rPr>
          <w:rFonts w:ascii="Calibri" w:hAnsi="Calibri" w:cs="Calibri"/>
        </w:rPr>
        <w:t xml:space="preserve"> kvantifikovány pomocí soustavy indikátorů kontextu, výsledků a výstupů.  </w:t>
      </w:r>
    </w:p>
    <w:p w14:paraId="4615CFE5" w14:textId="77777777" w:rsidR="008E0FFA" w:rsidRDefault="008E0FFA" w:rsidP="00303B95">
      <w:pPr>
        <w:spacing w:after="0"/>
      </w:pPr>
    </w:p>
    <w:p w14:paraId="155D22FF" w14:textId="59D47192" w:rsidR="00C91048" w:rsidRPr="008E0FFA" w:rsidRDefault="00C91048" w:rsidP="008E0FFA">
      <w:pPr>
        <w:pStyle w:val="Nadpis4"/>
      </w:pPr>
      <w:r w:rsidRPr="008E0FFA">
        <w:t>Kontextové indikátory</w:t>
      </w:r>
    </w:p>
    <w:p w14:paraId="3E133440" w14:textId="11B7D298" w:rsidR="007378B2" w:rsidRPr="008E0FFA" w:rsidRDefault="007378B2" w:rsidP="008E0FFA">
      <w:pPr>
        <w:spacing w:after="0"/>
        <w:rPr>
          <w:rFonts w:ascii="Calibri" w:hAnsi="Calibri" w:cs="Calibri"/>
          <w:b/>
          <w:i/>
        </w:rPr>
      </w:pPr>
      <w:r w:rsidRPr="008E0FFA">
        <w:rPr>
          <w:rFonts w:ascii="Calibri" w:hAnsi="Calibri" w:cs="Calibri"/>
          <w:b/>
          <w:i/>
        </w:rPr>
        <w:t>Instalovaný výkon v ES ČR (SC 3.1)</w:t>
      </w:r>
    </w:p>
    <w:p w14:paraId="4F6A3C33" w14:textId="3B892717" w:rsidR="007378B2" w:rsidRDefault="007378B2" w:rsidP="008E0FFA">
      <w:pPr>
        <w:spacing w:after="0"/>
      </w:pPr>
      <w:r w:rsidRPr="00E946D8">
        <w:t xml:space="preserve">Uvedený indikátor představuje Instalovaný výkon </w:t>
      </w:r>
      <w:r w:rsidR="006616CE">
        <w:t>v energetické síti ČR</w:t>
      </w:r>
      <w:r w:rsidRPr="00E946D8">
        <w:t>.</w:t>
      </w:r>
      <w:r w:rsidR="004177D8">
        <w:t xml:space="preserve"> Výchozí hodnotou je údaj z roku 2013, a to 21 079 MW. Cílová hodnota, jíž by mělo být dosaženo v roce 2023, činí 22 500 MW. Jak je patrné z níže uvedeného grafu, instalovaný výkon v ES </w:t>
      </w:r>
      <w:r w:rsidR="00F24352">
        <w:t>každoročně roste. V roce 2018 dosáhl výše 22 277 MW. Bude-li trend z posledních 10 let udržen, mělo by dojít k dosažení cílové hodnoty tohoto kontextového indikátoru.</w:t>
      </w:r>
    </w:p>
    <w:p w14:paraId="17AD5F85" w14:textId="77777777" w:rsidR="001D78D1" w:rsidRDefault="001D78D1" w:rsidP="008E0FFA">
      <w:pPr>
        <w:spacing w:after="0"/>
      </w:pPr>
    </w:p>
    <w:p w14:paraId="7412CF04" w14:textId="1869022C" w:rsidR="00F24352" w:rsidRDefault="00F24352" w:rsidP="00F24352">
      <w:pPr>
        <w:pStyle w:val="Titulek"/>
      </w:pPr>
      <w:bookmarkStart w:id="230" w:name="_Toc10730057"/>
      <w:r w:rsidRPr="00986571">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15</w:t>
      </w:r>
      <w:r w:rsidR="00BD754F">
        <w:rPr>
          <w:noProof/>
        </w:rPr>
        <w:fldChar w:fldCharType="end"/>
      </w:r>
      <w:r w:rsidRPr="00986571">
        <w:t xml:space="preserve">: </w:t>
      </w:r>
      <w:r>
        <w:t>Vývoj instalovaného výkonu v ES ČR v letech 2009-2018</w:t>
      </w:r>
      <w:bookmarkEnd w:id="230"/>
    </w:p>
    <w:p w14:paraId="4179DA2F" w14:textId="21F83C6A" w:rsidR="004177D8" w:rsidRDefault="004177D8" w:rsidP="007378B2">
      <w:pPr>
        <w:spacing w:after="0"/>
      </w:pPr>
      <w:r>
        <w:rPr>
          <w:noProof/>
          <w:lang w:eastAsia="cs-CZ"/>
        </w:rPr>
        <w:drawing>
          <wp:inline distT="0" distB="0" distL="0" distR="0" wp14:anchorId="4B326B93" wp14:editId="63921F79">
            <wp:extent cx="5922010" cy="1845945"/>
            <wp:effectExtent l="0" t="0" r="2540" b="190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i.vykon.png"/>
                    <pic:cNvPicPr/>
                  </pic:nvPicPr>
                  <pic:blipFill>
                    <a:blip r:embed="rId29">
                      <a:extLst>
                        <a:ext uri="{28A0092B-C50C-407E-A947-70E740481C1C}">
                          <a14:useLocalDpi xmlns:a14="http://schemas.microsoft.com/office/drawing/2010/main" val="0"/>
                        </a:ext>
                      </a:extLst>
                    </a:blip>
                    <a:stretch>
                      <a:fillRect/>
                    </a:stretch>
                  </pic:blipFill>
                  <pic:spPr>
                    <a:xfrm>
                      <a:off x="0" y="0"/>
                      <a:ext cx="5922010" cy="1845945"/>
                    </a:xfrm>
                    <a:prstGeom prst="rect">
                      <a:avLst/>
                    </a:prstGeom>
                  </pic:spPr>
                </pic:pic>
              </a:graphicData>
            </a:graphic>
          </wp:inline>
        </w:drawing>
      </w:r>
    </w:p>
    <w:p w14:paraId="6DC9E25A" w14:textId="556E4074" w:rsidR="007378B2" w:rsidRPr="001D78D1" w:rsidRDefault="00F24352" w:rsidP="007378B2">
      <w:pPr>
        <w:spacing w:after="0"/>
        <w:rPr>
          <w:i/>
          <w:sz w:val="18"/>
        </w:rPr>
      </w:pPr>
      <w:r w:rsidRPr="001D78D1">
        <w:rPr>
          <w:i/>
          <w:sz w:val="18"/>
        </w:rPr>
        <w:t xml:space="preserve">Zdroj: </w:t>
      </w:r>
      <w:r w:rsidRPr="001D78D1">
        <w:rPr>
          <w:i/>
          <w:sz w:val="18"/>
          <w:szCs w:val="20"/>
        </w:rPr>
        <w:t>ERÚ: Roční zpráva o provozu ES ČR 2018</w:t>
      </w:r>
    </w:p>
    <w:p w14:paraId="5342A38C" w14:textId="28DC6F54" w:rsidR="007378B2" w:rsidRPr="007378B2" w:rsidRDefault="007378B2" w:rsidP="008E0FFA">
      <w:pPr>
        <w:spacing w:after="0"/>
        <w:rPr>
          <w:rFonts w:ascii="Calibri" w:hAnsi="Calibri" w:cs="Calibri"/>
          <w:i/>
        </w:rPr>
      </w:pPr>
    </w:p>
    <w:p w14:paraId="78BDEF2D" w14:textId="5416C811" w:rsidR="007378B2" w:rsidRPr="008E0FFA" w:rsidRDefault="007378B2" w:rsidP="008E0FFA">
      <w:pPr>
        <w:spacing w:after="0"/>
        <w:rPr>
          <w:rFonts w:ascii="Calibri" w:hAnsi="Calibri" w:cs="Calibri"/>
          <w:b/>
          <w:i/>
        </w:rPr>
      </w:pPr>
      <w:r w:rsidRPr="008E0FFA">
        <w:rPr>
          <w:rFonts w:ascii="Calibri" w:hAnsi="Calibri" w:cs="Calibri"/>
          <w:b/>
          <w:i/>
        </w:rPr>
        <w:t>Energetická náročnost hospodářství (SC 3.2)</w:t>
      </w:r>
    </w:p>
    <w:p w14:paraId="75FC6BFA" w14:textId="461EF131" w:rsidR="002505E6" w:rsidRDefault="002505E6" w:rsidP="008E0FFA">
      <w:pPr>
        <w:spacing w:after="0"/>
      </w:pPr>
      <w:r w:rsidRPr="002505E6">
        <w:t xml:space="preserve">Ukazatel je podílem mezi hrubou spotřebou energie v zemi a hrubým domácím produktem (HDP) za daný kalendářní rok. Měří energetickou spotřebu ekonomiky a její celkovou energetickou účinnost. Hrubá spotřeba energie v zemi je počítána jako součet hrubé spotřeby pěti druhů paliv a energie v zemi: uhlí, elektřiny, kapalných paliv, zemního plynu a obnovitelných zdrojů energie. Údaje o HDP jsou brány ve zřetězených objemech, referenčním rokem je rok 2005. Energetická náročnost je určena podílem hrubé spotřeby energie v zemi a HDP. </w:t>
      </w:r>
      <w:r w:rsidR="00E25DBC">
        <w:t>Indikátor</w:t>
      </w:r>
      <w:r w:rsidR="00743E45">
        <w:t xml:space="preserve"> se udává v kgoe </w:t>
      </w:r>
      <w:r w:rsidR="00E25DBC" w:rsidRPr="002505E6">
        <w:t xml:space="preserve">(kilogram ropného ekvivalentu) </w:t>
      </w:r>
      <w:r w:rsidR="00743E45">
        <w:t>na 1</w:t>
      </w:r>
      <w:r w:rsidRPr="002505E6">
        <w:t>000 EUR.</w:t>
      </w:r>
      <w:r w:rsidR="00743E45">
        <w:t xml:space="preserve"> Jako výchozí hodnota je brána hodnota indikátoru v roce 2012, kdy činila 355,4 kgoe na 1000 EUR. Poslední dostupná data o energetické náročnosti hospodářství jsou k dispozici pro rok 2016, kdy činila 240 kgoe na 1000 EUR</w:t>
      </w:r>
      <w:r w:rsidR="00F24352">
        <w:t xml:space="preserve"> (viz </w:t>
      </w:r>
      <w:r w:rsidR="00F24352" w:rsidRPr="007A2593">
        <w:t xml:space="preserve">obrázek </w:t>
      </w:r>
      <w:r w:rsidR="00E25DBC" w:rsidRPr="007A2593">
        <w:t>2</w:t>
      </w:r>
      <w:r w:rsidR="00F24352" w:rsidRPr="007A2593">
        <w:t>)</w:t>
      </w:r>
      <w:r w:rsidR="00743E45" w:rsidRPr="007A2593">
        <w:t>.</w:t>
      </w:r>
      <w:r w:rsidR="00F24352">
        <w:t xml:space="preserve"> Dochází tedy k postupnému snižování energetické náročnosti českého hospodářství, byť tento pokles nebyl ještě tak výrazný, aby Česko stouplo v žebříčku hodnocení EU-27.</w:t>
      </w:r>
    </w:p>
    <w:p w14:paraId="2C17CE87" w14:textId="77777777" w:rsidR="008E0FFA" w:rsidRDefault="008E0FFA" w:rsidP="008E0FFA">
      <w:pPr>
        <w:spacing w:after="0"/>
      </w:pPr>
    </w:p>
    <w:p w14:paraId="4C8B26CD" w14:textId="11F7D578" w:rsidR="00E25DBC" w:rsidRPr="00D50859" w:rsidRDefault="00D50859" w:rsidP="00D50859">
      <w:pPr>
        <w:spacing w:after="0"/>
        <w:rPr>
          <w:rFonts w:ascii="Calibri" w:hAnsi="Calibri" w:cs="Calibri"/>
          <w:b/>
          <w:i/>
        </w:rPr>
      </w:pPr>
      <w:r w:rsidRPr="00D50859">
        <w:rPr>
          <w:rFonts w:ascii="Calibri" w:hAnsi="Calibri" w:cs="Calibri"/>
          <w:b/>
          <w:i/>
        </w:rPr>
        <w:t>Investice na ochranu životního prostředí (SC 3.4)</w:t>
      </w:r>
    </w:p>
    <w:p w14:paraId="1E4BEC3A" w14:textId="77777777" w:rsidR="00D50859" w:rsidRPr="00D50859" w:rsidRDefault="00D50859" w:rsidP="00D50859">
      <w:pPr>
        <w:spacing w:after="0"/>
        <w:rPr>
          <w:rFonts w:ascii="Calibri" w:hAnsi="Calibri" w:cs="Calibri"/>
        </w:rPr>
      </w:pPr>
      <w:r w:rsidRPr="00D50859">
        <w:rPr>
          <w:rFonts w:ascii="Calibri" w:hAnsi="Calibri" w:cs="Calibri"/>
        </w:rPr>
        <w:t>Pro SC 3.4 je sledován kontextový indikátor „Investice na ochranu životního prostředí“, který zahrnuje celkové výdaje na ochranu životního prostředí v agregaci za všechny zdroje financování. Data zveřejňuje v ročních intervalech ČSÚ.</w:t>
      </w:r>
    </w:p>
    <w:p w14:paraId="61B224F7" w14:textId="77777777" w:rsidR="00D50859" w:rsidRPr="00D50859" w:rsidRDefault="00D50859" w:rsidP="00D50859">
      <w:pPr>
        <w:spacing w:after="0"/>
        <w:rPr>
          <w:rFonts w:ascii="Calibri" w:hAnsi="Calibri" w:cs="Calibri"/>
        </w:rPr>
      </w:pPr>
    </w:p>
    <w:p w14:paraId="0CC32480" w14:textId="53AA2AA1" w:rsidR="00D50859" w:rsidRDefault="00D50859" w:rsidP="00D50859">
      <w:pPr>
        <w:pStyle w:val="Titulek"/>
      </w:pPr>
      <w:bookmarkStart w:id="231" w:name="_Toc10730035"/>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16</w:t>
      </w:r>
      <w:r w:rsidR="00BD754F">
        <w:rPr>
          <w:noProof/>
        </w:rPr>
        <w:fldChar w:fldCharType="end"/>
      </w:r>
      <w:r>
        <w:t xml:space="preserve">: </w:t>
      </w:r>
      <w:r w:rsidR="00A041C7">
        <w:t xml:space="preserve">Kontextový indikátor SC 3.4: </w:t>
      </w:r>
      <w:r>
        <w:t>Investice na ochranu životního prostředí</w:t>
      </w:r>
      <w:bookmarkEnd w:id="231"/>
    </w:p>
    <w:tbl>
      <w:tblPr>
        <w:tblStyle w:val="Svtlmkatabulky13"/>
        <w:tblW w:w="0" w:type="auto"/>
        <w:tblLook w:val="04A0" w:firstRow="1" w:lastRow="0" w:firstColumn="1" w:lastColumn="0" w:noHBand="0" w:noVBand="1"/>
      </w:tblPr>
      <w:tblGrid>
        <w:gridCol w:w="774"/>
        <w:gridCol w:w="1104"/>
        <w:gridCol w:w="1005"/>
        <w:gridCol w:w="974"/>
        <w:gridCol w:w="903"/>
        <w:gridCol w:w="972"/>
        <w:gridCol w:w="839"/>
        <w:gridCol w:w="937"/>
        <w:gridCol w:w="834"/>
        <w:gridCol w:w="831"/>
      </w:tblGrid>
      <w:tr w:rsidR="00D50859" w:rsidRPr="00D50859" w14:paraId="56B42D98" w14:textId="77777777" w:rsidTr="00E333FB">
        <w:trPr>
          <w:trHeight w:val="546"/>
        </w:trPr>
        <w:tc>
          <w:tcPr>
            <w:tcW w:w="774" w:type="dxa"/>
            <w:shd w:val="clear" w:color="auto" w:fill="002060"/>
            <w:hideMark/>
          </w:tcPr>
          <w:p w14:paraId="0A4104E8" w14:textId="77777777" w:rsidR="00D50859" w:rsidRPr="00D50859" w:rsidRDefault="00D50859" w:rsidP="00D50859">
            <w:pPr>
              <w:jc w:val="center"/>
              <w:rPr>
                <w:rFonts w:ascii="Calibri" w:hAnsi="Calibri" w:cs="Calibri"/>
                <w:b/>
                <w:sz w:val="18"/>
                <w:szCs w:val="18"/>
              </w:rPr>
            </w:pPr>
            <w:bookmarkStart w:id="232" w:name="_Hlk9588957"/>
            <w:r w:rsidRPr="00D50859">
              <w:rPr>
                <w:rFonts w:ascii="Calibri" w:hAnsi="Calibri" w:cs="Calibri"/>
                <w:b/>
                <w:sz w:val="18"/>
                <w:szCs w:val="18"/>
              </w:rPr>
              <w:t>ID</w:t>
            </w:r>
          </w:p>
        </w:tc>
        <w:tc>
          <w:tcPr>
            <w:tcW w:w="1104" w:type="dxa"/>
            <w:shd w:val="clear" w:color="auto" w:fill="002060"/>
            <w:hideMark/>
          </w:tcPr>
          <w:p w14:paraId="7B65DE57"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Indikátor</w:t>
            </w:r>
          </w:p>
        </w:tc>
        <w:tc>
          <w:tcPr>
            <w:tcW w:w="1005" w:type="dxa"/>
            <w:shd w:val="clear" w:color="auto" w:fill="002060"/>
            <w:hideMark/>
          </w:tcPr>
          <w:p w14:paraId="0E0FBA4D"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Měrná jednotka</w:t>
            </w:r>
          </w:p>
        </w:tc>
        <w:tc>
          <w:tcPr>
            <w:tcW w:w="974" w:type="dxa"/>
            <w:shd w:val="clear" w:color="auto" w:fill="002060"/>
            <w:hideMark/>
          </w:tcPr>
          <w:p w14:paraId="0C6AD7D8"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Výchozí hodnota</w:t>
            </w:r>
          </w:p>
        </w:tc>
        <w:tc>
          <w:tcPr>
            <w:tcW w:w="903" w:type="dxa"/>
            <w:shd w:val="clear" w:color="auto" w:fill="002060"/>
            <w:hideMark/>
          </w:tcPr>
          <w:p w14:paraId="79E731F6"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Výchozí rok</w:t>
            </w:r>
          </w:p>
        </w:tc>
        <w:tc>
          <w:tcPr>
            <w:tcW w:w="972" w:type="dxa"/>
            <w:shd w:val="clear" w:color="auto" w:fill="002060"/>
            <w:hideMark/>
          </w:tcPr>
          <w:p w14:paraId="3574A8EC"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2013</w:t>
            </w:r>
          </w:p>
        </w:tc>
        <w:tc>
          <w:tcPr>
            <w:tcW w:w="839" w:type="dxa"/>
            <w:shd w:val="clear" w:color="auto" w:fill="002060"/>
            <w:hideMark/>
          </w:tcPr>
          <w:p w14:paraId="578137A1"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2014</w:t>
            </w:r>
          </w:p>
        </w:tc>
        <w:tc>
          <w:tcPr>
            <w:tcW w:w="937" w:type="dxa"/>
            <w:shd w:val="clear" w:color="auto" w:fill="002060"/>
            <w:hideMark/>
          </w:tcPr>
          <w:p w14:paraId="134009C9"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2015</w:t>
            </w:r>
          </w:p>
        </w:tc>
        <w:tc>
          <w:tcPr>
            <w:tcW w:w="834" w:type="dxa"/>
            <w:shd w:val="clear" w:color="auto" w:fill="002060"/>
            <w:hideMark/>
          </w:tcPr>
          <w:p w14:paraId="1AC425E2"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2016</w:t>
            </w:r>
          </w:p>
        </w:tc>
        <w:tc>
          <w:tcPr>
            <w:tcW w:w="831" w:type="dxa"/>
            <w:shd w:val="clear" w:color="auto" w:fill="002060"/>
            <w:hideMark/>
          </w:tcPr>
          <w:p w14:paraId="71EE1BFA" w14:textId="77777777" w:rsidR="00D50859" w:rsidRPr="00D50859" w:rsidRDefault="00D50859" w:rsidP="00D50859">
            <w:pPr>
              <w:jc w:val="center"/>
              <w:rPr>
                <w:rFonts w:ascii="Calibri" w:hAnsi="Calibri" w:cs="Calibri"/>
                <w:b/>
                <w:sz w:val="18"/>
                <w:szCs w:val="18"/>
              </w:rPr>
            </w:pPr>
            <w:r w:rsidRPr="00D50859">
              <w:rPr>
                <w:rFonts w:ascii="Calibri" w:hAnsi="Calibri" w:cs="Calibri"/>
                <w:b/>
                <w:sz w:val="18"/>
                <w:szCs w:val="18"/>
              </w:rPr>
              <w:t>2017</w:t>
            </w:r>
          </w:p>
        </w:tc>
      </w:tr>
      <w:tr w:rsidR="00D50859" w:rsidRPr="00D50859" w14:paraId="6F46B3F4" w14:textId="77777777" w:rsidTr="00E333FB">
        <w:trPr>
          <w:trHeight w:val="828"/>
        </w:trPr>
        <w:tc>
          <w:tcPr>
            <w:tcW w:w="774" w:type="dxa"/>
            <w:noWrap/>
            <w:hideMark/>
          </w:tcPr>
          <w:p w14:paraId="59461016" w14:textId="77777777" w:rsidR="00D50859" w:rsidRPr="00D50859" w:rsidRDefault="00D50859" w:rsidP="00D50859">
            <w:pPr>
              <w:rPr>
                <w:rFonts w:ascii="Calibri" w:hAnsi="Calibri" w:cs="Calibri"/>
                <w:sz w:val="18"/>
                <w:szCs w:val="18"/>
              </w:rPr>
            </w:pPr>
            <w:r w:rsidRPr="00D50859">
              <w:rPr>
                <w:rFonts w:ascii="Calibri" w:hAnsi="Calibri" w:cs="Calibri"/>
                <w:sz w:val="18"/>
                <w:szCs w:val="18"/>
              </w:rPr>
              <w:t>40000</w:t>
            </w:r>
          </w:p>
        </w:tc>
        <w:tc>
          <w:tcPr>
            <w:tcW w:w="1104" w:type="dxa"/>
            <w:hideMark/>
          </w:tcPr>
          <w:p w14:paraId="6FE3FD19" w14:textId="77777777" w:rsidR="00D50859" w:rsidRPr="00D50859" w:rsidRDefault="00D50859" w:rsidP="00D50859">
            <w:pPr>
              <w:rPr>
                <w:rFonts w:ascii="Calibri" w:hAnsi="Calibri" w:cs="Calibri"/>
                <w:sz w:val="18"/>
                <w:szCs w:val="18"/>
              </w:rPr>
            </w:pPr>
            <w:r w:rsidRPr="00D50859">
              <w:rPr>
                <w:rFonts w:ascii="Calibri" w:hAnsi="Calibri" w:cs="Calibri"/>
                <w:sz w:val="18"/>
                <w:szCs w:val="18"/>
              </w:rPr>
              <w:t>Investice na ochranu životního prostředí</w:t>
            </w:r>
          </w:p>
        </w:tc>
        <w:tc>
          <w:tcPr>
            <w:tcW w:w="1005" w:type="dxa"/>
            <w:noWrap/>
            <w:hideMark/>
          </w:tcPr>
          <w:p w14:paraId="18719182"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mil. Kč</w:t>
            </w:r>
          </w:p>
        </w:tc>
        <w:tc>
          <w:tcPr>
            <w:tcW w:w="974" w:type="dxa"/>
            <w:noWrap/>
            <w:hideMark/>
          </w:tcPr>
          <w:p w14:paraId="57E7F195"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25 617</w:t>
            </w:r>
          </w:p>
        </w:tc>
        <w:tc>
          <w:tcPr>
            <w:tcW w:w="903" w:type="dxa"/>
            <w:noWrap/>
            <w:hideMark/>
          </w:tcPr>
          <w:p w14:paraId="782BB44C"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2012</w:t>
            </w:r>
          </w:p>
        </w:tc>
        <w:tc>
          <w:tcPr>
            <w:tcW w:w="972" w:type="dxa"/>
            <w:hideMark/>
          </w:tcPr>
          <w:p w14:paraId="3FB0B947"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27 074</w:t>
            </w:r>
          </w:p>
        </w:tc>
        <w:tc>
          <w:tcPr>
            <w:tcW w:w="839" w:type="dxa"/>
            <w:noWrap/>
            <w:hideMark/>
          </w:tcPr>
          <w:p w14:paraId="79C0A165"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31 390</w:t>
            </w:r>
          </w:p>
        </w:tc>
        <w:tc>
          <w:tcPr>
            <w:tcW w:w="937" w:type="dxa"/>
            <w:hideMark/>
          </w:tcPr>
          <w:p w14:paraId="6DFCA044"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40 110</w:t>
            </w:r>
          </w:p>
        </w:tc>
        <w:tc>
          <w:tcPr>
            <w:tcW w:w="834" w:type="dxa"/>
            <w:hideMark/>
          </w:tcPr>
          <w:p w14:paraId="0F9D4538"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25 476</w:t>
            </w:r>
          </w:p>
        </w:tc>
        <w:tc>
          <w:tcPr>
            <w:tcW w:w="831" w:type="dxa"/>
            <w:hideMark/>
          </w:tcPr>
          <w:p w14:paraId="1F753A35" w14:textId="77777777" w:rsidR="00D50859" w:rsidRPr="00D50859" w:rsidRDefault="00D50859" w:rsidP="00D50859">
            <w:pPr>
              <w:jc w:val="center"/>
              <w:rPr>
                <w:rFonts w:ascii="Calibri" w:hAnsi="Calibri" w:cs="Calibri"/>
                <w:sz w:val="18"/>
                <w:szCs w:val="18"/>
              </w:rPr>
            </w:pPr>
            <w:r w:rsidRPr="00D50859">
              <w:rPr>
                <w:rFonts w:ascii="Calibri" w:hAnsi="Calibri" w:cs="Calibri"/>
                <w:sz w:val="18"/>
                <w:szCs w:val="18"/>
              </w:rPr>
              <w:t>35 423</w:t>
            </w:r>
          </w:p>
        </w:tc>
      </w:tr>
    </w:tbl>
    <w:bookmarkEnd w:id="232"/>
    <w:p w14:paraId="06729A65" w14:textId="77777777" w:rsidR="00D50859" w:rsidRPr="00D50859" w:rsidRDefault="00D50859" w:rsidP="00D50859">
      <w:pPr>
        <w:spacing w:after="0"/>
        <w:rPr>
          <w:rFonts w:ascii="Calibri" w:hAnsi="Calibri" w:cs="Calibri"/>
          <w:i/>
          <w:sz w:val="18"/>
        </w:rPr>
      </w:pPr>
      <w:r w:rsidRPr="00D50859">
        <w:rPr>
          <w:rFonts w:ascii="Calibri" w:hAnsi="Calibri" w:cs="Calibri"/>
          <w:i/>
          <w:sz w:val="18"/>
        </w:rPr>
        <w:t>Zdroj: ČSÚ.</w:t>
      </w:r>
    </w:p>
    <w:p w14:paraId="7599C6D1" w14:textId="77777777" w:rsidR="00D50859" w:rsidRPr="00D50859" w:rsidRDefault="00D50859" w:rsidP="00D50859">
      <w:pPr>
        <w:spacing w:after="0"/>
      </w:pPr>
    </w:p>
    <w:p w14:paraId="276D2D9F" w14:textId="77777777" w:rsidR="00D50859" w:rsidRPr="00D50859" w:rsidRDefault="00D50859" w:rsidP="00D50859">
      <w:pPr>
        <w:spacing w:after="0"/>
      </w:pPr>
      <w:r w:rsidRPr="00D50859">
        <w:t>Jak vyplývá z tabulky výše, hodnoty tohoto indikátorů v jednotlivých sledovaných letech významně oscilovaly, nicméně je patrný trend nárůstu investic ve srovnání s výchozím rokem.</w:t>
      </w:r>
    </w:p>
    <w:p w14:paraId="227C039B" w14:textId="4BEB0A6B" w:rsidR="00D50859" w:rsidRDefault="00D50859" w:rsidP="00D50859">
      <w:pPr>
        <w:spacing w:after="0"/>
      </w:pPr>
    </w:p>
    <w:p w14:paraId="12FB962C" w14:textId="77777777" w:rsidR="007A2593" w:rsidRPr="00D50859" w:rsidRDefault="007A2593" w:rsidP="00D50859">
      <w:pPr>
        <w:spacing w:after="0"/>
      </w:pPr>
    </w:p>
    <w:p w14:paraId="31143E92" w14:textId="77777777" w:rsidR="00C91048" w:rsidRDefault="00C91048" w:rsidP="00D50859">
      <w:pPr>
        <w:pStyle w:val="Nadpis4"/>
      </w:pPr>
      <w:r w:rsidRPr="001C50E7">
        <w:lastRenderedPageBreak/>
        <w:t>Výsledkové indikátory</w:t>
      </w:r>
    </w:p>
    <w:p w14:paraId="5E173632" w14:textId="37E2618B" w:rsidR="00D50859" w:rsidRPr="00D50859" w:rsidRDefault="00D50859" w:rsidP="00843493">
      <w:pPr>
        <w:spacing w:after="0"/>
        <w:rPr>
          <w:b/>
          <w:i/>
        </w:rPr>
      </w:pPr>
      <w:r w:rsidRPr="00D50859">
        <w:rPr>
          <w:b/>
          <w:i/>
        </w:rPr>
        <w:t>Specifický cíl 3.</w:t>
      </w:r>
      <w:r>
        <w:rPr>
          <w:b/>
          <w:i/>
        </w:rPr>
        <w:t>1</w:t>
      </w:r>
    </w:p>
    <w:p w14:paraId="43A35CB1" w14:textId="701E8668" w:rsidR="00843493" w:rsidRDefault="00843493" w:rsidP="00D50859">
      <w:pPr>
        <w:spacing w:after="0"/>
      </w:pPr>
      <w:r>
        <w:t>Pro SC 3.1 byl stanoven hlavní indikátor výsledku: „Celkový instalovaný výkon z OZE“.</w:t>
      </w:r>
    </w:p>
    <w:p w14:paraId="3873B634" w14:textId="77777777" w:rsidR="00843493" w:rsidRDefault="00843493" w:rsidP="00D50859">
      <w:pPr>
        <w:spacing w:after="0"/>
      </w:pPr>
    </w:p>
    <w:p w14:paraId="1AA0C11A" w14:textId="1B440A13" w:rsidR="00944031" w:rsidRDefault="00944031" w:rsidP="00944031">
      <w:pPr>
        <w:pStyle w:val="Titulek"/>
      </w:pPr>
      <w:bookmarkStart w:id="233" w:name="_Toc10730036"/>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17</w:t>
      </w:r>
      <w:r w:rsidR="00BD754F">
        <w:rPr>
          <w:noProof/>
        </w:rPr>
        <w:fldChar w:fldCharType="end"/>
      </w:r>
      <w:r>
        <w:t>: Indikátor výsledku SC 3.1 (hlavní)</w:t>
      </w:r>
      <w:bookmarkEnd w:id="233"/>
    </w:p>
    <w:tbl>
      <w:tblPr>
        <w:tblStyle w:val="Mkatabulky"/>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3"/>
        <w:gridCol w:w="1142"/>
        <w:gridCol w:w="1028"/>
        <w:gridCol w:w="991"/>
        <w:gridCol w:w="920"/>
        <w:gridCol w:w="960"/>
        <w:gridCol w:w="838"/>
        <w:gridCol w:w="673"/>
        <w:gridCol w:w="673"/>
        <w:gridCol w:w="673"/>
        <w:gridCol w:w="645"/>
      </w:tblGrid>
      <w:tr w:rsidR="00843493" w:rsidRPr="00843493" w14:paraId="0234E1C6" w14:textId="77777777" w:rsidTr="00843493">
        <w:trPr>
          <w:trHeight w:val="801"/>
        </w:trPr>
        <w:tc>
          <w:tcPr>
            <w:tcW w:w="415" w:type="pct"/>
            <w:shd w:val="clear" w:color="auto" w:fill="002060"/>
            <w:hideMark/>
          </w:tcPr>
          <w:p w14:paraId="241CC7C2"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ID</w:t>
            </w:r>
          </w:p>
        </w:tc>
        <w:tc>
          <w:tcPr>
            <w:tcW w:w="613" w:type="pct"/>
            <w:shd w:val="clear" w:color="auto" w:fill="002060"/>
            <w:hideMark/>
          </w:tcPr>
          <w:p w14:paraId="7F2811A0"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Indikátor</w:t>
            </w:r>
          </w:p>
        </w:tc>
        <w:tc>
          <w:tcPr>
            <w:tcW w:w="552" w:type="pct"/>
            <w:shd w:val="clear" w:color="auto" w:fill="002060"/>
            <w:hideMark/>
          </w:tcPr>
          <w:p w14:paraId="3F391126"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Měrná jednotka</w:t>
            </w:r>
          </w:p>
        </w:tc>
        <w:tc>
          <w:tcPr>
            <w:tcW w:w="532" w:type="pct"/>
            <w:shd w:val="clear" w:color="auto" w:fill="002060"/>
            <w:hideMark/>
          </w:tcPr>
          <w:p w14:paraId="0B53B98C"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Výchozí hodnota</w:t>
            </w:r>
          </w:p>
        </w:tc>
        <w:tc>
          <w:tcPr>
            <w:tcW w:w="494" w:type="pct"/>
            <w:shd w:val="clear" w:color="auto" w:fill="002060"/>
            <w:hideMark/>
          </w:tcPr>
          <w:p w14:paraId="2601E210"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Výchozí rok</w:t>
            </w:r>
          </w:p>
        </w:tc>
        <w:tc>
          <w:tcPr>
            <w:tcW w:w="515" w:type="pct"/>
            <w:shd w:val="clear" w:color="auto" w:fill="002060"/>
            <w:hideMark/>
          </w:tcPr>
          <w:p w14:paraId="314A4E1D"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Cílová hodnota (2023)</w:t>
            </w:r>
          </w:p>
        </w:tc>
        <w:tc>
          <w:tcPr>
            <w:tcW w:w="450" w:type="pct"/>
            <w:shd w:val="clear" w:color="auto" w:fill="002060"/>
            <w:hideMark/>
          </w:tcPr>
          <w:p w14:paraId="0AA38142"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2014</w:t>
            </w:r>
          </w:p>
        </w:tc>
        <w:tc>
          <w:tcPr>
            <w:tcW w:w="361" w:type="pct"/>
            <w:shd w:val="clear" w:color="auto" w:fill="002060"/>
            <w:hideMark/>
          </w:tcPr>
          <w:p w14:paraId="3DA288D5"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2015</w:t>
            </w:r>
          </w:p>
        </w:tc>
        <w:tc>
          <w:tcPr>
            <w:tcW w:w="361" w:type="pct"/>
            <w:shd w:val="clear" w:color="auto" w:fill="002060"/>
            <w:hideMark/>
          </w:tcPr>
          <w:p w14:paraId="1F6834A3"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2016</w:t>
            </w:r>
          </w:p>
        </w:tc>
        <w:tc>
          <w:tcPr>
            <w:tcW w:w="361" w:type="pct"/>
            <w:shd w:val="clear" w:color="auto" w:fill="002060"/>
            <w:hideMark/>
          </w:tcPr>
          <w:p w14:paraId="7BB82236" w14:textId="77777777" w:rsidR="00944031" w:rsidRPr="00843493" w:rsidRDefault="00944031" w:rsidP="00A44254">
            <w:pPr>
              <w:spacing w:line="276" w:lineRule="auto"/>
              <w:jc w:val="center"/>
              <w:rPr>
                <w:rFonts w:cstheme="minorHAnsi"/>
                <w:b/>
                <w:sz w:val="18"/>
                <w:szCs w:val="20"/>
              </w:rPr>
            </w:pPr>
            <w:r w:rsidRPr="00843493">
              <w:rPr>
                <w:rFonts w:cstheme="minorHAnsi"/>
                <w:b/>
                <w:sz w:val="18"/>
                <w:szCs w:val="20"/>
              </w:rPr>
              <w:t>2017</w:t>
            </w:r>
          </w:p>
        </w:tc>
        <w:tc>
          <w:tcPr>
            <w:tcW w:w="346" w:type="pct"/>
            <w:shd w:val="clear" w:color="auto" w:fill="002060"/>
          </w:tcPr>
          <w:p w14:paraId="62055904" w14:textId="77777777" w:rsidR="00944031" w:rsidRPr="00843493" w:rsidRDefault="00944031" w:rsidP="00A44254">
            <w:pPr>
              <w:jc w:val="center"/>
              <w:rPr>
                <w:rFonts w:cstheme="minorHAnsi"/>
                <w:b/>
                <w:sz w:val="18"/>
                <w:szCs w:val="20"/>
              </w:rPr>
            </w:pPr>
            <w:r w:rsidRPr="00843493">
              <w:rPr>
                <w:rFonts w:cstheme="minorHAnsi"/>
                <w:b/>
                <w:sz w:val="18"/>
                <w:szCs w:val="20"/>
              </w:rPr>
              <w:t>2018</w:t>
            </w:r>
          </w:p>
        </w:tc>
      </w:tr>
      <w:tr w:rsidR="00944031" w:rsidRPr="00843493" w14:paraId="7EAF197B" w14:textId="77777777" w:rsidTr="00843493">
        <w:trPr>
          <w:trHeight w:val="376"/>
        </w:trPr>
        <w:tc>
          <w:tcPr>
            <w:tcW w:w="415" w:type="pct"/>
            <w:noWrap/>
            <w:vAlign w:val="center"/>
          </w:tcPr>
          <w:p w14:paraId="41C60AF3" w14:textId="77777777" w:rsidR="00944031" w:rsidRPr="00843493" w:rsidRDefault="00944031" w:rsidP="00A44254">
            <w:pPr>
              <w:spacing w:line="276" w:lineRule="auto"/>
              <w:rPr>
                <w:rFonts w:cstheme="minorHAnsi"/>
                <w:sz w:val="18"/>
                <w:szCs w:val="20"/>
              </w:rPr>
            </w:pPr>
            <w:r w:rsidRPr="00843493">
              <w:rPr>
                <w:color w:val="000000"/>
                <w:sz w:val="18"/>
                <w:szCs w:val="20"/>
              </w:rPr>
              <w:t>33910</w:t>
            </w:r>
          </w:p>
        </w:tc>
        <w:tc>
          <w:tcPr>
            <w:tcW w:w="613" w:type="pct"/>
            <w:vAlign w:val="center"/>
          </w:tcPr>
          <w:p w14:paraId="659ED196" w14:textId="77777777" w:rsidR="00944031" w:rsidRPr="00843493" w:rsidRDefault="00944031" w:rsidP="00A44254">
            <w:pPr>
              <w:spacing w:line="276" w:lineRule="auto"/>
              <w:rPr>
                <w:rFonts w:cstheme="minorHAnsi"/>
                <w:sz w:val="18"/>
                <w:szCs w:val="20"/>
              </w:rPr>
            </w:pPr>
            <w:r w:rsidRPr="00843493">
              <w:rPr>
                <w:color w:val="000000"/>
                <w:sz w:val="18"/>
                <w:szCs w:val="20"/>
              </w:rPr>
              <w:t>Celkový</w:t>
            </w:r>
            <w:r w:rsidRPr="00843493">
              <w:rPr>
                <w:color w:val="000000"/>
                <w:sz w:val="18"/>
                <w:szCs w:val="20"/>
              </w:rPr>
              <w:br/>
              <w:t>instalovaný</w:t>
            </w:r>
            <w:r w:rsidRPr="00843493">
              <w:rPr>
                <w:color w:val="000000"/>
                <w:sz w:val="18"/>
                <w:szCs w:val="20"/>
              </w:rPr>
              <w:br/>
              <w:t>výkon z OZE</w:t>
            </w:r>
          </w:p>
        </w:tc>
        <w:tc>
          <w:tcPr>
            <w:tcW w:w="552" w:type="pct"/>
            <w:noWrap/>
            <w:vAlign w:val="center"/>
          </w:tcPr>
          <w:p w14:paraId="18DB5903" w14:textId="77777777" w:rsidR="00944031" w:rsidRPr="00843493" w:rsidRDefault="00944031" w:rsidP="00A44254">
            <w:pPr>
              <w:spacing w:line="276" w:lineRule="auto"/>
              <w:jc w:val="center"/>
              <w:rPr>
                <w:rFonts w:cstheme="minorHAnsi"/>
                <w:sz w:val="18"/>
                <w:szCs w:val="20"/>
              </w:rPr>
            </w:pPr>
            <w:r w:rsidRPr="00843493">
              <w:rPr>
                <w:color w:val="000000"/>
                <w:sz w:val="18"/>
                <w:szCs w:val="20"/>
              </w:rPr>
              <w:t>MW</w:t>
            </w:r>
          </w:p>
        </w:tc>
        <w:tc>
          <w:tcPr>
            <w:tcW w:w="532" w:type="pct"/>
            <w:noWrap/>
            <w:vAlign w:val="center"/>
          </w:tcPr>
          <w:p w14:paraId="31F282AF"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667,1</w:t>
            </w:r>
          </w:p>
        </w:tc>
        <w:tc>
          <w:tcPr>
            <w:tcW w:w="494" w:type="pct"/>
            <w:noWrap/>
            <w:vAlign w:val="center"/>
          </w:tcPr>
          <w:p w14:paraId="3F8C4F10"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2013</w:t>
            </w:r>
          </w:p>
        </w:tc>
        <w:tc>
          <w:tcPr>
            <w:tcW w:w="515" w:type="pct"/>
            <w:vAlign w:val="center"/>
          </w:tcPr>
          <w:p w14:paraId="04C1EA57"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720</w:t>
            </w:r>
          </w:p>
        </w:tc>
        <w:tc>
          <w:tcPr>
            <w:tcW w:w="450" w:type="pct"/>
            <w:noWrap/>
            <w:vAlign w:val="center"/>
          </w:tcPr>
          <w:p w14:paraId="1E47B0B3"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686</w:t>
            </w:r>
          </w:p>
        </w:tc>
        <w:tc>
          <w:tcPr>
            <w:tcW w:w="361" w:type="pct"/>
            <w:vAlign w:val="center"/>
          </w:tcPr>
          <w:p w14:paraId="3F527322"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695,9</w:t>
            </w:r>
          </w:p>
        </w:tc>
        <w:tc>
          <w:tcPr>
            <w:tcW w:w="361" w:type="pct"/>
            <w:vAlign w:val="center"/>
          </w:tcPr>
          <w:p w14:paraId="5917AA5B"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709,7</w:t>
            </w:r>
          </w:p>
        </w:tc>
        <w:tc>
          <w:tcPr>
            <w:tcW w:w="361" w:type="pct"/>
            <w:vAlign w:val="center"/>
          </w:tcPr>
          <w:p w14:paraId="7BEF3813" w14:textId="77777777" w:rsidR="00944031" w:rsidRPr="00843493" w:rsidRDefault="00944031" w:rsidP="00A44254">
            <w:pPr>
              <w:spacing w:line="276" w:lineRule="auto"/>
              <w:jc w:val="right"/>
              <w:rPr>
                <w:rFonts w:cstheme="minorHAnsi"/>
                <w:sz w:val="18"/>
                <w:szCs w:val="20"/>
              </w:rPr>
            </w:pPr>
            <w:r w:rsidRPr="00843493">
              <w:rPr>
                <w:rFonts w:ascii="Calibri" w:hAnsi="Calibri"/>
                <w:color w:val="000000"/>
                <w:sz w:val="18"/>
                <w:szCs w:val="20"/>
              </w:rPr>
              <w:t>715,9</w:t>
            </w:r>
          </w:p>
        </w:tc>
        <w:tc>
          <w:tcPr>
            <w:tcW w:w="346" w:type="pct"/>
            <w:vAlign w:val="center"/>
          </w:tcPr>
          <w:p w14:paraId="23473AFF" w14:textId="77777777" w:rsidR="00944031" w:rsidRPr="00843493" w:rsidRDefault="00944031" w:rsidP="00A44254">
            <w:pPr>
              <w:jc w:val="right"/>
              <w:rPr>
                <w:rFonts w:cstheme="minorHAnsi"/>
                <w:sz w:val="18"/>
                <w:szCs w:val="20"/>
              </w:rPr>
            </w:pPr>
            <w:r w:rsidRPr="00843493">
              <w:rPr>
                <w:rFonts w:ascii="Calibri" w:hAnsi="Calibri"/>
                <w:color w:val="000000"/>
                <w:sz w:val="18"/>
                <w:szCs w:val="20"/>
              </w:rPr>
              <w:t>N/A</w:t>
            </w:r>
          </w:p>
        </w:tc>
      </w:tr>
    </w:tbl>
    <w:p w14:paraId="1E718383" w14:textId="77777777" w:rsidR="00944031" w:rsidRPr="00843493" w:rsidRDefault="00944031" w:rsidP="00D50859">
      <w:pPr>
        <w:spacing w:after="0"/>
        <w:rPr>
          <w:rFonts w:ascii="Calibri" w:hAnsi="Calibri" w:cs="Calibri"/>
        </w:rPr>
      </w:pPr>
    </w:p>
    <w:p w14:paraId="797ACD15" w14:textId="6B21FD23" w:rsidR="00E25DBC" w:rsidRDefault="00E25DBC" w:rsidP="00D50859">
      <w:pPr>
        <w:spacing w:after="0"/>
      </w:pPr>
      <w:r>
        <w:t xml:space="preserve">Indikátor výsledku SC 3.1 zaznamenává ve sledovaných letech pozitivní vývoj, kdy dochází k postupnému zvyšování celkového instalovaného výkonu z OZE. Bude-li stejný trend pokračovat i v nejbližších letech, lze předpokládat úspěšné naplnění indikátoru ještě před rokem 2023. </w:t>
      </w:r>
    </w:p>
    <w:p w14:paraId="11F92406" w14:textId="04B1BA8A" w:rsidR="00D50859" w:rsidRDefault="00D50859" w:rsidP="00D50859">
      <w:pPr>
        <w:spacing w:after="0"/>
      </w:pPr>
    </w:p>
    <w:p w14:paraId="314E0392" w14:textId="2D8E9D1A" w:rsidR="00D50859" w:rsidRPr="00355468" w:rsidRDefault="00D50859" w:rsidP="00D50859">
      <w:pPr>
        <w:spacing w:after="0"/>
        <w:rPr>
          <w:b/>
          <w:i/>
        </w:rPr>
      </w:pPr>
      <w:r w:rsidRPr="00355468">
        <w:rPr>
          <w:b/>
          <w:i/>
        </w:rPr>
        <w:t>Specifický cíl 3.2</w:t>
      </w:r>
    </w:p>
    <w:p w14:paraId="1EAFF3D1" w14:textId="4A21A98E" w:rsidR="00843493" w:rsidRDefault="00843493" w:rsidP="00D50859">
      <w:pPr>
        <w:spacing w:after="0"/>
      </w:pPr>
      <w:r w:rsidRPr="00355468">
        <w:t>Pro SC 3.2 byly stanoveny 3 hlavní indikátory výsledku: „Čistá konečná spotřeba energie v průmyslu“, „Čistá konečná spotřeba energie ve službách“ a „Podíl obnovitelných zdrojů na konečné spotřebě“.</w:t>
      </w:r>
    </w:p>
    <w:p w14:paraId="5F2963C7" w14:textId="77777777" w:rsidR="00843493" w:rsidRDefault="00843493" w:rsidP="00D50859">
      <w:pPr>
        <w:spacing w:after="0"/>
      </w:pPr>
    </w:p>
    <w:p w14:paraId="51E5B4BD" w14:textId="3CC21CEA" w:rsidR="00843493" w:rsidRDefault="00843493" w:rsidP="00843493">
      <w:pPr>
        <w:pStyle w:val="Titulek"/>
      </w:pPr>
      <w:bookmarkStart w:id="234" w:name="_Toc10730037"/>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18</w:t>
      </w:r>
      <w:r w:rsidR="00BD754F">
        <w:rPr>
          <w:noProof/>
        </w:rPr>
        <w:fldChar w:fldCharType="end"/>
      </w:r>
      <w:r>
        <w:t>: Indikátory výsledku SC 3.2 (hlavní)</w:t>
      </w:r>
      <w:bookmarkEnd w:id="234"/>
    </w:p>
    <w:tbl>
      <w:tblPr>
        <w:tblStyle w:val="Mkatabulky"/>
        <w:tblW w:w="50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75"/>
        <w:gridCol w:w="1829"/>
        <w:gridCol w:w="892"/>
        <w:gridCol w:w="947"/>
        <w:gridCol w:w="775"/>
        <w:gridCol w:w="913"/>
        <w:gridCol w:w="823"/>
        <w:gridCol w:w="829"/>
        <w:gridCol w:w="827"/>
        <w:gridCol w:w="825"/>
      </w:tblGrid>
      <w:tr w:rsidR="00843493" w:rsidRPr="001D78D1" w14:paraId="0CB394A2" w14:textId="77777777" w:rsidTr="00843493">
        <w:trPr>
          <w:trHeight w:val="791"/>
        </w:trPr>
        <w:tc>
          <w:tcPr>
            <w:tcW w:w="361" w:type="pct"/>
            <w:shd w:val="clear" w:color="auto" w:fill="002060"/>
            <w:hideMark/>
          </w:tcPr>
          <w:p w14:paraId="7453A2A1" w14:textId="77777777" w:rsidR="00843493" w:rsidRPr="001D78D1" w:rsidRDefault="00843493" w:rsidP="00A44254">
            <w:pPr>
              <w:jc w:val="center"/>
              <w:rPr>
                <w:rFonts w:cstheme="minorHAnsi"/>
                <w:b/>
                <w:sz w:val="16"/>
                <w:szCs w:val="18"/>
              </w:rPr>
            </w:pPr>
            <w:r w:rsidRPr="001D78D1">
              <w:rPr>
                <w:rFonts w:cstheme="minorHAnsi"/>
                <w:b/>
                <w:sz w:val="16"/>
                <w:szCs w:val="18"/>
              </w:rPr>
              <w:t>ID</w:t>
            </w:r>
          </w:p>
        </w:tc>
        <w:tc>
          <w:tcPr>
            <w:tcW w:w="979" w:type="pct"/>
            <w:shd w:val="clear" w:color="auto" w:fill="002060"/>
            <w:hideMark/>
          </w:tcPr>
          <w:p w14:paraId="4792F0E0" w14:textId="77777777" w:rsidR="00843493" w:rsidRPr="001D78D1" w:rsidRDefault="00843493" w:rsidP="00A44254">
            <w:pPr>
              <w:jc w:val="center"/>
              <w:rPr>
                <w:rFonts w:cstheme="minorHAnsi"/>
                <w:b/>
                <w:sz w:val="16"/>
                <w:szCs w:val="18"/>
              </w:rPr>
            </w:pPr>
            <w:r w:rsidRPr="001D78D1">
              <w:rPr>
                <w:rFonts w:cstheme="minorHAnsi"/>
                <w:b/>
                <w:sz w:val="16"/>
                <w:szCs w:val="18"/>
              </w:rPr>
              <w:t>Indikátor</w:t>
            </w:r>
          </w:p>
        </w:tc>
        <w:tc>
          <w:tcPr>
            <w:tcW w:w="478" w:type="pct"/>
            <w:shd w:val="clear" w:color="auto" w:fill="002060"/>
            <w:hideMark/>
          </w:tcPr>
          <w:p w14:paraId="6B2F9AE9" w14:textId="77777777" w:rsidR="00843493" w:rsidRPr="001D78D1" w:rsidRDefault="00843493" w:rsidP="00A44254">
            <w:pPr>
              <w:jc w:val="center"/>
              <w:rPr>
                <w:rFonts w:cstheme="minorHAnsi"/>
                <w:b/>
                <w:sz w:val="16"/>
                <w:szCs w:val="18"/>
              </w:rPr>
            </w:pPr>
            <w:r w:rsidRPr="001D78D1">
              <w:rPr>
                <w:rFonts w:cstheme="minorHAnsi"/>
                <w:b/>
                <w:sz w:val="16"/>
                <w:szCs w:val="18"/>
              </w:rPr>
              <w:t>Měrná jednotka</w:t>
            </w:r>
          </w:p>
        </w:tc>
        <w:tc>
          <w:tcPr>
            <w:tcW w:w="507" w:type="pct"/>
            <w:shd w:val="clear" w:color="auto" w:fill="002060"/>
            <w:hideMark/>
          </w:tcPr>
          <w:p w14:paraId="1C56DF2C" w14:textId="77777777" w:rsidR="00843493" w:rsidRPr="001D78D1" w:rsidRDefault="00843493" w:rsidP="00A44254">
            <w:pPr>
              <w:jc w:val="center"/>
              <w:rPr>
                <w:rFonts w:cstheme="minorHAnsi"/>
                <w:b/>
                <w:sz w:val="16"/>
                <w:szCs w:val="18"/>
              </w:rPr>
            </w:pPr>
            <w:r w:rsidRPr="001D78D1">
              <w:rPr>
                <w:rFonts w:cstheme="minorHAnsi"/>
                <w:b/>
                <w:sz w:val="16"/>
                <w:szCs w:val="18"/>
              </w:rPr>
              <w:t>Výchozí hodnota</w:t>
            </w:r>
          </w:p>
        </w:tc>
        <w:tc>
          <w:tcPr>
            <w:tcW w:w="415" w:type="pct"/>
            <w:shd w:val="clear" w:color="auto" w:fill="002060"/>
            <w:hideMark/>
          </w:tcPr>
          <w:p w14:paraId="4BBC5E7F" w14:textId="77777777" w:rsidR="00843493" w:rsidRPr="001D78D1" w:rsidRDefault="00843493" w:rsidP="00A44254">
            <w:pPr>
              <w:jc w:val="center"/>
              <w:rPr>
                <w:rFonts w:cstheme="minorHAnsi"/>
                <w:b/>
                <w:sz w:val="16"/>
                <w:szCs w:val="18"/>
              </w:rPr>
            </w:pPr>
            <w:r w:rsidRPr="001D78D1">
              <w:rPr>
                <w:rFonts w:cstheme="minorHAnsi"/>
                <w:b/>
                <w:sz w:val="16"/>
                <w:szCs w:val="18"/>
              </w:rPr>
              <w:t>Výchozí rok</w:t>
            </w:r>
          </w:p>
        </w:tc>
        <w:tc>
          <w:tcPr>
            <w:tcW w:w="489" w:type="pct"/>
            <w:shd w:val="clear" w:color="auto" w:fill="002060"/>
            <w:hideMark/>
          </w:tcPr>
          <w:p w14:paraId="1481FADE" w14:textId="77777777" w:rsidR="00843493" w:rsidRPr="001D78D1" w:rsidRDefault="00843493" w:rsidP="00A44254">
            <w:pPr>
              <w:jc w:val="center"/>
              <w:rPr>
                <w:rFonts w:cstheme="minorHAnsi"/>
                <w:b/>
                <w:sz w:val="16"/>
                <w:szCs w:val="18"/>
              </w:rPr>
            </w:pPr>
            <w:r w:rsidRPr="001D78D1">
              <w:rPr>
                <w:rFonts w:cstheme="minorHAnsi"/>
                <w:b/>
                <w:sz w:val="16"/>
                <w:szCs w:val="18"/>
              </w:rPr>
              <w:t>Cílová hodnota (2023)</w:t>
            </w:r>
          </w:p>
        </w:tc>
        <w:tc>
          <w:tcPr>
            <w:tcW w:w="441" w:type="pct"/>
            <w:shd w:val="clear" w:color="auto" w:fill="002060"/>
            <w:hideMark/>
          </w:tcPr>
          <w:p w14:paraId="5981CA1F" w14:textId="77777777" w:rsidR="00843493" w:rsidRPr="001D78D1" w:rsidRDefault="00843493" w:rsidP="00A44254">
            <w:pPr>
              <w:jc w:val="center"/>
              <w:rPr>
                <w:rFonts w:cstheme="minorHAnsi"/>
                <w:b/>
                <w:sz w:val="16"/>
                <w:szCs w:val="18"/>
              </w:rPr>
            </w:pPr>
            <w:r w:rsidRPr="001D78D1">
              <w:rPr>
                <w:rFonts w:cstheme="minorHAnsi"/>
                <w:b/>
                <w:sz w:val="16"/>
                <w:szCs w:val="18"/>
              </w:rPr>
              <w:t>2014</w:t>
            </w:r>
          </w:p>
        </w:tc>
        <w:tc>
          <w:tcPr>
            <w:tcW w:w="444" w:type="pct"/>
            <w:shd w:val="clear" w:color="auto" w:fill="002060"/>
            <w:hideMark/>
          </w:tcPr>
          <w:p w14:paraId="6333FF4C" w14:textId="77777777" w:rsidR="00843493" w:rsidRPr="001D78D1" w:rsidRDefault="00843493" w:rsidP="00A44254">
            <w:pPr>
              <w:jc w:val="center"/>
              <w:rPr>
                <w:rFonts w:cstheme="minorHAnsi"/>
                <w:b/>
                <w:sz w:val="16"/>
                <w:szCs w:val="18"/>
              </w:rPr>
            </w:pPr>
            <w:r w:rsidRPr="001D78D1">
              <w:rPr>
                <w:rFonts w:cstheme="minorHAnsi"/>
                <w:b/>
                <w:sz w:val="16"/>
                <w:szCs w:val="18"/>
              </w:rPr>
              <w:t>2015</w:t>
            </w:r>
          </w:p>
        </w:tc>
        <w:tc>
          <w:tcPr>
            <w:tcW w:w="443" w:type="pct"/>
            <w:shd w:val="clear" w:color="auto" w:fill="002060"/>
            <w:hideMark/>
          </w:tcPr>
          <w:p w14:paraId="5CD5DFFF" w14:textId="77777777" w:rsidR="00843493" w:rsidRPr="001D78D1" w:rsidRDefault="00843493" w:rsidP="00A44254">
            <w:pPr>
              <w:jc w:val="center"/>
              <w:rPr>
                <w:rFonts w:cstheme="minorHAnsi"/>
                <w:b/>
                <w:sz w:val="16"/>
                <w:szCs w:val="18"/>
              </w:rPr>
            </w:pPr>
            <w:r w:rsidRPr="001D78D1">
              <w:rPr>
                <w:rFonts w:cstheme="minorHAnsi"/>
                <w:b/>
                <w:sz w:val="16"/>
                <w:szCs w:val="18"/>
              </w:rPr>
              <w:t>2016</w:t>
            </w:r>
          </w:p>
        </w:tc>
        <w:tc>
          <w:tcPr>
            <w:tcW w:w="442" w:type="pct"/>
            <w:shd w:val="clear" w:color="auto" w:fill="002060"/>
            <w:hideMark/>
          </w:tcPr>
          <w:p w14:paraId="13FF2E3A" w14:textId="77777777" w:rsidR="00843493" w:rsidRPr="001D78D1" w:rsidRDefault="00843493" w:rsidP="00A44254">
            <w:pPr>
              <w:jc w:val="center"/>
              <w:rPr>
                <w:rFonts w:cstheme="minorHAnsi"/>
                <w:b/>
                <w:sz w:val="16"/>
                <w:szCs w:val="18"/>
              </w:rPr>
            </w:pPr>
            <w:r w:rsidRPr="001D78D1">
              <w:rPr>
                <w:rFonts w:cstheme="minorHAnsi"/>
                <w:b/>
                <w:sz w:val="16"/>
                <w:szCs w:val="18"/>
              </w:rPr>
              <w:t>2017</w:t>
            </w:r>
          </w:p>
        </w:tc>
      </w:tr>
      <w:tr w:rsidR="00843493" w:rsidRPr="001D78D1" w14:paraId="79CE931C" w14:textId="77777777" w:rsidTr="00843493">
        <w:trPr>
          <w:trHeight w:val="376"/>
        </w:trPr>
        <w:tc>
          <w:tcPr>
            <w:tcW w:w="361" w:type="pct"/>
            <w:noWrap/>
            <w:vAlign w:val="center"/>
          </w:tcPr>
          <w:p w14:paraId="6059C55E" w14:textId="77777777" w:rsidR="00843493" w:rsidRPr="001D78D1" w:rsidRDefault="00843493" w:rsidP="00A44254">
            <w:pPr>
              <w:rPr>
                <w:rFonts w:cstheme="minorHAnsi"/>
                <w:sz w:val="16"/>
                <w:szCs w:val="18"/>
              </w:rPr>
            </w:pPr>
            <w:r w:rsidRPr="001D78D1">
              <w:rPr>
                <w:rFonts w:ascii="Calibri" w:hAnsi="Calibri"/>
                <w:color w:val="000000"/>
                <w:sz w:val="16"/>
                <w:szCs w:val="18"/>
              </w:rPr>
              <w:t>32210</w:t>
            </w:r>
          </w:p>
        </w:tc>
        <w:tc>
          <w:tcPr>
            <w:tcW w:w="979" w:type="pct"/>
            <w:vAlign w:val="center"/>
          </w:tcPr>
          <w:p w14:paraId="6EF5A207" w14:textId="21E6F623" w:rsidR="00843493" w:rsidRPr="001D78D1" w:rsidRDefault="00843493" w:rsidP="00843493">
            <w:pPr>
              <w:rPr>
                <w:rFonts w:cstheme="minorHAnsi"/>
                <w:sz w:val="16"/>
                <w:szCs w:val="18"/>
              </w:rPr>
            </w:pPr>
            <w:r w:rsidRPr="001D78D1">
              <w:rPr>
                <w:rFonts w:ascii="Calibri" w:hAnsi="Calibri"/>
                <w:color w:val="000000"/>
                <w:sz w:val="16"/>
                <w:szCs w:val="18"/>
              </w:rPr>
              <w:t>Čistá konečná spotřeba energie v</w:t>
            </w:r>
            <w:r w:rsidRPr="001D78D1">
              <w:rPr>
                <w:rFonts w:ascii="Calibri" w:hAnsi="Calibri"/>
                <w:color w:val="000000"/>
                <w:sz w:val="16"/>
                <w:szCs w:val="18"/>
              </w:rPr>
              <w:br/>
              <w:t>průmyslu</w:t>
            </w:r>
          </w:p>
        </w:tc>
        <w:tc>
          <w:tcPr>
            <w:tcW w:w="478" w:type="pct"/>
            <w:noWrap/>
            <w:vAlign w:val="center"/>
          </w:tcPr>
          <w:p w14:paraId="6055E28C" w14:textId="77777777" w:rsidR="00843493" w:rsidRPr="001D78D1" w:rsidRDefault="00843493" w:rsidP="00A44254">
            <w:pPr>
              <w:jc w:val="center"/>
              <w:rPr>
                <w:rFonts w:cstheme="minorHAnsi"/>
                <w:sz w:val="16"/>
                <w:szCs w:val="18"/>
              </w:rPr>
            </w:pPr>
            <w:r w:rsidRPr="001D78D1">
              <w:rPr>
                <w:rFonts w:ascii="Calibri" w:hAnsi="Calibri"/>
                <w:sz w:val="16"/>
                <w:szCs w:val="18"/>
              </w:rPr>
              <w:t>TJ</w:t>
            </w:r>
          </w:p>
        </w:tc>
        <w:tc>
          <w:tcPr>
            <w:tcW w:w="507" w:type="pct"/>
            <w:noWrap/>
            <w:vAlign w:val="center"/>
          </w:tcPr>
          <w:p w14:paraId="59E10660" w14:textId="326F0DFA" w:rsidR="00843493" w:rsidRPr="001D78D1" w:rsidRDefault="00843493" w:rsidP="00A44254">
            <w:pPr>
              <w:jc w:val="right"/>
              <w:rPr>
                <w:rFonts w:cstheme="minorHAnsi"/>
                <w:sz w:val="16"/>
                <w:szCs w:val="18"/>
              </w:rPr>
            </w:pPr>
            <w:r w:rsidRPr="001D78D1">
              <w:rPr>
                <w:rFonts w:ascii="Calibri" w:hAnsi="Calibri"/>
                <w:sz w:val="16"/>
                <w:szCs w:val="18"/>
              </w:rPr>
              <w:t>325 903 (280 741)</w:t>
            </w:r>
          </w:p>
        </w:tc>
        <w:tc>
          <w:tcPr>
            <w:tcW w:w="415" w:type="pct"/>
            <w:noWrap/>
            <w:vAlign w:val="center"/>
          </w:tcPr>
          <w:p w14:paraId="28BE71D5" w14:textId="77777777" w:rsidR="00843493" w:rsidRPr="001D78D1" w:rsidRDefault="00843493" w:rsidP="00A44254">
            <w:pPr>
              <w:jc w:val="center"/>
              <w:rPr>
                <w:rFonts w:cstheme="minorHAnsi"/>
                <w:sz w:val="16"/>
                <w:szCs w:val="18"/>
              </w:rPr>
            </w:pPr>
            <w:r w:rsidRPr="001D78D1">
              <w:rPr>
                <w:rFonts w:ascii="Calibri" w:hAnsi="Calibri"/>
                <w:sz w:val="16"/>
                <w:szCs w:val="18"/>
              </w:rPr>
              <w:t>2012</w:t>
            </w:r>
          </w:p>
        </w:tc>
        <w:tc>
          <w:tcPr>
            <w:tcW w:w="489" w:type="pct"/>
            <w:vAlign w:val="center"/>
          </w:tcPr>
          <w:p w14:paraId="2D21D3DE" w14:textId="31927639" w:rsidR="00843493" w:rsidRPr="001D78D1" w:rsidRDefault="00843493" w:rsidP="00A44254">
            <w:pPr>
              <w:jc w:val="right"/>
              <w:rPr>
                <w:rFonts w:cstheme="minorHAnsi"/>
                <w:sz w:val="16"/>
                <w:szCs w:val="18"/>
              </w:rPr>
            </w:pPr>
            <w:r w:rsidRPr="001D78D1">
              <w:rPr>
                <w:rFonts w:ascii="Calibri" w:hAnsi="Calibri"/>
                <w:sz w:val="16"/>
                <w:szCs w:val="18"/>
              </w:rPr>
              <w:t>336 838 (291 017)</w:t>
            </w:r>
          </w:p>
        </w:tc>
        <w:tc>
          <w:tcPr>
            <w:tcW w:w="441" w:type="pct"/>
            <w:noWrap/>
            <w:vAlign w:val="center"/>
          </w:tcPr>
          <w:p w14:paraId="05C9BD2D"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313 213</w:t>
            </w:r>
          </w:p>
        </w:tc>
        <w:tc>
          <w:tcPr>
            <w:tcW w:w="444" w:type="pct"/>
            <w:vAlign w:val="center"/>
          </w:tcPr>
          <w:p w14:paraId="276B0C70"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315 639</w:t>
            </w:r>
          </w:p>
        </w:tc>
        <w:tc>
          <w:tcPr>
            <w:tcW w:w="443" w:type="pct"/>
            <w:vAlign w:val="center"/>
          </w:tcPr>
          <w:p w14:paraId="50C8FB27"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308 210</w:t>
            </w:r>
          </w:p>
        </w:tc>
        <w:tc>
          <w:tcPr>
            <w:tcW w:w="442" w:type="pct"/>
            <w:vAlign w:val="center"/>
          </w:tcPr>
          <w:p w14:paraId="4957F889"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281 713</w:t>
            </w:r>
          </w:p>
        </w:tc>
      </w:tr>
      <w:tr w:rsidR="00843493" w:rsidRPr="001D78D1" w14:paraId="01C96ED7" w14:textId="77777777" w:rsidTr="00843493">
        <w:trPr>
          <w:trHeight w:val="353"/>
        </w:trPr>
        <w:tc>
          <w:tcPr>
            <w:tcW w:w="361" w:type="pct"/>
            <w:noWrap/>
            <w:vAlign w:val="center"/>
          </w:tcPr>
          <w:p w14:paraId="04EE9050" w14:textId="77777777" w:rsidR="00843493" w:rsidRPr="001D78D1" w:rsidRDefault="00843493" w:rsidP="00A44254">
            <w:pPr>
              <w:rPr>
                <w:rFonts w:cstheme="minorHAnsi"/>
                <w:sz w:val="16"/>
                <w:szCs w:val="18"/>
              </w:rPr>
            </w:pPr>
            <w:r w:rsidRPr="001D78D1">
              <w:rPr>
                <w:rFonts w:ascii="Calibri" w:hAnsi="Calibri"/>
                <w:color w:val="000000"/>
                <w:sz w:val="16"/>
                <w:szCs w:val="18"/>
              </w:rPr>
              <w:t>32220</w:t>
            </w:r>
          </w:p>
        </w:tc>
        <w:tc>
          <w:tcPr>
            <w:tcW w:w="979" w:type="pct"/>
            <w:vAlign w:val="center"/>
          </w:tcPr>
          <w:p w14:paraId="4F22F932" w14:textId="28E98460" w:rsidR="00843493" w:rsidRPr="001D78D1" w:rsidRDefault="00843493" w:rsidP="00843493">
            <w:pPr>
              <w:rPr>
                <w:rFonts w:cstheme="minorHAnsi"/>
                <w:sz w:val="16"/>
                <w:szCs w:val="18"/>
              </w:rPr>
            </w:pPr>
            <w:r w:rsidRPr="001D78D1">
              <w:rPr>
                <w:rFonts w:ascii="Calibri" w:hAnsi="Calibri"/>
                <w:color w:val="000000"/>
                <w:sz w:val="16"/>
                <w:szCs w:val="18"/>
              </w:rPr>
              <w:t>Čistá konečná</w:t>
            </w:r>
            <w:r w:rsidRPr="001D78D1">
              <w:rPr>
                <w:rFonts w:ascii="Calibri" w:hAnsi="Calibri"/>
                <w:color w:val="000000"/>
                <w:sz w:val="16"/>
                <w:szCs w:val="18"/>
              </w:rPr>
              <w:br/>
              <w:t>spotřeba energie ve</w:t>
            </w:r>
            <w:r w:rsidRPr="001D78D1">
              <w:rPr>
                <w:rFonts w:ascii="Calibri" w:hAnsi="Calibri"/>
                <w:color w:val="000000"/>
                <w:sz w:val="16"/>
                <w:szCs w:val="18"/>
              </w:rPr>
              <w:br/>
              <w:t>službách</w:t>
            </w:r>
          </w:p>
        </w:tc>
        <w:tc>
          <w:tcPr>
            <w:tcW w:w="478" w:type="pct"/>
            <w:noWrap/>
            <w:vAlign w:val="center"/>
          </w:tcPr>
          <w:p w14:paraId="0BBECC7B" w14:textId="77777777" w:rsidR="00843493" w:rsidRPr="001D78D1" w:rsidRDefault="00843493" w:rsidP="00A44254">
            <w:pPr>
              <w:jc w:val="center"/>
              <w:rPr>
                <w:rFonts w:cstheme="minorHAnsi"/>
                <w:sz w:val="16"/>
                <w:szCs w:val="18"/>
              </w:rPr>
            </w:pPr>
            <w:r w:rsidRPr="001D78D1">
              <w:rPr>
                <w:rFonts w:ascii="Calibri" w:hAnsi="Calibri"/>
                <w:color w:val="000000"/>
                <w:sz w:val="16"/>
                <w:szCs w:val="18"/>
              </w:rPr>
              <w:t>TJ</w:t>
            </w:r>
          </w:p>
        </w:tc>
        <w:tc>
          <w:tcPr>
            <w:tcW w:w="507" w:type="pct"/>
            <w:noWrap/>
            <w:vAlign w:val="center"/>
          </w:tcPr>
          <w:p w14:paraId="31B751F1"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122 935</w:t>
            </w:r>
          </w:p>
        </w:tc>
        <w:tc>
          <w:tcPr>
            <w:tcW w:w="415" w:type="pct"/>
            <w:noWrap/>
            <w:vAlign w:val="center"/>
          </w:tcPr>
          <w:p w14:paraId="60CF5A6C" w14:textId="77777777" w:rsidR="00843493" w:rsidRPr="001D78D1" w:rsidRDefault="00843493" w:rsidP="00A44254">
            <w:pPr>
              <w:jc w:val="center"/>
              <w:rPr>
                <w:rFonts w:cstheme="minorHAnsi"/>
                <w:sz w:val="16"/>
                <w:szCs w:val="18"/>
              </w:rPr>
            </w:pPr>
            <w:r w:rsidRPr="001D78D1">
              <w:rPr>
                <w:rFonts w:ascii="Calibri" w:hAnsi="Calibri"/>
                <w:color w:val="000000"/>
                <w:sz w:val="16"/>
                <w:szCs w:val="18"/>
              </w:rPr>
              <w:t>2012</w:t>
            </w:r>
          </w:p>
        </w:tc>
        <w:tc>
          <w:tcPr>
            <w:tcW w:w="489" w:type="pct"/>
            <w:vAlign w:val="center"/>
          </w:tcPr>
          <w:p w14:paraId="0DCCD334"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145 872</w:t>
            </w:r>
          </w:p>
        </w:tc>
        <w:tc>
          <w:tcPr>
            <w:tcW w:w="441" w:type="pct"/>
            <w:noWrap/>
            <w:vAlign w:val="center"/>
          </w:tcPr>
          <w:p w14:paraId="05CF2FEF"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117 171</w:t>
            </w:r>
          </w:p>
        </w:tc>
        <w:tc>
          <w:tcPr>
            <w:tcW w:w="444" w:type="pct"/>
            <w:vAlign w:val="center"/>
          </w:tcPr>
          <w:p w14:paraId="786EA695"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119 279</w:t>
            </w:r>
          </w:p>
        </w:tc>
        <w:tc>
          <w:tcPr>
            <w:tcW w:w="443" w:type="pct"/>
            <w:vAlign w:val="center"/>
          </w:tcPr>
          <w:p w14:paraId="47F99C43"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127 738</w:t>
            </w:r>
          </w:p>
        </w:tc>
        <w:tc>
          <w:tcPr>
            <w:tcW w:w="442" w:type="pct"/>
            <w:vAlign w:val="center"/>
          </w:tcPr>
          <w:p w14:paraId="4DEC9307"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132 102</w:t>
            </w:r>
          </w:p>
        </w:tc>
      </w:tr>
      <w:tr w:rsidR="00843493" w:rsidRPr="001D78D1" w14:paraId="3176ED07" w14:textId="77777777" w:rsidTr="00843493">
        <w:trPr>
          <w:trHeight w:val="353"/>
        </w:trPr>
        <w:tc>
          <w:tcPr>
            <w:tcW w:w="361" w:type="pct"/>
            <w:noWrap/>
            <w:vAlign w:val="center"/>
          </w:tcPr>
          <w:p w14:paraId="27ADE435" w14:textId="77777777" w:rsidR="00843493" w:rsidRPr="001D78D1" w:rsidRDefault="00843493" w:rsidP="00A44254">
            <w:pPr>
              <w:rPr>
                <w:rFonts w:cstheme="minorHAnsi"/>
                <w:sz w:val="16"/>
                <w:szCs w:val="18"/>
              </w:rPr>
            </w:pPr>
            <w:r w:rsidRPr="001D78D1">
              <w:rPr>
                <w:rFonts w:ascii="Calibri" w:hAnsi="Calibri"/>
                <w:color w:val="000000"/>
                <w:sz w:val="16"/>
                <w:szCs w:val="18"/>
              </w:rPr>
              <w:t>34502</w:t>
            </w:r>
          </w:p>
        </w:tc>
        <w:tc>
          <w:tcPr>
            <w:tcW w:w="979" w:type="pct"/>
            <w:vAlign w:val="center"/>
          </w:tcPr>
          <w:p w14:paraId="55187E47" w14:textId="77777777" w:rsidR="00843493" w:rsidRPr="001D78D1" w:rsidRDefault="00843493" w:rsidP="00A44254">
            <w:pPr>
              <w:rPr>
                <w:rFonts w:cstheme="minorHAnsi"/>
                <w:sz w:val="16"/>
                <w:szCs w:val="18"/>
              </w:rPr>
            </w:pPr>
            <w:r w:rsidRPr="001D78D1">
              <w:rPr>
                <w:rFonts w:ascii="Calibri" w:hAnsi="Calibri"/>
                <w:color w:val="000000"/>
                <w:sz w:val="16"/>
                <w:szCs w:val="18"/>
              </w:rPr>
              <w:t>Podíl obnovitelných zdrojů na konečné spotřebě</w:t>
            </w:r>
          </w:p>
        </w:tc>
        <w:tc>
          <w:tcPr>
            <w:tcW w:w="478" w:type="pct"/>
            <w:noWrap/>
            <w:vAlign w:val="center"/>
          </w:tcPr>
          <w:p w14:paraId="27B13D0A" w14:textId="77777777" w:rsidR="00843493" w:rsidRPr="001D78D1" w:rsidRDefault="00843493" w:rsidP="00A44254">
            <w:pPr>
              <w:jc w:val="center"/>
              <w:rPr>
                <w:rFonts w:cstheme="minorHAnsi"/>
                <w:sz w:val="16"/>
                <w:szCs w:val="18"/>
              </w:rPr>
            </w:pPr>
            <w:r w:rsidRPr="001D78D1">
              <w:rPr>
                <w:rFonts w:ascii="Calibri" w:hAnsi="Calibri"/>
                <w:color w:val="000000"/>
                <w:sz w:val="16"/>
                <w:szCs w:val="18"/>
              </w:rPr>
              <w:t>TJ</w:t>
            </w:r>
          </w:p>
        </w:tc>
        <w:tc>
          <w:tcPr>
            <w:tcW w:w="507" w:type="pct"/>
            <w:noWrap/>
            <w:vAlign w:val="center"/>
          </w:tcPr>
          <w:p w14:paraId="557F7AE7"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164 666</w:t>
            </w:r>
          </w:p>
        </w:tc>
        <w:tc>
          <w:tcPr>
            <w:tcW w:w="415" w:type="pct"/>
            <w:noWrap/>
            <w:vAlign w:val="center"/>
          </w:tcPr>
          <w:p w14:paraId="169ADAB2" w14:textId="77777777" w:rsidR="00843493" w:rsidRPr="001D78D1" w:rsidRDefault="00843493" w:rsidP="00A44254">
            <w:pPr>
              <w:jc w:val="center"/>
              <w:rPr>
                <w:rFonts w:cstheme="minorHAnsi"/>
                <w:sz w:val="16"/>
                <w:szCs w:val="18"/>
              </w:rPr>
            </w:pPr>
            <w:r w:rsidRPr="001D78D1">
              <w:rPr>
                <w:rFonts w:ascii="Calibri" w:hAnsi="Calibri"/>
                <w:color w:val="000000"/>
                <w:sz w:val="16"/>
                <w:szCs w:val="18"/>
              </w:rPr>
              <w:t>2016</w:t>
            </w:r>
          </w:p>
        </w:tc>
        <w:tc>
          <w:tcPr>
            <w:tcW w:w="489" w:type="pct"/>
            <w:vAlign w:val="center"/>
          </w:tcPr>
          <w:p w14:paraId="4DC48BEC"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185 300</w:t>
            </w:r>
          </w:p>
        </w:tc>
        <w:tc>
          <w:tcPr>
            <w:tcW w:w="441" w:type="pct"/>
            <w:noWrap/>
            <w:vAlign w:val="center"/>
          </w:tcPr>
          <w:p w14:paraId="0838AB7D"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 </w:t>
            </w:r>
          </w:p>
        </w:tc>
        <w:tc>
          <w:tcPr>
            <w:tcW w:w="444" w:type="pct"/>
            <w:vAlign w:val="center"/>
          </w:tcPr>
          <w:p w14:paraId="01178A38"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 </w:t>
            </w:r>
          </w:p>
        </w:tc>
        <w:tc>
          <w:tcPr>
            <w:tcW w:w="443" w:type="pct"/>
            <w:vAlign w:val="center"/>
          </w:tcPr>
          <w:p w14:paraId="7F1E3578"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164 666</w:t>
            </w:r>
          </w:p>
        </w:tc>
        <w:tc>
          <w:tcPr>
            <w:tcW w:w="442" w:type="pct"/>
            <w:vAlign w:val="center"/>
          </w:tcPr>
          <w:p w14:paraId="44F64677" w14:textId="77777777" w:rsidR="00843493" w:rsidRPr="001D78D1" w:rsidRDefault="00843493" w:rsidP="00A44254">
            <w:pPr>
              <w:jc w:val="right"/>
              <w:rPr>
                <w:rFonts w:cstheme="minorHAnsi"/>
                <w:sz w:val="16"/>
                <w:szCs w:val="18"/>
              </w:rPr>
            </w:pPr>
            <w:r w:rsidRPr="001D78D1">
              <w:rPr>
                <w:rFonts w:ascii="Calibri" w:hAnsi="Calibri"/>
                <w:color w:val="000000"/>
                <w:sz w:val="16"/>
                <w:szCs w:val="18"/>
              </w:rPr>
              <w:t>167 372</w:t>
            </w:r>
          </w:p>
        </w:tc>
      </w:tr>
    </w:tbl>
    <w:p w14:paraId="2B56094F" w14:textId="77777777" w:rsidR="00843493" w:rsidRDefault="00843493" w:rsidP="00F24352">
      <w:pPr>
        <w:spacing w:after="0"/>
        <w:rPr>
          <w:rFonts w:ascii="Calibri" w:hAnsi="Calibri" w:cs="Calibri"/>
          <w:i/>
        </w:rPr>
      </w:pPr>
    </w:p>
    <w:p w14:paraId="2B348570" w14:textId="7B30DDED" w:rsidR="00843493" w:rsidRDefault="000A19ED" w:rsidP="000A19ED">
      <w:r>
        <w:t xml:space="preserve">V případě indikátoru SC 3.2 čisté konečné spotřeby v průmyslu je spatřován také pozitivní vývoj, neboť s výjimkou roku 2015 dochází ke kontinuálnímu snižování spotřeby energie. </w:t>
      </w:r>
      <w:r w:rsidR="00C43A2C">
        <w:t xml:space="preserve">Podle modelové prognózy na základě dosavadních hodnot indikátoru (viz </w:t>
      </w:r>
      <w:r w:rsidR="00E25DBC" w:rsidRPr="007A2593">
        <w:t>obrázek</w:t>
      </w:r>
      <w:r w:rsidR="00C43A2C" w:rsidRPr="007A2593">
        <w:t xml:space="preserve"> 1) by</w:t>
      </w:r>
      <w:r w:rsidR="00C43A2C">
        <w:t xml:space="preserve"> i do roku 2023 mělo docházet k dalšímu poklesu</w:t>
      </w:r>
      <w:r w:rsidR="00B160B1">
        <w:t>,</w:t>
      </w:r>
      <w:r w:rsidR="00C43A2C">
        <w:t xml:space="preserve"> a tedy snižování konečné spotřeby energie v průmyslu, což je jedním z cílů programu ÚE.</w:t>
      </w:r>
    </w:p>
    <w:p w14:paraId="4586F60C" w14:textId="5F0A9C6F" w:rsidR="00C43A2C" w:rsidRDefault="00C43A2C" w:rsidP="00E25DBC">
      <w:r>
        <w:t xml:space="preserve">I u indikátoru čisté konečné spotřeby ve službách je dosahovaná hodnota nižší než cílová hodnota. Jestliže však provedeme modelaci trendu, vychází nám, že pokud by pokračoval stávající vývoj, do roku 2023 by došlo k překročení cílové hodnoty, což je v případě indikátoru spotřeby energie v rozporu se zaměřením programu ÚE, kdy by mělo i přes očekávaný ekonomický růst docházet k poklesu spotřeby energie ve službách. </w:t>
      </w:r>
    </w:p>
    <w:p w14:paraId="4B439EDB" w14:textId="198E60FF" w:rsidR="00C43A2C" w:rsidRDefault="00C43A2C" w:rsidP="000A19ED">
      <w:r>
        <w:t xml:space="preserve">Pro třetí indikátor výsledku SC 3.2 podíl obnovitelných zdrojů na konečné spotřebě byl stanoven jako výchozí hodnota stav indikátoru v roce 2016. Vzhledem k tomu, že data za indikátor jsou dostupná </w:t>
      </w:r>
      <w:r>
        <w:lastRenderedPageBreak/>
        <w:t>pouze pro roky 2016 a 2017 nelze modelovat trend, který by měl signifikantní vypovídací hodnotu. Nelze tedy říct, zda bude cílová hodnota indikátoru v roce 2023 naplněna či nikoliv.</w:t>
      </w:r>
    </w:p>
    <w:p w14:paraId="5D64F91F" w14:textId="050A8D1F" w:rsidR="00C43A2C" w:rsidRDefault="00C43A2C" w:rsidP="00A31032">
      <w:r w:rsidRPr="001C50E7">
        <w:t xml:space="preserve">Hodnoty indikátorů výsledků jsou vztaženy k celé ČR, a proto jsou ovlivňovány řadou dalších, externích faktorů mimo OP PIK. Dosavadní pozitivní vývoj je bezpochyby odrazem celkového ekonomického růstu v ČR ve sledovaných letech. </w:t>
      </w:r>
      <w:r w:rsidR="00A04FE4">
        <w:t>Již v současném roce je očekáváno snížení tempa růstu reálného HDP</w:t>
      </w:r>
      <w:r w:rsidR="00A04FE4">
        <w:rPr>
          <w:rStyle w:val="Znakapoznpodarou"/>
          <w:rFonts w:ascii="Calibri" w:hAnsi="Calibri" w:cs="Calibri"/>
        </w:rPr>
        <w:footnoteReference w:id="34"/>
      </w:r>
      <w:r w:rsidR="00A04FE4">
        <w:t xml:space="preserve">. V důsledku stále chybějících pracovních sil budou firmy motivovány </w:t>
      </w:r>
      <w:r w:rsidR="00A04FE4" w:rsidRPr="001C50E7">
        <w:t xml:space="preserve">k investicím zvyšujícím produktivitu práce, a </w:t>
      </w:r>
      <w:r w:rsidR="00A04FE4">
        <w:t xml:space="preserve">budou </w:t>
      </w:r>
      <w:r w:rsidR="00A04FE4" w:rsidRPr="001C50E7">
        <w:t xml:space="preserve">inovovat </w:t>
      </w:r>
      <w:r w:rsidR="00A04FE4">
        <w:t xml:space="preserve">své </w:t>
      </w:r>
      <w:r w:rsidR="00A04FE4" w:rsidRPr="001C50E7">
        <w:t>technologické vybavení</w:t>
      </w:r>
      <w:r w:rsidR="00A04FE4">
        <w:t xml:space="preserve">. Pro udržení své konkurenceschopnosti pro ně bude důležitá i efektivita a (energetická) účinnost výroby. Lze tedy předpokládat, že zdroje OP PIK budou i nadále </w:t>
      </w:r>
      <w:r w:rsidR="00A04FE4" w:rsidRPr="001C50E7">
        <w:t>účelný</w:t>
      </w:r>
      <w:r w:rsidR="00A04FE4">
        <w:t>m</w:t>
      </w:r>
      <w:r w:rsidR="00A04FE4" w:rsidRPr="001C50E7">
        <w:t xml:space="preserve"> nástroj</w:t>
      </w:r>
      <w:r w:rsidR="00A04FE4">
        <w:t>em</w:t>
      </w:r>
      <w:r w:rsidR="00A04FE4" w:rsidRPr="001C50E7">
        <w:t xml:space="preserve"> veřejné podpory</w:t>
      </w:r>
      <w:r w:rsidR="00A04FE4">
        <w:t>.</w:t>
      </w:r>
    </w:p>
    <w:p w14:paraId="2E60B72A" w14:textId="67C13C3D" w:rsidR="00E25DBC" w:rsidRPr="00BD5E0B" w:rsidRDefault="00D50859" w:rsidP="00BD5E0B">
      <w:pPr>
        <w:spacing w:after="0"/>
        <w:rPr>
          <w:b/>
          <w:i/>
        </w:rPr>
      </w:pPr>
      <w:r w:rsidRPr="00BD5E0B">
        <w:rPr>
          <w:b/>
          <w:i/>
        </w:rPr>
        <w:t xml:space="preserve">Specifický cíl </w:t>
      </w:r>
      <w:r w:rsidR="00E25DBC" w:rsidRPr="00BD5E0B">
        <w:rPr>
          <w:b/>
          <w:i/>
        </w:rPr>
        <w:t>3.4</w:t>
      </w:r>
    </w:p>
    <w:p w14:paraId="623ED987" w14:textId="77777777" w:rsidR="00BD5E0B" w:rsidRPr="00BD5E0B" w:rsidRDefault="00BD5E0B" w:rsidP="00BD5E0B">
      <w:pPr>
        <w:spacing w:after="0"/>
        <w:rPr>
          <w:rFonts w:ascii="Calibri" w:hAnsi="Calibri" w:cs="Calibri"/>
        </w:rPr>
      </w:pPr>
      <w:r w:rsidRPr="00BD5E0B">
        <w:rPr>
          <w:rFonts w:ascii="Calibri" w:hAnsi="Calibri" w:cs="Calibri"/>
        </w:rPr>
        <w:t>Pro SC 3.4 byly stanoven 1 výsledkový indikátor, a sice: 21710 „Aplikované inovativní nízkouhlíkové technologie“. Vzhledem k neexistenci relevantní národní statistiky byla výchozí hodnota u tohoto indikátoru stanovená jako nulová.</w:t>
      </w:r>
    </w:p>
    <w:p w14:paraId="202BF5B9" w14:textId="77777777" w:rsidR="00BD5E0B" w:rsidRPr="00BD5E0B" w:rsidRDefault="00BD5E0B" w:rsidP="00BD5E0B">
      <w:pPr>
        <w:spacing w:after="0"/>
      </w:pPr>
    </w:p>
    <w:p w14:paraId="556E5088" w14:textId="2DB384C6" w:rsidR="00BD5E0B" w:rsidRDefault="00BD5E0B" w:rsidP="00BD5E0B">
      <w:pPr>
        <w:pStyle w:val="Titulek"/>
      </w:pPr>
      <w:bookmarkStart w:id="235" w:name="_Toc10730038"/>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19</w:t>
      </w:r>
      <w:r w:rsidR="00BD754F">
        <w:rPr>
          <w:noProof/>
        </w:rPr>
        <w:fldChar w:fldCharType="end"/>
      </w:r>
      <w:r>
        <w:t>: Indikátor výsledku SC 3.4</w:t>
      </w:r>
      <w:bookmarkEnd w:id="235"/>
    </w:p>
    <w:tbl>
      <w:tblPr>
        <w:tblStyle w:val="Svtlmkatabulky14"/>
        <w:tblW w:w="9363" w:type="dxa"/>
        <w:tblLook w:val="04A0" w:firstRow="1" w:lastRow="0" w:firstColumn="1" w:lastColumn="0" w:noHBand="0" w:noVBand="1"/>
      </w:tblPr>
      <w:tblGrid>
        <w:gridCol w:w="774"/>
        <w:gridCol w:w="1220"/>
        <w:gridCol w:w="881"/>
        <w:gridCol w:w="974"/>
        <w:gridCol w:w="903"/>
        <w:gridCol w:w="903"/>
        <w:gridCol w:w="839"/>
        <w:gridCol w:w="736"/>
        <w:gridCol w:w="703"/>
        <w:gridCol w:w="690"/>
        <w:gridCol w:w="740"/>
      </w:tblGrid>
      <w:tr w:rsidR="00BD5E0B" w:rsidRPr="00BD5E0B" w14:paraId="12FAF885" w14:textId="77777777" w:rsidTr="00E333FB">
        <w:trPr>
          <w:trHeight w:val="987"/>
        </w:trPr>
        <w:tc>
          <w:tcPr>
            <w:tcW w:w="774" w:type="dxa"/>
            <w:shd w:val="clear" w:color="auto" w:fill="002060"/>
            <w:hideMark/>
          </w:tcPr>
          <w:p w14:paraId="517E8057"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ID</w:t>
            </w:r>
          </w:p>
        </w:tc>
        <w:tc>
          <w:tcPr>
            <w:tcW w:w="1220" w:type="dxa"/>
            <w:shd w:val="clear" w:color="auto" w:fill="002060"/>
            <w:hideMark/>
          </w:tcPr>
          <w:p w14:paraId="7D0E640A"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Indikátor</w:t>
            </w:r>
          </w:p>
        </w:tc>
        <w:tc>
          <w:tcPr>
            <w:tcW w:w="881" w:type="dxa"/>
            <w:shd w:val="clear" w:color="auto" w:fill="002060"/>
            <w:hideMark/>
          </w:tcPr>
          <w:p w14:paraId="2C20DD0E"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Měrná jednotka</w:t>
            </w:r>
          </w:p>
        </w:tc>
        <w:tc>
          <w:tcPr>
            <w:tcW w:w="974" w:type="dxa"/>
            <w:shd w:val="clear" w:color="auto" w:fill="002060"/>
            <w:hideMark/>
          </w:tcPr>
          <w:p w14:paraId="03CD1AA9"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Výchozí hodnota</w:t>
            </w:r>
          </w:p>
        </w:tc>
        <w:tc>
          <w:tcPr>
            <w:tcW w:w="903" w:type="dxa"/>
            <w:shd w:val="clear" w:color="auto" w:fill="002060"/>
            <w:hideMark/>
          </w:tcPr>
          <w:p w14:paraId="6E847E30"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Výchozí rok</w:t>
            </w:r>
          </w:p>
        </w:tc>
        <w:tc>
          <w:tcPr>
            <w:tcW w:w="903" w:type="dxa"/>
            <w:shd w:val="clear" w:color="auto" w:fill="002060"/>
            <w:hideMark/>
          </w:tcPr>
          <w:p w14:paraId="6BE9EB80"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Cílová hodnota (2023)</w:t>
            </w:r>
          </w:p>
        </w:tc>
        <w:tc>
          <w:tcPr>
            <w:tcW w:w="839" w:type="dxa"/>
            <w:shd w:val="clear" w:color="auto" w:fill="002060"/>
            <w:hideMark/>
          </w:tcPr>
          <w:p w14:paraId="07FC7548"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2014</w:t>
            </w:r>
          </w:p>
        </w:tc>
        <w:tc>
          <w:tcPr>
            <w:tcW w:w="736" w:type="dxa"/>
            <w:shd w:val="clear" w:color="auto" w:fill="002060"/>
            <w:hideMark/>
          </w:tcPr>
          <w:p w14:paraId="7B2BEE4B"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2015</w:t>
            </w:r>
          </w:p>
        </w:tc>
        <w:tc>
          <w:tcPr>
            <w:tcW w:w="703" w:type="dxa"/>
            <w:shd w:val="clear" w:color="auto" w:fill="002060"/>
            <w:hideMark/>
          </w:tcPr>
          <w:p w14:paraId="5F61BAB7"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2016</w:t>
            </w:r>
          </w:p>
        </w:tc>
        <w:tc>
          <w:tcPr>
            <w:tcW w:w="690" w:type="dxa"/>
            <w:shd w:val="clear" w:color="auto" w:fill="002060"/>
            <w:hideMark/>
          </w:tcPr>
          <w:p w14:paraId="4344E7E8"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2017</w:t>
            </w:r>
          </w:p>
        </w:tc>
        <w:tc>
          <w:tcPr>
            <w:tcW w:w="740" w:type="dxa"/>
            <w:shd w:val="clear" w:color="auto" w:fill="002060"/>
          </w:tcPr>
          <w:p w14:paraId="45817890" w14:textId="77777777" w:rsidR="00BD5E0B" w:rsidRPr="00BD5E0B" w:rsidRDefault="00BD5E0B" w:rsidP="00BD5E0B">
            <w:pPr>
              <w:jc w:val="center"/>
              <w:rPr>
                <w:rFonts w:ascii="Calibri" w:hAnsi="Calibri" w:cs="Calibri"/>
                <w:b/>
                <w:sz w:val="18"/>
                <w:szCs w:val="18"/>
              </w:rPr>
            </w:pPr>
            <w:r w:rsidRPr="00BD5E0B">
              <w:rPr>
                <w:rFonts w:ascii="Calibri" w:hAnsi="Calibri" w:cs="Calibri"/>
                <w:b/>
                <w:sz w:val="18"/>
                <w:szCs w:val="18"/>
              </w:rPr>
              <w:t>2018</w:t>
            </w:r>
          </w:p>
        </w:tc>
      </w:tr>
      <w:tr w:rsidR="00BD5E0B" w:rsidRPr="00BD5E0B" w14:paraId="63A72797" w14:textId="77777777" w:rsidTr="00E333FB">
        <w:trPr>
          <w:trHeight w:val="1116"/>
        </w:trPr>
        <w:tc>
          <w:tcPr>
            <w:tcW w:w="774" w:type="dxa"/>
            <w:noWrap/>
            <w:hideMark/>
          </w:tcPr>
          <w:p w14:paraId="411CAF61" w14:textId="77777777" w:rsidR="00BD5E0B" w:rsidRPr="00BD5E0B" w:rsidRDefault="00BD5E0B" w:rsidP="00BD5E0B">
            <w:pPr>
              <w:rPr>
                <w:rFonts w:ascii="Calibri" w:hAnsi="Calibri" w:cs="Calibri"/>
                <w:sz w:val="18"/>
                <w:szCs w:val="18"/>
              </w:rPr>
            </w:pPr>
            <w:r w:rsidRPr="00BD5E0B">
              <w:rPr>
                <w:rFonts w:ascii="Calibri" w:hAnsi="Calibri" w:cs="Calibri"/>
                <w:sz w:val="18"/>
                <w:szCs w:val="18"/>
              </w:rPr>
              <w:t>21710</w:t>
            </w:r>
          </w:p>
        </w:tc>
        <w:tc>
          <w:tcPr>
            <w:tcW w:w="1220" w:type="dxa"/>
            <w:hideMark/>
          </w:tcPr>
          <w:p w14:paraId="0480E466" w14:textId="77777777" w:rsidR="00BD5E0B" w:rsidRPr="00BD5E0B" w:rsidRDefault="00BD5E0B" w:rsidP="00BD5E0B">
            <w:pPr>
              <w:rPr>
                <w:rFonts w:ascii="Calibri" w:hAnsi="Calibri" w:cs="Calibri"/>
                <w:sz w:val="18"/>
                <w:szCs w:val="18"/>
              </w:rPr>
            </w:pPr>
            <w:r w:rsidRPr="00BD5E0B">
              <w:rPr>
                <w:rFonts w:ascii="Calibri" w:hAnsi="Calibri" w:cs="Calibri"/>
                <w:sz w:val="18"/>
                <w:szCs w:val="18"/>
              </w:rPr>
              <w:t>Aplikované inovativní nízkouhlíkové technologie</w:t>
            </w:r>
          </w:p>
        </w:tc>
        <w:tc>
          <w:tcPr>
            <w:tcW w:w="881" w:type="dxa"/>
            <w:noWrap/>
            <w:hideMark/>
          </w:tcPr>
          <w:p w14:paraId="5FC6CD75"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počet</w:t>
            </w:r>
          </w:p>
        </w:tc>
        <w:tc>
          <w:tcPr>
            <w:tcW w:w="974" w:type="dxa"/>
            <w:noWrap/>
            <w:hideMark/>
          </w:tcPr>
          <w:p w14:paraId="68C4E861"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0</w:t>
            </w:r>
          </w:p>
        </w:tc>
        <w:tc>
          <w:tcPr>
            <w:tcW w:w="903" w:type="dxa"/>
            <w:noWrap/>
            <w:hideMark/>
          </w:tcPr>
          <w:p w14:paraId="6513BA23"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2014</w:t>
            </w:r>
          </w:p>
        </w:tc>
        <w:tc>
          <w:tcPr>
            <w:tcW w:w="903" w:type="dxa"/>
            <w:hideMark/>
          </w:tcPr>
          <w:p w14:paraId="40D8B5F1"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650</w:t>
            </w:r>
          </w:p>
        </w:tc>
        <w:tc>
          <w:tcPr>
            <w:tcW w:w="839" w:type="dxa"/>
            <w:noWrap/>
          </w:tcPr>
          <w:p w14:paraId="54C8C799"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0</w:t>
            </w:r>
          </w:p>
        </w:tc>
        <w:tc>
          <w:tcPr>
            <w:tcW w:w="736" w:type="dxa"/>
          </w:tcPr>
          <w:p w14:paraId="359E2BBF"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0</w:t>
            </w:r>
          </w:p>
        </w:tc>
        <w:tc>
          <w:tcPr>
            <w:tcW w:w="703" w:type="dxa"/>
          </w:tcPr>
          <w:p w14:paraId="10011F33"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0</w:t>
            </w:r>
          </w:p>
        </w:tc>
        <w:tc>
          <w:tcPr>
            <w:tcW w:w="690" w:type="dxa"/>
            <w:hideMark/>
          </w:tcPr>
          <w:p w14:paraId="16168EB8"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39</w:t>
            </w:r>
          </w:p>
        </w:tc>
        <w:tc>
          <w:tcPr>
            <w:tcW w:w="740" w:type="dxa"/>
          </w:tcPr>
          <w:p w14:paraId="7A6DDC3E" w14:textId="77777777" w:rsidR="00BD5E0B" w:rsidRPr="00BD5E0B" w:rsidRDefault="00BD5E0B" w:rsidP="00BD5E0B">
            <w:pPr>
              <w:jc w:val="center"/>
              <w:rPr>
                <w:rFonts w:ascii="Calibri" w:hAnsi="Calibri" w:cs="Calibri"/>
                <w:sz w:val="18"/>
                <w:szCs w:val="18"/>
              </w:rPr>
            </w:pPr>
            <w:r w:rsidRPr="00BD5E0B">
              <w:rPr>
                <w:rFonts w:ascii="Calibri" w:hAnsi="Calibri" w:cs="Calibri"/>
                <w:sz w:val="18"/>
                <w:szCs w:val="18"/>
              </w:rPr>
              <w:t>52</w:t>
            </w:r>
          </w:p>
        </w:tc>
      </w:tr>
    </w:tbl>
    <w:p w14:paraId="1EA6A971" w14:textId="77777777" w:rsidR="00BD5E0B" w:rsidRPr="00BD5E0B" w:rsidRDefault="00BD5E0B" w:rsidP="00BD5E0B">
      <w:pPr>
        <w:spacing w:after="0"/>
      </w:pPr>
    </w:p>
    <w:p w14:paraId="7ABF28DE" w14:textId="77777777" w:rsidR="00BD5E0B" w:rsidRPr="00BD5E0B" w:rsidRDefault="00BD5E0B" w:rsidP="00BD5E0B">
      <w:pPr>
        <w:spacing w:after="0"/>
      </w:pPr>
      <w:r w:rsidRPr="00BD5E0B">
        <w:t xml:space="preserve">S ohledem na zpoždění v zahájení PP NUT jsou první nenulové hodnoty indikátoru zaznamenávány až od roku 2017, přičemž v dalším roce byl zaznamenán nárůst o více než 30 %. S ohledem na počty podpořených projektů lze i v dalších letech očekávat dynamický růst hodnot tohoto indikátoru. </w:t>
      </w:r>
    </w:p>
    <w:p w14:paraId="128FBE2B" w14:textId="77777777" w:rsidR="00BD5E0B" w:rsidRPr="00BD5E0B" w:rsidRDefault="00BD5E0B" w:rsidP="00BD5E0B">
      <w:pPr>
        <w:spacing w:after="0"/>
      </w:pPr>
    </w:p>
    <w:p w14:paraId="2F7F324B" w14:textId="77777777" w:rsidR="00BD5E0B" w:rsidRPr="00BD5E0B" w:rsidRDefault="00BD5E0B" w:rsidP="00BD5E0B">
      <w:pPr>
        <w:spacing w:after="0"/>
      </w:pPr>
      <w:r w:rsidRPr="00BD5E0B">
        <w:t xml:space="preserve">Cílová hodnota indikátoru byla revidována z původních 70 na stávajících 650, přičemž toto navýšení reflektuje dosavadní vývoj absorpční kapacity a realokace finančních zdrojů OP PIK ve prospěch PP NUT. </w:t>
      </w:r>
    </w:p>
    <w:p w14:paraId="4801184D" w14:textId="77777777" w:rsidR="00303B95" w:rsidRDefault="00303B95" w:rsidP="00303B95">
      <w:pPr>
        <w:spacing w:after="0"/>
      </w:pPr>
    </w:p>
    <w:p w14:paraId="70B127C6" w14:textId="23991FE6" w:rsidR="00C91048" w:rsidRDefault="00C91048" w:rsidP="00BD5E0B">
      <w:pPr>
        <w:pStyle w:val="Nadpis4"/>
      </w:pPr>
      <w:r w:rsidRPr="001C50E7">
        <w:t>Výstupové indikátory</w:t>
      </w:r>
    </w:p>
    <w:p w14:paraId="1EBB7093" w14:textId="58CA9D91" w:rsidR="00F24352" w:rsidRDefault="00A31032" w:rsidP="00BD5E0B">
      <w:pPr>
        <w:spacing w:after="0"/>
      </w:pPr>
      <w:r>
        <w:t xml:space="preserve">Přehledy dosažených a „závazkových“ hodnot výstupových indikátorů pro všechny SC jsou uvedeny v příloze </w:t>
      </w:r>
      <w:r w:rsidR="007A2593">
        <w:t>2 ZZ</w:t>
      </w:r>
      <w:r>
        <w:t>.</w:t>
      </w:r>
    </w:p>
    <w:p w14:paraId="1143D9CE" w14:textId="035A9AD5" w:rsidR="00BD5E0B" w:rsidRDefault="00BD5E0B" w:rsidP="00BD5E0B">
      <w:pPr>
        <w:spacing w:after="0"/>
      </w:pPr>
    </w:p>
    <w:p w14:paraId="45F28936" w14:textId="2FED4486" w:rsidR="00BD5E0B" w:rsidRPr="00BD5E0B" w:rsidRDefault="00BD5E0B" w:rsidP="00BD5E0B">
      <w:pPr>
        <w:spacing w:after="0"/>
        <w:rPr>
          <w:b/>
          <w:i/>
        </w:rPr>
      </w:pPr>
      <w:r w:rsidRPr="00BD5E0B">
        <w:rPr>
          <w:b/>
          <w:i/>
        </w:rPr>
        <w:t>Specifický cíl 3.1</w:t>
      </w:r>
    </w:p>
    <w:p w14:paraId="711D88B0" w14:textId="77777777" w:rsidR="00BD5E0B" w:rsidRDefault="00A31032" w:rsidP="00BD5E0B">
      <w:pPr>
        <w:spacing w:after="0"/>
        <w:rPr>
          <w:rFonts w:ascii="Calibri" w:hAnsi="Calibri" w:cs="Calibri"/>
        </w:rPr>
      </w:pPr>
      <w:r>
        <w:t xml:space="preserve">Podíváme-li se na indikátory výstupu pro SC 3.1, je dobře patrné, že dle odhadů příjemců měly být indikátory naplňovány v roce 2017. Ke skutečnému plnění však došlo ještě s ročním zpožděním a vykazované hodnoty </w:t>
      </w:r>
      <w:r w:rsidR="00E57FEB">
        <w:t>jsou navíc poměrně nízké.</w:t>
      </w:r>
      <w:r>
        <w:t xml:space="preserve"> </w:t>
      </w:r>
      <w:r w:rsidR="00E57FEB">
        <w:t xml:space="preserve">Tento stav přímo </w:t>
      </w:r>
      <w:r w:rsidRPr="001C50E7">
        <w:rPr>
          <w:rFonts w:ascii="Calibri" w:hAnsi="Calibri" w:cs="Calibri"/>
        </w:rPr>
        <w:t>souvisí s opožd</w:t>
      </w:r>
      <w:r w:rsidR="00E57FEB">
        <w:rPr>
          <w:rFonts w:ascii="Calibri" w:hAnsi="Calibri" w:cs="Calibri"/>
        </w:rPr>
        <w:t xml:space="preserve">ěným zahájením realizace OP PIK, dlouhým hodnocením podaných žádostí a v neposlední řadě také s nízkým zájmem oprávněných žadatelů čerpat dotaci. Pět z osmi výstupových indikátorů vykazovaných na úrovni </w:t>
      </w:r>
      <w:r w:rsidR="00E57FEB">
        <w:rPr>
          <w:rFonts w:ascii="Calibri" w:hAnsi="Calibri" w:cs="Calibri"/>
        </w:rPr>
        <w:lastRenderedPageBreak/>
        <w:t xml:space="preserve">příjemců je tzv. povinnými indikátory k výběru, tj. příjemce nestanovuje žádnou cílovou hodnotu. Z tohoto důvodu doposud v těchto indikátorech nebyla vykázána žádná data. </w:t>
      </w:r>
      <w:r w:rsidR="00960C74">
        <w:rPr>
          <w:rFonts w:ascii="Calibri" w:hAnsi="Calibri" w:cs="Calibri"/>
        </w:rPr>
        <w:t>Vykazován byl indikátor</w:t>
      </w:r>
      <w:r w:rsidR="00E57FEB">
        <w:rPr>
          <w:rFonts w:ascii="Calibri" w:hAnsi="Calibri" w:cs="Calibri"/>
        </w:rPr>
        <w:t xml:space="preserve"> </w:t>
      </w:r>
      <w:r w:rsidR="00BD5E0B">
        <w:rPr>
          <w:rFonts w:ascii="Calibri" w:hAnsi="Calibri" w:cs="Calibri"/>
        </w:rPr>
        <w:t>„</w:t>
      </w:r>
      <w:r w:rsidR="00E57FEB" w:rsidRPr="00E57FEB">
        <w:rPr>
          <w:rFonts w:ascii="Calibri" w:hAnsi="Calibri" w:cs="Calibri"/>
        </w:rPr>
        <w:t>Zvýšení instalovaného tepelného výkonu u podpořených subjektů</w:t>
      </w:r>
      <w:r w:rsidR="00BD5E0B">
        <w:rPr>
          <w:rFonts w:ascii="Calibri" w:hAnsi="Calibri" w:cs="Calibri"/>
        </w:rPr>
        <w:t>“</w:t>
      </w:r>
      <w:r w:rsidR="00E57FEB">
        <w:rPr>
          <w:rFonts w:ascii="Calibri" w:hAnsi="Calibri" w:cs="Calibri"/>
        </w:rPr>
        <w:t xml:space="preserve">, do něhož byla vykázána hodnota za jeden ukončený projekt. </w:t>
      </w:r>
      <w:r w:rsidR="00960C74">
        <w:rPr>
          <w:rFonts w:ascii="Calibri" w:hAnsi="Calibri" w:cs="Calibri"/>
        </w:rPr>
        <w:t xml:space="preserve">Dosažená hodnota </w:t>
      </w:r>
      <w:r w:rsidR="00E25DBC">
        <w:rPr>
          <w:rFonts w:ascii="Calibri" w:hAnsi="Calibri" w:cs="Calibri"/>
        </w:rPr>
        <w:t>představuje</w:t>
      </w:r>
      <w:r w:rsidR="00960C74">
        <w:rPr>
          <w:rFonts w:ascii="Calibri" w:hAnsi="Calibri" w:cs="Calibri"/>
        </w:rPr>
        <w:t xml:space="preserve"> 3,49 % cílové hodnoty a závazek příjemců činí 13,33 %. </w:t>
      </w:r>
    </w:p>
    <w:p w14:paraId="65940645" w14:textId="77777777" w:rsidR="00BD5E0B" w:rsidRDefault="00BD5E0B" w:rsidP="00BD5E0B">
      <w:pPr>
        <w:spacing w:after="0"/>
        <w:rPr>
          <w:rFonts w:ascii="Calibri" w:hAnsi="Calibri" w:cs="Calibri"/>
        </w:rPr>
      </w:pPr>
    </w:p>
    <w:p w14:paraId="56EF178F" w14:textId="0A0D5F61" w:rsidR="00A31032" w:rsidRDefault="00960C74" w:rsidP="00BD5E0B">
      <w:pPr>
        <w:spacing w:after="0"/>
        <w:rPr>
          <w:rFonts w:ascii="Calibri" w:hAnsi="Calibri" w:cs="Calibri"/>
        </w:rPr>
      </w:pPr>
      <w:r>
        <w:rPr>
          <w:rFonts w:ascii="Calibri" w:hAnsi="Calibri" w:cs="Calibri"/>
        </w:rPr>
        <w:t xml:space="preserve">Druhým indikátorem s nenulovou hodnotou je indikátor </w:t>
      </w:r>
      <w:r w:rsidR="00BD5E0B">
        <w:rPr>
          <w:rFonts w:ascii="Calibri" w:hAnsi="Calibri" w:cs="Calibri"/>
        </w:rPr>
        <w:t>„</w:t>
      </w:r>
      <w:r w:rsidRPr="00960C74">
        <w:rPr>
          <w:rFonts w:ascii="Calibri" w:hAnsi="Calibri" w:cs="Calibri"/>
        </w:rPr>
        <w:t>Nová kapacita zařízení pro výrobu energie z obnovitelných zdrojů</w:t>
      </w:r>
      <w:r w:rsidR="00BD5E0B">
        <w:rPr>
          <w:rFonts w:ascii="Calibri" w:hAnsi="Calibri" w:cs="Calibri"/>
        </w:rPr>
        <w:t>“</w:t>
      </w:r>
      <w:r>
        <w:rPr>
          <w:rFonts w:ascii="Calibri" w:hAnsi="Calibri" w:cs="Calibri"/>
        </w:rPr>
        <w:t xml:space="preserve">. </w:t>
      </w:r>
      <w:r w:rsidR="00E25DBC">
        <w:rPr>
          <w:rFonts w:ascii="Calibri" w:hAnsi="Calibri" w:cs="Calibri"/>
        </w:rPr>
        <w:t>Jedná se však o indikátor</w:t>
      </w:r>
      <w:r>
        <w:rPr>
          <w:rFonts w:ascii="Calibri" w:hAnsi="Calibri" w:cs="Calibri"/>
        </w:rPr>
        <w:t xml:space="preserve"> součtový - je naplňován součtem vykazovaných hodnot za indikátor </w:t>
      </w:r>
      <w:r w:rsidR="00BD5E0B">
        <w:rPr>
          <w:rFonts w:ascii="Calibri" w:hAnsi="Calibri" w:cs="Calibri"/>
        </w:rPr>
        <w:t>„</w:t>
      </w:r>
      <w:r w:rsidRPr="00E57FEB">
        <w:rPr>
          <w:rFonts w:ascii="Calibri" w:hAnsi="Calibri" w:cs="Calibri"/>
        </w:rPr>
        <w:t>Zvýšení instalovaného tepelného výkonu u podpořených subjektů</w:t>
      </w:r>
      <w:r w:rsidR="00BD5E0B">
        <w:rPr>
          <w:rFonts w:ascii="Calibri" w:hAnsi="Calibri" w:cs="Calibri"/>
        </w:rPr>
        <w:t>“</w:t>
      </w:r>
      <w:r>
        <w:rPr>
          <w:rFonts w:ascii="Calibri" w:hAnsi="Calibri" w:cs="Calibri"/>
        </w:rPr>
        <w:t xml:space="preserve"> a </w:t>
      </w:r>
      <w:r w:rsidR="00BD5E0B">
        <w:rPr>
          <w:rFonts w:ascii="Calibri" w:hAnsi="Calibri" w:cs="Calibri"/>
        </w:rPr>
        <w:t>„</w:t>
      </w:r>
      <w:r w:rsidRPr="00E57FEB">
        <w:rPr>
          <w:rFonts w:ascii="Calibri" w:hAnsi="Calibri" w:cs="Calibri"/>
        </w:rPr>
        <w:t xml:space="preserve">Zvýšení instalovaného </w:t>
      </w:r>
      <w:r>
        <w:rPr>
          <w:rFonts w:ascii="Calibri" w:hAnsi="Calibri" w:cs="Calibri"/>
        </w:rPr>
        <w:t>elektrického</w:t>
      </w:r>
      <w:r w:rsidRPr="00E57FEB">
        <w:rPr>
          <w:rFonts w:ascii="Calibri" w:hAnsi="Calibri" w:cs="Calibri"/>
        </w:rPr>
        <w:t xml:space="preserve"> výkonu u podpořených subjektů</w:t>
      </w:r>
      <w:r w:rsidR="00BD5E0B">
        <w:rPr>
          <w:rFonts w:ascii="Calibri" w:hAnsi="Calibri" w:cs="Calibri"/>
        </w:rPr>
        <w:t>“</w:t>
      </w:r>
      <w:r>
        <w:rPr>
          <w:rFonts w:ascii="Calibri" w:hAnsi="Calibri" w:cs="Calibri"/>
        </w:rPr>
        <w:t>.</w:t>
      </w:r>
    </w:p>
    <w:p w14:paraId="3E10CB67" w14:textId="3C6A9615" w:rsidR="00BD5E0B" w:rsidRDefault="00BD5E0B" w:rsidP="00BD5E0B">
      <w:pPr>
        <w:spacing w:after="0"/>
        <w:rPr>
          <w:rFonts w:ascii="Calibri" w:hAnsi="Calibri" w:cs="Calibri"/>
        </w:rPr>
      </w:pPr>
    </w:p>
    <w:p w14:paraId="600C6F74" w14:textId="50DC685E" w:rsidR="00BD5E0B" w:rsidRPr="00BD5E0B" w:rsidRDefault="00BD5E0B" w:rsidP="00BD5E0B">
      <w:pPr>
        <w:spacing w:after="0"/>
        <w:rPr>
          <w:rFonts w:ascii="Calibri" w:hAnsi="Calibri" w:cs="Calibri"/>
          <w:b/>
          <w:i/>
        </w:rPr>
      </w:pPr>
      <w:r w:rsidRPr="00BD5E0B">
        <w:rPr>
          <w:rFonts w:ascii="Calibri" w:hAnsi="Calibri" w:cs="Calibri"/>
          <w:b/>
          <w:i/>
        </w:rPr>
        <w:t>Specifický cíl 3.2</w:t>
      </w:r>
    </w:p>
    <w:p w14:paraId="3AC5C3B0" w14:textId="25580CFB" w:rsidR="00E57FEB" w:rsidRDefault="00960C74" w:rsidP="00BD5E0B">
      <w:pPr>
        <w:spacing w:after="0"/>
        <w:rPr>
          <w:rFonts w:cstheme="minorHAnsi"/>
        </w:rPr>
      </w:pPr>
      <w:r>
        <w:t xml:space="preserve">V případě SC 3.2 bylo skutečné plnění indikátorů zahájeno v roce 2017, tj. v porovnání se SC 3.1 o rok dříve. Vykazované hodnoty navíc zaznamenávají poměrně dynamický nárůst v jednotlivých letech. Nicméně </w:t>
      </w:r>
      <w:r>
        <w:rPr>
          <w:rFonts w:cstheme="minorHAnsi"/>
        </w:rPr>
        <w:t>ve srovnání s nastavenými cílovými hodnotami</w:t>
      </w:r>
      <w:r>
        <w:t xml:space="preserve"> jsou a</w:t>
      </w:r>
      <w:r>
        <w:rPr>
          <w:rFonts w:cstheme="minorHAnsi"/>
        </w:rPr>
        <w:t>ktuální dosažené hodnoty indikátorů relativně nízké. Pro dosažení cílových hodnot by bylo potřeba několikanásobně zvýšit počet podpořených podniků v následujících letech. Tento stav je dán, stejně jako v případě SC 3.1, pomalým náběhem celé prioritní osy 3 OP PIK, kdy v prvních letech byl vyhlášen malý počet výzev, jejich vyhodnocení trvalo také poměrně dlouho. To se odráží v tom, že počty podpořených podniků začínají být vykazovány až od r. 2016, resp. 2017.</w:t>
      </w:r>
    </w:p>
    <w:p w14:paraId="3DF6B580" w14:textId="329CAC4D" w:rsidR="00BD5E0B" w:rsidRDefault="00BD5E0B" w:rsidP="00BD5E0B">
      <w:pPr>
        <w:spacing w:after="0"/>
        <w:rPr>
          <w:rFonts w:cstheme="minorHAnsi"/>
        </w:rPr>
      </w:pPr>
    </w:p>
    <w:p w14:paraId="3F8ACAC2" w14:textId="05C99198" w:rsidR="00BD5E0B" w:rsidRPr="00BD5E0B" w:rsidRDefault="00BD5E0B" w:rsidP="00BD5E0B">
      <w:pPr>
        <w:spacing w:after="0"/>
        <w:rPr>
          <w:rFonts w:cstheme="minorHAnsi"/>
          <w:b/>
          <w:i/>
        </w:rPr>
      </w:pPr>
      <w:r w:rsidRPr="00BD5E0B">
        <w:rPr>
          <w:rFonts w:cstheme="minorHAnsi"/>
          <w:b/>
          <w:i/>
        </w:rPr>
        <w:t>Specifický cíl 3.4</w:t>
      </w:r>
    </w:p>
    <w:p w14:paraId="3D52AE7E" w14:textId="77777777" w:rsidR="00BD5E0B" w:rsidRPr="00BD5E0B" w:rsidRDefault="00BD5E0B" w:rsidP="00BD5E0B">
      <w:pPr>
        <w:spacing w:after="0"/>
        <w:rPr>
          <w:rFonts w:cstheme="minorHAnsi"/>
        </w:rPr>
      </w:pPr>
      <w:r w:rsidRPr="00BD5E0B">
        <w:rPr>
          <w:rFonts w:cstheme="minorHAnsi"/>
        </w:rPr>
        <w:t xml:space="preserve">Hodnoty indikátorů výstupů SC 3.4 ve stavu k 31. 12. 2018 lze hodnotit z pohledu nastavené klasifikace jako neuspokojivé, ovšem tento stav je do značné míry ovlivněn změnou nastavení cílových hodnot v důsledku navýšení alokace SC. </w:t>
      </w:r>
    </w:p>
    <w:p w14:paraId="27FCFC8E" w14:textId="77777777" w:rsidR="00BD5E0B" w:rsidRPr="00BD5E0B" w:rsidRDefault="00BD5E0B" w:rsidP="00BD5E0B">
      <w:pPr>
        <w:spacing w:after="0"/>
        <w:rPr>
          <w:rFonts w:cstheme="minorHAnsi"/>
        </w:rPr>
      </w:pPr>
    </w:p>
    <w:p w14:paraId="2F7192D4" w14:textId="77777777" w:rsidR="00BD5E0B" w:rsidRPr="00BD5E0B" w:rsidRDefault="00BD5E0B" w:rsidP="00BD5E0B">
      <w:pPr>
        <w:spacing w:after="0"/>
        <w:rPr>
          <w:rFonts w:cstheme="minorHAnsi"/>
        </w:rPr>
      </w:pPr>
      <w:r w:rsidRPr="00BD5E0B">
        <w:rPr>
          <w:rFonts w:cstheme="minorHAnsi"/>
        </w:rPr>
        <w:t>Výrazný vliv má rovněž opožděné zahájení PP NUT, kdy příjem žádostí v I. výzvě byl ukončen až na konci července 2016. Zpoždění byla způsobena jednak zdlouhavou přípravou výzev (zejm. vyjasnění pravidel a podmínek veřejné podpory) a také pomalým procesem hodnocení žádostí (nedostatek kvalifikovaných personálních kapacit hodnotitelů, velký počet projektů).</w:t>
      </w:r>
    </w:p>
    <w:p w14:paraId="331A8E2E" w14:textId="77777777" w:rsidR="00BD5E0B" w:rsidRPr="00BD5E0B" w:rsidRDefault="00BD5E0B" w:rsidP="00BD5E0B">
      <w:pPr>
        <w:spacing w:after="0"/>
        <w:rPr>
          <w:rFonts w:cstheme="minorHAnsi"/>
        </w:rPr>
      </w:pPr>
    </w:p>
    <w:p w14:paraId="1CCD5946" w14:textId="6C3CC720" w:rsidR="00BD5E0B" w:rsidRPr="00BD5E0B" w:rsidRDefault="00BD5E0B" w:rsidP="00BD5E0B">
      <w:pPr>
        <w:spacing w:after="0"/>
      </w:pPr>
      <w:r w:rsidRPr="00BD5E0B">
        <w:rPr>
          <w:rFonts w:cstheme="minorHAnsi"/>
        </w:rPr>
        <w:t>V posledních 2 sledovaných letech byl však zaznamenán dynamický nárůst hodnot indikátorů výstupů a tento trend lze očekávat i v dalším období, v návaznosti na ukončení příjmu a vyhodnocení žádostí ve IV. výzvě</w:t>
      </w:r>
      <w:r>
        <w:rPr>
          <w:rFonts w:cstheme="minorHAnsi"/>
        </w:rPr>
        <w:t>.</w:t>
      </w:r>
    </w:p>
    <w:p w14:paraId="0D86B1AB" w14:textId="77777777" w:rsidR="00BD5E0B" w:rsidRDefault="00BD5E0B" w:rsidP="00BD5E0B">
      <w:pPr>
        <w:spacing w:after="0"/>
        <w:rPr>
          <w:rFonts w:cstheme="minorHAnsi"/>
        </w:rPr>
      </w:pPr>
    </w:p>
    <w:p w14:paraId="574FD4BC" w14:textId="77777777" w:rsidR="00C91048" w:rsidRDefault="00C91048" w:rsidP="00BD5E0B">
      <w:pPr>
        <w:pStyle w:val="Nadpis4"/>
      </w:pPr>
      <w:r w:rsidRPr="0000032E">
        <w:t>Milníky</w:t>
      </w:r>
    </w:p>
    <w:p w14:paraId="300553FC" w14:textId="63F4E38F" w:rsidR="00B03A31" w:rsidRDefault="00B03A31" w:rsidP="00B03A31">
      <w:pPr>
        <w:spacing w:after="0"/>
        <w:rPr>
          <w:rFonts w:ascii="Calibri" w:hAnsi="Calibri" w:cs="Calibri"/>
        </w:rPr>
      </w:pPr>
      <w:r>
        <w:rPr>
          <w:rFonts w:ascii="Calibri" w:hAnsi="Calibri" w:cs="Calibri"/>
        </w:rPr>
        <w:t xml:space="preserve">Hodnotitel měl k dispozici data ŘO o dosažených hodnotách ukazatelů jak k referenčnímu datu </w:t>
      </w:r>
      <w:r>
        <w:rPr>
          <w:rFonts w:ascii="Calibri" w:hAnsi="Calibri" w:cs="Calibri"/>
        </w:rPr>
        <w:br/>
        <w:t xml:space="preserve">31. 12. 2018, tak i dodatečné údaje ve stavu ke 12. 2. 2019. Zatímco u věcného milníku PO 3 došlo ke splnění hodnoty pro rok 2018 z více než 100 %, v případě finančního milníku nebyla splněna ani </w:t>
      </w:r>
      <w:r>
        <w:rPr>
          <w:rFonts w:ascii="Calibri" w:hAnsi="Calibri" w:cs="Calibri"/>
        </w:rPr>
        <w:br/>
        <w:t>65% hranice.</w:t>
      </w:r>
    </w:p>
    <w:p w14:paraId="44CAE1C8" w14:textId="77777777" w:rsidR="00BD5E0B" w:rsidRDefault="00BD5E0B" w:rsidP="00B03A31">
      <w:pPr>
        <w:spacing w:after="0"/>
        <w:rPr>
          <w:rFonts w:ascii="Calibri" w:hAnsi="Calibri" w:cs="Calibri"/>
        </w:rPr>
      </w:pPr>
    </w:p>
    <w:p w14:paraId="753226C5" w14:textId="1D43BDDE" w:rsidR="00B03A31" w:rsidRDefault="00B03A31" w:rsidP="00B03A31">
      <w:pPr>
        <w:pStyle w:val="Titulek"/>
      </w:pPr>
      <w:bookmarkStart w:id="236" w:name="_Toc10730039"/>
      <w:r>
        <w:lastRenderedPageBreak/>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20</w:t>
      </w:r>
      <w:r w:rsidR="00BD754F">
        <w:rPr>
          <w:noProof/>
        </w:rPr>
        <w:fldChar w:fldCharType="end"/>
      </w:r>
      <w:r>
        <w:t>: Plnění milníků výkonnostního rámce PO 3</w:t>
      </w:r>
      <w:bookmarkEnd w:id="236"/>
    </w:p>
    <w:tbl>
      <w:tblPr>
        <w:tblStyle w:val="Mkatabulky"/>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7"/>
        <w:gridCol w:w="881"/>
        <w:gridCol w:w="1291"/>
        <w:gridCol w:w="1276"/>
        <w:gridCol w:w="1134"/>
        <w:gridCol w:w="1206"/>
        <w:gridCol w:w="1033"/>
        <w:gridCol w:w="1021"/>
      </w:tblGrid>
      <w:tr w:rsidR="00B03A31" w:rsidRPr="008D66E9" w14:paraId="3C2C983F" w14:textId="77777777" w:rsidTr="00944031">
        <w:trPr>
          <w:trHeight w:val="458"/>
        </w:trPr>
        <w:tc>
          <w:tcPr>
            <w:tcW w:w="1367" w:type="dxa"/>
            <w:vMerge w:val="restart"/>
            <w:shd w:val="clear" w:color="auto" w:fill="002060"/>
            <w:vAlign w:val="center"/>
            <w:hideMark/>
          </w:tcPr>
          <w:p w14:paraId="20065C63" w14:textId="77777777" w:rsidR="00B03A31" w:rsidRPr="008D66E9" w:rsidRDefault="00B03A31" w:rsidP="00B03A31">
            <w:pPr>
              <w:jc w:val="center"/>
              <w:rPr>
                <w:rFonts w:cstheme="minorHAnsi"/>
                <w:b/>
                <w:bCs/>
                <w:sz w:val="18"/>
                <w:szCs w:val="18"/>
              </w:rPr>
            </w:pPr>
            <w:r w:rsidRPr="008D66E9">
              <w:rPr>
                <w:rFonts w:cstheme="minorHAnsi"/>
                <w:b/>
                <w:bCs/>
                <w:sz w:val="18"/>
                <w:szCs w:val="18"/>
              </w:rPr>
              <w:t>Ukazatel nebo klíčový krok provádění</w:t>
            </w:r>
          </w:p>
        </w:tc>
        <w:tc>
          <w:tcPr>
            <w:tcW w:w="881" w:type="dxa"/>
            <w:vMerge w:val="restart"/>
            <w:shd w:val="clear" w:color="auto" w:fill="002060"/>
            <w:vAlign w:val="center"/>
            <w:hideMark/>
          </w:tcPr>
          <w:p w14:paraId="2F130F5E" w14:textId="77777777" w:rsidR="00B03A31" w:rsidRPr="008D66E9" w:rsidRDefault="00B03A31" w:rsidP="00B03A31">
            <w:pPr>
              <w:jc w:val="center"/>
              <w:rPr>
                <w:rFonts w:cstheme="minorHAnsi"/>
                <w:b/>
                <w:bCs/>
                <w:sz w:val="18"/>
                <w:szCs w:val="18"/>
              </w:rPr>
            </w:pPr>
            <w:r w:rsidRPr="008D66E9">
              <w:rPr>
                <w:rFonts w:cstheme="minorHAnsi"/>
                <w:b/>
                <w:bCs/>
                <w:sz w:val="18"/>
                <w:szCs w:val="18"/>
              </w:rPr>
              <w:t>Měrná jednotka</w:t>
            </w:r>
          </w:p>
        </w:tc>
        <w:tc>
          <w:tcPr>
            <w:tcW w:w="1291" w:type="dxa"/>
            <w:vMerge w:val="restart"/>
            <w:shd w:val="clear" w:color="auto" w:fill="002060"/>
            <w:vAlign w:val="center"/>
            <w:hideMark/>
          </w:tcPr>
          <w:p w14:paraId="094154FB" w14:textId="77777777" w:rsidR="00B03A31" w:rsidRPr="008D66E9" w:rsidRDefault="00B03A31" w:rsidP="00B03A31">
            <w:pPr>
              <w:jc w:val="center"/>
              <w:rPr>
                <w:rFonts w:cstheme="minorHAnsi"/>
                <w:b/>
                <w:bCs/>
                <w:sz w:val="18"/>
                <w:szCs w:val="18"/>
              </w:rPr>
            </w:pPr>
            <w:r w:rsidRPr="008D66E9">
              <w:rPr>
                <w:rFonts w:cstheme="minorHAnsi"/>
                <w:b/>
                <w:bCs/>
                <w:sz w:val="18"/>
                <w:szCs w:val="18"/>
              </w:rPr>
              <w:t>Milník pro rok 2018</w:t>
            </w:r>
          </w:p>
        </w:tc>
        <w:tc>
          <w:tcPr>
            <w:tcW w:w="1276" w:type="dxa"/>
            <w:vMerge w:val="restart"/>
            <w:shd w:val="clear" w:color="auto" w:fill="002060"/>
            <w:vAlign w:val="center"/>
            <w:hideMark/>
          </w:tcPr>
          <w:p w14:paraId="2A65CDC4" w14:textId="77777777" w:rsidR="00B03A31" w:rsidRPr="008D66E9" w:rsidRDefault="00B03A31" w:rsidP="00B03A31">
            <w:pPr>
              <w:jc w:val="center"/>
              <w:rPr>
                <w:rFonts w:cstheme="minorHAnsi"/>
                <w:b/>
                <w:bCs/>
                <w:sz w:val="18"/>
                <w:szCs w:val="18"/>
              </w:rPr>
            </w:pPr>
            <w:r w:rsidRPr="008D66E9">
              <w:rPr>
                <w:rFonts w:cstheme="minorHAnsi"/>
                <w:b/>
                <w:bCs/>
                <w:sz w:val="18"/>
                <w:szCs w:val="18"/>
              </w:rPr>
              <w:t>Konečný cíl (2023)</w:t>
            </w:r>
          </w:p>
        </w:tc>
        <w:tc>
          <w:tcPr>
            <w:tcW w:w="2340" w:type="dxa"/>
            <w:gridSpan w:val="2"/>
            <w:shd w:val="clear" w:color="auto" w:fill="002060"/>
            <w:vAlign w:val="center"/>
            <w:hideMark/>
          </w:tcPr>
          <w:p w14:paraId="1E93B4F7" w14:textId="77777777" w:rsidR="00B03A31" w:rsidRPr="008D66E9" w:rsidRDefault="00B03A31" w:rsidP="00B03A31">
            <w:pPr>
              <w:jc w:val="center"/>
              <w:rPr>
                <w:rFonts w:cstheme="minorHAnsi"/>
                <w:b/>
                <w:bCs/>
                <w:sz w:val="18"/>
                <w:szCs w:val="18"/>
              </w:rPr>
            </w:pPr>
            <w:r w:rsidRPr="008D66E9">
              <w:rPr>
                <w:rFonts w:cstheme="minorHAnsi"/>
                <w:b/>
                <w:bCs/>
                <w:sz w:val="18"/>
                <w:szCs w:val="18"/>
              </w:rPr>
              <w:t>Dosažená hodnota</w:t>
            </w:r>
          </w:p>
        </w:tc>
        <w:tc>
          <w:tcPr>
            <w:tcW w:w="2054" w:type="dxa"/>
            <w:gridSpan w:val="2"/>
            <w:shd w:val="clear" w:color="auto" w:fill="002060"/>
            <w:vAlign w:val="center"/>
            <w:hideMark/>
          </w:tcPr>
          <w:p w14:paraId="23923CA0" w14:textId="77777777" w:rsidR="00B03A31" w:rsidRPr="008D66E9" w:rsidRDefault="00B03A31" w:rsidP="00B03A31">
            <w:pPr>
              <w:jc w:val="center"/>
              <w:rPr>
                <w:rFonts w:cstheme="minorHAnsi"/>
                <w:b/>
                <w:bCs/>
                <w:sz w:val="18"/>
                <w:szCs w:val="18"/>
              </w:rPr>
            </w:pPr>
            <w:r w:rsidRPr="008D66E9">
              <w:rPr>
                <w:rFonts w:cstheme="minorHAnsi"/>
                <w:b/>
                <w:bCs/>
                <w:sz w:val="18"/>
                <w:szCs w:val="18"/>
              </w:rPr>
              <w:t>Podíl dosažené hodnoty na milníku 2018</w:t>
            </w:r>
          </w:p>
        </w:tc>
      </w:tr>
      <w:tr w:rsidR="00B03A31" w:rsidRPr="008D66E9" w14:paraId="7950D350" w14:textId="77777777" w:rsidTr="00944031">
        <w:trPr>
          <w:trHeight w:val="295"/>
        </w:trPr>
        <w:tc>
          <w:tcPr>
            <w:tcW w:w="1367" w:type="dxa"/>
            <w:vMerge/>
            <w:shd w:val="clear" w:color="auto" w:fill="F2F2F2" w:themeFill="background1" w:themeFillShade="F2"/>
            <w:vAlign w:val="center"/>
          </w:tcPr>
          <w:p w14:paraId="15D985BA" w14:textId="77777777" w:rsidR="00B03A31" w:rsidRPr="008D66E9" w:rsidRDefault="00B03A31" w:rsidP="00B03A31">
            <w:pPr>
              <w:rPr>
                <w:rFonts w:cstheme="minorHAnsi"/>
                <w:b/>
                <w:bCs/>
                <w:sz w:val="18"/>
                <w:szCs w:val="18"/>
              </w:rPr>
            </w:pPr>
          </w:p>
        </w:tc>
        <w:tc>
          <w:tcPr>
            <w:tcW w:w="881" w:type="dxa"/>
            <w:vMerge/>
            <w:shd w:val="clear" w:color="auto" w:fill="F2F2F2" w:themeFill="background1" w:themeFillShade="F2"/>
            <w:vAlign w:val="center"/>
          </w:tcPr>
          <w:p w14:paraId="54EBE611" w14:textId="77777777" w:rsidR="00B03A31" w:rsidRPr="008D66E9" w:rsidRDefault="00B03A31" w:rsidP="00B03A31">
            <w:pPr>
              <w:rPr>
                <w:rFonts w:cstheme="minorHAnsi"/>
                <w:b/>
                <w:bCs/>
                <w:sz w:val="18"/>
                <w:szCs w:val="18"/>
              </w:rPr>
            </w:pPr>
          </w:p>
        </w:tc>
        <w:tc>
          <w:tcPr>
            <w:tcW w:w="1291" w:type="dxa"/>
            <w:vMerge/>
            <w:shd w:val="clear" w:color="auto" w:fill="F2F2F2" w:themeFill="background1" w:themeFillShade="F2"/>
            <w:vAlign w:val="center"/>
          </w:tcPr>
          <w:p w14:paraId="78E60E89" w14:textId="77777777" w:rsidR="00B03A31" w:rsidRPr="008D66E9" w:rsidRDefault="00B03A31" w:rsidP="00B03A31">
            <w:pPr>
              <w:rPr>
                <w:rFonts w:cstheme="minorHAnsi"/>
                <w:b/>
                <w:bCs/>
                <w:sz w:val="18"/>
                <w:szCs w:val="18"/>
              </w:rPr>
            </w:pPr>
          </w:p>
        </w:tc>
        <w:tc>
          <w:tcPr>
            <w:tcW w:w="1276" w:type="dxa"/>
            <w:vMerge/>
            <w:shd w:val="clear" w:color="auto" w:fill="F2F2F2" w:themeFill="background1" w:themeFillShade="F2"/>
            <w:vAlign w:val="center"/>
          </w:tcPr>
          <w:p w14:paraId="2CC8A158" w14:textId="77777777" w:rsidR="00B03A31" w:rsidRPr="008D66E9" w:rsidRDefault="00B03A31" w:rsidP="00B03A31">
            <w:pPr>
              <w:rPr>
                <w:rFonts w:cstheme="minorHAnsi"/>
                <w:b/>
                <w:bCs/>
                <w:sz w:val="18"/>
                <w:szCs w:val="18"/>
              </w:rPr>
            </w:pPr>
          </w:p>
        </w:tc>
        <w:tc>
          <w:tcPr>
            <w:tcW w:w="1134" w:type="dxa"/>
            <w:shd w:val="clear" w:color="auto" w:fill="002060"/>
            <w:vAlign w:val="center"/>
          </w:tcPr>
          <w:p w14:paraId="27E28550" w14:textId="77777777" w:rsidR="00B03A31" w:rsidRPr="008D66E9" w:rsidRDefault="00B03A31" w:rsidP="00B03A31">
            <w:pPr>
              <w:jc w:val="center"/>
              <w:rPr>
                <w:rFonts w:cstheme="minorHAnsi"/>
                <w:b/>
                <w:bCs/>
                <w:sz w:val="18"/>
                <w:szCs w:val="18"/>
              </w:rPr>
            </w:pPr>
            <w:r w:rsidRPr="008D66E9">
              <w:rPr>
                <w:rFonts w:cstheme="minorHAnsi"/>
                <w:b/>
                <w:bCs/>
                <w:sz w:val="18"/>
                <w:szCs w:val="18"/>
              </w:rPr>
              <w:t>k 31. 12. 2018</w:t>
            </w:r>
          </w:p>
        </w:tc>
        <w:tc>
          <w:tcPr>
            <w:tcW w:w="1206" w:type="dxa"/>
            <w:shd w:val="clear" w:color="auto" w:fill="002060"/>
            <w:vAlign w:val="center"/>
          </w:tcPr>
          <w:p w14:paraId="38210775" w14:textId="77777777" w:rsidR="00B03A31" w:rsidRPr="008D66E9" w:rsidRDefault="00B03A31" w:rsidP="00B03A31">
            <w:pPr>
              <w:jc w:val="center"/>
              <w:rPr>
                <w:rFonts w:cstheme="minorHAnsi"/>
                <w:b/>
                <w:bCs/>
                <w:sz w:val="18"/>
                <w:szCs w:val="18"/>
              </w:rPr>
            </w:pPr>
            <w:r>
              <w:rPr>
                <w:rFonts w:cstheme="minorHAnsi"/>
                <w:b/>
                <w:bCs/>
                <w:sz w:val="18"/>
                <w:szCs w:val="18"/>
              </w:rPr>
              <w:t>k 12. 2. 2019</w:t>
            </w:r>
          </w:p>
        </w:tc>
        <w:tc>
          <w:tcPr>
            <w:tcW w:w="1033" w:type="dxa"/>
            <w:shd w:val="clear" w:color="auto" w:fill="002060"/>
            <w:vAlign w:val="center"/>
          </w:tcPr>
          <w:p w14:paraId="6627F296" w14:textId="77777777" w:rsidR="00B03A31" w:rsidRPr="008D66E9" w:rsidRDefault="00B03A31" w:rsidP="00B03A31">
            <w:pPr>
              <w:jc w:val="center"/>
              <w:rPr>
                <w:rFonts w:cstheme="minorHAnsi"/>
                <w:b/>
                <w:bCs/>
                <w:sz w:val="18"/>
                <w:szCs w:val="18"/>
              </w:rPr>
            </w:pPr>
            <w:r>
              <w:rPr>
                <w:rFonts w:cstheme="minorHAnsi"/>
                <w:b/>
                <w:bCs/>
                <w:sz w:val="18"/>
                <w:szCs w:val="18"/>
              </w:rPr>
              <w:t>k 31. 12. 2018</w:t>
            </w:r>
          </w:p>
        </w:tc>
        <w:tc>
          <w:tcPr>
            <w:tcW w:w="1021" w:type="dxa"/>
            <w:shd w:val="clear" w:color="auto" w:fill="002060"/>
            <w:vAlign w:val="center"/>
          </w:tcPr>
          <w:p w14:paraId="25925197" w14:textId="77777777" w:rsidR="00B03A31" w:rsidRPr="008D66E9" w:rsidRDefault="00B03A31" w:rsidP="00B03A31">
            <w:pPr>
              <w:jc w:val="center"/>
              <w:rPr>
                <w:rFonts w:cstheme="minorHAnsi"/>
                <w:b/>
                <w:bCs/>
                <w:sz w:val="18"/>
                <w:szCs w:val="18"/>
              </w:rPr>
            </w:pPr>
            <w:r>
              <w:rPr>
                <w:rFonts w:cstheme="minorHAnsi"/>
                <w:b/>
                <w:bCs/>
                <w:sz w:val="18"/>
                <w:szCs w:val="18"/>
              </w:rPr>
              <w:t>k 12. 2. 2019</w:t>
            </w:r>
          </w:p>
        </w:tc>
      </w:tr>
      <w:tr w:rsidR="00B03A31" w:rsidRPr="008D66E9" w14:paraId="36CDE547" w14:textId="77777777" w:rsidTr="00944031">
        <w:trPr>
          <w:trHeight w:val="660"/>
        </w:trPr>
        <w:tc>
          <w:tcPr>
            <w:tcW w:w="1367" w:type="dxa"/>
            <w:vAlign w:val="center"/>
            <w:hideMark/>
          </w:tcPr>
          <w:p w14:paraId="2CC78C84" w14:textId="77777777" w:rsidR="00B03A31" w:rsidRPr="008D66E9" w:rsidRDefault="00B03A31" w:rsidP="00B03A31">
            <w:pPr>
              <w:rPr>
                <w:rFonts w:cstheme="minorHAnsi"/>
                <w:sz w:val="18"/>
                <w:szCs w:val="18"/>
              </w:rPr>
            </w:pPr>
            <w:r w:rsidRPr="008D66E9">
              <w:rPr>
                <w:rFonts w:cstheme="minorHAnsi"/>
                <w:sz w:val="18"/>
                <w:szCs w:val="18"/>
              </w:rPr>
              <w:t>Celkové způsobilé certifikované finanční prostředky</w:t>
            </w:r>
          </w:p>
        </w:tc>
        <w:tc>
          <w:tcPr>
            <w:tcW w:w="881" w:type="dxa"/>
            <w:vAlign w:val="center"/>
            <w:hideMark/>
          </w:tcPr>
          <w:p w14:paraId="7E665F5E" w14:textId="77777777" w:rsidR="00B03A31" w:rsidRPr="008D66E9" w:rsidRDefault="00B03A31" w:rsidP="00B03A31">
            <w:pPr>
              <w:jc w:val="center"/>
              <w:rPr>
                <w:rFonts w:cstheme="minorHAnsi"/>
                <w:sz w:val="18"/>
                <w:szCs w:val="18"/>
              </w:rPr>
            </w:pPr>
            <w:r w:rsidRPr="008D66E9">
              <w:rPr>
                <w:rFonts w:cstheme="minorHAnsi"/>
                <w:sz w:val="18"/>
                <w:szCs w:val="18"/>
              </w:rPr>
              <w:t>EUR</w:t>
            </w:r>
          </w:p>
        </w:tc>
        <w:tc>
          <w:tcPr>
            <w:tcW w:w="1291" w:type="dxa"/>
            <w:vAlign w:val="center"/>
            <w:hideMark/>
          </w:tcPr>
          <w:p w14:paraId="38659AED" w14:textId="77777777" w:rsidR="00B03A31" w:rsidRPr="008D66E9" w:rsidRDefault="00B03A31" w:rsidP="00B03A31">
            <w:pPr>
              <w:jc w:val="right"/>
              <w:rPr>
                <w:rFonts w:cstheme="minorHAnsi"/>
                <w:sz w:val="18"/>
                <w:szCs w:val="18"/>
              </w:rPr>
            </w:pPr>
            <w:r w:rsidRPr="008D66E9">
              <w:rPr>
                <w:rFonts w:cstheme="minorHAnsi"/>
                <w:sz w:val="18"/>
                <w:szCs w:val="18"/>
              </w:rPr>
              <w:t>495 000 000</w:t>
            </w:r>
          </w:p>
        </w:tc>
        <w:tc>
          <w:tcPr>
            <w:tcW w:w="1276" w:type="dxa"/>
            <w:noWrap/>
            <w:vAlign w:val="center"/>
            <w:hideMark/>
          </w:tcPr>
          <w:p w14:paraId="2CF540A7" w14:textId="77777777" w:rsidR="00B03A31" w:rsidRPr="008D66E9" w:rsidRDefault="00B03A31" w:rsidP="00B03A31">
            <w:pPr>
              <w:jc w:val="right"/>
              <w:rPr>
                <w:rFonts w:cstheme="minorHAnsi"/>
                <w:sz w:val="18"/>
                <w:szCs w:val="18"/>
              </w:rPr>
            </w:pPr>
            <w:r w:rsidRPr="008D66E9">
              <w:rPr>
                <w:rFonts w:cstheme="minorHAnsi"/>
                <w:sz w:val="18"/>
                <w:szCs w:val="18"/>
              </w:rPr>
              <w:t>3 000 805 255</w:t>
            </w:r>
          </w:p>
        </w:tc>
        <w:tc>
          <w:tcPr>
            <w:tcW w:w="1134" w:type="dxa"/>
            <w:vAlign w:val="center"/>
            <w:hideMark/>
          </w:tcPr>
          <w:p w14:paraId="57BE163E" w14:textId="77777777" w:rsidR="00B03A31" w:rsidRPr="00503B53" w:rsidRDefault="00B03A31" w:rsidP="00B03A31">
            <w:pPr>
              <w:jc w:val="right"/>
              <w:rPr>
                <w:rFonts w:cstheme="minorHAnsi"/>
                <w:bCs/>
                <w:sz w:val="18"/>
                <w:szCs w:val="18"/>
              </w:rPr>
            </w:pPr>
            <w:r w:rsidRPr="00503B53">
              <w:rPr>
                <w:rFonts w:cstheme="minorHAnsi"/>
                <w:bCs/>
                <w:sz w:val="18"/>
                <w:szCs w:val="18"/>
              </w:rPr>
              <w:t>233 281 681</w:t>
            </w:r>
          </w:p>
        </w:tc>
        <w:tc>
          <w:tcPr>
            <w:tcW w:w="1206" w:type="dxa"/>
            <w:vAlign w:val="center"/>
          </w:tcPr>
          <w:p w14:paraId="32681E9E" w14:textId="77777777" w:rsidR="00B03A31" w:rsidRPr="008D66E9" w:rsidRDefault="00B03A31" w:rsidP="00B03A31">
            <w:pPr>
              <w:jc w:val="right"/>
              <w:rPr>
                <w:rFonts w:cstheme="minorHAnsi"/>
                <w:sz w:val="18"/>
                <w:szCs w:val="18"/>
              </w:rPr>
            </w:pPr>
            <w:r w:rsidRPr="008D66E9">
              <w:rPr>
                <w:rFonts w:cstheme="minorHAnsi"/>
                <w:sz w:val="18"/>
                <w:szCs w:val="18"/>
              </w:rPr>
              <w:t>256</w:t>
            </w:r>
            <w:r>
              <w:rPr>
                <w:rFonts w:cstheme="minorHAnsi"/>
                <w:sz w:val="18"/>
                <w:szCs w:val="18"/>
              </w:rPr>
              <w:t xml:space="preserve"> </w:t>
            </w:r>
            <w:r w:rsidRPr="008D66E9">
              <w:rPr>
                <w:rFonts w:cstheme="minorHAnsi"/>
                <w:sz w:val="18"/>
                <w:szCs w:val="18"/>
              </w:rPr>
              <w:t>577</w:t>
            </w:r>
            <w:r>
              <w:rPr>
                <w:rFonts w:cstheme="minorHAnsi"/>
                <w:sz w:val="18"/>
                <w:szCs w:val="18"/>
              </w:rPr>
              <w:t xml:space="preserve"> </w:t>
            </w:r>
            <w:r w:rsidRPr="008D66E9">
              <w:rPr>
                <w:rFonts w:cstheme="minorHAnsi"/>
                <w:sz w:val="18"/>
                <w:szCs w:val="18"/>
              </w:rPr>
              <w:t>032</w:t>
            </w:r>
          </w:p>
        </w:tc>
        <w:tc>
          <w:tcPr>
            <w:tcW w:w="1033" w:type="dxa"/>
            <w:noWrap/>
            <w:vAlign w:val="center"/>
            <w:hideMark/>
          </w:tcPr>
          <w:p w14:paraId="5F6B61EC" w14:textId="77777777" w:rsidR="00B03A31" w:rsidRPr="008D66E9" w:rsidRDefault="00B03A31" w:rsidP="00B03A31">
            <w:pPr>
              <w:jc w:val="right"/>
              <w:rPr>
                <w:rFonts w:cstheme="minorHAnsi"/>
                <w:sz w:val="18"/>
                <w:szCs w:val="18"/>
              </w:rPr>
            </w:pPr>
            <w:r w:rsidRPr="008D66E9">
              <w:rPr>
                <w:rFonts w:cstheme="minorHAnsi"/>
                <w:sz w:val="18"/>
                <w:szCs w:val="18"/>
              </w:rPr>
              <w:t>47,13</w:t>
            </w:r>
            <w:r>
              <w:rPr>
                <w:rFonts w:cstheme="minorHAnsi"/>
                <w:sz w:val="18"/>
                <w:szCs w:val="18"/>
              </w:rPr>
              <w:t xml:space="preserve"> </w:t>
            </w:r>
            <w:r w:rsidRPr="008D66E9">
              <w:rPr>
                <w:rFonts w:cstheme="minorHAnsi"/>
                <w:sz w:val="18"/>
                <w:szCs w:val="18"/>
              </w:rPr>
              <w:t>%</w:t>
            </w:r>
          </w:p>
        </w:tc>
        <w:tc>
          <w:tcPr>
            <w:tcW w:w="1021" w:type="dxa"/>
            <w:vAlign w:val="center"/>
          </w:tcPr>
          <w:p w14:paraId="3598825C" w14:textId="77777777" w:rsidR="00B03A31" w:rsidRPr="008D66E9" w:rsidRDefault="00B03A31" w:rsidP="00B03A31">
            <w:pPr>
              <w:jc w:val="right"/>
              <w:rPr>
                <w:rFonts w:cstheme="minorHAnsi"/>
                <w:sz w:val="18"/>
                <w:szCs w:val="18"/>
              </w:rPr>
            </w:pPr>
            <w:r>
              <w:rPr>
                <w:rFonts w:cstheme="minorHAnsi"/>
                <w:sz w:val="18"/>
                <w:szCs w:val="18"/>
              </w:rPr>
              <w:t>51,83 %</w:t>
            </w:r>
          </w:p>
        </w:tc>
      </w:tr>
      <w:tr w:rsidR="00B03A31" w:rsidRPr="008D66E9" w14:paraId="08029D43" w14:textId="77777777" w:rsidTr="00944031">
        <w:trPr>
          <w:trHeight w:val="645"/>
        </w:trPr>
        <w:tc>
          <w:tcPr>
            <w:tcW w:w="1367" w:type="dxa"/>
            <w:vAlign w:val="center"/>
            <w:hideMark/>
          </w:tcPr>
          <w:p w14:paraId="13E1B72D" w14:textId="77777777" w:rsidR="00B03A31" w:rsidRPr="008D66E9" w:rsidRDefault="00B03A31" w:rsidP="00B03A31">
            <w:pPr>
              <w:rPr>
                <w:rFonts w:cstheme="minorHAnsi"/>
                <w:sz w:val="18"/>
                <w:szCs w:val="18"/>
              </w:rPr>
            </w:pPr>
            <w:r w:rsidRPr="008D66E9">
              <w:rPr>
                <w:rFonts w:cstheme="minorHAnsi"/>
                <w:sz w:val="18"/>
                <w:szCs w:val="18"/>
              </w:rPr>
              <w:t>Počet podniků pobírajících podporu</w:t>
            </w:r>
          </w:p>
        </w:tc>
        <w:tc>
          <w:tcPr>
            <w:tcW w:w="881" w:type="dxa"/>
            <w:vAlign w:val="center"/>
            <w:hideMark/>
          </w:tcPr>
          <w:p w14:paraId="553CFFC7" w14:textId="77777777" w:rsidR="00B03A31" w:rsidRPr="008D66E9" w:rsidRDefault="00B03A31" w:rsidP="00B03A31">
            <w:pPr>
              <w:jc w:val="center"/>
              <w:rPr>
                <w:rFonts w:cstheme="minorHAnsi"/>
                <w:sz w:val="18"/>
                <w:szCs w:val="18"/>
              </w:rPr>
            </w:pPr>
            <w:r w:rsidRPr="008D66E9">
              <w:rPr>
                <w:rFonts w:cstheme="minorHAnsi"/>
                <w:sz w:val="18"/>
                <w:szCs w:val="18"/>
              </w:rPr>
              <w:t>Podniky</w:t>
            </w:r>
          </w:p>
        </w:tc>
        <w:tc>
          <w:tcPr>
            <w:tcW w:w="1291" w:type="dxa"/>
            <w:vAlign w:val="center"/>
            <w:hideMark/>
          </w:tcPr>
          <w:p w14:paraId="202D6B9B" w14:textId="77777777" w:rsidR="00B03A31" w:rsidRPr="008D66E9" w:rsidRDefault="00B03A31" w:rsidP="00B03A31">
            <w:pPr>
              <w:jc w:val="right"/>
              <w:rPr>
                <w:rFonts w:cstheme="minorHAnsi"/>
                <w:sz w:val="18"/>
                <w:szCs w:val="18"/>
              </w:rPr>
            </w:pPr>
            <w:r w:rsidRPr="008D66E9">
              <w:rPr>
                <w:rFonts w:cstheme="minorHAnsi"/>
                <w:sz w:val="18"/>
                <w:szCs w:val="18"/>
              </w:rPr>
              <w:t>270</w:t>
            </w:r>
          </w:p>
        </w:tc>
        <w:tc>
          <w:tcPr>
            <w:tcW w:w="1276" w:type="dxa"/>
            <w:vAlign w:val="center"/>
            <w:hideMark/>
          </w:tcPr>
          <w:p w14:paraId="0985EBE2" w14:textId="77777777" w:rsidR="00B03A31" w:rsidRPr="008D66E9" w:rsidRDefault="00B03A31" w:rsidP="00B03A31">
            <w:pPr>
              <w:jc w:val="right"/>
              <w:rPr>
                <w:rFonts w:cstheme="minorHAnsi"/>
                <w:sz w:val="18"/>
                <w:szCs w:val="18"/>
              </w:rPr>
            </w:pPr>
            <w:r w:rsidRPr="008D66E9">
              <w:rPr>
                <w:rFonts w:cstheme="minorHAnsi"/>
                <w:sz w:val="18"/>
                <w:szCs w:val="18"/>
              </w:rPr>
              <w:t>3 785</w:t>
            </w:r>
          </w:p>
        </w:tc>
        <w:tc>
          <w:tcPr>
            <w:tcW w:w="1134" w:type="dxa"/>
            <w:vAlign w:val="center"/>
            <w:hideMark/>
          </w:tcPr>
          <w:p w14:paraId="71B6F705" w14:textId="77777777" w:rsidR="00B03A31" w:rsidRPr="00503B53" w:rsidRDefault="00B03A31" w:rsidP="00B03A31">
            <w:pPr>
              <w:jc w:val="right"/>
              <w:rPr>
                <w:rFonts w:cstheme="minorHAnsi"/>
                <w:bCs/>
                <w:sz w:val="18"/>
                <w:szCs w:val="18"/>
              </w:rPr>
            </w:pPr>
            <w:r w:rsidRPr="00503B53">
              <w:rPr>
                <w:rFonts w:cstheme="minorHAnsi"/>
                <w:bCs/>
                <w:sz w:val="18"/>
                <w:szCs w:val="18"/>
              </w:rPr>
              <w:t>409</w:t>
            </w:r>
          </w:p>
        </w:tc>
        <w:tc>
          <w:tcPr>
            <w:tcW w:w="1206" w:type="dxa"/>
            <w:vAlign w:val="center"/>
          </w:tcPr>
          <w:p w14:paraId="132F6452" w14:textId="77777777" w:rsidR="00B03A31" w:rsidRPr="008D66E9" w:rsidRDefault="00B03A31" w:rsidP="00B03A31">
            <w:pPr>
              <w:jc w:val="right"/>
              <w:rPr>
                <w:rFonts w:cstheme="minorHAnsi"/>
                <w:sz w:val="18"/>
                <w:szCs w:val="18"/>
              </w:rPr>
            </w:pPr>
            <w:r>
              <w:rPr>
                <w:rFonts w:cstheme="minorHAnsi"/>
                <w:sz w:val="18"/>
                <w:szCs w:val="18"/>
              </w:rPr>
              <w:t>412</w:t>
            </w:r>
          </w:p>
        </w:tc>
        <w:tc>
          <w:tcPr>
            <w:tcW w:w="1033" w:type="dxa"/>
            <w:noWrap/>
            <w:vAlign w:val="center"/>
            <w:hideMark/>
          </w:tcPr>
          <w:p w14:paraId="1C2847AD" w14:textId="77777777" w:rsidR="00B03A31" w:rsidRPr="008D66E9" w:rsidRDefault="00B03A31" w:rsidP="00B03A31">
            <w:pPr>
              <w:jc w:val="right"/>
              <w:rPr>
                <w:rFonts w:cstheme="minorHAnsi"/>
                <w:sz w:val="18"/>
                <w:szCs w:val="18"/>
              </w:rPr>
            </w:pPr>
            <w:r w:rsidRPr="008D66E9">
              <w:rPr>
                <w:rFonts w:cstheme="minorHAnsi"/>
                <w:sz w:val="18"/>
                <w:szCs w:val="18"/>
              </w:rPr>
              <w:t>151,48</w:t>
            </w:r>
            <w:r>
              <w:rPr>
                <w:rFonts w:cstheme="minorHAnsi"/>
                <w:sz w:val="18"/>
                <w:szCs w:val="18"/>
              </w:rPr>
              <w:t xml:space="preserve"> </w:t>
            </w:r>
            <w:r w:rsidRPr="008D66E9">
              <w:rPr>
                <w:rFonts w:cstheme="minorHAnsi"/>
                <w:sz w:val="18"/>
                <w:szCs w:val="18"/>
              </w:rPr>
              <w:t>%</w:t>
            </w:r>
          </w:p>
        </w:tc>
        <w:tc>
          <w:tcPr>
            <w:tcW w:w="1021" w:type="dxa"/>
            <w:vAlign w:val="center"/>
          </w:tcPr>
          <w:p w14:paraId="50527FEE" w14:textId="77777777" w:rsidR="00B03A31" w:rsidRPr="008D66E9" w:rsidRDefault="00B03A31" w:rsidP="00B03A31">
            <w:pPr>
              <w:jc w:val="right"/>
              <w:rPr>
                <w:rFonts w:cstheme="minorHAnsi"/>
                <w:sz w:val="18"/>
                <w:szCs w:val="18"/>
              </w:rPr>
            </w:pPr>
            <w:r>
              <w:rPr>
                <w:rFonts w:cstheme="minorHAnsi"/>
                <w:sz w:val="18"/>
                <w:szCs w:val="18"/>
              </w:rPr>
              <w:t>152,59 %</w:t>
            </w:r>
          </w:p>
        </w:tc>
      </w:tr>
    </w:tbl>
    <w:p w14:paraId="07B9D80C" w14:textId="77777777" w:rsidR="00944031" w:rsidRPr="00AA4021" w:rsidRDefault="00944031" w:rsidP="00944031">
      <w:pPr>
        <w:spacing w:after="0"/>
        <w:rPr>
          <w:rFonts w:ascii="Calibri" w:hAnsi="Calibri" w:cs="Calibri"/>
          <w:i/>
          <w:sz w:val="16"/>
          <w:szCs w:val="16"/>
        </w:rPr>
      </w:pPr>
      <w:r>
        <w:rPr>
          <w:rFonts w:ascii="Calibri" w:hAnsi="Calibri" w:cs="Calibri"/>
          <w:i/>
          <w:sz w:val="16"/>
          <w:szCs w:val="16"/>
        </w:rPr>
        <w:t>Zdroj: ŘO OP PIK.</w:t>
      </w:r>
    </w:p>
    <w:p w14:paraId="0C60B132" w14:textId="77777777" w:rsidR="00BD5E0B" w:rsidRPr="00B03A31" w:rsidRDefault="00BD5E0B" w:rsidP="00BD5E0B">
      <w:pPr>
        <w:spacing w:after="0"/>
      </w:pPr>
    </w:p>
    <w:p w14:paraId="2CA1093D" w14:textId="77777777" w:rsidR="00C91048" w:rsidRPr="001C50E7" w:rsidRDefault="00C91048" w:rsidP="00C91048">
      <w:pPr>
        <w:pStyle w:val="Nadpis3"/>
      </w:pPr>
      <w:bookmarkStart w:id="237" w:name="_Toc10729999"/>
      <w:r w:rsidRPr="001C50E7">
        <w:t>Účinnost (Efficiency)</w:t>
      </w:r>
      <w:bookmarkEnd w:id="225"/>
      <w:bookmarkEnd w:id="237"/>
    </w:p>
    <w:p w14:paraId="5573D51A" w14:textId="52EE8381" w:rsidR="008E5778" w:rsidRDefault="008E5778" w:rsidP="006D20A9">
      <w:pPr>
        <w:spacing w:after="0"/>
        <w:rPr>
          <w:rFonts w:ascii="Calibri" w:hAnsi="Calibri" w:cs="Calibri"/>
        </w:rPr>
      </w:pPr>
      <w:r>
        <w:rPr>
          <w:rFonts w:ascii="Calibri" w:hAnsi="Calibri" w:cs="Calibri"/>
        </w:rPr>
        <w:t>Účinností (efektivností) chápeme takové využití veřejných prostředků, kterým je dosaženo nejvyššího možného rozsahu, kvality a přínosu intervencí v porovnání s množstvím vynaložených prostředků.</w:t>
      </w:r>
    </w:p>
    <w:p w14:paraId="494C6736" w14:textId="52A60F10" w:rsidR="00BC0049" w:rsidRDefault="008E5778" w:rsidP="006D20A9">
      <w:pPr>
        <w:spacing w:after="0"/>
        <w:rPr>
          <w:rFonts w:ascii="Calibri" w:hAnsi="Calibri" w:cs="Calibri"/>
        </w:rPr>
      </w:pPr>
      <w:r>
        <w:rPr>
          <w:rFonts w:ascii="Calibri" w:hAnsi="Calibri" w:cs="Calibri"/>
        </w:rPr>
        <w:t xml:space="preserve">Prostřednictvím měření účinnosti tedy dochází k hodnocení vztahu mezi vstupy (vynaložené finanční prostředky) a výstupy (relevantní indikátory k danému SC). Předpokládaná účinnost vycházející z alokace na PP a cílových hodnot indikátorů je porovnávána se skutečnou účinností založenou na proplacených nákladech v žádostech o platbu a vykázaných hodnotách relevantních indikátorů. </w:t>
      </w:r>
    </w:p>
    <w:p w14:paraId="0007AF90" w14:textId="77777777" w:rsidR="008E5778" w:rsidRDefault="008E5778" w:rsidP="006D20A9">
      <w:pPr>
        <w:spacing w:after="0"/>
        <w:rPr>
          <w:rFonts w:ascii="Calibri" w:hAnsi="Calibri" w:cs="Calibri"/>
        </w:rPr>
      </w:pPr>
    </w:p>
    <w:p w14:paraId="39004C85" w14:textId="4884EDCA" w:rsidR="00340F0A" w:rsidRDefault="003A2FF7" w:rsidP="006D20A9">
      <w:pPr>
        <w:spacing w:after="0"/>
      </w:pPr>
      <w:r>
        <w:t>Hlavní překážkou při hodnocení naplňování principu účinnosti při realizaci SC 3.1</w:t>
      </w:r>
      <w:r w:rsidR="006D20A9">
        <w:t xml:space="preserve">, </w:t>
      </w:r>
      <w:r>
        <w:t>3.2</w:t>
      </w:r>
      <w:r w:rsidR="006D20A9">
        <w:t xml:space="preserve"> i 3.4</w:t>
      </w:r>
      <w:r>
        <w:t xml:space="preserve"> byl velmi omezený objem dat za podpořené projekty, a to z důvodu zpoždění při zahájení implementace</w:t>
      </w:r>
      <w:r w:rsidR="006D20A9">
        <w:t>; v</w:t>
      </w:r>
      <w:r>
        <w:t xml:space="preserve"> případě SC 3.1 hrála navíc roli velmi nízká absorpční kapacita. Tyto faktory významnou měrou ovlivnily dosažené hodnoty indikátorů. </w:t>
      </w:r>
    </w:p>
    <w:p w14:paraId="2EA33A79" w14:textId="77777777" w:rsidR="006D20A9" w:rsidRDefault="006D20A9" w:rsidP="006D20A9">
      <w:pPr>
        <w:spacing w:after="0"/>
      </w:pPr>
    </w:p>
    <w:p w14:paraId="13206933" w14:textId="4706F080" w:rsidR="00BC0049" w:rsidRDefault="00340F0A" w:rsidP="006D20A9">
      <w:pPr>
        <w:spacing w:after="0"/>
      </w:pPr>
      <w:r w:rsidRPr="003A2FF7">
        <w:t>Na základě dostupných dat o vstupech a výstupech a jejich struktuře a s přihlédnutím k omezen</w:t>
      </w:r>
      <w:r w:rsidR="003A2FF7" w:rsidRPr="003A2FF7">
        <w:t>í</w:t>
      </w:r>
      <w:r w:rsidRPr="003A2FF7">
        <w:t xml:space="preserve"> popsan</w:t>
      </w:r>
      <w:r w:rsidR="003A2FF7" w:rsidRPr="003A2FF7">
        <w:t xml:space="preserve">ému </w:t>
      </w:r>
      <w:r w:rsidRPr="003A2FF7">
        <w:t xml:space="preserve">výše, se hodnotitel pokusil definovat několik poměrových ukazatelů, pomocí kterých provedl (parciální) posouzení účinnosti intervencí SC </w:t>
      </w:r>
      <w:r w:rsidR="003A2FF7" w:rsidRPr="003A2FF7">
        <w:t>3</w:t>
      </w:r>
      <w:r w:rsidR="00CF0BD3">
        <w:t xml:space="preserve">.1, </w:t>
      </w:r>
      <w:r w:rsidR="003A2FF7" w:rsidRPr="003A2FF7">
        <w:t>3</w:t>
      </w:r>
      <w:r w:rsidR="003A2FF7">
        <w:t>.2</w:t>
      </w:r>
      <w:r w:rsidR="00CF0BD3">
        <w:t xml:space="preserve"> </w:t>
      </w:r>
      <w:r w:rsidR="00CF0BD3" w:rsidRPr="006D20A9">
        <w:t>a 3.4</w:t>
      </w:r>
      <w:r w:rsidR="003A2FF7" w:rsidRPr="006D20A9">
        <w:t>.</w:t>
      </w:r>
    </w:p>
    <w:p w14:paraId="70452F58" w14:textId="77777777" w:rsidR="006D20A9" w:rsidRPr="003A2FF7" w:rsidRDefault="006D20A9" w:rsidP="006D20A9">
      <w:pPr>
        <w:spacing w:after="0"/>
      </w:pPr>
    </w:p>
    <w:p w14:paraId="38EC33F0" w14:textId="66B3C78A" w:rsidR="00C91048" w:rsidRDefault="00C91048" w:rsidP="006D20A9">
      <w:pPr>
        <w:pStyle w:val="Nadpis4"/>
      </w:pPr>
      <w:r w:rsidRPr="001C50E7">
        <w:t xml:space="preserve">Specifický cíl </w:t>
      </w:r>
      <w:r w:rsidR="00BC0049">
        <w:t>3</w:t>
      </w:r>
      <w:r w:rsidRPr="001C50E7">
        <w:t>.1</w:t>
      </w:r>
    </w:p>
    <w:p w14:paraId="76D63801" w14:textId="2347BAE2" w:rsidR="003A2FF7" w:rsidRDefault="003A2FF7" w:rsidP="006D20A9">
      <w:pPr>
        <w:spacing w:after="0"/>
      </w:pPr>
      <w:r>
        <w:t>V případě SC 3.1 muselo být hodnocení účinnosti založena na obecných indikátorech:</w:t>
      </w:r>
    </w:p>
    <w:p w14:paraId="4273AC0A" w14:textId="77777777" w:rsidR="003A2FF7" w:rsidRPr="003A2FF7" w:rsidRDefault="003A2FF7" w:rsidP="006D20A9">
      <w:pPr>
        <w:pStyle w:val="Default"/>
        <w:numPr>
          <w:ilvl w:val="0"/>
          <w:numId w:val="18"/>
        </w:numPr>
        <w:spacing w:line="276" w:lineRule="auto"/>
        <w:ind w:left="714" w:hanging="357"/>
        <w:rPr>
          <w:sz w:val="22"/>
          <w:szCs w:val="22"/>
        </w:rPr>
      </w:pPr>
      <w:r w:rsidRPr="003A2FF7">
        <w:rPr>
          <w:sz w:val="22"/>
          <w:szCs w:val="22"/>
        </w:rPr>
        <w:t>10000 Počet podniků pobírajících podporu</w:t>
      </w:r>
    </w:p>
    <w:p w14:paraId="6A9BD086" w14:textId="77777777" w:rsidR="003A2FF7" w:rsidRPr="003A2FF7" w:rsidRDefault="003A2FF7" w:rsidP="006D20A9">
      <w:pPr>
        <w:pStyle w:val="Default"/>
        <w:numPr>
          <w:ilvl w:val="0"/>
          <w:numId w:val="18"/>
        </w:numPr>
        <w:spacing w:line="276" w:lineRule="auto"/>
        <w:ind w:left="714" w:hanging="357"/>
        <w:rPr>
          <w:sz w:val="22"/>
          <w:szCs w:val="22"/>
        </w:rPr>
      </w:pPr>
      <w:r w:rsidRPr="003A2FF7">
        <w:rPr>
          <w:sz w:val="22"/>
          <w:szCs w:val="22"/>
        </w:rPr>
        <w:t>10102 Počet podniků pobírajících granty</w:t>
      </w:r>
    </w:p>
    <w:p w14:paraId="769B9D29" w14:textId="77777777" w:rsidR="003A2FF7" w:rsidRPr="003A2FF7" w:rsidRDefault="003A2FF7" w:rsidP="006D20A9">
      <w:pPr>
        <w:pStyle w:val="Default"/>
        <w:numPr>
          <w:ilvl w:val="0"/>
          <w:numId w:val="18"/>
        </w:numPr>
        <w:spacing w:line="276" w:lineRule="auto"/>
        <w:ind w:left="714" w:hanging="357"/>
        <w:rPr>
          <w:sz w:val="22"/>
          <w:szCs w:val="22"/>
        </w:rPr>
      </w:pPr>
      <w:r w:rsidRPr="003A2FF7">
        <w:rPr>
          <w:sz w:val="22"/>
          <w:szCs w:val="22"/>
        </w:rPr>
        <w:t>10300 Soukromé investice odpovídající veřejné podpoře podniků (granty)</w:t>
      </w:r>
    </w:p>
    <w:p w14:paraId="28BBA9F4" w14:textId="77777777" w:rsidR="003A2FF7" w:rsidRDefault="003A2FF7" w:rsidP="006D20A9">
      <w:pPr>
        <w:spacing w:after="0"/>
      </w:pPr>
    </w:p>
    <w:p w14:paraId="31826FED" w14:textId="1B9C452F" w:rsidR="003A2FF7" w:rsidRDefault="00FF596B" w:rsidP="006D20A9">
      <w:pPr>
        <w:spacing w:after="0"/>
        <w:rPr>
          <w:rFonts w:ascii="Calibri" w:hAnsi="Calibri" w:cs="Calibri"/>
        </w:rPr>
      </w:pPr>
      <w:r>
        <w:t xml:space="preserve">Ostatní výstupové indikátory nebylo možné použít, neboť nefigurovaly ve všech podporovaných aktivitách, což by způsobilo výrazné zkreslení dat. </w:t>
      </w:r>
      <w:r w:rsidR="003A2FF7">
        <w:rPr>
          <w:rFonts w:ascii="Calibri" w:hAnsi="Calibri" w:cs="Calibri"/>
        </w:rPr>
        <w:t xml:space="preserve">Hodnocení účinnosti SC </w:t>
      </w:r>
      <w:r>
        <w:rPr>
          <w:rFonts w:ascii="Calibri" w:hAnsi="Calibri" w:cs="Calibri"/>
        </w:rPr>
        <w:t>3.1</w:t>
      </w:r>
      <w:r w:rsidR="003A2FF7">
        <w:rPr>
          <w:rFonts w:ascii="Calibri" w:hAnsi="Calibri" w:cs="Calibri"/>
        </w:rPr>
        <w:t xml:space="preserve"> tak bylo založeno primárně na srovnání finančního a věcného pokroku, tj. poměr proplacených prostředků vůči celkové indikativní alokaci vs. míra plnění cílových hodnot indikátorů. </w:t>
      </w:r>
    </w:p>
    <w:p w14:paraId="5516D4F2" w14:textId="77777777" w:rsidR="006D20A9" w:rsidRPr="001C50E7" w:rsidRDefault="006D20A9" w:rsidP="006D20A9">
      <w:pPr>
        <w:spacing w:after="0"/>
        <w:rPr>
          <w:rFonts w:ascii="Calibri" w:hAnsi="Calibri" w:cs="Calibri"/>
        </w:rPr>
      </w:pPr>
    </w:p>
    <w:p w14:paraId="41DC0A42" w14:textId="6C72FFF3" w:rsidR="003A2FF7" w:rsidRDefault="00FF596B" w:rsidP="006D20A9">
      <w:pPr>
        <w:spacing w:after="0"/>
        <w:rPr>
          <w:rFonts w:ascii="Calibri" w:hAnsi="Calibri" w:cs="Calibri"/>
        </w:rPr>
      </w:pPr>
      <w:r>
        <w:t xml:space="preserve">Z údajů uvedených v tabulce níže je vidět vyrovnaný poměr mezi </w:t>
      </w:r>
      <w:r w:rsidRPr="001C50E7">
        <w:rPr>
          <w:rFonts w:ascii="Calibri" w:hAnsi="Calibri" w:cs="Calibri"/>
        </w:rPr>
        <w:t>čerpání</w:t>
      </w:r>
      <w:r>
        <w:rPr>
          <w:rFonts w:ascii="Calibri" w:hAnsi="Calibri" w:cs="Calibri"/>
        </w:rPr>
        <w:t>m</w:t>
      </w:r>
      <w:r w:rsidRPr="001C50E7">
        <w:rPr>
          <w:rFonts w:ascii="Calibri" w:hAnsi="Calibri" w:cs="Calibri"/>
        </w:rPr>
        <w:t xml:space="preserve"> indikativní alokace v podobě </w:t>
      </w:r>
      <w:r w:rsidRPr="00FF596B">
        <w:rPr>
          <w:rFonts w:ascii="Calibri" w:hAnsi="Calibri" w:cs="Calibri"/>
        </w:rPr>
        <w:t xml:space="preserve">proplacených ŽoPl a plněním cílových hodnot vybraných ukazatelů. Z tohoto stavu lze tedy usuzovat, že </w:t>
      </w:r>
      <w:r w:rsidRPr="000052B7">
        <w:rPr>
          <w:rFonts w:ascii="Calibri" w:hAnsi="Calibri" w:cs="Calibri"/>
          <w:b/>
        </w:rPr>
        <w:lastRenderedPageBreak/>
        <w:t xml:space="preserve">je reálné, aby dané vstupy, tj. objem finančních zdrojů pro SC 3.1 </w:t>
      </w:r>
      <w:r w:rsidR="00A44254" w:rsidRPr="000052B7">
        <w:rPr>
          <w:rFonts w:ascii="Calibri" w:hAnsi="Calibri" w:cs="Calibri"/>
          <w:b/>
        </w:rPr>
        <w:t>umožnil dosáhnout očekávaných indikátorů</w:t>
      </w:r>
      <w:r w:rsidR="00A44254">
        <w:rPr>
          <w:rFonts w:ascii="Calibri" w:hAnsi="Calibri" w:cs="Calibri"/>
        </w:rPr>
        <w:t xml:space="preserve">. </w:t>
      </w:r>
    </w:p>
    <w:p w14:paraId="12D20E62" w14:textId="77777777" w:rsidR="006D20A9" w:rsidRDefault="006D20A9" w:rsidP="006D20A9">
      <w:pPr>
        <w:spacing w:after="0"/>
        <w:rPr>
          <w:rFonts w:ascii="Calibri" w:hAnsi="Calibri" w:cs="Calibri"/>
        </w:rPr>
      </w:pPr>
    </w:p>
    <w:p w14:paraId="29E67BEB" w14:textId="09558768" w:rsidR="008A4986" w:rsidRPr="008A4986" w:rsidRDefault="00BC0049" w:rsidP="008A4986">
      <w:pPr>
        <w:pStyle w:val="Titulek"/>
      </w:pPr>
      <w:bookmarkStart w:id="238" w:name="_Toc10730040"/>
      <w:r>
        <w:t xml:space="preserve">Tabulka </w:t>
      </w:r>
      <w:r>
        <w:rPr>
          <w:noProof/>
        </w:rPr>
        <w:fldChar w:fldCharType="begin"/>
      </w:r>
      <w:r>
        <w:rPr>
          <w:noProof/>
        </w:rPr>
        <w:instrText xml:space="preserve"> SEQ Tabulka \* ARABIC </w:instrText>
      </w:r>
      <w:r>
        <w:rPr>
          <w:noProof/>
        </w:rPr>
        <w:fldChar w:fldCharType="separate"/>
      </w:r>
      <w:r w:rsidR="00E12F39">
        <w:rPr>
          <w:noProof/>
        </w:rPr>
        <w:t>21</w:t>
      </w:r>
      <w:r>
        <w:rPr>
          <w:noProof/>
        </w:rPr>
        <w:fldChar w:fldCharType="end"/>
      </w:r>
      <w:r>
        <w:t xml:space="preserve">: Ukazatele účinnosti PP </w:t>
      </w:r>
      <w:r w:rsidR="00340F0A">
        <w:t>Obnovitelné zdroje energie</w:t>
      </w:r>
      <w:bookmarkEnd w:id="238"/>
    </w:p>
    <w:tbl>
      <w:tblPr>
        <w:tblStyle w:val="Svtlmkatabulky1"/>
        <w:tblW w:w="5000" w:type="pct"/>
        <w:tblLook w:val="04A0" w:firstRow="1" w:lastRow="0" w:firstColumn="1" w:lastColumn="0" w:noHBand="0" w:noVBand="1"/>
      </w:tblPr>
      <w:tblGrid>
        <w:gridCol w:w="2391"/>
        <w:gridCol w:w="1425"/>
        <w:gridCol w:w="2424"/>
        <w:gridCol w:w="1984"/>
        <w:gridCol w:w="1092"/>
      </w:tblGrid>
      <w:tr w:rsidR="00BB00E7" w:rsidRPr="00A041C7" w14:paraId="0CA15D81" w14:textId="77777777" w:rsidTr="008A4986">
        <w:trPr>
          <w:tblHeader/>
        </w:trPr>
        <w:tc>
          <w:tcPr>
            <w:tcW w:w="2048" w:type="pct"/>
            <w:gridSpan w:val="2"/>
            <w:shd w:val="clear" w:color="auto" w:fill="002060"/>
          </w:tcPr>
          <w:p w14:paraId="01C69F73" w14:textId="77777777" w:rsidR="00BC0049" w:rsidRPr="00A041C7" w:rsidRDefault="00BC0049" w:rsidP="0096010A">
            <w:pPr>
              <w:jc w:val="center"/>
              <w:rPr>
                <w:rFonts w:ascii="Calibri" w:hAnsi="Calibri" w:cs="Calibri"/>
                <w:b/>
                <w:color w:val="FFFFFF" w:themeColor="background1"/>
                <w:sz w:val="18"/>
                <w:szCs w:val="18"/>
              </w:rPr>
            </w:pPr>
            <w:r w:rsidRPr="00A041C7">
              <w:rPr>
                <w:rFonts w:ascii="Calibri" w:hAnsi="Calibri" w:cs="Calibri"/>
                <w:b/>
                <w:color w:val="FFFFFF" w:themeColor="background1"/>
                <w:sz w:val="18"/>
                <w:szCs w:val="18"/>
              </w:rPr>
              <w:t>Cílový stav (2023)</w:t>
            </w:r>
          </w:p>
        </w:tc>
        <w:tc>
          <w:tcPr>
            <w:tcW w:w="2952" w:type="pct"/>
            <w:gridSpan w:val="3"/>
            <w:shd w:val="clear" w:color="auto" w:fill="002060"/>
          </w:tcPr>
          <w:p w14:paraId="3BDF9D46" w14:textId="64AF5CEA" w:rsidR="00BC0049" w:rsidRPr="00A041C7" w:rsidRDefault="00BC0049" w:rsidP="00D22552">
            <w:pPr>
              <w:jc w:val="center"/>
              <w:rPr>
                <w:rFonts w:ascii="Calibri" w:hAnsi="Calibri" w:cs="Calibri"/>
                <w:b/>
                <w:color w:val="FFFFFF" w:themeColor="background1"/>
                <w:sz w:val="18"/>
                <w:szCs w:val="18"/>
              </w:rPr>
            </w:pPr>
            <w:r w:rsidRPr="00A041C7">
              <w:rPr>
                <w:rFonts w:ascii="Calibri" w:hAnsi="Calibri" w:cs="Calibri"/>
                <w:b/>
                <w:color w:val="FFFFFF" w:themeColor="background1"/>
                <w:sz w:val="18"/>
                <w:szCs w:val="18"/>
              </w:rPr>
              <w:t>Dosažený stav (3</w:t>
            </w:r>
            <w:r w:rsidR="00D22552" w:rsidRPr="00A041C7">
              <w:rPr>
                <w:rFonts w:ascii="Calibri" w:hAnsi="Calibri" w:cs="Calibri"/>
                <w:b/>
                <w:color w:val="FFFFFF" w:themeColor="background1"/>
                <w:sz w:val="18"/>
                <w:szCs w:val="18"/>
              </w:rPr>
              <w:t>1</w:t>
            </w:r>
            <w:r w:rsidRPr="00A041C7">
              <w:rPr>
                <w:rFonts w:ascii="Calibri" w:hAnsi="Calibri" w:cs="Calibri"/>
                <w:b/>
                <w:color w:val="FFFFFF" w:themeColor="background1"/>
                <w:sz w:val="18"/>
                <w:szCs w:val="18"/>
              </w:rPr>
              <w:t xml:space="preserve">. </w:t>
            </w:r>
            <w:r w:rsidR="00D22552" w:rsidRPr="00A041C7">
              <w:rPr>
                <w:rFonts w:ascii="Calibri" w:hAnsi="Calibri" w:cs="Calibri"/>
                <w:b/>
                <w:color w:val="FFFFFF" w:themeColor="background1"/>
                <w:sz w:val="18"/>
                <w:szCs w:val="18"/>
              </w:rPr>
              <w:t>12</w:t>
            </w:r>
            <w:r w:rsidRPr="00A041C7">
              <w:rPr>
                <w:rFonts w:ascii="Calibri" w:hAnsi="Calibri" w:cs="Calibri"/>
                <w:b/>
                <w:color w:val="FFFFFF" w:themeColor="background1"/>
                <w:sz w:val="18"/>
                <w:szCs w:val="18"/>
              </w:rPr>
              <w:t>. 2018)</w:t>
            </w:r>
          </w:p>
        </w:tc>
      </w:tr>
      <w:tr w:rsidR="00BB00E7" w:rsidRPr="00A041C7" w14:paraId="0E490C8C" w14:textId="77777777" w:rsidTr="008E5778">
        <w:tc>
          <w:tcPr>
            <w:tcW w:w="1283" w:type="pct"/>
            <w:vMerge w:val="restart"/>
          </w:tcPr>
          <w:p w14:paraId="258CC487" w14:textId="1B9A525F" w:rsidR="00BC0049" w:rsidRPr="00A041C7" w:rsidRDefault="00BC0049" w:rsidP="00D22552">
            <w:pPr>
              <w:rPr>
                <w:rFonts w:ascii="Calibri" w:hAnsi="Calibri" w:cs="Calibri"/>
                <w:sz w:val="18"/>
                <w:szCs w:val="18"/>
              </w:rPr>
            </w:pPr>
            <w:r w:rsidRPr="00A041C7">
              <w:rPr>
                <w:rFonts w:ascii="Calibri" w:hAnsi="Calibri" w:cs="Calibri"/>
                <w:sz w:val="18"/>
                <w:szCs w:val="18"/>
              </w:rPr>
              <w:t xml:space="preserve">Indikativní alokace PP </w:t>
            </w:r>
            <w:r w:rsidR="00D22552" w:rsidRPr="00A041C7">
              <w:rPr>
                <w:rFonts w:ascii="Calibri" w:hAnsi="Calibri" w:cs="Calibri"/>
                <w:sz w:val="18"/>
                <w:szCs w:val="18"/>
              </w:rPr>
              <w:t>OZE</w:t>
            </w:r>
            <w:r w:rsidRPr="00A041C7">
              <w:rPr>
                <w:rFonts w:ascii="Calibri" w:hAnsi="Calibri" w:cs="Calibri"/>
                <w:sz w:val="18"/>
                <w:szCs w:val="18"/>
              </w:rPr>
              <w:t xml:space="preserve"> (CZK)</w:t>
            </w:r>
          </w:p>
        </w:tc>
        <w:tc>
          <w:tcPr>
            <w:tcW w:w="765" w:type="pct"/>
            <w:vMerge w:val="restart"/>
          </w:tcPr>
          <w:p w14:paraId="245C3E65" w14:textId="5BFDA2C3" w:rsidR="00D22552" w:rsidRPr="00A041C7" w:rsidRDefault="00D22552" w:rsidP="00D22552">
            <w:pPr>
              <w:jc w:val="right"/>
              <w:rPr>
                <w:rFonts w:ascii="Calibri" w:hAnsi="Calibri" w:cs="Calibri"/>
                <w:sz w:val="18"/>
                <w:szCs w:val="18"/>
              </w:rPr>
            </w:pPr>
            <w:r w:rsidRPr="00A041C7">
              <w:rPr>
                <w:rFonts w:ascii="Calibri" w:hAnsi="Calibri" w:cs="Calibri"/>
                <w:sz w:val="18"/>
                <w:szCs w:val="18"/>
              </w:rPr>
              <w:t>1 252 188 160</w:t>
            </w:r>
          </w:p>
        </w:tc>
        <w:tc>
          <w:tcPr>
            <w:tcW w:w="1301" w:type="pct"/>
            <w:vMerge w:val="restart"/>
          </w:tcPr>
          <w:p w14:paraId="01D269E2" w14:textId="77777777" w:rsidR="00BC0049" w:rsidRPr="00A041C7" w:rsidRDefault="00BC0049" w:rsidP="0096010A">
            <w:pPr>
              <w:rPr>
                <w:rFonts w:ascii="Calibri" w:hAnsi="Calibri" w:cs="Calibri"/>
                <w:sz w:val="18"/>
                <w:szCs w:val="18"/>
              </w:rPr>
            </w:pPr>
            <w:r w:rsidRPr="00A041C7">
              <w:rPr>
                <w:rFonts w:ascii="Calibri" w:hAnsi="Calibri" w:cs="Calibri"/>
                <w:sz w:val="18"/>
                <w:szCs w:val="18"/>
              </w:rPr>
              <w:t>Proplacené Žádosti o platbu (CZK)</w:t>
            </w:r>
          </w:p>
        </w:tc>
        <w:tc>
          <w:tcPr>
            <w:tcW w:w="1065" w:type="pct"/>
          </w:tcPr>
          <w:p w14:paraId="0034B7A1" w14:textId="77777777" w:rsidR="00BC0049" w:rsidRPr="00A041C7" w:rsidRDefault="00BC0049" w:rsidP="0096010A">
            <w:pPr>
              <w:rPr>
                <w:rFonts w:ascii="Calibri" w:hAnsi="Calibri" w:cs="Calibri"/>
                <w:sz w:val="18"/>
                <w:szCs w:val="18"/>
              </w:rPr>
            </w:pPr>
            <w:r w:rsidRPr="00A041C7">
              <w:rPr>
                <w:rFonts w:ascii="Calibri" w:hAnsi="Calibri" w:cs="Calibri"/>
                <w:sz w:val="18"/>
                <w:szCs w:val="18"/>
              </w:rPr>
              <w:t>absol. (CZK)</w:t>
            </w:r>
          </w:p>
        </w:tc>
        <w:tc>
          <w:tcPr>
            <w:tcW w:w="586" w:type="pct"/>
          </w:tcPr>
          <w:p w14:paraId="01755BA2" w14:textId="5426C76A" w:rsidR="00BC0049" w:rsidRPr="00A041C7" w:rsidRDefault="00E12F39" w:rsidP="0096010A">
            <w:pPr>
              <w:jc w:val="right"/>
              <w:rPr>
                <w:rFonts w:ascii="Calibri" w:hAnsi="Calibri" w:cs="Calibri"/>
                <w:sz w:val="18"/>
                <w:szCs w:val="18"/>
              </w:rPr>
            </w:pPr>
            <w:bdo w:val="ltr">
              <w:r w:rsidR="009137C7" w:rsidRPr="00A041C7">
                <w:rPr>
                  <w:rFonts w:ascii="Calibri" w:hAnsi="Calibri" w:cs="Calibri"/>
                  <w:sz w:val="18"/>
                  <w:szCs w:val="18"/>
                </w:rPr>
                <w:t>35 594 194</w:t>
              </w:r>
              <w:r w:rsidR="009137C7" w:rsidRPr="00A041C7">
                <w:rPr>
                  <w:rFonts w:ascii="Calibri" w:hAnsi="Calibri" w:cs="Calibri"/>
                  <w:sz w:val="18"/>
                  <w:szCs w:val="18"/>
                </w:rPr>
                <w:t>‬</w:t>
              </w:r>
              <w:r w:rsidR="00DB03CC" w:rsidRPr="00A041C7">
                <w:rPr>
                  <w:sz w:val="18"/>
                  <w:szCs w:val="18"/>
                </w:rPr>
                <w:t>‬</w:t>
              </w:r>
              <w:r w:rsidR="00B93B0F" w:rsidRPr="00A041C7">
                <w:rPr>
                  <w:sz w:val="18"/>
                  <w:szCs w:val="18"/>
                </w:rPr>
                <w:t>‬</w:t>
              </w:r>
              <w:r w:rsidR="004164FB" w:rsidRPr="00A041C7">
                <w:rPr>
                  <w:sz w:val="18"/>
                  <w:szCs w:val="18"/>
                </w:rPr>
                <w:t>‬</w:t>
              </w:r>
              <w:r w:rsidR="00B359F6" w:rsidRPr="00A041C7">
                <w:rPr>
                  <w:sz w:val="18"/>
                  <w:szCs w:val="18"/>
                </w:rPr>
                <w:t>‬</w:t>
              </w:r>
              <w:r w:rsidR="00890A57" w:rsidRPr="00A041C7">
                <w:rPr>
                  <w:sz w:val="18"/>
                  <w:szCs w:val="18"/>
                </w:rPr>
                <w:t>‬</w:t>
              </w:r>
              <w:r w:rsidR="00B10706" w:rsidRPr="00A041C7">
                <w:rPr>
                  <w:sz w:val="18"/>
                  <w:szCs w:val="18"/>
                </w:rPr>
                <w:t>‬</w:t>
              </w:r>
              <w:r w:rsidR="00055FAE" w:rsidRPr="00A041C7">
                <w:rPr>
                  <w:sz w:val="18"/>
                  <w:szCs w:val="18"/>
                </w:rPr>
                <w:t>‬</w:t>
              </w:r>
              <w:r w:rsidR="00EB590D" w:rsidRPr="00A041C7">
                <w:rPr>
                  <w:sz w:val="18"/>
                  <w:szCs w:val="18"/>
                </w:rPr>
                <w:t>‬</w:t>
              </w:r>
              <w:r w:rsidR="001B6268" w:rsidRPr="00A041C7">
                <w:rPr>
                  <w:sz w:val="18"/>
                  <w:szCs w:val="18"/>
                </w:rPr>
                <w:t>‬</w:t>
              </w:r>
              <w:r w:rsidR="003B137A">
                <w:t>‬</w:t>
              </w:r>
              <w:r w:rsidR="0070612A">
                <w:t>‬</w:t>
              </w:r>
              <w:r w:rsidR="00B94E23">
                <w:t>‬</w:t>
              </w:r>
              <w:r w:rsidR="00B13CCD">
                <w:t>‬</w:t>
              </w:r>
              <w:r w:rsidR="009B65FC">
                <w:t>‬</w:t>
              </w:r>
              <w:r w:rsidR="00227988">
                <w:t>‬</w:t>
              </w:r>
              <w:r w:rsidR="003D7715">
                <w:t>‬</w:t>
              </w:r>
              <w:r w:rsidR="005A2B16">
                <w:t>‬</w:t>
              </w:r>
              <w:r w:rsidR="00B43881">
                <w:t>‬</w:t>
              </w:r>
              <w:r w:rsidR="00355468">
                <w:t>‬</w:t>
              </w:r>
              <w:r w:rsidR="00BD754F">
                <w:t>‬</w:t>
              </w:r>
              <w:r w:rsidR="00194FF4">
                <w:t>‬</w:t>
              </w:r>
              <w:r w:rsidR="00F25461">
                <w:t>‬</w:t>
              </w:r>
              <w:r w:rsidR="00F13E22">
                <w:t>‬</w:t>
              </w:r>
              <w:r w:rsidR="00AA1B14">
                <w:t>‬</w:t>
              </w:r>
              <w:r w:rsidR="00C4183A">
                <w:t>‬</w:t>
              </w:r>
              <w:r w:rsidR="00B64206">
                <w:t>‬</w:t>
              </w:r>
              <w:r w:rsidR="008F0EDF">
                <w:t>‬</w:t>
              </w:r>
              <w:r w:rsidR="00101AEB">
                <w:t>‬</w:t>
              </w:r>
              <w:r>
                <w:t>‬</w:t>
              </w:r>
            </w:bdo>
          </w:p>
        </w:tc>
      </w:tr>
      <w:tr w:rsidR="00BB00E7" w:rsidRPr="00A041C7" w14:paraId="63B9356C" w14:textId="77777777" w:rsidTr="008E5778">
        <w:tc>
          <w:tcPr>
            <w:tcW w:w="1283" w:type="pct"/>
            <w:vMerge/>
          </w:tcPr>
          <w:p w14:paraId="23731104" w14:textId="77777777" w:rsidR="00BC0049" w:rsidRPr="00A041C7" w:rsidRDefault="00BC0049" w:rsidP="0096010A">
            <w:pPr>
              <w:rPr>
                <w:rFonts w:ascii="Calibri" w:hAnsi="Calibri" w:cs="Calibri"/>
                <w:sz w:val="18"/>
                <w:szCs w:val="18"/>
              </w:rPr>
            </w:pPr>
          </w:p>
        </w:tc>
        <w:tc>
          <w:tcPr>
            <w:tcW w:w="765" w:type="pct"/>
            <w:vMerge/>
          </w:tcPr>
          <w:p w14:paraId="10607BE6" w14:textId="77777777" w:rsidR="00BC0049" w:rsidRPr="00A041C7" w:rsidRDefault="00BC0049" w:rsidP="0096010A">
            <w:pPr>
              <w:jc w:val="right"/>
              <w:rPr>
                <w:rFonts w:ascii="Calibri" w:hAnsi="Calibri" w:cs="Calibri"/>
                <w:sz w:val="18"/>
                <w:szCs w:val="18"/>
              </w:rPr>
            </w:pPr>
          </w:p>
        </w:tc>
        <w:tc>
          <w:tcPr>
            <w:tcW w:w="1301" w:type="pct"/>
            <w:vMerge/>
          </w:tcPr>
          <w:p w14:paraId="607DE5C1" w14:textId="77777777" w:rsidR="00BC0049" w:rsidRPr="00A041C7" w:rsidRDefault="00BC0049" w:rsidP="0096010A">
            <w:pPr>
              <w:rPr>
                <w:rFonts w:ascii="Calibri" w:hAnsi="Calibri" w:cs="Calibri"/>
                <w:sz w:val="18"/>
                <w:szCs w:val="18"/>
              </w:rPr>
            </w:pPr>
          </w:p>
        </w:tc>
        <w:tc>
          <w:tcPr>
            <w:tcW w:w="1065" w:type="pct"/>
          </w:tcPr>
          <w:p w14:paraId="58E41256" w14:textId="77777777" w:rsidR="00BC0049" w:rsidRPr="00A041C7" w:rsidRDefault="00BC0049" w:rsidP="0096010A">
            <w:pPr>
              <w:rPr>
                <w:rFonts w:ascii="Calibri" w:hAnsi="Calibri" w:cs="Calibri"/>
                <w:sz w:val="18"/>
                <w:szCs w:val="18"/>
              </w:rPr>
            </w:pPr>
            <w:r w:rsidRPr="00A041C7">
              <w:rPr>
                <w:rFonts w:ascii="Calibri" w:hAnsi="Calibri" w:cs="Calibri"/>
                <w:sz w:val="18"/>
                <w:szCs w:val="18"/>
              </w:rPr>
              <w:t>jako % cílového stavu</w:t>
            </w:r>
          </w:p>
        </w:tc>
        <w:tc>
          <w:tcPr>
            <w:tcW w:w="586" w:type="pct"/>
          </w:tcPr>
          <w:p w14:paraId="40A06115" w14:textId="6EBD1F19" w:rsidR="00BC0049" w:rsidRPr="00A041C7" w:rsidRDefault="009137C7" w:rsidP="0096010A">
            <w:pPr>
              <w:jc w:val="right"/>
              <w:rPr>
                <w:rFonts w:ascii="Calibri" w:hAnsi="Calibri" w:cs="Calibri"/>
                <w:sz w:val="18"/>
                <w:szCs w:val="18"/>
              </w:rPr>
            </w:pPr>
            <w:r w:rsidRPr="00A041C7">
              <w:rPr>
                <w:rFonts w:ascii="Calibri" w:hAnsi="Calibri" w:cs="Calibri"/>
                <w:sz w:val="18"/>
                <w:szCs w:val="18"/>
              </w:rPr>
              <w:t xml:space="preserve">2,84 </w:t>
            </w:r>
            <w:r w:rsidR="00BC0049" w:rsidRPr="00A041C7">
              <w:rPr>
                <w:rFonts w:ascii="Calibri" w:hAnsi="Calibri" w:cs="Calibri"/>
                <w:sz w:val="18"/>
                <w:szCs w:val="18"/>
              </w:rPr>
              <w:t>%</w:t>
            </w:r>
          </w:p>
        </w:tc>
      </w:tr>
      <w:tr w:rsidR="008A4986" w:rsidRPr="00A041C7" w14:paraId="42C4E172" w14:textId="77777777" w:rsidTr="008E5778">
        <w:tc>
          <w:tcPr>
            <w:tcW w:w="1283" w:type="pct"/>
            <w:vMerge w:val="restart"/>
          </w:tcPr>
          <w:p w14:paraId="5343656C" w14:textId="2E4A9049" w:rsidR="008A4986" w:rsidRPr="00A041C7" w:rsidRDefault="008A4986" w:rsidP="0096010A">
            <w:pPr>
              <w:rPr>
                <w:rFonts w:ascii="Calibri" w:hAnsi="Calibri" w:cs="Calibri"/>
                <w:sz w:val="18"/>
                <w:szCs w:val="18"/>
              </w:rPr>
            </w:pPr>
            <w:r w:rsidRPr="00A041C7">
              <w:rPr>
                <w:rFonts w:ascii="Calibri" w:hAnsi="Calibri" w:cs="Calibri"/>
                <w:sz w:val="18"/>
                <w:szCs w:val="18"/>
              </w:rPr>
              <w:t>Počet podniků pobírajících podporu</w:t>
            </w:r>
          </w:p>
        </w:tc>
        <w:tc>
          <w:tcPr>
            <w:tcW w:w="765" w:type="pct"/>
            <w:vMerge w:val="restart"/>
          </w:tcPr>
          <w:p w14:paraId="5B96BD5E" w14:textId="4F70AEC6" w:rsidR="008A4986" w:rsidRPr="00A041C7" w:rsidRDefault="008A4986" w:rsidP="0096010A">
            <w:pPr>
              <w:jc w:val="right"/>
              <w:rPr>
                <w:rFonts w:ascii="Calibri" w:hAnsi="Calibri" w:cs="Calibri"/>
                <w:sz w:val="18"/>
                <w:szCs w:val="18"/>
              </w:rPr>
            </w:pPr>
            <w:r w:rsidRPr="00A041C7">
              <w:rPr>
                <w:rFonts w:ascii="Calibri" w:hAnsi="Calibri" w:cs="Calibri"/>
                <w:sz w:val="18"/>
                <w:szCs w:val="18"/>
              </w:rPr>
              <w:t>170</w:t>
            </w:r>
          </w:p>
        </w:tc>
        <w:tc>
          <w:tcPr>
            <w:tcW w:w="1301" w:type="pct"/>
            <w:vMerge w:val="restart"/>
          </w:tcPr>
          <w:p w14:paraId="40EBB6E2" w14:textId="2D826CA2" w:rsidR="008A4986" w:rsidRPr="00A041C7" w:rsidRDefault="008A4986" w:rsidP="0096010A">
            <w:pPr>
              <w:rPr>
                <w:rFonts w:ascii="Calibri" w:hAnsi="Calibri" w:cs="Calibri"/>
                <w:sz w:val="18"/>
                <w:szCs w:val="18"/>
              </w:rPr>
            </w:pPr>
            <w:r w:rsidRPr="00A041C7">
              <w:rPr>
                <w:rFonts w:ascii="Calibri" w:hAnsi="Calibri" w:cs="Calibri"/>
                <w:sz w:val="18"/>
                <w:szCs w:val="18"/>
              </w:rPr>
              <w:t>Počet podniků pobírajících podporu</w:t>
            </w:r>
          </w:p>
        </w:tc>
        <w:tc>
          <w:tcPr>
            <w:tcW w:w="1065" w:type="pct"/>
          </w:tcPr>
          <w:p w14:paraId="2DD3DFFB" w14:textId="11E8D699" w:rsidR="008A4986" w:rsidRPr="00A041C7" w:rsidRDefault="008A4986" w:rsidP="0096010A">
            <w:pPr>
              <w:rPr>
                <w:rFonts w:ascii="Calibri" w:hAnsi="Calibri" w:cs="Calibri"/>
                <w:sz w:val="18"/>
                <w:szCs w:val="18"/>
              </w:rPr>
            </w:pPr>
            <w:r w:rsidRPr="00A041C7">
              <w:rPr>
                <w:rFonts w:ascii="Calibri" w:hAnsi="Calibri" w:cs="Calibri"/>
                <w:sz w:val="18"/>
                <w:szCs w:val="18"/>
              </w:rPr>
              <w:t xml:space="preserve">absol. </w:t>
            </w:r>
          </w:p>
        </w:tc>
        <w:tc>
          <w:tcPr>
            <w:tcW w:w="586" w:type="pct"/>
          </w:tcPr>
          <w:p w14:paraId="34447EE5" w14:textId="635535DB" w:rsidR="008A4986" w:rsidRPr="00A041C7" w:rsidRDefault="008A4986" w:rsidP="0096010A">
            <w:pPr>
              <w:jc w:val="right"/>
              <w:rPr>
                <w:rFonts w:ascii="Calibri" w:hAnsi="Calibri" w:cs="Calibri"/>
                <w:sz w:val="18"/>
                <w:szCs w:val="18"/>
              </w:rPr>
            </w:pPr>
            <w:r w:rsidRPr="00A041C7">
              <w:rPr>
                <w:rFonts w:ascii="Calibri" w:hAnsi="Calibri" w:cs="Calibri"/>
                <w:sz w:val="18"/>
                <w:szCs w:val="18"/>
              </w:rPr>
              <w:t>5</w:t>
            </w:r>
          </w:p>
        </w:tc>
      </w:tr>
      <w:tr w:rsidR="008A4986" w:rsidRPr="00A041C7" w14:paraId="4D30F1E6" w14:textId="77777777" w:rsidTr="008E5778">
        <w:tc>
          <w:tcPr>
            <w:tcW w:w="1283" w:type="pct"/>
            <w:vMerge/>
          </w:tcPr>
          <w:p w14:paraId="1609AC7B" w14:textId="77777777" w:rsidR="008A4986" w:rsidRPr="00A041C7" w:rsidRDefault="008A4986" w:rsidP="0096010A">
            <w:pPr>
              <w:rPr>
                <w:rFonts w:ascii="Calibri" w:hAnsi="Calibri" w:cs="Calibri"/>
                <w:sz w:val="18"/>
                <w:szCs w:val="18"/>
              </w:rPr>
            </w:pPr>
          </w:p>
        </w:tc>
        <w:tc>
          <w:tcPr>
            <w:tcW w:w="765" w:type="pct"/>
            <w:vMerge/>
          </w:tcPr>
          <w:p w14:paraId="0C2AAAE7" w14:textId="77777777" w:rsidR="008A4986" w:rsidRPr="00A041C7" w:rsidRDefault="008A4986" w:rsidP="0096010A">
            <w:pPr>
              <w:jc w:val="right"/>
              <w:rPr>
                <w:rFonts w:ascii="Calibri" w:hAnsi="Calibri" w:cs="Calibri"/>
                <w:sz w:val="18"/>
                <w:szCs w:val="18"/>
              </w:rPr>
            </w:pPr>
          </w:p>
        </w:tc>
        <w:tc>
          <w:tcPr>
            <w:tcW w:w="1301" w:type="pct"/>
            <w:vMerge/>
          </w:tcPr>
          <w:p w14:paraId="5BEB0694" w14:textId="77777777" w:rsidR="008A4986" w:rsidRPr="00A041C7" w:rsidRDefault="008A4986" w:rsidP="0096010A">
            <w:pPr>
              <w:rPr>
                <w:rFonts w:ascii="Calibri" w:hAnsi="Calibri" w:cs="Calibri"/>
                <w:sz w:val="18"/>
                <w:szCs w:val="18"/>
              </w:rPr>
            </w:pPr>
          </w:p>
        </w:tc>
        <w:tc>
          <w:tcPr>
            <w:tcW w:w="1065" w:type="pct"/>
          </w:tcPr>
          <w:p w14:paraId="6268517A" w14:textId="38021E57" w:rsidR="008A4986" w:rsidRPr="00A041C7" w:rsidRDefault="008A4986" w:rsidP="0096010A">
            <w:pPr>
              <w:rPr>
                <w:rFonts w:ascii="Calibri" w:hAnsi="Calibri" w:cs="Calibri"/>
                <w:sz w:val="18"/>
                <w:szCs w:val="18"/>
              </w:rPr>
            </w:pPr>
            <w:r w:rsidRPr="00A041C7">
              <w:rPr>
                <w:rFonts w:ascii="Calibri" w:hAnsi="Calibri" w:cs="Calibri"/>
                <w:sz w:val="18"/>
                <w:szCs w:val="18"/>
              </w:rPr>
              <w:t>jako % cílového stavu</w:t>
            </w:r>
          </w:p>
        </w:tc>
        <w:tc>
          <w:tcPr>
            <w:tcW w:w="586" w:type="pct"/>
          </w:tcPr>
          <w:p w14:paraId="570A9CDF" w14:textId="6D503D68" w:rsidR="008A4986" w:rsidRPr="00A041C7" w:rsidRDefault="008A4986" w:rsidP="0096010A">
            <w:pPr>
              <w:jc w:val="right"/>
              <w:rPr>
                <w:rFonts w:ascii="Calibri" w:hAnsi="Calibri" w:cs="Calibri"/>
                <w:sz w:val="18"/>
                <w:szCs w:val="18"/>
              </w:rPr>
            </w:pPr>
            <w:r w:rsidRPr="00A041C7">
              <w:rPr>
                <w:rFonts w:ascii="Calibri" w:hAnsi="Calibri" w:cs="Calibri"/>
                <w:sz w:val="18"/>
                <w:szCs w:val="18"/>
              </w:rPr>
              <w:t>2,94 %</w:t>
            </w:r>
          </w:p>
        </w:tc>
      </w:tr>
      <w:tr w:rsidR="008A4986" w:rsidRPr="00A041C7" w14:paraId="4048BA26" w14:textId="77777777" w:rsidTr="008E5778">
        <w:trPr>
          <w:trHeight w:val="296"/>
        </w:trPr>
        <w:tc>
          <w:tcPr>
            <w:tcW w:w="1283" w:type="pct"/>
            <w:vMerge w:val="restart"/>
          </w:tcPr>
          <w:p w14:paraId="703965F8" w14:textId="56A5621F" w:rsidR="008A4986" w:rsidRPr="00A041C7" w:rsidRDefault="008A4986" w:rsidP="008A4986">
            <w:pPr>
              <w:rPr>
                <w:rFonts w:ascii="Calibri" w:hAnsi="Calibri"/>
                <w:color w:val="000000"/>
                <w:sz w:val="18"/>
                <w:szCs w:val="18"/>
              </w:rPr>
            </w:pPr>
            <w:r w:rsidRPr="00A041C7">
              <w:rPr>
                <w:rFonts w:ascii="Calibri" w:hAnsi="Calibri" w:cs="Calibri"/>
                <w:sz w:val="18"/>
                <w:szCs w:val="18"/>
              </w:rPr>
              <w:t>Počet podniků pobírajících granty</w:t>
            </w:r>
          </w:p>
        </w:tc>
        <w:tc>
          <w:tcPr>
            <w:tcW w:w="765" w:type="pct"/>
            <w:vMerge w:val="restart"/>
          </w:tcPr>
          <w:p w14:paraId="6509CB56" w14:textId="1A277916" w:rsidR="008A4986" w:rsidRPr="00A041C7" w:rsidRDefault="008A4986" w:rsidP="0096010A">
            <w:pPr>
              <w:jc w:val="right"/>
              <w:rPr>
                <w:rFonts w:ascii="Calibri" w:hAnsi="Calibri" w:cs="Calibri"/>
                <w:sz w:val="18"/>
                <w:szCs w:val="18"/>
              </w:rPr>
            </w:pPr>
            <w:r w:rsidRPr="00A041C7">
              <w:rPr>
                <w:rFonts w:ascii="Calibri" w:hAnsi="Calibri" w:cs="Calibri"/>
                <w:sz w:val="18"/>
                <w:szCs w:val="18"/>
              </w:rPr>
              <w:t>170</w:t>
            </w:r>
          </w:p>
        </w:tc>
        <w:tc>
          <w:tcPr>
            <w:tcW w:w="1301" w:type="pct"/>
            <w:vMerge w:val="restart"/>
          </w:tcPr>
          <w:p w14:paraId="43CA7FD4" w14:textId="499EFEED" w:rsidR="008A4986" w:rsidRPr="00A041C7" w:rsidRDefault="008A4986" w:rsidP="008A4986">
            <w:pPr>
              <w:rPr>
                <w:rFonts w:ascii="Calibri" w:hAnsi="Calibri"/>
                <w:color w:val="000000"/>
                <w:sz w:val="18"/>
                <w:szCs w:val="18"/>
              </w:rPr>
            </w:pPr>
            <w:r w:rsidRPr="00A041C7">
              <w:rPr>
                <w:rFonts w:ascii="Calibri" w:hAnsi="Calibri" w:cs="Calibri"/>
                <w:sz w:val="18"/>
                <w:szCs w:val="18"/>
              </w:rPr>
              <w:t>Počet podniků pobírajících granty</w:t>
            </w:r>
          </w:p>
        </w:tc>
        <w:tc>
          <w:tcPr>
            <w:tcW w:w="1065" w:type="pct"/>
          </w:tcPr>
          <w:p w14:paraId="4A96BCD6" w14:textId="48799EF5" w:rsidR="008A4986" w:rsidRPr="00A041C7" w:rsidRDefault="008A4986" w:rsidP="0096010A">
            <w:pPr>
              <w:rPr>
                <w:rFonts w:ascii="Calibri" w:hAnsi="Calibri" w:cs="Calibri"/>
                <w:sz w:val="18"/>
                <w:szCs w:val="18"/>
              </w:rPr>
            </w:pPr>
            <w:r w:rsidRPr="00A041C7">
              <w:rPr>
                <w:rFonts w:ascii="Calibri" w:hAnsi="Calibri" w:cs="Calibri"/>
                <w:sz w:val="18"/>
                <w:szCs w:val="18"/>
              </w:rPr>
              <w:t xml:space="preserve">absol. </w:t>
            </w:r>
          </w:p>
        </w:tc>
        <w:tc>
          <w:tcPr>
            <w:tcW w:w="586" w:type="pct"/>
          </w:tcPr>
          <w:p w14:paraId="13D728E6" w14:textId="7CD3FEA2" w:rsidR="008A4986" w:rsidRPr="00A041C7" w:rsidRDefault="008A4986" w:rsidP="0096010A">
            <w:pPr>
              <w:jc w:val="right"/>
              <w:rPr>
                <w:rFonts w:ascii="Calibri" w:hAnsi="Calibri" w:cs="Calibri"/>
                <w:sz w:val="18"/>
                <w:szCs w:val="18"/>
              </w:rPr>
            </w:pPr>
            <w:r w:rsidRPr="00A041C7">
              <w:rPr>
                <w:rFonts w:ascii="Calibri" w:hAnsi="Calibri" w:cs="Calibri"/>
                <w:sz w:val="18"/>
                <w:szCs w:val="18"/>
              </w:rPr>
              <w:t>5</w:t>
            </w:r>
          </w:p>
        </w:tc>
      </w:tr>
      <w:tr w:rsidR="008A4986" w:rsidRPr="00A041C7" w14:paraId="093AAEA9" w14:textId="77777777" w:rsidTr="008E5778">
        <w:trPr>
          <w:trHeight w:val="285"/>
        </w:trPr>
        <w:tc>
          <w:tcPr>
            <w:tcW w:w="1283" w:type="pct"/>
            <w:vMerge/>
          </w:tcPr>
          <w:p w14:paraId="35222031" w14:textId="77777777" w:rsidR="008A4986" w:rsidRPr="00A041C7" w:rsidRDefault="008A4986" w:rsidP="00D22552">
            <w:pPr>
              <w:rPr>
                <w:rFonts w:ascii="Calibri" w:hAnsi="Calibri" w:cs="Calibri"/>
                <w:sz w:val="18"/>
                <w:szCs w:val="18"/>
              </w:rPr>
            </w:pPr>
          </w:p>
        </w:tc>
        <w:tc>
          <w:tcPr>
            <w:tcW w:w="765" w:type="pct"/>
            <w:vMerge/>
          </w:tcPr>
          <w:p w14:paraId="7939D3E2" w14:textId="77777777" w:rsidR="008A4986" w:rsidRPr="00A041C7" w:rsidRDefault="008A4986" w:rsidP="0096010A">
            <w:pPr>
              <w:jc w:val="right"/>
              <w:rPr>
                <w:rFonts w:ascii="Calibri" w:hAnsi="Calibri" w:cs="Calibri"/>
                <w:sz w:val="18"/>
                <w:szCs w:val="18"/>
              </w:rPr>
            </w:pPr>
          </w:p>
        </w:tc>
        <w:tc>
          <w:tcPr>
            <w:tcW w:w="1301" w:type="pct"/>
            <w:vMerge/>
          </w:tcPr>
          <w:p w14:paraId="3A828E5F" w14:textId="77777777" w:rsidR="008A4986" w:rsidRPr="00A041C7" w:rsidRDefault="008A4986" w:rsidP="0096010A">
            <w:pPr>
              <w:rPr>
                <w:rFonts w:ascii="Calibri" w:hAnsi="Calibri" w:cs="Calibri"/>
                <w:sz w:val="18"/>
                <w:szCs w:val="18"/>
              </w:rPr>
            </w:pPr>
          </w:p>
        </w:tc>
        <w:tc>
          <w:tcPr>
            <w:tcW w:w="1065" w:type="pct"/>
          </w:tcPr>
          <w:p w14:paraId="3D9CA35C" w14:textId="67DCAC49" w:rsidR="008A4986" w:rsidRPr="00A041C7" w:rsidRDefault="008A4986" w:rsidP="0096010A">
            <w:pPr>
              <w:rPr>
                <w:rFonts w:ascii="Calibri" w:hAnsi="Calibri" w:cs="Calibri"/>
                <w:sz w:val="18"/>
                <w:szCs w:val="18"/>
              </w:rPr>
            </w:pPr>
            <w:r w:rsidRPr="00A041C7">
              <w:rPr>
                <w:rFonts w:ascii="Calibri" w:hAnsi="Calibri" w:cs="Calibri"/>
                <w:sz w:val="18"/>
                <w:szCs w:val="18"/>
              </w:rPr>
              <w:t>jako % cílového stavu</w:t>
            </w:r>
          </w:p>
        </w:tc>
        <w:tc>
          <w:tcPr>
            <w:tcW w:w="586" w:type="pct"/>
          </w:tcPr>
          <w:p w14:paraId="3D33D9E3" w14:textId="4296EAF1" w:rsidR="008A4986" w:rsidRPr="00A041C7" w:rsidRDefault="008A4986" w:rsidP="0096010A">
            <w:pPr>
              <w:jc w:val="right"/>
              <w:rPr>
                <w:rFonts w:ascii="Calibri" w:hAnsi="Calibri" w:cs="Calibri"/>
                <w:sz w:val="18"/>
                <w:szCs w:val="18"/>
              </w:rPr>
            </w:pPr>
            <w:r w:rsidRPr="00A041C7">
              <w:rPr>
                <w:rFonts w:ascii="Calibri" w:hAnsi="Calibri" w:cs="Calibri"/>
                <w:sz w:val="18"/>
                <w:szCs w:val="18"/>
              </w:rPr>
              <w:t>2,94 %</w:t>
            </w:r>
          </w:p>
        </w:tc>
      </w:tr>
      <w:tr w:rsidR="008A4986" w:rsidRPr="00A041C7" w14:paraId="008FAA1A" w14:textId="77777777" w:rsidTr="008E5778">
        <w:trPr>
          <w:trHeight w:val="340"/>
        </w:trPr>
        <w:tc>
          <w:tcPr>
            <w:tcW w:w="1283" w:type="pct"/>
            <w:vMerge w:val="restart"/>
          </w:tcPr>
          <w:p w14:paraId="6A621E15" w14:textId="740CAACA" w:rsidR="008A4986" w:rsidRPr="00A041C7" w:rsidRDefault="008A4986" w:rsidP="00D22552">
            <w:pPr>
              <w:rPr>
                <w:rFonts w:ascii="Calibri" w:hAnsi="Calibri" w:cs="Calibri"/>
                <w:sz w:val="18"/>
                <w:szCs w:val="18"/>
              </w:rPr>
            </w:pPr>
            <w:r w:rsidRPr="00A041C7">
              <w:rPr>
                <w:rFonts w:ascii="Calibri" w:hAnsi="Calibri"/>
                <w:color w:val="000000"/>
                <w:sz w:val="18"/>
                <w:szCs w:val="18"/>
              </w:rPr>
              <w:t>Soukromé investice odpovídající veřejné podpoře podniků (granty)</w:t>
            </w:r>
            <w:r w:rsidR="003A2FF7" w:rsidRPr="00A041C7">
              <w:rPr>
                <w:rFonts w:ascii="Calibri" w:hAnsi="Calibri"/>
                <w:color w:val="000000"/>
                <w:sz w:val="18"/>
                <w:szCs w:val="18"/>
              </w:rPr>
              <w:t xml:space="preserve"> (CZK)</w:t>
            </w:r>
          </w:p>
        </w:tc>
        <w:tc>
          <w:tcPr>
            <w:tcW w:w="765" w:type="pct"/>
            <w:vMerge w:val="restart"/>
          </w:tcPr>
          <w:p w14:paraId="51290264" w14:textId="76F37A4B" w:rsidR="008A4986" w:rsidRPr="00A041C7" w:rsidRDefault="00E12F39" w:rsidP="0096010A">
            <w:pPr>
              <w:jc w:val="right"/>
              <w:rPr>
                <w:rFonts w:ascii="Calibri" w:hAnsi="Calibri" w:cs="Calibri"/>
                <w:sz w:val="18"/>
                <w:szCs w:val="18"/>
              </w:rPr>
            </w:pPr>
            <w:bdo w:val="ltr">
              <w:r w:rsidR="008A4986" w:rsidRPr="00A041C7">
                <w:rPr>
                  <w:rFonts w:ascii="Calibri" w:hAnsi="Calibri" w:cs="Calibri"/>
                  <w:sz w:val="18"/>
                  <w:szCs w:val="18"/>
                </w:rPr>
                <w:t>1 848 363 000</w:t>
              </w:r>
              <w:r w:rsidR="008A4986" w:rsidRPr="00A041C7">
                <w:rPr>
                  <w:rFonts w:ascii="Calibri" w:hAnsi="Calibri" w:cs="Calibri"/>
                  <w:sz w:val="18"/>
                  <w:szCs w:val="18"/>
                </w:rPr>
                <w:t>‬</w:t>
              </w:r>
              <w:r w:rsidR="00DB03CC" w:rsidRPr="00A041C7">
                <w:rPr>
                  <w:sz w:val="18"/>
                  <w:szCs w:val="18"/>
                </w:rPr>
                <w:t>‬</w:t>
              </w:r>
              <w:r w:rsidR="00B93B0F" w:rsidRPr="00A041C7">
                <w:rPr>
                  <w:sz w:val="18"/>
                  <w:szCs w:val="18"/>
                </w:rPr>
                <w:t>‬</w:t>
              </w:r>
              <w:r w:rsidR="004164FB" w:rsidRPr="00A041C7">
                <w:rPr>
                  <w:sz w:val="18"/>
                  <w:szCs w:val="18"/>
                </w:rPr>
                <w:t>‬</w:t>
              </w:r>
              <w:r w:rsidR="00B359F6" w:rsidRPr="00A041C7">
                <w:rPr>
                  <w:sz w:val="18"/>
                  <w:szCs w:val="18"/>
                </w:rPr>
                <w:t>‬</w:t>
              </w:r>
              <w:r w:rsidR="00890A57" w:rsidRPr="00A041C7">
                <w:rPr>
                  <w:sz w:val="18"/>
                  <w:szCs w:val="18"/>
                </w:rPr>
                <w:t>‬</w:t>
              </w:r>
              <w:r w:rsidR="00B10706" w:rsidRPr="00A041C7">
                <w:rPr>
                  <w:sz w:val="18"/>
                  <w:szCs w:val="18"/>
                </w:rPr>
                <w:t>‬</w:t>
              </w:r>
              <w:r w:rsidR="00055FAE" w:rsidRPr="00A041C7">
                <w:rPr>
                  <w:sz w:val="18"/>
                  <w:szCs w:val="18"/>
                </w:rPr>
                <w:t>‬</w:t>
              </w:r>
              <w:r w:rsidR="00EB590D" w:rsidRPr="00A041C7">
                <w:rPr>
                  <w:sz w:val="18"/>
                  <w:szCs w:val="18"/>
                </w:rPr>
                <w:t>‬</w:t>
              </w:r>
              <w:r w:rsidR="001B6268" w:rsidRPr="00A041C7">
                <w:rPr>
                  <w:sz w:val="18"/>
                  <w:szCs w:val="18"/>
                </w:rPr>
                <w:t>‬</w:t>
              </w:r>
              <w:r w:rsidR="003B137A">
                <w:t>‬</w:t>
              </w:r>
              <w:r w:rsidR="0070612A">
                <w:t>‬</w:t>
              </w:r>
              <w:r w:rsidR="00B94E23">
                <w:t>‬</w:t>
              </w:r>
              <w:r w:rsidR="00B13CCD">
                <w:t>‬</w:t>
              </w:r>
              <w:r w:rsidR="009B65FC">
                <w:t>‬</w:t>
              </w:r>
              <w:r w:rsidR="00227988">
                <w:t>‬</w:t>
              </w:r>
              <w:r w:rsidR="003D7715">
                <w:t>‬</w:t>
              </w:r>
              <w:r w:rsidR="005A2B16">
                <w:t>‬</w:t>
              </w:r>
              <w:r w:rsidR="00B43881">
                <w:t>‬</w:t>
              </w:r>
              <w:r w:rsidR="00355468">
                <w:t>‬</w:t>
              </w:r>
              <w:r w:rsidR="00BD754F">
                <w:t>‬</w:t>
              </w:r>
              <w:r w:rsidR="00194FF4">
                <w:t>‬</w:t>
              </w:r>
              <w:r w:rsidR="00F25461">
                <w:t>‬</w:t>
              </w:r>
              <w:r w:rsidR="00F13E22">
                <w:t>‬</w:t>
              </w:r>
              <w:r w:rsidR="00AA1B14">
                <w:t>‬</w:t>
              </w:r>
              <w:r w:rsidR="00C4183A">
                <w:t>‬</w:t>
              </w:r>
              <w:r w:rsidR="00B64206">
                <w:t>‬</w:t>
              </w:r>
              <w:r w:rsidR="008F0EDF">
                <w:t>‬</w:t>
              </w:r>
              <w:r w:rsidR="00101AEB">
                <w:t>‬</w:t>
              </w:r>
              <w:r>
                <w:t>‬</w:t>
              </w:r>
            </w:bdo>
          </w:p>
        </w:tc>
        <w:tc>
          <w:tcPr>
            <w:tcW w:w="1301" w:type="pct"/>
            <w:vMerge w:val="restart"/>
          </w:tcPr>
          <w:p w14:paraId="2D4D8C59" w14:textId="0C067FAA" w:rsidR="008A4986" w:rsidRPr="00A041C7" w:rsidRDefault="008A4986" w:rsidP="0096010A">
            <w:pPr>
              <w:rPr>
                <w:rFonts w:ascii="Calibri" w:hAnsi="Calibri" w:cs="Calibri"/>
                <w:sz w:val="18"/>
                <w:szCs w:val="18"/>
              </w:rPr>
            </w:pPr>
            <w:r w:rsidRPr="00A041C7">
              <w:rPr>
                <w:rFonts w:ascii="Calibri" w:hAnsi="Calibri"/>
                <w:color w:val="000000"/>
                <w:sz w:val="18"/>
                <w:szCs w:val="18"/>
              </w:rPr>
              <w:t>Soukromé investice odpovídající veřejné podpoře podniků (granty)</w:t>
            </w:r>
            <w:r w:rsidR="003A2FF7" w:rsidRPr="00A041C7">
              <w:rPr>
                <w:rFonts w:ascii="Calibri" w:hAnsi="Calibri"/>
                <w:color w:val="000000"/>
                <w:sz w:val="18"/>
                <w:szCs w:val="18"/>
              </w:rPr>
              <w:t xml:space="preserve"> (CZK)</w:t>
            </w:r>
          </w:p>
        </w:tc>
        <w:tc>
          <w:tcPr>
            <w:tcW w:w="1065" w:type="pct"/>
          </w:tcPr>
          <w:p w14:paraId="130DF9E4" w14:textId="0E29E6BA" w:rsidR="008A4986" w:rsidRPr="00A041C7" w:rsidRDefault="008A4986" w:rsidP="0096010A">
            <w:pPr>
              <w:rPr>
                <w:rFonts w:ascii="Calibri" w:hAnsi="Calibri" w:cs="Calibri"/>
                <w:sz w:val="18"/>
                <w:szCs w:val="18"/>
              </w:rPr>
            </w:pPr>
            <w:r w:rsidRPr="00A041C7">
              <w:rPr>
                <w:rFonts w:ascii="Calibri" w:hAnsi="Calibri" w:cs="Calibri"/>
                <w:sz w:val="18"/>
                <w:szCs w:val="18"/>
              </w:rPr>
              <w:t xml:space="preserve">absol. </w:t>
            </w:r>
          </w:p>
        </w:tc>
        <w:tc>
          <w:tcPr>
            <w:tcW w:w="586" w:type="pct"/>
          </w:tcPr>
          <w:p w14:paraId="1A386537" w14:textId="4CF58B5D" w:rsidR="008A4986" w:rsidRPr="00A041C7" w:rsidRDefault="00E12F39" w:rsidP="0096010A">
            <w:pPr>
              <w:jc w:val="right"/>
              <w:rPr>
                <w:rFonts w:ascii="Calibri" w:hAnsi="Calibri" w:cs="Calibri"/>
                <w:sz w:val="18"/>
                <w:szCs w:val="18"/>
              </w:rPr>
            </w:pPr>
            <w:bdo w:val="ltr">
              <w:r w:rsidR="008A4986" w:rsidRPr="00A041C7">
                <w:rPr>
                  <w:rFonts w:ascii="Calibri" w:hAnsi="Calibri" w:cs="Calibri"/>
                  <w:sz w:val="18"/>
                  <w:szCs w:val="18"/>
                </w:rPr>
                <w:t>59 215 140</w:t>
              </w:r>
              <w:r w:rsidR="00DB03CC" w:rsidRPr="00A041C7">
                <w:rPr>
                  <w:sz w:val="18"/>
                  <w:szCs w:val="18"/>
                </w:rPr>
                <w:t>‬</w:t>
              </w:r>
              <w:r w:rsidR="00B93B0F" w:rsidRPr="00A041C7">
                <w:rPr>
                  <w:sz w:val="18"/>
                  <w:szCs w:val="18"/>
                </w:rPr>
                <w:t>‬</w:t>
              </w:r>
              <w:r w:rsidR="004164FB" w:rsidRPr="00A041C7">
                <w:rPr>
                  <w:sz w:val="18"/>
                  <w:szCs w:val="18"/>
                </w:rPr>
                <w:t>‬</w:t>
              </w:r>
              <w:r w:rsidR="00B359F6" w:rsidRPr="00A041C7">
                <w:rPr>
                  <w:sz w:val="18"/>
                  <w:szCs w:val="18"/>
                </w:rPr>
                <w:t>‬</w:t>
              </w:r>
              <w:r w:rsidR="00890A57" w:rsidRPr="00A041C7">
                <w:rPr>
                  <w:sz w:val="18"/>
                  <w:szCs w:val="18"/>
                </w:rPr>
                <w:t>‬</w:t>
              </w:r>
              <w:r w:rsidR="00B10706" w:rsidRPr="00A041C7">
                <w:rPr>
                  <w:sz w:val="18"/>
                  <w:szCs w:val="18"/>
                </w:rPr>
                <w:t>‬</w:t>
              </w:r>
              <w:r w:rsidR="00055FAE" w:rsidRPr="00A041C7">
                <w:rPr>
                  <w:sz w:val="18"/>
                  <w:szCs w:val="18"/>
                </w:rPr>
                <w:t>‬</w:t>
              </w:r>
              <w:r w:rsidR="00EB590D" w:rsidRPr="00A041C7">
                <w:rPr>
                  <w:sz w:val="18"/>
                  <w:szCs w:val="18"/>
                </w:rPr>
                <w:t>‬</w:t>
              </w:r>
              <w:r w:rsidR="001B6268" w:rsidRPr="00A041C7">
                <w:rPr>
                  <w:sz w:val="18"/>
                  <w:szCs w:val="18"/>
                </w:rPr>
                <w:t>‬</w:t>
              </w:r>
              <w:r w:rsidR="003B137A">
                <w:t>‬</w:t>
              </w:r>
              <w:r w:rsidR="0070612A">
                <w:t>‬</w:t>
              </w:r>
              <w:r w:rsidR="00B94E23">
                <w:t>‬</w:t>
              </w:r>
              <w:r w:rsidR="00B13CCD">
                <w:t>‬</w:t>
              </w:r>
              <w:r w:rsidR="009B65FC">
                <w:t>‬</w:t>
              </w:r>
              <w:r w:rsidR="00227988">
                <w:t>‬</w:t>
              </w:r>
              <w:r w:rsidR="003D7715">
                <w:t>‬</w:t>
              </w:r>
              <w:r w:rsidR="005A2B16">
                <w:t>‬</w:t>
              </w:r>
              <w:r w:rsidR="00B43881">
                <w:t>‬</w:t>
              </w:r>
              <w:r w:rsidR="00355468">
                <w:t>‬</w:t>
              </w:r>
              <w:r w:rsidR="00BD754F">
                <w:t>‬</w:t>
              </w:r>
              <w:r w:rsidR="00194FF4">
                <w:t>‬</w:t>
              </w:r>
              <w:r w:rsidR="00F25461">
                <w:t>‬</w:t>
              </w:r>
              <w:r w:rsidR="00F13E22">
                <w:t>‬</w:t>
              </w:r>
              <w:r w:rsidR="00AA1B14">
                <w:t>‬</w:t>
              </w:r>
              <w:r w:rsidR="00C4183A">
                <w:t>‬</w:t>
              </w:r>
              <w:r w:rsidR="00B64206">
                <w:t>‬</w:t>
              </w:r>
              <w:r w:rsidR="008F0EDF">
                <w:t>‬</w:t>
              </w:r>
              <w:r w:rsidR="00101AEB">
                <w:t>‬</w:t>
              </w:r>
              <w:r>
                <w:t>‬</w:t>
              </w:r>
            </w:bdo>
          </w:p>
        </w:tc>
      </w:tr>
      <w:tr w:rsidR="008A4986" w:rsidRPr="00A041C7" w14:paraId="532E3749" w14:textId="77777777" w:rsidTr="008E5778">
        <w:trPr>
          <w:trHeight w:val="279"/>
        </w:trPr>
        <w:tc>
          <w:tcPr>
            <w:tcW w:w="1283" w:type="pct"/>
            <w:vMerge/>
          </w:tcPr>
          <w:p w14:paraId="3D34C010" w14:textId="77777777" w:rsidR="008A4986" w:rsidRPr="00A041C7" w:rsidRDefault="008A4986" w:rsidP="00D22552">
            <w:pPr>
              <w:rPr>
                <w:rFonts w:ascii="Calibri" w:hAnsi="Calibri"/>
                <w:color w:val="000000"/>
                <w:sz w:val="18"/>
                <w:szCs w:val="18"/>
              </w:rPr>
            </w:pPr>
          </w:p>
        </w:tc>
        <w:tc>
          <w:tcPr>
            <w:tcW w:w="765" w:type="pct"/>
            <w:vMerge/>
          </w:tcPr>
          <w:p w14:paraId="2BB90460" w14:textId="77777777" w:rsidR="008A4986" w:rsidRPr="00A041C7" w:rsidRDefault="008A4986" w:rsidP="0096010A">
            <w:pPr>
              <w:jc w:val="right"/>
              <w:rPr>
                <w:rFonts w:ascii="Calibri" w:hAnsi="Calibri" w:cs="Calibri"/>
                <w:sz w:val="18"/>
                <w:szCs w:val="18"/>
              </w:rPr>
            </w:pPr>
          </w:p>
        </w:tc>
        <w:tc>
          <w:tcPr>
            <w:tcW w:w="1301" w:type="pct"/>
            <w:vMerge/>
          </w:tcPr>
          <w:p w14:paraId="73E99330" w14:textId="77777777" w:rsidR="008A4986" w:rsidRPr="00A041C7" w:rsidRDefault="008A4986" w:rsidP="0096010A">
            <w:pPr>
              <w:rPr>
                <w:rFonts w:ascii="Calibri" w:hAnsi="Calibri"/>
                <w:color w:val="000000"/>
                <w:sz w:val="18"/>
                <w:szCs w:val="18"/>
              </w:rPr>
            </w:pPr>
          </w:p>
        </w:tc>
        <w:tc>
          <w:tcPr>
            <w:tcW w:w="1065" w:type="pct"/>
          </w:tcPr>
          <w:p w14:paraId="62C0A11B" w14:textId="788515A7" w:rsidR="008A4986" w:rsidRPr="00A041C7" w:rsidRDefault="008A4986" w:rsidP="0096010A">
            <w:pPr>
              <w:rPr>
                <w:rFonts w:ascii="Calibri" w:hAnsi="Calibri" w:cs="Calibri"/>
                <w:sz w:val="18"/>
                <w:szCs w:val="18"/>
              </w:rPr>
            </w:pPr>
            <w:r w:rsidRPr="00A041C7">
              <w:rPr>
                <w:rFonts w:ascii="Calibri" w:hAnsi="Calibri" w:cs="Calibri"/>
                <w:sz w:val="18"/>
                <w:szCs w:val="18"/>
              </w:rPr>
              <w:t>jako % cílového stavu</w:t>
            </w:r>
          </w:p>
        </w:tc>
        <w:tc>
          <w:tcPr>
            <w:tcW w:w="586" w:type="pct"/>
          </w:tcPr>
          <w:p w14:paraId="12F16EA4" w14:textId="56054078" w:rsidR="008A4986" w:rsidRPr="00A041C7" w:rsidRDefault="008A4986" w:rsidP="008A4986">
            <w:pPr>
              <w:jc w:val="right"/>
              <w:rPr>
                <w:rFonts w:ascii="Calibri" w:hAnsi="Calibri" w:cs="Calibri"/>
                <w:sz w:val="18"/>
                <w:szCs w:val="18"/>
              </w:rPr>
            </w:pPr>
            <w:r w:rsidRPr="00A041C7">
              <w:rPr>
                <w:rFonts w:ascii="Calibri" w:hAnsi="Calibri" w:cs="Calibri"/>
                <w:sz w:val="18"/>
                <w:szCs w:val="18"/>
              </w:rPr>
              <w:t>3,20 %</w:t>
            </w:r>
          </w:p>
        </w:tc>
      </w:tr>
    </w:tbl>
    <w:p w14:paraId="53B0CD7A" w14:textId="46A038C9" w:rsidR="00BC0049" w:rsidRDefault="00BC0049" w:rsidP="00BC0049">
      <w:pPr>
        <w:spacing w:after="0"/>
        <w:rPr>
          <w:rFonts w:ascii="Calibri" w:hAnsi="Calibri" w:cs="Calibri"/>
          <w:i/>
          <w:sz w:val="16"/>
          <w:szCs w:val="16"/>
        </w:rPr>
      </w:pPr>
      <w:r w:rsidRPr="00C07FEB">
        <w:rPr>
          <w:rFonts w:ascii="Calibri" w:hAnsi="Calibri" w:cs="Calibri"/>
          <w:i/>
          <w:sz w:val="16"/>
          <w:szCs w:val="16"/>
        </w:rPr>
        <w:t>Pozn.: jedná se o přibližné hodnoty z důvodu kurzových změn a přepočtů CZK/EUR</w:t>
      </w:r>
    </w:p>
    <w:p w14:paraId="40C7A114" w14:textId="77777777" w:rsidR="00BC0049" w:rsidRPr="00C07FEB" w:rsidRDefault="00BC0049" w:rsidP="00BC0049">
      <w:pPr>
        <w:spacing w:after="0"/>
        <w:rPr>
          <w:rFonts w:ascii="Calibri" w:hAnsi="Calibri" w:cs="Calibri"/>
          <w:i/>
          <w:sz w:val="16"/>
          <w:szCs w:val="16"/>
        </w:rPr>
      </w:pPr>
      <w:r>
        <w:rPr>
          <w:rFonts w:ascii="Calibri" w:hAnsi="Calibri" w:cs="Calibri"/>
          <w:i/>
          <w:sz w:val="16"/>
          <w:szCs w:val="16"/>
        </w:rPr>
        <w:t>Zdroj: MS2014+, ŘO, vlastní propočty.</w:t>
      </w:r>
      <w:r w:rsidRPr="00C07FEB">
        <w:rPr>
          <w:rFonts w:ascii="Calibri" w:hAnsi="Calibri" w:cs="Calibri"/>
          <w:i/>
          <w:sz w:val="16"/>
          <w:szCs w:val="16"/>
        </w:rPr>
        <w:t xml:space="preserve">  </w:t>
      </w:r>
    </w:p>
    <w:p w14:paraId="66C14C46" w14:textId="77777777" w:rsidR="00BC0049" w:rsidRDefault="00BC0049" w:rsidP="00C91048">
      <w:pPr>
        <w:spacing w:after="0"/>
        <w:rPr>
          <w:rFonts w:ascii="Calibri" w:hAnsi="Calibri" w:cs="Calibri"/>
          <w:b/>
        </w:rPr>
      </w:pPr>
    </w:p>
    <w:p w14:paraId="589162AA" w14:textId="4AF75887" w:rsidR="00C91048" w:rsidRDefault="00C91048" w:rsidP="006D20A9">
      <w:pPr>
        <w:pStyle w:val="Nadpis4"/>
      </w:pPr>
      <w:r w:rsidRPr="001C50E7">
        <w:t xml:space="preserve">Specifický cíl </w:t>
      </w:r>
      <w:r w:rsidR="00BC0049">
        <w:t>3</w:t>
      </w:r>
      <w:r w:rsidRPr="001C50E7">
        <w:t>.2</w:t>
      </w:r>
    </w:p>
    <w:p w14:paraId="63929D37" w14:textId="01DFFAF6" w:rsidR="00A44254" w:rsidRDefault="00A44254" w:rsidP="000052B7">
      <w:pPr>
        <w:spacing w:after="0"/>
      </w:pPr>
      <w:r>
        <w:t xml:space="preserve">V rámci SC 3.2 </w:t>
      </w:r>
      <w:r w:rsidR="008E76F7">
        <w:t xml:space="preserve">bylo hodnocení založeno na stejných indikátorech jako v případě SC 3.1. Důvodem je absence jiných výstupových indikátorů, které by bylo možné využít. PP sice nabízí řadu výsledkových ukazatelů, které jsou společné pro všechny podporované aktivity, ale jejich využití pro hodnocení účinnosti by znamenalo značné zkreslení, neboť výsledků projekty dosahují se značným časovým odstupem. </w:t>
      </w:r>
    </w:p>
    <w:p w14:paraId="08AB7295" w14:textId="77777777" w:rsidR="000052B7" w:rsidRDefault="000052B7" w:rsidP="000052B7">
      <w:pPr>
        <w:spacing w:after="0"/>
      </w:pPr>
    </w:p>
    <w:p w14:paraId="17E9985A" w14:textId="3F8A6AC7" w:rsidR="002746CD" w:rsidRDefault="00A956CA" w:rsidP="000052B7">
      <w:pPr>
        <w:spacing w:after="0"/>
      </w:pPr>
      <w:r>
        <w:t xml:space="preserve">Z výpočtů vyplývá, že míra plnění hodnot v případě indikátoru Počtu podniků pobírajících podporu je vyšší než v případě než čerpání alokace prostřednictvím proplacených ŽoPl. Tento fakt poukazuje na to, že dotace z PP ÚE směřují na menší projekty a také na to, že při vyplacení celé alokace PP ÚE bude v případě indikátoru Počet podniků pobírajících podporu dosaženo vyšší hodnoty, než bylo původně předpokládáno. Míra plnění ukazatele Soukromých investic odpovídajících veřejné podpoře podniků je srovnatelná s čerpáním alokace, lze tedy konstatovat, že </w:t>
      </w:r>
      <w:r w:rsidRPr="000052B7">
        <w:rPr>
          <w:b/>
        </w:rPr>
        <w:t>výstup</w:t>
      </w:r>
      <w:r w:rsidR="000052B7">
        <w:rPr>
          <w:b/>
        </w:rPr>
        <w:t>y</w:t>
      </w:r>
      <w:r w:rsidRPr="000052B7">
        <w:rPr>
          <w:b/>
        </w:rPr>
        <w:t xml:space="preserve"> by měl</w:t>
      </w:r>
      <w:r w:rsidR="000052B7">
        <w:rPr>
          <w:b/>
        </w:rPr>
        <w:t>y</w:t>
      </w:r>
      <w:r w:rsidRPr="000052B7">
        <w:rPr>
          <w:b/>
        </w:rPr>
        <w:t xml:space="preserve"> být naplněn</w:t>
      </w:r>
      <w:r w:rsidR="000052B7">
        <w:rPr>
          <w:b/>
        </w:rPr>
        <w:t>y</w:t>
      </w:r>
      <w:r w:rsidRPr="000052B7">
        <w:rPr>
          <w:b/>
        </w:rPr>
        <w:t xml:space="preserve"> v očekávaném rozsahu</w:t>
      </w:r>
      <w:r>
        <w:t>.</w:t>
      </w:r>
    </w:p>
    <w:p w14:paraId="509E1FB6" w14:textId="77777777" w:rsidR="000052B7" w:rsidRDefault="000052B7" w:rsidP="000052B7">
      <w:pPr>
        <w:spacing w:after="0"/>
      </w:pPr>
    </w:p>
    <w:p w14:paraId="71D649BB" w14:textId="555F5959" w:rsidR="00092989" w:rsidRPr="00092989" w:rsidRDefault="00092989" w:rsidP="00092989">
      <w:pPr>
        <w:pStyle w:val="Titulek"/>
      </w:pPr>
      <w:bookmarkStart w:id="239" w:name="_Toc10730041"/>
      <w:r>
        <w:t xml:space="preserve">Tabulka </w:t>
      </w:r>
      <w:r>
        <w:rPr>
          <w:noProof/>
        </w:rPr>
        <w:fldChar w:fldCharType="begin"/>
      </w:r>
      <w:r>
        <w:rPr>
          <w:noProof/>
        </w:rPr>
        <w:instrText xml:space="preserve"> SEQ Tabulka \* ARABIC </w:instrText>
      </w:r>
      <w:r>
        <w:rPr>
          <w:noProof/>
        </w:rPr>
        <w:fldChar w:fldCharType="separate"/>
      </w:r>
      <w:r w:rsidR="00E12F39">
        <w:rPr>
          <w:noProof/>
        </w:rPr>
        <w:t>22</w:t>
      </w:r>
      <w:r>
        <w:rPr>
          <w:noProof/>
        </w:rPr>
        <w:fldChar w:fldCharType="end"/>
      </w:r>
      <w:r>
        <w:t>: Ukazatele účinnosti PP Úspory energie</w:t>
      </w:r>
      <w:bookmarkEnd w:id="239"/>
    </w:p>
    <w:tbl>
      <w:tblPr>
        <w:tblStyle w:val="Svtlmkatabulky1"/>
        <w:tblW w:w="9263" w:type="dxa"/>
        <w:tblLook w:val="04A0" w:firstRow="1" w:lastRow="0" w:firstColumn="1" w:lastColumn="0" w:noHBand="0" w:noVBand="1"/>
      </w:tblPr>
      <w:tblGrid>
        <w:gridCol w:w="2610"/>
        <w:gridCol w:w="1467"/>
        <w:gridCol w:w="2268"/>
        <w:gridCol w:w="1552"/>
        <w:gridCol w:w="1366"/>
      </w:tblGrid>
      <w:tr w:rsidR="009137C7" w:rsidRPr="009137C7" w14:paraId="25A1FBAC" w14:textId="77777777" w:rsidTr="008E76F7">
        <w:trPr>
          <w:tblHeader/>
        </w:trPr>
        <w:tc>
          <w:tcPr>
            <w:tcW w:w="4077" w:type="dxa"/>
            <w:gridSpan w:val="2"/>
            <w:shd w:val="clear" w:color="auto" w:fill="002060"/>
          </w:tcPr>
          <w:p w14:paraId="4DD9F915" w14:textId="77777777" w:rsidR="00E22B7B" w:rsidRPr="009137C7" w:rsidRDefault="00E22B7B" w:rsidP="00B03A31">
            <w:pPr>
              <w:jc w:val="center"/>
              <w:rPr>
                <w:rFonts w:ascii="Calibri" w:hAnsi="Calibri" w:cs="Calibri"/>
                <w:b/>
                <w:color w:val="FFFFFF" w:themeColor="background1"/>
                <w:sz w:val="20"/>
                <w:szCs w:val="20"/>
              </w:rPr>
            </w:pPr>
            <w:r w:rsidRPr="009137C7">
              <w:rPr>
                <w:rFonts w:ascii="Calibri" w:hAnsi="Calibri" w:cs="Calibri"/>
                <w:b/>
                <w:color w:val="FFFFFF" w:themeColor="background1"/>
                <w:sz w:val="20"/>
                <w:szCs w:val="20"/>
              </w:rPr>
              <w:t>Cílový stav (2023)</w:t>
            </w:r>
          </w:p>
        </w:tc>
        <w:tc>
          <w:tcPr>
            <w:tcW w:w="5186" w:type="dxa"/>
            <w:gridSpan w:val="3"/>
            <w:shd w:val="clear" w:color="auto" w:fill="002060"/>
          </w:tcPr>
          <w:p w14:paraId="3E3580FB" w14:textId="5BE14F0B" w:rsidR="00E22B7B" w:rsidRPr="009137C7" w:rsidRDefault="00E22B7B" w:rsidP="00B03A31">
            <w:pPr>
              <w:jc w:val="center"/>
              <w:rPr>
                <w:rFonts w:ascii="Calibri" w:hAnsi="Calibri" w:cs="Calibri"/>
                <w:b/>
                <w:color w:val="FFFFFF" w:themeColor="background1"/>
                <w:sz w:val="20"/>
                <w:szCs w:val="20"/>
              </w:rPr>
            </w:pPr>
            <w:r w:rsidRPr="009137C7">
              <w:rPr>
                <w:rFonts w:ascii="Calibri" w:hAnsi="Calibri" w:cs="Calibri"/>
                <w:b/>
                <w:color w:val="FFFFFF" w:themeColor="background1"/>
                <w:sz w:val="20"/>
                <w:szCs w:val="20"/>
              </w:rPr>
              <w:t>Dosažený stav (</w:t>
            </w:r>
            <w:r w:rsidR="00BB00E7" w:rsidRPr="009137C7">
              <w:rPr>
                <w:rFonts w:ascii="Calibri" w:hAnsi="Calibri" w:cs="Calibri"/>
                <w:b/>
                <w:color w:val="FFFFFF" w:themeColor="background1"/>
                <w:sz w:val="20"/>
                <w:szCs w:val="20"/>
              </w:rPr>
              <w:t>31. 12. 2018</w:t>
            </w:r>
            <w:r w:rsidRPr="009137C7">
              <w:rPr>
                <w:rFonts w:ascii="Calibri" w:hAnsi="Calibri" w:cs="Calibri"/>
                <w:b/>
                <w:color w:val="FFFFFF" w:themeColor="background1"/>
                <w:sz w:val="20"/>
                <w:szCs w:val="20"/>
              </w:rPr>
              <w:t>)</w:t>
            </w:r>
          </w:p>
        </w:tc>
      </w:tr>
      <w:tr w:rsidR="009137C7" w:rsidRPr="009137C7" w14:paraId="5E7D9168" w14:textId="77777777" w:rsidTr="008E76F7">
        <w:tc>
          <w:tcPr>
            <w:tcW w:w="2610" w:type="dxa"/>
            <w:vMerge w:val="restart"/>
          </w:tcPr>
          <w:p w14:paraId="5240AAD5" w14:textId="717D9F66" w:rsidR="00E22B7B" w:rsidRPr="009137C7" w:rsidRDefault="00E22B7B" w:rsidP="00BB00E7">
            <w:pPr>
              <w:rPr>
                <w:rFonts w:ascii="Calibri" w:hAnsi="Calibri" w:cs="Calibri"/>
                <w:sz w:val="20"/>
                <w:szCs w:val="20"/>
              </w:rPr>
            </w:pPr>
            <w:r w:rsidRPr="009137C7">
              <w:rPr>
                <w:rFonts w:ascii="Calibri" w:hAnsi="Calibri" w:cs="Calibri"/>
                <w:sz w:val="20"/>
                <w:szCs w:val="20"/>
              </w:rPr>
              <w:t xml:space="preserve">Indikativní alokace PP </w:t>
            </w:r>
            <w:r w:rsidR="00BB00E7" w:rsidRPr="009137C7">
              <w:rPr>
                <w:rFonts w:ascii="Calibri" w:hAnsi="Calibri" w:cs="Calibri"/>
                <w:sz w:val="20"/>
                <w:szCs w:val="20"/>
              </w:rPr>
              <w:t>ÚE</w:t>
            </w:r>
            <w:r w:rsidRPr="009137C7">
              <w:rPr>
                <w:rFonts w:ascii="Calibri" w:hAnsi="Calibri" w:cs="Calibri"/>
                <w:sz w:val="20"/>
                <w:szCs w:val="20"/>
              </w:rPr>
              <w:t xml:space="preserve"> (CZK)</w:t>
            </w:r>
          </w:p>
        </w:tc>
        <w:tc>
          <w:tcPr>
            <w:tcW w:w="1467" w:type="dxa"/>
            <w:vMerge w:val="restart"/>
          </w:tcPr>
          <w:p w14:paraId="15E693CF" w14:textId="0D2A7B97" w:rsidR="00E22B7B" w:rsidRPr="009137C7" w:rsidRDefault="00BB00E7" w:rsidP="00B03A31">
            <w:pPr>
              <w:jc w:val="right"/>
              <w:rPr>
                <w:rFonts w:ascii="Calibri" w:hAnsi="Calibri" w:cs="Calibri"/>
                <w:sz w:val="20"/>
                <w:szCs w:val="20"/>
              </w:rPr>
            </w:pPr>
            <w:r w:rsidRPr="009137C7">
              <w:rPr>
                <w:rFonts w:ascii="Calibri" w:hAnsi="Calibri" w:cs="Calibri"/>
                <w:sz w:val="20"/>
                <w:szCs w:val="20"/>
              </w:rPr>
              <w:t>17 459 946 346</w:t>
            </w:r>
          </w:p>
        </w:tc>
        <w:tc>
          <w:tcPr>
            <w:tcW w:w="2268" w:type="dxa"/>
            <w:vMerge w:val="restart"/>
          </w:tcPr>
          <w:p w14:paraId="49C12B4A" w14:textId="77777777" w:rsidR="00E22B7B" w:rsidRPr="009137C7" w:rsidRDefault="00E22B7B" w:rsidP="00B03A31">
            <w:pPr>
              <w:rPr>
                <w:rFonts w:ascii="Calibri" w:hAnsi="Calibri" w:cs="Calibri"/>
                <w:sz w:val="20"/>
                <w:szCs w:val="20"/>
              </w:rPr>
            </w:pPr>
            <w:r w:rsidRPr="009137C7">
              <w:rPr>
                <w:rFonts w:ascii="Calibri" w:hAnsi="Calibri" w:cs="Calibri"/>
                <w:sz w:val="20"/>
                <w:szCs w:val="20"/>
              </w:rPr>
              <w:t>Proplacené Žádosti o platbu (CZK)</w:t>
            </w:r>
          </w:p>
        </w:tc>
        <w:tc>
          <w:tcPr>
            <w:tcW w:w="1552" w:type="dxa"/>
          </w:tcPr>
          <w:p w14:paraId="12A68D7A" w14:textId="77777777" w:rsidR="00E22B7B" w:rsidRPr="009137C7" w:rsidRDefault="00E22B7B" w:rsidP="00B03A31">
            <w:pPr>
              <w:rPr>
                <w:rFonts w:ascii="Calibri" w:hAnsi="Calibri" w:cs="Calibri"/>
                <w:sz w:val="20"/>
                <w:szCs w:val="20"/>
              </w:rPr>
            </w:pPr>
            <w:r w:rsidRPr="009137C7">
              <w:rPr>
                <w:rFonts w:ascii="Calibri" w:hAnsi="Calibri" w:cs="Calibri"/>
                <w:sz w:val="20"/>
                <w:szCs w:val="20"/>
              </w:rPr>
              <w:t>absol. (CZK)</w:t>
            </w:r>
          </w:p>
        </w:tc>
        <w:tc>
          <w:tcPr>
            <w:tcW w:w="1366" w:type="dxa"/>
          </w:tcPr>
          <w:p w14:paraId="1A8E41C3" w14:textId="13FD8EDD" w:rsidR="00E22B7B" w:rsidRPr="009137C7" w:rsidRDefault="00E12F39" w:rsidP="00B03A31">
            <w:pPr>
              <w:jc w:val="right"/>
              <w:rPr>
                <w:rFonts w:ascii="Calibri" w:hAnsi="Calibri" w:cs="Calibri"/>
                <w:sz w:val="20"/>
                <w:szCs w:val="20"/>
              </w:rPr>
            </w:pPr>
            <w:bdo w:val="ltr">
              <w:r w:rsidR="00092989" w:rsidRPr="00092989">
                <w:rPr>
                  <w:rFonts w:ascii="Calibri" w:hAnsi="Calibri" w:cs="Calibri"/>
                  <w:sz w:val="20"/>
                  <w:szCs w:val="20"/>
                </w:rPr>
                <w:t>1 500 962</w:t>
              </w:r>
              <w:r w:rsidR="00092989">
                <w:rPr>
                  <w:rFonts w:ascii="Calibri" w:hAnsi="Calibri" w:cs="Calibri"/>
                  <w:sz w:val="20"/>
                  <w:szCs w:val="20"/>
                </w:rPr>
                <w:t> </w:t>
              </w:r>
              <w:r w:rsidR="00092989" w:rsidRPr="00092989">
                <w:rPr>
                  <w:rFonts w:ascii="Calibri" w:hAnsi="Calibri" w:cs="Calibri"/>
                  <w:sz w:val="20"/>
                  <w:szCs w:val="20"/>
                </w:rPr>
                <w:t>456</w:t>
              </w:r>
              <w:r w:rsidR="00092989" w:rsidRPr="00092989">
                <w:rPr>
                  <w:rFonts w:ascii="Calibri" w:hAnsi="Calibri" w:cs="Calibri"/>
                  <w:sz w:val="20"/>
                  <w:szCs w:val="20"/>
                </w:rPr>
                <w:t>‬</w:t>
              </w:r>
              <w:r w:rsidR="00DB03CC">
                <w:t>‬</w:t>
              </w:r>
              <w:r w:rsidR="00B93B0F">
                <w:t>‬</w:t>
              </w:r>
              <w:r w:rsidR="004164FB">
                <w:t>‬</w:t>
              </w:r>
              <w:r w:rsidR="00B359F6">
                <w:t>‬</w:t>
              </w:r>
              <w:r w:rsidR="00890A57">
                <w:t>‬</w:t>
              </w:r>
              <w:r w:rsidR="00B10706">
                <w:t>‬</w:t>
              </w:r>
              <w:r w:rsidR="00055FAE">
                <w:t>‬</w:t>
              </w:r>
              <w:r w:rsidR="00EB590D">
                <w:t>‬</w:t>
              </w:r>
              <w:r w:rsidR="001B6268">
                <w:t>‬</w:t>
              </w:r>
              <w:r w:rsidR="003B137A">
                <w:t>‬</w:t>
              </w:r>
              <w:r w:rsidR="0070612A">
                <w:t>‬</w:t>
              </w:r>
              <w:r w:rsidR="00B94E23">
                <w:t>‬</w:t>
              </w:r>
              <w:r w:rsidR="00B13CCD">
                <w:t>‬</w:t>
              </w:r>
              <w:r w:rsidR="009B65FC">
                <w:t>‬</w:t>
              </w:r>
              <w:r w:rsidR="00227988">
                <w:t>‬</w:t>
              </w:r>
              <w:r w:rsidR="003D7715">
                <w:t>‬</w:t>
              </w:r>
              <w:r w:rsidR="005A2B16">
                <w:t>‬</w:t>
              </w:r>
              <w:r w:rsidR="00B43881">
                <w:t>‬</w:t>
              </w:r>
              <w:r w:rsidR="00355468">
                <w:t>‬</w:t>
              </w:r>
              <w:r w:rsidR="00BD754F">
                <w:t>‬</w:t>
              </w:r>
              <w:r w:rsidR="00194FF4">
                <w:t>‬</w:t>
              </w:r>
              <w:r w:rsidR="00F25461">
                <w:t>‬</w:t>
              </w:r>
              <w:r w:rsidR="00F13E22">
                <w:t>‬</w:t>
              </w:r>
              <w:r w:rsidR="00AA1B14">
                <w:t>‬</w:t>
              </w:r>
              <w:r w:rsidR="00C4183A">
                <w:t>‬</w:t>
              </w:r>
              <w:r w:rsidR="00B64206">
                <w:t>‬</w:t>
              </w:r>
              <w:r w:rsidR="008F0EDF">
                <w:t>‬</w:t>
              </w:r>
              <w:r w:rsidR="00101AEB">
                <w:t>‬</w:t>
              </w:r>
              <w:r>
                <w:t>‬</w:t>
              </w:r>
            </w:bdo>
          </w:p>
        </w:tc>
      </w:tr>
      <w:tr w:rsidR="009137C7" w:rsidRPr="009137C7" w14:paraId="357D51D7" w14:textId="77777777" w:rsidTr="008E76F7">
        <w:tc>
          <w:tcPr>
            <w:tcW w:w="2610" w:type="dxa"/>
            <w:vMerge/>
          </w:tcPr>
          <w:p w14:paraId="12402C22" w14:textId="77777777" w:rsidR="00E22B7B" w:rsidRPr="009137C7" w:rsidRDefault="00E22B7B" w:rsidP="00B03A31">
            <w:pPr>
              <w:rPr>
                <w:rFonts w:ascii="Calibri" w:hAnsi="Calibri" w:cs="Calibri"/>
                <w:sz w:val="20"/>
                <w:szCs w:val="20"/>
              </w:rPr>
            </w:pPr>
          </w:p>
        </w:tc>
        <w:tc>
          <w:tcPr>
            <w:tcW w:w="1467" w:type="dxa"/>
            <w:vMerge/>
          </w:tcPr>
          <w:p w14:paraId="42E9D6AA" w14:textId="77777777" w:rsidR="00E22B7B" w:rsidRPr="009137C7" w:rsidRDefault="00E22B7B" w:rsidP="00B03A31">
            <w:pPr>
              <w:jc w:val="right"/>
              <w:rPr>
                <w:rFonts w:ascii="Calibri" w:hAnsi="Calibri" w:cs="Calibri"/>
                <w:sz w:val="20"/>
                <w:szCs w:val="20"/>
              </w:rPr>
            </w:pPr>
          </w:p>
        </w:tc>
        <w:tc>
          <w:tcPr>
            <w:tcW w:w="2268" w:type="dxa"/>
            <w:vMerge/>
          </w:tcPr>
          <w:p w14:paraId="1FDD0815" w14:textId="77777777" w:rsidR="00E22B7B" w:rsidRPr="009137C7" w:rsidRDefault="00E22B7B" w:rsidP="00B03A31">
            <w:pPr>
              <w:rPr>
                <w:rFonts w:ascii="Calibri" w:hAnsi="Calibri" w:cs="Calibri"/>
                <w:sz w:val="20"/>
                <w:szCs w:val="20"/>
              </w:rPr>
            </w:pPr>
          </w:p>
        </w:tc>
        <w:tc>
          <w:tcPr>
            <w:tcW w:w="1552" w:type="dxa"/>
          </w:tcPr>
          <w:p w14:paraId="7D8BDCAD" w14:textId="77777777" w:rsidR="00E22B7B" w:rsidRPr="009137C7" w:rsidRDefault="00E22B7B" w:rsidP="00B03A31">
            <w:pPr>
              <w:rPr>
                <w:rFonts w:ascii="Calibri" w:hAnsi="Calibri" w:cs="Calibri"/>
                <w:sz w:val="20"/>
                <w:szCs w:val="20"/>
              </w:rPr>
            </w:pPr>
            <w:r w:rsidRPr="009137C7">
              <w:rPr>
                <w:rFonts w:ascii="Calibri" w:hAnsi="Calibri" w:cs="Calibri"/>
                <w:sz w:val="20"/>
                <w:szCs w:val="20"/>
              </w:rPr>
              <w:t>jako % cílového stavu</w:t>
            </w:r>
          </w:p>
        </w:tc>
        <w:tc>
          <w:tcPr>
            <w:tcW w:w="1366" w:type="dxa"/>
          </w:tcPr>
          <w:p w14:paraId="799DCAE3" w14:textId="217F8A52" w:rsidR="00E22B7B" w:rsidRPr="009137C7" w:rsidRDefault="00092989" w:rsidP="00B03A31">
            <w:pPr>
              <w:jc w:val="right"/>
              <w:rPr>
                <w:rFonts w:ascii="Calibri" w:hAnsi="Calibri" w:cs="Calibri"/>
                <w:sz w:val="20"/>
                <w:szCs w:val="20"/>
              </w:rPr>
            </w:pPr>
            <w:r>
              <w:rPr>
                <w:rFonts w:ascii="Calibri" w:hAnsi="Calibri" w:cs="Calibri"/>
                <w:sz w:val="20"/>
                <w:szCs w:val="20"/>
              </w:rPr>
              <w:t>8,59 %</w:t>
            </w:r>
          </w:p>
        </w:tc>
      </w:tr>
      <w:tr w:rsidR="008E76F7" w:rsidRPr="00BB00E7" w14:paraId="3BFDED6B" w14:textId="77777777" w:rsidTr="008E76F7">
        <w:tc>
          <w:tcPr>
            <w:tcW w:w="2610" w:type="dxa"/>
            <w:vMerge w:val="restart"/>
          </w:tcPr>
          <w:p w14:paraId="243C0A63" w14:textId="77777777" w:rsidR="008E76F7" w:rsidRPr="00BB00E7" w:rsidRDefault="008E76F7" w:rsidP="00835293">
            <w:pPr>
              <w:rPr>
                <w:rFonts w:ascii="Calibri" w:hAnsi="Calibri" w:cs="Calibri"/>
                <w:sz w:val="20"/>
                <w:szCs w:val="20"/>
              </w:rPr>
            </w:pPr>
            <w:r w:rsidRPr="008A4986">
              <w:rPr>
                <w:rFonts w:ascii="Calibri" w:hAnsi="Calibri" w:cs="Calibri"/>
                <w:sz w:val="20"/>
                <w:szCs w:val="20"/>
              </w:rPr>
              <w:t>Počet podniků pobírajících podporu</w:t>
            </w:r>
          </w:p>
        </w:tc>
        <w:tc>
          <w:tcPr>
            <w:tcW w:w="1467" w:type="dxa"/>
            <w:vMerge w:val="restart"/>
          </w:tcPr>
          <w:p w14:paraId="2E674CA3" w14:textId="03B87D3A" w:rsidR="008E76F7" w:rsidRPr="00BB00E7" w:rsidRDefault="008E76F7" w:rsidP="00835293">
            <w:pPr>
              <w:jc w:val="right"/>
              <w:rPr>
                <w:rFonts w:ascii="Calibri" w:hAnsi="Calibri" w:cs="Calibri"/>
                <w:sz w:val="20"/>
                <w:szCs w:val="20"/>
              </w:rPr>
            </w:pPr>
            <w:r>
              <w:rPr>
                <w:rFonts w:ascii="Calibri" w:hAnsi="Calibri" w:cs="Calibri"/>
                <w:sz w:val="20"/>
                <w:szCs w:val="20"/>
              </w:rPr>
              <w:t>2739</w:t>
            </w:r>
          </w:p>
        </w:tc>
        <w:tc>
          <w:tcPr>
            <w:tcW w:w="2268" w:type="dxa"/>
            <w:vMerge w:val="restart"/>
          </w:tcPr>
          <w:p w14:paraId="4BF3C66E" w14:textId="77777777" w:rsidR="008E76F7" w:rsidRPr="00BB00E7" w:rsidRDefault="008E76F7" w:rsidP="00835293">
            <w:pPr>
              <w:rPr>
                <w:rFonts w:ascii="Calibri" w:hAnsi="Calibri" w:cs="Calibri"/>
                <w:sz w:val="20"/>
                <w:szCs w:val="20"/>
              </w:rPr>
            </w:pPr>
            <w:r w:rsidRPr="008A4986">
              <w:rPr>
                <w:rFonts w:ascii="Calibri" w:hAnsi="Calibri" w:cs="Calibri"/>
                <w:sz w:val="20"/>
                <w:szCs w:val="20"/>
              </w:rPr>
              <w:t>Počet podniků pobírajících podporu</w:t>
            </w:r>
          </w:p>
        </w:tc>
        <w:tc>
          <w:tcPr>
            <w:tcW w:w="1552" w:type="dxa"/>
          </w:tcPr>
          <w:p w14:paraId="62105329" w14:textId="77777777" w:rsidR="008E76F7" w:rsidRPr="00BB00E7" w:rsidRDefault="008E76F7" w:rsidP="00835293">
            <w:pPr>
              <w:rPr>
                <w:rFonts w:ascii="Calibri" w:hAnsi="Calibri" w:cs="Calibri"/>
                <w:sz w:val="20"/>
                <w:szCs w:val="20"/>
              </w:rPr>
            </w:pPr>
            <w:r w:rsidRPr="00BB00E7">
              <w:rPr>
                <w:rFonts w:ascii="Calibri" w:hAnsi="Calibri" w:cs="Calibri"/>
                <w:sz w:val="20"/>
                <w:szCs w:val="20"/>
              </w:rPr>
              <w:t xml:space="preserve">absol. </w:t>
            </w:r>
          </w:p>
        </w:tc>
        <w:tc>
          <w:tcPr>
            <w:tcW w:w="1366" w:type="dxa"/>
          </w:tcPr>
          <w:p w14:paraId="275326A2" w14:textId="348B75C7" w:rsidR="008E76F7" w:rsidRPr="009A5DBA" w:rsidRDefault="002746CD" w:rsidP="009A5DBA">
            <w:pPr>
              <w:jc w:val="right"/>
              <w:rPr>
                <w:rFonts w:ascii="Calibri" w:hAnsi="Calibri" w:cs="Calibri"/>
                <w:sz w:val="20"/>
                <w:szCs w:val="20"/>
              </w:rPr>
            </w:pPr>
            <w:r w:rsidRPr="009A5DBA">
              <w:rPr>
                <w:rFonts w:ascii="Calibri" w:hAnsi="Calibri" w:cs="Calibri"/>
                <w:sz w:val="20"/>
                <w:szCs w:val="20"/>
              </w:rPr>
              <w:t>331</w:t>
            </w:r>
          </w:p>
        </w:tc>
      </w:tr>
      <w:tr w:rsidR="008E76F7" w:rsidRPr="00BB00E7" w14:paraId="3B2364E8" w14:textId="77777777" w:rsidTr="008E76F7">
        <w:tc>
          <w:tcPr>
            <w:tcW w:w="2610" w:type="dxa"/>
            <w:vMerge/>
          </w:tcPr>
          <w:p w14:paraId="1789F02D" w14:textId="77777777" w:rsidR="008E76F7" w:rsidRPr="00BB00E7" w:rsidRDefault="008E76F7" w:rsidP="00835293">
            <w:pPr>
              <w:rPr>
                <w:rFonts w:ascii="Calibri" w:hAnsi="Calibri" w:cs="Calibri"/>
                <w:sz w:val="20"/>
                <w:szCs w:val="20"/>
              </w:rPr>
            </w:pPr>
          </w:p>
        </w:tc>
        <w:tc>
          <w:tcPr>
            <w:tcW w:w="1467" w:type="dxa"/>
            <w:vMerge/>
          </w:tcPr>
          <w:p w14:paraId="21CF9AB5" w14:textId="77777777" w:rsidR="008E76F7" w:rsidRPr="00BB00E7" w:rsidRDefault="008E76F7" w:rsidP="00835293">
            <w:pPr>
              <w:jc w:val="right"/>
              <w:rPr>
                <w:rFonts w:ascii="Calibri" w:hAnsi="Calibri" w:cs="Calibri"/>
                <w:sz w:val="20"/>
                <w:szCs w:val="20"/>
              </w:rPr>
            </w:pPr>
          </w:p>
        </w:tc>
        <w:tc>
          <w:tcPr>
            <w:tcW w:w="2268" w:type="dxa"/>
            <w:vMerge/>
          </w:tcPr>
          <w:p w14:paraId="346ED99C" w14:textId="77777777" w:rsidR="008E76F7" w:rsidRPr="00BB00E7" w:rsidRDefault="008E76F7" w:rsidP="00835293">
            <w:pPr>
              <w:rPr>
                <w:rFonts w:ascii="Calibri" w:hAnsi="Calibri" w:cs="Calibri"/>
                <w:sz w:val="20"/>
                <w:szCs w:val="20"/>
              </w:rPr>
            </w:pPr>
          </w:p>
        </w:tc>
        <w:tc>
          <w:tcPr>
            <w:tcW w:w="1552" w:type="dxa"/>
          </w:tcPr>
          <w:p w14:paraId="1B9F16EE" w14:textId="77777777" w:rsidR="008E76F7" w:rsidRPr="00BB00E7" w:rsidRDefault="008E76F7" w:rsidP="00835293">
            <w:pPr>
              <w:rPr>
                <w:rFonts w:ascii="Calibri" w:hAnsi="Calibri" w:cs="Calibri"/>
                <w:sz w:val="20"/>
                <w:szCs w:val="20"/>
              </w:rPr>
            </w:pPr>
            <w:r w:rsidRPr="00BB00E7">
              <w:rPr>
                <w:rFonts w:ascii="Calibri" w:hAnsi="Calibri" w:cs="Calibri"/>
                <w:sz w:val="20"/>
                <w:szCs w:val="20"/>
              </w:rPr>
              <w:t>jako % cílového stavu</w:t>
            </w:r>
          </w:p>
        </w:tc>
        <w:tc>
          <w:tcPr>
            <w:tcW w:w="1366" w:type="dxa"/>
          </w:tcPr>
          <w:p w14:paraId="413F7975" w14:textId="3B0764AE" w:rsidR="008E76F7" w:rsidRPr="009A5DBA" w:rsidRDefault="009A5DBA" w:rsidP="009A5DBA">
            <w:pPr>
              <w:jc w:val="right"/>
              <w:rPr>
                <w:rFonts w:ascii="Calibri" w:hAnsi="Calibri" w:cs="Calibri"/>
                <w:sz w:val="20"/>
                <w:szCs w:val="20"/>
              </w:rPr>
            </w:pPr>
            <w:r w:rsidRPr="009A5DBA">
              <w:rPr>
                <w:rFonts w:ascii="Calibri" w:hAnsi="Calibri" w:cs="Calibri"/>
                <w:sz w:val="20"/>
                <w:szCs w:val="20"/>
              </w:rPr>
              <w:t>12,08 %</w:t>
            </w:r>
          </w:p>
        </w:tc>
      </w:tr>
      <w:tr w:rsidR="008E76F7" w:rsidRPr="00BB00E7" w14:paraId="1BF59093" w14:textId="77777777" w:rsidTr="008E76F7">
        <w:trPr>
          <w:trHeight w:val="340"/>
        </w:trPr>
        <w:tc>
          <w:tcPr>
            <w:tcW w:w="2610" w:type="dxa"/>
            <w:vMerge w:val="restart"/>
          </w:tcPr>
          <w:p w14:paraId="50E7B8FC" w14:textId="77777777" w:rsidR="008E76F7" w:rsidRPr="00BB00E7" w:rsidRDefault="008E76F7" w:rsidP="00835293">
            <w:pPr>
              <w:rPr>
                <w:rFonts w:ascii="Calibri" w:hAnsi="Calibri" w:cs="Calibri"/>
                <w:sz w:val="20"/>
                <w:szCs w:val="20"/>
              </w:rPr>
            </w:pPr>
            <w:r w:rsidRPr="001F14A6">
              <w:rPr>
                <w:rFonts w:ascii="Calibri" w:hAnsi="Calibri"/>
                <w:color w:val="000000"/>
                <w:sz w:val="18"/>
                <w:szCs w:val="18"/>
              </w:rPr>
              <w:t>Soukromé investice odpovídající veřejné podpoře podniků (granty)</w:t>
            </w:r>
            <w:r>
              <w:rPr>
                <w:rFonts w:ascii="Calibri" w:hAnsi="Calibri"/>
                <w:color w:val="000000"/>
                <w:sz w:val="18"/>
                <w:szCs w:val="18"/>
              </w:rPr>
              <w:t xml:space="preserve"> (CZK)</w:t>
            </w:r>
          </w:p>
        </w:tc>
        <w:tc>
          <w:tcPr>
            <w:tcW w:w="1467" w:type="dxa"/>
            <w:vMerge w:val="restart"/>
          </w:tcPr>
          <w:p w14:paraId="64B082CC" w14:textId="39F9DA95" w:rsidR="008E76F7" w:rsidRPr="00BB00E7" w:rsidRDefault="00E12F39" w:rsidP="00835293">
            <w:pPr>
              <w:jc w:val="right"/>
              <w:rPr>
                <w:rFonts w:ascii="Calibri" w:hAnsi="Calibri" w:cs="Calibri"/>
                <w:sz w:val="20"/>
                <w:szCs w:val="20"/>
              </w:rPr>
            </w:pPr>
            <w:bdo w:val="ltr">
              <w:bdo w:val="ltr">
                <w:r w:rsidR="008E76F7" w:rsidRPr="008E76F7">
                  <w:rPr>
                    <w:rFonts w:ascii="Calibri" w:hAnsi="Calibri" w:cs="Calibri"/>
                    <w:sz w:val="20"/>
                    <w:szCs w:val="20"/>
                  </w:rPr>
                  <w:t>45 858 120</w:t>
                </w:r>
                <w:r w:rsidR="008E76F7">
                  <w:rPr>
                    <w:rFonts w:ascii="Calibri" w:hAnsi="Calibri" w:cs="Calibri"/>
                    <w:sz w:val="20"/>
                    <w:szCs w:val="20"/>
                  </w:rPr>
                  <w:t> </w:t>
                </w:r>
                <w:r w:rsidR="008E76F7" w:rsidRPr="008E76F7">
                  <w:rPr>
                    <w:rFonts w:ascii="Calibri" w:hAnsi="Calibri" w:cs="Calibri"/>
                    <w:sz w:val="20"/>
                    <w:szCs w:val="20"/>
                  </w:rPr>
                  <w:t>000</w:t>
                </w:r>
                <w:r w:rsidR="008E76F7" w:rsidRPr="008E76F7">
                  <w:rPr>
                    <w:rFonts w:ascii="Calibri" w:hAnsi="Calibri" w:cs="Calibri"/>
                    <w:sz w:val="20"/>
                    <w:szCs w:val="20"/>
                  </w:rPr>
                  <w:t>‬</w:t>
                </w:r>
                <w:r w:rsidR="00DB03CC">
                  <w:t>‬</w:t>
                </w:r>
                <w:r w:rsidR="00DB03CC">
                  <w:t>‬</w:t>
                </w:r>
                <w:r w:rsidR="00B93B0F">
                  <w:t>‬</w:t>
                </w:r>
                <w:r w:rsidR="00B93B0F">
                  <w:t>‬</w:t>
                </w:r>
                <w:r w:rsidR="004164FB">
                  <w:t>‬</w:t>
                </w:r>
                <w:r w:rsidR="004164FB">
                  <w:t>‬</w:t>
                </w:r>
                <w:r w:rsidR="00B359F6">
                  <w:t>‬</w:t>
                </w:r>
                <w:r w:rsidR="00B359F6">
                  <w:t>‬</w:t>
                </w:r>
                <w:r w:rsidR="00890A57">
                  <w:t>‬</w:t>
                </w:r>
                <w:r w:rsidR="00890A57">
                  <w:t>‬</w:t>
                </w:r>
                <w:r w:rsidR="00B10706">
                  <w:t>‬</w:t>
                </w:r>
                <w:r w:rsidR="00B10706">
                  <w:t>‬</w:t>
                </w:r>
                <w:r w:rsidR="00055FAE">
                  <w:t>‬</w:t>
                </w:r>
                <w:r w:rsidR="00055FAE">
                  <w:t>‬</w:t>
                </w:r>
                <w:r w:rsidR="00EB590D">
                  <w:t>‬</w:t>
                </w:r>
                <w:r w:rsidR="00EB590D">
                  <w:t>‬</w:t>
                </w:r>
                <w:r w:rsidR="001B6268">
                  <w:t>‬</w:t>
                </w:r>
                <w:r w:rsidR="001B6268">
                  <w:t>‬</w:t>
                </w:r>
                <w:r w:rsidR="003B137A">
                  <w:t>‬</w:t>
                </w:r>
                <w:r w:rsidR="003B137A">
                  <w:t>‬</w:t>
                </w:r>
                <w:r w:rsidR="0070612A">
                  <w:t>‬</w:t>
                </w:r>
                <w:r w:rsidR="0070612A">
                  <w:t>‬</w:t>
                </w:r>
                <w:r w:rsidR="00B94E23">
                  <w:t>‬</w:t>
                </w:r>
                <w:r w:rsidR="00B94E23">
                  <w:t>‬</w:t>
                </w:r>
                <w:r w:rsidR="00B13CCD">
                  <w:t>‬</w:t>
                </w:r>
                <w:r w:rsidR="00B13CCD">
                  <w:t>‬</w:t>
                </w:r>
                <w:r w:rsidR="009B65FC">
                  <w:t>‬</w:t>
                </w:r>
                <w:r w:rsidR="009B65FC">
                  <w:t>‬</w:t>
                </w:r>
                <w:r w:rsidR="00227988">
                  <w:t>‬</w:t>
                </w:r>
                <w:r w:rsidR="00227988">
                  <w:t>‬</w:t>
                </w:r>
                <w:r w:rsidR="003D7715">
                  <w:t>‬</w:t>
                </w:r>
                <w:r w:rsidR="003D7715">
                  <w:t>‬</w:t>
                </w:r>
                <w:r w:rsidR="005A2B16">
                  <w:t>‬</w:t>
                </w:r>
                <w:r w:rsidR="005A2B16">
                  <w:t>‬</w:t>
                </w:r>
                <w:r w:rsidR="00B43881">
                  <w:t>‬</w:t>
                </w:r>
                <w:r w:rsidR="00B43881">
                  <w:t>‬</w:t>
                </w:r>
                <w:r w:rsidR="00355468">
                  <w:t>‬</w:t>
                </w:r>
                <w:r w:rsidR="00355468">
                  <w:t>‬</w:t>
                </w:r>
                <w:r w:rsidR="00BD754F">
                  <w:t>‬</w:t>
                </w:r>
                <w:r w:rsidR="00BD754F">
                  <w:t>‬</w:t>
                </w:r>
                <w:r w:rsidR="00194FF4">
                  <w:t>‬</w:t>
                </w:r>
                <w:r w:rsidR="00194FF4">
                  <w:t>‬</w:t>
                </w:r>
                <w:r w:rsidR="00F25461">
                  <w:t>‬</w:t>
                </w:r>
                <w:r w:rsidR="00F25461">
                  <w:t>‬</w:t>
                </w:r>
                <w:r w:rsidR="00F13E22">
                  <w:t>‬</w:t>
                </w:r>
                <w:r w:rsidR="00F13E22">
                  <w:t>‬</w:t>
                </w:r>
                <w:r w:rsidR="00AA1B14">
                  <w:t>‬</w:t>
                </w:r>
                <w:r w:rsidR="00AA1B14">
                  <w:t>‬</w:t>
                </w:r>
                <w:r w:rsidR="00C4183A">
                  <w:t>‬</w:t>
                </w:r>
                <w:r w:rsidR="00C4183A">
                  <w:t>‬</w:t>
                </w:r>
                <w:r w:rsidR="00B64206">
                  <w:t>‬</w:t>
                </w:r>
                <w:r w:rsidR="00B64206">
                  <w:t>‬</w:t>
                </w:r>
                <w:r w:rsidR="008F0EDF">
                  <w:t>‬</w:t>
                </w:r>
                <w:r w:rsidR="008F0EDF">
                  <w:t>‬</w:t>
                </w:r>
                <w:r w:rsidR="00101AEB">
                  <w:t>‬</w:t>
                </w:r>
                <w:r w:rsidR="00101AEB">
                  <w:t>‬</w:t>
                </w:r>
                <w:r>
                  <w:t>‬</w:t>
                </w:r>
                <w:r>
                  <w:t>‬</w:t>
                </w:r>
              </w:bdo>
            </w:bdo>
          </w:p>
        </w:tc>
        <w:tc>
          <w:tcPr>
            <w:tcW w:w="2268" w:type="dxa"/>
            <w:vMerge w:val="restart"/>
          </w:tcPr>
          <w:p w14:paraId="6296B17C" w14:textId="77777777" w:rsidR="008E76F7" w:rsidRPr="00BB00E7" w:rsidRDefault="008E76F7" w:rsidP="00835293">
            <w:pPr>
              <w:rPr>
                <w:rFonts w:ascii="Calibri" w:hAnsi="Calibri" w:cs="Calibri"/>
                <w:sz w:val="20"/>
                <w:szCs w:val="20"/>
              </w:rPr>
            </w:pPr>
            <w:r w:rsidRPr="001F14A6">
              <w:rPr>
                <w:rFonts w:ascii="Calibri" w:hAnsi="Calibri"/>
                <w:color w:val="000000"/>
                <w:sz w:val="18"/>
                <w:szCs w:val="18"/>
              </w:rPr>
              <w:t>Soukromé investice odpovídající veřejné podpoře podniků (granty)</w:t>
            </w:r>
            <w:r>
              <w:rPr>
                <w:rFonts w:ascii="Calibri" w:hAnsi="Calibri"/>
                <w:color w:val="000000"/>
                <w:sz w:val="18"/>
                <w:szCs w:val="18"/>
              </w:rPr>
              <w:t xml:space="preserve"> (CZK)</w:t>
            </w:r>
          </w:p>
        </w:tc>
        <w:tc>
          <w:tcPr>
            <w:tcW w:w="1552" w:type="dxa"/>
          </w:tcPr>
          <w:p w14:paraId="4A23D908" w14:textId="77777777" w:rsidR="008E76F7" w:rsidRPr="00BB00E7" w:rsidRDefault="008E76F7" w:rsidP="00835293">
            <w:pPr>
              <w:rPr>
                <w:rFonts w:ascii="Calibri" w:hAnsi="Calibri" w:cs="Calibri"/>
                <w:sz w:val="20"/>
                <w:szCs w:val="20"/>
              </w:rPr>
            </w:pPr>
            <w:r w:rsidRPr="00BB00E7">
              <w:rPr>
                <w:rFonts w:ascii="Calibri" w:hAnsi="Calibri" w:cs="Calibri"/>
                <w:sz w:val="20"/>
                <w:szCs w:val="20"/>
              </w:rPr>
              <w:t xml:space="preserve">absol. </w:t>
            </w:r>
          </w:p>
        </w:tc>
        <w:tc>
          <w:tcPr>
            <w:tcW w:w="1366" w:type="dxa"/>
          </w:tcPr>
          <w:p w14:paraId="5C49F2D4" w14:textId="3870B6F5" w:rsidR="008E76F7" w:rsidRPr="00BB00E7" w:rsidRDefault="00E12F39" w:rsidP="00835293">
            <w:pPr>
              <w:jc w:val="right"/>
              <w:rPr>
                <w:rFonts w:ascii="Calibri" w:hAnsi="Calibri" w:cs="Calibri"/>
                <w:sz w:val="20"/>
                <w:szCs w:val="20"/>
              </w:rPr>
            </w:pPr>
            <w:bdo w:val="ltr">
              <w:bdo w:val="ltr">
                <w:r w:rsidR="002746CD" w:rsidRPr="002746CD">
                  <w:rPr>
                    <w:rFonts w:ascii="Calibri" w:hAnsi="Calibri" w:cs="Calibri"/>
                    <w:sz w:val="20"/>
                    <w:szCs w:val="20"/>
                  </w:rPr>
                  <w:t>3 747 291 409</w:t>
                </w:r>
                <w:r w:rsidR="00DB03CC">
                  <w:t>‬</w:t>
                </w:r>
                <w:r w:rsidR="00DB03CC">
                  <w:t>‬</w:t>
                </w:r>
                <w:r w:rsidR="00B93B0F">
                  <w:t>‬</w:t>
                </w:r>
                <w:r w:rsidR="00B93B0F">
                  <w:t>‬</w:t>
                </w:r>
                <w:r w:rsidR="004164FB">
                  <w:t>‬</w:t>
                </w:r>
                <w:r w:rsidR="004164FB">
                  <w:t>‬</w:t>
                </w:r>
                <w:r w:rsidR="00B359F6">
                  <w:t>‬</w:t>
                </w:r>
                <w:r w:rsidR="00B359F6">
                  <w:t>‬</w:t>
                </w:r>
                <w:r w:rsidR="00890A57">
                  <w:t>‬</w:t>
                </w:r>
                <w:r w:rsidR="00890A57">
                  <w:t>‬</w:t>
                </w:r>
                <w:r w:rsidR="00B10706">
                  <w:t>‬</w:t>
                </w:r>
                <w:r w:rsidR="00B10706">
                  <w:t>‬</w:t>
                </w:r>
                <w:r w:rsidR="00055FAE">
                  <w:t>‬</w:t>
                </w:r>
                <w:r w:rsidR="00055FAE">
                  <w:t>‬</w:t>
                </w:r>
                <w:r w:rsidR="00EB590D">
                  <w:t>‬</w:t>
                </w:r>
                <w:r w:rsidR="00EB590D">
                  <w:t>‬</w:t>
                </w:r>
                <w:r w:rsidR="001B6268">
                  <w:t>‬</w:t>
                </w:r>
                <w:r w:rsidR="001B6268">
                  <w:t>‬</w:t>
                </w:r>
                <w:r w:rsidR="003B137A">
                  <w:t>‬</w:t>
                </w:r>
                <w:r w:rsidR="003B137A">
                  <w:t>‬</w:t>
                </w:r>
                <w:r w:rsidR="0070612A">
                  <w:t>‬</w:t>
                </w:r>
                <w:r w:rsidR="0070612A">
                  <w:t>‬</w:t>
                </w:r>
                <w:r w:rsidR="00B94E23">
                  <w:t>‬</w:t>
                </w:r>
                <w:r w:rsidR="00B94E23">
                  <w:t>‬</w:t>
                </w:r>
                <w:r w:rsidR="00B13CCD">
                  <w:t>‬</w:t>
                </w:r>
                <w:r w:rsidR="00B13CCD">
                  <w:t>‬</w:t>
                </w:r>
                <w:r w:rsidR="009B65FC">
                  <w:t>‬</w:t>
                </w:r>
                <w:r w:rsidR="009B65FC">
                  <w:t>‬</w:t>
                </w:r>
                <w:r w:rsidR="00227988">
                  <w:t>‬</w:t>
                </w:r>
                <w:r w:rsidR="00227988">
                  <w:t>‬</w:t>
                </w:r>
                <w:r w:rsidR="003D7715">
                  <w:t>‬</w:t>
                </w:r>
                <w:r w:rsidR="003D7715">
                  <w:t>‬</w:t>
                </w:r>
                <w:r w:rsidR="005A2B16">
                  <w:t>‬</w:t>
                </w:r>
                <w:r w:rsidR="005A2B16">
                  <w:t>‬</w:t>
                </w:r>
                <w:r w:rsidR="00B43881">
                  <w:t>‬</w:t>
                </w:r>
                <w:r w:rsidR="00B43881">
                  <w:t>‬</w:t>
                </w:r>
                <w:r w:rsidR="00355468">
                  <w:t>‬</w:t>
                </w:r>
                <w:r w:rsidR="00355468">
                  <w:t>‬</w:t>
                </w:r>
                <w:r w:rsidR="00BD754F">
                  <w:t>‬</w:t>
                </w:r>
                <w:r w:rsidR="00BD754F">
                  <w:t>‬</w:t>
                </w:r>
                <w:r w:rsidR="00194FF4">
                  <w:t>‬</w:t>
                </w:r>
                <w:r w:rsidR="00194FF4">
                  <w:t>‬</w:t>
                </w:r>
                <w:r w:rsidR="00F25461">
                  <w:t>‬</w:t>
                </w:r>
                <w:r w:rsidR="00F25461">
                  <w:t>‬</w:t>
                </w:r>
                <w:r w:rsidR="00F13E22">
                  <w:t>‬</w:t>
                </w:r>
                <w:r w:rsidR="00F13E22">
                  <w:t>‬</w:t>
                </w:r>
                <w:r w:rsidR="00AA1B14">
                  <w:t>‬</w:t>
                </w:r>
                <w:r w:rsidR="00AA1B14">
                  <w:t>‬</w:t>
                </w:r>
                <w:r w:rsidR="00C4183A">
                  <w:t>‬</w:t>
                </w:r>
                <w:r w:rsidR="00C4183A">
                  <w:t>‬</w:t>
                </w:r>
                <w:r w:rsidR="00B64206">
                  <w:t>‬</w:t>
                </w:r>
                <w:r w:rsidR="00B64206">
                  <w:t>‬</w:t>
                </w:r>
                <w:r w:rsidR="008F0EDF">
                  <w:t>‬</w:t>
                </w:r>
                <w:r w:rsidR="008F0EDF">
                  <w:t>‬</w:t>
                </w:r>
                <w:r w:rsidR="00101AEB">
                  <w:t>‬</w:t>
                </w:r>
                <w:r w:rsidR="00101AEB">
                  <w:t>‬</w:t>
                </w:r>
                <w:r>
                  <w:t>‬</w:t>
                </w:r>
                <w:r>
                  <w:t>‬</w:t>
                </w:r>
              </w:bdo>
            </w:bdo>
          </w:p>
        </w:tc>
      </w:tr>
      <w:tr w:rsidR="008E76F7" w:rsidRPr="00BB00E7" w14:paraId="091FA59F" w14:textId="77777777" w:rsidTr="008E76F7">
        <w:trPr>
          <w:trHeight w:val="279"/>
        </w:trPr>
        <w:tc>
          <w:tcPr>
            <w:tcW w:w="2610" w:type="dxa"/>
            <w:vMerge/>
          </w:tcPr>
          <w:p w14:paraId="36B81DE9" w14:textId="77777777" w:rsidR="008E76F7" w:rsidRPr="001F14A6" w:rsidRDefault="008E76F7" w:rsidP="00835293">
            <w:pPr>
              <w:rPr>
                <w:rFonts w:ascii="Calibri" w:hAnsi="Calibri"/>
                <w:color w:val="000000"/>
                <w:sz w:val="18"/>
                <w:szCs w:val="18"/>
              </w:rPr>
            </w:pPr>
          </w:p>
        </w:tc>
        <w:tc>
          <w:tcPr>
            <w:tcW w:w="1467" w:type="dxa"/>
            <w:vMerge/>
          </w:tcPr>
          <w:p w14:paraId="50604A90" w14:textId="77777777" w:rsidR="008E76F7" w:rsidRPr="00BB00E7" w:rsidRDefault="008E76F7" w:rsidP="00835293">
            <w:pPr>
              <w:jc w:val="right"/>
              <w:rPr>
                <w:rFonts w:ascii="Calibri" w:hAnsi="Calibri" w:cs="Calibri"/>
                <w:sz w:val="20"/>
                <w:szCs w:val="20"/>
              </w:rPr>
            </w:pPr>
          </w:p>
        </w:tc>
        <w:tc>
          <w:tcPr>
            <w:tcW w:w="2268" w:type="dxa"/>
            <w:vMerge/>
          </w:tcPr>
          <w:p w14:paraId="191944C4" w14:textId="77777777" w:rsidR="008E76F7" w:rsidRPr="001F14A6" w:rsidRDefault="008E76F7" w:rsidP="00835293">
            <w:pPr>
              <w:rPr>
                <w:rFonts w:ascii="Calibri" w:hAnsi="Calibri"/>
                <w:color w:val="000000"/>
                <w:sz w:val="18"/>
                <w:szCs w:val="18"/>
              </w:rPr>
            </w:pPr>
          </w:p>
        </w:tc>
        <w:tc>
          <w:tcPr>
            <w:tcW w:w="1552" w:type="dxa"/>
          </w:tcPr>
          <w:p w14:paraId="796FCD7F" w14:textId="77777777" w:rsidR="008E76F7" w:rsidRPr="00BB00E7" w:rsidRDefault="008E76F7" w:rsidP="00835293">
            <w:pPr>
              <w:rPr>
                <w:rFonts w:ascii="Calibri" w:hAnsi="Calibri" w:cs="Calibri"/>
                <w:sz w:val="20"/>
                <w:szCs w:val="20"/>
              </w:rPr>
            </w:pPr>
            <w:r w:rsidRPr="00BB00E7">
              <w:rPr>
                <w:rFonts w:ascii="Calibri" w:hAnsi="Calibri" w:cs="Calibri"/>
                <w:sz w:val="20"/>
                <w:szCs w:val="20"/>
              </w:rPr>
              <w:t>jako % cílového stavu</w:t>
            </w:r>
          </w:p>
        </w:tc>
        <w:tc>
          <w:tcPr>
            <w:tcW w:w="1366" w:type="dxa"/>
          </w:tcPr>
          <w:p w14:paraId="512B671D" w14:textId="29CA165D" w:rsidR="008E76F7" w:rsidRPr="00092989" w:rsidRDefault="002746CD" w:rsidP="00835293">
            <w:pPr>
              <w:jc w:val="right"/>
              <w:rPr>
                <w:rFonts w:ascii="Calibri" w:hAnsi="Calibri" w:cs="Calibri"/>
                <w:sz w:val="20"/>
                <w:szCs w:val="20"/>
              </w:rPr>
            </w:pPr>
            <w:r>
              <w:rPr>
                <w:rFonts w:ascii="Calibri" w:hAnsi="Calibri" w:cs="Calibri"/>
                <w:sz w:val="20"/>
                <w:szCs w:val="20"/>
              </w:rPr>
              <w:t>8,17</w:t>
            </w:r>
            <w:r w:rsidR="008E76F7">
              <w:rPr>
                <w:rFonts w:ascii="Calibri" w:hAnsi="Calibri" w:cs="Calibri"/>
                <w:sz w:val="20"/>
                <w:szCs w:val="20"/>
              </w:rPr>
              <w:t xml:space="preserve"> %</w:t>
            </w:r>
          </w:p>
        </w:tc>
      </w:tr>
    </w:tbl>
    <w:p w14:paraId="434F5FBA" w14:textId="77777777" w:rsidR="008E5778" w:rsidRDefault="008E5778" w:rsidP="008E5778">
      <w:pPr>
        <w:spacing w:after="0"/>
        <w:rPr>
          <w:rFonts w:ascii="Calibri" w:hAnsi="Calibri" w:cs="Calibri"/>
          <w:i/>
          <w:sz w:val="16"/>
          <w:szCs w:val="16"/>
        </w:rPr>
      </w:pPr>
      <w:r w:rsidRPr="00C07FEB">
        <w:rPr>
          <w:rFonts w:ascii="Calibri" w:hAnsi="Calibri" w:cs="Calibri"/>
          <w:i/>
          <w:sz w:val="16"/>
          <w:szCs w:val="16"/>
        </w:rPr>
        <w:t>Pozn.: jedná se o přibližné hodnoty z důvodu kurzových změn a přepočtů CZK/EUR</w:t>
      </w:r>
    </w:p>
    <w:p w14:paraId="57182C99" w14:textId="77777777" w:rsidR="008E5778" w:rsidRPr="00C07FEB" w:rsidRDefault="008E5778" w:rsidP="008E5778">
      <w:pPr>
        <w:spacing w:after="0"/>
        <w:rPr>
          <w:rFonts w:ascii="Calibri" w:hAnsi="Calibri" w:cs="Calibri"/>
          <w:i/>
          <w:sz w:val="16"/>
          <w:szCs w:val="16"/>
        </w:rPr>
      </w:pPr>
      <w:r>
        <w:rPr>
          <w:rFonts w:ascii="Calibri" w:hAnsi="Calibri" w:cs="Calibri"/>
          <w:i/>
          <w:sz w:val="16"/>
          <w:szCs w:val="16"/>
        </w:rPr>
        <w:t>Zdroj: MS2014+, ŘO, vlastní propočty.</w:t>
      </w:r>
      <w:r w:rsidRPr="00C07FEB">
        <w:rPr>
          <w:rFonts w:ascii="Calibri" w:hAnsi="Calibri" w:cs="Calibri"/>
          <w:i/>
          <w:sz w:val="16"/>
          <w:szCs w:val="16"/>
        </w:rPr>
        <w:t xml:space="preserve">  </w:t>
      </w:r>
    </w:p>
    <w:p w14:paraId="4AFC8C54" w14:textId="77777777" w:rsidR="00CF0BD3" w:rsidRDefault="00CF0BD3" w:rsidP="00CF0BD3">
      <w:pPr>
        <w:spacing w:after="0"/>
        <w:rPr>
          <w:rFonts w:ascii="Calibri" w:hAnsi="Calibri" w:cs="Calibri"/>
          <w:b/>
        </w:rPr>
      </w:pPr>
    </w:p>
    <w:p w14:paraId="7370D732" w14:textId="02AC4494" w:rsidR="00CF0BD3" w:rsidRPr="006D20A9" w:rsidRDefault="00CF0BD3" w:rsidP="006D20A9">
      <w:pPr>
        <w:pStyle w:val="Nadpis4"/>
      </w:pPr>
      <w:r w:rsidRPr="006D20A9">
        <w:lastRenderedPageBreak/>
        <w:t>Specifický cíl 3.4</w:t>
      </w:r>
    </w:p>
    <w:p w14:paraId="646E2580" w14:textId="77777777" w:rsidR="000052B7" w:rsidRDefault="006D20A9" w:rsidP="00C91048">
      <w:pPr>
        <w:spacing w:after="0"/>
      </w:pPr>
      <w:r w:rsidRPr="000052B7">
        <w:t>Po hodnocení</w:t>
      </w:r>
      <w:r w:rsidR="000052B7">
        <w:t xml:space="preserve"> účinnosti intervencí byla použita data o indikativní alokaci programu, proplacených ŽoPl a výstupech v podobě počtu aplikovaných inovativních NUT a podniků pobírajících podporu.</w:t>
      </w:r>
    </w:p>
    <w:p w14:paraId="0A35D8E9" w14:textId="77777777" w:rsidR="000052B7" w:rsidRPr="000052B7" w:rsidRDefault="006D20A9" w:rsidP="00C91048">
      <w:pPr>
        <w:spacing w:after="0"/>
      </w:pPr>
      <w:r w:rsidRPr="000052B7">
        <w:t xml:space="preserve"> </w:t>
      </w:r>
    </w:p>
    <w:p w14:paraId="01C56275" w14:textId="4B9EBCD0" w:rsidR="000052B7" w:rsidRDefault="000052B7" w:rsidP="000052B7">
      <w:pPr>
        <w:pStyle w:val="Titulek"/>
      </w:pPr>
      <w:bookmarkStart w:id="240" w:name="_Toc10730042"/>
      <w:r>
        <w:t xml:space="preserve">Tabulka </w:t>
      </w:r>
      <w:r w:rsidR="00BD754F">
        <w:rPr>
          <w:noProof/>
        </w:rPr>
        <w:fldChar w:fldCharType="begin"/>
      </w:r>
      <w:r w:rsidR="00BD754F">
        <w:rPr>
          <w:noProof/>
        </w:rPr>
        <w:instrText xml:space="preserve"> SEQ Tabulka \* ARABIC </w:instrText>
      </w:r>
      <w:r w:rsidR="00BD754F">
        <w:rPr>
          <w:noProof/>
        </w:rPr>
        <w:fldChar w:fldCharType="separate"/>
      </w:r>
      <w:r w:rsidR="00E12F39">
        <w:rPr>
          <w:noProof/>
        </w:rPr>
        <w:t>23</w:t>
      </w:r>
      <w:r w:rsidR="00BD754F">
        <w:rPr>
          <w:noProof/>
        </w:rPr>
        <w:fldChar w:fldCharType="end"/>
      </w:r>
      <w:r>
        <w:t>: Ukazatele účinnosti PP Nízkouhlíkové technologie</w:t>
      </w:r>
      <w:bookmarkEnd w:id="240"/>
    </w:p>
    <w:tbl>
      <w:tblPr>
        <w:tblStyle w:val="Svtlmkatabulky15"/>
        <w:tblW w:w="9263" w:type="dxa"/>
        <w:tblLook w:val="04A0" w:firstRow="1" w:lastRow="0" w:firstColumn="1" w:lastColumn="0" w:noHBand="0" w:noVBand="1"/>
      </w:tblPr>
      <w:tblGrid>
        <w:gridCol w:w="2308"/>
        <w:gridCol w:w="1400"/>
        <w:gridCol w:w="2383"/>
        <w:gridCol w:w="1616"/>
        <w:gridCol w:w="1556"/>
      </w:tblGrid>
      <w:tr w:rsidR="000052B7" w:rsidRPr="000052B7" w14:paraId="72AB20CB" w14:textId="77777777" w:rsidTr="00E333FB">
        <w:trPr>
          <w:trHeight w:val="396"/>
          <w:tblHeader/>
        </w:trPr>
        <w:tc>
          <w:tcPr>
            <w:tcW w:w="3708" w:type="dxa"/>
            <w:gridSpan w:val="2"/>
            <w:shd w:val="clear" w:color="auto" w:fill="002060"/>
          </w:tcPr>
          <w:p w14:paraId="4ECF20AF" w14:textId="77777777" w:rsidR="000052B7" w:rsidRPr="000052B7" w:rsidRDefault="000052B7" w:rsidP="000052B7">
            <w:pPr>
              <w:jc w:val="center"/>
              <w:rPr>
                <w:rFonts w:ascii="Calibri" w:hAnsi="Calibri" w:cs="Calibri"/>
                <w:b/>
                <w:sz w:val="18"/>
                <w:szCs w:val="18"/>
              </w:rPr>
            </w:pPr>
            <w:r w:rsidRPr="000052B7">
              <w:rPr>
                <w:rFonts w:ascii="Calibri" w:hAnsi="Calibri" w:cs="Calibri"/>
                <w:b/>
                <w:sz w:val="18"/>
                <w:szCs w:val="18"/>
              </w:rPr>
              <w:t>Cílový stav (2023)</w:t>
            </w:r>
          </w:p>
        </w:tc>
        <w:tc>
          <w:tcPr>
            <w:tcW w:w="5555" w:type="dxa"/>
            <w:gridSpan w:val="3"/>
            <w:shd w:val="clear" w:color="auto" w:fill="002060"/>
          </w:tcPr>
          <w:p w14:paraId="7B25C2B2" w14:textId="77777777" w:rsidR="000052B7" w:rsidRPr="000052B7" w:rsidRDefault="000052B7" w:rsidP="000052B7">
            <w:pPr>
              <w:jc w:val="center"/>
              <w:rPr>
                <w:rFonts w:ascii="Calibri" w:hAnsi="Calibri" w:cs="Calibri"/>
                <w:b/>
                <w:sz w:val="18"/>
                <w:szCs w:val="18"/>
              </w:rPr>
            </w:pPr>
            <w:r w:rsidRPr="000052B7">
              <w:rPr>
                <w:rFonts w:ascii="Calibri" w:hAnsi="Calibri" w:cs="Calibri"/>
                <w:b/>
                <w:sz w:val="18"/>
                <w:szCs w:val="18"/>
              </w:rPr>
              <w:t>Dosažený stav (31. 12. 2018)</w:t>
            </w:r>
          </w:p>
        </w:tc>
      </w:tr>
      <w:tr w:rsidR="000052B7" w:rsidRPr="000052B7" w14:paraId="2D50C499" w14:textId="77777777" w:rsidTr="00E333FB">
        <w:tc>
          <w:tcPr>
            <w:tcW w:w="2308" w:type="dxa"/>
            <w:vMerge w:val="restart"/>
          </w:tcPr>
          <w:p w14:paraId="2A160EF2"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Indikativní alokace PP NUT (CZK)</w:t>
            </w:r>
          </w:p>
        </w:tc>
        <w:tc>
          <w:tcPr>
            <w:tcW w:w="1400" w:type="dxa"/>
            <w:vMerge w:val="restart"/>
          </w:tcPr>
          <w:p w14:paraId="2B4835DA"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2 018 553 472</w:t>
            </w:r>
          </w:p>
        </w:tc>
        <w:tc>
          <w:tcPr>
            <w:tcW w:w="2383" w:type="dxa"/>
            <w:vMerge w:val="restart"/>
          </w:tcPr>
          <w:p w14:paraId="0C46C12B"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Proplacené Žádosti o platbu (CZK)</w:t>
            </w:r>
          </w:p>
        </w:tc>
        <w:tc>
          <w:tcPr>
            <w:tcW w:w="1616" w:type="dxa"/>
          </w:tcPr>
          <w:p w14:paraId="116D415A"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absol. (CZK)</w:t>
            </w:r>
          </w:p>
        </w:tc>
        <w:tc>
          <w:tcPr>
            <w:tcW w:w="1556" w:type="dxa"/>
          </w:tcPr>
          <w:p w14:paraId="2770CC0D"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86 764 216</w:t>
            </w:r>
          </w:p>
        </w:tc>
      </w:tr>
      <w:tr w:rsidR="000052B7" w:rsidRPr="000052B7" w14:paraId="2196742C" w14:textId="77777777" w:rsidTr="00E333FB">
        <w:tc>
          <w:tcPr>
            <w:tcW w:w="2308" w:type="dxa"/>
            <w:vMerge/>
          </w:tcPr>
          <w:p w14:paraId="0E92EC10" w14:textId="77777777" w:rsidR="000052B7" w:rsidRPr="000052B7" w:rsidRDefault="000052B7" w:rsidP="000052B7">
            <w:pPr>
              <w:rPr>
                <w:rFonts w:ascii="Calibri" w:hAnsi="Calibri" w:cs="Calibri"/>
                <w:sz w:val="18"/>
                <w:szCs w:val="18"/>
              </w:rPr>
            </w:pPr>
          </w:p>
        </w:tc>
        <w:tc>
          <w:tcPr>
            <w:tcW w:w="1400" w:type="dxa"/>
            <w:vMerge/>
          </w:tcPr>
          <w:p w14:paraId="3576EA6B" w14:textId="77777777" w:rsidR="000052B7" w:rsidRPr="000052B7" w:rsidRDefault="000052B7" w:rsidP="000052B7">
            <w:pPr>
              <w:jc w:val="right"/>
              <w:rPr>
                <w:rFonts w:ascii="Calibri" w:hAnsi="Calibri" w:cs="Calibri"/>
                <w:sz w:val="18"/>
                <w:szCs w:val="18"/>
              </w:rPr>
            </w:pPr>
          </w:p>
        </w:tc>
        <w:tc>
          <w:tcPr>
            <w:tcW w:w="2383" w:type="dxa"/>
            <w:vMerge/>
          </w:tcPr>
          <w:p w14:paraId="2E0BE516" w14:textId="77777777" w:rsidR="000052B7" w:rsidRPr="000052B7" w:rsidRDefault="000052B7" w:rsidP="000052B7">
            <w:pPr>
              <w:rPr>
                <w:rFonts w:ascii="Calibri" w:hAnsi="Calibri" w:cs="Calibri"/>
                <w:sz w:val="18"/>
                <w:szCs w:val="18"/>
              </w:rPr>
            </w:pPr>
          </w:p>
        </w:tc>
        <w:tc>
          <w:tcPr>
            <w:tcW w:w="1616" w:type="dxa"/>
          </w:tcPr>
          <w:p w14:paraId="19604B25"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jako % cílového stavu</w:t>
            </w:r>
          </w:p>
        </w:tc>
        <w:tc>
          <w:tcPr>
            <w:tcW w:w="1556" w:type="dxa"/>
          </w:tcPr>
          <w:p w14:paraId="1E2F8F3A"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4,3 %</w:t>
            </w:r>
          </w:p>
        </w:tc>
      </w:tr>
      <w:tr w:rsidR="000052B7" w:rsidRPr="000052B7" w14:paraId="4F560FEB" w14:textId="77777777" w:rsidTr="00E333FB">
        <w:tc>
          <w:tcPr>
            <w:tcW w:w="2308" w:type="dxa"/>
            <w:vMerge w:val="restart"/>
          </w:tcPr>
          <w:p w14:paraId="23F37621"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Počet aplikovaných inovativních NUT</w:t>
            </w:r>
          </w:p>
        </w:tc>
        <w:tc>
          <w:tcPr>
            <w:tcW w:w="1400" w:type="dxa"/>
            <w:vMerge w:val="restart"/>
          </w:tcPr>
          <w:p w14:paraId="4E07A807"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650</w:t>
            </w:r>
          </w:p>
        </w:tc>
        <w:tc>
          <w:tcPr>
            <w:tcW w:w="2383" w:type="dxa"/>
            <w:vMerge w:val="restart"/>
          </w:tcPr>
          <w:p w14:paraId="16C5FECB"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Počet aplikovaných inovativních NUT</w:t>
            </w:r>
          </w:p>
        </w:tc>
        <w:tc>
          <w:tcPr>
            <w:tcW w:w="1616" w:type="dxa"/>
          </w:tcPr>
          <w:p w14:paraId="44CC7AF3"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 xml:space="preserve">absol. </w:t>
            </w:r>
          </w:p>
        </w:tc>
        <w:tc>
          <w:tcPr>
            <w:tcW w:w="1556" w:type="dxa"/>
          </w:tcPr>
          <w:p w14:paraId="7395A7DF"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52</w:t>
            </w:r>
          </w:p>
        </w:tc>
      </w:tr>
      <w:tr w:rsidR="000052B7" w:rsidRPr="000052B7" w14:paraId="2172198D" w14:textId="77777777" w:rsidTr="00E333FB">
        <w:tc>
          <w:tcPr>
            <w:tcW w:w="2308" w:type="dxa"/>
            <w:vMerge/>
          </w:tcPr>
          <w:p w14:paraId="33AD9897" w14:textId="77777777" w:rsidR="000052B7" w:rsidRPr="000052B7" w:rsidRDefault="000052B7" w:rsidP="000052B7">
            <w:pPr>
              <w:rPr>
                <w:rFonts w:ascii="Calibri" w:hAnsi="Calibri" w:cs="Calibri"/>
                <w:sz w:val="18"/>
                <w:szCs w:val="18"/>
              </w:rPr>
            </w:pPr>
          </w:p>
        </w:tc>
        <w:tc>
          <w:tcPr>
            <w:tcW w:w="1400" w:type="dxa"/>
            <w:vMerge/>
          </w:tcPr>
          <w:p w14:paraId="25C3BA1D" w14:textId="77777777" w:rsidR="000052B7" w:rsidRPr="000052B7" w:rsidRDefault="000052B7" w:rsidP="000052B7">
            <w:pPr>
              <w:jc w:val="right"/>
              <w:rPr>
                <w:rFonts w:ascii="Calibri" w:hAnsi="Calibri" w:cs="Calibri"/>
                <w:sz w:val="18"/>
                <w:szCs w:val="18"/>
              </w:rPr>
            </w:pPr>
          </w:p>
        </w:tc>
        <w:tc>
          <w:tcPr>
            <w:tcW w:w="2383" w:type="dxa"/>
            <w:vMerge/>
          </w:tcPr>
          <w:p w14:paraId="60C7BB88" w14:textId="77777777" w:rsidR="000052B7" w:rsidRPr="000052B7" w:rsidRDefault="000052B7" w:rsidP="000052B7">
            <w:pPr>
              <w:rPr>
                <w:rFonts w:ascii="Calibri" w:hAnsi="Calibri" w:cs="Calibri"/>
                <w:sz w:val="18"/>
                <w:szCs w:val="18"/>
              </w:rPr>
            </w:pPr>
          </w:p>
        </w:tc>
        <w:tc>
          <w:tcPr>
            <w:tcW w:w="1616" w:type="dxa"/>
          </w:tcPr>
          <w:p w14:paraId="697237CE"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jako % cílového stavu</w:t>
            </w:r>
          </w:p>
        </w:tc>
        <w:tc>
          <w:tcPr>
            <w:tcW w:w="1556" w:type="dxa"/>
          </w:tcPr>
          <w:p w14:paraId="5DD3CD26"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8 %</w:t>
            </w:r>
          </w:p>
        </w:tc>
      </w:tr>
      <w:tr w:rsidR="000052B7" w:rsidRPr="000052B7" w14:paraId="1D11F774" w14:textId="77777777" w:rsidTr="00E333FB">
        <w:tc>
          <w:tcPr>
            <w:tcW w:w="2308" w:type="dxa"/>
            <w:vMerge w:val="restart"/>
          </w:tcPr>
          <w:p w14:paraId="314AFB88"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Počet podniků pobírajících podporu</w:t>
            </w:r>
          </w:p>
        </w:tc>
        <w:tc>
          <w:tcPr>
            <w:tcW w:w="1400" w:type="dxa"/>
            <w:vMerge w:val="restart"/>
          </w:tcPr>
          <w:p w14:paraId="24A06AEC"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600</w:t>
            </w:r>
          </w:p>
        </w:tc>
        <w:tc>
          <w:tcPr>
            <w:tcW w:w="2383" w:type="dxa"/>
            <w:vMerge w:val="restart"/>
          </w:tcPr>
          <w:p w14:paraId="3932A365"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Počet podniků pobírajících podporu</w:t>
            </w:r>
          </w:p>
        </w:tc>
        <w:tc>
          <w:tcPr>
            <w:tcW w:w="1616" w:type="dxa"/>
          </w:tcPr>
          <w:p w14:paraId="66B3345A"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 xml:space="preserve">absol. </w:t>
            </w:r>
          </w:p>
        </w:tc>
        <w:tc>
          <w:tcPr>
            <w:tcW w:w="1556" w:type="dxa"/>
          </w:tcPr>
          <w:p w14:paraId="03EC58A9"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66</w:t>
            </w:r>
          </w:p>
        </w:tc>
      </w:tr>
      <w:tr w:rsidR="000052B7" w:rsidRPr="000052B7" w14:paraId="267ECCBC" w14:textId="77777777" w:rsidTr="00E333FB">
        <w:tc>
          <w:tcPr>
            <w:tcW w:w="2308" w:type="dxa"/>
            <w:vMerge/>
          </w:tcPr>
          <w:p w14:paraId="554EEF7C" w14:textId="77777777" w:rsidR="000052B7" w:rsidRPr="000052B7" w:rsidRDefault="000052B7" w:rsidP="000052B7">
            <w:pPr>
              <w:rPr>
                <w:rFonts w:ascii="Calibri" w:hAnsi="Calibri" w:cs="Calibri"/>
                <w:sz w:val="18"/>
                <w:szCs w:val="18"/>
              </w:rPr>
            </w:pPr>
          </w:p>
        </w:tc>
        <w:tc>
          <w:tcPr>
            <w:tcW w:w="1400" w:type="dxa"/>
            <w:vMerge/>
          </w:tcPr>
          <w:p w14:paraId="504659CA" w14:textId="77777777" w:rsidR="000052B7" w:rsidRPr="000052B7" w:rsidRDefault="000052B7" w:rsidP="000052B7">
            <w:pPr>
              <w:jc w:val="right"/>
              <w:rPr>
                <w:rFonts w:ascii="Calibri" w:hAnsi="Calibri" w:cs="Calibri"/>
                <w:sz w:val="18"/>
                <w:szCs w:val="18"/>
              </w:rPr>
            </w:pPr>
          </w:p>
        </w:tc>
        <w:tc>
          <w:tcPr>
            <w:tcW w:w="2383" w:type="dxa"/>
            <w:vMerge/>
          </w:tcPr>
          <w:p w14:paraId="35EF69E2" w14:textId="77777777" w:rsidR="000052B7" w:rsidRPr="000052B7" w:rsidRDefault="000052B7" w:rsidP="000052B7">
            <w:pPr>
              <w:rPr>
                <w:rFonts w:ascii="Calibri" w:hAnsi="Calibri" w:cs="Calibri"/>
                <w:sz w:val="18"/>
                <w:szCs w:val="18"/>
              </w:rPr>
            </w:pPr>
          </w:p>
        </w:tc>
        <w:tc>
          <w:tcPr>
            <w:tcW w:w="1616" w:type="dxa"/>
          </w:tcPr>
          <w:p w14:paraId="3CBDD23A"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jako % cílového stavu</w:t>
            </w:r>
          </w:p>
        </w:tc>
        <w:tc>
          <w:tcPr>
            <w:tcW w:w="1556" w:type="dxa"/>
          </w:tcPr>
          <w:p w14:paraId="5936CDB7"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11 %</w:t>
            </w:r>
          </w:p>
        </w:tc>
      </w:tr>
      <w:tr w:rsidR="000052B7" w:rsidRPr="000052B7" w14:paraId="36C872B8" w14:textId="77777777" w:rsidTr="00E333FB">
        <w:tc>
          <w:tcPr>
            <w:tcW w:w="2308" w:type="dxa"/>
          </w:tcPr>
          <w:p w14:paraId="6981074F"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Indikativní alokace PP NUT (CZK) / Počet aplikovaných inovativních NUT</w:t>
            </w:r>
          </w:p>
        </w:tc>
        <w:tc>
          <w:tcPr>
            <w:tcW w:w="1400" w:type="dxa"/>
          </w:tcPr>
          <w:p w14:paraId="160258B0"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3 105 467</w:t>
            </w:r>
          </w:p>
        </w:tc>
        <w:tc>
          <w:tcPr>
            <w:tcW w:w="2383" w:type="dxa"/>
          </w:tcPr>
          <w:p w14:paraId="73111C7E"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Proplacené ŽoPl (CZK) / Počet aplikovaných inovativních NUT</w:t>
            </w:r>
          </w:p>
        </w:tc>
        <w:tc>
          <w:tcPr>
            <w:tcW w:w="1616" w:type="dxa"/>
          </w:tcPr>
          <w:p w14:paraId="727F15B1" w14:textId="77777777" w:rsidR="000052B7" w:rsidRPr="000052B7" w:rsidRDefault="000052B7" w:rsidP="000052B7">
            <w:pPr>
              <w:rPr>
                <w:rFonts w:ascii="Calibri" w:hAnsi="Calibri" w:cs="Calibri"/>
                <w:sz w:val="18"/>
                <w:szCs w:val="18"/>
              </w:rPr>
            </w:pPr>
          </w:p>
        </w:tc>
        <w:tc>
          <w:tcPr>
            <w:tcW w:w="1556" w:type="dxa"/>
          </w:tcPr>
          <w:p w14:paraId="10701453"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1 668 543</w:t>
            </w:r>
          </w:p>
        </w:tc>
      </w:tr>
      <w:tr w:rsidR="000052B7" w:rsidRPr="000052B7" w14:paraId="243C0DD4" w14:textId="77777777" w:rsidTr="00E333FB">
        <w:tc>
          <w:tcPr>
            <w:tcW w:w="2308" w:type="dxa"/>
          </w:tcPr>
          <w:p w14:paraId="42E5CA05"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Indikativní alokace PP NUT (CZK) / Počet podniků pobírajících podporu</w:t>
            </w:r>
          </w:p>
        </w:tc>
        <w:tc>
          <w:tcPr>
            <w:tcW w:w="1400" w:type="dxa"/>
          </w:tcPr>
          <w:p w14:paraId="0483FF1B"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3 364 256</w:t>
            </w:r>
          </w:p>
        </w:tc>
        <w:tc>
          <w:tcPr>
            <w:tcW w:w="2383" w:type="dxa"/>
          </w:tcPr>
          <w:p w14:paraId="56DE67C1" w14:textId="77777777" w:rsidR="000052B7" w:rsidRPr="000052B7" w:rsidRDefault="000052B7" w:rsidP="000052B7">
            <w:pPr>
              <w:rPr>
                <w:rFonts w:ascii="Calibri" w:hAnsi="Calibri" w:cs="Calibri"/>
                <w:sz w:val="18"/>
                <w:szCs w:val="18"/>
              </w:rPr>
            </w:pPr>
            <w:r w:rsidRPr="000052B7">
              <w:rPr>
                <w:rFonts w:ascii="Calibri" w:hAnsi="Calibri" w:cs="Calibri"/>
                <w:sz w:val="18"/>
                <w:szCs w:val="18"/>
              </w:rPr>
              <w:t>Proplacené ŽoPl (CZK) / Počet podniků pobírajících podporu</w:t>
            </w:r>
          </w:p>
        </w:tc>
        <w:tc>
          <w:tcPr>
            <w:tcW w:w="1616" w:type="dxa"/>
          </w:tcPr>
          <w:p w14:paraId="2D3F32C1" w14:textId="77777777" w:rsidR="000052B7" w:rsidRPr="000052B7" w:rsidRDefault="000052B7" w:rsidP="000052B7">
            <w:pPr>
              <w:rPr>
                <w:rFonts w:ascii="Calibri" w:hAnsi="Calibri" w:cs="Calibri"/>
                <w:sz w:val="18"/>
                <w:szCs w:val="18"/>
              </w:rPr>
            </w:pPr>
          </w:p>
        </w:tc>
        <w:tc>
          <w:tcPr>
            <w:tcW w:w="1556" w:type="dxa"/>
          </w:tcPr>
          <w:p w14:paraId="6C8ACF35" w14:textId="77777777" w:rsidR="000052B7" w:rsidRPr="000052B7" w:rsidRDefault="000052B7" w:rsidP="000052B7">
            <w:pPr>
              <w:jc w:val="right"/>
              <w:rPr>
                <w:rFonts w:ascii="Calibri" w:hAnsi="Calibri" w:cs="Calibri"/>
                <w:sz w:val="18"/>
                <w:szCs w:val="18"/>
              </w:rPr>
            </w:pPr>
            <w:r w:rsidRPr="000052B7">
              <w:rPr>
                <w:rFonts w:ascii="Calibri" w:hAnsi="Calibri" w:cs="Calibri"/>
                <w:sz w:val="18"/>
                <w:szCs w:val="18"/>
              </w:rPr>
              <w:t>1 314 609</w:t>
            </w:r>
          </w:p>
        </w:tc>
      </w:tr>
    </w:tbl>
    <w:p w14:paraId="2EEB554F" w14:textId="77777777" w:rsidR="000052B7" w:rsidRPr="000052B7" w:rsidRDefault="000052B7" w:rsidP="000052B7">
      <w:pPr>
        <w:spacing w:after="0"/>
        <w:rPr>
          <w:rFonts w:ascii="Calibri" w:hAnsi="Calibri" w:cs="Calibri"/>
          <w:i/>
          <w:sz w:val="16"/>
          <w:szCs w:val="16"/>
        </w:rPr>
      </w:pPr>
      <w:r w:rsidRPr="000052B7">
        <w:rPr>
          <w:rFonts w:ascii="Calibri" w:hAnsi="Calibri" w:cs="Calibri"/>
          <w:i/>
          <w:sz w:val="16"/>
          <w:szCs w:val="16"/>
        </w:rPr>
        <w:t>Pozn.: jedná se o přibližné hodnoty z důvodu kurzových změn a přepočtů CZK/EUR</w:t>
      </w:r>
    </w:p>
    <w:p w14:paraId="153482A1" w14:textId="77777777" w:rsidR="000052B7" w:rsidRPr="000052B7" w:rsidRDefault="000052B7" w:rsidP="000052B7">
      <w:pPr>
        <w:spacing w:after="0"/>
      </w:pPr>
      <w:r w:rsidRPr="000052B7">
        <w:rPr>
          <w:rFonts w:ascii="Calibri" w:hAnsi="Calibri" w:cs="Calibri"/>
          <w:i/>
          <w:sz w:val="16"/>
          <w:szCs w:val="16"/>
        </w:rPr>
        <w:t>Zdroj: MS2014+, ŘO, vlastní propočty</w:t>
      </w:r>
    </w:p>
    <w:p w14:paraId="1A84268B" w14:textId="77777777" w:rsidR="000052B7" w:rsidRPr="000052B7" w:rsidRDefault="000052B7" w:rsidP="000052B7">
      <w:pPr>
        <w:spacing w:after="0"/>
      </w:pPr>
    </w:p>
    <w:p w14:paraId="5AC763FB" w14:textId="77C9EAE4" w:rsidR="000052B7" w:rsidRPr="000052B7" w:rsidRDefault="000052B7" w:rsidP="000052B7">
      <w:pPr>
        <w:spacing w:after="0"/>
      </w:pPr>
      <w:r w:rsidRPr="007A2593">
        <w:t xml:space="preserve">Jak ukazují údaje v tabulce </w:t>
      </w:r>
      <w:r w:rsidR="007A2593" w:rsidRPr="007A2593">
        <w:t>23</w:t>
      </w:r>
      <w:r w:rsidRPr="007A2593">
        <w:t>, výchozí předpoklad je takový, že zdroje ESIF určené na PP NUT by měly</w:t>
      </w:r>
      <w:r w:rsidRPr="000052B7">
        <w:t xml:space="preserve"> přinést výstupy v podobě 650 aplikovaných inovativních nízkouhlíkových technologií. To odpovídá „průměrné ceně“ jedné instalované technologie cca 3,1 mil. Kč. </w:t>
      </w:r>
    </w:p>
    <w:p w14:paraId="2E538AF2" w14:textId="77777777" w:rsidR="000052B7" w:rsidRPr="000052B7" w:rsidRDefault="000052B7" w:rsidP="000052B7">
      <w:pPr>
        <w:spacing w:after="0"/>
      </w:pPr>
    </w:p>
    <w:p w14:paraId="56063BEE" w14:textId="77777777" w:rsidR="000052B7" w:rsidRPr="000052B7" w:rsidRDefault="000052B7" w:rsidP="000052B7">
      <w:pPr>
        <w:spacing w:after="0"/>
      </w:pPr>
      <w:r w:rsidRPr="000052B7">
        <w:t>Dosažené hodnoty ke konci roku 2018 naznačují, že při provádění PP NUT je zatím vykazována vyšší účinnost vynaložených zdrojů v porovnání s předpokládanou. Validita údajů však může být částečně zkreslená tím, že u některých projektů s ukončenou realizací ještě nemuselo dojít k proplacení ŽoPl.</w:t>
      </w:r>
    </w:p>
    <w:p w14:paraId="48360761" w14:textId="77777777" w:rsidR="000052B7" w:rsidRPr="000052B7" w:rsidRDefault="000052B7" w:rsidP="000052B7">
      <w:pPr>
        <w:spacing w:after="0"/>
      </w:pPr>
      <w:r w:rsidRPr="000052B7">
        <w:t xml:space="preserve"> </w:t>
      </w:r>
    </w:p>
    <w:p w14:paraId="5BC5FFFC" w14:textId="77777777" w:rsidR="000052B7" w:rsidRPr="000052B7" w:rsidRDefault="000052B7" w:rsidP="000052B7">
      <w:pPr>
        <w:spacing w:after="0"/>
        <w:rPr>
          <w:b/>
        </w:rPr>
      </w:pPr>
      <w:r w:rsidRPr="000052B7">
        <w:t xml:space="preserve">Průběžné výsledky realizace SC 3.4 naznačují, že </w:t>
      </w:r>
      <w:r w:rsidRPr="000052B7">
        <w:rPr>
          <w:b/>
        </w:rPr>
        <w:t>s danými vstupy, tj. objemem finančních zdrojů OP PIK určených pro PP NUT je možné dosáhnout vyšších výstupů ve srovnání s očekávánými.</w:t>
      </w:r>
    </w:p>
    <w:p w14:paraId="77EBFE5F" w14:textId="77777777" w:rsidR="006D20A9" w:rsidRDefault="006D20A9" w:rsidP="00C91048">
      <w:pPr>
        <w:spacing w:after="0"/>
        <w:rPr>
          <w:rFonts w:ascii="Calibri" w:hAnsi="Calibri" w:cs="Calibri"/>
          <w:b/>
        </w:rPr>
      </w:pPr>
    </w:p>
    <w:p w14:paraId="5C8303D9" w14:textId="77777777" w:rsidR="00C91048" w:rsidRDefault="00C91048" w:rsidP="00C91048">
      <w:pPr>
        <w:pStyle w:val="Nadpis3"/>
      </w:pPr>
      <w:bookmarkStart w:id="241" w:name="_Toc10730000"/>
      <w:r w:rsidRPr="001C50E7">
        <w:t>Úspornost/hospodárnost (Economy)</w:t>
      </w:r>
      <w:bookmarkEnd w:id="226"/>
      <w:bookmarkEnd w:id="241"/>
    </w:p>
    <w:p w14:paraId="7719BF69" w14:textId="36DA6DAE" w:rsidR="00A956CA" w:rsidRDefault="00A956CA" w:rsidP="00312445">
      <w:pPr>
        <w:spacing w:after="0"/>
        <w:rPr>
          <w:rFonts w:ascii="Calibri" w:hAnsi="Calibri" w:cs="Calibri"/>
        </w:rPr>
      </w:pPr>
      <w:r>
        <w:rPr>
          <w:rFonts w:ascii="Calibri" w:hAnsi="Calibri" w:cs="Calibri"/>
        </w:rPr>
        <w:t xml:space="preserve">Princip úspornosti/hospodárnosti hodnotí, zda pro zajištění stanovených cílů v SC 3.1, 3.2 a 3.4 </w:t>
      </w:r>
      <w:r w:rsidR="00CF0BD3">
        <w:rPr>
          <w:rFonts w:ascii="Calibri" w:hAnsi="Calibri" w:cs="Calibri"/>
        </w:rPr>
        <w:t>(v </w:t>
      </w:r>
      <w:r w:rsidR="00B234D4">
        <w:rPr>
          <w:rFonts w:ascii="Calibri" w:hAnsi="Calibri" w:cs="Calibri"/>
        </w:rPr>
        <w:t>odpovídajícím rozsahu a kvalitě) bylo vynaloženo minimální množství veřejných prostředků.</w:t>
      </w:r>
    </w:p>
    <w:p w14:paraId="2365EE0A" w14:textId="69D8FF99" w:rsidR="00174284" w:rsidRDefault="00174284" w:rsidP="00312445">
      <w:pPr>
        <w:spacing w:after="0"/>
        <w:rPr>
          <w:rFonts w:ascii="Calibri" w:hAnsi="Calibri" w:cs="Calibri"/>
        </w:rPr>
      </w:pPr>
      <w:r w:rsidRPr="001C50E7">
        <w:rPr>
          <w:rFonts w:ascii="Calibri" w:hAnsi="Calibri" w:cs="Calibri"/>
        </w:rPr>
        <w:t>Tj. jde o minimalizaci nákladů na zdroje (vstupy) používané na podporované intervence se zřetelem na odpovídající kvalitu.</w:t>
      </w:r>
    </w:p>
    <w:p w14:paraId="1869C536" w14:textId="77777777" w:rsidR="00174284" w:rsidRPr="001C50E7" w:rsidRDefault="00174284" w:rsidP="00312445">
      <w:pPr>
        <w:spacing w:after="0"/>
        <w:rPr>
          <w:rFonts w:ascii="Calibri" w:hAnsi="Calibri" w:cs="Calibri"/>
        </w:rPr>
      </w:pPr>
    </w:p>
    <w:p w14:paraId="2CBF5859" w14:textId="74AE82C0" w:rsidR="00174284" w:rsidRPr="001C50E7" w:rsidRDefault="00174284" w:rsidP="00312445">
      <w:pPr>
        <w:spacing w:after="0"/>
        <w:rPr>
          <w:rFonts w:ascii="Calibri" w:hAnsi="Calibri" w:cs="Calibri"/>
        </w:rPr>
      </w:pPr>
      <w:r w:rsidRPr="001C50E7">
        <w:rPr>
          <w:rFonts w:ascii="Calibri" w:hAnsi="Calibri" w:cs="Calibri"/>
        </w:rPr>
        <w:t xml:space="preserve">Hodnotitel </w:t>
      </w:r>
      <w:r w:rsidR="00B234D4">
        <w:rPr>
          <w:rFonts w:ascii="Calibri" w:hAnsi="Calibri" w:cs="Calibri"/>
        </w:rPr>
        <w:t xml:space="preserve">posuzoval </w:t>
      </w:r>
      <w:r w:rsidRPr="00CF0BD3">
        <w:rPr>
          <w:rFonts w:ascii="Calibri" w:hAnsi="Calibri" w:cs="Calibri"/>
        </w:rPr>
        <w:t>princip hospodárnosti při implementaci SC</w:t>
      </w:r>
      <w:r w:rsidRPr="00E91292">
        <w:rPr>
          <w:rFonts w:ascii="Calibri" w:hAnsi="Calibri" w:cs="Calibri"/>
          <w:b/>
        </w:rPr>
        <w:t xml:space="preserve"> </w:t>
      </w:r>
      <w:r w:rsidR="00B234D4">
        <w:rPr>
          <w:rFonts w:ascii="Calibri" w:hAnsi="Calibri" w:cs="Calibri"/>
        </w:rPr>
        <w:t xml:space="preserve">3.1, 3.2 a </w:t>
      </w:r>
      <w:r w:rsidR="00B234D4" w:rsidRPr="00312445">
        <w:rPr>
          <w:rFonts w:ascii="Calibri" w:hAnsi="Calibri" w:cs="Calibri"/>
        </w:rPr>
        <w:t>3.4</w:t>
      </w:r>
      <w:r w:rsidR="00B234D4">
        <w:rPr>
          <w:rFonts w:ascii="Calibri" w:hAnsi="Calibri" w:cs="Calibri"/>
        </w:rPr>
        <w:t xml:space="preserve"> </w:t>
      </w:r>
      <w:r w:rsidRPr="001C50E7">
        <w:rPr>
          <w:rFonts w:ascii="Calibri" w:hAnsi="Calibri" w:cs="Calibri"/>
        </w:rPr>
        <w:t>ve 3 hlavních rovinách, resp. fázích projektového cyklu:</w:t>
      </w:r>
    </w:p>
    <w:p w14:paraId="43AD1CDB" w14:textId="77777777" w:rsidR="00174284" w:rsidRPr="001C50E7" w:rsidRDefault="00174284" w:rsidP="00312445">
      <w:pPr>
        <w:numPr>
          <w:ilvl w:val="0"/>
          <w:numId w:val="9"/>
        </w:numPr>
        <w:spacing w:after="0"/>
        <w:ind w:left="714" w:hanging="357"/>
        <w:rPr>
          <w:rFonts w:ascii="Calibri" w:hAnsi="Calibri" w:cs="Calibri"/>
        </w:rPr>
      </w:pPr>
      <w:r w:rsidRPr="001C50E7">
        <w:rPr>
          <w:rFonts w:ascii="Calibri" w:hAnsi="Calibri" w:cs="Calibri"/>
        </w:rPr>
        <w:t>při hodnocení a schvalování projektů,</w:t>
      </w:r>
    </w:p>
    <w:p w14:paraId="6338E52F" w14:textId="77777777" w:rsidR="00174284" w:rsidRPr="001C50E7" w:rsidRDefault="00174284" w:rsidP="00312445">
      <w:pPr>
        <w:numPr>
          <w:ilvl w:val="0"/>
          <w:numId w:val="9"/>
        </w:numPr>
        <w:spacing w:after="0"/>
        <w:ind w:left="714" w:hanging="357"/>
        <w:rPr>
          <w:rFonts w:ascii="Calibri" w:hAnsi="Calibri" w:cs="Calibri"/>
        </w:rPr>
      </w:pPr>
      <w:r w:rsidRPr="001C50E7">
        <w:rPr>
          <w:rFonts w:ascii="Calibri" w:hAnsi="Calibri" w:cs="Calibri"/>
        </w:rPr>
        <w:t>při výběru dodavatelů,</w:t>
      </w:r>
    </w:p>
    <w:p w14:paraId="18BD1DEF" w14:textId="77777777" w:rsidR="00174284" w:rsidRPr="001C50E7" w:rsidRDefault="00174284" w:rsidP="00312445">
      <w:pPr>
        <w:numPr>
          <w:ilvl w:val="0"/>
          <w:numId w:val="9"/>
        </w:numPr>
        <w:spacing w:after="0"/>
        <w:ind w:left="714" w:hanging="357"/>
        <w:rPr>
          <w:rFonts w:ascii="Calibri" w:hAnsi="Calibri" w:cs="Calibri"/>
        </w:rPr>
      </w:pPr>
      <w:r w:rsidRPr="001C50E7">
        <w:rPr>
          <w:rFonts w:ascii="Calibri" w:hAnsi="Calibri" w:cs="Calibri"/>
        </w:rPr>
        <w:t xml:space="preserve">při proplácení podpory z OP PIK. </w:t>
      </w:r>
    </w:p>
    <w:p w14:paraId="2A3215D8" w14:textId="77777777" w:rsidR="00174284" w:rsidRDefault="00174284" w:rsidP="00312445">
      <w:pPr>
        <w:spacing w:after="0"/>
        <w:rPr>
          <w:rFonts w:ascii="Calibri" w:hAnsi="Calibri" w:cs="Calibri"/>
        </w:rPr>
      </w:pPr>
    </w:p>
    <w:p w14:paraId="5E7CC5E6" w14:textId="77777777" w:rsidR="00174284" w:rsidRDefault="00174284" w:rsidP="00312445">
      <w:pPr>
        <w:spacing w:after="0"/>
        <w:rPr>
          <w:rFonts w:ascii="Calibri" w:hAnsi="Calibri" w:cs="Calibri"/>
          <w:i/>
        </w:rPr>
      </w:pPr>
      <w:r w:rsidRPr="00E91292">
        <w:rPr>
          <w:rFonts w:ascii="Calibri" w:hAnsi="Calibri" w:cs="Calibri"/>
          <w:i/>
        </w:rPr>
        <w:lastRenderedPageBreak/>
        <w:t>a) Hodnocení a schvalování projektů</w:t>
      </w:r>
    </w:p>
    <w:p w14:paraId="3053D2B3" w14:textId="4ADACA28" w:rsidR="006873C0" w:rsidRPr="001C50E7" w:rsidRDefault="006873C0" w:rsidP="00312445">
      <w:pPr>
        <w:spacing w:after="0"/>
        <w:rPr>
          <w:rFonts w:ascii="Calibri" w:hAnsi="Calibri" w:cs="Calibri"/>
        </w:rPr>
      </w:pPr>
      <w:r w:rsidRPr="001C50E7">
        <w:rPr>
          <w:rFonts w:ascii="Calibri" w:hAnsi="Calibri" w:cs="Calibri"/>
        </w:rPr>
        <w:t>V případě dotačních programů platí, že všechny předložené žádosti o podporu, které úspěšně projdou kontrolou přijatelnosti a formálních náležitostí, post</w:t>
      </w:r>
      <w:r>
        <w:rPr>
          <w:rFonts w:ascii="Calibri" w:hAnsi="Calibri" w:cs="Calibri"/>
        </w:rPr>
        <w:t>upují do fáze věcného hodnocení, kde</w:t>
      </w:r>
      <w:r w:rsidRPr="001C50E7">
        <w:rPr>
          <w:rFonts w:ascii="Calibri" w:hAnsi="Calibri" w:cs="Calibri"/>
        </w:rPr>
        <w:t xml:space="preserve"> jsou posuzovány z věcného hlediska odbornými hodnotiteli na základě výběrových kritérií daného programu. </w:t>
      </w:r>
    </w:p>
    <w:p w14:paraId="1AC6DAD9" w14:textId="77777777" w:rsidR="006873C0" w:rsidRDefault="006873C0" w:rsidP="00312445">
      <w:pPr>
        <w:spacing w:after="0"/>
        <w:rPr>
          <w:rFonts w:ascii="Calibri" w:hAnsi="Calibri" w:cs="Calibri"/>
        </w:rPr>
      </w:pPr>
    </w:p>
    <w:p w14:paraId="7B23A2AA" w14:textId="08FE7D60" w:rsidR="006873C0" w:rsidRDefault="006873C0" w:rsidP="00312445">
      <w:pPr>
        <w:spacing w:after="0"/>
        <w:rPr>
          <w:rFonts w:ascii="Calibri" w:hAnsi="Calibri" w:cs="Calibri"/>
        </w:rPr>
      </w:pPr>
      <w:r>
        <w:rPr>
          <w:rFonts w:ascii="Calibri" w:hAnsi="Calibri" w:cs="Calibri"/>
        </w:rPr>
        <w:t>Součástí tohoto souboru kritérií je v rámci PP OZE, PP ÚE a PP NUT i hospodárnost rozpočtu. Na projektu je hodnoceno, zda:</w:t>
      </w:r>
    </w:p>
    <w:p w14:paraId="7C6DB943" w14:textId="12D524A9" w:rsidR="006873C0" w:rsidRPr="0096334D" w:rsidRDefault="006873C0" w:rsidP="00312445">
      <w:pPr>
        <w:pStyle w:val="Odstavecseseznamem"/>
        <w:numPr>
          <w:ilvl w:val="0"/>
          <w:numId w:val="22"/>
        </w:numPr>
        <w:spacing w:line="276" w:lineRule="auto"/>
        <w:ind w:left="714" w:hanging="357"/>
        <w:rPr>
          <w:rFonts w:ascii="Calibri" w:hAnsi="Calibri" w:cs="Calibri"/>
          <w:sz w:val="20"/>
        </w:rPr>
      </w:pPr>
      <w:r w:rsidRPr="0096334D">
        <w:rPr>
          <w:rFonts w:ascii="Calibri" w:hAnsi="Calibri" w:cs="Calibri"/>
          <w:sz w:val="22"/>
        </w:rPr>
        <w:t>výše nákladů odpovídá cenám v místě a čase obvyklým,</w:t>
      </w:r>
    </w:p>
    <w:p w14:paraId="30B7A9FE" w14:textId="1C6E1E98" w:rsidR="006873C0" w:rsidRPr="0096334D" w:rsidRDefault="006873C0" w:rsidP="00312445">
      <w:pPr>
        <w:pStyle w:val="Odstavecseseznamem"/>
        <w:numPr>
          <w:ilvl w:val="0"/>
          <w:numId w:val="22"/>
        </w:numPr>
        <w:spacing w:line="276" w:lineRule="auto"/>
        <w:ind w:left="714" w:hanging="357"/>
        <w:rPr>
          <w:rFonts w:ascii="Calibri" w:hAnsi="Calibri" w:cs="Calibri"/>
          <w:sz w:val="20"/>
        </w:rPr>
      </w:pPr>
      <w:r w:rsidRPr="0096334D">
        <w:rPr>
          <w:rFonts w:ascii="Calibri" w:hAnsi="Calibri" w:cs="Calibri"/>
          <w:sz w:val="22"/>
        </w:rPr>
        <w:t>rozpočet obsahuje přehledné a jasné rozlišení výdajů projektu včetně podrobného rozepsání způsobilých a nezpůsobilých výdajů,</w:t>
      </w:r>
    </w:p>
    <w:p w14:paraId="66621708" w14:textId="47986869" w:rsidR="006873C0" w:rsidRPr="0096334D" w:rsidRDefault="006873C0" w:rsidP="00312445">
      <w:pPr>
        <w:pStyle w:val="Odstavecseseznamem"/>
        <w:numPr>
          <w:ilvl w:val="0"/>
          <w:numId w:val="22"/>
        </w:numPr>
        <w:spacing w:line="276" w:lineRule="auto"/>
        <w:ind w:left="714" w:hanging="357"/>
        <w:rPr>
          <w:rFonts w:ascii="Calibri" w:hAnsi="Calibri" w:cs="Calibri"/>
          <w:sz w:val="20"/>
        </w:rPr>
      </w:pPr>
      <w:r w:rsidRPr="0096334D">
        <w:rPr>
          <w:rFonts w:ascii="Calibri" w:hAnsi="Calibri" w:cs="Calibri"/>
          <w:sz w:val="22"/>
        </w:rPr>
        <w:t>navrhované výdaje jsou nutné k realizaci projektu a jsou provázány s aktivitami projektu.</w:t>
      </w:r>
    </w:p>
    <w:p w14:paraId="08D88000" w14:textId="77777777" w:rsidR="006873C0" w:rsidRDefault="006873C0" w:rsidP="00312445">
      <w:pPr>
        <w:spacing w:after="0"/>
        <w:rPr>
          <w:rFonts w:ascii="Calibri" w:hAnsi="Calibri" w:cs="Calibri"/>
        </w:rPr>
      </w:pPr>
    </w:p>
    <w:p w14:paraId="74B33D70" w14:textId="7CAAF3C2" w:rsidR="006873C0" w:rsidRDefault="006873C0" w:rsidP="00312445">
      <w:pPr>
        <w:spacing w:after="0"/>
      </w:pPr>
      <w:r>
        <w:t>Hospodárnost projektu je bodovým hodnotícím kritériem, tj. v případě, že rozpočet projektu je nad úrovní cen v místě a ča</w:t>
      </w:r>
      <w:r w:rsidR="00E80530">
        <w:t xml:space="preserve">se obvyklých přichází o body, čímž se snižuje jeho šance na získání podpory. Zároveň ale, pokud má hodnotitel projektu pochybnosti o potřebnosti nebo předpokládané ceně daného statku pro realizaci projektu, uvede tuto položku do tabulky "ostatní majetek, nesouvisející s projektem" a navrhne krácení. Žadatel o dotaci </w:t>
      </w:r>
      <w:r w:rsidR="00312445">
        <w:t>může</w:t>
      </w:r>
      <w:r w:rsidR="00E80530">
        <w:t xml:space="preserve"> tedy </w:t>
      </w:r>
      <w:r w:rsidR="00312445">
        <w:t xml:space="preserve">být </w:t>
      </w:r>
      <w:r w:rsidR="00E80530">
        <w:t>za jednu slabinu projektu trestán dvakrát.</w:t>
      </w:r>
    </w:p>
    <w:p w14:paraId="440CC9DF" w14:textId="77777777" w:rsidR="00312445" w:rsidRDefault="00312445" w:rsidP="00312445">
      <w:pPr>
        <w:spacing w:after="0"/>
      </w:pPr>
    </w:p>
    <w:p w14:paraId="7B3150F8" w14:textId="77777777" w:rsidR="00377D53" w:rsidRPr="0021108B" w:rsidRDefault="00E80530" w:rsidP="00312445">
      <w:pPr>
        <w:spacing w:after="0"/>
        <w:rPr>
          <w:rFonts w:ascii="Calibri" w:hAnsi="Calibri" w:cs="Calibri"/>
          <w:b/>
          <w:bCs/>
        </w:rPr>
      </w:pPr>
      <w:r w:rsidRPr="001C50E7">
        <w:rPr>
          <w:rFonts w:ascii="Calibri" w:hAnsi="Calibri" w:cs="Calibri"/>
        </w:rPr>
        <w:t>Hodnotitel považuje – i na základě vlastních, dlouholetých zkušeností s přípravou projektů a následnou podpor</w:t>
      </w:r>
      <w:r>
        <w:rPr>
          <w:rFonts w:ascii="Calibri" w:hAnsi="Calibri" w:cs="Calibri"/>
        </w:rPr>
        <w:t>o</w:t>
      </w:r>
      <w:r w:rsidRPr="001C50E7">
        <w:rPr>
          <w:rFonts w:ascii="Calibri" w:hAnsi="Calibri" w:cs="Calibri"/>
        </w:rPr>
        <w:t xml:space="preserve">u jejich realizace – předmětné </w:t>
      </w:r>
      <w:r w:rsidRPr="0021108B">
        <w:rPr>
          <w:rFonts w:ascii="Calibri" w:hAnsi="Calibri" w:cs="Calibri"/>
          <w:b/>
          <w:bCs/>
        </w:rPr>
        <w:t>hodnotící kritérium Hospodárnost projektu</w:t>
      </w:r>
      <w:r w:rsidRPr="001C50E7">
        <w:rPr>
          <w:rFonts w:ascii="Calibri" w:hAnsi="Calibri" w:cs="Calibri"/>
        </w:rPr>
        <w:t xml:space="preserve"> </w:t>
      </w:r>
      <w:r>
        <w:rPr>
          <w:rFonts w:ascii="Calibri" w:hAnsi="Calibri" w:cs="Calibri"/>
        </w:rPr>
        <w:t xml:space="preserve">v podobě </w:t>
      </w:r>
      <w:r w:rsidRPr="004068E3">
        <w:rPr>
          <w:rFonts w:ascii="Calibri" w:hAnsi="Calibri" w:cs="Calibri"/>
          <w:i/>
        </w:rPr>
        <w:t>ex ante</w:t>
      </w:r>
      <w:r>
        <w:rPr>
          <w:rFonts w:ascii="Calibri" w:hAnsi="Calibri" w:cs="Calibri"/>
        </w:rPr>
        <w:t xml:space="preserve"> kontroly „předraženosti“ a „nepotřebnosti“ jednotlivých rozpočtových položek </w:t>
      </w:r>
      <w:r w:rsidRPr="0021108B">
        <w:rPr>
          <w:rFonts w:ascii="Calibri" w:hAnsi="Calibri" w:cs="Calibri"/>
          <w:b/>
          <w:bCs/>
        </w:rPr>
        <w:t>za nadbytečné. Způsobuje administrativní a časovou zátěž jak při přípravě žádosti o podporu, tak i při jejím hodnocení.</w:t>
      </w:r>
    </w:p>
    <w:p w14:paraId="3D80E7F2" w14:textId="77777777" w:rsidR="00377D53" w:rsidRDefault="00377D53" w:rsidP="00312445">
      <w:pPr>
        <w:spacing w:after="0"/>
        <w:rPr>
          <w:rFonts w:ascii="Calibri" w:hAnsi="Calibri" w:cs="Calibri"/>
        </w:rPr>
      </w:pPr>
    </w:p>
    <w:p w14:paraId="39B551FA" w14:textId="154F11F9" w:rsidR="00E80530" w:rsidRPr="001C50E7" w:rsidRDefault="00E80530" w:rsidP="00312445">
      <w:pPr>
        <w:spacing w:after="0"/>
        <w:rPr>
          <w:rFonts w:ascii="Calibri" w:hAnsi="Calibri" w:cs="Calibri"/>
        </w:rPr>
      </w:pPr>
      <w:r w:rsidRPr="001C50E7">
        <w:rPr>
          <w:rFonts w:ascii="Calibri" w:hAnsi="Calibri" w:cs="Calibri"/>
        </w:rPr>
        <w:t>Dle názoru hodnotitele je naplňování kritéria hospodárnosti dostatečně zajištěno tím, že:</w:t>
      </w:r>
    </w:p>
    <w:p w14:paraId="7C16B8B6" w14:textId="77777777" w:rsidR="00E80530" w:rsidRPr="001C50E7" w:rsidRDefault="00E80530" w:rsidP="00312445">
      <w:pPr>
        <w:numPr>
          <w:ilvl w:val="0"/>
          <w:numId w:val="23"/>
        </w:numPr>
        <w:spacing w:after="0"/>
        <w:ind w:left="714" w:hanging="357"/>
        <w:rPr>
          <w:rFonts w:ascii="Calibri" w:hAnsi="Calibri" w:cs="Calibri"/>
        </w:rPr>
      </w:pPr>
      <w:r w:rsidRPr="001C50E7">
        <w:rPr>
          <w:rFonts w:ascii="Calibri" w:hAnsi="Calibri" w:cs="Calibri"/>
        </w:rPr>
        <w:t>žadatelé/příjemci financují větší část způsobilých výdajů a veškeré nezpůsobilé výdaje z vlastních zdrojů; neefektivní vynakládání finančních zdrojů je z logiky věci v rozporu se základními principy podnikání,</w:t>
      </w:r>
    </w:p>
    <w:p w14:paraId="0EB9169B" w14:textId="77777777" w:rsidR="00E80530" w:rsidRPr="001C50E7" w:rsidRDefault="00E80530" w:rsidP="00312445">
      <w:pPr>
        <w:numPr>
          <w:ilvl w:val="0"/>
          <w:numId w:val="23"/>
        </w:numPr>
        <w:spacing w:after="0"/>
        <w:ind w:left="714" w:hanging="357"/>
        <w:rPr>
          <w:rFonts w:ascii="Calibri" w:hAnsi="Calibri" w:cs="Calibri"/>
        </w:rPr>
      </w:pPr>
      <w:r w:rsidRPr="001C50E7">
        <w:rPr>
          <w:rFonts w:ascii="Calibri" w:hAnsi="Calibri" w:cs="Calibri"/>
        </w:rPr>
        <w:t>výše podpory poskytnutá na projekt je nepřekročitelná,</w:t>
      </w:r>
    </w:p>
    <w:p w14:paraId="6DA4EEC7" w14:textId="2D90C6BE" w:rsidR="00E80530" w:rsidRPr="001C50E7" w:rsidRDefault="00E80530" w:rsidP="00312445">
      <w:pPr>
        <w:numPr>
          <w:ilvl w:val="0"/>
          <w:numId w:val="23"/>
        </w:numPr>
        <w:spacing w:after="0"/>
        <w:ind w:left="714" w:hanging="357"/>
        <w:rPr>
          <w:rFonts w:ascii="Calibri" w:hAnsi="Calibri" w:cs="Calibri"/>
        </w:rPr>
      </w:pPr>
      <w:r w:rsidRPr="001C50E7">
        <w:rPr>
          <w:rFonts w:ascii="Calibri" w:hAnsi="Calibri" w:cs="Calibri"/>
        </w:rPr>
        <w:t xml:space="preserve">podpora z OP PIK je příjemcům proplácena zpětně, po předložení vyúčtování projektu a jeho kontrole ze strany poskytovatele podpory, který může přistoupit ke krácení </w:t>
      </w:r>
      <w:r w:rsidR="0096334D">
        <w:rPr>
          <w:rFonts w:ascii="Calibri" w:hAnsi="Calibri" w:cs="Calibri"/>
        </w:rPr>
        <w:t>způsobilých výdajů</w:t>
      </w:r>
      <w:r w:rsidRPr="001C50E7">
        <w:rPr>
          <w:rFonts w:ascii="Calibri" w:hAnsi="Calibri" w:cs="Calibri"/>
        </w:rPr>
        <w:t xml:space="preserve"> (viz dále), </w:t>
      </w:r>
    </w:p>
    <w:p w14:paraId="6B694A84" w14:textId="77777777" w:rsidR="00E80530" w:rsidRPr="001C50E7" w:rsidRDefault="00E80530" w:rsidP="00312445">
      <w:pPr>
        <w:numPr>
          <w:ilvl w:val="0"/>
          <w:numId w:val="23"/>
        </w:numPr>
        <w:spacing w:after="0"/>
        <w:ind w:left="714" w:hanging="357"/>
        <w:rPr>
          <w:rFonts w:ascii="Calibri" w:hAnsi="Calibri" w:cs="Calibri"/>
        </w:rPr>
      </w:pPr>
      <w:r w:rsidRPr="001C50E7">
        <w:rPr>
          <w:rFonts w:ascii="Calibri" w:hAnsi="Calibri" w:cs="Calibri"/>
        </w:rPr>
        <w:t>příjemci jsou povinni řídit se pravidly pro výběr dodavatelů v OP PIK, případně Zákonem č. 134/2016 Sb., o zadávání veřejných zakázek (viz dále); dodržování pravidel a postupů je kontrolováno poskytovatelem podpory i dalšími kontrolními orgány a jejich případné porušení podléhá sankcím.</w:t>
      </w:r>
    </w:p>
    <w:p w14:paraId="0E9377F1" w14:textId="77777777" w:rsidR="00312445" w:rsidRDefault="00312445" w:rsidP="00312445">
      <w:pPr>
        <w:spacing w:after="0"/>
        <w:rPr>
          <w:rFonts w:ascii="Calibri" w:hAnsi="Calibri" w:cs="Calibri"/>
        </w:rPr>
      </w:pPr>
    </w:p>
    <w:p w14:paraId="1EBFA8A4" w14:textId="32096346" w:rsidR="00E80530" w:rsidRDefault="00312445" w:rsidP="00312445">
      <w:pPr>
        <w:spacing w:after="0"/>
        <w:rPr>
          <w:rFonts w:ascii="Calibri" w:hAnsi="Calibri" w:cs="Calibri"/>
        </w:rPr>
      </w:pPr>
      <w:r>
        <w:rPr>
          <w:rFonts w:ascii="Calibri" w:hAnsi="Calibri" w:cs="Calibri"/>
        </w:rPr>
        <w:t xml:space="preserve">Hodnotitel </w:t>
      </w:r>
      <w:r w:rsidR="00377D53">
        <w:rPr>
          <w:rFonts w:ascii="Calibri" w:hAnsi="Calibri" w:cs="Calibri"/>
        </w:rPr>
        <w:t xml:space="preserve">zároveň </w:t>
      </w:r>
      <w:r>
        <w:rPr>
          <w:rFonts w:ascii="Calibri" w:hAnsi="Calibri" w:cs="Calibri"/>
        </w:rPr>
        <w:t xml:space="preserve">v této souvislosti pozitivně vnímá kroky ŘO, který v návaznosti na připomínky ze strany žadatelů i různých zainteresovaných stran, přistoupil ve IV. výzvě PP ÚE </w:t>
      </w:r>
      <w:r w:rsidR="00377D53">
        <w:rPr>
          <w:rFonts w:ascii="Calibri" w:hAnsi="Calibri" w:cs="Calibri"/>
        </w:rPr>
        <w:t xml:space="preserve">k některým optimalizacím podmínek tohoto PP, včetně </w:t>
      </w:r>
      <w:r>
        <w:rPr>
          <w:rFonts w:ascii="Calibri" w:hAnsi="Calibri" w:cs="Calibri"/>
        </w:rPr>
        <w:t xml:space="preserve">zrušení bodového </w:t>
      </w:r>
      <w:r w:rsidR="00377D53">
        <w:rPr>
          <w:rFonts w:ascii="Calibri" w:hAnsi="Calibri" w:cs="Calibri"/>
        </w:rPr>
        <w:t xml:space="preserve">hodnocení </w:t>
      </w:r>
      <w:r>
        <w:rPr>
          <w:rFonts w:ascii="Calibri" w:hAnsi="Calibri" w:cs="Calibri"/>
        </w:rPr>
        <w:t>kritéria Hospodárnost rozpočtu.</w:t>
      </w:r>
      <w:r w:rsidR="00377D53">
        <w:rPr>
          <w:rFonts w:ascii="Calibri" w:hAnsi="Calibri" w:cs="Calibri"/>
        </w:rPr>
        <w:t xml:space="preserve"> Hodnotitel se domnívá, že se jedná o opatření, které by mělo posílit absorpční kapacitu tohoto PP. </w:t>
      </w:r>
      <w:r>
        <w:rPr>
          <w:rFonts w:ascii="Calibri" w:hAnsi="Calibri" w:cs="Calibri"/>
        </w:rPr>
        <w:t xml:space="preserve"> </w:t>
      </w:r>
    </w:p>
    <w:p w14:paraId="68AB26D6" w14:textId="0685A2BC" w:rsidR="00312445" w:rsidRDefault="00312445" w:rsidP="00312445">
      <w:pPr>
        <w:spacing w:after="0"/>
        <w:rPr>
          <w:rFonts w:ascii="Calibri" w:hAnsi="Calibri" w:cs="Calibri"/>
        </w:rPr>
      </w:pPr>
    </w:p>
    <w:p w14:paraId="4FC0B26E" w14:textId="2E89FF47" w:rsidR="00FD2AC4" w:rsidRDefault="00FD2AC4" w:rsidP="00312445">
      <w:pPr>
        <w:spacing w:after="0"/>
        <w:rPr>
          <w:rFonts w:ascii="Calibri" w:hAnsi="Calibri" w:cs="Calibri"/>
        </w:rPr>
      </w:pPr>
    </w:p>
    <w:p w14:paraId="7F130E0C" w14:textId="77777777" w:rsidR="00FD2AC4" w:rsidRDefault="00FD2AC4" w:rsidP="00312445">
      <w:pPr>
        <w:spacing w:after="0"/>
        <w:rPr>
          <w:rFonts w:ascii="Calibri" w:hAnsi="Calibri" w:cs="Calibri"/>
        </w:rPr>
      </w:pPr>
    </w:p>
    <w:p w14:paraId="64529284" w14:textId="39302628" w:rsidR="00174284" w:rsidRPr="00E91292" w:rsidRDefault="00174284" w:rsidP="00312445">
      <w:pPr>
        <w:spacing w:after="0"/>
        <w:rPr>
          <w:rFonts w:ascii="Calibri" w:hAnsi="Calibri" w:cs="Calibri"/>
          <w:i/>
        </w:rPr>
      </w:pPr>
      <w:r w:rsidRPr="00E91292">
        <w:rPr>
          <w:rFonts w:ascii="Calibri" w:hAnsi="Calibri" w:cs="Calibri"/>
          <w:i/>
        </w:rPr>
        <w:lastRenderedPageBreak/>
        <w:t>b) Výběr dodavatelů</w:t>
      </w:r>
    </w:p>
    <w:p w14:paraId="4ECBC5B7" w14:textId="6BC32A54" w:rsidR="00174284" w:rsidRDefault="00174284" w:rsidP="00312445">
      <w:pPr>
        <w:spacing w:after="0"/>
        <w:rPr>
          <w:rFonts w:ascii="Calibri" w:hAnsi="Calibri" w:cs="Calibri"/>
        </w:rPr>
      </w:pPr>
      <w:r w:rsidRPr="001C50E7">
        <w:rPr>
          <w:rFonts w:ascii="Calibri" w:hAnsi="Calibri" w:cs="Calibri"/>
        </w:rPr>
        <w:t xml:space="preserve">Příjemce podpory v rámci SC </w:t>
      </w:r>
      <w:r w:rsidR="0096334D">
        <w:rPr>
          <w:rFonts w:ascii="Calibri" w:hAnsi="Calibri" w:cs="Calibri"/>
        </w:rPr>
        <w:t>3</w:t>
      </w:r>
      <w:r w:rsidR="00CF0BD3">
        <w:rPr>
          <w:rFonts w:ascii="Calibri" w:hAnsi="Calibri" w:cs="Calibri"/>
        </w:rPr>
        <w:t xml:space="preserve">.1, </w:t>
      </w:r>
      <w:r w:rsidR="0096334D">
        <w:rPr>
          <w:rFonts w:ascii="Calibri" w:hAnsi="Calibri" w:cs="Calibri"/>
        </w:rPr>
        <w:t>3</w:t>
      </w:r>
      <w:r w:rsidRPr="001C50E7">
        <w:rPr>
          <w:rFonts w:ascii="Calibri" w:hAnsi="Calibri" w:cs="Calibri"/>
        </w:rPr>
        <w:t xml:space="preserve">.2 </w:t>
      </w:r>
      <w:r w:rsidR="00CF0BD3">
        <w:rPr>
          <w:rFonts w:ascii="Calibri" w:hAnsi="Calibri" w:cs="Calibri"/>
        </w:rPr>
        <w:t xml:space="preserve">a </w:t>
      </w:r>
      <w:r w:rsidR="00CF0BD3" w:rsidRPr="00312445">
        <w:rPr>
          <w:rFonts w:ascii="Calibri" w:hAnsi="Calibri" w:cs="Calibri"/>
        </w:rPr>
        <w:t xml:space="preserve">3.4 </w:t>
      </w:r>
      <w:r w:rsidRPr="00312445">
        <w:rPr>
          <w:rFonts w:ascii="Calibri" w:hAnsi="Calibri" w:cs="Calibri"/>
        </w:rPr>
        <w:t>je</w:t>
      </w:r>
      <w:r w:rsidRPr="001C50E7">
        <w:rPr>
          <w:rFonts w:ascii="Calibri" w:hAnsi="Calibri" w:cs="Calibri"/>
        </w:rPr>
        <w:t xml:space="preserve"> povinen dodržovat </w:t>
      </w:r>
      <w:r w:rsidRPr="001C50E7">
        <w:rPr>
          <w:rFonts w:ascii="Calibri" w:hAnsi="Calibri" w:cs="Calibri"/>
          <w:i/>
        </w:rPr>
        <w:t>Pravidla pro výběr dodavatelů nebo podle zákona č. 134/2016 Sb., o zadávání veřejných zakázek</w:t>
      </w:r>
      <w:r w:rsidRPr="001C50E7">
        <w:rPr>
          <w:rFonts w:ascii="Calibri" w:hAnsi="Calibri" w:cs="Calibri"/>
        </w:rPr>
        <w:t xml:space="preserve"> a při výběru dodavatelů postupovat v souladu s těmito Pravidly, příp. zákonem o zadávání veřejných zakázek. Kritériem hodnocení je vždy ekonomická výhodnost nabídky, která se hodnotí na základě nejvýhod</w:t>
      </w:r>
      <w:r w:rsidR="00CF0BD3">
        <w:rPr>
          <w:rFonts w:ascii="Calibri" w:hAnsi="Calibri" w:cs="Calibri"/>
        </w:rPr>
        <w:t xml:space="preserve">nějšího poměru nabídkové ceny </w:t>
      </w:r>
      <w:r w:rsidR="00CF0BD3" w:rsidRPr="00CF0BD3">
        <w:t>a</w:t>
      </w:r>
      <w:r w:rsidR="00CF0BD3">
        <w:t> </w:t>
      </w:r>
      <w:r w:rsidRPr="00CF0BD3">
        <w:t>kvality</w:t>
      </w:r>
      <w:r w:rsidRPr="001C50E7">
        <w:rPr>
          <w:rFonts w:ascii="Calibri" w:hAnsi="Calibri" w:cs="Calibri"/>
        </w:rPr>
        <w:t xml:space="preserve"> včetně poměru nákladů životního cyklu a kvality.</w:t>
      </w:r>
    </w:p>
    <w:p w14:paraId="393BC3BD" w14:textId="77777777" w:rsidR="00312445" w:rsidRPr="001C50E7" w:rsidRDefault="00312445" w:rsidP="00312445">
      <w:pPr>
        <w:spacing w:after="0"/>
        <w:rPr>
          <w:rFonts w:ascii="Calibri" w:hAnsi="Calibri" w:cs="Calibri"/>
        </w:rPr>
      </w:pPr>
    </w:p>
    <w:p w14:paraId="40336C6E" w14:textId="481EE84F" w:rsidR="00174284" w:rsidRDefault="00174284" w:rsidP="00312445">
      <w:pPr>
        <w:spacing w:after="0"/>
      </w:pPr>
      <w:r w:rsidRPr="001C50E7">
        <w:t>Dodržování pravidel pro výběr dodavatelů v projektech je předmětem kontroly ze strany kontrolních orgánů a v případě zjištěného pochybení ve výběrovém řízení je uplatněna sankce v podobě krácení dotace.</w:t>
      </w:r>
    </w:p>
    <w:p w14:paraId="64C305CC" w14:textId="77777777" w:rsidR="00312445" w:rsidRPr="001C50E7" w:rsidRDefault="00312445" w:rsidP="00312445">
      <w:pPr>
        <w:spacing w:after="0"/>
      </w:pPr>
    </w:p>
    <w:p w14:paraId="430031F9" w14:textId="77777777" w:rsidR="00174284" w:rsidRPr="00E91292" w:rsidRDefault="00174284" w:rsidP="00312445">
      <w:pPr>
        <w:spacing w:after="0"/>
        <w:rPr>
          <w:rFonts w:ascii="Calibri" w:hAnsi="Calibri" w:cs="Calibri"/>
          <w:i/>
        </w:rPr>
      </w:pPr>
      <w:r w:rsidRPr="00E91292">
        <w:rPr>
          <w:rFonts w:ascii="Calibri" w:hAnsi="Calibri" w:cs="Calibri"/>
          <w:i/>
        </w:rPr>
        <w:t>c) Proplácení podpory</w:t>
      </w:r>
    </w:p>
    <w:p w14:paraId="36BF4F50" w14:textId="43D18260" w:rsidR="00174284" w:rsidRDefault="00174284" w:rsidP="00312445">
      <w:pPr>
        <w:spacing w:after="0"/>
      </w:pPr>
      <w:r w:rsidRPr="001C50E7">
        <w:t>Proplácení podpory příjemcům v dotačních PP probíhá zpětně na základě schválené ŽoPl za již vynaložené prostředky doložené odpovídajícími doklady. Kontrola ŽoPl probíhá třístupňově: úplnost a finanční kontrola, věcná kontrola, autorizace. V případě, že při kontrole ŽoPl a jejích příloh je zjištěno, že příjemce nárokoval nezpůsobilé výdaje nebo výdaje, které nebyly zcela a řádně doloženy, přistupuje ŘO ke krácení dotace.</w:t>
      </w:r>
    </w:p>
    <w:p w14:paraId="57838480" w14:textId="77777777" w:rsidR="00312445" w:rsidRPr="00174284" w:rsidRDefault="00312445" w:rsidP="00312445">
      <w:pPr>
        <w:spacing w:after="0"/>
      </w:pPr>
    </w:p>
    <w:p w14:paraId="293791D9" w14:textId="77777777" w:rsidR="00C91048" w:rsidRDefault="00C91048" w:rsidP="00C91048">
      <w:pPr>
        <w:pStyle w:val="Nadpis3"/>
      </w:pPr>
      <w:bookmarkStart w:id="242" w:name="_Toc10730001"/>
      <w:r w:rsidRPr="001C50E7">
        <w:t>Užitečnost</w:t>
      </w:r>
      <w:bookmarkEnd w:id="227"/>
      <w:bookmarkEnd w:id="242"/>
    </w:p>
    <w:p w14:paraId="73C0FEDD" w14:textId="4166A76A" w:rsidR="00174284" w:rsidRDefault="003F2FC3" w:rsidP="00377D53">
      <w:pPr>
        <w:spacing w:after="0"/>
        <w:rPr>
          <w:rFonts w:ascii="Calibri" w:hAnsi="Calibri" w:cs="Calibri"/>
        </w:rPr>
      </w:pPr>
      <w:r>
        <w:t xml:space="preserve">Při posuzování užitečnosti vycházel hodnotitel z </w:t>
      </w:r>
      <w:r w:rsidRPr="001C50E7">
        <w:rPr>
          <w:rFonts w:ascii="Calibri" w:hAnsi="Calibri" w:cs="Calibri"/>
        </w:rPr>
        <w:t xml:space="preserve">analýzy absorpční kapacity </w:t>
      </w:r>
      <w:r>
        <w:rPr>
          <w:rFonts w:ascii="Calibri" w:hAnsi="Calibri" w:cs="Calibri"/>
        </w:rPr>
        <w:t xml:space="preserve">všech tří hodnocených </w:t>
      </w:r>
      <w:r w:rsidRPr="001C50E7">
        <w:rPr>
          <w:rFonts w:ascii="Calibri" w:hAnsi="Calibri" w:cs="Calibri"/>
        </w:rPr>
        <w:t>SC OP PIK a také z výsledků terénního šetření</w:t>
      </w:r>
      <w:r>
        <w:rPr>
          <w:rFonts w:ascii="Calibri" w:hAnsi="Calibri" w:cs="Calibri"/>
        </w:rPr>
        <w:t>.</w:t>
      </w:r>
    </w:p>
    <w:p w14:paraId="1A315B83" w14:textId="77777777" w:rsidR="00377D53" w:rsidRDefault="00377D53" w:rsidP="00377D53">
      <w:pPr>
        <w:spacing w:after="0"/>
      </w:pPr>
    </w:p>
    <w:p w14:paraId="46D0D119" w14:textId="6842CF29" w:rsidR="00583ABB" w:rsidRPr="00377D53" w:rsidRDefault="00377D53" w:rsidP="00377D53">
      <w:pPr>
        <w:pStyle w:val="Nadpis4"/>
      </w:pPr>
      <w:r>
        <w:t>P</w:t>
      </w:r>
      <w:r w:rsidR="00624A2A">
        <w:t>P</w:t>
      </w:r>
      <w:r>
        <w:t xml:space="preserve"> </w:t>
      </w:r>
      <w:r w:rsidR="000830E4" w:rsidRPr="00377D53">
        <w:t>Obnovitelné zdroje energie</w:t>
      </w:r>
    </w:p>
    <w:p w14:paraId="0C66D933" w14:textId="466CC17C" w:rsidR="003F2FC3" w:rsidRPr="003F2FC3" w:rsidRDefault="003F2FC3" w:rsidP="00377D53">
      <w:pPr>
        <w:spacing w:after="0"/>
      </w:pPr>
      <w:r>
        <w:t>Program podpory O</w:t>
      </w:r>
      <w:r w:rsidR="00377D53">
        <w:t>ZE</w:t>
      </w:r>
      <w:r>
        <w:t xml:space="preserve"> vykazuje po celou dobu realizace tohoto programu nízký zájem oprávněných žadatelů o čerpání této dotace. Ze čtyř vypsaných výzev byly žadateli předloženy žádosti o dotaci ve výši alokace výzvy pouze v případě III. výzvy, která měla alokaci nejnižší (280 mil. Kč). V případě ostatních výzev dosáhly předložené žádosti pouze 33-40 % alokací výzev. Velmi nízká byla také úspěšnost projektů, a to především v prvních výzvách, v nichž byla zamítnuta třetina až polovina předložených žádostí. Hlavním nedostatkem, kvůli němuž byly žádosti vyřazovány, bylo nedostatečné nebo chybějící prokázání vlastnické struktury žadatele</w:t>
      </w:r>
      <w:r w:rsidR="008A2DC2">
        <w:t xml:space="preserve">. </w:t>
      </w:r>
      <w:r w:rsidR="008A2DC2" w:rsidRPr="00497399">
        <w:rPr>
          <w:rFonts w:ascii="Calibri" w:hAnsi="Calibri" w:cs="Calibri"/>
        </w:rPr>
        <w:t xml:space="preserve">Proces zjišťování vlastnické struktury je zejména (ale nejen) v případě firem ovládaných zahraničními vlastníky pro žadatele administrativně a časově velice náročný. </w:t>
      </w:r>
    </w:p>
    <w:p w14:paraId="0A514A40" w14:textId="77777777" w:rsidR="00377D53" w:rsidRDefault="00377D53" w:rsidP="00377D53">
      <w:pPr>
        <w:spacing w:after="0"/>
      </w:pPr>
    </w:p>
    <w:p w14:paraId="302D70B7" w14:textId="5F563C39" w:rsidR="008A2DC2" w:rsidRDefault="008A2DC2" w:rsidP="00377D53">
      <w:pPr>
        <w:spacing w:after="0"/>
      </w:pPr>
      <w:r>
        <w:t xml:space="preserve">Z případových studií s příjemci dotace vyplynulo, že administrativní náročnost zpracování žádosti a realizace projektu je stěžejním faktorem, který je demotivuje k čerpání dotace. Potenciální žadatel tak intenzivně zvažuje, zda jsou přínosy dotace </w:t>
      </w:r>
      <w:r w:rsidR="008E731F">
        <w:t xml:space="preserve">(navíc s nejistotou získání podpory) </w:t>
      </w:r>
      <w:r>
        <w:t>pro něj dostatečně hodnotné v porovnání s vynaloženými náklady a úsilím na administraci žádosti a projektu.</w:t>
      </w:r>
    </w:p>
    <w:p w14:paraId="085927BD" w14:textId="77777777" w:rsidR="00377D53" w:rsidRDefault="00377D53" w:rsidP="00377D53">
      <w:pPr>
        <w:spacing w:after="0"/>
      </w:pPr>
    </w:p>
    <w:p w14:paraId="6456960E" w14:textId="45C92F25" w:rsidR="00933AAB" w:rsidRDefault="00933AAB" w:rsidP="00377D53">
      <w:pPr>
        <w:spacing w:after="0"/>
      </w:pPr>
      <w:r>
        <w:t>Respondenti telefonického (</w:t>
      </w:r>
      <w:r w:rsidR="00BD0D48">
        <w:t>S</w:t>
      </w:r>
      <w:r>
        <w:t>C 3.1) šetření byli dotazováni na to, zda by realizovali svůj projektový záměr i v případě,</w:t>
      </w:r>
      <w:r w:rsidR="001C1044">
        <w:t xml:space="preserve"> že by dotaci nezískali</w:t>
      </w:r>
      <w:r>
        <w:t>. Dvě třetiny respondentů odpověděly na tuto otázku kladně. Z rozhovorů vyplynulo, že projektový záměr je důležitý z hlediska dlouhodobého směřování podniku, byl by realizován ve stejném rozsahu, ale pravděpodobně pomaleji z důvodu nedostatečných finančních zdrojů. Dalším důvodem byly zastaralé technologie, které již nesplňovaly požadované limity</w:t>
      </w:r>
      <w:r w:rsidR="00377D53">
        <w:t>,</w:t>
      </w:r>
      <w:r>
        <w:t xml:space="preserve"> a tak je bylo nutné vyměnit za jiná zařízení, aby podnik mohl dál provozovat své podnikání ve stejném rozsahu.</w:t>
      </w:r>
    </w:p>
    <w:p w14:paraId="1536E74C" w14:textId="77777777" w:rsidR="00377D53" w:rsidRDefault="00377D53" w:rsidP="00377D53">
      <w:pPr>
        <w:spacing w:after="0"/>
      </w:pPr>
    </w:p>
    <w:p w14:paraId="151CAAA4" w14:textId="6F927463" w:rsidR="00583ABB" w:rsidRPr="00624A2A" w:rsidRDefault="000830E4" w:rsidP="00624A2A">
      <w:pPr>
        <w:pStyle w:val="Nadpis4"/>
      </w:pPr>
      <w:r w:rsidRPr="00624A2A">
        <w:t>PP Úspory energie</w:t>
      </w:r>
    </w:p>
    <w:p w14:paraId="23BF4DF2" w14:textId="171133E2" w:rsidR="000830E4" w:rsidRDefault="00A32A8C" w:rsidP="00624A2A">
      <w:pPr>
        <w:spacing w:after="0"/>
      </w:pPr>
      <w:r>
        <w:t xml:space="preserve">Se zahájením PP ÚE byl zájem o čerpání dotace ze strany žadatelů poměrně vysoký. V první výzvě byly podány žádosti v celkové alokaci 9 mld. Kč, ačkoliv alokace výzvy byla jen 5 mld. Kč. V důsledku nejasných pravidel však došlo k tomu, že dvě třetiny žádostí neprošly do věcného hodnocení. To mělo za následek výrazný pokles zájmu o podporu z PP ÚE, který se projevil hned v II. výzvě. Do ní byly podány žádosti požadující pouze 27 % alokace. Díky tomu, že podíl projektů vyřazených z dalšího hodnocení klesl na 21 %, začal postupně zájem o podporu růst (III. výzva žádosti v hodnotě 50 % alokace výzvy, IV. výzva žádosti v hodnotě 97 % alokace výzvy). Problémem IV. </w:t>
      </w:r>
      <w:r w:rsidR="001C1044">
        <w:t>výzvy je velký počet žadatelů (</w:t>
      </w:r>
      <w:r>
        <w:t>bylo podáno 1339 projektů</w:t>
      </w:r>
      <w:r w:rsidR="001C1044">
        <w:t xml:space="preserve">), který způsobí zahlcení hodnotitelů a následně dlouhé čekání na vyhodnocení příjemců dotace. </w:t>
      </w:r>
    </w:p>
    <w:p w14:paraId="0A001489" w14:textId="77777777" w:rsidR="00624A2A" w:rsidRDefault="00624A2A" w:rsidP="00624A2A">
      <w:pPr>
        <w:spacing w:after="0"/>
      </w:pPr>
    </w:p>
    <w:p w14:paraId="6F39F13A" w14:textId="79CA5C2A" w:rsidR="001C1044" w:rsidRDefault="00565F6B" w:rsidP="00624A2A">
      <w:pPr>
        <w:spacing w:after="0"/>
      </w:pPr>
      <w:r>
        <w:t xml:space="preserve">Oproti SC 3.1 z dotazníkového šetření vyplynulo, že poskytnutá dotace příjemcům umožnila projekt realizovat, nebo alespoň výraznou měrou k jeho realizaci přispěla. Takto odpovědělo celkem 57 % respondentů. Bez dotace by se obešlo pouze 5 % dotázaných příjemců. Podniky zapojené do případových studií se </w:t>
      </w:r>
      <w:r w:rsidR="007956E5">
        <w:t xml:space="preserve">vyjadřovaly </w:t>
      </w:r>
      <w:r>
        <w:t xml:space="preserve">v tom smyslu, že dotace jim umožnila snížit náklady na realizaci projektu, tj. bylo možné realizovat úsporná opatření v kratším časovém horizontu než v případě, že by podporu </w:t>
      </w:r>
      <w:r w:rsidR="007956E5">
        <w:t>nezískaly</w:t>
      </w:r>
      <w:r>
        <w:t>.</w:t>
      </w:r>
      <w:r w:rsidR="00567DE7">
        <w:t xml:space="preserve"> Na druhou stranu se v dotazníkovém šetření mezi příjemci objevil také názor, že v důsledku poskytnutí dotace je nutné využívat pouze certifikované firmy, jejichž služby jsou však v porovnání s konkurencí dražší, čímž dochází ke snížení efektu dotační podpory.</w:t>
      </w:r>
    </w:p>
    <w:p w14:paraId="0F5634DE" w14:textId="77777777" w:rsidR="00BD0D48" w:rsidRDefault="00BD0D48" w:rsidP="00624A2A">
      <w:pPr>
        <w:spacing w:after="0"/>
      </w:pPr>
    </w:p>
    <w:p w14:paraId="347FE6FB" w14:textId="6ABA1605" w:rsidR="000A046B" w:rsidRDefault="000A046B" w:rsidP="000A046B">
      <w:pPr>
        <w:pStyle w:val="Titulek"/>
      </w:pPr>
      <w:bookmarkStart w:id="243" w:name="_Toc10730058"/>
      <w:r w:rsidRPr="00986571">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16</w:t>
      </w:r>
      <w:r w:rsidR="00BD754F">
        <w:rPr>
          <w:noProof/>
        </w:rPr>
        <w:fldChar w:fldCharType="end"/>
      </w:r>
      <w:r w:rsidRPr="00986571">
        <w:t xml:space="preserve">: </w:t>
      </w:r>
      <w:r w:rsidR="009F76AF">
        <w:t xml:space="preserve">Výsledek DŠ (OZE a ÚE) – Užitečnost podpory pro realizaci a cíle </w:t>
      </w:r>
      <w:r w:rsidR="009F76AF" w:rsidRPr="000A046B">
        <w:t>projek</w:t>
      </w:r>
      <w:r w:rsidR="009F76AF">
        <w:t>tu</w:t>
      </w:r>
      <w:bookmarkEnd w:id="243"/>
    </w:p>
    <w:p w14:paraId="2AA108F5" w14:textId="4B929DC6" w:rsidR="00174284" w:rsidRPr="00174284" w:rsidRDefault="00A67DC2" w:rsidP="00174284">
      <w:r>
        <w:rPr>
          <w:noProof/>
          <w:lang w:eastAsia="cs-CZ"/>
        </w:rPr>
        <w:drawing>
          <wp:inline distT="0" distB="0" distL="0" distR="0" wp14:anchorId="52BB9151" wp14:editId="3235590D">
            <wp:extent cx="5760000" cy="2743200"/>
            <wp:effectExtent l="0" t="0" r="12700" b="0"/>
            <wp:docPr id="192" name="Graf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FA0AC1D" w14:textId="77777777" w:rsidR="00624A2A" w:rsidRDefault="00624A2A" w:rsidP="000830E4">
      <w:pPr>
        <w:pStyle w:val="Nadpis4"/>
        <w:numPr>
          <w:ilvl w:val="0"/>
          <w:numId w:val="0"/>
        </w:numPr>
        <w:ind w:left="864" w:hanging="864"/>
      </w:pPr>
    </w:p>
    <w:p w14:paraId="06F1E69A" w14:textId="07046B9A" w:rsidR="000830E4" w:rsidRPr="00624A2A" w:rsidRDefault="000830E4" w:rsidP="00624A2A">
      <w:pPr>
        <w:pStyle w:val="Nadpis4"/>
      </w:pPr>
      <w:r w:rsidRPr="00624A2A">
        <w:t>PP Nízkouhlíkové technologie</w:t>
      </w:r>
    </w:p>
    <w:p w14:paraId="1766BC26" w14:textId="77777777" w:rsidR="00624A2A" w:rsidRPr="00624A2A" w:rsidRDefault="00624A2A" w:rsidP="00624A2A">
      <w:pPr>
        <w:spacing w:after="0"/>
      </w:pPr>
      <w:r w:rsidRPr="00624A2A">
        <w:t>Při posuzování užitečnosti podpory SC 3.4 OP OPIK vycházel hodnotitel zejména z analýzy absorpční kapacity PP NUT a také z výsledků terénního šetření.</w:t>
      </w:r>
    </w:p>
    <w:p w14:paraId="5B4CC5CF" w14:textId="77777777" w:rsidR="00624A2A" w:rsidRPr="00624A2A" w:rsidRDefault="00624A2A" w:rsidP="00624A2A">
      <w:pPr>
        <w:spacing w:after="0"/>
      </w:pPr>
    </w:p>
    <w:p w14:paraId="2B4D8565" w14:textId="77777777" w:rsidR="00624A2A" w:rsidRPr="00624A2A" w:rsidRDefault="00624A2A" w:rsidP="00624A2A">
      <w:pPr>
        <w:spacing w:after="0"/>
      </w:pPr>
      <w:r w:rsidRPr="00624A2A">
        <w:lastRenderedPageBreak/>
        <w:t xml:space="preserve">Co se týká absorpční kapacity, tak zájem ze strany žadatelů v prvních dvou vyhlášených výzvách převýšil plánované alokace. I v případě III. výzvy v aktivitách „a) elektromobilita“ a „b) druhotné suroviny“ překročil celkový objem požadované podpory v předložených žádostech alokace těchto dílčích výzev; „propad“ zájmu v typové aktivitě „b) akumulace“ byl způsoben především omezením podporovaných aktivit pouze na inovativní projekty na zavádění technologií akumulace energie.  </w:t>
      </w:r>
    </w:p>
    <w:p w14:paraId="58033C72" w14:textId="77777777" w:rsidR="00624A2A" w:rsidRPr="00624A2A" w:rsidRDefault="00624A2A" w:rsidP="00624A2A">
      <w:pPr>
        <w:spacing w:after="0"/>
      </w:pPr>
    </w:p>
    <w:p w14:paraId="0F32C991" w14:textId="77777777" w:rsidR="00624A2A" w:rsidRPr="00624A2A" w:rsidRDefault="00624A2A" w:rsidP="00624A2A">
      <w:pPr>
        <w:spacing w:after="0"/>
        <w:rPr>
          <w:rFonts w:ascii="Calibri" w:hAnsi="Calibri" w:cs="Calibri"/>
        </w:rPr>
      </w:pPr>
      <w:r w:rsidRPr="00624A2A">
        <w:rPr>
          <w:rFonts w:ascii="Calibri" w:hAnsi="Calibri" w:cs="Calibri"/>
        </w:rPr>
        <w:t>Užitečnost podpory poskytované z OP PIK prověřoval hodnotitel z úrovně žadatelů prostřednictvím dotazu:</w:t>
      </w:r>
    </w:p>
    <w:p w14:paraId="2A6B8596" w14:textId="77777777" w:rsidR="00624A2A" w:rsidRPr="00624A2A" w:rsidRDefault="00624A2A" w:rsidP="00624A2A">
      <w:pPr>
        <w:spacing w:after="0"/>
        <w:rPr>
          <w:rFonts w:ascii="Calibri" w:hAnsi="Calibri" w:cs="Calibri"/>
        </w:rPr>
      </w:pPr>
    </w:p>
    <w:p w14:paraId="79F09106" w14:textId="77777777" w:rsidR="00624A2A" w:rsidRPr="00624A2A" w:rsidRDefault="00624A2A" w:rsidP="00624A2A">
      <w:pPr>
        <w:spacing w:after="0"/>
      </w:pPr>
      <w:r w:rsidRPr="00624A2A">
        <w:rPr>
          <w:rFonts w:ascii="Calibri" w:hAnsi="Calibri" w:cs="Calibri"/>
          <w:i/>
        </w:rPr>
        <w:t>„Z dnešního pohledu: domníváte se, že byste byli schopni zrealizovat projekt a dosáhnout plánovaných cílů (výstupů) i bez podpory?“</w:t>
      </w:r>
    </w:p>
    <w:p w14:paraId="1CF8829A" w14:textId="77777777" w:rsidR="00624A2A" w:rsidRPr="00624A2A" w:rsidRDefault="00624A2A" w:rsidP="00624A2A">
      <w:pPr>
        <w:spacing w:after="0"/>
      </w:pPr>
    </w:p>
    <w:p w14:paraId="0415630F" w14:textId="1F1F6E33" w:rsidR="00624A2A" w:rsidRDefault="00624A2A" w:rsidP="00624A2A">
      <w:pPr>
        <w:pStyle w:val="Titulek"/>
      </w:pPr>
      <w:bookmarkStart w:id="244" w:name="_Toc10730059"/>
      <w:r>
        <w:t xml:space="preserve">Obrázek </w:t>
      </w:r>
      <w:r w:rsidR="00BD754F">
        <w:rPr>
          <w:noProof/>
        </w:rPr>
        <w:fldChar w:fldCharType="begin"/>
      </w:r>
      <w:r w:rsidR="00BD754F">
        <w:rPr>
          <w:noProof/>
        </w:rPr>
        <w:instrText xml:space="preserve"> SEQ Obrázek \* ARABIC </w:instrText>
      </w:r>
      <w:r w:rsidR="00BD754F">
        <w:rPr>
          <w:noProof/>
        </w:rPr>
        <w:fldChar w:fldCharType="separate"/>
      </w:r>
      <w:r w:rsidR="00E12F39">
        <w:rPr>
          <w:noProof/>
        </w:rPr>
        <w:t>17</w:t>
      </w:r>
      <w:r w:rsidR="00BD754F">
        <w:rPr>
          <w:noProof/>
        </w:rPr>
        <w:fldChar w:fldCharType="end"/>
      </w:r>
      <w:r w:rsidR="00E333FB">
        <w:t xml:space="preserve">: </w:t>
      </w:r>
      <w:bookmarkStart w:id="245" w:name="_Hlk10465288"/>
      <w:r w:rsidR="00E333FB">
        <w:t>Výsledek DŠ (NUT)</w:t>
      </w:r>
      <w:r w:rsidR="009F76AF">
        <w:t xml:space="preserve"> –</w:t>
      </w:r>
      <w:r w:rsidR="00E333FB">
        <w:t xml:space="preserve"> </w:t>
      </w:r>
      <w:r w:rsidR="009F76AF">
        <w:t xml:space="preserve">Užitečnost podpory pro realizaci a cíle </w:t>
      </w:r>
      <w:r w:rsidR="00E333FB" w:rsidRPr="000A046B">
        <w:t>projek</w:t>
      </w:r>
      <w:r w:rsidR="00E333FB">
        <w:t>t</w:t>
      </w:r>
      <w:r w:rsidR="009F76AF">
        <w:t>u</w:t>
      </w:r>
      <w:bookmarkEnd w:id="244"/>
      <w:bookmarkEnd w:id="245"/>
    </w:p>
    <w:p w14:paraId="04B70552" w14:textId="77777777" w:rsidR="00624A2A" w:rsidRPr="00624A2A" w:rsidRDefault="00624A2A" w:rsidP="00624A2A">
      <w:pPr>
        <w:spacing w:after="0"/>
      </w:pPr>
      <w:r w:rsidRPr="00624A2A">
        <w:rPr>
          <w:noProof/>
          <w:lang w:eastAsia="cs-CZ"/>
        </w:rPr>
        <w:drawing>
          <wp:inline distT="0" distB="0" distL="0" distR="0" wp14:anchorId="4E60ED54" wp14:editId="777D8AED">
            <wp:extent cx="4632960" cy="3467100"/>
            <wp:effectExtent l="0" t="0" r="15240" b="0"/>
            <wp:docPr id="37" name="Graf 37">
              <a:extLst xmlns:a="http://schemas.openxmlformats.org/drawingml/2006/main">
                <a:ext uri="{FF2B5EF4-FFF2-40B4-BE49-F238E27FC236}">
                  <a16:creationId xmlns:a16="http://schemas.microsoft.com/office/drawing/2014/main" id="{1A6083F7-F555-4BB3-9218-7B89BEE77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53D72E" w14:textId="77777777" w:rsidR="00624A2A" w:rsidRPr="00624A2A" w:rsidRDefault="00624A2A" w:rsidP="001B6784">
      <w:pPr>
        <w:spacing w:after="0"/>
      </w:pPr>
    </w:p>
    <w:p w14:paraId="3772E8FC" w14:textId="77777777" w:rsidR="00624A2A" w:rsidRPr="00624A2A" w:rsidRDefault="00624A2A" w:rsidP="001B6784">
      <w:pPr>
        <w:spacing w:after="0"/>
      </w:pPr>
      <w:r w:rsidRPr="00624A2A">
        <w:t>Více než polovina respondentů z řad příjemců se vyjádřila ve smyslu, že podpora z PP NUT pro ně představovala rozhodující nebo výrazný prostředek dosažení plánovaných cílů. Další zhruba třetina příjemců by zřejmě projekt realizovala i bez podpory, ovšem pouze v omezeném rozsahu. Tyto výsledky naznačují silný motivační účinek PP NUT pro zavádění inovativních nízkouhlíkových technologií nakládání energií a využívání druhotných surovin v podnicích.</w:t>
      </w:r>
    </w:p>
    <w:p w14:paraId="06C4347F" w14:textId="77777777" w:rsidR="00624A2A" w:rsidRPr="000830E4" w:rsidRDefault="00624A2A" w:rsidP="001B6784">
      <w:pPr>
        <w:spacing w:after="0"/>
      </w:pPr>
    </w:p>
    <w:p w14:paraId="53E2E887" w14:textId="77777777" w:rsidR="00C91048" w:rsidRDefault="00C91048" w:rsidP="00C91048">
      <w:pPr>
        <w:pStyle w:val="Nadpis3"/>
      </w:pPr>
      <w:bookmarkStart w:id="246" w:name="_Toc10730002"/>
      <w:r w:rsidRPr="001C50E7">
        <w:t>Udržitelnost</w:t>
      </w:r>
      <w:bookmarkEnd w:id="228"/>
      <w:bookmarkEnd w:id="246"/>
    </w:p>
    <w:p w14:paraId="2F6E17FE" w14:textId="5895CB62" w:rsidR="00174284" w:rsidRDefault="0047043E" w:rsidP="00B90E9C">
      <w:pPr>
        <w:spacing w:after="0"/>
        <w:rPr>
          <w:rFonts w:ascii="Calibri" w:hAnsi="Calibri" w:cs="Calibri"/>
        </w:rPr>
      </w:pPr>
      <w:r w:rsidRPr="0047043E">
        <w:rPr>
          <w:rFonts w:ascii="Calibri" w:hAnsi="Calibri" w:cs="Calibri"/>
        </w:rPr>
        <w:t xml:space="preserve">Vzhledem k </w:t>
      </w:r>
      <w:r w:rsidR="00174284" w:rsidRPr="0047043E">
        <w:rPr>
          <w:rFonts w:ascii="Calibri" w:hAnsi="Calibri" w:cs="Calibri"/>
        </w:rPr>
        <w:t>časové</w:t>
      </w:r>
      <w:r w:rsidRPr="0047043E">
        <w:rPr>
          <w:rFonts w:ascii="Calibri" w:hAnsi="Calibri" w:cs="Calibri"/>
        </w:rPr>
        <w:t>mu</w:t>
      </w:r>
      <w:r w:rsidR="00174284" w:rsidRPr="0047043E">
        <w:rPr>
          <w:rFonts w:ascii="Calibri" w:hAnsi="Calibri" w:cs="Calibri"/>
        </w:rPr>
        <w:t xml:space="preserve"> období, ve kterém je evaluace prováděna, </w:t>
      </w:r>
      <w:r w:rsidRPr="0047043E">
        <w:rPr>
          <w:rFonts w:ascii="Calibri" w:hAnsi="Calibri" w:cs="Calibri"/>
        </w:rPr>
        <w:t>nejsou doposud k dispozici data a informace potřebného rozsahu, aby bylo možné vyhodnotit udržitelnost</w:t>
      </w:r>
      <w:r w:rsidR="00174284" w:rsidRPr="0047043E">
        <w:rPr>
          <w:rFonts w:ascii="Calibri" w:hAnsi="Calibri" w:cs="Calibri"/>
        </w:rPr>
        <w:t xml:space="preserve"> podpořených projektů. </w:t>
      </w:r>
    </w:p>
    <w:p w14:paraId="05A841DA" w14:textId="22F2F41B" w:rsidR="00B90E9C" w:rsidRDefault="00B90E9C" w:rsidP="00B90E9C">
      <w:pPr>
        <w:spacing w:after="0"/>
        <w:rPr>
          <w:rFonts w:ascii="Calibri" w:hAnsi="Calibri" w:cs="Calibri"/>
        </w:rPr>
      </w:pPr>
    </w:p>
    <w:p w14:paraId="49F65BF7" w14:textId="19FBCAEE" w:rsidR="00B90E9C" w:rsidRPr="00B90E9C" w:rsidRDefault="00B90E9C" w:rsidP="00B90E9C">
      <w:pPr>
        <w:spacing w:after="0"/>
      </w:pPr>
      <w:r w:rsidRPr="00B90E9C">
        <w:lastRenderedPageBreak/>
        <w:t xml:space="preserve">V rámci fokusní skupiny bylo identifikováno potencionální riziko udržitelnosti zejména v případě projektů v typové aktivitě „a) elektromobilita“, s ohledem na charakter podpořených projektů a nastavené podmínky poskytnutí podpory. </w:t>
      </w:r>
      <w:r w:rsidR="00CA60A4">
        <w:t>M</w:t>
      </w:r>
      <w:r w:rsidR="00687D8C">
        <w:t>ezi podpořenými projekty převažují takové, jejichž předmětem je pořízení</w:t>
      </w:r>
      <w:r w:rsidR="009B39A9">
        <w:t xml:space="preserve"> pouze</w:t>
      </w:r>
      <w:r w:rsidR="00687D8C">
        <w:t xml:space="preserve"> 1 elektromobilu</w:t>
      </w:r>
      <w:r w:rsidR="009B39A9">
        <w:t>; zároveň téměř 1/3 podpořených příjemců v aktivitě „elektromobilita“ tvoří mikropodniky</w:t>
      </w:r>
      <w:r w:rsidR="00CA60A4">
        <w:t xml:space="preserve">. </w:t>
      </w:r>
      <w:r w:rsidR="009B39A9">
        <w:t xml:space="preserve">Zejména u </w:t>
      </w:r>
      <w:r w:rsidR="00CA60A4">
        <w:t>těchto případ</w:t>
      </w:r>
      <w:r w:rsidR="00057919">
        <w:t>ů</w:t>
      </w:r>
      <w:r w:rsidR="00CA60A4">
        <w:t xml:space="preserve"> lze předpokládat vyšší citlivost na </w:t>
      </w:r>
      <w:r w:rsidR="00057919">
        <w:t>vývoj</w:t>
      </w:r>
      <w:r w:rsidR="00CA60A4">
        <w:t xml:space="preserve"> vnitřních i vnějších podmínek</w:t>
      </w:r>
      <w:r w:rsidR="00057919">
        <w:t xml:space="preserve"> </w:t>
      </w:r>
      <w:r w:rsidR="009B39A9">
        <w:t>spojených s</w:t>
      </w:r>
      <w:r w:rsidR="00057919">
        <w:t xml:space="preserve"> provozování</w:t>
      </w:r>
      <w:r w:rsidR="001A71BC">
        <w:t>m</w:t>
      </w:r>
      <w:r w:rsidR="00057919">
        <w:t xml:space="preserve"> těchto typů vozidel</w:t>
      </w:r>
      <w:r w:rsidR="00CA60A4">
        <w:t xml:space="preserve"> (</w:t>
      </w:r>
      <w:r w:rsidR="00057919">
        <w:t xml:space="preserve">zatím obecně nedostatečné zkušenosti, </w:t>
      </w:r>
      <w:r w:rsidR="00524890">
        <w:t xml:space="preserve">nejistá </w:t>
      </w:r>
      <w:r w:rsidR="00057919">
        <w:t>životnost zařízení, poruchovost a nutnost servisních zásahů – nedostatečná síť servisních míst,</w:t>
      </w:r>
      <w:r w:rsidR="00524890">
        <w:t xml:space="preserve"> </w:t>
      </w:r>
      <w:r w:rsidR="00057919">
        <w:t>nedostatečná infrastruktura pro dobíjení</w:t>
      </w:r>
      <w:r w:rsidR="00524890">
        <w:t xml:space="preserve">, ceny pohonných hmot a jiné, další </w:t>
      </w:r>
      <w:r w:rsidR="00524890" w:rsidRPr="00524890">
        <w:t>provozní náklad</w:t>
      </w:r>
      <w:r w:rsidR="00524890">
        <w:t>y</w:t>
      </w:r>
      <w:r w:rsidR="00057919">
        <w:t xml:space="preserve"> a</w:t>
      </w:r>
      <w:r w:rsidR="00524890">
        <w:t>t</w:t>
      </w:r>
      <w:r w:rsidR="00057919">
        <w:t>d.).</w:t>
      </w:r>
      <w:r w:rsidR="00687D8C">
        <w:t xml:space="preserve">  </w:t>
      </w:r>
      <w:r w:rsidRPr="00B90E9C">
        <w:t xml:space="preserve"> </w:t>
      </w:r>
    </w:p>
    <w:p w14:paraId="2D9B3694" w14:textId="77777777" w:rsidR="00174284" w:rsidRPr="00174284" w:rsidRDefault="00174284" w:rsidP="00B90E9C">
      <w:pPr>
        <w:spacing w:after="0"/>
        <w:rPr>
          <w:rFonts w:ascii="Calibri" w:hAnsi="Calibri" w:cs="Calibri"/>
          <w:highlight w:val="yellow"/>
        </w:rPr>
      </w:pPr>
      <w:r w:rsidRPr="00174284">
        <w:rPr>
          <w:rFonts w:ascii="Calibri" w:hAnsi="Calibri" w:cs="Calibri"/>
          <w:highlight w:val="yellow"/>
        </w:rPr>
        <w:t xml:space="preserve"> </w:t>
      </w:r>
    </w:p>
    <w:p w14:paraId="42FF73CF" w14:textId="77777777" w:rsidR="00C91048" w:rsidRPr="001C50E7" w:rsidRDefault="00C91048" w:rsidP="00C91048">
      <w:pPr>
        <w:pStyle w:val="Nadpis3"/>
      </w:pPr>
      <w:bookmarkStart w:id="247" w:name="_Toc10730003"/>
      <w:r w:rsidRPr="001C50E7">
        <w:t>Nástroje pro naplňování principu 3E</w:t>
      </w:r>
      <w:bookmarkEnd w:id="229"/>
      <w:bookmarkEnd w:id="247"/>
    </w:p>
    <w:p w14:paraId="43358C71" w14:textId="4309CD89" w:rsidR="00B90E9C" w:rsidRDefault="00174284" w:rsidP="00B90E9C">
      <w:pPr>
        <w:spacing w:after="0"/>
        <w:rPr>
          <w:rFonts w:ascii="Calibri" w:hAnsi="Calibri" w:cs="Calibri"/>
        </w:rPr>
      </w:pPr>
      <w:r w:rsidRPr="001C50E7">
        <w:rPr>
          <w:rFonts w:ascii="Calibri" w:hAnsi="Calibri" w:cs="Calibri"/>
        </w:rPr>
        <w:t>V souladu s </w:t>
      </w:r>
      <w:r w:rsidRPr="001C50E7">
        <w:rPr>
          <w:rFonts w:ascii="Calibri" w:hAnsi="Calibri" w:cs="Calibri"/>
          <w:i/>
        </w:rPr>
        <w:t>Metodickým pokynem pro evaluace v programovacím období 2014 – 2020</w:t>
      </w:r>
      <w:r w:rsidRPr="001C50E7">
        <w:rPr>
          <w:rFonts w:ascii="Calibri" w:hAnsi="Calibri" w:cs="Calibri"/>
        </w:rPr>
        <w:t xml:space="preserve"> se hodnotitel zabýval rovněž posouzením toho, jak jsou při realizaci SC </w:t>
      </w:r>
      <w:r w:rsidR="0096334D">
        <w:rPr>
          <w:rFonts w:ascii="Calibri" w:hAnsi="Calibri" w:cs="Calibri"/>
        </w:rPr>
        <w:t>3.1, 3.2 a 3.4</w:t>
      </w:r>
      <w:r w:rsidRPr="001C50E7">
        <w:rPr>
          <w:rFonts w:ascii="Calibri" w:hAnsi="Calibri" w:cs="Calibri"/>
        </w:rPr>
        <w:t xml:space="preserve"> OP PIK využívány doporučené nástroje</w:t>
      </w:r>
      <w:r w:rsidR="00B90E9C">
        <w:rPr>
          <w:rFonts w:ascii="Calibri" w:hAnsi="Calibri" w:cs="Calibri"/>
        </w:rPr>
        <w:t xml:space="preserve"> pro naplňování principu 3E</w:t>
      </w:r>
      <w:r w:rsidRPr="001C50E7">
        <w:rPr>
          <w:rFonts w:ascii="Calibri" w:hAnsi="Calibri" w:cs="Calibri"/>
        </w:rPr>
        <w:t xml:space="preserve">. </w:t>
      </w:r>
    </w:p>
    <w:p w14:paraId="23598204" w14:textId="77777777" w:rsidR="00B90E9C" w:rsidRDefault="00B90E9C" w:rsidP="00B90E9C">
      <w:pPr>
        <w:spacing w:after="0"/>
        <w:rPr>
          <w:rFonts w:ascii="Calibri" w:hAnsi="Calibri" w:cs="Calibri"/>
        </w:rPr>
      </w:pPr>
    </w:p>
    <w:p w14:paraId="11C57723" w14:textId="7859AD47" w:rsidR="00174284" w:rsidRPr="001C50E7" w:rsidRDefault="00174284" w:rsidP="00B90E9C">
      <w:pPr>
        <w:spacing w:after="0"/>
        <w:rPr>
          <w:rFonts w:ascii="Calibri" w:hAnsi="Calibri" w:cs="Calibri"/>
        </w:rPr>
      </w:pPr>
      <w:r w:rsidRPr="001C50E7">
        <w:rPr>
          <w:rFonts w:ascii="Calibri" w:hAnsi="Calibri" w:cs="Calibri"/>
        </w:rPr>
        <w:t>Konkrétně se jedná o:</w:t>
      </w:r>
    </w:p>
    <w:p w14:paraId="5F783F19" w14:textId="77777777" w:rsidR="00174284" w:rsidRPr="001C50E7" w:rsidRDefault="00174284" w:rsidP="00B90E9C">
      <w:pPr>
        <w:numPr>
          <w:ilvl w:val="0"/>
          <w:numId w:val="10"/>
        </w:numPr>
        <w:spacing w:after="0"/>
        <w:ind w:left="714" w:hanging="357"/>
        <w:rPr>
          <w:rFonts w:ascii="Calibri" w:hAnsi="Calibri" w:cs="Calibri"/>
        </w:rPr>
      </w:pPr>
      <w:bookmarkStart w:id="248" w:name="_Hlk10534758"/>
      <w:r w:rsidRPr="001C50E7">
        <w:rPr>
          <w:rFonts w:ascii="Calibri" w:hAnsi="Calibri" w:cs="Calibri"/>
        </w:rPr>
        <w:t>strategické plánování</w:t>
      </w:r>
    </w:p>
    <w:p w14:paraId="23198391" w14:textId="77777777" w:rsidR="00174284" w:rsidRPr="001C50E7" w:rsidRDefault="00174284" w:rsidP="00B90E9C">
      <w:pPr>
        <w:numPr>
          <w:ilvl w:val="0"/>
          <w:numId w:val="10"/>
        </w:numPr>
        <w:spacing w:after="0"/>
        <w:ind w:left="714" w:hanging="357"/>
        <w:rPr>
          <w:rFonts w:ascii="Calibri" w:hAnsi="Calibri" w:cs="Calibri"/>
        </w:rPr>
      </w:pPr>
      <w:r w:rsidRPr="001C50E7">
        <w:rPr>
          <w:rFonts w:ascii="Calibri" w:hAnsi="Calibri" w:cs="Calibri"/>
        </w:rPr>
        <w:t>řízení výzev</w:t>
      </w:r>
    </w:p>
    <w:bookmarkEnd w:id="248"/>
    <w:p w14:paraId="24D91138" w14:textId="77777777" w:rsidR="00174284" w:rsidRPr="001C50E7" w:rsidRDefault="00174284" w:rsidP="00B90E9C">
      <w:pPr>
        <w:numPr>
          <w:ilvl w:val="0"/>
          <w:numId w:val="10"/>
        </w:numPr>
        <w:spacing w:after="0"/>
        <w:ind w:left="714" w:hanging="357"/>
        <w:rPr>
          <w:rFonts w:ascii="Calibri" w:hAnsi="Calibri" w:cs="Calibri"/>
        </w:rPr>
      </w:pPr>
      <w:r w:rsidRPr="001C50E7">
        <w:rPr>
          <w:rFonts w:ascii="Calibri" w:hAnsi="Calibri" w:cs="Calibri"/>
        </w:rPr>
        <w:t>CBA a studie proveditelnosti</w:t>
      </w:r>
    </w:p>
    <w:p w14:paraId="36764605" w14:textId="77777777" w:rsidR="00174284" w:rsidRPr="001C50E7" w:rsidRDefault="00174284" w:rsidP="00B90E9C">
      <w:pPr>
        <w:numPr>
          <w:ilvl w:val="0"/>
          <w:numId w:val="10"/>
        </w:numPr>
        <w:spacing w:after="0"/>
        <w:ind w:left="714" w:hanging="357"/>
        <w:rPr>
          <w:rFonts w:ascii="Calibri" w:hAnsi="Calibri" w:cs="Calibri"/>
        </w:rPr>
      </w:pPr>
      <w:r>
        <w:rPr>
          <w:rFonts w:ascii="Calibri" w:hAnsi="Calibri" w:cs="Calibri"/>
        </w:rPr>
        <w:t>Z</w:t>
      </w:r>
      <w:r w:rsidRPr="001C50E7">
        <w:rPr>
          <w:rFonts w:ascii="Calibri" w:hAnsi="Calibri" w:cs="Calibri"/>
        </w:rPr>
        <w:t>ákon č. 137/2006 Sb., o veřejných zakázkách, ve znění pozdějších předpisů.</w:t>
      </w:r>
    </w:p>
    <w:p w14:paraId="7268FBE4" w14:textId="77777777" w:rsidR="00174284" w:rsidRDefault="00174284" w:rsidP="00B90E9C">
      <w:pPr>
        <w:spacing w:after="0"/>
        <w:rPr>
          <w:rFonts w:ascii="Calibri" w:hAnsi="Calibri" w:cs="Calibri"/>
        </w:rPr>
      </w:pPr>
    </w:p>
    <w:p w14:paraId="40943E02" w14:textId="190BFCF0" w:rsidR="00174284" w:rsidRPr="001C50E7" w:rsidRDefault="00241915" w:rsidP="00B90E9C">
      <w:pPr>
        <w:spacing w:after="0"/>
        <w:rPr>
          <w:rFonts w:ascii="Calibri" w:hAnsi="Calibri" w:cs="Calibri"/>
        </w:rPr>
      </w:pPr>
      <w:r>
        <w:rPr>
          <w:rFonts w:ascii="Calibri" w:hAnsi="Calibri" w:cs="Calibri"/>
        </w:rPr>
        <w:t>Obdobné hodnocení provedl zpracovatel již v rámci dřívější výsledkové evaluac</w:t>
      </w:r>
      <w:r w:rsidR="00685CB3">
        <w:rPr>
          <w:rFonts w:ascii="Calibri" w:hAnsi="Calibri" w:cs="Calibri"/>
        </w:rPr>
        <w:t>e</w:t>
      </w:r>
      <w:r>
        <w:rPr>
          <w:rFonts w:ascii="Calibri" w:hAnsi="Calibri" w:cs="Calibri"/>
        </w:rPr>
        <w:t xml:space="preserve"> SC 2.1 a 2.2</w:t>
      </w:r>
      <w:r>
        <w:rPr>
          <w:rStyle w:val="Znakapoznpodarou"/>
          <w:rFonts w:ascii="Calibri" w:hAnsi="Calibri" w:cs="Calibri"/>
        </w:rPr>
        <w:footnoteReference w:id="35"/>
      </w:r>
      <w:r>
        <w:rPr>
          <w:rFonts w:ascii="Calibri" w:hAnsi="Calibri" w:cs="Calibri"/>
        </w:rPr>
        <w:t xml:space="preserve">. </w:t>
      </w:r>
      <w:r w:rsidR="00174284" w:rsidRPr="001C50E7">
        <w:rPr>
          <w:rFonts w:ascii="Calibri" w:hAnsi="Calibri" w:cs="Calibri"/>
        </w:rPr>
        <w:t>Posouzení se týk</w:t>
      </w:r>
      <w:r w:rsidR="00FB3FD6">
        <w:rPr>
          <w:rFonts w:ascii="Calibri" w:hAnsi="Calibri" w:cs="Calibri"/>
        </w:rPr>
        <w:t>á</w:t>
      </w:r>
      <w:r w:rsidR="00174284" w:rsidRPr="001C50E7">
        <w:rPr>
          <w:rFonts w:ascii="Calibri" w:hAnsi="Calibri" w:cs="Calibri"/>
        </w:rPr>
        <w:t xml:space="preserve"> primárně toho, zda je využití nástrojů zakomponováno do procesních dokumentů a zda jsou nástroje aplikovány při hodnocení a výběru projektů. </w:t>
      </w:r>
    </w:p>
    <w:p w14:paraId="121BA706" w14:textId="77777777" w:rsidR="00174284" w:rsidRDefault="00174284" w:rsidP="00B90E9C">
      <w:pPr>
        <w:spacing w:after="0"/>
        <w:rPr>
          <w:rFonts w:ascii="Calibri" w:hAnsi="Calibri" w:cs="Calibri"/>
        </w:rPr>
      </w:pPr>
    </w:p>
    <w:p w14:paraId="49E351EB" w14:textId="041DC338" w:rsidR="00174284" w:rsidRPr="0096334D" w:rsidRDefault="00174284" w:rsidP="00B90E9C">
      <w:pPr>
        <w:spacing w:after="0"/>
        <w:rPr>
          <w:rFonts w:ascii="Calibri" w:hAnsi="Calibri" w:cs="Calibri"/>
        </w:rPr>
      </w:pPr>
      <w:r w:rsidRPr="0096334D">
        <w:rPr>
          <w:rFonts w:ascii="Calibri" w:hAnsi="Calibri" w:cs="Calibri"/>
        </w:rPr>
        <w:t xml:space="preserve">Lze konstatovat, že ŘO OP PIK využívá </w:t>
      </w:r>
      <w:r w:rsidR="00685CB3">
        <w:rPr>
          <w:rFonts w:ascii="Calibri" w:hAnsi="Calibri" w:cs="Calibri"/>
        </w:rPr>
        <w:t xml:space="preserve">i v případě SC 3.1, 3.2 a 3.4 </w:t>
      </w:r>
      <w:r w:rsidRPr="0096334D">
        <w:rPr>
          <w:rFonts w:ascii="Calibri" w:hAnsi="Calibri" w:cs="Calibri"/>
        </w:rPr>
        <w:t xml:space="preserve">všechny typové nástroje </w:t>
      </w:r>
      <w:r w:rsidR="00685CB3">
        <w:rPr>
          <w:rFonts w:ascii="Calibri" w:hAnsi="Calibri" w:cs="Calibri"/>
        </w:rPr>
        <w:t>pro naplňování principu 3E</w:t>
      </w:r>
      <w:r w:rsidR="00685CB3" w:rsidRPr="0096334D">
        <w:rPr>
          <w:rFonts w:ascii="Calibri" w:hAnsi="Calibri" w:cs="Calibri"/>
        </w:rPr>
        <w:t xml:space="preserve"> </w:t>
      </w:r>
      <w:r w:rsidRPr="0096334D">
        <w:rPr>
          <w:rFonts w:ascii="Calibri" w:hAnsi="Calibri" w:cs="Calibri"/>
        </w:rPr>
        <w:t xml:space="preserve">a způsob jejich použití je funkční. </w:t>
      </w:r>
    </w:p>
    <w:p w14:paraId="7E6DAA8B" w14:textId="77777777" w:rsidR="00174284" w:rsidRDefault="00174284" w:rsidP="00B90E9C">
      <w:pPr>
        <w:pStyle w:val="Nadpis1"/>
        <w:numPr>
          <w:ilvl w:val="0"/>
          <w:numId w:val="0"/>
        </w:numPr>
        <w:spacing w:after="0"/>
        <w:ind w:left="432" w:hanging="432"/>
        <w:sectPr w:rsidR="00174284" w:rsidSect="00B74AB9">
          <w:headerReference w:type="default" r:id="rId32"/>
          <w:footerReference w:type="default" r:id="rId33"/>
          <w:headerReference w:type="first" r:id="rId34"/>
          <w:pgSz w:w="11906" w:h="16838"/>
          <w:pgMar w:top="1701" w:right="1276" w:bottom="1559" w:left="1304" w:header="709" w:footer="709" w:gutter="0"/>
          <w:cols w:space="708"/>
          <w:titlePg/>
          <w:docGrid w:linePitch="360"/>
        </w:sectPr>
      </w:pPr>
    </w:p>
    <w:p w14:paraId="15E6E8C0" w14:textId="22C1A3D9" w:rsidR="00664EBC" w:rsidRDefault="00664EBC" w:rsidP="00664EBC">
      <w:pPr>
        <w:pStyle w:val="Nadpis1"/>
      </w:pPr>
      <w:bookmarkStart w:id="249" w:name="_Toc4596875"/>
      <w:bookmarkStart w:id="250" w:name="_Toc10730004"/>
      <w:r>
        <w:lastRenderedPageBreak/>
        <w:t>Evaluační otázka 15 (OZE, ÚE, NUT)</w:t>
      </w:r>
      <w:bookmarkEnd w:id="249"/>
      <w:bookmarkEnd w:id="250"/>
    </w:p>
    <w:p w14:paraId="567BC20D" w14:textId="4E551E0D" w:rsidR="00664EBC" w:rsidRPr="00FE4816" w:rsidRDefault="00664EBC" w:rsidP="00664EBC">
      <w:pPr>
        <w:spacing w:after="0"/>
        <w:rPr>
          <w:rFonts w:ascii="Calibri" w:hAnsi="Calibri" w:cs="Calibri"/>
          <w:b/>
        </w:rPr>
      </w:pPr>
      <w:r w:rsidRPr="00664EBC">
        <w:rPr>
          <w:rFonts w:ascii="Calibri" w:hAnsi="Calibri" w:cs="Calibri"/>
          <w:b/>
        </w:rPr>
        <w:t>Lze považovat dosažené výsledky z hlediska stanovených cílů za dostatečné? Případně, čeho se nepodařilo dosáhnout a z jakých příčin?</w:t>
      </w:r>
      <w:r w:rsidR="00D001C1">
        <w:rPr>
          <w:rFonts w:ascii="Calibri" w:hAnsi="Calibri" w:cs="Calibri"/>
          <w:b/>
        </w:rPr>
        <w:t xml:space="preserve"> </w:t>
      </w:r>
      <w:r w:rsidR="00D001C1" w:rsidRPr="00D001C1">
        <w:rPr>
          <w:rFonts w:ascii="Calibri" w:hAnsi="Calibri" w:cs="Calibri"/>
          <w:b/>
        </w:rPr>
        <w:t>Dodavatel zároveň provede predikci toho, zda se podaří do konce programovacího období stanovených cílů dosáhnout a za jakých předpokladů. Vyzní-li predikce negativně, navrhne dodavatel způsoby řešení, které by přispěly k dosažení stanovených cílů.</w:t>
      </w:r>
    </w:p>
    <w:p w14:paraId="64D03E51" w14:textId="77777777" w:rsidR="00664EBC" w:rsidRDefault="00664EBC" w:rsidP="00664EBC">
      <w:pPr>
        <w:spacing w:after="0"/>
        <w:rPr>
          <w:rFonts w:ascii="Calibri" w:hAnsi="Calibri" w:cs="Calibri"/>
        </w:rPr>
      </w:pPr>
    </w:p>
    <w:p w14:paraId="23F3A236" w14:textId="77777777" w:rsidR="00664EBC" w:rsidRPr="001C210E" w:rsidRDefault="00664EBC" w:rsidP="00664EBC">
      <w:pPr>
        <w:pStyle w:val="Nadpis2"/>
      </w:pPr>
      <w:bookmarkStart w:id="251" w:name="_Toc4596876"/>
      <w:bookmarkStart w:id="252" w:name="_Toc10730005"/>
      <w:r w:rsidRPr="001C210E">
        <w:t>Úkol</w:t>
      </w:r>
      <w:bookmarkEnd w:id="251"/>
      <w:bookmarkEnd w:id="252"/>
    </w:p>
    <w:p w14:paraId="333D925B" w14:textId="77777777" w:rsidR="00646BD5" w:rsidRPr="005C7539" w:rsidRDefault="00646BD5" w:rsidP="00646BD5">
      <w:pPr>
        <w:spacing w:after="0"/>
        <w:rPr>
          <w:rFonts w:ascii="Calibri" w:hAnsi="Calibri" w:cs="Calibri"/>
        </w:rPr>
      </w:pPr>
      <w:r w:rsidRPr="005C7539">
        <w:rPr>
          <w:rFonts w:ascii="Calibri" w:hAnsi="Calibri" w:cs="Calibri"/>
        </w:rPr>
        <w:t>Posoudit dostatečnost dosavadních výsledků SC 3.1, 3.2 a 3.4, identifikovat případná slabá místa při jejich dosahování a související příčiny.</w:t>
      </w:r>
    </w:p>
    <w:p w14:paraId="3C8524C9" w14:textId="77777777" w:rsidR="00B90E9C" w:rsidRDefault="00B90E9C" w:rsidP="00B90E9C">
      <w:pPr>
        <w:spacing w:after="0"/>
      </w:pPr>
    </w:p>
    <w:p w14:paraId="0344A61D" w14:textId="77777777" w:rsidR="00664EBC" w:rsidRPr="001C210E" w:rsidRDefault="00664EBC" w:rsidP="00664EBC">
      <w:pPr>
        <w:pStyle w:val="Nadpis2"/>
      </w:pPr>
      <w:bookmarkStart w:id="253" w:name="_Toc4596877"/>
      <w:bookmarkStart w:id="254" w:name="_Toc10730006"/>
      <w:r w:rsidRPr="001C210E">
        <w:t>Východiska</w:t>
      </w:r>
      <w:bookmarkEnd w:id="253"/>
      <w:bookmarkEnd w:id="254"/>
    </w:p>
    <w:p w14:paraId="53369212" w14:textId="77777777" w:rsidR="00646BD5" w:rsidRDefault="00646BD5" w:rsidP="00B90E9C">
      <w:pPr>
        <w:spacing w:after="0"/>
        <w:rPr>
          <w:rFonts w:ascii="Calibri" w:hAnsi="Calibri" w:cs="Calibri"/>
        </w:rPr>
      </w:pPr>
      <w:r>
        <w:rPr>
          <w:rFonts w:ascii="Calibri" w:hAnsi="Calibri" w:cs="Calibri"/>
        </w:rPr>
        <w:t xml:space="preserve">Předmětná evaluační otázka představuje </w:t>
      </w:r>
      <w:r w:rsidRPr="00646BD5">
        <w:rPr>
          <w:rFonts w:ascii="Calibri" w:hAnsi="Calibri" w:cs="Calibri"/>
          <w:i/>
        </w:rPr>
        <w:t>de facto</w:t>
      </w:r>
      <w:r>
        <w:rPr>
          <w:rFonts w:ascii="Calibri" w:hAnsi="Calibri" w:cs="Calibri"/>
        </w:rPr>
        <w:t xml:space="preserve"> shrnutí celé výsledkové evaluace SC 3.1, 3.2 a 3.4 OP PIK. Vstupem jsou tak dílčí závěry a zjištění z řešení předcházejících EO.</w:t>
      </w:r>
      <w:r w:rsidR="00243401" w:rsidRPr="00243401">
        <w:rPr>
          <w:rFonts w:ascii="Calibri" w:hAnsi="Calibri" w:cs="Calibri"/>
        </w:rPr>
        <w:t xml:space="preserve"> </w:t>
      </w:r>
    </w:p>
    <w:p w14:paraId="1FA4A83B" w14:textId="77777777" w:rsidR="00B90E9C" w:rsidRPr="00DB0BA9" w:rsidRDefault="00B90E9C" w:rsidP="00B90E9C">
      <w:pPr>
        <w:spacing w:after="0"/>
        <w:rPr>
          <w:rFonts w:cstheme="minorHAnsi"/>
          <w:lang w:eastAsia="sk-SK"/>
        </w:rPr>
      </w:pPr>
      <w:bookmarkStart w:id="255" w:name="_Toc4596878"/>
    </w:p>
    <w:p w14:paraId="0FEE489D" w14:textId="643BD31E" w:rsidR="00664EBC" w:rsidRPr="001C210E" w:rsidRDefault="00664EBC" w:rsidP="00DB0BA9">
      <w:pPr>
        <w:pStyle w:val="Nadpis2"/>
      </w:pPr>
      <w:bookmarkStart w:id="256" w:name="_Toc10730007"/>
      <w:r w:rsidRPr="001C210E">
        <w:t>Zjištění v návaznosti na evaluační otázku a úkol</w:t>
      </w:r>
      <w:bookmarkEnd w:id="255"/>
      <w:bookmarkEnd w:id="256"/>
    </w:p>
    <w:tbl>
      <w:tblPr>
        <w:tblStyle w:val="Svtlmkatabulky1"/>
        <w:tblW w:w="0" w:type="auto"/>
        <w:tblLook w:val="04A0" w:firstRow="1" w:lastRow="0" w:firstColumn="1" w:lastColumn="0" w:noHBand="0" w:noVBand="1"/>
      </w:tblPr>
      <w:tblGrid>
        <w:gridCol w:w="2972"/>
        <w:gridCol w:w="5954"/>
      </w:tblGrid>
      <w:tr w:rsidR="00664EBC" w:rsidRPr="001C210E" w14:paraId="3D6D4D8D" w14:textId="77777777" w:rsidTr="00047EB6">
        <w:tc>
          <w:tcPr>
            <w:tcW w:w="2972" w:type="dxa"/>
            <w:shd w:val="clear" w:color="auto" w:fill="F2F2F2" w:themeFill="background1" w:themeFillShade="F2"/>
          </w:tcPr>
          <w:p w14:paraId="43647265" w14:textId="77777777" w:rsidR="00664EBC" w:rsidRPr="001C210E" w:rsidRDefault="00664EBC" w:rsidP="00047EB6">
            <w:pPr>
              <w:rPr>
                <w:rFonts w:ascii="Calibri" w:hAnsi="Calibri" w:cs="Calibri"/>
                <w:b/>
              </w:rPr>
            </w:pPr>
            <w:r w:rsidRPr="001C210E">
              <w:rPr>
                <w:rFonts w:ascii="Calibri" w:hAnsi="Calibri" w:cs="Calibri"/>
                <w:b/>
              </w:rPr>
              <w:t>Evaluační otázka</w:t>
            </w:r>
          </w:p>
        </w:tc>
        <w:tc>
          <w:tcPr>
            <w:tcW w:w="5954" w:type="dxa"/>
          </w:tcPr>
          <w:p w14:paraId="7F8571D7" w14:textId="0F756FB7" w:rsidR="00664EBC" w:rsidRPr="00FE4816" w:rsidRDefault="00664EBC" w:rsidP="00047EB6">
            <w:pPr>
              <w:rPr>
                <w:rFonts w:ascii="Calibri" w:hAnsi="Calibri" w:cs="Calibri"/>
                <w:b/>
              </w:rPr>
            </w:pPr>
            <w:r w:rsidRPr="00664EBC">
              <w:rPr>
                <w:rFonts w:ascii="Calibri" w:hAnsi="Calibri" w:cs="Calibri"/>
                <w:b/>
              </w:rPr>
              <w:t>Lze považovat dosažené výsledky z hlediska stanovených cílů za dostatečné? Případně, čeho se nepodařilo dosáhnout a z jakých příčin?</w:t>
            </w:r>
          </w:p>
        </w:tc>
      </w:tr>
      <w:tr w:rsidR="00664EBC" w:rsidRPr="001C210E" w14:paraId="14A32E57" w14:textId="77777777" w:rsidTr="00047EB6">
        <w:tc>
          <w:tcPr>
            <w:tcW w:w="2972" w:type="dxa"/>
            <w:shd w:val="clear" w:color="auto" w:fill="F2F2F2" w:themeFill="background1" w:themeFillShade="F2"/>
          </w:tcPr>
          <w:p w14:paraId="2544EB39" w14:textId="77777777" w:rsidR="00664EBC" w:rsidRPr="001C210E" w:rsidRDefault="00664EBC" w:rsidP="00047EB6">
            <w:pPr>
              <w:rPr>
                <w:rFonts w:ascii="Calibri" w:hAnsi="Calibri" w:cs="Calibri"/>
              </w:rPr>
            </w:pPr>
            <w:r w:rsidRPr="001C210E">
              <w:rPr>
                <w:rFonts w:ascii="Calibri" w:hAnsi="Calibri" w:cs="Calibri"/>
                <w:b/>
                <w:bCs/>
              </w:rPr>
              <w:t>Zhodnocení</w:t>
            </w:r>
            <w:r w:rsidRPr="001C210E">
              <w:rPr>
                <w:rFonts w:ascii="Calibri" w:hAnsi="Calibri" w:cs="Calibri"/>
                <w:b/>
                <w:bCs/>
              </w:rPr>
              <w:br/>
            </w:r>
            <w:r w:rsidRPr="001C210E">
              <w:rPr>
                <w:rFonts w:ascii="Calibri" w:hAnsi="Calibri" w:cs="Calibri"/>
              </w:rPr>
              <w:t>(Ano, Spíše ano, Spíše ne, Ne, Není relevantní)</w:t>
            </w:r>
          </w:p>
        </w:tc>
        <w:tc>
          <w:tcPr>
            <w:tcW w:w="5954" w:type="dxa"/>
          </w:tcPr>
          <w:p w14:paraId="6000AABE" w14:textId="5FFC9218" w:rsidR="00664EBC" w:rsidRPr="001C210E" w:rsidRDefault="0028727C" w:rsidP="00047EB6">
            <w:pPr>
              <w:rPr>
                <w:rFonts w:ascii="Calibri" w:hAnsi="Calibri" w:cs="Calibri"/>
              </w:rPr>
            </w:pPr>
            <w:r>
              <w:rPr>
                <w:rFonts w:ascii="Calibri" w:hAnsi="Calibri" w:cs="Calibri"/>
              </w:rPr>
              <w:t>Spíše ne</w:t>
            </w:r>
          </w:p>
        </w:tc>
      </w:tr>
      <w:tr w:rsidR="00664EBC" w:rsidRPr="001C210E" w14:paraId="152AD0DC" w14:textId="77777777" w:rsidTr="00047EB6">
        <w:tc>
          <w:tcPr>
            <w:tcW w:w="2972" w:type="dxa"/>
            <w:shd w:val="clear" w:color="auto" w:fill="F2F2F2" w:themeFill="background1" w:themeFillShade="F2"/>
          </w:tcPr>
          <w:p w14:paraId="533587FC" w14:textId="77777777" w:rsidR="00664EBC" w:rsidRPr="001C210E" w:rsidRDefault="00664EBC" w:rsidP="00047EB6">
            <w:pPr>
              <w:rPr>
                <w:rFonts w:ascii="Calibri" w:hAnsi="Calibri" w:cs="Calibri"/>
                <w:b/>
              </w:rPr>
            </w:pPr>
            <w:r>
              <w:rPr>
                <w:rFonts w:ascii="Calibri" w:hAnsi="Calibri" w:cs="Calibri"/>
                <w:b/>
              </w:rPr>
              <w:t>Hlavní závěry a zjištění</w:t>
            </w:r>
            <w:r w:rsidRPr="001C210E">
              <w:rPr>
                <w:rFonts w:ascii="Calibri" w:hAnsi="Calibri" w:cs="Calibri"/>
                <w:b/>
              </w:rPr>
              <w:t xml:space="preserve"> </w:t>
            </w:r>
          </w:p>
        </w:tc>
        <w:tc>
          <w:tcPr>
            <w:tcW w:w="5954" w:type="dxa"/>
          </w:tcPr>
          <w:p w14:paraId="69FA4CF2" w14:textId="3D2AB0DC" w:rsidR="00055FAE" w:rsidRDefault="00055FAE" w:rsidP="0028727C">
            <w:pPr>
              <w:rPr>
                <w:rFonts w:ascii="Calibri" w:hAnsi="Calibri" w:cs="Calibri"/>
              </w:rPr>
            </w:pPr>
            <w:r>
              <w:rPr>
                <w:rFonts w:ascii="Calibri" w:hAnsi="Calibri" w:cs="Calibri"/>
              </w:rPr>
              <w:t>V tematických, resp. problémových oblastech, na které reagují SC 3.1, 3.2 a 3.4</w:t>
            </w:r>
            <w:r w:rsidR="00287768">
              <w:rPr>
                <w:rFonts w:ascii="Calibri" w:hAnsi="Calibri" w:cs="Calibri"/>
              </w:rPr>
              <w:t>,</w:t>
            </w:r>
            <w:r>
              <w:rPr>
                <w:rFonts w:ascii="Calibri" w:hAnsi="Calibri" w:cs="Calibri"/>
              </w:rPr>
              <w:t xml:space="preserve"> jsou ve sledovaných obdobích zaznamenávány na úrovni celé ČR spíše pozitivní vývojové tendence. </w:t>
            </w:r>
          </w:p>
          <w:p w14:paraId="7A9A8B27" w14:textId="77777777" w:rsidR="00055FAE" w:rsidRDefault="00055FAE" w:rsidP="0028727C">
            <w:pPr>
              <w:rPr>
                <w:rFonts w:ascii="Calibri" w:hAnsi="Calibri" w:cs="Calibri"/>
              </w:rPr>
            </w:pPr>
          </w:p>
          <w:p w14:paraId="0A0C908A" w14:textId="3E088F4D" w:rsidR="000F720E" w:rsidRDefault="00055FAE" w:rsidP="0028727C">
            <w:pPr>
              <w:rPr>
                <w:rFonts w:ascii="Calibri" w:hAnsi="Calibri" w:cs="Calibri"/>
              </w:rPr>
            </w:pPr>
            <w:r>
              <w:rPr>
                <w:rFonts w:ascii="Calibri" w:hAnsi="Calibri" w:cs="Calibri"/>
              </w:rPr>
              <w:t>Samotný v</w:t>
            </w:r>
            <w:r w:rsidR="00F6797F">
              <w:rPr>
                <w:rFonts w:ascii="Calibri" w:hAnsi="Calibri" w:cs="Calibri"/>
              </w:rPr>
              <w:t xml:space="preserve">ěcný pokrok předmětných specifických cílů OP PIK ke konci roku 2018 je </w:t>
            </w:r>
            <w:r>
              <w:rPr>
                <w:rFonts w:ascii="Calibri" w:hAnsi="Calibri" w:cs="Calibri"/>
              </w:rPr>
              <w:t xml:space="preserve">však </w:t>
            </w:r>
            <w:r w:rsidR="00F6797F">
              <w:rPr>
                <w:rFonts w:ascii="Calibri" w:hAnsi="Calibri" w:cs="Calibri"/>
              </w:rPr>
              <w:t>hodnocen jako neuspokojivý, v některých případech i rizikový z pohledu plnění kvantifikovaných cílů pro rok 2023. Příčinou není chybné</w:t>
            </w:r>
            <w:r w:rsidR="0028727C">
              <w:rPr>
                <w:rFonts w:ascii="Calibri" w:hAnsi="Calibri" w:cs="Calibri"/>
              </w:rPr>
              <w:t xml:space="preserve"> nastavení </w:t>
            </w:r>
            <w:r w:rsidR="000F720E">
              <w:rPr>
                <w:rFonts w:ascii="Calibri" w:hAnsi="Calibri" w:cs="Calibri"/>
              </w:rPr>
              <w:t>intervenční logiky</w:t>
            </w:r>
            <w:r w:rsidR="00F6797F">
              <w:rPr>
                <w:rFonts w:ascii="Calibri" w:hAnsi="Calibri" w:cs="Calibri"/>
              </w:rPr>
              <w:t xml:space="preserve"> těchto SC a/nebo předmětu podpory</w:t>
            </w:r>
            <w:r w:rsidR="000F720E">
              <w:rPr>
                <w:rFonts w:ascii="Calibri" w:hAnsi="Calibri" w:cs="Calibri"/>
              </w:rPr>
              <w:t xml:space="preserve">, </w:t>
            </w:r>
            <w:r w:rsidR="00F6797F">
              <w:rPr>
                <w:rFonts w:ascii="Calibri" w:hAnsi="Calibri" w:cs="Calibri"/>
              </w:rPr>
              <w:t xml:space="preserve">ale </w:t>
            </w:r>
            <w:r w:rsidR="000F720E">
              <w:rPr>
                <w:rFonts w:ascii="Calibri" w:hAnsi="Calibri" w:cs="Calibri"/>
              </w:rPr>
              <w:t xml:space="preserve">spíše organizační a administrativní </w:t>
            </w:r>
            <w:r w:rsidR="00F6797F">
              <w:rPr>
                <w:rFonts w:ascii="Calibri" w:hAnsi="Calibri" w:cs="Calibri"/>
              </w:rPr>
              <w:t>aspekty</w:t>
            </w:r>
            <w:r w:rsidR="000F720E">
              <w:rPr>
                <w:rFonts w:ascii="Calibri" w:hAnsi="Calibri" w:cs="Calibri"/>
              </w:rPr>
              <w:t> implementac</w:t>
            </w:r>
            <w:r w:rsidR="00F6797F">
              <w:rPr>
                <w:rFonts w:ascii="Calibri" w:hAnsi="Calibri" w:cs="Calibri"/>
              </w:rPr>
              <w:t>e</w:t>
            </w:r>
            <w:r w:rsidR="000F720E">
              <w:rPr>
                <w:rFonts w:ascii="Calibri" w:hAnsi="Calibri" w:cs="Calibri"/>
              </w:rPr>
              <w:t xml:space="preserve"> programů podpory. </w:t>
            </w:r>
          </w:p>
          <w:p w14:paraId="696E62DF" w14:textId="4AD4066A" w:rsidR="009916B6" w:rsidRDefault="009916B6" w:rsidP="0028727C">
            <w:pPr>
              <w:rPr>
                <w:rFonts w:ascii="Calibri" w:hAnsi="Calibri" w:cs="Calibri"/>
              </w:rPr>
            </w:pPr>
          </w:p>
          <w:p w14:paraId="056738E2" w14:textId="7B78E2B7" w:rsidR="00664EBC" w:rsidRDefault="000F720E" w:rsidP="0028727C">
            <w:pPr>
              <w:rPr>
                <w:rFonts w:ascii="Calibri" w:hAnsi="Calibri" w:cs="Calibri"/>
              </w:rPr>
            </w:pPr>
            <w:r>
              <w:rPr>
                <w:rFonts w:ascii="Calibri" w:hAnsi="Calibri" w:cs="Calibri"/>
              </w:rPr>
              <w:t xml:space="preserve">Jako hlavní příčiny nedostatečného plnění </w:t>
            </w:r>
            <w:r w:rsidR="00055FAE">
              <w:rPr>
                <w:rFonts w:ascii="Calibri" w:hAnsi="Calibri" w:cs="Calibri"/>
              </w:rPr>
              <w:t xml:space="preserve">(interních) </w:t>
            </w:r>
            <w:r>
              <w:rPr>
                <w:rFonts w:ascii="Calibri" w:hAnsi="Calibri" w:cs="Calibri"/>
              </w:rPr>
              <w:t>výsledků</w:t>
            </w:r>
            <w:r w:rsidR="00055FAE">
              <w:rPr>
                <w:rFonts w:ascii="Calibri" w:hAnsi="Calibri" w:cs="Calibri"/>
              </w:rPr>
              <w:t xml:space="preserve"> i výstupů</w:t>
            </w:r>
            <w:r>
              <w:rPr>
                <w:rFonts w:ascii="Calibri" w:hAnsi="Calibri" w:cs="Calibri"/>
              </w:rPr>
              <w:t xml:space="preserve"> byly identifikovány:</w:t>
            </w:r>
          </w:p>
          <w:p w14:paraId="1CC33DCA" w14:textId="611F14D5"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Časová zpoždění při zahájení implementace</w:t>
            </w:r>
            <w:r w:rsidR="00D1392A">
              <w:rPr>
                <w:rFonts w:asciiTheme="minorHAnsi" w:hAnsiTheme="minorHAnsi" w:cstheme="minorHAnsi"/>
                <w:sz w:val="22"/>
              </w:rPr>
              <w:t xml:space="preserve"> PP</w:t>
            </w:r>
            <w:r w:rsidRPr="000F720E">
              <w:rPr>
                <w:rFonts w:asciiTheme="minorHAnsi" w:hAnsiTheme="minorHAnsi" w:cstheme="minorHAnsi"/>
                <w:sz w:val="22"/>
              </w:rPr>
              <w:t xml:space="preserve"> </w:t>
            </w:r>
          </w:p>
          <w:p w14:paraId="09262383" w14:textId="77777777"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 xml:space="preserve">Pomalý proces hodnocení projektových žádostí </w:t>
            </w:r>
          </w:p>
          <w:p w14:paraId="172D03C0" w14:textId="77777777"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Administrativní zátěž žadatelů</w:t>
            </w:r>
          </w:p>
          <w:p w14:paraId="34F5A834" w14:textId="77777777"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Nejednoznačné a netransparentní metodické postupy hodnocení hospodárnosti projektu</w:t>
            </w:r>
          </w:p>
          <w:p w14:paraId="4F42A95B" w14:textId="77777777"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Složitá a časově náročná realizace projektů v energetice</w:t>
            </w:r>
          </w:p>
          <w:p w14:paraId="4B67F96D" w14:textId="77777777" w:rsidR="000F720E" w:rsidRPr="000F720E" w:rsidRDefault="000F720E" w:rsidP="00131C2F">
            <w:pPr>
              <w:pStyle w:val="Odstavecseseznamem"/>
              <w:numPr>
                <w:ilvl w:val="0"/>
                <w:numId w:val="33"/>
              </w:numPr>
              <w:rPr>
                <w:rFonts w:asciiTheme="minorHAnsi" w:hAnsiTheme="minorHAnsi" w:cstheme="minorHAnsi"/>
                <w:sz w:val="22"/>
              </w:rPr>
            </w:pPr>
            <w:r w:rsidRPr="000F720E">
              <w:rPr>
                <w:rFonts w:asciiTheme="minorHAnsi" w:hAnsiTheme="minorHAnsi" w:cstheme="minorHAnsi"/>
                <w:sz w:val="22"/>
              </w:rPr>
              <w:t>Limit finanční alokace určené pro velké podniky</w:t>
            </w:r>
          </w:p>
          <w:p w14:paraId="20F977BE" w14:textId="77777777" w:rsidR="000F720E" w:rsidRDefault="005946D3" w:rsidP="005946D3">
            <w:pPr>
              <w:pStyle w:val="Odstavecseseznamem"/>
              <w:numPr>
                <w:ilvl w:val="0"/>
                <w:numId w:val="33"/>
              </w:numPr>
              <w:rPr>
                <w:rFonts w:asciiTheme="minorHAnsi" w:hAnsiTheme="minorHAnsi" w:cstheme="minorHAnsi"/>
                <w:sz w:val="22"/>
              </w:rPr>
            </w:pPr>
            <w:r w:rsidRPr="005946D3">
              <w:rPr>
                <w:rFonts w:asciiTheme="minorHAnsi" w:hAnsiTheme="minorHAnsi" w:cstheme="minorHAnsi"/>
                <w:sz w:val="22"/>
              </w:rPr>
              <w:t>Nedostatečně motivující veřejná podpora, nevyhovující systém blokových výjimek</w:t>
            </w:r>
          </w:p>
          <w:p w14:paraId="43ADA29C" w14:textId="77777777" w:rsidR="00405ACD" w:rsidRDefault="00405ACD" w:rsidP="00405ACD">
            <w:pPr>
              <w:rPr>
                <w:rFonts w:cstheme="minorHAnsi"/>
              </w:rPr>
            </w:pPr>
          </w:p>
          <w:p w14:paraId="35DC8DC0" w14:textId="77777777" w:rsidR="00073E2C" w:rsidRDefault="008B4FE4" w:rsidP="00E81C2D">
            <w:pPr>
              <w:rPr>
                <w:rFonts w:cstheme="minorHAnsi"/>
              </w:rPr>
            </w:pPr>
            <w:r w:rsidRPr="00073E2C">
              <w:rPr>
                <w:rFonts w:cstheme="minorHAnsi"/>
              </w:rPr>
              <w:lastRenderedPageBreak/>
              <w:t>Dosažení stanovených cílů a cíl</w:t>
            </w:r>
            <w:r w:rsidR="000424A2" w:rsidRPr="00073E2C">
              <w:rPr>
                <w:rFonts w:cstheme="minorHAnsi"/>
              </w:rPr>
              <w:t>ových hodnot indik</w:t>
            </w:r>
            <w:r w:rsidRPr="00073E2C">
              <w:rPr>
                <w:rFonts w:cstheme="minorHAnsi"/>
              </w:rPr>
              <w:t xml:space="preserve">átorů </w:t>
            </w:r>
            <w:r w:rsidR="000424A2" w:rsidRPr="00073E2C">
              <w:rPr>
                <w:rFonts w:cstheme="minorHAnsi"/>
              </w:rPr>
              <w:t xml:space="preserve">v SC 3.1 </w:t>
            </w:r>
            <w:r w:rsidRPr="00073E2C">
              <w:rPr>
                <w:rFonts w:cstheme="minorHAnsi"/>
              </w:rPr>
              <w:t xml:space="preserve">do konce programového období </w:t>
            </w:r>
            <w:r w:rsidR="000424A2" w:rsidRPr="00073E2C">
              <w:rPr>
                <w:rFonts w:cstheme="minorHAnsi"/>
              </w:rPr>
              <w:t xml:space="preserve">2014-2020 hodnotitel nepředpokládá. </w:t>
            </w:r>
          </w:p>
          <w:p w14:paraId="023B5437" w14:textId="49329DCD" w:rsidR="00E81C2D" w:rsidRPr="00073E2C" w:rsidRDefault="000424A2" w:rsidP="00E81C2D">
            <w:pPr>
              <w:rPr>
                <w:rFonts w:cstheme="minorHAnsi"/>
              </w:rPr>
            </w:pPr>
            <w:r w:rsidRPr="00073E2C">
              <w:rPr>
                <w:rFonts w:cstheme="minorHAnsi"/>
              </w:rPr>
              <w:t xml:space="preserve">V případě SC 3.2 lze očekávat, že stanovené cíle budou naplněny. </w:t>
            </w:r>
          </w:p>
          <w:p w14:paraId="47AEBA38" w14:textId="07166C09" w:rsidR="00405ACD" w:rsidRPr="00405ACD" w:rsidRDefault="00405ACD" w:rsidP="00E81C2D">
            <w:pPr>
              <w:rPr>
                <w:rFonts w:cstheme="minorHAnsi"/>
              </w:rPr>
            </w:pPr>
            <w:r w:rsidRPr="00405ACD">
              <w:rPr>
                <w:rFonts w:cstheme="minorHAnsi"/>
              </w:rPr>
              <w:t>V případě SC 3.4 hodnotitel očekává dosažení stanovených cílů do konce programového období 2014 – 2020.</w:t>
            </w:r>
          </w:p>
        </w:tc>
      </w:tr>
      <w:tr w:rsidR="00664EBC" w:rsidRPr="001C210E" w14:paraId="1B13D658" w14:textId="77777777" w:rsidTr="00047EB6">
        <w:tc>
          <w:tcPr>
            <w:tcW w:w="2972" w:type="dxa"/>
            <w:shd w:val="clear" w:color="auto" w:fill="F2F2F2" w:themeFill="background1" w:themeFillShade="F2"/>
          </w:tcPr>
          <w:p w14:paraId="269B4B96" w14:textId="63FDDAE4" w:rsidR="00664EBC" w:rsidRPr="001C210E" w:rsidRDefault="00664EBC" w:rsidP="00047EB6">
            <w:pPr>
              <w:rPr>
                <w:rFonts w:ascii="Calibri" w:hAnsi="Calibri" w:cs="Calibri"/>
                <w:b/>
              </w:rPr>
            </w:pPr>
            <w:r w:rsidRPr="001C210E">
              <w:rPr>
                <w:rFonts w:ascii="Calibri" w:hAnsi="Calibri" w:cs="Calibri"/>
                <w:b/>
              </w:rPr>
              <w:lastRenderedPageBreak/>
              <w:t>Doporučení pro programové období 2014 - 2020</w:t>
            </w:r>
          </w:p>
        </w:tc>
        <w:tc>
          <w:tcPr>
            <w:tcW w:w="5954" w:type="dxa"/>
          </w:tcPr>
          <w:p w14:paraId="2EAF6DCB" w14:textId="235F94DC" w:rsidR="00664EBC" w:rsidRPr="001C210E" w:rsidRDefault="000F720E" w:rsidP="000F720E">
            <w:pPr>
              <w:rPr>
                <w:rFonts w:ascii="Calibri" w:hAnsi="Calibri" w:cs="Calibri"/>
              </w:rPr>
            </w:pPr>
            <w:r>
              <w:rPr>
                <w:rFonts w:ascii="Calibri" w:hAnsi="Calibri" w:cs="Calibri"/>
              </w:rPr>
              <w:t>Minimalizovat administrativní zátěž žadatelů</w:t>
            </w:r>
            <w:r w:rsidR="00287768">
              <w:rPr>
                <w:rFonts w:ascii="Calibri" w:hAnsi="Calibri" w:cs="Calibri"/>
              </w:rPr>
              <w:t xml:space="preserve"> zavedením opatření </w:t>
            </w:r>
            <w:r w:rsidR="00A75E34">
              <w:rPr>
                <w:rFonts w:ascii="Calibri" w:hAnsi="Calibri" w:cs="Calibri"/>
              </w:rPr>
              <w:t xml:space="preserve">doporučených hodnotitelem i </w:t>
            </w:r>
            <w:r w:rsidR="00287768">
              <w:rPr>
                <w:rFonts w:ascii="Calibri" w:hAnsi="Calibri" w:cs="Calibri"/>
              </w:rPr>
              <w:t>diskutovaných v rámci pracovních skupin ŘO</w:t>
            </w:r>
            <w:r w:rsidR="007A0723">
              <w:rPr>
                <w:rFonts w:ascii="Calibri" w:hAnsi="Calibri" w:cs="Calibri"/>
              </w:rPr>
              <w:t>, n</w:t>
            </w:r>
            <w:r w:rsidR="00405ACD">
              <w:rPr>
                <w:rFonts w:ascii="Calibri" w:hAnsi="Calibri" w:cs="Calibri"/>
              </w:rPr>
              <w:t>apř.</w:t>
            </w:r>
            <w:r w:rsidR="00A02EBC">
              <w:rPr>
                <w:rFonts w:ascii="Calibri" w:hAnsi="Calibri" w:cs="Calibri"/>
              </w:rPr>
              <w:t>:</w:t>
            </w:r>
            <w:r w:rsidR="00405ACD">
              <w:rPr>
                <w:rFonts w:ascii="Calibri" w:hAnsi="Calibri" w:cs="Calibri"/>
              </w:rPr>
              <w:t xml:space="preserve"> sjedno</w:t>
            </w:r>
            <w:r w:rsidR="00CA7DF8">
              <w:rPr>
                <w:rFonts w:ascii="Calibri" w:hAnsi="Calibri" w:cs="Calibri"/>
              </w:rPr>
              <w:t>tit</w:t>
            </w:r>
            <w:r w:rsidR="00405ACD">
              <w:rPr>
                <w:rFonts w:ascii="Calibri" w:hAnsi="Calibri" w:cs="Calibri"/>
              </w:rPr>
              <w:t xml:space="preserve"> požadavk</w:t>
            </w:r>
            <w:r w:rsidR="00CA7DF8">
              <w:rPr>
                <w:rFonts w:ascii="Calibri" w:hAnsi="Calibri" w:cs="Calibri"/>
              </w:rPr>
              <w:t>y</w:t>
            </w:r>
            <w:r w:rsidR="00405ACD">
              <w:rPr>
                <w:rFonts w:ascii="Calibri" w:hAnsi="Calibri" w:cs="Calibri"/>
              </w:rPr>
              <w:t xml:space="preserve"> na vyplňování položek v elektronických formulářích žádostí v ISKP14+, omez</w:t>
            </w:r>
            <w:r w:rsidR="00CA7DF8">
              <w:rPr>
                <w:rFonts w:ascii="Calibri" w:hAnsi="Calibri" w:cs="Calibri"/>
              </w:rPr>
              <w:t xml:space="preserve">it </w:t>
            </w:r>
            <w:r w:rsidR="00405ACD">
              <w:rPr>
                <w:rFonts w:ascii="Calibri" w:hAnsi="Calibri" w:cs="Calibri"/>
              </w:rPr>
              <w:t>počt</w:t>
            </w:r>
            <w:r w:rsidR="00CA7DF8">
              <w:rPr>
                <w:rFonts w:ascii="Calibri" w:hAnsi="Calibri" w:cs="Calibri"/>
              </w:rPr>
              <w:t>y</w:t>
            </w:r>
            <w:r w:rsidR="00405ACD">
              <w:rPr>
                <w:rFonts w:ascii="Calibri" w:hAnsi="Calibri" w:cs="Calibri"/>
              </w:rPr>
              <w:t xml:space="preserve"> dokumentů podepisovaných žadatelem</w:t>
            </w:r>
            <w:r w:rsidR="007A0723">
              <w:rPr>
                <w:rFonts w:ascii="Calibri" w:hAnsi="Calibri" w:cs="Calibri"/>
              </w:rPr>
              <w:t xml:space="preserve"> (jeden podpis na RoPD)</w:t>
            </w:r>
            <w:r w:rsidR="00405ACD">
              <w:rPr>
                <w:rFonts w:ascii="Calibri" w:hAnsi="Calibri" w:cs="Calibri"/>
              </w:rPr>
              <w:t>, zruš</w:t>
            </w:r>
            <w:r w:rsidR="00CA7DF8">
              <w:rPr>
                <w:rFonts w:ascii="Calibri" w:hAnsi="Calibri" w:cs="Calibri"/>
              </w:rPr>
              <w:t xml:space="preserve">it </w:t>
            </w:r>
            <w:r w:rsidR="00405ACD">
              <w:rPr>
                <w:rFonts w:ascii="Calibri" w:hAnsi="Calibri" w:cs="Calibri"/>
              </w:rPr>
              <w:t>povinnost dokládat originály dokumentů, které jsou veřejně dostupné z informačních systémů veřejné správy (např. výpisy z katastru nemovitostí)</w:t>
            </w:r>
            <w:r w:rsidR="00CA7DF8">
              <w:rPr>
                <w:rFonts w:ascii="Calibri" w:hAnsi="Calibri" w:cs="Calibri"/>
              </w:rPr>
              <w:t xml:space="preserve">, omezit rozsah oblastí/bodů v rámci energetického posouzení projektů, zjednodušit/změnit systém dokladování </w:t>
            </w:r>
            <w:r w:rsidR="00CA7DF8" w:rsidRPr="00E81C2D">
              <w:rPr>
                <w:rFonts w:ascii="Calibri" w:hAnsi="Calibri" w:cs="Calibri"/>
                <w:i/>
                <w:iCs/>
              </w:rPr>
              <w:t>de minimis</w:t>
            </w:r>
            <w:r w:rsidR="007A0723">
              <w:rPr>
                <w:rFonts w:ascii="Calibri" w:hAnsi="Calibri" w:cs="Calibri"/>
                <w:i/>
                <w:iCs/>
              </w:rPr>
              <w:t xml:space="preserve"> </w:t>
            </w:r>
            <w:r w:rsidR="007A0723" w:rsidRPr="00E81C2D">
              <w:rPr>
                <w:rFonts w:ascii="Calibri" w:hAnsi="Calibri" w:cs="Calibri"/>
              </w:rPr>
              <w:t>a</w:t>
            </w:r>
            <w:r w:rsidR="007A0723">
              <w:rPr>
                <w:rFonts w:ascii="Calibri" w:hAnsi="Calibri" w:cs="Calibri"/>
                <w:i/>
                <w:iCs/>
              </w:rPr>
              <w:t xml:space="preserve"> </w:t>
            </w:r>
            <w:r w:rsidR="007A0723">
              <w:rPr>
                <w:rFonts w:ascii="Calibri" w:hAnsi="Calibri" w:cs="Calibri"/>
              </w:rPr>
              <w:t>statutu MSP</w:t>
            </w:r>
            <w:r w:rsidR="008215BB">
              <w:rPr>
                <w:rFonts w:ascii="Calibri" w:hAnsi="Calibri" w:cs="Calibri"/>
              </w:rPr>
              <w:t>, stanovení a dodržování pevných lhůt při kontrole žádostí ze strany ZS a ŘO</w:t>
            </w:r>
            <w:r w:rsidR="00405ACD">
              <w:rPr>
                <w:rFonts w:ascii="Calibri" w:hAnsi="Calibri" w:cs="Calibri"/>
              </w:rPr>
              <w:t xml:space="preserve">. </w:t>
            </w:r>
          </w:p>
        </w:tc>
      </w:tr>
      <w:tr w:rsidR="00664EBC" w:rsidRPr="001C210E" w14:paraId="764D4E39" w14:textId="77777777" w:rsidTr="00047EB6">
        <w:tc>
          <w:tcPr>
            <w:tcW w:w="2972" w:type="dxa"/>
            <w:shd w:val="clear" w:color="auto" w:fill="F2F2F2" w:themeFill="background1" w:themeFillShade="F2"/>
          </w:tcPr>
          <w:p w14:paraId="6312C063" w14:textId="77777777" w:rsidR="00664EBC" w:rsidRPr="001C210E" w:rsidRDefault="00664EBC" w:rsidP="00047EB6">
            <w:pPr>
              <w:rPr>
                <w:rFonts w:ascii="Calibri" w:hAnsi="Calibri" w:cs="Calibri"/>
                <w:b/>
              </w:rPr>
            </w:pPr>
          </w:p>
        </w:tc>
        <w:tc>
          <w:tcPr>
            <w:tcW w:w="5954" w:type="dxa"/>
          </w:tcPr>
          <w:p w14:paraId="616B8EAC" w14:textId="45DBA003" w:rsidR="00664EBC" w:rsidRPr="001C210E" w:rsidRDefault="00D47D68" w:rsidP="000F720E">
            <w:pPr>
              <w:rPr>
                <w:rFonts w:ascii="Calibri" w:hAnsi="Calibri" w:cs="Calibri"/>
              </w:rPr>
            </w:pPr>
            <w:r>
              <w:rPr>
                <w:rFonts w:ascii="Calibri" w:hAnsi="Calibri" w:cs="Calibri"/>
              </w:rPr>
              <w:t xml:space="preserve">Zvážit krátkodobé posílení administrativní kapacity ŘO pro </w:t>
            </w:r>
            <w:r w:rsidR="000F720E">
              <w:rPr>
                <w:rFonts w:ascii="Calibri" w:hAnsi="Calibri" w:cs="Calibri"/>
              </w:rPr>
              <w:t>hodno</w:t>
            </w:r>
            <w:r>
              <w:rPr>
                <w:rFonts w:ascii="Calibri" w:hAnsi="Calibri" w:cs="Calibri"/>
              </w:rPr>
              <w:t>cení</w:t>
            </w:r>
            <w:r w:rsidR="000F720E">
              <w:rPr>
                <w:rFonts w:ascii="Calibri" w:hAnsi="Calibri" w:cs="Calibri"/>
              </w:rPr>
              <w:t xml:space="preserve"> tak, aby nedocházelo k průtahům při hodnocení žádosti o dotaci, schvalování změn či proplácení žádostí o platbu.</w:t>
            </w:r>
          </w:p>
        </w:tc>
      </w:tr>
      <w:tr w:rsidR="00D47D68" w:rsidRPr="001C210E" w14:paraId="6477C465" w14:textId="77777777" w:rsidTr="00A75E34">
        <w:trPr>
          <w:trHeight w:val="322"/>
        </w:trPr>
        <w:tc>
          <w:tcPr>
            <w:tcW w:w="2972" w:type="dxa"/>
            <w:shd w:val="clear" w:color="auto" w:fill="F2F2F2" w:themeFill="background1" w:themeFillShade="F2"/>
          </w:tcPr>
          <w:p w14:paraId="1837A3AC" w14:textId="77777777" w:rsidR="00D47D68" w:rsidRPr="001C210E" w:rsidRDefault="00D47D68" w:rsidP="00047EB6">
            <w:pPr>
              <w:rPr>
                <w:rFonts w:ascii="Calibri" w:hAnsi="Calibri" w:cs="Calibri"/>
                <w:b/>
              </w:rPr>
            </w:pPr>
          </w:p>
        </w:tc>
        <w:tc>
          <w:tcPr>
            <w:tcW w:w="5954" w:type="dxa"/>
          </w:tcPr>
          <w:p w14:paraId="298EC066" w14:textId="5AB55480" w:rsidR="00D47D68" w:rsidRDefault="00D47D68" w:rsidP="000F720E">
            <w:pPr>
              <w:rPr>
                <w:rFonts w:ascii="Calibri" w:hAnsi="Calibri" w:cs="Calibri"/>
              </w:rPr>
            </w:pPr>
            <w:r>
              <w:rPr>
                <w:rFonts w:ascii="Calibri" w:hAnsi="Calibri" w:cs="Calibri"/>
              </w:rPr>
              <w:t>V souvislosti s plánovanými novými výzvami zintenzivnit propagační a komunikační aktivity směrem k cílovým skupinám, zejm. v nově zařazených odvětvích (</w:t>
            </w:r>
            <w:r w:rsidR="00A75E34">
              <w:rPr>
                <w:rFonts w:ascii="Calibri" w:hAnsi="Calibri" w:cs="Calibri"/>
              </w:rPr>
              <w:t>cestovní ruch</w:t>
            </w:r>
            <w:r>
              <w:rPr>
                <w:rFonts w:ascii="Calibri" w:hAnsi="Calibri" w:cs="Calibri"/>
              </w:rPr>
              <w:t xml:space="preserve">). Zapojit relevantní stakeholdery (oborové organizace, svazy, sdružení apod.). </w:t>
            </w:r>
          </w:p>
        </w:tc>
      </w:tr>
      <w:tr w:rsidR="00EB590D" w:rsidRPr="001C210E" w14:paraId="3C99AA1B" w14:textId="77777777" w:rsidTr="00047EB6">
        <w:tc>
          <w:tcPr>
            <w:tcW w:w="2972" w:type="dxa"/>
            <w:shd w:val="clear" w:color="auto" w:fill="F2F2F2" w:themeFill="background1" w:themeFillShade="F2"/>
          </w:tcPr>
          <w:p w14:paraId="6237A094" w14:textId="77777777" w:rsidR="00EB590D" w:rsidRPr="001C210E" w:rsidRDefault="00EB590D" w:rsidP="00EB590D">
            <w:pPr>
              <w:rPr>
                <w:rFonts w:ascii="Calibri" w:hAnsi="Calibri" w:cs="Calibri"/>
                <w:b/>
              </w:rPr>
            </w:pPr>
          </w:p>
        </w:tc>
        <w:tc>
          <w:tcPr>
            <w:tcW w:w="5954" w:type="dxa"/>
          </w:tcPr>
          <w:p w14:paraId="0B18419C" w14:textId="009C0B02" w:rsidR="00EB590D" w:rsidRDefault="00EB590D" w:rsidP="00EB590D">
            <w:pPr>
              <w:rPr>
                <w:rFonts w:ascii="Calibri" w:hAnsi="Calibri" w:cs="Calibri"/>
              </w:rPr>
            </w:pPr>
            <w:r>
              <w:rPr>
                <w:rFonts w:ascii="Calibri" w:hAnsi="Calibri" w:cs="Calibri"/>
              </w:rPr>
              <w:t>Ve výzvách nestanovovat absolutní maximální výši podpory. Limit stanovit pro celkové způsobilé výdaje projektu (do výše hranice tzv. velkého projektu).</w:t>
            </w:r>
          </w:p>
        </w:tc>
      </w:tr>
      <w:tr w:rsidR="00664EBC" w:rsidRPr="001C210E" w14:paraId="3EA3F3C6" w14:textId="77777777" w:rsidTr="00047EB6">
        <w:tc>
          <w:tcPr>
            <w:tcW w:w="2972" w:type="dxa"/>
            <w:shd w:val="clear" w:color="auto" w:fill="F2F2F2" w:themeFill="background1" w:themeFillShade="F2"/>
          </w:tcPr>
          <w:p w14:paraId="0EBED693" w14:textId="5CBB9B52" w:rsidR="00664EBC" w:rsidRPr="001C210E" w:rsidRDefault="00664EBC" w:rsidP="00047EB6">
            <w:pPr>
              <w:rPr>
                <w:rFonts w:ascii="Calibri" w:hAnsi="Calibri" w:cs="Calibri"/>
                <w:b/>
              </w:rPr>
            </w:pPr>
            <w:r w:rsidRPr="001C210E">
              <w:rPr>
                <w:rFonts w:ascii="Calibri" w:hAnsi="Calibri" w:cs="Calibri"/>
                <w:b/>
              </w:rPr>
              <w:t>Doporučení pro programové období 2021</w:t>
            </w:r>
            <w:r w:rsidR="00A75E34">
              <w:rPr>
                <w:rFonts w:ascii="Calibri" w:hAnsi="Calibri" w:cs="Calibri"/>
                <w:b/>
              </w:rPr>
              <w:t xml:space="preserve"> - 2027</w:t>
            </w:r>
          </w:p>
        </w:tc>
        <w:tc>
          <w:tcPr>
            <w:tcW w:w="5954" w:type="dxa"/>
          </w:tcPr>
          <w:p w14:paraId="4A3A6E3D" w14:textId="1127D67C" w:rsidR="00664EBC" w:rsidRPr="001C210E" w:rsidRDefault="000F720E" w:rsidP="000F720E">
            <w:pPr>
              <w:rPr>
                <w:rFonts w:ascii="Calibri" w:hAnsi="Calibri" w:cs="Calibri"/>
              </w:rPr>
            </w:pPr>
            <w:r>
              <w:rPr>
                <w:rFonts w:ascii="Calibri" w:hAnsi="Calibri" w:cs="Calibri"/>
              </w:rPr>
              <w:t>Zahájit příprav</w:t>
            </w:r>
            <w:r w:rsidR="00BA5FA9">
              <w:rPr>
                <w:rFonts w:ascii="Calibri" w:hAnsi="Calibri" w:cs="Calibri"/>
              </w:rPr>
              <w:t>u</w:t>
            </w:r>
            <w:r>
              <w:rPr>
                <w:rFonts w:ascii="Calibri" w:hAnsi="Calibri" w:cs="Calibri"/>
              </w:rPr>
              <w:t xml:space="preserve"> OP K i jednotlivých programů podpory s dostatečným předstihem tak, by bylo minimalizováno </w:t>
            </w:r>
            <w:r w:rsidR="004823F8">
              <w:rPr>
                <w:rFonts w:ascii="Calibri" w:hAnsi="Calibri" w:cs="Calibri"/>
              </w:rPr>
              <w:t>zpoždění implementace.</w:t>
            </w:r>
          </w:p>
        </w:tc>
      </w:tr>
      <w:tr w:rsidR="00664EBC" w:rsidRPr="001C210E" w14:paraId="381C0EFE" w14:textId="77777777" w:rsidTr="00047EB6">
        <w:tc>
          <w:tcPr>
            <w:tcW w:w="2972" w:type="dxa"/>
            <w:shd w:val="clear" w:color="auto" w:fill="F2F2F2" w:themeFill="background1" w:themeFillShade="F2"/>
          </w:tcPr>
          <w:p w14:paraId="32CBD610" w14:textId="77777777" w:rsidR="00664EBC" w:rsidRPr="001C210E" w:rsidRDefault="00664EBC" w:rsidP="00047EB6">
            <w:pPr>
              <w:rPr>
                <w:rFonts w:ascii="Calibri" w:hAnsi="Calibri" w:cs="Calibri"/>
                <w:b/>
              </w:rPr>
            </w:pPr>
          </w:p>
        </w:tc>
        <w:tc>
          <w:tcPr>
            <w:tcW w:w="5954" w:type="dxa"/>
          </w:tcPr>
          <w:p w14:paraId="50DFE333" w14:textId="1B17CE1C" w:rsidR="00664EBC" w:rsidRDefault="00D47D68" w:rsidP="00047EB6">
            <w:pPr>
              <w:rPr>
                <w:rFonts w:ascii="Calibri" w:hAnsi="Calibri" w:cs="Calibri"/>
              </w:rPr>
            </w:pPr>
            <w:r>
              <w:rPr>
                <w:rFonts w:ascii="Calibri" w:hAnsi="Calibri" w:cs="Calibri"/>
              </w:rPr>
              <w:t>Zpracovat detailní analýzy absorpční kapacity v relevantních tematických</w:t>
            </w:r>
            <w:r w:rsidR="00A333E3">
              <w:rPr>
                <w:rFonts w:ascii="Calibri" w:hAnsi="Calibri" w:cs="Calibri"/>
              </w:rPr>
              <w:t xml:space="preserve">/ problémových </w:t>
            </w:r>
            <w:r>
              <w:rPr>
                <w:rFonts w:ascii="Calibri" w:hAnsi="Calibri" w:cs="Calibri"/>
              </w:rPr>
              <w:t>oblastech.</w:t>
            </w:r>
          </w:p>
        </w:tc>
      </w:tr>
    </w:tbl>
    <w:p w14:paraId="2777FC98" w14:textId="77777777" w:rsidR="00664EBC" w:rsidRPr="001C210E" w:rsidRDefault="00664EBC" w:rsidP="00664EBC">
      <w:pPr>
        <w:spacing w:after="0"/>
        <w:rPr>
          <w:rFonts w:ascii="Calibri" w:hAnsi="Calibri" w:cs="Calibri"/>
        </w:rPr>
      </w:pPr>
    </w:p>
    <w:p w14:paraId="41221049" w14:textId="77777777" w:rsidR="00664EBC" w:rsidRDefault="00664EBC" w:rsidP="00664EBC">
      <w:pPr>
        <w:pStyle w:val="Nadpis2"/>
      </w:pPr>
      <w:bookmarkStart w:id="257" w:name="_Toc4596879"/>
      <w:bookmarkStart w:id="258" w:name="_Toc10730008"/>
      <w:r w:rsidRPr="001C210E">
        <w:t>Doplňující informace k evaluační otázce</w:t>
      </w:r>
      <w:bookmarkEnd w:id="257"/>
      <w:bookmarkEnd w:id="258"/>
    </w:p>
    <w:p w14:paraId="7C6280FD" w14:textId="5C61D322" w:rsidR="00DB0BA9" w:rsidRDefault="00646BD5" w:rsidP="00DB0BA9">
      <w:pPr>
        <w:pStyle w:val="Nadpis3"/>
        <w:rPr>
          <w:lang w:eastAsia="sk-SK"/>
        </w:rPr>
      </w:pPr>
      <w:bookmarkStart w:id="259" w:name="_Toc10730009"/>
      <w:r>
        <w:rPr>
          <w:lang w:eastAsia="sk-SK"/>
        </w:rPr>
        <w:t>Specifický cíl 3.1</w:t>
      </w:r>
      <w:bookmarkEnd w:id="259"/>
    </w:p>
    <w:p w14:paraId="14B91073" w14:textId="3225D32C" w:rsidR="00DB0BA9" w:rsidRDefault="002E7310" w:rsidP="00646BD5">
      <w:pPr>
        <w:spacing w:after="0"/>
        <w:rPr>
          <w:lang w:eastAsia="sk-SK"/>
        </w:rPr>
      </w:pPr>
      <w:r>
        <w:rPr>
          <w:lang w:eastAsia="sk-SK"/>
        </w:rPr>
        <w:t>Intervenční logika PP OZE je nastavena tak, aby realizací podpořených projektů docházelo k naplňování hlavního cíle, tj. výroby a distribuce energie pocházející z obnovitelných zdrojů.</w:t>
      </w:r>
    </w:p>
    <w:p w14:paraId="70231287" w14:textId="77777777" w:rsidR="00646BD5" w:rsidRDefault="00646BD5" w:rsidP="00646BD5">
      <w:pPr>
        <w:spacing w:after="0"/>
        <w:rPr>
          <w:lang w:eastAsia="sk-SK"/>
        </w:rPr>
      </w:pPr>
    </w:p>
    <w:p w14:paraId="1094FD99" w14:textId="3725FE6E" w:rsidR="002E7310" w:rsidRDefault="002E7310" w:rsidP="00646BD5">
      <w:pPr>
        <w:spacing w:after="0"/>
        <w:rPr>
          <w:rFonts w:cstheme="minorHAnsi"/>
        </w:rPr>
      </w:pPr>
      <w:r>
        <w:rPr>
          <w:lang w:eastAsia="sk-SK"/>
        </w:rPr>
        <w:t xml:space="preserve">Ačkoliv vývoj hlavního výsledkového indikátoru (celkový instalovaný výkon v OZE) v čase a jeho prognóza do budoucna je pozitivní, příspěvek PP OZE k tomuto vývoji je velice nízký. Ukončené projekty vytvořily (ke konci roku 2018) pouze 1,5 MW nového instalovaného výkonu z OZE a závazek příjemců činil 5,73 MW, tj. </w:t>
      </w:r>
      <w:r>
        <w:rPr>
          <w:rFonts w:cstheme="minorHAnsi"/>
        </w:rPr>
        <w:t>n</w:t>
      </w:r>
      <w:r w:rsidRPr="007024CF">
        <w:rPr>
          <w:rFonts w:cstheme="minorHAnsi"/>
        </w:rPr>
        <w:t>a zvyšování celkového instalovaného výkonu z OZE se ukončené projekty podílí 0,2 %, resp. 0,8 % v případě závazku příjemců</w:t>
      </w:r>
      <w:r>
        <w:rPr>
          <w:rFonts w:cstheme="minorHAnsi"/>
        </w:rPr>
        <w:t>.</w:t>
      </w:r>
      <w:r w:rsidR="007B1614">
        <w:rPr>
          <w:rFonts w:cstheme="minorHAnsi"/>
        </w:rPr>
        <w:t xml:space="preserve"> Tyto hodnoty indikátoru nelze považovat za dostatečné.</w:t>
      </w:r>
    </w:p>
    <w:p w14:paraId="479EA0BF" w14:textId="77777777" w:rsidR="00646BD5" w:rsidRDefault="00646BD5" w:rsidP="00646BD5">
      <w:pPr>
        <w:spacing w:after="0"/>
        <w:rPr>
          <w:rFonts w:cstheme="minorHAnsi"/>
        </w:rPr>
      </w:pPr>
    </w:p>
    <w:p w14:paraId="4C73EEA2" w14:textId="369174D1" w:rsidR="002E7310" w:rsidRDefault="002E7310" w:rsidP="00646BD5">
      <w:pPr>
        <w:spacing w:after="0"/>
        <w:rPr>
          <w:rFonts w:cstheme="minorHAnsi"/>
        </w:rPr>
      </w:pPr>
      <w:r>
        <w:rPr>
          <w:rFonts w:cstheme="minorHAnsi"/>
        </w:rPr>
        <w:t>Příspěvek realizovaných projektů ke zvyšování podílu OZE na hrubé konečné spotřebě nelze identifikovat, neboť nejsou k dispozici údaje o množství vyprodukované energie z těchto projektů.</w:t>
      </w:r>
    </w:p>
    <w:p w14:paraId="333B2351" w14:textId="2B89909C" w:rsidR="007B1614" w:rsidRDefault="007B1614" w:rsidP="00646BD5">
      <w:pPr>
        <w:spacing w:after="0"/>
        <w:rPr>
          <w:lang w:eastAsia="sk-SK"/>
        </w:rPr>
      </w:pPr>
      <w:r>
        <w:rPr>
          <w:lang w:eastAsia="sk-SK"/>
        </w:rPr>
        <w:t>Za dostatečné lze považovat výsledky z hlediska zvýšení efektivnosti využití OZE. Nastavení hodnotících kritérií účinnosti a jejich váze v rámci celkového hodnocení žádosti o dotaci vede k podpoře projektů s vysokou účinností. Účinnost pořízených technologií byla pozitivně hodnocena i samotnými příjemci v tomto PP.</w:t>
      </w:r>
    </w:p>
    <w:p w14:paraId="577D869D" w14:textId="77777777" w:rsidR="00646BD5" w:rsidRDefault="00646BD5" w:rsidP="00646BD5">
      <w:pPr>
        <w:spacing w:after="0"/>
        <w:rPr>
          <w:lang w:eastAsia="sk-SK"/>
        </w:rPr>
      </w:pPr>
    </w:p>
    <w:p w14:paraId="5F191A4B" w14:textId="05A21BFE" w:rsidR="007B1614" w:rsidRDefault="007B1614" w:rsidP="00646BD5">
      <w:pPr>
        <w:spacing w:after="0"/>
        <w:rPr>
          <w:lang w:eastAsia="sk-SK"/>
        </w:rPr>
      </w:pPr>
      <w:r>
        <w:rPr>
          <w:lang w:eastAsia="sk-SK"/>
        </w:rPr>
        <w:t>Výsledkem, ke kterému má PP OZE také přispět, je snížení dovozní závislosti na palivech z geopoliticky nestabilních regionů. Ačkoliv provázanost mezi podílem OZE na celkové spotřebě energie a množstvím spotřebovaných fosilních paliv, tj. i množstvím dovezených fosilních paliv je zřejmá, vliv PP OZE na dovoz fosilních paliv je minimální. To je způsobeno nízkým</w:t>
      </w:r>
      <w:r w:rsidR="004E5B99">
        <w:rPr>
          <w:lang w:eastAsia="sk-SK"/>
        </w:rPr>
        <w:t xml:space="preserve"> instalovaným výkonem OZE z realizovaných projektů. Příspěvek PP OZE k plnění tohoto výsledku tedy nelze považovat za dostatečný.</w:t>
      </w:r>
    </w:p>
    <w:p w14:paraId="3718826A" w14:textId="77777777" w:rsidR="00646BD5" w:rsidRDefault="00646BD5" w:rsidP="00646BD5">
      <w:pPr>
        <w:spacing w:after="0"/>
        <w:rPr>
          <w:lang w:eastAsia="sk-SK"/>
        </w:rPr>
      </w:pPr>
    </w:p>
    <w:p w14:paraId="2B324AC7" w14:textId="191E704A" w:rsidR="004E5B99" w:rsidRDefault="004E5B99" w:rsidP="00646BD5">
      <w:pPr>
        <w:spacing w:after="0"/>
        <w:rPr>
          <w:lang w:eastAsia="sk-SK"/>
        </w:rPr>
      </w:pPr>
      <w:r>
        <w:rPr>
          <w:lang w:eastAsia="sk-SK"/>
        </w:rPr>
        <w:t xml:space="preserve">Obdobně lze hodnotit příspěvek realizovaných projektů ke snižování emisí skleníkových plynů. V důsledku nízkého počtu realizovaných projektů a jejich opožděnému dokončování způsobeného pozdním vypsáním výzev a dlouhým hodnotícím procesem </w:t>
      </w:r>
      <w:r w:rsidR="00902F75">
        <w:rPr>
          <w:lang w:eastAsia="sk-SK"/>
        </w:rPr>
        <w:t xml:space="preserve">nebyla </w:t>
      </w:r>
      <w:r>
        <w:rPr>
          <w:lang w:eastAsia="sk-SK"/>
        </w:rPr>
        <w:t>doposud vykázána žádná data za indikátor Snížení emisí CO</w:t>
      </w:r>
      <w:r w:rsidRPr="004E5B99">
        <w:rPr>
          <w:vertAlign w:val="subscript"/>
          <w:lang w:eastAsia="sk-SK"/>
        </w:rPr>
        <w:t>2</w:t>
      </w:r>
      <w:r>
        <w:rPr>
          <w:lang w:eastAsia="sk-SK"/>
        </w:rPr>
        <w:t>. Nevykázání žádných hodnot za 5 let realizace PP OZE nelze hodnotit pozitivně.</w:t>
      </w:r>
    </w:p>
    <w:p w14:paraId="11C15976" w14:textId="77777777" w:rsidR="00646BD5" w:rsidRDefault="00646BD5" w:rsidP="00646BD5">
      <w:pPr>
        <w:spacing w:after="0"/>
        <w:rPr>
          <w:lang w:eastAsia="sk-SK"/>
        </w:rPr>
      </w:pPr>
    </w:p>
    <w:p w14:paraId="0238C96A" w14:textId="4191CD26" w:rsidR="004E5B99" w:rsidRDefault="00A20F71" w:rsidP="00646BD5">
      <w:pPr>
        <w:spacing w:after="0"/>
        <w:rPr>
          <w:lang w:eastAsia="sk-SK"/>
        </w:rPr>
      </w:pPr>
      <w:r>
        <w:rPr>
          <w:lang w:eastAsia="sk-SK"/>
        </w:rPr>
        <w:t>Rozvoj podnikatelských aktivit v dodavatelském řetězci</w:t>
      </w:r>
      <w:r w:rsidRPr="00A20F71">
        <w:t xml:space="preserve"> </w:t>
      </w:r>
      <w:r w:rsidRPr="00A20F71">
        <w:rPr>
          <w:lang w:eastAsia="sk-SK"/>
        </w:rPr>
        <w:t>od vývoje, výroby, přes instalaci zdroje energie až po výrobu energie</w:t>
      </w:r>
      <w:r>
        <w:rPr>
          <w:lang w:eastAsia="sk-SK"/>
        </w:rPr>
        <w:t xml:space="preserve"> lze hodnotit pouze kvalitativně, neboť nejsou k dispozici informace o velikosti sektoru OZE (např. z hlediska jeho tržeb). Doposud bylo v rámci ukončených projektů z PP OZE investováno do OZE 81,148 mil. Kč během dvou let. Ačkoliv částka bude v příštích letech růst tak, jak budou dokončovány další projekty, nelze jí hodnotit jako částku, která by měla výrazný dopad na dodavatelský řetězec v oblasti OZE. Potenciál PP OZE v plnění tohoto výsledku je vyšší, než jaký se podařilo doposud využít.</w:t>
      </w:r>
    </w:p>
    <w:p w14:paraId="1177F703" w14:textId="77777777" w:rsidR="00646BD5" w:rsidRDefault="00646BD5" w:rsidP="00646BD5">
      <w:pPr>
        <w:spacing w:after="0"/>
        <w:rPr>
          <w:lang w:eastAsia="sk-SK"/>
        </w:rPr>
      </w:pPr>
    </w:p>
    <w:p w14:paraId="5D321DEA" w14:textId="68C92F27" w:rsidR="00DB0BA9" w:rsidRDefault="00646BD5" w:rsidP="00DB0BA9">
      <w:pPr>
        <w:pStyle w:val="Nadpis3"/>
        <w:rPr>
          <w:lang w:eastAsia="sk-SK"/>
        </w:rPr>
      </w:pPr>
      <w:bookmarkStart w:id="260" w:name="_Toc10730010"/>
      <w:r>
        <w:rPr>
          <w:lang w:eastAsia="sk-SK"/>
        </w:rPr>
        <w:t>Specifický cíl 3.2</w:t>
      </w:r>
      <w:bookmarkEnd w:id="260"/>
    </w:p>
    <w:p w14:paraId="1BC2108B" w14:textId="41599C87" w:rsidR="00A20F71" w:rsidRDefault="00553F55" w:rsidP="00646BD5">
      <w:pPr>
        <w:spacing w:after="0"/>
        <w:rPr>
          <w:rFonts w:cstheme="minorHAnsi"/>
          <w:lang w:eastAsia="sk-SK"/>
        </w:rPr>
      </w:pPr>
      <w:r>
        <w:rPr>
          <w:lang w:eastAsia="sk-SK"/>
        </w:rPr>
        <w:t>Na základě provedených analýz bylo také v případě SC 3.2 prokázáno, že intervenční logika programu podpory je v souladu s</w:t>
      </w:r>
      <w:r w:rsidR="007E341C">
        <w:rPr>
          <w:lang w:eastAsia="sk-SK"/>
        </w:rPr>
        <w:t xml:space="preserve">e stanoveným hlavním cílem - </w:t>
      </w:r>
      <w:r w:rsidR="007E341C" w:rsidRPr="002A2B65">
        <w:rPr>
          <w:rFonts w:cstheme="minorHAnsi"/>
          <w:lang w:eastAsia="sk-SK"/>
        </w:rPr>
        <w:t>snížení energetické náročnosti podnikatelského sektoru</w:t>
      </w:r>
      <w:r w:rsidR="007E341C">
        <w:rPr>
          <w:rFonts w:cstheme="minorHAnsi"/>
          <w:lang w:eastAsia="sk-SK"/>
        </w:rPr>
        <w:t>.</w:t>
      </w:r>
    </w:p>
    <w:p w14:paraId="25D6C408" w14:textId="77777777" w:rsidR="00646BD5" w:rsidRDefault="00646BD5" w:rsidP="00646BD5">
      <w:pPr>
        <w:spacing w:after="0"/>
        <w:rPr>
          <w:rFonts w:cstheme="minorHAnsi"/>
          <w:lang w:eastAsia="sk-SK"/>
        </w:rPr>
      </w:pPr>
    </w:p>
    <w:p w14:paraId="5A3A1EDD" w14:textId="76DAB887" w:rsidR="00D868D6" w:rsidRDefault="007E341C" w:rsidP="00646BD5">
      <w:pPr>
        <w:spacing w:after="0"/>
      </w:pPr>
      <w:r>
        <w:rPr>
          <w:lang w:eastAsia="sk-SK"/>
        </w:rPr>
        <w:t xml:space="preserve">Ke snižování konečné spotřeby hospodářství vlivem realizovaných projektů dochází. Ačkoliv </w:t>
      </w:r>
      <w:r>
        <w:t xml:space="preserve">v indikátoru 32300 Snížení konečné spotřeby energie u podpořených subjektů byla vykázána úspora pouze </w:t>
      </w:r>
      <w:r w:rsidRPr="005809CE">
        <w:t>89 384,09 GJ/rok</w:t>
      </w:r>
      <w:r>
        <w:t xml:space="preserve">, tj. 1,12 % cílové hodnoty tohoto indikátoru, závazek příjemců dosahuje hodnoty </w:t>
      </w:r>
      <w:r w:rsidRPr="00F76BF9">
        <w:t>2 213 020,603 GJ/rok</w:t>
      </w:r>
      <w:r>
        <w:t>, tj. 27,67 %</w:t>
      </w:r>
      <w:r w:rsidRPr="007E341C">
        <w:t xml:space="preserve"> </w:t>
      </w:r>
      <w:r>
        <w:t xml:space="preserve">cílové hodnoty indikátoru. </w:t>
      </w:r>
      <w:r w:rsidR="00D868D6">
        <w:t>Dosažený podíl cílové hodnoty indikátoru je vzhledem k pětileté realizaci PP ÚE hodnocen také jako nedostatečný.</w:t>
      </w:r>
    </w:p>
    <w:p w14:paraId="3FE60AB5" w14:textId="77777777" w:rsidR="00646BD5" w:rsidRDefault="00646BD5" w:rsidP="00646BD5">
      <w:pPr>
        <w:spacing w:after="0"/>
      </w:pPr>
    </w:p>
    <w:p w14:paraId="5D097500" w14:textId="77358F4D" w:rsidR="007E341C" w:rsidRDefault="00D868D6" w:rsidP="00646BD5">
      <w:pPr>
        <w:spacing w:after="0"/>
      </w:pPr>
      <w:r>
        <w:t xml:space="preserve">Směrnicí </w:t>
      </w:r>
      <w:r w:rsidRPr="00DB03CC">
        <w:t>Evropského parlamentu a Rady 2012/27/EU o energetické účinnosti</w:t>
      </w:r>
      <w:r>
        <w:t xml:space="preserve"> byla stanovena úspora, jíž by mělo české hospodářství do roku 2020 dosáhnout (</w:t>
      </w:r>
      <w:r w:rsidRPr="00DB03CC">
        <w:t>51,1 PJ</w:t>
      </w:r>
      <w:r>
        <w:t xml:space="preserve">). Budeme-li uvažovat výše uvedený závazek příjemců, PP ÚE by se na stanovené úspoře podílel 4,3 %. </w:t>
      </w:r>
      <w:r w:rsidR="00581F44">
        <w:t xml:space="preserve">Přibližování se v úrovni energetické náročnosti hospodářství k ostatním členským zemím EU </w:t>
      </w:r>
      <w:r w:rsidR="00443474">
        <w:t xml:space="preserve">tak lze i díky podílu PP ÚE prokázat. Musíme </w:t>
      </w:r>
      <w:r w:rsidR="00443474">
        <w:lastRenderedPageBreak/>
        <w:t xml:space="preserve">však konstatovat, že podíl PP ÚE na vývoji výše uvedených výsledků </w:t>
      </w:r>
      <w:r>
        <w:t>neodpovídá potenciálu, který PP ÚE má a jakých úspor by v rámci něj mohlo být dosaženo.</w:t>
      </w:r>
    </w:p>
    <w:p w14:paraId="5CC77D19" w14:textId="77777777" w:rsidR="00646BD5" w:rsidRDefault="00646BD5" w:rsidP="00646BD5">
      <w:pPr>
        <w:spacing w:after="0"/>
      </w:pPr>
    </w:p>
    <w:p w14:paraId="052EEA19" w14:textId="6C17194C" w:rsidR="00581F44" w:rsidRDefault="00581F44" w:rsidP="00646BD5">
      <w:pPr>
        <w:spacing w:after="0"/>
        <w:rPr>
          <w:rFonts w:cstheme="minorHAnsi"/>
          <w:lang w:eastAsia="sk-SK"/>
        </w:rPr>
      </w:pPr>
      <w:r w:rsidRPr="00973956">
        <w:t>Příspěvek k naplnění Směrnice Evropského parlamentu a Rady 2009/28/ES o podpoře využívání energie z obnovitelných zdrojů</w:t>
      </w:r>
      <w:r>
        <w:t xml:space="preserve"> nelze kvantifikovat, neboť pro tento program podpory není stanoven indikátor věnovaný podílu OZE na úrovni projektů. Lze pouze konstatovat, že PP ÚE podíl OZE na konečné spotřebě zvyšuje, neboť jsou podporovány projekty, v rámci nichž je realizována podporovaná aktivita </w:t>
      </w:r>
      <w:r w:rsidRPr="002A2B65">
        <w:rPr>
          <w:rFonts w:cstheme="minorHAnsi"/>
          <w:lang w:eastAsia="sk-SK"/>
        </w:rPr>
        <w:t xml:space="preserve">instalace OZE pro vlastní spotřebu </w:t>
      </w:r>
      <w:r w:rsidRPr="0048425D">
        <w:rPr>
          <w:rFonts w:cstheme="minorHAnsi"/>
          <w:lang w:eastAsia="sk-SK"/>
        </w:rPr>
        <w:t>podniku</w:t>
      </w:r>
      <w:r>
        <w:rPr>
          <w:rFonts w:cstheme="minorHAnsi"/>
          <w:lang w:eastAsia="sk-SK"/>
        </w:rPr>
        <w:t>. Tato aktivita je součástí 19,2 % podpořených projektů.</w:t>
      </w:r>
    </w:p>
    <w:p w14:paraId="4D32640E" w14:textId="77777777" w:rsidR="00646BD5" w:rsidRDefault="00646BD5" w:rsidP="00646BD5">
      <w:pPr>
        <w:spacing w:after="0"/>
      </w:pPr>
    </w:p>
    <w:p w14:paraId="677C003E" w14:textId="21355936" w:rsidR="00581F44" w:rsidRDefault="003473D1" w:rsidP="00646BD5">
      <w:pPr>
        <w:spacing w:after="0"/>
      </w:pPr>
      <w:r>
        <w:t>Cílem</w:t>
      </w:r>
      <w:r w:rsidR="00443474">
        <w:t xml:space="preserve"> Směrnice 2008/50/EU </w:t>
      </w:r>
      <w:r w:rsidRPr="003473D1">
        <w:t>je snížit znečištění ovzduší na úroveň, která minimalizuje škodlivé dopady na lidské zdraví a životní prostředí</w:t>
      </w:r>
      <w:r>
        <w:t>. Příspěvek PP ÚE lze hodnotit pouze kvalitativně z důvodu nedostupnosti dat na úrovni projektů za snížení znečištění ovzduší. Lze však konstatovat, že všechny realizované projekty ke snížení znečištění ovzduší přispívají, neboť vlivem energetických úspor dochází ke snižování výroby energie. Ta je v Česku vyráběna především z fosilních paliv, jejichž využíváním dochází ke znečišťování ovzduší. Vzhledem k počtu doposud podpořených projektů a výši energetických úspor, kterých tyto projekty dosáhly, je příspěvek projektů</w:t>
      </w:r>
      <w:r w:rsidR="00CA67E2">
        <w:t xml:space="preserve"> ke snižování znečištění ovzduší nedostatečný.</w:t>
      </w:r>
    </w:p>
    <w:p w14:paraId="16AC2438" w14:textId="77777777" w:rsidR="00646BD5" w:rsidRDefault="00646BD5" w:rsidP="00646BD5">
      <w:pPr>
        <w:spacing w:after="0"/>
      </w:pPr>
    </w:p>
    <w:p w14:paraId="11FAD462" w14:textId="504CCFD6" w:rsidR="00CA67E2" w:rsidRDefault="00CA67E2" w:rsidP="00646BD5">
      <w:pPr>
        <w:spacing w:after="0"/>
      </w:pPr>
      <w:r>
        <w:t xml:space="preserve">Na základě informací vzešlých z dotazníkového šetření a případových studií lze konstatovat, že realizace PP ÚE vede k posílení konkurenceschopnosti podpořených podniků. Firmy realizující projekt z PP ÚE dosahují vyšších energetických úspor než firmy nepodpořené, které investují do energetických úspor bez přispění EU. Díky úsporám energie dochází ke </w:t>
      </w:r>
      <w:r w:rsidRPr="007221B4">
        <w:t xml:space="preserve">snížení citlivosti těchto firem na změny cen energií a </w:t>
      </w:r>
      <w:r>
        <w:t xml:space="preserve">v delším časovém horizontu se zvyšuje </w:t>
      </w:r>
      <w:r w:rsidRPr="007221B4">
        <w:t>jejich konkurenceschopnost</w:t>
      </w:r>
      <w:r>
        <w:t>. PP ÚE tedy plní definovaný výsledek - posiluje konkurenceschopnost podpořených podniků.</w:t>
      </w:r>
      <w:r w:rsidR="00251645">
        <w:t xml:space="preserve"> Rozsah plnění by však mohl být vyšší, pokud by byl PP ÚE rychleji implementován a podnikatel</w:t>
      </w:r>
      <w:r w:rsidR="00A95F9A">
        <w:t>é</w:t>
      </w:r>
      <w:r w:rsidR="00251645">
        <w:t xml:space="preserve"> by byli více motivováni k podání žádosti o dotaci.</w:t>
      </w:r>
    </w:p>
    <w:p w14:paraId="51B437B4" w14:textId="77777777" w:rsidR="00646BD5" w:rsidRDefault="00646BD5" w:rsidP="00646BD5">
      <w:pPr>
        <w:spacing w:after="0"/>
      </w:pPr>
    </w:p>
    <w:p w14:paraId="512C189C" w14:textId="09C9D73A" w:rsidR="00D868D6" w:rsidRDefault="00251645" w:rsidP="00646BD5">
      <w:pPr>
        <w:spacing w:after="0"/>
        <w:rPr>
          <w:lang w:eastAsia="sk-SK"/>
        </w:rPr>
      </w:pPr>
      <w:r>
        <w:rPr>
          <w:lang w:eastAsia="sk-SK"/>
        </w:rPr>
        <w:t xml:space="preserve">K rozvoji energetických služeb vlivem PP ÚE nedochází, neboť dosud nejsou vyjednány podmínky, za nichž by podnikatelé mohli čerpat dotaci na projekt realizovaný za využití služeb EPC. </w:t>
      </w:r>
    </w:p>
    <w:p w14:paraId="1F526F97" w14:textId="77777777" w:rsidR="00646BD5" w:rsidRPr="00A20F71" w:rsidRDefault="00646BD5" w:rsidP="00646BD5">
      <w:pPr>
        <w:spacing w:after="0"/>
        <w:rPr>
          <w:lang w:eastAsia="sk-SK"/>
        </w:rPr>
      </w:pPr>
    </w:p>
    <w:p w14:paraId="646F5F37" w14:textId="2C92A7BD" w:rsidR="00DB0BA9" w:rsidRPr="00646BD5" w:rsidRDefault="00646BD5" w:rsidP="00DB0BA9">
      <w:pPr>
        <w:pStyle w:val="Nadpis3"/>
        <w:rPr>
          <w:lang w:eastAsia="sk-SK"/>
        </w:rPr>
      </w:pPr>
      <w:bookmarkStart w:id="261" w:name="_Toc10730011"/>
      <w:r>
        <w:rPr>
          <w:lang w:eastAsia="sk-SK"/>
        </w:rPr>
        <w:t>Specifický cíl 3.4</w:t>
      </w:r>
      <w:bookmarkEnd w:id="261"/>
    </w:p>
    <w:p w14:paraId="3D5D0026" w14:textId="77777777" w:rsidR="00D1392A" w:rsidRDefault="00D1392A" w:rsidP="00D1392A">
      <w:pPr>
        <w:spacing w:after="0"/>
        <w:rPr>
          <w:rFonts w:cstheme="minorHAnsi"/>
        </w:rPr>
      </w:pPr>
      <w:r>
        <w:rPr>
          <w:rFonts w:cstheme="minorHAnsi"/>
        </w:rPr>
        <w:t xml:space="preserve">Česká republika obecně vykazuje v posledních letech pozitivní trendy v oblasti snižování energetické a materiálové náročnosti výroby, nicméně stále je potřebné provádět opatření k dalšímu zvyšování účinnosti nakládání energií i využívání druhotných surovin. </w:t>
      </w:r>
    </w:p>
    <w:p w14:paraId="384154BF" w14:textId="77777777" w:rsidR="00D1392A" w:rsidRDefault="00D1392A" w:rsidP="00D1392A">
      <w:pPr>
        <w:spacing w:after="0"/>
        <w:rPr>
          <w:rFonts w:cstheme="minorHAnsi"/>
        </w:rPr>
      </w:pPr>
    </w:p>
    <w:p w14:paraId="2E9DD29A" w14:textId="1E41B5A5" w:rsidR="008F3A01" w:rsidRPr="00BD5E0B" w:rsidRDefault="008F3A01" w:rsidP="00D1392A">
      <w:pPr>
        <w:spacing w:after="0"/>
        <w:rPr>
          <w:rFonts w:cstheme="minorHAnsi"/>
        </w:rPr>
      </w:pPr>
      <w:r>
        <w:rPr>
          <w:rFonts w:cstheme="minorHAnsi"/>
        </w:rPr>
        <w:t xml:space="preserve">Z pohledu nastavené klasifikace věcného pokroku na základě kvantifikovaných hodnot indikátorů výsledku a výstupu </w:t>
      </w:r>
      <w:r w:rsidR="00D1392A">
        <w:rPr>
          <w:rFonts w:cstheme="minorHAnsi"/>
        </w:rPr>
        <w:t xml:space="preserve">je </w:t>
      </w:r>
      <w:r>
        <w:rPr>
          <w:rFonts w:cstheme="minorHAnsi"/>
        </w:rPr>
        <w:t xml:space="preserve">dosažený pokrok </w:t>
      </w:r>
      <w:r w:rsidRPr="00BD5E0B">
        <w:rPr>
          <w:rFonts w:cstheme="minorHAnsi"/>
        </w:rPr>
        <w:t>SC 3.4 ve stavu k 31. 12. 2018 hodno</w:t>
      </w:r>
      <w:r>
        <w:rPr>
          <w:rFonts w:cstheme="minorHAnsi"/>
        </w:rPr>
        <w:t xml:space="preserve">cen </w:t>
      </w:r>
      <w:r w:rsidRPr="00BD5E0B">
        <w:rPr>
          <w:rFonts w:cstheme="minorHAnsi"/>
        </w:rPr>
        <w:t>jako neuspokojiv</w:t>
      </w:r>
      <w:r>
        <w:rPr>
          <w:rFonts w:cstheme="minorHAnsi"/>
        </w:rPr>
        <w:t>ý. Tento stav je však do značné míry způsoben předchozí</w:t>
      </w:r>
      <w:r w:rsidRPr="00BD5E0B">
        <w:rPr>
          <w:rFonts w:cstheme="minorHAnsi"/>
        </w:rPr>
        <w:t xml:space="preserve"> </w:t>
      </w:r>
      <w:r>
        <w:rPr>
          <w:rFonts w:cstheme="minorHAnsi"/>
        </w:rPr>
        <w:t xml:space="preserve">revizí </w:t>
      </w:r>
      <w:r w:rsidRPr="00BD5E0B">
        <w:rPr>
          <w:rFonts w:cstheme="minorHAnsi"/>
        </w:rPr>
        <w:t xml:space="preserve">cílových hodnot </w:t>
      </w:r>
      <w:r>
        <w:rPr>
          <w:rFonts w:cstheme="minorHAnsi"/>
        </w:rPr>
        <w:t>spojenou s n</w:t>
      </w:r>
      <w:r w:rsidRPr="00BD5E0B">
        <w:rPr>
          <w:rFonts w:cstheme="minorHAnsi"/>
        </w:rPr>
        <w:t>avýšení</w:t>
      </w:r>
      <w:r>
        <w:rPr>
          <w:rFonts w:cstheme="minorHAnsi"/>
        </w:rPr>
        <w:t>m</w:t>
      </w:r>
      <w:r w:rsidRPr="00BD5E0B">
        <w:rPr>
          <w:rFonts w:cstheme="minorHAnsi"/>
        </w:rPr>
        <w:t xml:space="preserve"> alokace</w:t>
      </w:r>
      <w:r>
        <w:rPr>
          <w:rFonts w:cstheme="minorHAnsi"/>
        </w:rPr>
        <w:t xml:space="preserve"> pro tento</w:t>
      </w:r>
      <w:r w:rsidRPr="00BD5E0B">
        <w:rPr>
          <w:rFonts w:cstheme="minorHAnsi"/>
        </w:rPr>
        <w:t xml:space="preserve"> SC. </w:t>
      </w:r>
    </w:p>
    <w:p w14:paraId="77A5268C" w14:textId="77777777" w:rsidR="008F3A01" w:rsidRPr="00BD5E0B" w:rsidRDefault="008F3A01" w:rsidP="00D1392A">
      <w:pPr>
        <w:spacing w:after="0"/>
        <w:rPr>
          <w:rFonts w:cstheme="minorHAnsi"/>
        </w:rPr>
      </w:pPr>
    </w:p>
    <w:p w14:paraId="666899EC" w14:textId="156D849C" w:rsidR="00A53A1A" w:rsidRDefault="008F3A01" w:rsidP="00D1392A">
      <w:pPr>
        <w:spacing w:after="0"/>
        <w:rPr>
          <w:rFonts w:cstheme="minorHAnsi"/>
        </w:rPr>
      </w:pPr>
      <w:r>
        <w:rPr>
          <w:rFonts w:cstheme="minorHAnsi"/>
        </w:rPr>
        <w:t>Negativní vliv</w:t>
      </w:r>
      <w:r w:rsidRPr="00BD5E0B">
        <w:rPr>
          <w:rFonts w:cstheme="minorHAnsi"/>
        </w:rPr>
        <w:t xml:space="preserve"> </w:t>
      </w:r>
      <w:r>
        <w:rPr>
          <w:rFonts w:cstheme="minorHAnsi"/>
        </w:rPr>
        <w:t xml:space="preserve">na dosahování SC 3.4 </w:t>
      </w:r>
      <w:r w:rsidRPr="00BD5E0B">
        <w:rPr>
          <w:rFonts w:cstheme="minorHAnsi"/>
        </w:rPr>
        <w:t>má opožděné zahájení PP NUT, kdy příjem žádostí v I. výzvě byl ukončen až na konci července 2016. Zpoždění byla způsobena jednak zdlouhavou přípravou výzev (zejm. vyjasnění pravidel a podmínek veřejné podpory) a také pomalým procesem hodnocení žádostí (nedostatek kvalifikovaných personálních kapacit hodnotitelů, velký počet projektů).</w:t>
      </w:r>
      <w:r>
        <w:rPr>
          <w:rFonts w:cstheme="minorHAnsi"/>
        </w:rPr>
        <w:t xml:space="preserve"> Některé původně </w:t>
      </w:r>
      <w:r>
        <w:rPr>
          <w:rFonts w:cstheme="minorHAnsi"/>
        </w:rPr>
        <w:lastRenderedPageBreak/>
        <w:t xml:space="preserve">plánované typové aktivity v rámci SC 3.4 nebyly dosud realizovány (např. zavádění nízkouhlíkových technologií v budovách).  </w:t>
      </w:r>
    </w:p>
    <w:p w14:paraId="4E5B493B" w14:textId="1F1544A9" w:rsidR="00A53A1A" w:rsidRDefault="00A53A1A" w:rsidP="00D1392A">
      <w:pPr>
        <w:spacing w:after="0"/>
        <w:rPr>
          <w:rFonts w:cstheme="minorHAnsi"/>
        </w:rPr>
      </w:pPr>
    </w:p>
    <w:p w14:paraId="779742D7" w14:textId="6522F5D0" w:rsidR="00A53A1A" w:rsidRPr="00A53A1A" w:rsidRDefault="00A53A1A" w:rsidP="00D1392A">
      <w:pPr>
        <w:spacing w:after="0"/>
        <w:rPr>
          <w:rFonts w:cstheme="minorHAnsi"/>
        </w:rPr>
      </w:pPr>
      <w:r w:rsidRPr="00A53A1A">
        <w:rPr>
          <w:rFonts w:cstheme="minorHAnsi"/>
        </w:rPr>
        <w:t xml:space="preserve">V posledních 2 sledovaných letech je zaznamenán dynamický nárůst hodnot indikátorů </w:t>
      </w:r>
      <w:r>
        <w:rPr>
          <w:rFonts w:cstheme="minorHAnsi"/>
        </w:rPr>
        <w:t xml:space="preserve">SC 3.4 </w:t>
      </w:r>
      <w:r w:rsidRPr="00A53A1A">
        <w:rPr>
          <w:rFonts w:cstheme="minorHAnsi"/>
        </w:rPr>
        <w:t xml:space="preserve">a tento trend lze očekávat i v dalším období, v návaznosti na ukončení příjmu a vyhodnocení žádostí ve IV. výzvě. </w:t>
      </w:r>
    </w:p>
    <w:p w14:paraId="00EC21E7" w14:textId="77777777" w:rsidR="00A53A1A" w:rsidRPr="00A53A1A" w:rsidRDefault="00A53A1A" w:rsidP="00D1392A">
      <w:pPr>
        <w:spacing w:after="0"/>
        <w:rPr>
          <w:rFonts w:cstheme="minorHAnsi"/>
        </w:rPr>
      </w:pPr>
    </w:p>
    <w:p w14:paraId="7DDD4EB1" w14:textId="59518D43" w:rsidR="00A53A1A" w:rsidRPr="00A53A1A" w:rsidRDefault="009916B6" w:rsidP="00D1392A">
      <w:pPr>
        <w:spacing w:after="0"/>
        <w:rPr>
          <w:rFonts w:cstheme="minorHAnsi"/>
        </w:rPr>
      </w:pPr>
      <w:r>
        <w:rPr>
          <w:rFonts w:cstheme="minorHAnsi"/>
        </w:rPr>
        <w:t>Hodnotitel předpokládá, že – i s využitím</w:t>
      </w:r>
      <w:r w:rsidR="00D1392A">
        <w:rPr>
          <w:rFonts w:cstheme="minorHAnsi"/>
        </w:rPr>
        <w:t xml:space="preserve"> nástrojů pro naplňování principů 3E (zejm. </w:t>
      </w:r>
      <w:r w:rsidR="00D1392A" w:rsidRPr="00D1392A">
        <w:rPr>
          <w:rFonts w:cstheme="minorHAnsi"/>
        </w:rPr>
        <w:t>strategické plánování</w:t>
      </w:r>
      <w:r w:rsidR="00D1392A">
        <w:rPr>
          <w:rFonts w:cstheme="minorHAnsi"/>
        </w:rPr>
        <w:t xml:space="preserve"> a </w:t>
      </w:r>
      <w:r w:rsidR="00D1392A" w:rsidRPr="00D1392A">
        <w:rPr>
          <w:rFonts w:cstheme="minorHAnsi"/>
        </w:rPr>
        <w:t>řízení výzev</w:t>
      </w:r>
      <w:r w:rsidR="00D1392A">
        <w:rPr>
          <w:rFonts w:cstheme="minorHAnsi"/>
        </w:rPr>
        <w:t>)</w:t>
      </w:r>
      <w:r>
        <w:rPr>
          <w:rFonts w:cstheme="minorHAnsi"/>
        </w:rPr>
        <w:t xml:space="preserve"> - bude dosaženo </w:t>
      </w:r>
      <w:r w:rsidR="00D1392A">
        <w:rPr>
          <w:rFonts w:cstheme="minorHAnsi"/>
        </w:rPr>
        <w:t>kvantifikovaných cílů SC 3.4 do konce programového období.</w:t>
      </w:r>
      <w:r w:rsidR="00A53A1A">
        <w:rPr>
          <w:rFonts w:cstheme="minorHAnsi"/>
        </w:rPr>
        <w:t xml:space="preserve"> </w:t>
      </w:r>
      <w:r w:rsidR="00A53A1A" w:rsidRPr="00A53A1A">
        <w:rPr>
          <w:rFonts w:cstheme="minorHAnsi"/>
        </w:rPr>
        <w:t xml:space="preserve"> </w:t>
      </w:r>
    </w:p>
    <w:p w14:paraId="6FBA28F9" w14:textId="77777777" w:rsidR="00A53A1A" w:rsidRDefault="00A53A1A" w:rsidP="00D1392A">
      <w:pPr>
        <w:spacing w:after="0"/>
        <w:rPr>
          <w:rFonts w:cstheme="minorHAnsi"/>
        </w:rPr>
      </w:pPr>
    </w:p>
    <w:p w14:paraId="493AFA5D" w14:textId="3EAAE275" w:rsidR="008F3A01" w:rsidRPr="00BD5E0B" w:rsidRDefault="00A53A1A" w:rsidP="00D1392A">
      <w:pPr>
        <w:spacing w:after="0"/>
        <w:rPr>
          <w:rFonts w:cstheme="minorHAnsi"/>
        </w:rPr>
      </w:pPr>
      <w:r>
        <w:rPr>
          <w:rFonts w:cstheme="minorHAnsi"/>
        </w:rPr>
        <w:t xml:space="preserve">Relevantní hodnocení vlivu/příspěvku realizovaných intervencí PP NUT na dosahování cílů v oblasti zavádění inovativních nízkouhlíkových technologií v oblasti nakládání energií a využívání druhotných surovin je limitováno malým vzorkem podpořených projektů (s ukončenou realizací). Hodnotitel doporučuje provést toho posouzení až v rámci ex post evaluací programu. </w:t>
      </w:r>
      <w:r w:rsidR="008F3A01">
        <w:rPr>
          <w:rFonts w:cstheme="minorHAnsi"/>
        </w:rPr>
        <w:t xml:space="preserve"> </w:t>
      </w:r>
    </w:p>
    <w:p w14:paraId="7AA2F315" w14:textId="7D0C1AA9" w:rsidR="00646BD5" w:rsidRPr="00646BD5" w:rsidRDefault="00646BD5" w:rsidP="00D1392A">
      <w:pPr>
        <w:spacing w:after="0"/>
        <w:rPr>
          <w:highlight w:val="cyan"/>
          <w:lang w:eastAsia="sk-SK"/>
        </w:rPr>
      </w:pPr>
    </w:p>
    <w:p w14:paraId="2236B9FB" w14:textId="7867987D" w:rsidR="00DB0BA9" w:rsidRDefault="00DB0BA9" w:rsidP="00DB0BA9">
      <w:pPr>
        <w:pStyle w:val="Nadpis3"/>
        <w:rPr>
          <w:lang w:eastAsia="sk-SK"/>
        </w:rPr>
      </w:pPr>
      <w:bookmarkStart w:id="262" w:name="_Toc10730012"/>
      <w:bookmarkStart w:id="263" w:name="_Hlk10650239"/>
      <w:r>
        <w:rPr>
          <w:lang w:eastAsia="sk-SK"/>
        </w:rPr>
        <w:t>Příčiny nedostatečného plnění výsledků</w:t>
      </w:r>
      <w:bookmarkEnd w:id="262"/>
    </w:p>
    <w:p w14:paraId="6DCB2194" w14:textId="3F24BE8F" w:rsidR="00DB0BA9" w:rsidRDefault="00DB0BA9" w:rsidP="007A6A45">
      <w:pPr>
        <w:spacing w:after="0"/>
        <w:rPr>
          <w:rFonts w:ascii="Calibri" w:hAnsi="Calibri" w:cs="Calibri"/>
        </w:rPr>
      </w:pPr>
      <w:r>
        <w:rPr>
          <w:rFonts w:ascii="Calibri" w:hAnsi="Calibri" w:cs="Calibri"/>
        </w:rPr>
        <w:t>Hodnotitel na základě provedených šetření a analýz identifikoval několik hlavních důvodů a příčin, které – dle jeho názoru – ved</w:t>
      </w:r>
      <w:r w:rsidR="00D12656">
        <w:rPr>
          <w:rFonts w:ascii="Calibri" w:hAnsi="Calibri" w:cs="Calibri"/>
        </w:rPr>
        <w:t>ly k</w:t>
      </w:r>
      <w:r w:rsidR="00251645">
        <w:rPr>
          <w:rFonts w:ascii="Calibri" w:hAnsi="Calibri" w:cs="Calibri"/>
        </w:rPr>
        <w:t xml:space="preserve"> nedostatečnému plnění výsledků</w:t>
      </w:r>
      <w:r w:rsidR="001C53BF">
        <w:rPr>
          <w:rFonts w:ascii="Calibri" w:hAnsi="Calibri" w:cs="Calibri"/>
        </w:rPr>
        <w:t xml:space="preserve"> a výstupů</w:t>
      </w:r>
      <w:r w:rsidR="00646BD5">
        <w:rPr>
          <w:rFonts w:ascii="Calibri" w:hAnsi="Calibri" w:cs="Calibri"/>
        </w:rPr>
        <w:t xml:space="preserve"> předmětných SC</w:t>
      </w:r>
      <w:r>
        <w:rPr>
          <w:rFonts w:ascii="Calibri" w:hAnsi="Calibri" w:cs="Calibri"/>
        </w:rPr>
        <w:t>:</w:t>
      </w:r>
    </w:p>
    <w:p w14:paraId="24D40B93" w14:textId="77777777" w:rsidR="00DB0BA9" w:rsidRPr="00497399" w:rsidRDefault="00DB0BA9" w:rsidP="007A6A45">
      <w:pPr>
        <w:spacing w:after="0"/>
        <w:rPr>
          <w:rFonts w:ascii="Calibri" w:hAnsi="Calibri" w:cs="Calibri"/>
        </w:rPr>
      </w:pPr>
    </w:p>
    <w:p w14:paraId="5094AB8F" w14:textId="4DB0EF56" w:rsidR="00DB0BA9" w:rsidRPr="00251645" w:rsidRDefault="00DB0BA9" w:rsidP="007A6A45">
      <w:pPr>
        <w:pStyle w:val="Nadpis4"/>
        <w:numPr>
          <w:ilvl w:val="0"/>
          <w:numId w:val="0"/>
        </w:numPr>
        <w:spacing w:before="0"/>
      </w:pPr>
      <w:bookmarkStart w:id="264" w:name="_Hlk10650494"/>
      <w:bookmarkEnd w:id="263"/>
      <w:r w:rsidRPr="00251645">
        <w:t xml:space="preserve">Časová zpoždění při zahájení implementace </w:t>
      </w:r>
      <w:r w:rsidR="00D1392A">
        <w:t>PP</w:t>
      </w:r>
      <w:r w:rsidRPr="00251645">
        <w:t xml:space="preserve"> </w:t>
      </w:r>
    </w:p>
    <w:p w14:paraId="72865ACC" w14:textId="7F140140" w:rsidR="00DB0BA9" w:rsidRDefault="00DB0BA9" w:rsidP="007A6A45">
      <w:pPr>
        <w:spacing w:after="0"/>
        <w:rPr>
          <w:rFonts w:ascii="Calibri" w:hAnsi="Calibri" w:cs="Calibri"/>
        </w:rPr>
      </w:pPr>
      <w:r w:rsidRPr="00497399">
        <w:rPr>
          <w:rFonts w:ascii="Calibri" w:hAnsi="Calibri" w:cs="Calibri"/>
        </w:rPr>
        <w:t xml:space="preserve">Například I. výzva v PP ÚE byla vyhlášena až v polovině roku 2015, příjem plných žádostí byl zahájen ke konci roku 2015. Mezi důvody těchto zpoždění lze zařadit zejména: celkové zpoždění procesu příprav, vyjednávání a schválení operačního programu, nová pravidla (legislativa) pro ESI fondy a veřejnou podporu a nejasnosti v jejich výkladu a aplikaci a také nevyhovující technickou funkčnost a nepřipravenost nového </w:t>
      </w:r>
      <w:r>
        <w:rPr>
          <w:rFonts w:ascii="Calibri" w:hAnsi="Calibri" w:cs="Calibri"/>
        </w:rPr>
        <w:t>monitorovacího systému MS2014+.</w:t>
      </w:r>
    </w:p>
    <w:p w14:paraId="3D80E6E4" w14:textId="77777777" w:rsidR="007A6A45" w:rsidRPr="00497399" w:rsidRDefault="007A6A45" w:rsidP="007A6A45">
      <w:pPr>
        <w:spacing w:after="0"/>
        <w:rPr>
          <w:rFonts w:ascii="Calibri" w:hAnsi="Calibri" w:cs="Calibri"/>
        </w:rPr>
      </w:pPr>
    </w:p>
    <w:p w14:paraId="275639C0" w14:textId="77777777" w:rsidR="00DB0BA9" w:rsidRPr="00251645" w:rsidRDefault="00DB0BA9" w:rsidP="007A6A45">
      <w:pPr>
        <w:pStyle w:val="Nadpis4"/>
        <w:numPr>
          <w:ilvl w:val="0"/>
          <w:numId w:val="0"/>
        </w:numPr>
        <w:spacing w:before="0"/>
      </w:pPr>
      <w:r w:rsidRPr="00251645">
        <w:t xml:space="preserve">Pomalý proces hodnocení projektových žádostí </w:t>
      </w:r>
    </w:p>
    <w:p w14:paraId="32A864E9" w14:textId="126E4D73" w:rsidR="00094EB5" w:rsidRDefault="00DB0BA9" w:rsidP="007A6A45">
      <w:pPr>
        <w:spacing w:after="0"/>
        <w:rPr>
          <w:rFonts w:ascii="Calibri" w:hAnsi="Calibri" w:cs="Calibri"/>
        </w:rPr>
      </w:pPr>
      <w:r w:rsidRPr="00497399">
        <w:rPr>
          <w:rFonts w:ascii="Calibri" w:hAnsi="Calibri" w:cs="Calibri"/>
        </w:rPr>
        <w:t>Jedním z hlavních důvodů byly v počáteční fázi implementace OP PIK nedostatečné personální kapacity pro hodnocení</w:t>
      </w:r>
      <w:r w:rsidR="003C3CA4">
        <w:rPr>
          <w:rFonts w:ascii="Calibri" w:hAnsi="Calibri" w:cs="Calibri"/>
        </w:rPr>
        <w:t xml:space="preserve"> vlivem hodnocení poslední vlny projektů OPPI 2007–2013</w:t>
      </w:r>
      <w:r w:rsidRPr="00497399">
        <w:rPr>
          <w:rFonts w:ascii="Calibri" w:hAnsi="Calibri" w:cs="Calibri"/>
        </w:rPr>
        <w:t xml:space="preserve">. V důsledku provedených změn systému hodnocení a jeho nedostatečné připravenosti tak proces hodnocení po ukončení příjmu žádostí v 1. výzvách </w:t>
      </w:r>
      <w:r w:rsidRPr="00E25DBC">
        <w:rPr>
          <w:rFonts w:ascii="Calibri" w:hAnsi="Calibri" w:cs="Calibri"/>
        </w:rPr>
        <w:t>de facto</w:t>
      </w:r>
      <w:r w:rsidRPr="00497399">
        <w:rPr>
          <w:rFonts w:ascii="Calibri" w:hAnsi="Calibri" w:cs="Calibri"/>
        </w:rPr>
        <w:t xml:space="preserve"> stál. Ačkoliv postupně dochází ke změnám a ke zrychlením procesů hodnocení žádostí, stále se jedná o faktor negativně ovlivňující </w:t>
      </w:r>
      <w:r w:rsidR="00251645">
        <w:rPr>
          <w:rFonts w:ascii="Calibri" w:hAnsi="Calibri" w:cs="Calibri"/>
        </w:rPr>
        <w:t>plnění stanovených výsledků</w:t>
      </w:r>
      <w:r w:rsidRPr="00497399">
        <w:rPr>
          <w:rFonts w:ascii="Calibri" w:hAnsi="Calibri" w:cs="Calibri"/>
        </w:rPr>
        <w:t>.</w:t>
      </w:r>
      <w:r>
        <w:rPr>
          <w:rFonts w:ascii="Calibri" w:hAnsi="Calibri" w:cs="Calibri"/>
        </w:rPr>
        <w:t xml:space="preserve"> </w:t>
      </w:r>
    </w:p>
    <w:p w14:paraId="46DE3BBE" w14:textId="77777777" w:rsidR="00094EB5" w:rsidRDefault="00094EB5" w:rsidP="007A6A45">
      <w:pPr>
        <w:spacing w:after="0"/>
        <w:rPr>
          <w:rFonts w:ascii="Calibri" w:hAnsi="Calibri" w:cs="Calibri"/>
        </w:rPr>
      </w:pPr>
    </w:p>
    <w:p w14:paraId="3D22E493" w14:textId="554DB444" w:rsidR="00DB0BA9" w:rsidRDefault="00952536" w:rsidP="007A6A45">
      <w:pPr>
        <w:spacing w:after="0"/>
        <w:rPr>
          <w:rFonts w:ascii="Calibri" w:hAnsi="Calibri" w:cs="Calibri"/>
        </w:rPr>
      </w:pPr>
      <w:r>
        <w:rPr>
          <w:rFonts w:ascii="Calibri" w:hAnsi="Calibri" w:cs="Calibri"/>
        </w:rPr>
        <w:t xml:space="preserve">I přes realizované změny je jako </w:t>
      </w:r>
      <w:r w:rsidR="00094EB5">
        <w:rPr>
          <w:rFonts w:ascii="Calibri" w:hAnsi="Calibri" w:cs="Calibri"/>
        </w:rPr>
        <w:t>„</w:t>
      </w:r>
      <w:r>
        <w:rPr>
          <w:rFonts w:ascii="Calibri" w:hAnsi="Calibri" w:cs="Calibri"/>
        </w:rPr>
        <w:t>problematická</w:t>
      </w:r>
      <w:r w:rsidR="00094EB5">
        <w:rPr>
          <w:rFonts w:ascii="Calibri" w:hAnsi="Calibri" w:cs="Calibri"/>
        </w:rPr>
        <w:t>“</w:t>
      </w:r>
      <w:r>
        <w:rPr>
          <w:rFonts w:ascii="Calibri" w:hAnsi="Calibri" w:cs="Calibri"/>
        </w:rPr>
        <w:t xml:space="preserve"> vnímána IV. výzva PP ÚE, do níž bylo podáno 1339 žádostí o dotaci. Lze tedy očekávat, že hodnocení projektů v této výzvě se z důvodu extrémně vysokého počtu žádostí a omezených kapacit hodnotitelů protáhne.</w:t>
      </w:r>
    </w:p>
    <w:p w14:paraId="3856E805" w14:textId="77777777" w:rsidR="007A6A45" w:rsidRPr="00497399" w:rsidRDefault="007A6A45" w:rsidP="007A6A45">
      <w:pPr>
        <w:spacing w:after="0"/>
        <w:rPr>
          <w:rFonts w:ascii="Calibri" w:hAnsi="Calibri" w:cs="Calibri"/>
        </w:rPr>
      </w:pPr>
    </w:p>
    <w:p w14:paraId="7EA7A4FA" w14:textId="5ECD7635" w:rsidR="00DB0BA9" w:rsidRPr="00251645" w:rsidRDefault="00952536" w:rsidP="007A6A45">
      <w:pPr>
        <w:pStyle w:val="Nadpis4"/>
        <w:numPr>
          <w:ilvl w:val="0"/>
          <w:numId w:val="0"/>
        </w:numPr>
        <w:spacing w:before="0"/>
      </w:pPr>
      <w:r>
        <w:t>A</w:t>
      </w:r>
      <w:r w:rsidR="00DB0BA9" w:rsidRPr="00251645">
        <w:t>dministrativní zátěž žadatelů</w:t>
      </w:r>
    </w:p>
    <w:p w14:paraId="00711943" w14:textId="77777777" w:rsidR="00DB0BA9" w:rsidRPr="00497399" w:rsidRDefault="00DB0BA9" w:rsidP="007A6A45">
      <w:pPr>
        <w:spacing w:after="0"/>
        <w:rPr>
          <w:rFonts w:ascii="Calibri" w:hAnsi="Calibri" w:cs="Calibri"/>
        </w:rPr>
      </w:pPr>
      <w:r w:rsidRPr="00497399">
        <w:rPr>
          <w:rFonts w:ascii="Calibri" w:hAnsi="Calibri" w:cs="Calibri"/>
        </w:rPr>
        <w:t xml:space="preserve">Přechod na nový systém vyplňování elektronických formulářů žádostí v aplikaci IS KP14+ způsobil zvýšenou náročnost vyplňování žádostí v porovnání s dříve používanou aplikací eAccount.   </w:t>
      </w:r>
    </w:p>
    <w:p w14:paraId="0DE2DE5C" w14:textId="471650E8" w:rsidR="00DB0BA9" w:rsidRDefault="00DB0BA9" w:rsidP="007A6A45">
      <w:pPr>
        <w:spacing w:after="0"/>
        <w:rPr>
          <w:rFonts w:ascii="Calibri" w:hAnsi="Calibri" w:cs="Calibri"/>
        </w:rPr>
      </w:pPr>
      <w:r w:rsidRPr="00497399">
        <w:rPr>
          <w:rFonts w:ascii="Calibri" w:hAnsi="Calibri" w:cs="Calibri"/>
        </w:rPr>
        <w:t xml:space="preserve">Ze srovnání s OPPI rovněž vyplývá, že se obecně rozšířilo množství požadovaných podkladů k žádostem o podporu. Jednalo se například o povinnost dokládat již k žádosti podrobný položkový rozpočet projektu nebo projektovou dokumentaci. Tyto nové požadavky prodlužovaly a prodražovaly přípravu </w:t>
      </w:r>
      <w:r w:rsidRPr="00497399">
        <w:rPr>
          <w:rFonts w:ascii="Calibri" w:hAnsi="Calibri" w:cs="Calibri"/>
        </w:rPr>
        <w:lastRenderedPageBreak/>
        <w:t>žádostí na straně žadatelů. To nezřídka vedlo v praxi k situaci, kdy podnikatelský subjekt vyhodnotil potencionální přínosy z podpory vůči předpokládaným nákladům na přípravu žádosti - navíc s nejistotu získání podpory - jako nedostatečně motivující a svo</w:t>
      </w:r>
      <w:r>
        <w:rPr>
          <w:rFonts w:ascii="Calibri" w:hAnsi="Calibri" w:cs="Calibri"/>
        </w:rPr>
        <w:t>je zapojení do OP PIK odmítnul.</w:t>
      </w:r>
    </w:p>
    <w:p w14:paraId="3E2AAF52" w14:textId="77777777" w:rsidR="00094EB5" w:rsidRPr="00497399" w:rsidRDefault="00094EB5" w:rsidP="007A6A45">
      <w:pPr>
        <w:spacing w:after="0"/>
        <w:rPr>
          <w:rFonts w:ascii="Calibri" w:hAnsi="Calibri" w:cs="Calibri"/>
        </w:rPr>
      </w:pPr>
    </w:p>
    <w:p w14:paraId="537919AF" w14:textId="0694AADE" w:rsidR="00DB0BA9" w:rsidRDefault="00DB0BA9" w:rsidP="007A6A45">
      <w:pPr>
        <w:spacing w:after="0"/>
        <w:rPr>
          <w:rFonts w:ascii="Calibri" w:hAnsi="Calibri" w:cs="Calibri"/>
        </w:rPr>
      </w:pPr>
      <w:r w:rsidRPr="00497399">
        <w:rPr>
          <w:rFonts w:ascii="Calibri" w:hAnsi="Calibri" w:cs="Calibri"/>
        </w:rPr>
        <w:t>Na straně žadatelů byl také identifikován významný problém s naplňováním požadavku na prokázání vlastnické struktury. Proces zjišťování vlastnické struktury je zejména (ale nejen) v případě firem ovládaných zahraničními vlastníky pro žadatele administrativně a časově velice náročný. Dalším souvisejícím a negativně vnímaným prvk</w:t>
      </w:r>
      <w:r>
        <w:rPr>
          <w:rFonts w:ascii="Calibri" w:hAnsi="Calibri" w:cs="Calibri"/>
        </w:rPr>
        <w:t>em je pak kontrola statusu MSP.</w:t>
      </w:r>
    </w:p>
    <w:p w14:paraId="106BC478" w14:textId="77777777" w:rsidR="00094EB5" w:rsidRPr="00497399" w:rsidRDefault="00094EB5" w:rsidP="007A6A45">
      <w:pPr>
        <w:spacing w:after="0"/>
        <w:rPr>
          <w:rFonts w:ascii="Calibri" w:hAnsi="Calibri" w:cs="Calibri"/>
        </w:rPr>
      </w:pPr>
    </w:p>
    <w:p w14:paraId="67DB1EA2" w14:textId="790FD510" w:rsidR="00DB0BA9" w:rsidRDefault="00DB0BA9" w:rsidP="007A6A45">
      <w:pPr>
        <w:spacing w:after="0"/>
        <w:rPr>
          <w:rFonts w:ascii="Calibri" w:hAnsi="Calibri" w:cs="Calibri"/>
        </w:rPr>
      </w:pPr>
      <w:r w:rsidRPr="00497399">
        <w:rPr>
          <w:rFonts w:ascii="Calibri" w:hAnsi="Calibri" w:cs="Calibri"/>
        </w:rPr>
        <w:t>Všechny tyto administrativní požadavky způsobují další průtahy v procesu přípravy a podání žádosti o podporu a celkový pokles motivace žádost o podporu vůbec podávat. To má samozřejmě negativní vliv na plnění věcných a finančních cílů</w:t>
      </w:r>
      <w:r w:rsidR="00952536">
        <w:rPr>
          <w:rFonts w:ascii="Calibri" w:hAnsi="Calibri" w:cs="Calibri"/>
        </w:rPr>
        <w:t xml:space="preserve"> programů podpory</w:t>
      </w:r>
      <w:r w:rsidRPr="00497399">
        <w:rPr>
          <w:rFonts w:ascii="Calibri" w:hAnsi="Calibri" w:cs="Calibri"/>
        </w:rPr>
        <w:t xml:space="preserve">.   </w:t>
      </w:r>
    </w:p>
    <w:p w14:paraId="6F6DD16D" w14:textId="77777777" w:rsidR="007A6A45" w:rsidRPr="00497399" w:rsidRDefault="007A6A45" w:rsidP="007A6A45">
      <w:pPr>
        <w:spacing w:after="0"/>
        <w:rPr>
          <w:rFonts w:ascii="Calibri" w:hAnsi="Calibri" w:cs="Calibri"/>
        </w:rPr>
      </w:pPr>
    </w:p>
    <w:p w14:paraId="5C331D18" w14:textId="77777777" w:rsidR="00DB0BA9" w:rsidRPr="00251645" w:rsidRDefault="00DB0BA9" w:rsidP="007A6A45">
      <w:pPr>
        <w:pStyle w:val="Nadpis4"/>
        <w:numPr>
          <w:ilvl w:val="0"/>
          <w:numId w:val="0"/>
        </w:numPr>
        <w:spacing w:before="0"/>
      </w:pPr>
      <w:r w:rsidRPr="00251645">
        <w:t>Nejednoznačné a netransparentní metodické postupy hodnocení hospodárnosti projektu</w:t>
      </w:r>
    </w:p>
    <w:p w14:paraId="2FEFFF4E" w14:textId="6308444C" w:rsidR="00DB0BA9" w:rsidRDefault="00DB0BA9" w:rsidP="007A6A45">
      <w:pPr>
        <w:spacing w:after="0"/>
        <w:rPr>
          <w:rFonts w:ascii="Calibri" w:hAnsi="Calibri" w:cs="Calibri"/>
        </w:rPr>
      </w:pPr>
      <w:r w:rsidRPr="00497399">
        <w:rPr>
          <w:rFonts w:ascii="Calibri" w:hAnsi="Calibri" w:cs="Calibri"/>
        </w:rPr>
        <w:t>Systém hodnocení hospodárnosti projektů aplikovaný od počátku zahájení realizace OP PIK spolu s kombinací dalších kritérií vytvářel dle názoru hodnotitele prostor pro subjektivní, tedy netransparentní způsob hodnocení a výběru jednotlivých žádostí s rizikem zpochybnění celého postupu, tj. i výběru jednotlivých projektů v rámci OP PIK. Navíc při hodnocení projektů docházelo ke dvojímu trestání žadatelů, kdy byly kráceny způsobilé výdaje a zároveň snižovány body za hospodárnost. Tímto postupem byl žadatel neoprávněně penalizován ve dvou zásadních kritériích za j</w:t>
      </w:r>
      <w:r>
        <w:rPr>
          <w:rFonts w:ascii="Calibri" w:hAnsi="Calibri" w:cs="Calibri"/>
        </w:rPr>
        <w:t>ednu domnělou slabinu projektu.</w:t>
      </w:r>
    </w:p>
    <w:p w14:paraId="4F3101A2" w14:textId="77777777" w:rsidR="007A6A45" w:rsidRPr="00497399" w:rsidRDefault="007A6A45" w:rsidP="007A6A45">
      <w:pPr>
        <w:spacing w:after="0"/>
        <w:rPr>
          <w:rFonts w:ascii="Calibri" w:hAnsi="Calibri" w:cs="Calibri"/>
        </w:rPr>
      </w:pPr>
    </w:p>
    <w:p w14:paraId="25222828" w14:textId="77777777" w:rsidR="00DB0BA9" w:rsidRPr="00251645" w:rsidRDefault="00DB0BA9" w:rsidP="007A6A45">
      <w:pPr>
        <w:pStyle w:val="Nadpis4"/>
        <w:numPr>
          <w:ilvl w:val="0"/>
          <w:numId w:val="0"/>
        </w:numPr>
        <w:spacing w:before="0"/>
      </w:pPr>
      <w:r w:rsidRPr="00251645">
        <w:t>Složitá a časově náročná realizace projektů v energetice</w:t>
      </w:r>
    </w:p>
    <w:p w14:paraId="2A6B51B0" w14:textId="26187E84" w:rsidR="00DB0BA9" w:rsidRDefault="00DB0BA9" w:rsidP="007A6A45">
      <w:pPr>
        <w:spacing w:after="0"/>
        <w:rPr>
          <w:rFonts w:ascii="Calibri" w:hAnsi="Calibri" w:cs="Calibri"/>
        </w:rPr>
      </w:pPr>
      <w:r w:rsidRPr="00497399">
        <w:rPr>
          <w:rFonts w:ascii="Calibri" w:hAnsi="Calibri" w:cs="Calibri"/>
        </w:rPr>
        <w:t xml:space="preserve">Dalším faktorem, který má dopad na plnění věcných a finančních cílů, je složitá a časově náročná realizace projektů v oblasti energetiky. Ta je do značné míry dána charakterem těchto projektů, kdy se </w:t>
      </w:r>
      <w:r w:rsidR="00D1392A">
        <w:rPr>
          <w:rFonts w:ascii="Calibri" w:hAnsi="Calibri" w:cs="Calibri"/>
        </w:rPr>
        <w:t>často</w:t>
      </w:r>
      <w:r w:rsidRPr="00497399">
        <w:rPr>
          <w:rFonts w:ascii="Calibri" w:hAnsi="Calibri" w:cs="Calibri"/>
        </w:rPr>
        <w:t xml:space="preserve"> jedná o komplexní energetická opatření v podnicích doprovázené řadou limitujících realizačních podmínek.</w:t>
      </w:r>
      <w:r>
        <w:rPr>
          <w:rFonts w:ascii="Calibri" w:hAnsi="Calibri" w:cs="Calibri"/>
        </w:rPr>
        <w:t xml:space="preserve">   </w:t>
      </w:r>
    </w:p>
    <w:p w14:paraId="14BA5F8E" w14:textId="77777777" w:rsidR="007A6A45" w:rsidRPr="00497399" w:rsidRDefault="007A6A45" w:rsidP="007A6A45">
      <w:pPr>
        <w:spacing w:after="0"/>
        <w:rPr>
          <w:rFonts w:ascii="Calibri" w:hAnsi="Calibri" w:cs="Calibri"/>
        </w:rPr>
      </w:pPr>
    </w:p>
    <w:p w14:paraId="72298787" w14:textId="77777777" w:rsidR="00DB0BA9" w:rsidRPr="00251645" w:rsidRDefault="00DB0BA9" w:rsidP="007A6A45">
      <w:pPr>
        <w:pStyle w:val="Nadpis4"/>
        <w:numPr>
          <w:ilvl w:val="0"/>
          <w:numId w:val="0"/>
        </w:numPr>
        <w:spacing w:before="0"/>
      </w:pPr>
      <w:r w:rsidRPr="00251645">
        <w:t>Limit finanční alokace určené pro velké podniky</w:t>
      </w:r>
    </w:p>
    <w:p w14:paraId="3E4147E5" w14:textId="793339D3" w:rsidR="00DB0BA9" w:rsidRPr="00E25DBC" w:rsidRDefault="00DB0BA9" w:rsidP="007A6A45">
      <w:pPr>
        <w:spacing w:after="0"/>
        <w:rPr>
          <w:rFonts w:ascii="Calibri" w:hAnsi="Calibri" w:cs="Calibri"/>
        </w:rPr>
      </w:pPr>
      <w:r w:rsidRPr="00E25DBC">
        <w:rPr>
          <w:rFonts w:ascii="Calibri" w:hAnsi="Calibri" w:cs="Calibri"/>
        </w:rPr>
        <w:t xml:space="preserve">I přesto, že se podařilo zvýšit zapojení velkých podniků v OP PIK, představují přetrvávající limity stále riziko pro dosažení specifických cílů </w:t>
      </w:r>
      <w:r w:rsidR="00D1392A">
        <w:rPr>
          <w:rFonts w:ascii="Calibri" w:hAnsi="Calibri" w:cs="Calibri"/>
        </w:rPr>
        <w:t>zejména v oblasti energetické účinnosti</w:t>
      </w:r>
      <w:r w:rsidRPr="00E25DBC">
        <w:rPr>
          <w:rFonts w:ascii="Calibri" w:hAnsi="Calibri" w:cs="Calibri"/>
        </w:rPr>
        <w:t xml:space="preserve">. </w:t>
      </w:r>
    </w:p>
    <w:p w14:paraId="01921FCB" w14:textId="77777777" w:rsidR="00094EB5" w:rsidRDefault="00094EB5" w:rsidP="007A6A45">
      <w:pPr>
        <w:pStyle w:val="Nadpis4"/>
        <w:numPr>
          <w:ilvl w:val="0"/>
          <w:numId w:val="0"/>
        </w:numPr>
        <w:spacing w:before="0"/>
      </w:pPr>
    </w:p>
    <w:p w14:paraId="696FEDC9" w14:textId="21096C72" w:rsidR="00DB0BA9" w:rsidRPr="00251645" w:rsidRDefault="00DB0BA9" w:rsidP="007A6A45">
      <w:pPr>
        <w:pStyle w:val="Nadpis4"/>
        <w:numPr>
          <w:ilvl w:val="0"/>
          <w:numId w:val="0"/>
        </w:numPr>
        <w:spacing w:before="0"/>
      </w:pPr>
      <w:r w:rsidRPr="00251645">
        <w:t>Nedostatečn</w:t>
      </w:r>
      <w:r w:rsidR="007A6A45">
        <w:t>ě</w:t>
      </w:r>
      <w:r w:rsidRPr="00251645">
        <w:t xml:space="preserve"> motiv</w:t>
      </w:r>
      <w:r w:rsidR="007A6A45">
        <w:t>ující veřejná podpora</w:t>
      </w:r>
      <w:r w:rsidR="00C77AFC">
        <w:t>, nevyhovující systém blokových výjimek</w:t>
      </w:r>
    </w:p>
    <w:p w14:paraId="47076D2D" w14:textId="5575C2B1" w:rsidR="00C77AFC" w:rsidRDefault="007A6A45" w:rsidP="007A6A45">
      <w:pPr>
        <w:spacing w:after="0"/>
        <w:rPr>
          <w:rFonts w:ascii="Calibri" w:hAnsi="Calibri" w:cs="Calibri"/>
        </w:rPr>
      </w:pPr>
      <w:r>
        <w:rPr>
          <w:rFonts w:ascii="Calibri" w:hAnsi="Calibri" w:cs="Calibri"/>
        </w:rPr>
        <w:t>Pravidla veřejné podpory tak, jak jsou nastavená legislativou EU, v praxi nevytvářejí dostatečně atraktivní motiva</w:t>
      </w:r>
      <w:r w:rsidR="00094EB5">
        <w:rPr>
          <w:rFonts w:ascii="Calibri" w:hAnsi="Calibri" w:cs="Calibri"/>
        </w:rPr>
        <w:t>ci</w:t>
      </w:r>
      <w:r>
        <w:rPr>
          <w:rFonts w:ascii="Calibri" w:hAnsi="Calibri" w:cs="Calibri"/>
        </w:rPr>
        <w:t xml:space="preserve"> pro potencionální žadatele.</w:t>
      </w:r>
      <w:r w:rsidR="00C77AFC">
        <w:rPr>
          <w:rFonts w:ascii="Calibri" w:hAnsi="Calibri" w:cs="Calibri"/>
        </w:rPr>
        <w:t xml:space="preserve"> S tím souvisí i problém, že u některých podporovaných typových aktivit se nedaří dostatečně účinně aplikovat tzv. blokové výjimky. Notifikační procesy jsou zdlouhavé a způsobují další zpožďování implementace PP. </w:t>
      </w:r>
    </w:p>
    <w:bookmarkEnd w:id="264"/>
    <w:p w14:paraId="6D660C3A" w14:textId="77777777" w:rsidR="00C77AFC" w:rsidRDefault="00C77AFC" w:rsidP="007A6A45">
      <w:pPr>
        <w:spacing w:after="0"/>
        <w:rPr>
          <w:rFonts w:ascii="Calibri" w:hAnsi="Calibri" w:cs="Calibri"/>
        </w:rPr>
      </w:pPr>
    </w:p>
    <w:p w14:paraId="22571F20" w14:textId="50ED196E" w:rsidR="007A6A45" w:rsidRDefault="00C77AFC" w:rsidP="007A6A45">
      <w:pPr>
        <w:spacing w:after="0"/>
        <w:rPr>
          <w:rFonts w:ascii="Calibri" w:hAnsi="Calibri" w:cs="Calibri"/>
        </w:rPr>
      </w:pPr>
      <w:r>
        <w:rPr>
          <w:rFonts w:ascii="Calibri" w:hAnsi="Calibri" w:cs="Calibri"/>
        </w:rPr>
        <w:t xml:space="preserve">V případě OZE představuje </w:t>
      </w:r>
      <w:r w:rsidR="0005349C">
        <w:rPr>
          <w:rFonts w:ascii="Calibri" w:hAnsi="Calibri" w:cs="Calibri"/>
        </w:rPr>
        <w:t xml:space="preserve">omezující podmínku </w:t>
      </w:r>
      <w:r w:rsidR="007A6A45">
        <w:rPr>
          <w:rFonts w:ascii="Calibri" w:hAnsi="Calibri" w:cs="Calibri"/>
        </w:rPr>
        <w:t>zákaz kombinace investiční a pro</w:t>
      </w:r>
      <w:r>
        <w:rPr>
          <w:rFonts w:ascii="Calibri" w:hAnsi="Calibri" w:cs="Calibri"/>
        </w:rPr>
        <w:t>vo</w:t>
      </w:r>
      <w:r w:rsidR="007A6A45">
        <w:rPr>
          <w:rFonts w:ascii="Calibri" w:hAnsi="Calibri" w:cs="Calibri"/>
        </w:rPr>
        <w:t>zní podpory</w:t>
      </w:r>
      <w:r>
        <w:rPr>
          <w:rFonts w:ascii="Calibri" w:hAnsi="Calibri" w:cs="Calibri"/>
        </w:rPr>
        <w:t xml:space="preserve">. </w:t>
      </w:r>
      <w:r w:rsidR="0005349C">
        <w:rPr>
          <w:rFonts w:ascii="Calibri" w:hAnsi="Calibri" w:cs="Calibri"/>
        </w:rPr>
        <w:t xml:space="preserve">Do této kategorie faktorů ovlivňujících plnění výsledků (zejména SC 3.2) </w:t>
      </w:r>
      <w:bookmarkStart w:id="265" w:name="_Hlk10651088"/>
      <w:r w:rsidR="0005349C">
        <w:rPr>
          <w:rFonts w:ascii="Calibri" w:hAnsi="Calibri" w:cs="Calibri"/>
        </w:rPr>
        <w:t>patří také další podmínky zakotvené přímo v programovém dokumentu OP PIK, které např. vylučují z podpory zdroje nad 20 MW.</w:t>
      </w:r>
      <w:bookmarkEnd w:id="265"/>
    </w:p>
    <w:p w14:paraId="75701002" w14:textId="77777777" w:rsidR="007A6A45" w:rsidRDefault="007A6A45" w:rsidP="007A6A45">
      <w:pPr>
        <w:spacing w:after="0"/>
        <w:rPr>
          <w:rFonts w:ascii="Calibri" w:hAnsi="Calibri" w:cs="Calibri"/>
        </w:rPr>
      </w:pPr>
    </w:p>
    <w:p w14:paraId="704B9FF4" w14:textId="274CD816" w:rsidR="00CE74DA" w:rsidRDefault="00C77AFC" w:rsidP="007A6A45">
      <w:pPr>
        <w:spacing w:after="0"/>
        <w:rPr>
          <w:rFonts w:ascii="Calibri" w:hAnsi="Calibri" w:cs="Calibri"/>
        </w:rPr>
      </w:pPr>
      <w:r>
        <w:rPr>
          <w:rFonts w:ascii="Calibri" w:hAnsi="Calibri" w:cs="Calibri"/>
        </w:rPr>
        <w:t xml:space="preserve">Co se týká investic do </w:t>
      </w:r>
      <w:r w:rsidRPr="00497399">
        <w:rPr>
          <w:rFonts w:ascii="Calibri" w:hAnsi="Calibri" w:cs="Calibri"/>
        </w:rPr>
        <w:t>energeticky úsporných opatření</w:t>
      </w:r>
      <w:r>
        <w:rPr>
          <w:rFonts w:ascii="Calibri" w:hAnsi="Calibri" w:cs="Calibri"/>
        </w:rPr>
        <w:t>, v</w:t>
      </w:r>
      <w:r w:rsidR="00DB0BA9" w:rsidRPr="00497399">
        <w:rPr>
          <w:rFonts w:ascii="Calibri" w:hAnsi="Calibri" w:cs="Calibri"/>
        </w:rPr>
        <w:t> kontextu příznivého hospodářského vývoje v ČR i cen energií v posledních letech</w:t>
      </w:r>
      <w:r>
        <w:rPr>
          <w:rFonts w:ascii="Calibri" w:hAnsi="Calibri" w:cs="Calibri"/>
        </w:rPr>
        <w:t xml:space="preserve"> obecně</w:t>
      </w:r>
      <w:r w:rsidR="00DB0BA9" w:rsidRPr="00497399">
        <w:rPr>
          <w:rFonts w:ascii="Calibri" w:hAnsi="Calibri" w:cs="Calibri"/>
        </w:rPr>
        <w:t xml:space="preserve"> klesá motivace podnikatelských subjektů investovat do</w:t>
      </w:r>
      <w:r>
        <w:rPr>
          <w:rFonts w:ascii="Calibri" w:hAnsi="Calibri" w:cs="Calibri"/>
        </w:rPr>
        <w:t xml:space="preserve"> </w:t>
      </w:r>
      <w:r>
        <w:rPr>
          <w:rFonts w:ascii="Calibri" w:hAnsi="Calibri" w:cs="Calibri"/>
        </w:rPr>
        <w:lastRenderedPageBreak/>
        <w:t>těchto aktivit</w:t>
      </w:r>
      <w:r w:rsidR="00DB0BA9" w:rsidRPr="00497399">
        <w:rPr>
          <w:rFonts w:ascii="Calibri" w:hAnsi="Calibri" w:cs="Calibri"/>
        </w:rPr>
        <w:t xml:space="preserve">. </w:t>
      </w:r>
      <w:r w:rsidR="008E350E">
        <w:rPr>
          <w:rFonts w:ascii="Calibri" w:hAnsi="Calibri" w:cs="Calibri"/>
        </w:rPr>
        <w:t xml:space="preserve">Roste tlak na </w:t>
      </w:r>
      <w:r w:rsidR="00DB0BA9" w:rsidRPr="00497399">
        <w:rPr>
          <w:rFonts w:ascii="Calibri" w:hAnsi="Calibri" w:cs="Calibri"/>
        </w:rPr>
        <w:t>rentabilitu investic</w:t>
      </w:r>
      <w:r>
        <w:rPr>
          <w:rFonts w:ascii="Calibri" w:hAnsi="Calibri" w:cs="Calibri"/>
        </w:rPr>
        <w:t>,</w:t>
      </w:r>
      <w:r w:rsidR="00DB0BA9" w:rsidRPr="00497399">
        <w:rPr>
          <w:rFonts w:ascii="Calibri" w:hAnsi="Calibri" w:cs="Calibri"/>
        </w:rPr>
        <w:t xml:space="preserve"> a stanovené podmínky podpory z pohledu doby návratnosti (konkrétně PP ÚE) jsou tak pro řadu potencionální žadate</w:t>
      </w:r>
      <w:r w:rsidR="00251645">
        <w:rPr>
          <w:rFonts w:ascii="Calibri" w:hAnsi="Calibri" w:cs="Calibri"/>
        </w:rPr>
        <w:t>lů nezajímavé.</w:t>
      </w:r>
      <w:r w:rsidR="00314FAC">
        <w:rPr>
          <w:rFonts w:ascii="Calibri" w:hAnsi="Calibri" w:cs="Calibri"/>
        </w:rPr>
        <w:t xml:space="preserve"> </w:t>
      </w:r>
    </w:p>
    <w:p w14:paraId="18EDA67A" w14:textId="4ADB6CC2" w:rsidR="00C77AFC" w:rsidRDefault="00C77AFC" w:rsidP="007A6A45">
      <w:pPr>
        <w:spacing w:after="0"/>
        <w:rPr>
          <w:rFonts w:ascii="Calibri" w:hAnsi="Calibri" w:cs="Calibri"/>
        </w:rPr>
      </w:pPr>
    </w:p>
    <w:p w14:paraId="41D3FC4C" w14:textId="6CD6BDC0" w:rsidR="0005349C" w:rsidRDefault="00314FAC" w:rsidP="007A6A45">
      <w:pPr>
        <w:spacing w:after="0"/>
        <w:rPr>
          <w:rFonts w:ascii="Calibri" w:hAnsi="Calibri" w:cs="Calibri"/>
        </w:rPr>
      </w:pPr>
      <w:r>
        <w:rPr>
          <w:rFonts w:ascii="Calibri" w:hAnsi="Calibri" w:cs="Calibri"/>
        </w:rPr>
        <w:t>Rovněž v případě PP NUT j</w:t>
      </w:r>
      <w:r w:rsidR="0005349C">
        <w:rPr>
          <w:rFonts w:ascii="Calibri" w:hAnsi="Calibri" w:cs="Calibri"/>
        </w:rPr>
        <w:t xml:space="preserve">e realizace podporovaných aktivit omezována </w:t>
      </w:r>
      <w:r>
        <w:rPr>
          <w:rFonts w:ascii="Calibri" w:hAnsi="Calibri" w:cs="Calibri"/>
        </w:rPr>
        <w:t>pravidl</w:t>
      </w:r>
      <w:r w:rsidR="0005349C">
        <w:rPr>
          <w:rFonts w:ascii="Calibri" w:hAnsi="Calibri" w:cs="Calibri"/>
        </w:rPr>
        <w:t>y</w:t>
      </w:r>
      <w:r>
        <w:rPr>
          <w:rFonts w:ascii="Calibri" w:hAnsi="Calibri" w:cs="Calibri"/>
        </w:rPr>
        <w:t xml:space="preserve"> veřejné podpory</w:t>
      </w:r>
      <w:r w:rsidR="00C77AFC">
        <w:rPr>
          <w:rFonts w:ascii="Calibri" w:hAnsi="Calibri" w:cs="Calibri"/>
        </w:rPr>
        <w:t>.</w:t>
      </w:r>
      <w:r w:rsidR="0005349C">
        <w:rPr>
          <w:rFonts w:ascii="Calibri" w:hAnsi="Calibri" w:cs="Calibri"/>
        </w:rPr>
        <w:t xml:space="preserve"> Týká se to např. tématu inteligentních budov, pro který nebyl identifikován vhodný režim blokové výjimky. </w:t>
      </w:r>
      <w:r w:rsidR="00F02625">
        <w:rPr>
          <w:rFonts w:ascii="Calibri" w:hAnsi="Calibri" w:cs="Calibri"/>
        </w:rPr>
        <w:t xml:space="preserve">Z obdobných důvodů nebylo také možné poskytovat </w:t>
      </w:r>
      <w:r w:rsidR="0005349C">
        <w:rPr>
          <w:rFonts w:ascii="Calibri" w:hAnsi="Calibri" w:cs="Calibri"/>
        </w:rPr>
        <w:t>podpor</w:t>
      </w:r>
      <w:r w:rsidR="00F02625">
        <w:rPr>
          <w:rFonts w:ascii="Calibri" w:hAnsi="Calibri" w:cs="Calibri"/>
        </w:rPr>
        <w:t xml:space="preserve">u na </w:t>
      </w:r>
      <w:r w:rsidR="0005349C">
        <w:rPr>
          <w:rFonts w:ascii="Calibri" w:hAnsi="Calibri" w:cs="Calibri"/>
        </w:rPr>
        <w:t>velk</w:t>
      </w:r>
      <w:r w:rsidR="00F02625">
        <w:rPr>
          <w:rFonts w:ascii="Calibri" w:hAnsi="Calibri" w:cs="Calibri"/>
        </w:rPr>
        <w:t>é</w:t>
      </w:r>
      <w:r w:rsidR="0005349C">
        <w:rPr>
          <w:rFonts w:ascii="Calibri" w:hAnsi="Calibri" w:cs="Calibri"/>
        </w:rPr>
        <w:t xml:space="preserve"> bateriov</w:t>
      </w:r>
      <w:r w:rsidR="00F02625">
        <w:rPr>
          <w:rFonts w:ascii="Calibri" w:hAnsi="Calibri" w:cs="Calibri"/>
        </w:rPr>
        <w:t>é</w:t>
      </w:r>
      <w:r w:rsidR="0005349C">
        <w:rPr>
          <w:rFonts w:ascii="Calibri" w:hAnsi="Calibri" w:cs="Calibri"/>
        </w:rPr>
        <w:t xml:space="preserve"> systém</w:t>
      </w:r>
      <w:r w:rsidR="00F02625">
        <w:rPr>
          <w:rFonts w:ascii="Calibri" w:hAnsi="Calibri" w:cs="Calibri"/>
        </w:rPr>
        <w:t xml:space="preserve">y </w:t>
      </w:r>
      <w:r w:rsidR="0005349C">
        <w:rPr>
          <w:rFonts w:ascii="Calibri" w:hAnsi="Calibri" w:cs="Calibri"/>
        </w:rPr>
        <w:t>pro akumulaci energie</w:t>
      </w:r>
      <w:r w:rsidR="008E350E">
        <w:rPr>
          <w:rFonts w:ascii="Calibri" w:hAnsi="Calibri" w:cs="Calibri"/>
        </w:rPr>
        <w:t>. Rovněž v oblasti t</w:t>
      </w:r>
      <w:r w:rsidR="008E350E">
        <w:t>echnologií na úpravu bioplynu na biometan, kdy je podpora poskytována tzv. rozdílovou metodou, není zřejmě zajištěn dostatečný motivační účinek pro</w:t>
      </w:r>
      <w:r w:rsidR="008E350E">
        <w:rPr>
          <w:rFonts w:ascii="Calibri" w:hAnsi="Calibri" w:cs="Calibri"/>
        </w:rPr>
        <w:t xml:space="preserve"> </w:t>
      </w:r>
      <w:r w:rsidR="00AD4761">
        <w:rPr>
          <w:rFonts w:ascii="Calibri" w:hAnsi="Calibri" w:cs="Calibri"/>
        </w:rPr>
        <w:t>cílové skupiny. To naznačuje zatím mizivý zájem ze strany žadatelů ve dvou dosud vyhlášených výzvách.</w:t>
      </w:r>
    </w:p>
    <w:p w14:paraId="5EE82C83" w14:textId="334D9182" w:rsidR="00C77AFC" w:rsidRDefault="0005349C" w:rsidP="007A6A45">
      <w:pPr>
        <w:spacing w:after="0"/>
        <w:rPr>
          <w:rFonts w:ascii="Calibri" w:hAnsi="Calibri" w:cs="Calibri"/>
        </w:rPr>
      </w:pPr>
      <w:r>
        <w:rPr>
          <w:rFonts w:ascii="Calibri" w:hAnsi="Calibri" w:cs="Calibri"/>
        </w:rPr>
        <w:t xml:space="preserve"> </w:t>
      </w:r>
    </w:p>
    <w:p w14:paraId="103E241E" w14:textId="786825FB" w:rsidR="00C77AFC" w:rsidRDefault="00C77AFC" w:rsidP="00C77AFC">
      <w:pPr>
        <w:pStyle w:val="Nadpis1"/>
        <w:numPr>
          <w:ilvl w:val="0"/>
          <w:numId w:val="0"/>
        </w:numPr>
        <w:spacing w:after="0"/>
        <w:ind w:left="432" w:hanging="432"/>
        <w:sectPr w:rsidR="00C77AFC" w:rsidSect="00664EBC">
          <w:headerReference w:type="default" r:id="rId35"/>
          <w:footerReference w:type="default" r:id="rId36"/>
          <w:headerReference w:type="first" r:id="rId37"/>
          <w:pgSz w:w="11906" w:h="16838"/>
          <w:pgMar w:top="1701" w:right="1276" w:bottom="1559" w:left="1304" w:header="709" w:footer="709" w:gutter="0"/>
          <w:cols w:space="708"/>
          <w:docGrid w:linePitch="360"/>
        </w:sectPr>
      </w:pPr>
    </w:p>
    <w:p w14:paraId="3AFC5210" w14:textId="77777777" w:rsidR="00D3770C" w:rsidRDefault="00D3770C" w:rsidP="00D3770C">
      <w:pPr>
        <w:pStyle w:val="Nadpis1"/>
        <w:ind w:left="431" w:hanging="431"/>
      </w:pPr>
      <w:bookmarkStart w:id="266" w:name="_Toc4596880"/>
      <w:bookmarkStart w:id="267" w:name="_Toc10730013"/>
      <w:r>
        <w:lastRenderedPageBreak/>
        <w:t xml:space="preserve">Souhrn </w:t>
      </w:r>
      <w:r w:rsidR="002C62DC">
        <w:t xml:space="preserve">hlavních </w:t>
      </w:r>
      <w:r>
        <w:t>závěrů a doporučení</w:t>
      </w:r>
      <w:bookmarkEnd w:id="266"/>
      <w:bookmarkEnd w:id="267"/>
    </w:p>
    <w:tbl>
      <w:tblPr>
        <w:tblStyle w:val="Prosttabulka111"/>
        <w:tblW w:w="13745" w:type="dxa"/>
        <w:tblLook w:val="04A0" w:firstRow="1" w:lastRow="0" w:firstColumn="1" w:lastColumn="0" w:noHBand="0" w:noVBand="1"/>
      </w:tblPr>
      <w:tblGrid>
        <w:gridCol w:w="6374"/>
        <w:gridCol w:w="7371"/>
      </w:tblGrid>
      <w:tr w:rsidR="00A75E34" w:rsidRPr="00B94E23" w14:paraId="201E7611" w14:textId="77777777" w:rsidTr="007061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4" w:type="dxa"/>
            <w:shd w:val="clear" w:color="auto" w:fill="002060"/>
          </w:tcPr>
          <w:p w14:paraId="549B7923" w14:textId="77777777" w:rsidR="00A75E34" w:rsidRPr="00B94E23" w:rsidRDefault="00A75E34" w:rsidP="0070612A">
            <w:pPr>
              <w:rPr>
                <w:rFonts w:eastAsia="Calibri" w:cstheme="minorHAnsi"/>
                <w:sz w:val="20"/>
                <w:szCs w:val="20"/>
              </w:rPr>
            </w:pPr>
            <w:r w:rsidRPr="00B94E23">
              <w:rPr>
                <w:rFonts w:eastAsia="Calibri" w:cstheme="minorHAnsi"/>
                <w:sz w:val="20"/>
                <w:szCs w:val="20"/>
              </w:rPr>
              <w:t>Hlavní závěry</w:t>
            </w:r>
          </w:p>
        </w:tc>
        <w:tc>
          <w:tcPr>
            <w:tcW w:w="7371" w:type="dxa"/>
            <w:shd w:val="clear" w:color="auto" w:fill="002060"/>
          </w:tcPr>
          <w:p w14:paraId="6B831DE3" w14:textId="77777777" w:rsidR="00A75E34" w:rsidRPr="00B94E23" w:rsidRDefault="00A75E34" w:rsidP="0070612A">
            <w:pPr>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Doporučení</w:t>
            </w:r>
          </w:p>
        </w:tc>
      </w:tr>
      <w:tr w:rsidR="00A75E34" w:rsidRPr="00B94E23" w14:paraId="0E7DE812"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BA43388" w14:textId="77777777" w:rsidR="00A75E34" w:rsidRPr="00B94E23" w:rsidRDefault="00A75E34" w:rsidP="0070612A">
            <w:pPr>
              <w:rPr>
                <w:rFonts w:eastAsia="Calibri" w:cstheme="minorHAnsi"/>
                <w:sz w:val="20"/>
                <w:szCs w:val="20"/>
              </w:rPr>
            </w:pPr>
            <w:r w:rsidRPr="00B94E23">
              <w:rPr>
                <w:rFonts w:eastAsia="Calibri" w:cstheme="minorHAnsi"/>
                <w:sz w:val="20"/>
                <w:szCs w:val="20"/>
              </w:rPr>
              <w:t>EO1 (OZE): Jak přispěly intervence realizované v rámci programu podpory Obnovitelné zdroje energie k dosahování SC 3.1 OP PIK?</w:t>
            </w:r>
          </w:p>
        </w:tc>
        <w:tc>
          <w:tcPr>
            <w:tcW w:w="7371" w:type="dxa"/>
          </w:tcPr>
          <w:p w14:paraId="7559BB93"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13B77212"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0F3CC326" w14:textId="77777777" w:rsidR="00A75E34" w:rsidRPr="00B94E23" w:rsidRDefault="00A75E34" w:rsidP="0070612A">
            <w:pPr>
              <w:rPr>
                <w:rFonts w:cstheme="minorHAnsi"/>
                <w:b w:val="0"/>
                <w:sz w:val="20"/>
                <w:szCs w:val="20"/>
              </w:rPr>
            </w:pPr>
            <w:r w:rsidRPr="00B94E23">
              <w:rPr>
                <w:rFonts w:cstheme="minorHAnsi"/>
                <w:b w:val="0"/>
                <w:sz w:val="20"/>
                <w:szCs w:val="20"/>
              </w:rPr>
              <w:t xml:space="preserve">Vyhodnocení této evaluační otázky je významně omezeno několika faktory: příliš malým časovým odstupem od zahájení implementace programu, v důsledku něhož se plně nemohl projevit efekt podpory, a prozatím velmi malým počtem ukončených projektů. </w:t>
            </w:r>
          </w:p>
          <w:p w14:paraId="29173CA8" w14:textId="77777777" w:rsidR="00A75E34" w:rsidRPr="00B94E23" w:rsidRDefault="00A75E34" w:rsidP="0070612A">
            <w:pPr>
              <w:rPr>
                <w:rFonts w:cstheme="minorHAnsi"/>
                <w:b w:val="0"/>
                <w:sz w:val="20"/>
                <w:szCs w:val="20"/>
              </w:rPr>
            </w:pPr>
            <w:r w:rsidRPr="00B94E23">
              <w:rPr>
                <w:rFonts w:cstheme="minorHAnsi"/>
                <w:b w:val="0"/>
                <w:sz w:val="20"/>
                <w:szCs w:val="20"/>
              </w:rPr>
              <w:t xml:space="preserve">Na základě poskytnutých dat a informací lze však konstatovat, že realizované intervence v rámci SC 3.1 přispívají k dosahování SC 3.1, byť je tento příspěvek relativně malý. </w:t>
            </w:r>
          </w:p>
          <w:p w14:paraId="7B7EC72E" w14:textId="77777777" w:rsidR="00A75E34" w:rsidRPr="00B94E23" w:rsidRDefault="00A75E34" w:rsidP="0070612A">
            <w:pPr>
              <w:rPr>
                <w:rFonts w:cstheme="minorHAnsi"/>
                <w:b w:val="0"/>
                <w:sz w:val="20"/>
                <w:szCs w:val="20"/>
              </w:rPr>
            </w:pPr>
            <w:r w:rsidRPr="00B94E23">
              <w:rPr>
                <w:rFonts w:cstheme="minorHAnsi"/>
                <w:b w:val="0"/>
                <w:sz w:val="20"/>
                <w:szCs w:val="20"/>
              </w:rPr>
              <w:t>To platí především z hlediska podílu na celkovém instalovaném výkonu z OZE. V důsledku realizace projektů jsou sice instalovány nové výkony OZE, jejich dopad na celkový výkon však nedosahuje ani řádu promile. Hodnocení vlivu podpořených projektů na podíl OZE na hrubé konečné spotřebě nelze kvantifikovat z důvodu chybějících dat.</w:t>
            </w:r>
          </w:p>
          <w:p w14:paraId="49AC1ADC" w14:textId="77777777" w:rsidR="00A75E34" w:rsidRPr="00B94E23" w:rsidRDefault="00A75E34" w:rsidP="0070612A">
            <w:pPr>
              <w:rPr>
                <w:rFonts w:cstheme="minorHAnsi"/>
                <w:sz w:val="20"/>
                <w:szCs w:val="20"/>
              </w:rPr>
            </w:pPr>
            <w:r w:rsidRPr="00B94E23">
              <w:rPr>
                <w:rFonts w:cstheme="minorHAnsi"/>
                <w:b w:val="0"/>
                <w:sz w:val="20"/>
                <w:szCs w:val="20"/>
              </w:rPr>
              <w:t>Naopak lze konstatovat, že PP OZE podporuje OZE s nejvyšší účinností. Využívaným nástrojem jsou bodová hodnotící kritéria účinnosti, které jsou součástí věcného hodnocení žádostí o dotaci a významně ovlivňují celkový počet, který žadatel z věcného hodnocení obdrží.</w:t>
            </w:r>
          </w:p>
        </w:tc>
        <w:tc>
          <w:tcPr>
            <w:tcW w:w="7371" w:type="dxa"/>
          </w:tcPr>
          <w:p w14:paraId="6A8F3A2B" w14:textId="28A531F0"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 xml:space="preserve">2014-2020: Znovu kvantitativně analyzovat efekty podpory ve smyslu naplňování </w:t>
            </w:r>
            <w:r w:rsidR="001970DD">
              <w:rPr>
                <w:rFonts w:cstheme="minorHAnsi"/>
                <w:sz w:val="20"/>
                <w:szCs w:val="20"/>
              </w:rPr>
              <w:t>SC 3.1</w:t>
            </w:r>
            <w:r w:rsidRPr="00B94E23">
              <w:rPr>
                <w:rFonts w:cstheme="minorHAnsi"/>
                <w:sz w:val="20"/>
                <w:szCs w:val="20"/>
              </w:rPr>
              <w:t xml:space="preserve"> s delším časovým odstupem od ukončení hodnocených projektů.</w:t>
            </w:r>
          </w:p>
        </w:tc>
      </w:tr>
      <w:tr w:rsidR="00A75E34" w:rsidRPr="00B94E23" w14:paraId="150266AB"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F9FC5F9" w14:textId="77777777" w:rsidR="00A75E34" w:rsidRPr="00B94E23" w:rsidRDefault="00A75E34" w:rsidP="0070612A">
            <w:pPr>
              <w:rPr>
                <w:rFonts w:eastAsia="Calibri" w:cstheme="minorHAnsi"/>
                <w:sz w:val="20"/>
                <w:szCs w:val="20"/>
              </w:rPr>
            </w:pPr>
          </w:p>
        </w:tc>
        <w:tc>
          <w:tcPr>
            <w:tcW w:w="7371" w:type="dxa"/>
          </w:tcPr>
          <w:p w14:paraId="2F7ACC75" w14:textId="64797B8F"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 xml:space="preserve">2021-2027: </w:t>
            </w:r>
            <w:r w:rsidR="00DC69BD">
              <w:rPr>
                <w:rFonts w:cstheme="minorHAnsi"/>
                <w:sz w:val="20"/>
                <w:szCs w:val="20"/>
              </w:rPr>
              <w:t>Z</w:t>
            </w:r>
            <w:r w:rsidRPr="00B94E23">
              <w:rPr>
                <w:rFonts w:cstheme="minorHAnsi"/>
                <w:sz w:val="20"/>
                <w:szCs w:val="20"/>
              </w:rPr>
              <w:t>achovat a dále rozvíjet nástroje podpory OZE tak, aby byla zajištěna komplexnost a dlouhodobost těchto aktivit.</w:t>
            </w:r>
          </w:p>
        </w:tc>
      </w:tr>
      <w:tr w:rsidR="00A75E34" w:rsidRPr="00B94E23" w14:paraId="6243733E"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18297083" w14:textId="77777777" w:rsidR="00A75E34" w:rsidRPr="00B94E23" w:rsidRDefault="00A75E34" w:rsidP="0070612A">
            <w:pPr>
              <w:rPr>
                <w:rFonts w:eastAsia="Calibri" w:cstheme="minorHAnsi"/>
                <w:sz w:val="20"/>
                <w:szCs w:val="20"/>
              </w:rPr>
            </w:pPr>
            <w:r w:rsidRPr="00B94E23">
              <w:rPr>
                <w:rFonts w:eastAsia="Calibri" w:cstheme="minorHAnsi"/>
                <w:sz w:val="20"/>
                <w:szCs w:val="20"/>
              </w:rPr>
              <w:t>EO2 (OZE): Jsou podporovány jen projekty bez negativního vlivu na elektrizační soustavu?</w:t>
            </w:r>
          </w:p>
        </w:tc>
        <w:tc>
          <w:tcPr>
            <w:tcW w:w="7371" w:type="dxa"/>
          </w:tcPr>
          <w:p w14:paraId="08CE0286"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A75E34" w:rsidRPr="00B94E23" w14:paraId="64C11731"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0A903F0" w14:textId="77777777" w:rsidR="00A75E34" w:rsidRPr="00B94E23" w:rsidRDefault="00A75E34" w:rsidP="0070612A">
            <w:pPr>
              <w:rPr>
                <w:rFonts w:cstheme="minorHAnsi"/>
                <w:b w:val="0"/>
                <w:sz w:val="20"/>
                <w:szCs w:val="20"/>
              </w:rPr>
            </w:pPr>
            <w:r w:rsidRPr="00B94E23">
              <w:rPr>
                <w:rFonts w:cstheme="minorHAnsi"/>
                <w:b w:val="0"/>
                <w:sz w:val="20"/>
                <w:szCs w:val="20"/>
              </w:rPr>
              <w:t xml:space="preserve">Program podpory OZE je nastaven tak, že neumožňuje získání podpory projektům, které by mohly mít negativní vliv na elektrizační soustavu. </w:t>
            </w:r>
          </w:p>
          <w:p w14:paraId="15D3AE09" w14:textId="77777777" w:rsidR="00A75E34" w:rsidRPr="00B94E23" w:rsidRDefault="00A75E34" w:rsidP="0070612A">
            <w:pPr>
              <w:rPr>
                <w:rFonts w:cstheme="minorHAnsi"/>
                <w:b w:val="0"/>
                <w:sz w:val="20"/>
                <w:szCs w:val="20"/>
              </w:rPr>
            </w:pPr>
            <w:r w:rsidRPr="00B94E23">
              <w:rPr>
                <w:rFonts w:cstheme="minorHAnsi"/>
                <w:b w:val="0"/>
                <w:sz w:val="20"/>
                <w:szCs w:val="20"/>
              </w:rPr>
              <w:t>Podporovány jsou OZE, které ze své podstaty nemají negativní dopad na el. soustavu, navíc jsou podporovány nové a rekonstruované OZE o výkonu do 10 MW (rekonstrukce a výstavby).</w:t>
            </w:r>
          </w:p>
          <w:p w14:paraId="4125B186" w14:textId="77777777" w:rsidR="00A75E34" w:rsidRPr="00B94E23" w:rsidRDefault="00A75E34" w:rsidP="0070612A">
            <w:pPr>
              <w:rPr>
                <w:rFonts w:eastAsia="Calibri" w:cstheme="minorHAnsi"/>
                <w:b w:val="0"/>
                <w:sz w:val="20"/>
                <w:szCs w:val="20"/>
              </w:rPr>
            </w:pPr>
            <w:r w:rsidRPr="00B94E23">
              <w:rPr>
                <w:rFonts w:cstheme="minorHAnsi"/>
                <w:b w:val="0"/>
                <w:sz w:val="20"/>
                <w:szCs w:val="20"/>
              </w:rPr>
              <w:t>U realizovaných projektů nebyly zaznamenány žádné negativní vlivy na elektrizační soustavu.</w:t>
            </w:r>
          </w:p>
        </w:tc>
        <w:tc>
          <w:tcPr>
            <w:tcW w:w="7371" w:type="dxa"/>
          </w:tcPr>
          <w:p w14:paraId="5E18494E"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2014-2020: Rozšířit podporované aktivity PP OZE tak, jak je navrhováno v připravované V. výzvě PP OZE a docílit maximálního příspěvku k navyšování podílu OZE na hrubé konečné spotřebě ČR při nulovém dopadu na elektrizační soustavu.</w:t>
            </w:r>
          </w:p>
        </w:tc>
      </w:tr>
      <w:tr w:rsidR="00A75E34" w:rsidRPr="00B94E23" w14:paraId="20CA352D"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5EA3952E" w14:textId="77777777" w:rsidR="00A75E34" w:rsidRPr="00B94E23" w:rsidRDefault="00A75E34" w:rsidP="0070612A">
            <w:pPr>
              <w:rPr>
                <w:rFonts w:eastAsia="Calibri" w:cstheme="minorHAnsi"/>
                <w:sz w:val="20"/>
                <w:szCs w:val="20"/>
              </w:rPr>
            </w:pPr>
          </w:p>
        </w:tc>
        <w:tc>
          <w:tcPr>
            <w:tcW w:w="7371" w:type="dxa"/>
          </w:tcPr>
          <w:p w14:paraId="449EF282" w14:textId="66AF85AA"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 xml:space="preserve">2021-2027: </w:t>
            </w:r>
            <w:r w:rsidR="008F0EDF" w:rsidRPr="008F0EDF">
              <w:rPr>
                <w:rFonts w:cstheme="minorHAnsi"/>
                <w:sz w:val="20"/>
                <w:szCs w:val="20"/>
              </w:rPr>
              <w:t xml:space="preserve">Rozšířit podporované aktivity tak, aby mohlo docházet k intenzivnějšímu plnění závazků ČR vůči EU v oblasti OZE (větrné elektrárny, tepelná čerpadla a solárně termické systémy, využití geotermální energie).  V návaznosti na zvyšující se kvalitu a </w:t>
            </w:r>
            <w:r w:rsidR="008F0EDF" w:rsidRPr="008F0EDF">
              <w:rPr>
                <w:rFonts w:cstheme="minorHAnsi"/>
                <w:sz w:val="20"/>
                <w:szCs w:val="20"/>
              </w:rPr>
              <w:lastRenderedPageBreak/>
              <w:t>prostupnost elektrizační soustavy snižovat omezení podporovaných aktivit např. z hlediska výkonu podpořeného OZE</w:t>
            </w:r>
            <w:r w:rsidRPr="00B94E23">
              <w:rPr>
                <w:rFonts w:cstheme="minorHAnsi"/>
                <w:sz w:val="20"/>
                <w:szCs w:val="20"/>
              </w:rPr>
              <w:t>.</w:t>
            </w:r>
          </w:p>
        </w:tc>
      </w:tr>
      <w:tr w:rsidR="000A2D8D" w:rsidRPr="00B94E23" w14:paraId="76773B7D"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A0657F1" w14:textId="77777777" w:rsidR="000A2D8D" w:rsidRPr="00B94E23" w:rsidRDefault="000A2D8D" w:rsidP="0070612A">
            <w:pPr>
              <w:rPr>
                <w:rFonts w:eastAsia="Calibri" w:cstheme="minorHAnsi"/>
                <w:sz w:val="20"/>
                <w:szCs w:val="20"/>
              </w:rPr>
            </w:pPr>
          </w:p>
        </w:tc>
        <w:tc>
          <w:tcPr>
            <w:tcW w:w="7371" w:type="dxa"/>
          </w:tcPr>
          <w:p w14:paraId="7068905D" w14:textId="29FDE618" w:rsidR="000A2D8D" w:rsidRPr="00B94E23" w:rsidRDefault="000A2D8D"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Pr>
                <w:rFonts w:eastAsia="Calibri" w:cstheme="minorHAnsi"/>
                <w:sz w:val="20"/>
                <w:szCs w:val="20"/>
              </w:rPr>
              <w:t xml:space="preserve">2021-2027: </w:t>
            </w:r>
            <w:r w:rsidRPr="000A2D8D">
              <w:rPr>
                <w:rFonts w:eastAsia="Calibri" w:cstheme="minorHAnsi"/>
                <w:sz w:val="20"/>
                <w:szCs w:val="20"/>
              </w:rPr>
              <w:t>Nastavit omezení pro podporu OZE s potencionálně negativním vlivem na elektrizační soustavu, a to např. z hlediska maximálního výkonu těchto zařízení (týká se zejména využití větrné energie, ale i solární).</w:t>
            </w:r>
          </w:p>
        </w:tc>
      </w:tr>
      <w:tr w:rsidR="00A75E34" w:rsidRPr="00B94E23" w14:paraId="0BF2EC85"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0866D1EC" w14:textId="77777777" w:rsidR="00A75E34" w:rsidRPr="00B94E23" w:rsidRDefault="00A75E34" w:rsidP="0070612A">
            <w:pPr>
              <w:rPr>
                <w:rFonts w:eastAsia="Calibri" w:cstheme="minorHAnsi"/>
                <w:sz w:val="20"/>
                <w:szCs w:val="20"/>
              </w:rPr>
            </w:pPr>
            <w:r w:rsidRPr="00B94E23">
              <w:rPr>
                <w:rFonts w:eastAsia="Calibri" w:cstheme="minorHAnsi"/>
                <w:sz w:val="20"/>
                <w:szCs w:val="20"/>
              </w:rPr>
              <w:t xml:space="preserve">EO3 (OZE): Dochází vlivem podpořených projektů ke: </w:t>
            </w:r>
          </w:p>
          <w:p w14:paraId="6B9004A7" w14:textId="77777777" w:rsidR="00A75E34" w:rsidRPr="00B94E23" w:rsidRDefault="00A75E34" w:rsidP="0070612A">
            <w:pPr>
              <w:rPr>
                <w:rFonts w:eastAsia="Calibri" w:cstheme="minorHAnsi"/>
                <w:sz w:val="20"/>
                <w:szCs w:val="20"/>
              </w:rPr>
            </w:pPr>
            <w:r w:rsidRPr="00B94E23">
              <w:rPr>
                <w:rFonts w:eastAsia="Calibri" w:cstheme="minorHAnsi"/>
                <w:sz w:val="20"/>
                <w:szCs w:val="20"/>
              </w:rPr>
              <w:t xml:space="preserve">a) snížení dovozní závislosti na palivech z geopoliticky nestabilních regionů?, </w:t>
            </w:r>
          </w:p>
          <w:p w14:paraId="0F0F642C" w14:textId="77777777" w:rsidR="00A75E34" w:rsidRPr="00B94E23" w:rsidRDefault="00A75E34" w:rsidP="0070612A">
            <w:pPr>
              <w:rPr>
                <w:rFonts w:eastAsia="Calibri" w:cstheme="minorHAnsi"/>
                <w:sz w:val="20"/>
                <w:szCs w:val="20"/>
              </w:rPr>
            </w:pPr>
            <w:r w:rsidRPr="00B94E23">
              <w:rPr>
                <w:rFonts w:eastAsia="Calibri" w:cstheme="minorHAnsi"/>
                <w:sz w:val="20"/>
                <w:szCs w:val="20"/>
              </w:rPr>
              <w:t xml:space="preserve">b) snížení emisí skleníkových plynů? Jaký je příspěvek podpořených podniků?, </w:t>
            </w:r>
          </w:p>
          <w:p w14:paraId="5C8295DE" w14:textId="77777777" w:rsidR="00A75E34" w:rsidRPr="00B94E23" w:rsidRDefault="00A75E34" w:rsidP="0070612A">
            <w:pPr>
              <w:rPr>
                <w:rFonts w:eastAsia="Calibri" w:cstheme="minorHAnsi"/>
                <w:sz w:val="20"/>
                <w:szCs w:val="20"/>
              </w:rPr>
            </w:pPr>
            <w:r w:rsidRPr="00B94E23">
              <w:rPr>
                <w:rFonts w:eastAsia="Calibri" w:cstheme="minorHAnsi"/>
                <w:sz w:val="20"/>
                <w:szCs w:val="20"/>
              </w:rPr>
              <w:t>c) rozvoji podnikatelských aktivit v dodavatelském řetězci od vývoje, výroby, přes instalaci zdroje energie až po výrobu energie?</w:t>
            </w:r>
          </w:p>
        </w:tc>
        <w:tc>
          <w:tcPr>
            <w:tcW w:w="7371" w:type="dxa"/>
          </w:tcPr>
          <w:p w14:paraId="18BC5418"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A75E34" w:rsidRPr="00B94E23" w14:paraId="2E6981E3"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D821B9A" w14:textId="77777777" w:rsidR="00A75E34" w:rsidRPr="00B94E23" w:rsidRDefault="00A75E34" w:rsidP="0070612A">
            <w:pPr>
              <w:rPr>
                <w:rFonts w:cstheme="minorHAnsi"/>
                <w:b w:val="0"/>
                <w:sz w:val="20"/>
                <w:szCs w:val="20"/>
              </w:rPr>
            </w:pPr>
            <w:r w:rsidRPr="00B94E23">
              <w:rPr>
                <w:rFonts w:cstheme="minorHAnsi"/>
                <w:b w:val="0"/>
                <w:sz w:val="20"/>
                <w:szCs w:val="20"/>
              </w:rPr>
              <w:t>Intervenční logika programu podpory OZE je nastavena tak, aby realizované projekty vedly k naplňování výše uvedených výsledků. Problémem však je extrémně nízký počet příjemců realizujících projekty z PP OZE a z toho vyplývající velmi slabý, téměř neměřitelný příspěvek k naplnění uvedených výsledků.</w:t>
            </w:r>
          </w:p>
          <w:p w14:paraId="6782A520" w14:textId="6BD00532" w:rsidR="00A75E34" w:rsidRPr="00B94E23" w:rsidRDefault="00A75E34" w:rsidP="0070612A">
            <w:pPr>
              <w:rPr>
                <w:rFonts w:cstheme="minorHAnsi"/>
                <w:b w:val="0"/>
                <w:sz w:val="20"/>
                <w:szCs w:val="20"/>
              </w:rPr>
            </w:pPr>
            <w:r w:rsidRPr="00B94E23">
              <w:rPr>
                <w:rFonts w:cstheme="minorHAnsi"/>
                <w:b w:val="0"/>
                <w:sz w:val="20"/>
                <w:szCs w:val="20"/>
              </w:rPr>
              <w:t>Díky realizovaným projektům došlo k nárůstu instalovaného výkonu OZE o 0,22 % hodnoty roku 2013. Jedná se tedy o příliš malou změnu, která by se mohla projevit na výši dovozu fosilních paliv. Příspěvek podpořených projektů ke snížení emisí skleníkových plynů nelze určit, neboť tento indikátor nebyl do konce roku 2018 vykázán žádným z dokončených projektů.</w:t>
            </w:r>
          </w:p>
          <w:p w14:paraId="1A05B856" w14:textId="77777777" w:rsidR="00A75E34" w:rsidRPr="00B94E23" w:rsidRDefault="00A75E34" w:rsidP="0070612A">
            <w:pPr>
              <w:rPr>
                <w:rFonts w:eastAsia="Calibri" w:cstheme="minorHAnsi"/>
                <w:b w:val="0"/>
                <w:sz w:val="20"/>
                <w:szCs w:val="20"/>
              </w:rPr>
            </w:pPr>
            <w:r w:rsidRPr="00B94E23">
              <w:rPr>
                <w:rFonts w:cstheme="minorHAnsi"/>
                <w:b w:val="0"/>
                <w:sz w:val="20"/>
                <w:szCs w:val="20"/>
              </w:rPr>
              <w:t>V důsledku nedostupnosti dat věnovaných investicím do OZE a do přidružených odvětví není hodnotitel schopen kvantifikovat vliv podpořených projektů na rozvoj podnikatelských aktivit v dodavatelském řetězci. Lze jen konstatovat, že díky realizovaným projektům dochází ke zvýšení tržeb především dodavatelů technologií OZE, a to nejen v důsledku počáteční investice, ale i následných nákladů na údržbu a pozáruční servis.</w:t>
            </w:r>
          </w:p>
        </w:tc>
        <w:tc>
          <w:tcPr>
            <w:tcW w:w="7371" w:type="dxa"/>
            <w:shd w:val="clear" w:color="auto" w:fill="auto"/>
          </w:tcPr>
          <w:p w14:paraId="687D6A72"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2014-2020: Zvýšit zájem a motivaci oprávněných žadatelů k čerpání dotace, a to zejména prostřednictvím snížení administrativní náročnosti zpracování žádosti o dotaci, urychlení hodnocení projektů a podporováním projektů, které jsou již připravené k realizaci tak, aby se stihly dokončit do 2022 a měly pozitivní vliv na definované výsledky.</w:t>
            </w:r>
          </w:p>
        </w:tc>
      </w:tr>
      <w:tr w:rsidR="00A75E34" w:rsidRPr="00B94E23" w14:paraId="5F77C6E2" w14:textId="77777777" w:rsidTr="0070612A">
        <w:tc>
          <w:tcPr>
            <w:cnfStyle w:val="001000000000" w:firstRow="0" w:lastRow="0" w:firstColumn="1" w:lastColumn="0" w:oddVBand="0" w:evenVBand="0" w:oddHBand="0" w:evenHBand="0" w:firstRowFirstColumn="0" w:firstRowLastColumn="0" w:lastRowFirstColumn="0" w:lastRowLastColumn="0"/>
            <w:tcW w:w="6374" w:type="dxa"/>
            <w:shd w:val="clear" w:color="auto" w:fill="F2F2F2" w:themeFill="background1" w:themeFillShade="F2"/>
          </w:tcPr>
          <w:p w14:paraId="20A8BF94" w14:textId="77777777" w:rsidR="00A75E34" w:rsidRPr="00B94E23" w:rsidRDefault="00A75E34" w:rsidP="0070612A">
            <w:pPr>
              <w:rPr>
                <w:rFonts w:eastAsia="Calibri" w:cstheme="minorHAnsi"/>
                <w:sz w:val="20"/>
                <w:szCs w:val="20"/>
              </w:rPr>
            </w:pPr>
          </w:p>
        </w:tc>
        <w:tc>
          <w:tcPr>
            <w:tcW w:w="7371" w:type="dxa"/>
            <w:shd w:val="clear" w:color="auto" w:fill="F2F2F2" w:themeFill="background1" w:themeFillShade="F2"/>
          </w:tcPr>
          <w:p w14:paraId="04CA49A4" w14:textId="30D014CA"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2021-2027: Zjednodušení procesu žádosti a následné administrace projektu tak, aby byl vyšší zájem o využití dotace OP K, zvážit propojení dotace na investice a provoz, resp. jasně definovat stabilní pravidla pro jejich společné anebo oddělené</w:t>
            </w:r>
            <w:r w:rsidR="00AE54ED">
              <w:rPr>
                <w:rFonts w:cstheme="minorHAnsi"/>
                <w:sz w:val="20"/>
                <w:szCs w:val="20"/>
              </w:rPr>
              <w:t xml:space="preserve"> </w:t>
            </w:r>
            <w:r w:rsidRPr="00B94E23">
              <w:rPr>
                <w:rFonts w:cstheme="minorHAnsi"/>
                <w:sz w:val="20"/>
                <w:szCs w:val="20"/>
              </w:rPr>
              <w:t>využití</w:t>
            </w:r>
            <w:r w:rsidR="00AE54ED">
              <w:rPr>
                <w:rFonts w:cstheme="minorHAnsi"/>
                <w:sz w:val="20"/>
                <w:szCs w:val="20"/>
              </w:rPr>
              <w:t>.</w:t>
            </w:r>
          </w:p>
        </w:tc>
      </w:tr>
      <w:tr w:rsidR="00A75E34" w:rsidRPr="00B94E23" w14:paraId="3EE789E2"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115AFAF" w14:textId="77777777" w:rsidR="00A75E34" w:rsidRPr="00B94E23" w:rsidRDefault="00A75E34" w:rsidP="0070612A">
            <w:pPr>
              <w:rPr>
                <w:rFonts w:eastAsia="Calibri" w:cstheme="minorHAnsi"/>
                <w:sz w:val="20"/>
                <w:szCs w:val="20"/>
              </w:rPr>
            </w:pPr>
            <w:r w:rsidRPr="00B94E23">
              <w:rPr>
                <w:rFonts w:eastAsia="Calibri" w:cstheme="minorHAnsi"/>
                <w:sz w:val="20"/>
                <w:szCs w:val="20"/>
              </w:rPr>
              <w:t xml:space="preserve">EO4 (ÚE): Jak přispěly intervence realizované v rámci programu podpory Úspory energie k dosahování SC 3.2 OP PIK? Vedly intervence k přiblížení </w:t>
            </w:r>
            <w:r w:rsidRPr="00B94E23">
              <w:rPr>
                <w:rFonts w:eastAsia="Calibri" w:cstheme="minorHAnsi"/>
                <w:sz w:val="20"/>
                <w:szCs w:val="20"/>
              </w:rPr>
              <w:lastRenderedPageBreak/>
              <w:t>se v úrovni energetické náročnosti průmyslové výroby k ostatním členským zemím EU?</w:t>
            </w:r>
          </w:p>
        </w:tc>
        <w:tc>
          <w:tcPr>
            <w:tcW w:w="7371" w:type="dxa"/>
          </w:tcPr>
          <w:p w14:paraId="08018F6A"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0FC8701C"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53A17BAA" w14:textId="77777777" w:rsidR="00A75E34" w:rsidRPr="00B94E23" w:rsidRDefault="00A75E34" w:rsidP="0070612A">
            <w:pPr>
              <w:rPr>
                <w:rFonts w:cstheme="minorHAnsi"/>
                <w:b w:val="0"/>
                <w:sz w:val="20"/>
                <w:szCs w:val="20"/>
              </w:rPr>
            </w:pPr>
            <w:r w:rsidRPr="00B94E23">
              <w:rPr>
                <w:rFonts w:cstheme="minorHAnsi"/>
                <w:b w:val="0"/>
                <w:sz w:val="20"/>
                <w:szCs w:val="20"/>
              </w:rPr>
              <w:t xml:space="preserve">Při vyhodnocování této evaluační otázky hrál roli příliš malý časový odstup od zahájení implementace programu, v důsledku něhož se plně nemohl projevit efekt podpory, a prozatím velmi malým počtem ukončených projektů. Z tohoto důvodu není možné na evaluační otázku odpovědět zcela robustně. </w:t>
            </w:r>
          </w:p>
          <w:p w14:paraId="52FF8AF4" w14:textId="77777777" w:rsidR="00A75E34" w:rsidRPr="00B94E23" w:rsidRDefault="00A75E34" w:rsidP="0070612A">
            <w:pPr>
              <w:rPr>
                <w:rFonts w:cstheme="minorHAnsi"/>
                <w:b w:val="0"/>
                <w:sz w:val="20"/>
                <w:szCs w:val="20"/>
              </w:rPr>
            </w:pPr>
            <w:r w:rsidRPr="00B94E23">
              <w:rPr>
                <w:rFonts w:cstheme="minorHAnsi"/>
                <w:b w:val="0"/>
                <w:sz w:val="20"/>
                <w:szCs w:val="20"/>
              </w:rPr>
              <w:t xml:space="preserve">Na základě poskytnutých dat a informací lze však konstatovat, že intervenční logika SC 3.2 je nastavena tak, že podporované projekty přispívají ke stanoveným cílům a výsledkům. </w:t>
            </w:r>
          </w:p>
          <w:p w14:paraId="3082A0DD" w14:textId="77777777" w:rsidR="00A75E34" w:rsidRPr="00B94E23" w:rsidRDefault="00A75E34" w:rsidP="0070612A">
            <w:pPr>
              <w:rPr>
                <w:rFonts w:cstheme="minorHAnsi"/>
                <w:b w:val="0"/>
                <w:sz w:val="20"/>
                <w:szCs w:val="20"/>
              </w:rPr>
            </w:pPr>
            <w:r w:rsidRPr="00B94E23">
              <w:rPr>
                <w:rFonts w:cstheme="minorHAnsi"/>
                <w:b w:val="0"/>
                <w:sz w:val="20"/>
                <w:szCs w:val="20"/>
              </w:rPr>
              <w:t>V důsledku doposud poměrně malého počtu dokončených projektů jsou však i dosažené výsledky nízké.</w:t>
            </w:r>
          </w:p>
          <w:p w14:paraId="2FA12AB6" w14:textId="77777777" w:rsidR="00A75E34" w:rsidRPr="00B94E23" w:rsidRDefault="00A75E34" w:rsidP="0070612A">
            <w:pPr>
              <w:rPr>
                <w:rFonts w:cstheme="minorHAnsi"/>
                <w:b w:val="0"/>
                <w:sz w:val="20"/>
                <w:szCs w:val="20"/>
              </w:rPr>
            </w:pPr>
            <w:r w:rsidRPr="00B94E23">
              <w:rPr>
                <w:rFonts w:cstheme="minorHAnsi"/>
                <w:b w:val="0"/>
                <w:sz w:val="20"/>
                <w:szCs w:val="20"/>
              </w:rPr>
              <w:t>Realizované projekty přispívají především ke snížení konečné spotřeby energie. Tento indikátor je prozatím naplněn jen z 1,12 %. Závazek příjemců k naplnění tohoto indikátoru dosahuje hodnoty téměř 28 % a podílí se 4,3 % na naplňování výsledku úspory energie stanoveného Směrnicí 2012/27/EU o energetické náročnosti. ČR se v úrovni energetické náročnosti průmyslové výroby přibližuje k ostatním zemím EU, podíl PP ÚE na tomto vývoji je však zatím v důsledku nízkého počtu ukončených projektů minimální.</w:t>
            </w:r>
          </w:p>
        </w:tc>
        <w:tc>
          <w:tcPr>
            <w:tcW w:w="7371" w:type="dxa"/>
          </w:tcPr>
          <w:p w14:paraId="54F04927" w14:textId="6611414B"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2014-2020: Rozšířením oprávněných žadatelů o ty, kteří doposud nemohli čerpat dotace na úsporu energií (např. zahrnutí doposud vyjmutých CZ-NACE</w:t>
            </w:r>
            <w:r w:rsidR="00AE54ED">
              <w:rPr>
                <w:rFonts w:cstheme="minorHAnsi"/>
                <w:sz w:val="20"/>
                <w:szCs w:val="20"/>
              </w:rPr>
              <w:t>, jejichž doplnění není v rozporu s pravidly veřejné podpory</w:t>
            </w:r>
            <w:r w:rsidRPr="00B94E23">
              <w:rPr>
                <w:rFonts w:cstheme="minorHAnsi"/>
                <w:sz w:val="20"/>
                <w:szCs w:val="20"/>
              </w:rPr>
              <w:t>), může vést k vyššímu podílu úspor energie v rámci jednotlivých projektů, tj. rychlejšímu naplňování stanovených indikátorů.</w:t>
            </w:r>
          </w:p>
          <w:p w14:paraId="2133507C"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48A36D6D"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40A9DA45"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4F276394"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35240ECA"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4358360C"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2A1E3BF5"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64EEF86C"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3EBD3FF2"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7D4AF24A"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3F3DF6BF"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472FCC96" w14:textId="77777777" w:rsidR="00A75E34" w:rsidRPr="00B94E23" w:rsidRDefault="00A75E34" w:rsidP="0070612A">
            <w:pPr>
              <w:ind w:firstLine="709"/>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A75E34" w:rsidRPr="00B94E23" w14:paraId="4503E4A7"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7819EF1" w14:textId="77777777" w:rsidR="00A75E34" w:rsidRPr="00B94E23" w:rsidRDefault="00A75E34" w:rsidP="0070612A">
            <w:pPr>
              <w:rPr>
                <w:rFonts w:eastAsia="Calibri" w:cstheme="minorHAnsi"/>
                <w:sz w:val="20"/>
                <w:szCs w:val="20"/>
              </w:rPr>
            </w:pPr>
          </w:p>
        </w:tc>
        <w:tc>
          <w:tcPr>
            <w:tcW w:w="7371" w:type="dxa"/>
          </w:tcPr>
          <w:p w14:paraId="62BB42F0"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 xml:space="preserve">2014-2020: V připravované V. výzvě ÚE zjednodušit administrativní požadavky pro žadatele, zejména v případě „jednoduchých“ opatření (zateplování objektů, výměny otvorových výplní apod.). Např. energetický posudek nahradit energetickým hodnocením budovy v obdobném rozsahu, jaký je vyžadován např. v programu Nová zelená úsporám.    </w:t>
            </w:r>
          </w:p>
        </w:tc>
      </w:tr>
      <w:tr w:rsidR="00A75E34" w:rsidRPr="00B94E23" w14:paraId="3895D015"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4167B0FC" w14:textId="77777777" w:rsidR="00A75E34" w:rsidRPr="00B94E23" w:rsidRDefault="00A75E34" w:rsidP="0070612A">
            <w:pPr>
              <w:rPr>
                <w:rFonts w:eastAsia="Calibri" w:cstheme="minorHAnsi"/>
                <w:sz w:val="20"/>
                <w:szCs w:val="20"/>
              </w:rPr>
            </w:pPr>
          </w:p>
        </w:tc>
        <w:tc>
          <w:tcPr>
            <w:tcW w:w="7371" w:type="dxa"/>
          </w:tcPr>
          <w:p w14:paraId="41FD96FA"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4E23">
              <w:rPr>
                <w:rFonts w:cstheme="minorHAnsi"/>
                <w:sz w:val="20"/>
                <w:szCs w:val="20"/>
              </w:rPr>
              <w:t>2021-2027: Zachovat a dále rozvíjet nástroje podpory ÚE tak, aby byla zajištěna komplexnost a dlouhodobost těchto aktivit.</w:t>
            </w:r>
          </w:p>
        </w:tc>
      </w:tr>
      <w:tr w:rsidR="00A75E34" w:rsidRPr="00B94E23" w14:paraId="7A8340C0"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65C989B" w14:textId="77777777" w:rsidR="00A75E34" w:rsidRPr="00B94E23" w:rsidRDefault="00A75E34" w:rsidP="0070612A">
            <w:pPr>
              <w:rPr>
                <w:rFonts w:eastAsia="Calibri" w:cstheme="minorHAnsi"/>
                <w:sz w:val="20"/>
                <w:szCs w:val="20"/>
              </w:rPr>
            </w:pPr>
          </w:p>
        </w:tc>
        <w:tc>
          <w:tcPr>
            <w:tcW w:w="7371" w:type="dxa"/>
          </w:tcPr>
          <w:p w14:paraId="0957707E"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2021-2027: Minimalizovat administrativní náročnost zpracování žádostí o dotaci i administraci při realizaci projektu, neboť je to právě tento faktor, který demotivuje podniky žádat o dotaci z PP ÚE.</w:t>
            </w:r>
          </w:p>
        </w:tc>
      </w:tr>
      <w:tr w:rsidR="00A75E34" w:rsidRPr="00B94E23" w14:paraId="16BA896E"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185801AF" w14:textId="77777777" w:rsidR="00A75E34" w:rsidRPr="00B94E23" w:rsidRDefault="00A75E34" w:rsidP="0070612A">
            <w:pPr>
              <w:rPr>
                <w:rFonts w:eastAsia="Calibri" w:cstheme="minorHAnsi"/>
                <w:sz w:val="20"/>
                <w:szCs w:val="20"/>
              </w:rPr>
            </w:pPr>
          </w:p>
        </w:tc>
        <w:tc>
          <w:tcPr>
            <w:tcW w:w="7371" w:type="dxa"/>
          </w:tcPr>
          <w:p w14:paraId="03455AD7"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4E23">
              <w:rPr>
                <w:rFonts w:cstheme="minorHAnsi"/>
                <w:sz w:val="20"/>
                <w:szCs w:val="20"/>
              </w:rPr>
              <w:t>2021-2027: Zvážit zapojení inovativních finančních nástrojů pro vytvoření dlouhodobého, stabilního systému financování investic v oblasti zvyšování energetické účinnosti.</w:t>
            </w:r>
          </w:p>
        </w:tc>
      </w:tr>
      <w:tr w:rsidR="00A75E34" w:rsidRPr="00B94E23" w14:paraId="7CFFE942"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D36F198" w14:textId="77777777" w:rsidR="00A75E34" w:rsidRPr="00B94E23" w:rsidRDefault="00A75E34" w:rsidP="0070612A">
            <w:pPr>
              <w:rPr>
                <w:rFonts w:eastAsia="Calibri" w:cstheme="minorHAnsi"/>
                <w:sz w:val="20"/>
                <w:szCs w:val="20"/>
              </w:rPr>
            </w:pPr>
          </w:p>
        </w:tc>
        <w:tc>
          <w:tcPr>
            <w:tcW w:w="7371" w:type="dxa"/>
          </w:tcPr>
          <w:p w14:paraId="0FDF1A48"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2021-2027: Nastavit dlouhodobě udržitelný systém kontroly a hodnocení projektů tak, aby se maximálně snížila doba na vyhodnocení projektu.</w:t>
            </w:r>
          </w:p>
        </w:tc>
      </w:tr>
      <w:tr w:rsidR="00A75E34" w:rsidRPr="00B94E23" w14:paraId="3C95B867"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00A49685" w14:textId="77777777" w:rsidR="00A75E34" w:rsidRPr="00B94E23" w:rsidRDefault="00A75E34" w:rsidP="0070612A">
            <w:pPr>
              <w:rPr>
                <w:rFonts w:eastAsia="Calibri" w:cstheme="minorHAnsi"/>
                <w:sz w:val="20"/>
                <w:szCs w:val="20"/>
              </w:rPr>
            </w:pPr>
          </w:p>
        </w:tc>
        <w:tc>
          <w:tcPr>
            <w:tcW w:w="7371" w:type="dxa"/>
          </w:tcPr>
          <w:p w14:paraId="452F2470"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94E23">
              <w:rPr>
                <w:rFonts w:cstheme="minorHAnsi"/>
                <w:sz w:val="20"/>
                <w:szCs w:val="20"/>
              </w:rPr>
              <w:t>2021-2027: Využívat metodiku design-and-build při zadávání zakázek (tj. přenesení odpovědnosti za zpracování projektové dokumentace a celkovou kvalitu provedení na dodavatele).</w:t>
            </w:r>
          </w:p>
        </w:tc>
      </w:tr>
      <w:tr w:rsidR="00A75E34" w:rsidRPr="00B94E23" w14:paraId="7B816293"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6D012F2" w14:textId="77777777" w:rsidR="00A75E34" w:rsidRPr="00B94E23" w:rsidRDefault="00A75E34" w:rsidP="0070612A">
            <w:pPr>
              <w:rPr>
                <w:rFonts w:eastAsia="Calibri" w:cstheme="minorHAnsi"/>
                <w:sz w:val="20"/>
                <w:szCs w:val="20"/>
              </w:rPr>
            </w:pPr>
            <w:r w:rsidRPr="00B94E23">
              <w:rPr>
                <w:rFonts w:eastAsia="Calibri" w:cstheme="minorHAnsi"/>
                <w:sz w:val="20"/>
                <w:szCs w:val="20"/>
              </w:rPr>
              <w:t>EO5 (ÚE): Vedly intervence u podpořených podniků k ekonomicky efektivnějšímu snížení energetické náročnosti ve srovnání s podniky nepodpořenými?</w:t>
            </w:r>
          </w:p>
        </w:tc>
        <w:tc>
          <w:tcPr>
            <w:tcW w:w="7371" w:type="dxa"/>
          </w:tcPr>
          <w:p w14:paraId="0773AB5A"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6D0A2BD8"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495D5A8D" w14:textId="77777777" w:rsidR="00AE54ED" w:rsidRPr="00AE54ED" w:rsidRDefault="00AE54ED" w:rsidP="00AE54ED">
            <w:pPr>
              <w:rPr>
                <w:rFonts w:cstheme="minorHAnsi"/>
                <w:b w:val="0"/>
                <w:sz w:val="20"/>
                <w:szCs w:val="20"/>
              </w:rPr>
            </w:pPr>
            <w:r w:rsidRPr="00AE54ED">
              <w:rPr>
                <w:rFonts w:cstheme="minorHAnsi"/>
                <w:b w:val="0"/>
                <w:sz w:val="20"/>
                <w:szCs w:val="20"/>
              </w:rPr>
              <w:t xml:space="preserve">Intervence u podpořených podniků vedou k vyššímu snížení energetické náročnosti v porovnání s podniky, které podporu nezískaly. Díky obdržené dotaci je dosažení úspor pro podpořené podniky ekonomicky efektivnější, neboť část nákladů získají formou dotace, náklady investované podnikem jsou tedy nižší (ať už se jedná o vlastní zdroje či půjčené) a jejich návratnost je rychlejší než v případě neobdržení dotace. </w:t>
            </w:r>
          </w:p>
          <w:p w14:paraId="3D83F94C" w14:textId="6EE77008" w:rsidR="00A75E34" w:rsidRDefault="00AE54ED" w:rsidP="00AE54ED">
            <w:pPr>
              <w:rPr>
                <w:rFonts w:cstheme="minorHAnsi"/>
                <w:bCs w:val="0"/>
                <w:sz w:val="20"/>
                <w:szCs w:val="20"/>
              </w:rPr>
            </w:pPr>
            <w:r w:rsidRPr="00AE54ED">
              <w:rPr>
                <w:rFonts w:cstheme="minorHAnsi"/>
                <w:b w:val="0"/>
                <w:sz w:val="20"/>
                <w:szCs w:val="20"/>
              </w:rPr>
              <w:t>Intervence je pro podpořené podniky motivací k tomu, aby vytvořily komplexnější nebo rozsáhlejší projekt s vyšším dopadem na energetické úspory</w:t>
            </w:r>
            <w:r w:rsidR="00A75E34" w:rsidRPr="00B94E23">
              <w:rPr>
                <w:rFonts w:cstheme="minorHAnsi"/>
                <w:b w:val="0"/>
                <w:sz w:val="20"/>
                <w:szCs w:val="20"/>
              </w:rPr>
              <w:t>.</w:t>
            </w:r>
          </w:p>
          <w:p w14:paraId="2DAF9B2A" w14:textId="61B210C0" w:rsidR="00AE54ED" w:rsidRPr="00B94E23" w:rsidRDefault="00AE54ED" w:rsidP="00AE54ED">
            <w:pPr>
              <w:rPr>
                <w:rFonts w:eastAsia="Calibri" w:cstheme="minorHAnsi"/>
                <w:b w:val="0"/>
                <w:sz w:val="20"/>
                <w:szCs w:val="20"/>
              </w:rPr>
            </w:pPr>
            <w:r w:rsidRPr="00AE54ED">
              <w:rPr>
                <w:rFonts w:eastAsia="Calibri" w:cstheme="minorHAnsi"/>
                <w:b w:val="0"/>
                <w:sz w:val="20"/>
                <w:szCs w:val="20"/>
              </w:rPr>
              <w:t>V případě, že podnik dotaci neobdrží, tj. realizace navrhovaných energeticky úsporných opatření pro něj představují větší ekonomickou zátěž, přehodnocuje svůj záměr a buď ho vůbec nerealizuje, realizuje jen opatření s maximálním efektem nebo realizaci opatření rozloží do delšího časového úseku tak, aby to bylo v souladu s jeho finančními možnostmi</w:t>
            </w:r>
            <w:r>
              <w:rPr>
                <w:rFonts w:eastAsia="Calibri" w:cstheme="minorHAnsi"/>
                <w:b w:val="0"/>
                <w:sz w:val="20"/>
                <w:szCs w:val="20"/>
              </w:rPr>
              <w:t>.</w:t>
            </w:r>
          </w:p>
        </w:tc>
        <w:tc>
          <w:tcPr>
            <w:tcW w:w="7371" w:type="dxa"/>
          </w:tcPr>
          <w:p w14:paraId="44E0542D" w14:textId="5BD91154"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2021-2027: Zvážit rozšíření podporovaných aktivit o úspory vody</w:t>
            </w:r>
            <w:r w:rsidR="00AE54ED" w:rsidRPr="00AE54ED">
              <w:rPr>
                <w:rFonts w:cstheme="minorHAnsi"/>
                <w:sz w:val="20"/>
                <w:szCs w:val="20"/>
              </w:rPr>
              <w:t>, např. v podobě snižování spotřeby vody ve výrobních a technologických procesech</w:t>
            </w:r>
            <w:r w:rsidRPr="00B94E23">
              <w:rPr>
                <w:rFonts w:cstheme="minorHAnsi"/>
                <w:sz w:val="20"/>
                <w:szCs w:val="20"/>
              </w:rPr>
              <w:t>. Toto opatření by umožnilo příjemcům realizovat komplexnější projekty s vyššími synergickými efekty.</w:t>
            </w:r>
          </w:p>
        </w:tc>
      </w:tr>
      <w:tr w:rsidR="00A75E34" w:rsidRPr="00B94E23" w14:paraId="0A45A2CA"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A40F415" w14:textId="77777777" w:rsidR="00A75E34" w:rsidRPr="00B94E23" w:rsidRDefault="00A75E34" w:rsidP="0070612A">
            <w:pPr>
              <w:rPr>
                <w:rFonts w:eastAsia="Calibri" w:cstheme="minorHAnsi"/>
                <w:sz w:val="20"/>
                <w:szCs w:val="20"/>
              </w:rPr>
            </w:pPr>
            <w:r w:rsidRPr="00B94E23">
              <w:rPr>
                <w:rFonts w:eastAsia="Calibri" w:cstheme="minorHAnsi"/>
                <w:sz w:val="20"/>
                <w:szCs w:val="20"/>
              </w:rPr>
              <w:t>EO6 (ÚE): Dochází u podpořených podniků ke snížení citlivosti na změny vstupních nákladů za energie? Lze prokázat předpoklad, že snížení této citlivosti vede ke zvýšení konkurenceschopnosti podniku?</w:t>
            </w:r>
          </w:p>
        </w:tc>
        <w:tc>
          <w:tcPr>
            <w:tcW w:w="7371" w:type="dxa"/>
          </w:tcPr>
          <w:p w14:paraId="68E091C8"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70388095"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2C82DFE6" w14:textId="77777777" w:rsidR="00A75E34" w:rsidRPr="00B94E23" w:rsidRDefault="00A75E34" w:rsidP="0070612A">
            <w:pPr>
              <w:rPr>
                <w:rFonts w:eastAsia="Calibri" w:cstheme="minorHAnsi"/>
                <w:b w:val="0"/>
                <w:sz w:val="20"/>
                <w:szCs w:val="20"/>
              </w:rPr>
            </w:pPr>
            <w:r w:rsidRPr="00B94E23">
              <w:rPr>
                <w:rFonts w:cstheme="minorHAnsi"/>
                <w:b w:val="0"/>
                <w:sz w:val="20"/>
                <w:szCs w:val="20"/>
              </w:rPr>
              <w:t>Podpora z PP ÚE vede k významnému nebo alespoň částečnému snížení nákladů na energie podpořených podniků, přičemž dosažené úspory jsou signifikantně vyšší než v případě nepodpořených žadatelů, kteří realizovali projekt bez přispění PP ÚE. Je tedy splněna zcela zásadní podmínka pro to, aby došlo ke snížení citlivosti těchto firem na změny cen energií a zvýšila se jejich konkurenceschopnost. Firmy účastnící se případových studií potvrdily, že díky snížení váhy nákladů na energie na celkových nákladech společnosti je méně trápí nárůst cen energií, tj. jsou na ně méně citlivé.</w:t>
            </w:r>
          </w:p>
        </w:tc>
        <w:tc>
          <w:tcPr>
            <w:tcW w:w="7371" w:type="dxa"/>
          </w:tcPr>
          <w:p w14:paraId="33D43D18"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A75E34" w:rsidRPr="00B94E23" w14:paraId="0861F424"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2A9BD2E" w14:textId="77777777" w:rsidR="00A75E34" w:rsidRPr="00B94E23" w:rsidRDefault="00A75E34" w:rsidP="0070612A">
            <w:pPr>
              <w:rPr>
                <w:rFonts w:eastAsia="Calibri" w:cstheme="minorHAnsi"/>
                <w:sz w:val="20"/>
                <w:szCs w:val="20"/>
              </w:rPr>
            </w:pPr>
            <w:r w:rsidRPr="00B94E23">
              <w:rPr>
                <w:rFonts w:eastAsia="Calibri" w:cstheme="minorHAnsi"/>
                <w:sz w:val="20"/>
                <w:szCs w:val="20"/>
              </w:rPr>
              <w:t>EO7 (ÚE): Jaké je procentuální rozložení jednotlivých typů podporovaných aktivit mezi podpořenými projekty z hlediska a) jejich počtu, b) výše podpory?</w:t>
            </w:r>
          </w:p>
        </w:tc>
        <w:tc>
          <w:tcPr>
            <w:tcW w:w="7371" w:type="dxa"/>
          </w:tcPr>
          <w:p w14:paraId="04CB5AAB"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5E229A72"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30DFCE63" w14:textId="77777777" w:rsidR="00A75E34" w:rsidRPr="00B94E23" w:rsidRDefault="00A75E34" w:rsidP="0070612A">
            <w:pPr>
              <w:rPr>
                <w:rFonts w:cstheme="minorHAnsi"/>
                <w:b w:val="0"/>
                <w:sz w:val="20"/>
                <w:szCs w:val="20"/>
              </w:rPr>
            </w:pPr>
            <w:r w:rsidRPr="00B94E23">
              <w:rPr>
                <w:rFonts w:cstheme="minorHAnsi"/>
                <w:b w:val="0"/>
                <w:sz w:val="20"/>
                <w:szCs w:val="20"/>
              </w:rPr>
              <w:lastRenderedPageBreak/>
              <w:t>Podporovanou aktivitou, která se v podpořených projektech vyskytuje nejčastěji (v 61 % projektů), je snižování energetické náročnosti budov. V pořadí druhou aktivitou je modernizace soustav osvětlení budov a průmyslových areálů (36,4 %), třetí je snižování energetické náročnosti, resp. zvyšování energetické účinnosti výrobních a technologických procesů (32,8 %).</w:t>
            </w:r>
          </w:p>
          <w:p w14:paraId="14FD867B" w14:textId="77777777" w:rsidR="00A75E34" w:rsidRPr="00B94E23" w:rsidRDefault="00A75E34" w:rsidP="0070612A">
            <w:pPr>
              <w:rPr>
                <w:rFonts w:cstheme="minorHAnsi"/>
                <w:bCs w:val="0"/>
                <w:sz w:val="20"/>
                <w:szCs w:val="20"/>
              </w:rPr>
            </w:pPr>
            <w:r w:rsidRPr="00B94E23">
              <w:rPr>
                <w:rFonts w:cstheme="minorHAnsi"/>
                <w:b w:val="0"/>
                <w:sz w:val="20"/>
                <w:szCs w:val="20"/>
              </w:rPr>
              <w:t xml:space="preserve">Ukončené projekty byly podpořeny dotací ve výši 1 392 mil. Kč. Nejvyšší podíl z této částky byl vyčerpán na snižování energetické náročnosti budov (téměř 45 %) a na snižování energetické náročnosti, resp. zvyšování energetické účinnosti výrobních a technologických procesů (39 %). Zastoupení ostatních podporovaných aktivit je nízké a podpora na tyto aktivity nepřevyšuje 60 mil. Kč. </w:t>
            </w:r>
          </w:p>
          <w:p w14:paraId="5D1CE058" w14:textId="77777777" w:rsidR="00A75E34" w:rsidRPr="00B94E23" w:rsidRDefault="00A75E34" w:rsidP="0070612A">
            <w:pPr>
              <w:rPr>
                <w:rFonts w:eastAsia="Calibri" w:cstheme="minorHAnsi"/>
                <w:b w:val="0"/>
                <w:sz w:val="20"/>
                <w:szCs w:val="20"/>
              </w:rPr>
            </w:pPr>
            <w:r w:rsidRPr="00B94E23">
              <w:rPr>
                <w:rFonts w:cstheme="minorHAnsi"/>
                <w:b w:val="0"/>
                <w:sz w:val="20"/>
                <w:szCs w:val="20"/>
              </w:rPr>
              <w:t>Důvodem nízkých podílů ostatních aktivit na celkové podpoře není počet projektů, v nichž byly tyto aktivity realizovány, ale výrazně nižší náklady na tyto aktivity v porovnání se zateplením budov, výměnou oken či pořízením nového energeticky účinného stroje.</w:t>
            </w:r>
          </w:p>
        </w:tc>
        <w:tc>
          <w:tcPr>
            <w:tcW w:w="7371" w:type="dxa"/>
          </w:tcPr>
          <w:p w14:paraId="37D76AA2"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2021-2027: Pro přesné vyhodnocení této evaluační otázky je potřebné, aby v MS2014+ byly příjemcem přímo označovány podporované aktivity, které budou v rámci projektu realizovány, a bylo uvedeno, jaký podíl rozpočtu nebo konkrétní částka se k dané aktivitě váže.</w:t>
            </w:r>
          </w:p>
        </w:tc>
      </w:tr>
      <w:tr w:rsidR="00A75E34" w:rsidRPr="00B94E23" w14:paraId="4A8A390D"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708C0032" w14:textId="77777777" w:rsidR="00A75E34" w:rsidRPr="00B94E23" w:rsidRDefault="00A75E34" w:rsidP="0070612A">
            <w:pPr>
              <w:rPr>
                <w:rFonts w:eastAsia="Calibri" w:cstheme="minorHAnsi"/>
                <w:sz w:val="20"/>
                <w:szCs w:val="20"/>
              </w:rPr>
            </w:pPr>
            <w:r w:rsidRPr="00B94E23">
              <w:rPr>
                <w:rFonts w:eastAsia="Calibri" w:cstheme="minorHAnsi"/>
                <w:sz w:val="20"/>
                <w:szCs w:val="20"/>
              </w:rPr>
              <w:t>EO8 (ÚE): Dochází vlivem podpořených projektů ke:</w:t>
            </w:r>
          </w:p>
          <w:p w14:paraId="45F076E0" w14:textId="77777777" w:rsidR="00A75E34" w:rsidRPr="00B94E23" w:rsidRDefault="00A75E34" w:rsidP="0070612A">
            <w:pPr>
              <w:rPr>
                <w:rFonts w:eastAsia="Calibri" w:cstheme="minorHAnsi"/>
                <w:sz w:val="20"/>
                <w:szCs w:val="20"/>
              </w:rPr>
            </w:pPr>
            <w:r w:rsidRPr="00B94E23">
              <w:rPr>
                <w:rFonts w:eastAsia="Calibri" w:cstheme="minorHAnsi"/>
                <w:sz w:val="20"/>
                <w:szCs w:val="20"/>
              </w:rPr>
              <w:t>a) snížení emisí skleníkových plynů? Jaký je příspěvek podpořených podniků?</w:t>
            </w:r>
          </w:p>
          <w:p w14:paraId="350D3AD4" w14:textId="77777777" w:rsidR="00A75E34" w:rsidRPr="00B94E23" w:rsidRDefault="00A75E34" w:rsidP="0070612A">
            <w:pPr>
              <w:rPr>
                <w:rFonts w:eastAsia="Calibri" w:cstheme="minorHAnsi"/>
                <w:sz w:val="20"/>
                <w:szCs w:val="20"/>
              </w:rPr>
            </w:pPr>
            <w:r w:rsidRPr="00B94E23">
              <w:rPr>
                <w:rFonts w:eastAsia="Calibri" w:cstheme="minorHAnsi"/>
                <w:sz w:val="20"/>
                <w:szCs w:val="20"/>
              </w:rPr>
              <w:t>b) rozvoji energetických služeb typu Energy Performance Contracting (EPC)?</w:t>
            </w:r>
          </w:p>
        </w:tc>
        <w:tc>
          <w:tcPr>
            <w:tcW w:w="7371" w:type="dxa"/>
          </w:tcPr>
          <w:p w14:paraId="5796AD7B"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339EC0F6"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33BB7ABF" w14:textId="77777777" w:rsidR="00A75E34" w:rsidRPr="00B94E23" w:rsidRDefault="00A75E34" w:rsidP="0070612A">
            <w:pPr>
              <w:rPr>
                <w:rFonts w:cstheme="minorHAnsi"/>
                <w:b w:val="0"/>
                <w:sz w:val="20"/>
                <w:szCs w:val="20"/>
              </w:rPr>
            </w:pPr>
            <w:r w:rsidRPr="00B94E23">
              <w:rPr>
                <w:rFonts w:cstheme="minorHAnsi"/>
                <w:b w:val="0"/>
                <w:sz w:val="20"/>
                <w:szCs w:val="20"/>
              </w:rPr>
              <w:t>PP ÚE je nastaven tak, aby realizované projekty působily na snižování emise skleníkových plynů. V důsledku opožděné implementace PP ÚE, opožděného vypisování výzev, nízkého zájmu o poskytnutí dotace (zejména v prvních výzvách) a velkého podílu neúspěšných žádostí naplnily dokončené projekty pouze 1,16 % cílové hodnoty indikátoru 36113 Snížení emisí CO</w:t>
            </w:r>
            <w:r w:rsidRPr="00B94E23">
              <w:rPr>
                <w:rFonts w:cstheme="minorHAnsi"/>
                <w:b w:val="0"/>
                <w:sz w:val="20"/>
                <w:szCs w:val="20"/>
                <w:vertAlign w:val="subscript"/>
              </w:rPr>
              <w:t>2</w:t>
            </w:r>
            <w:r w:rsidRPr="00B94E23">
              <w:rPr>
                <w:rFonts w:cstheme="minorHAnsi"/>
                <w:b w:val="0"/>
                <w:sz w:val="20"/>
                <w:szCs w:val="20"/>
              </w:rPr>
              <w:t>.</w:t>
            </w:r>
          </w:p>
          <w:p w14:paraId="3A60AEC1" w14:textId="77777777" w:rsidR="00A75E34" w:rsidRPr="00B94E23" w:rsidRDefault="00A75E34" w:rsidP="0070612A">
            <w:pPr>
              <w:rPr>
                <w:rFonts w:eastAsia="Calibri" w:cstheme="minorHAnsi"/>
                <w:b w:val="0"/>
                <w:sz w:val="20"/>
                <w:szCs w:val="20"/>
              </w:rPr>
            </w:pPr>
            <w:r w:rsidRPr="00B94E23">
              <w:rPr>
                <w:rFonts w:cstheme="minorHAnsi"/>
                <w:b w:val="0"/>
                <w:sz w:val="20"/>
                <w:szCs w:val="20"/>
              </w:rPr>
              <w:t>V rámci PP ÚE nedochází k rozvoji energetických služeb se zaručeným výsledkem, neboť v rámci PP doposud nebylo vyřešeno, za jakých podmínek by služby EPC mohly fungovat. V současné době tedy platí, že z PP ÚE nemůže být podpořen projekty využívající EPC.</w:t>
            </w:r>
          </w:p>
        </w:tc>
        <w:tc>
          <w:tcPr>
            <w:tcW w:w="7371" w:type="dxa"/>
          </w:tcPr>
          <w:p w14:paraId="2A1CF2E3"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rPr>
              <w:t>2014-2020: Snažit se o maximální urychlení vyhodnocení projektů ze IV. výzvy a nastavit podmínky V. výzvy tak, aby byly zvýhodňovány projekty s vyšším příspěvkem na snižování emisí skleníkových plynů.</w:t>
            </w:r>
          </w:p>
        </w:tc>
      </w:tr>
      <w:tr w:rsidR="00A75E34" w:rsidRPr="00B94E23" w14:paraId="61D76153"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C5D76AE" w14:textId="77777777" w:rsidR="00A75E34" w:rsidRPr="00B94E23" w:rsidRDefault="00A75E34" w:rsidP="0070612A">
            <w:pPr>
              <w:rPr>
                <w:rFonts w:eastAsia="Calibri" w:cstheme="minorHAnsi"/>
                <w:sz w:val="20"/>
                <w:szCs w:val="20"/>
              </w:rPr>
            </w:pPr>
          </w:p>
        </w:tc>
        <w:tc>
          <w:tcPr>
            <w:tcW w:w="7371" w:type="dxa"/>
          </w:tcPr>
          <w:p w14:paraId="589EDED4"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cstheme="minorHAnsi"/>
                <w:sz w:val="20"/>
                <w:szCs w:val="20"/>
              </w:rPr>
              <w:t>2014-2020: Pracovat na nadefinování podmínek, za jakých by bylo možné podporovat projekty využívající EPC vč. zjištění zájmu o využití těchto služeb ze strany podnikatelů.</w:t>
            </w:r>
          </w:p>
        </w:tc>
      </w:tr>
      <w:tr w:rsidR="00A75E34" w:rsidRPr="00B94E23" w14:paraId="56F4B8ED"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1EBDA617" w14:textId="77777777" w:rsidR="00A75E34" w:rsidRPr="00B94E23" w:rsidRDefault="00A75E34" w:rsidP="0070612A">
            <w:pPr>
              <w:rPr>
                <w:rFonts w:eastAsia="Calibri" w:cstheme="minorHAnsi"/>
                <w:sz w:val="20"/>
                <w:szCs w:val="20"/>
              </w:rPr>
            </w:pPr>
          </w:p>
        </w:tc>
        <w:tc>
          <w:tcPr>
            <w:tcW w:w="7371" w:type="dxa"/>
          </w:tcPr>
          <w:p w14:paraId="6C997A46"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cstheme="minorHAnsi"/>
                <w:sz w:val="20"/>
                <w:szCs w:val="20"/>
                <w:lang w:eastAsia="sk-SK"/>
              </w:rPr>
              <w:t>2021-2027: Maximálně zjednodušit administraci při přípravě a realizaci projektu pro žadatele/příjemce.</w:t>
            </w:r>
          </w:p>
        </w:tc>
      </w:tr>
      <w:tr w:rsidR="00A75E34" w:rsidRPr="00B94E23" w14:paraId="1E5EEC54"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56752B7" w14:textId="77777777" w:rsidR="00A75E34" w:rsidRPr="00B94E23" w:rsidRDefault="00A75E34" w:rsidP="0070612A">
            <w:pPr>
              <w:rPr>
                <w:rFonts w:eastAsia="Calibri" w:cstheme="minorHAnsi"/>
                <w:sz w:val="20"/>
                <w:szCs w:val="20"/>
              </w:rPr>
            </w:pPr>
            <w:r w:rsidRPr="00B94E23">
              <w:rPr>
                <w:rFonts w:eastAsia="Calibri" w:cstheme="minorHAnsi"/>
                <w:sz w:val="20"/>
                <w:szCs w:val="20"/>
              </w:rPr>
              <w:lastRenderedPageBreak/>
              <w:t>EO9 (NUT): Jak přispěly intervence realizované v rámci programu podpory Nízkouhlíkové technologie k dosahování SC 3.4 OP PIK?</w:t>
            </w:r>
          </w:p>
        </w:tc>
        <w:tc>
          <w:tcPr>
            <w:tcW w:w="7371" w:type="dxa"/>
          </w:tcPr>
          <w:p w14:paraId="67DCD832"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75E34" w:rsidRPr="00B94E23" w14:paraId="24900C91"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3A9D1727" w14:textId="77777777" w:rsidR="00A75E34" w:rsidRPr="00B94E23" w:rsidRDefault="00A75E34" w:rsidP="0070612A">
            <w:pPr>
              <w:rPr>
                <w:rFonts w:eastAsia="Calibri" w:cstheme="minorHAnsi"/>
                <w:b w:val="0"/>
                <w:sz w:val="20"/>
                <w:szCs w:val="20"/>
              </w:rPr>
            </w:pPr>
            <w:r w:rsidRPr="00B94E23">
              <w:rPr>
                <w:rFonts w:eastAsia="Calibri" w:cstheme="minorHAnsi"/>
                <w:b w:val="0"/>
                <w:sz w:val="20"/>
                <w:szCs w:val="20"/>
              </w:rPr>
              <w:t>Dosavadní věcný pokrok při dosahování kvantifikovaných cílů SC 3.4 lze zatím hodnotit jako neuspokojivý, nicméně existuje potenciál pro výrazný nárůst hodnot indikátorů i pro dosažení cílů do konce programového období.</w:t>
            </w:r>
          </w:p>
          <w:p w14:paraId="378DF555" w14:textId="77777777" w:rsidR="00A75E34" w:rsidRPr="00B94E23" w:rsidRDefault="00A75E34" w:rsidP="0070612A">
            <w:pPr>
              <w:rPr>
                <w:rFonts w:eastAsia="Calibri" w:cstheme="minorHAnsi"/>
                <w:b w:val="0"/>
                <w:sz w:val="20"/>
                <w:szCs w:val="20"/>
              </w:rPr>
            </w:pPr>
            <w:r w:rsidRPr="00B94E23">
              <w:rPr>
                <w:rFonts w:eastAsia="Calibri" w:cstheme="minorHAnsi"/>
                <w:b w:val="0"/>
                <w:sz w:val="20"/>
                <w:szCs w:val="20"/>
              </w:rPr>
              <w:t>Z pohledu definovaných výsledků, kterých chce ČR dosáhnout s podporou Unie, lze pozorovat pozitivní vývojové trendy. Vliv intervencí SC 3.4 je však možno považovat spíše za nevýznamný, a to i s ohledem na malý počet ukončených projektů. Určitou výjimku tvoří oblast elektromobility.</w:t>
            </w:r>
          </w:p>
          <w:p w14:paraId="5C098044" w14:textId="77777777" w:rsidR="00A75E34" w:rsidRPr="00B94E23" w:rsidRDefault="00A75E34" w:rsidP="0070612A">
            <w:pPr>
              <w:rPr>
                <w:rFonts w:eastAsia="Calibri" w:cstheme="minorHAnsi"/>
                <w:b w:val="0"/>
                <w:sz w:val="20"/>
                <w:szCs w:val="20"/>
              </w:rPr>
            </w:pPr>
            <w:r w:rsidRPr="00B94E23">
              <w:rPr>
                <w:rFonts w:eastAsia="Calibri" w:cstheme="minorHAnsi"/>
                <w:b w:val="0"/>
                <w:sz w:val="20"/>
                <w:szCs w:val="20"/>
              </w:rPr>
              <w:t xml:space="preserve">Lze konstatovat, že zavádění inovativních nízkouhlíkových technologií vede v podpořených podnicích ke snížení nákladů, a tím k růstu konkurenceschopnosti.   </w:t>
            </w:r>
          </w:p>
        </w:tc>
        <w:tc>
          <w:tcPr>
            <w:tcW w:w="7371" w:type="dxa"/>
          </w:tcPr>
          <w:p w14:paraId="738A87FE" w14:textId="77777777"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Posouzení příspěvku intervencí realizovaných v rámci PP NUT k dosahování SC 3.4 OP PIK i vlivu NUT na ekonomiku podpořených podniků provést v rámci ex post evaluace SC 3.4.</w:t>
            </w:r>
          </w:p>
        </w:tc>
      </w:tr>
      <w:tr w:rsidR="00A75E34" w:rsidRPr="00B94E23" w14:paraId="6FB0BCA1"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53EE2BA" w14:textId="77777777" w:rsidR="00A75E34" w:rsidRPr="00B94E23" w:rsidRDefault="00A75E34" w:rsidP="0070612A">
            <w:pPr>
              <w:rPr>
                <w:rFonts w:eastAsia="Calibri" w:cstheme="minorHAnsi"/>
                <w:sz w:val="20"/>
                <w:szCs w:val="20"/>
              </w:rPr>
            </w:pPr>
          </w:p>
        </w:tc>
        <w:tc>
          <w:tcPr>
            <w:tcW w:w="7371" w:type="dxa"/>
          </w:tcPr>
          <w:p w14:paraId="188CE16C" w14:textId="77777777" w:rsidR="00A75E34" w:rsidRPr="00B94E23" w:rsidRDefault="00A75E34" w:rsidP="0070612A">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Zachovat podporu zavádění inovativních NUT v oblasti nakládání energií a využívání druhotných surovin, v souladu s konceptem oběhového hospodářství.</w:t>
            </w:r>
          </w:p>
        </w:tc>
      </w:tr>
      <w:tr w:rsidR="00A75E34" w:rsidRPr="00B94E23" w14:paraId="2579786D"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6A4168DE" w14:textId="77777777" w:rsidR="00A75E34" w:rsidRPr="00B94E23" w:rsidRDefault="00A75E34" w:rsidP="0070612A">
            <w:pPr>
              <w:rPr>
                <w:rFonts w:eastAsia="Calibri" w:cstheme="minorHAnsi"/>
                <w:sz w:val="20"/>
                <w:szCs w:val="20"/>
              </w:rPr>
            </w:pPr>
            <w:r w:rsidRPr="00B94E23">
              <w:rPr>
                <w:rFonts w:eastAsia="Calibri" w:cstheme="minorHAnsi"/>
                <w:sz w:val="20"/>
                <w:szCs w:val="20"/>
              </w:rPr>
              <w:t>EO10 (NUT): Jaké jsou aktuální trendy v zavádění inovativních nízkouhlíkových technologií v oblasti nakládání energií a při využívání druhotných surovin? Reaguje SC 3.4 na tyto trendy? Lze díky působení SC 3.4 pozorovat vzestupný trend uplatnění nějaké konkrétní inovativní nízkouhlíkové technologie, která se dříve běžně v ČR komerčně neuplatňovala?</w:t>
            </w:r>
          </w:p>
        </w:tc>
        <w:tc>
          <w:tcPr>
            <w:tcW w:w="7371" w:type="dxa"/>
          </w:tcPr>
          <w:p w14:paraId="6A60FA91" w14:textId="5F185D9B" w:rsidR="00A75E34" w:rsidRPr="00B94E23" w:rsidRDefault="00A75E34" w:rsidP="0070612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1B4B42CA"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7B99C77"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Mezi hlavní aktuální trendy v zavádění inovativních NUT v oblasti nakládání energií patří zejména:</w:t>
            </w:r>
          </w:p>
          <w:p w14:paraId="56B46AE1"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koncept Smart Cities,</w:t>
            </w:r>
          </w:p>
          <w:p w14:paraId="627517EC"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nové zdroje energie,</w:t>
            </w:r>
          </w:p>
          <w:p w14:paraId="41239EF0"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decentralizace energie,</w:t>
            </w:r>
          </w:p>
          <w:p w14:paraId="0E952DBD"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akumulace energie,</w:t>
            </w:r>
          </w:p>
          <w:p w14:paraId="0C086941"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modernizace a digitalizace energetických sítí,</w:t>
            </w:r>
          </w:p>
          <w:p w14:paraId="39BAA1EE"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chytré budovy,</w:t>
            </w:r>
          </w:p>
          <w:p w14:paraId="47E2ED98"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bezemisní doprava nebo</w:t>
            </w:r>
          </w:p>
          <w:p w14:paraId="67C1BAA8"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využití metanu v energetice a v dopravě.</w:t>
            </w:r>
          </w:p>
          <w:p w14:paraId="0E22A217" w14:textId="6B98AC2D" w:rsidR="005F5AA1" w:rsidRPr="00B94E23" w:rsidRDefault="005F5AA1" w:rsidP="005F5AA1">
            <w:pPr>
              <w:rPr>
                <w:rFonts w:eastAsia="Calibri" w:cstheme="minorHAnsi"/>
                <w:b w:val="0"/>
                <w:sz w:val="20"/>
                <w:szCs w:val="20"/>
              </w:rPr>
            </w:pPr>
            <w:r w:rsidRPr="00B94E23">
              <w:rPr>
                <w:rFonts w:eastAsia="Calibri" w:cstheme="minorHAnsi"/>
                <w:b w:val="0"/>
                <w:sz w:val="20"/>
                <w:szCs w:val="20"/>
              </w:rPr>
              <w:t xml:space="preserve">Trendy v oblasti druhotných surovin </w:t>
            </w:r>
            <w:r w:rsidR="00AE54ED">
              <w:rPr>
                <w:rFonts w:eastAsia="Calibri" w:cstheme="minorHAnsi"/>
                <w:b w:val="0"/>
                <w:sz w:val="20"/>
                <w:szCs w:val="20"/>
              </w:rPr>
              <w:t xml:space="preserve">jsou širšího charakteru, </w:t>
            </w:r>
            <w:r w:rsidRPr="00B94E23">
              <w:rPr>
                <w:rFonts w:eastAsia="Calibri" w:cstheme="minorHAnsi"/>
                <w:b w:val="0"/>
                <w:sz w:val="20"/>
                <w:szCs w:val="20"/>
              </w:rPr>
              <w:t xml:space="preserve">což je dáno spektrem </w:t>
            </w:r>
            <w:r w:rsidR="00F77AF1">
              <w:rPr>
                <w:rFonts w:eastAsia="Calibri" w:cstheme="minorHAnsi"/>
                <w:b w:val="0"/>
                <w:sz w:val="20"/>
                <w:szCs w:val="20"/>
              </w:rPr>
              <w:t xml:space="preserve">a různorodostí </w:t>
            </w:r>
            <w:r w:rsidRPr="00B94E23">
              <w:rPr>
                <w:rFonts w:eastAsia="Calibri" w:cstheme="minorHAnsi"/>
                <w:b w:val="0"/>
                <w:sz w:val="20"/>
                <w:szCs w:val="20"/>
              </w:rPr>
              <w:t>kategorií.</w:t>
            </w:r>
          </w:p>
          <w:p w14:paraId="61B104C6"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lastRenderedPageBreak/>
              <w:t xml:space="preserve">SC 3.4 reaguje na trendy v zavádění inovativních NUT; plné využití potenciálu v této oblasti je však limitováno nedostatečným legislativním rámcem a také pravidly veřejné podpory. </w:t>
            </w:r>
          </w:p>
          <w:p w14:paraId="795B0544" w14:textId="5F111783" w:rsidR="005F5AA1" w:rsidRPr="00B94E23" w:rsidRDefault="005F5AA1" w:rsidP="005F5AA1">
            <w:pPr>
              <w:rPr>
                <w:rFonts w:eastAsia="Calibri" w:cstheme="minorHAnsi"/>
                <w:sz w:val="20"/>
                <w:szCs w:val="20"/>
              </w:rPr>
            </w:pPr>
            <w:r w:rsidRPr="00B94E23">
              <w:rPr>
                <w:rFonts w:eastAsia="Calibri" w:cstheme="minorHAnsi"/>
                <w:b w:val="0"/>
                <w:sz w:val="20"/>
                <w:szCs w:val="20"/>
              </w:rPr>
              <w:t xml:space="preserve">V důsledku působení SC 3.4 nebyl zatím pozorován vzestupný trend uplatnění žádné konkrétní inovativní nízkouhlíkové technologie, která se dříve běžně v ČR komerčně neuplatňovala. Aktuálně je největší potenciál spatřován zejména v oblasti akumulace energie. </w:t>
            </w:r>
          </w:p>
        </w:tc>
        <w:tc>
          <w:tcPr>
            <w:tcW w:w="7371" w:type="dxa"/>
          </w:tcPr>
          <w:p w14:paraId="33E60B46" w14:textId="37695E3B"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lastRenderedPageBreak/>
              <w:t>2014-2020: Posouzení příspěvku SC 3.4 k zavádění inovativních NUT provést v rámci ex post evaluace.</w:t>
            </w:r>
          </w:p>
        </w:tc>
      </w:tr>
      <w:tr w:rsidR="005F5AA1" w:rsidRPr="00B94E23" w14:paraId="27C6D2D6"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7BD43A74" w14:textId="69B61EC2" w:rsidR="005F5AA1" w:rsidRPr="00B94E23" w:rsidRDefault="005F5AA1" w:rsidP="005F5AA1">
            <w:pPr>
              <w:rPr>
                <w:rFonts w:eastAsia="Calibri" w:cstheme="minorHAnsi"/>
                <w:b w:val="0"/>
                <w:sz w:val="20"/>
                <w:szCs w:val="20"/>
              </w:rPr>
            </w:pPr>
          </w:p>
        </w:tc>
        <w:tc>
          <w:tcPr>
            <w:tcW w:w="7371" w:type="dxa"/>
          </w:tcPr>
          <w:p w14:paraId="5818B420" w14:textId="34597A02" w:rsidR="0055357F" w:rsidRPr="0055357F" w:rsidRDefault="005F5AA1" w:rsidP="0055357F">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 xml:space="preserve">2014-2020: Rozvíjet komunikační a propagační aktivity zaměřené na diseminaci výsledků PP NUT směrem k cílovým skupinám. </w:t>
            </w:r>
            <w:r w:rsidR="0055357F" w:rsidRPr="0055357F">
              <w:rPr>
                <w:rFonts w:eastAsia="Calibri" w:cstheme="minorHAnsi"/>
                <w:sz w:val="20"/>
                <w:szCs w:val="20"/>
              </w:rPr>
              <w:t xml:space="preserve">Do těchto aktivit zapojovat podpořené příjemce, kteří mají povinnost realizovat diseminační aktivity. Může se jednat např. o tematicky zaměřené semináře organizované API s účastí příjemců nebo společné účasti/prezentace na výstavách a veletrzích. </w:t>
            </w:r>
          </w:p>
          <w:p w14:paraId="17D37F49" w14:textId="5B123275" w:rsidR="005F5AA1" w:rsidRPr="00B94E23" w:rsidRDefault="0055357F" w:rsidP="0055357F">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5357F">
              <w:rPr>
                <w:rFonts w:eastAsia="Calibri" w:cstheme="minorHAnsi"/>
                <w:sz w:val="20"/>
                <w:szCs w:val="20"/>
              </w:rPr>
              <w:t>Ke zvážení je i vytvoření specializované webové prezentace aplikovaných inovativních NUT v oblasti nakládání energií a využívání druhotných surovin s podporou OP PIK</w:t>
            </w:r>
            <w:r w:rsidR="005F5AA1" w:rsidRPr="00B94E23">
              <w:rPr>
                <w:rFonts w:eastAsia="Calibri" w:cstheme="minorHAnsi"/>
                <w:sz w:val="20"/>
                <w:szCs w:val="20"/>
              </w:rPr>
              <w:t xml:space="preserve">.  </w:t>
            </w:r>
          </w:p>
        </w:tc>
      </w:tr>
      <w:tr w:rsidR="005F5AA1" w:rsidRPr="00B94E23" w14:paraId="69CCD69E"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19321E1" w14:textId="77777777" w:rsidR="005F5AA1" w:rsidRPr="00B94E23" w:rsidRDefault="005F5AA1" w:rsidP="005F5AA1">
            <w:pPr>
              <w:rPr>
                <w:rFonts w:eastAsia="Calibri" w:cstheme="minorHAnsi"/>
                <w:sz w:val="20"/>
                <w:szCs w:val="20"/>
              </w:rPr>
            </w:pPr>
          </w:p>
        </w:tc>
        <w:tc>
          <w:tcPr>
            <w:tcW w:w="7371" w:type="dxa"/>
          </w:tcPr>
          <w:p w14:paraId="548768D0"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Zachovat podporu zavádění inovativních NUT v oblasti nakládání energií a využívání druhotných surovin, v souladu s konceptem oběhového hospodářství.</w:t>
            </w:r>
          </w:p>
        </w:tc>
      </w:tr>
      <w:tr w:rsidR="005F5AA1" w:rsidRPr="00B94E23" w14:paraId="1D353F8E"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72524A2E" w14:textId="0F7BDFE6" w:rsidR="005F5AA1" w:rsidRPr="00B94E23" w:rsidRDefault="005F5AA1" w:rsidP="005F5AA1">
            <w:pPr>
              <w:rPr>
                <w:rFonts w:eastAsia="Calibri" w:cstheme="minorHAnsi"/>
                <w:sz w:val="20"/>
                <w:szCs w:val="20"/>
              </w:rPr>
            </w:pPr>
            <w:r w:rsidRPr="00B94E23">
              <w:rPr>
                <w:rFonts w:eastAsia="Calibri" w:cstheme="minorHAnsi"/>
                <w:sz w:val="20"/>
                <w:szCs w:val="20"/>
              </w:rPr>
              <w:t>EO11 (NUT): Dochází vlivem podpořených projektů ke zvýšení soběstačnosti ČR v surovinových zdrojích substitucí primárních zdrojů druhotnými surovinami? Ve kterých odvětvích dochází</w:t>
            </w:r>
            <w:r w:rsidR="0055357F">
              <w:rPr>
                <w:rFonts w:eastAsia="Calibri" w:cstheme="minorHAnsi"/>
                <w:sz w:val="20"/>
                <w:szCs w:val="20"/>
              </w:rPr>
              <w:t xml:space="preserve"> k</w:t>
            </w:r>
            <w:r w:rsidRPr="00B94E23">
              <w:rPr>
                <w:rFonts w:eastAsia="Calibri" w:cstheme="minorHAnsi"/>
                <w:sz w:val="20"/>
                <w:szCs w:val="20"/>
              </w:rPr>
              <w:t xml:space="preserve"> největšímu snížení energetické a materiálové náročnosti?</w:t>
            </w:r>
          </w:p>
        </w:tc>
        <w:tc>
          <w:tcPr>
            <w:tcW w:w="7371" w:type="dxa"/>
          </w:tcPr>
          <w:p w14:paraId="59F4BE4C"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5B984355"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D3EB2D"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Hodnotitel neidentifikoval bezprostřední, významný vliv dosud podpořených projektů v typové aktivitě „druhotné suroviny“ na zvýšení soběstačnosti ČR v surovinových zdrojích substitucí primárních zdrojů druhotnými surovinami. Lze uvažovat spíše o potenciálu těchto projektů z pohledu širšího využití zaváděných technologií do budoucna.</w:t>
            </w:r>
          </w:p>
          <w:p w14:paraId="42F1E6DA"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K největšímu snížení energetické náročnosti dochází v posledních letech zejména v odvětvích chemického a petrochemického průmyslu, textilního a kožedělného, papírenského a dřevozpracujícího průmyslu.</w:t>
            </w:r>
          </w:p>
          <w:p w14:paraId="55321A4D"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K největšímu snížení materiálové náročnosti došlo v průměru za poslední 3 sledované roky v odvětvích výroby tabákových výrobků, výroby usní a souvisejících produktů, výroby chemických látek a přípravků a výroby nápojů.</w:t>
            </w:r>
          </w:p>
        </w:tc>
        <w:tc>
          <w:tcPr>
            <w:tcW w:w="7371" w:type="dxa"/>
          </w:tcPr>
          <w:p w14:paraId="7E27E565"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Posouzení příspěvku SC 3.4 ke zvýšení soběstačnosti ČR v surovinových zdrojích substitucí primárních zdrojů druhotnými surovinami provést v rámci ex post evaluace.</w:t>
            </w:r>
          </w:p>
        </w:tc>
      </w:tr>
      <w:tr w:rsidR="005F5AA1" w:rsidRPr="00B94E23" w14:paraId="071C5E32"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7B5C0697" w14:textId="77777777" w:rsidR="005F5AA1" w:rsidRPr="00B94E23" w:rsidRDefault="005F5AA1" w:rsidP="005F5AA1">
            <w:pPr>
              <w:rPr>
                <w:rFonts w:eastAsia="Calibri" w:cstheme="minorHAnsi"/>
                <w:sz w:val="20"/>
                <w:szCs w:val="20"/>
              </w:rPr>
            </w:pPr>
          </w:p>
        </w:tc>
        <w:tc>
          <w:tcPr>
            <w:tcW w:w="7371" w:type="dxa"/>
          </w:tcPr>
          <w:p w14:paraId="1475D295"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Zachovat a rozvíjet podporu zavádění inovativních NUT v oblasti využívání druhotných surovin, v souladu s konceptem oběhového hospodářství.</w:t>
            </w:r>
          </w:p>
        </w:tc>
      </w:tr>
      <w:tr w:rsidR="0055357F" w:rsidRPr="00B94E23" w14:paraId="14857D40"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CFE27B" w14:textId="77777777" w:rsidR="0055357F" w:rsidRPr="00B94E23" w:rsidRDefault="0055357F" w:rsidP="005F5AA1">
            <w:pPr>
              <w:rPr>
                <w:rFonts w:eastAsia="Calibri" w:cstheme="minorHAnsi"/>
                <w:sz w:val="20"/>
                <w:szCs w:val="20"/>
              </w:rPr>
            </w:pPr>
          </w:p>
        </w:tc>
        <w:tc>
          <w:tcPr>
            <w:tcW w:w="7371" w:type="dxa"/>
          </w:tcPr>
          <w:p w14:paraId="0D306453" w14:textId="60B2E1A5" w:rsidR="0055357F" w:rsidRPr="00B94E23" w:rsidRDefault="0055357F"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Pr>
                <w:rFonts w:eastAsia="Calibri" w:cstheme="minorHAnsi"/>
                <w:sz w:val="20"/>
                <w:szCs w:val="20"/>
              </w:rPr>
              <w:t xml:space="preserve">2021-2027: </w:t>
            </w:r>
            <w:r w:rsidRPr="0055357F">
              <w:rPr>
                <w:rFonts w:eastAsia="Calibri" w:cstheme="minorHAnsi"/>
                <w:sz w:val="20"/>
                <w:szCs w:val="20"/>
              </w:rPr>
              <w:t>V typové aktivitě „druhotné suroviny“ upřednostňovat projekty zaměřené na materiálově nejnáročnější průmyslová odvětví (např. formou bodové bonifikace v hodnotících kritériích).</w:t>
            </w:r>
          </w:p>
        </w:tc>
      </w:tr>
      <w:tr w:rsidR="005F5AA1" w:rsidRPr="00B94E23" w14:paraId="4A518DB1"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66566340" w14:textId="77777777" w:rsidR="005F5AA1" w:rsidRPr="00B94E23" w:rsidRDefault="005F5AA1" w:rsidP="005F5AA1">
            <w:pPr>
              <w:rPr>
                <w:rFonts w:eastAsia="Calibri" w:cstheme="minorHAnsi"/>
                <w:sz w:val="20"/>
                <w:szCs w:val="20"/>
              </w:rPr>
            </w:pPr>
            <w:r w:rsidRPr="00B94E23">
              <w:rPr>
                <w:rFonts w:eastAsia="Calibri" w:cstheme="minorHAnsi"/>
                <w:sz w:val="20"/>
                <w:szCs w:val="20"/>
              </w:rPr>
              <w:t>EO12 (NUT): Jaké je procentuální rozložení jednotlivých typů podporovaných aktivit mezi podpořenými projekty z hlediska a) jejich počtu, b) výše podpory?</w:t>
            </w:r>
          </w:p>
        </w:tc>
        <w:tc>
          <w:tcPr>
            <w:tcW w:w="7371" w:type="dxa"/>
          </w:tcPr>
          <w:p w14:paraId="1B2A8C35"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388D653B"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5B5A13C"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 xml:space="preserve">V dosavadním průběhu realizace PP NUT jsou podporovány 4 typové aktivity. </w:t>
            </w:r>
          </w:p>
          <w:p w14:paraId="13F73DC9"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Největší zastoupení mezi podpořenými projekty má typová aktivita a) „elektromobilita“ (65 %), nejmenší naopak typová aktivita d) „úprava bioplynu na biometan a jeho vtláčení do sítě“, kde byl ke konci roku 2018 zatím pouze 1 schválený projekt.</w:t>
            </w:r>
          </w:p>
          <w:p w14:paraId="0F0A0A56"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Z hlediska celkového objemu dosud přiznané podpory připadá největší část na aktivitu b) „akumulace energie“ (38 %) a aktivitu c) „druhotné suroviny“ (35,7 %).</w:t>
            </w:r>
          </w:p>
          <w:p w14:paraId="0F3B2F35"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Nejvyšší průměrná výše přiznané podpory na 1 projekt je v aktivitě c) „druhotné suroviny“.</w:t>
            </w:r>
          </w:p>
        </w:tc>
        <w:tc>
          <w:tcPr>
            <w:tcW w:w="7371" w:type="dxa"/>
          </w:tcPr>
          <w:p w14:paraId="6C8EACF0"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5F5AA1" w:rsidRPr="00B94E23" w14:paraId="2BB83A03"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23714D98" w14:textId="77777777" w:rsidR="005F5AA1" w:rsidRPr="00B94E23" w:rsidRDefault="005F5AA1" w:rsidP="005F5AA1">
            <w:pPr>
              <w:rPr>
                <w:rFonts w:eastAsia="Calibri" w:cstheme="minorHAnsi"/>
                <w:sz w:val="20"/>
                <w:szCs w:val="20"/>
              </w:rPr>
            </w:pPr>
            <w:r w:rsidRPr="00B94E23">
              <w:rPr>
                <w:rFonts w:eastAsia="Calibri" w:cstheme="minorHAnsi"/>
                <w:sz w:val="20"/>
                <w:szCs w:val="20"/>
              </w:rPr>
              <w:t>EO13 (OZE, ÚE, NUT): Jaké jsou nezamýšlené (pozitivní i negativní) efekty v rámci dosahování těchto cílů?</w:t>
            </w:r>
          </w:p>
        </w:tc>
        <w:tc>
          <w:tcPr>
            <w:tcW w:w="7371" w:type="dxa"/>
          </w:tcPr>
          <w:p w14:paraId="4CBA8CCC"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53BBA4A8"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5965F01"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Většina příjemců neidentifikovala žádné nezamýšlené efekty, ať pozitivního či negativního charakteru.</w:t>
            </w:r>
          </w:p>
          <w:p w14:paraId="04C78202"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Pozitivní neočekávané efekty:</w:t>
            </w:r>
          </w:p>
          <w:p w14:paraId="74D335A1"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vyšší účinnost pořízené technologie (SC 3.1)</w:t>
            </w:r>
          </w:p>
          <w:p w14:paraId="65BD5673"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snížení nákladů pro odběratele tepla z OZE (SC 3.1)</w:t>
            </w:r>
          </w:p>
          <w:p w14:paraId="2BAA6873"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zlepšení vzhledu budovy v důsledku jejího zateplení (SC 3.2)</w:t>
            </w:r>
          </w:p>
          <w:p w14:paraId="4375C21E"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teplotní pohoda a více světla v provozních prostorách firmy (SC 3.2)</w:t>
            </w:r>
          </w:p>
          <w:p w14:paraId="17A4D789"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snížení emisí při výrobě tepla (SC 3.2)</w:t>
            </w:r>
          </w:p>
          <w:p w14:paraId="29ED660F"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zájem širšího okolí o pořízené technologie (SC 3.4)</w:t>
            </w:r>
          </w:p>
          <w:p w14:paraId="13710546"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 xml:space="preserve">iniciace dalších nápadů (SC 3.4)  </w:t>
            </w:r>
          </w:p>
          <w:p w14:paraId="71E40E44"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Negativní neočekávané efekty:</w:t>
            </w:r>
          </w:p>
          <w:p w14:paraId="55043D9D"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objekty napojené teplovodem na BPS toto teplo nevyužívají a dál topí fosilními palivy (SC 3.1)</w:t>
            </w:r>
          </w:p>
          <w:p w14:paraId="1EBC9411"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lastRenderedPageBreak/>
              <w:t>velká administrativní zátěž a dlouhá doba vyhodnocování žádosti o dotaci (SC 3.2, SC 3.4)</w:t>
            </w:r>
          </w:p>
          <w:p w14:paraId="43891675"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nižší dopad úsporných opatření v důsledku růstu cen energií (SC 3.2)</w:t>
            </w:r>
          </w:p>
          <w:p w14:paraId="7D2F6EE0"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oproti plánům vyšší náklady projektu (SC 3.2)</w:t>
            </w:r>
          </w:p>
          <w:p w14:paraId="1FBD888E" w14:textId="77777777" w:rsidR="005F5AA1" w:rsidRPr="00B94E23" w:rsidRDefault="005F5AA1" w:rsidP="005F5AA1">
            <w:pPr>
              <w:pStyle w:val="Odstavecseseznamem"/>
              <w:widowControl/>
              <w:numPr>
                <w:ilvl w:val="0"/>
                <w:numId w:val="57"/>
              </w:numPr>
              <w:suppressAutoHyphens w:val="0"/>
              <w:spacing w:line="276" w:lineRule="auto"/>
              <w:ind w:left="316" w:hanging="316"/>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omezující podmínky využití výstupů projektu (SC 3.4)</w:t>
            </w:r>
          </w:p>
        </w:tc>
        <w:tc>
          <w:tcPr>
            <w:tcW w:w="7371" w:type="dxa"/>
          </w:tcPr>
          <w:p w14:paraId="452C68C2"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lastRenderedPageBreak/>
              <w:t>2014-2020: Zrychlit procesy administrace předkládaných žádostí o podporu. Za tímto účelem zvážit krátkodobé posílení administrativní kapacity ŘO, vč. využití externích specialistů.</w:t>
            </w:r>
          </w:p>
        </w:tc>
      </w:tr>
      <w:tr w:rsidR="005F5AA1" w:rsidRPr="00B94E23" w14:paraId="572C8ECE"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60A89420" w14:textId="77777777" w:rsidR="005F5AA1" w:rsidRPr="00B94E23" w:rsidRDefault="005F5AA1" w:rsidP="005F5AA1">
            <w:pPr>
              <w:rPr>
                <w:rFonts w:eastAsia="Calibri" w:cstheme="minorHAnsi"/>
                <w:sz w:val="20"/>
                <w:szCs w:val="20"/>
              </w:rPr>
            </w:pPr>
          </w:p>
        </w:tc>
        <w:tc>
          <w:tcPr>
            <w:tcW w:w="7371" w:type="dxa"/>
          </w:tcPr>
          <w:p w14:paraId="3E477A53"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Posilovat komunikační a propagační aktivity směrem k cílovým skupinám PP s využitím konkrétních příkladů dobré (i špatné) praxe.</w:t>
            </w:r>
          </w:p>
        </w:tc>
      </w:tr>
      <w:tr w:rsidR="005F5AA1" w:rsidRPr="00B94E23" w14:paraId="19CD93E0"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36F47B4" w14:textId="77777777" w:rsidR="005F5AA1" w:rsidRPr="00B94E23" w:rsidRDefault="005F5AA1" w:rsidP="005F5AA1">
            <w:pPr>
              <w:rPr>
                <w:rFonts w:eastAsia="Calibri" w:cstheme="minorHAnsi"/>
                <w:sz w:val="20"/>
                <w:szCs w:val="20"/>
              </w:rPr>
            </w:pPr>
          </w:p>
        </w:tc>
        <w:tc>
          <w:tcPr>
            <w:tcW w:w="7371" w:type="dxa"/>
          </w:tcPr>
          <w:p w14:paraId="3F1EC08C"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Zavést opatření ke zrychlení a zefektivnění systému administrace projektů, ve vhodných případech využít zjednodušených přístupů (např. paušálních sazeb, větší zapojení krajských pracovišť API aj.).</w:t>
            </w:r>
          </w:p>
        </w:tc>
      </w:tr>
      <w:tr w:rsidR="005F5AA1" w:rsidRPr="00B94E23" w14:paraId="429E8904"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7EAECA1E" w14:textId="77777777" w:rsidR="005F5AA1" w:rsidRPr="00B94E23" w:rsidRDefault="005F5AA1" w:rsidP="005F5AA1">
            <w:pPr>
              <w:rPr>
                <w:rFonts w:eastAsia="Calibri" w:cstheme="minorHAnsi"/>
                <w:sz w:val="20"/>
                <w:szCs w:val="20"/>
              </w:rPr>
            </w:pPr>
            <w:r w:rsidRPr="00B94E23">
              <w:rPr>
                <w:rFonts w:eastAsia="Calibri" w:cstheme="minorHAnsi"/>
                <w:sz w:val="20"/>
                <w:szCs w:val="20"/>
              </w:rPr>
              <w:t>EO14 (OZE, ÚE, NUT): Lze předpokládat, že intervence realizované v rámci SC 3.1, 3.2 a 3.4 povedou k trvalému zlepšení identifikovaných problémů? Je v tomto smyslu potřeba dané aktivity podporovat i nadále, nebo se další podpora z hlediska principu 3E nejeví jako smysluplná?</w:t>
            </w:r>
          </w:p>
        </w:tc>
        <w:tc>
          <w:tcPr>
            <w:tcW w:w="7371" w:type="dxa"/>
          </w:tcPr>
          <w:p w14:paraId="128CE79F"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0C9A0E53"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6FB3884"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Byla potvrzena existence souvislostí mezi intervencemi a cíli SC 3.1, 3.2 a 3.4 ve smyslu kauzálního řetězce: vstupy – aktivity – výstupy – okamžité efekty – střednědobé změny – dopady.</w:t>
            </w:r>
          </w:p>
          <w:p w14:paraId="7EB40687"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 xml:space="preserve">Intervence realizované v rámci sledovaných SC mohou přispět k trvalému zlepšení identifikovaných problémů. Nezbytnou podmínkou je naplnění souvisejících předpokladů a rovněž pozitivní působení externích vlivů. </w:t>
            </w:r>
          </w:p>
          <w:p w14:paraId="5B6B5C6E"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Vzhledem k tomu, že:</w:t>
            </w:r>
          </w:p>
          <w:p w14:paraId="40C5DDAC"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a)</w:t>
            </w:r>
            <w:r w:rsidRPr="00B94E23">
              <w:rPr>
                <w:rFonts w:eastAsia="Calibri" w:cstheme="minorHAnsi"/>
                <w:b w:val="0"/>
                <w:sz w:val="20"/>
                <w:szCs w:val="20"/>
              </w:rPr>
              <w:tab/>
              <w:t>plánované cíle SC 3.1, 3.2 a 3.4 nebyly zatím dosaženy a</w:t>
            </w:r>
          </w:p>
          <w:p w14:paraId="01D5F70A"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b)</w:t>
            </w:r>
            <w:r w:rsidRPr="00B94E23">
              <w:rPr>
                <w:rFonts w:eastAsia="Calibri" w:cstheme="minorHAnsi"/>
                <w:b w:val="0"/>
                <w:sz w:val="20"/>
                <w:szCs w:val="20"/>
              </w:rPr>
              <w:tab/>
              <w:t>při poskytování podpory jsou naplňovány principy 3E</w:t>
            </w:r>
          </w:p>
          <w:p w14:paraId="0872EF29"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je potřebné a smysluplné dané aktivity podporovat i nadále.</w:t>
            </w:r>
          </w:p>
        </w:tc>
        <w:tc>
          <w:tcPr>
            <w:tcW w:w="7371" w:type="dxa"/>
          </w:tcPr>
          <w:p w14:paraId="3C4DB809"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Snížit administrativní zátěž žadatelů při podávání žádosti o dotaci např. v souvislosti s dokladováním MSP, prokazování vlastnické struktury.</w:t>
            </w:r>
          </w:p>
        </w:tc>
      </w:tr>
      <w:tr w:rsidR="005F5AA1" w:rsidRPr="00B94E23" w14:paraId="79FEDA21"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0D244146" w14:textId="77777777" w:rsidR="005F5AA1" w:rsidRPr="00B94E23" w:rsidRDefault="005F5AA1" w:rsidP="005F5AA1">
            <w:pPr>
              <w:rPr>
                <w:rFonts w:eastAsia="Calibri" w:cstheme="minorHAnsi"/>
                <w:sz w:val="20"/>
                <w:szCs w:val="20"/>
              </w:rPr>
            </w:pPr>
          </w:p>
        </w:tc>
        <w:tc>
          <w:tcPr>
            <w:tcW w:w="7371" w:type="dxa"/>
          </w:tcPr>
          <w:p w14:paraId="42E8D9F8"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Ve výzvách nestanovovat absolutní maximální výši podpory. Limit stanovit pro celkové způsobilé výdaje projektu (do výše hranice tzv. velkého projektu).</w:t>
            </w:r>
          </w:p>
        </w:tc>
      </w:tr>
      <w:tr w:rsidR="005F5AA1" w:rsidRPr="00B94E23" w14:paraId="0769F342"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103186D" w14:textId="77777777" w:rsidR="005F5AA1" w:rsidRPr="00B94E23" w:rsidRDefault="005F5AA1" w:rsidP="005F5AA1">
            <w:pPr>
              <w:rPr>
                <w:rFonts w:eastAsia="Calibri" w:cstheme="minorHAnsi"/>
                <w:sz w:val="20"/>
                <w:szCs w:val="20"/>
              </w:rPr>
            </w:pPr>
          </w:p>
        </w:tc>
        <w:tc>
          <w:tcPr>
            <w:tcW w:w="7371" w:type="dxa"/>
          </w:tcPr>
          <w:p w14:paraId="2ECCF1EE"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Zachovat a rozvíjet nástroje veřejné podpory v oblasti OZE, energetické účinnosti i inovativních NUT.</w:t>
            </w:r>
          </w:p>
        </w:tc>
      </w:tr>
      <w:tr w:rsidR="005F5AA1" w:rsidRPr="00B94E23" w14:paraId="0CB118CC"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06A5DC82" w14:textId="77777777" w:rsidR="005F5AA1" w:rsidRPr="00B94E23" w:rsidRDefault="005F5AA1" w:rsidP="005F5AA1">
            <w:pPr>
              <w:rPr>
                <w:rFonts w:eastAsia="Calibri" w:cstheme="minorHAnsi"/>
                <w:sz w:val="20"/>
                <w:szCs w:val="20"/>
              </w:rPr>
            </w:pPr>
          </w:p>
        </w:tc>
        <w:tc>
          <w:tcPr>
            <w:tcW w:w="7371" w:type="dxa"/>
          </w:tcPr>
          <w:p w14:paraId="24091D2D"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Zjednodušit věcné hodnocení projektů v oblasti hodnocení hospodárnosti projektu. Aplikovat nástroje zjednodušené metodiky vykazování ve vhodných typových aktivitách.</w:t>
            </w:r>
          </w:p>
        </w:tc>
      </w:tr>
      <w:tr w:rsidR="005F5AA1" w:rsidRPr="00B94E23" w14:paraId="20BD4AD5"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1110E99" w14:textId="77777777" w:rsidR="005F5AA1" w:rsidRPr="00B94E23" w:rsidRDefault="005F5AA1" w:rsidP="005F5AA1">
            <w:pPr>
              <w:rPr>
                <w:rFonts w:eastAsia="Calibri" w:cstheme="minorHAnsi"/>
                <w:sz w:val="20"/>
                <w:szCs w:val="20"/>
              </w:rPr>
            </w:pPr>
          </w:p>
        </w:tc>
        <w:tc>
          <w:tcPr>
            <w:tcW w:w="7371" w:type="dxa"/>
          </w:tcPr>
          <w:p w14:paraId="0669B7D0" w14:textId="19EDCF83"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Snížit administrativní zátěž ŘO spojenou s realizací některých typových aktivit, zejména tam, kde je předkládáno větší množství žádostí o podporu v malých finančních objemech</w:t>
            </w:r>
            <w:r w:rsidR="00EB7F24" w:rsidRPr="00EB7F24">
              <w:rPr>
                <w:rFonts w:eastAsia="Calibri" w:cstheme="minorHAnsi"/>
                <w:sz w:val="20"/>
                <w:szCs w:val="20"/>
              </w:rPr>
              <w:t xml:space="preserve">, a to např. větším zapojením regionálních pracovišť API (zejména </w:t>
            </w:r>
            <w:r w:rsidR="00EB7F24" w:rsidRPr="00EB7F24">
              <w:rPr>
                <w:rFonts w:eastAsia="Calibri" w:cstheme="minorHAnsi"/>
                <w:sz w:val="20"/>
                <w:szCs w:val="20"/>
              </w:rPr>
              <w:lastRenderedPageBreak/>
              <w:t>do procesů věcného hodnocení žádostí o podporu a kontroly vynaložených výdajů/ŽoPl)</w:t>
            </w:r>
            <w:r w:rsidRPr="00B94E23">
              <w:rPr>
                <w:rFonts w:eastAsia="Calibri" w:cstheme="minorHAnsi"/>
                <w:sz w:val="20"/>
                <w:szCs w:val="20"/>
              </w:rPr>
              <w:t>.</w:t>
            </w:r>
          </w:p>
        </w:tc>
      </w:tr>
      <w:tr w:rsidR="005F5AA1" w:rsidRPr="00B94E23" w14:paraId="1145C243"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18EC890F" w14:textId="77777777" w:rsidR="005F5AA1" w:rsidRPr="00B94E23" w:rsidRDefault="005F5AA1" w:rsidP="005F5AA1">
            <w:pPr>
              <w:rPr>
                <w:rFonts w:eastAsia="Calibri" w:cstheme="minorHAnsi"/>
                <w:sz w:val="20"/>
                <w:szCs w:val="20"/>
              </w:rPr>
            </w:pPr>
          </w:p>
        </w:tc>
        <w:tc>
          <w:tcPr>
            <w:tcW w:w="7371" w:type="dxa"/>
          </w:tcPr>
          <w:p w14:paraId="4552B710"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S dostatečným předstihem provést notifikaci veřejné podpory u těch typových aktivit, u kterých není vhodné/možné – na základě dosavadních zkušeností – účinně aplikovat blokové výjimky.</w:t>
            </w:r>
          </w:p>
        </w:tc>
      </w:tr>
      <w:tr w:rsidR="005F5AA1" w:rsidRPr="00B94E23" w14:paraId="17E65A64"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C3A2D40" w14:textId="77777777" w:rsidR="005F5AA1" w:rsidRPr="00B94E23" w:rsidRDefault="005F5AA1" w:rsidP="005F5AA1">
            <w:pPr>
              <w:rPr>
                <w:rFonts w:eastAsia="Calibri" w:cstheme="minorHAnsi"/>
                <w:sz w:val="20"/>
                <w:szCs w:val="20"/>
              </w:rPr>
            </w:pPr>
          </w:p>
        </w:tc>
        <w:tc>
          <w:tcPr>
            <w:tcW w:w="7371" w:type="dxa"/>
          </w:tcPr>
          <w:p w14:paraId="1EE6D0D6"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Zvážit zapojení inovativních finančních nástrojů pro vytvoření dlouhodobého, stabilního systému financování investic v oblasti zvyšování energetické účinnosti.</w:t>
            </w:r>
          </w:p>
        </w:tc>
      </w:tr>
      <w:tr w:rsidR="005F5AA1" w:rsidRPr="00B94E23" w14:paraId="00FA43D7"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7B266E17" w14:textId="77777777" w:rsidR="005F5AA1" w:rsidRPr="00B94E23" w:rsidRDefault="005F5AA1" w:rsidP="005F5AA1">
            <w:pPr>
              <w:rPr>
                <w:rFonts w:eastAsia="Calibri" w:cstheme="minorHAnsi"/>
                <w:sz w:val="20"/>
                <w:szCs w:val="20"/>
              </w:rPr>
            </w:pPr>
            <w:r w:rsidRPr="00B94E23">
              <w:rPr>
                <w:rFonts w:eastAsia="Calibri" w:cstheme="minorHAnsi"/>
                <w:sz w:val="20"/>
                <w:szCs w:val="20"/>
              </w:rPr>
              <w:t>EO15 (OZE, ÚE, NUT): Lze považovat dosažené výsledky z hlediska stanovených cílů za dostatečné? Případně, čeho se nepodařilo dosáhnout a z jakých příčin?</w:t>
            </w:r>
          </w:p>
        </w:tc>
        <w:tc>
          <w:tcPr>
            <w:tcW w:w="7371" w:type="dxa"/>
          </w:tcPr>
          <w:p w14:paraId="0C5A584D"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5F5AA1" w:rsidRPr="00B94E23" w14:paraId="73356097"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C09359F"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 xml:space="preserve">V tematických, resp. problémových oblastech, na které reagují SC 3.1, 3.2 a 3.4, jsou ve sledovaných obdobích zaznamenávány na úrovni celé ČR spíše pozitivní vývojové tendence. </w:t>
            </w:r>
          </w:p>
          <w:p w14:paraId="285AD62D"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 xml:space="preserve">Samotný věcný pokrok předmětných specifických cílů OP PIK ke konci roku 2018 je však hodnocen jako neuspokojivý, v některých případech i rizikový z pohledu plnění kvantifikovaných cílů pro rok 2023. Příčinou není chybné nastavení intervenční logiky těchto SC a/nebo předmětu podpory, ale spíše organizační a administrativní aspekty implementace programů podpory. </w:t>
            </w:r>
          </w:p>
          <w:p w14:paraId="3FD75147" w14:textId="77777777" w:rsidR="005F5AA1" w:rsidRPr="00B94E23" w:rsidRDefault="005F5AA1" w:rsidP="005F5AA1">
            <w:pPr>
              <w:rPr>
                <w:rFonts w:eastAsia="Calibri" w:cstheme="minorHAnsi"/>
                <w:b w:val="0"/>
                <w:sz w:val="20"/>
                <w:szCs w:val="20"/>
              </w:rPr>
            </w:pPr>
            <w:r w:rsidRPr="00B94E23">
              <w:rPr>
                <w:rFonts w:eastAsia="Calibri" w:cstheme="minorHAnsi"/>
                <w:b w:val="0"/>
                <w:sz w:val="20"/>
                <w:szCs w:val="20"/>
              </w:rPr>
              <w:t>Jako hlavní příčiny nedostatečného plnění (interních) výsledků i výstupů byly identifikovány:</w:t>
            </w:r>
          </w:p>
          <w:p w14:paraId="4255F995"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 xml:space="preserve">Časová zpoždění při zahájení implementace PP </w:t>
            </w:r>
          </w:p>
          <w:p w14:paraId="775490C2"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 xml:space="preserve">Pomalý proces hodnocení projektových žádostí </w:t>
            </w:r>
          </w:p>
          <w:p w14:paraId="02425532"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Administrativní zátěž žadatelů</w:t>
            </w:r>
          </w:p>
          <w:p w14:paraId="45CB163D"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Nejednoznačné a netransparentní metodické postupy hodnocení hospodárnosti projektu</w:t>
            </w:r>
          </w:p>
          <w:p w14:paraId="1B20E90C"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Složitá a časově náročná realizace projektů v energetice</w:t>
            </w:r>
          </w:p>
          <w:p w14:paraId="58993565" w14:textId="77777777" w:rsidR="005F5AA1" w:rsidRPr="00B94E23"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b w:val="0"/>
                <w:sz w:val="20"/>
                <w:szCs w:val="20"/>
              </w:rPr>
            </w:pPr>
            <w:r w:rsidRPr="00B94E23">
              <w:rPr>
                <w:rFonts w:asciiTheme="minorHAnsi" w:eastAsia="Calibri" w:hAnsiTheme="minorHAnsi" w:cstheme="minorHAnsi"/>
                <w:b w:val="0"/>
                <w:sz w:val="20"/>
                <w:szCs w:val="20"/>
              </w:rPr>
              <w:t>Limit finanční alokace určené pro velké podniky</w:t>
            </w:r>
          </w:p>
          <w:p w14:paraId="61A5F66E" w14:textId="77777777" w:rsidR="005F5AA1" w:rsidRPr="005561A9" w:rsidRDefault="005F5AA1" w:rsidP="005F5AA1">
            <w:pPr>
              <w:pStyle w:val="Odstavecseseznamem"/>
              <w:widowControl/>
              <w:numPr>
                <w:ilvl w:val="0"/>
                <w:numId w:val="58"/>
              </w:numPr>
              <w:suppressAutoHyphens w:val="0"/>
              <w:spacing w:line="276" w:lineRule="auto"/>
              <w:ind w:left="457" w:hanging="457"/>
              <w:rPr>
                <w:rFonts w:asciiTheme="minorHAnsi" w:eastAsia="Calibri" w:hAnsiTheme="minorHAnsi" w:cstheme="minorHAnsi"/>
                <w:sz w:val="20"/>
                <w:szCs w:val="20"/>
              </w:rPr>
            </w:pPr>
            <w:r w:rsidRPr="00B94E23">
              <w:rPr>
                <w:rFonts w:asciiTheme="minorHAnsi" w:eastAsia="Calibri" w:hAnsiTheme="minorHAnsi" w:cstheme="minorHAnsi"/>
                <w:b w:val="0"/>
                <w:sz w:val="20"/>
                <w:szCs w:val="20"/>
              </w:rPr>
              <w:t>Nedostatečně motivující veřejná podpora, nevyhovující systém blokových výjimek</w:t>
            </w:r>
          </w:p>
          <w:p w14:paraId="5C993261" w14:textId="77777777" w:rsidR="005561A9" w:rsidRPr="005561A9" w:rsidRDefault="005561A9" w:rsidP="005561A9">
            <w:pPr>
              <w:rPr>
                <w:rFonts w:eastAsia="Calibri" w:cstheme="minorHAnsi"/>
                <w:b w:val="0"/>
                <w:bCs w:val="0"/>
                <w:sz w:val="20"/>
                <w:szCs w:val="20"/>
              </w:rPr>
            </w:pPr>
            <w:r w:rsidRPr="005561A9">
              <w:rPr>
                <w:rFonts w:eastAsia="Calibri" w:cstheme="minorHAnsi"/>
                <w:b w:val="0"/>
                <w:bCs w:val="0"/>
                <w:sz w:val="20"/>
                <w:szCs w:val="20"/>
              </w:rPr>
              <w:t xml:space="preserve">Dosažení stanovených cílů a cílových hodnot indikátorů v SC 3.1 do konce programového období 2014-2020 hodnotitel nepředpokládá. </w:t>
            </w:r>
          </w:p>
          <w:p w14:paraId="7C2EA114" w14:textId="77777777" w:rsidR="005561A9" w:rsidRPr="005561A9" w:rsidRDefault="005561A9" w:rsidP="005561A9">
            <w:pPr>
              <w:rPr>
                <w:rFonts w:eastAsia="Calibri" w:cstheme="minorHAnsi"/>
                <w:b w:val="0"/>
                <w:bCs w:val="0"/>
                <w:sz w:val="20"/>
                <w:szCs w:val="20"/>
              </w:rPr>
            </w:pPr>
            <w:r w:rsidRPr="005561A9">
              <w:rPr>
                <w:rFonts w:eastAsia="Calibri" w:cstheme="minorHAnsi"/>
                <w:b w:val="0"/>
                <w:bCs w:val="0"/>
                <w:sz w:val="20"/>
                <w:szCs w:val="20"/>
              </w:rPr>
              <w:t xml:space="preserve">V případě SC 3.2 lze očekávat, že stanovené cíle budou naplněny. </w:t>
            </w:r>
          </w:p>
          <w:p w14:paraId="08A23AD6" w14:textId="3B1CB06D" w:rsidR="005561A9" w:rsidRPr="005561A9" w:rsidRDefault="005561A9" w:rsidP="005561A9">
            <w:pPr>
              <w:spacing w:line="276" w:lineRule="auto"/>
              <w:rPr>
                <w:rFonts w:eastAsia="Calibri" w:cstheme="minorHAnsi"/>
                <w:sz w:val="20"/>
                <w:szCs w:val="20"/>
              </w:rPr>
            </w:pPr>
            <w:r w:rsidRPr="005561A9">
              <w:rPr>
                <w:rFonts w:eastAsia="Calibri" w:cstheme="minorHAnsi"/>
                <w:b w:val="0"/>
                <w:bCs w:val="0"/>
                <w:sz w:val="20"/>
                <w:szCs w:val="20"/>
              </w:rPr>
              <w:lastRenderedPageBreak/>
              <w:t>V případě SC 3.4 hodnotitel očekává dosažení stanovených cílů do konce programového období 2014</w:t>
            </w:r>
            <w:r w:rsidR="00C30EE2">
              <w:rPr>
                <w:rFonts w:eastAsia="Calibri" w:cstheme="minorHAnsi"/>
                <w:b w:val="0"/>
                <w:bCs w:val="0"/>
                <w:sz w:val="20"/>
                <w:szCs w:val="20"/>
              </w:rPr>
              <w:t>-</w:t>
            </w:r>
            <w:r w:rsidRPr="005561A9">
              <w:rPr>
                <w:rFonts w:eastAsia="Calibri" w:cstheme="minorHAnsi"/>
                <w:b w:val="0"/>
                <w:bCs w:val="0"/>
                <w:sz w:val="20"/>
                <w:szCs w:val="20"/>
              </w:rPr>
              <w:t>2020.</w:t>
            </w:r>
          </w:p>
        </w:tc>
        <w:tc>
          <w:tcPr>
            <w:tcW w:w="7371" w:type="dxa"/>
          </w:tcPr>
          <w:p w14:paraId="52B7E0BC" w14:textId="214FE1D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lastRenderedPageBreak/>
              <w:t>2014-2020: Minimalizovat administrativní zátěž žadatelů zavedením opatření doporučených hodnotitelem i diskutovaných v rámci pracovních skupin ŘO</w:t>
            </w:r>
            <w:r w:rsidR="005561A9">
              <w:rPr>
                <w:rFonts w:eastAsia="Calibri" w:cstheme="minorHAnsi"/>
                <w:sz w:val="20"/>
                <w:szCs w:val="20"/>
              </w:rPr>
              <w:t xml:space="preserve">, </w:t>
            </w:r>
            <w:r w:rsidR="005561A9" w:rsidRPr="005561A9">
              <w:rPr>
                <w:rFonts w:eastAsia="Calibri" w:cstheme="minorHAnsi"/>
                <w:sz w:val="20"/>
                <w:szCs w:val="20"/>
              </w:rPr>
              <w:t>např.: sjednotit požadavky na vyplňování položek v elektronických formulářích žádostí v ISKP14+, omezit počty dokumentů podepisovaných žadatelem (jeden podpis na RoPD), zrušit povinnost dokládat originály dokumentů, které jsou veřejně dostupné z informačních systémů veřejné správy (např. výpisy z katastru nemovitostí), omezit rozsah oblastí/bodů v rámci energetického posouzení projektů, zjednodušit/změnit systém dokladování de minimis a statutu MSP, stanovení a dodržování pevných lhůt při kontrole žádostí ze strany ZS a ŘO.</w:t>
            </w:r>
          </w:p>
        </w:tc>
      </w:tr>
      <w:tr w:rsidR="005F5AA1" w:rsidRPr="00B94E23" w14:paraId="2CCD6348"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61C767F4" w14:textId="77777777" w:rsidR="005F5AA1" w:rsidRPr="00B94E23" w:rsidRDefault="005F5AA1" w:rsidP="005F5AA1">
            <w:pPr>
              <w:rPr>
                <w:rFonts w:eastAsia="Calibri" w:cstheme="minorHAnsi"/>
                <w:sz w:val="20"/>
                <w:szCs w:val="20"/>
              </w:rPr>
            </w:pPr>
          </w:p>
        </w:tc>
        <w:tc>
          <w:tcPr>
            <w:tcW w:w="7371" w:type="dxa"/>
          </w:tcPr>
          <w:p w14:paraId="39EBF972"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Zvážit krátkodobé posílení administrativní kapacity ŘO pro hodnocení tak, aby nedocházelo k průtahům při hodnocení žádosti o dotaci, schvalování změn či proplácení žádostí o platbu.</w:t>
            </w:r>
          </w:p>
        </w:tc>
      </w:tr>
      <w:tr w:rsidR="005F5AA1" w:rsidRPr="00B94E23" w14:paraId="2F35E63C"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E6684F7" w14:textId="77777777" w:rsidR="005F5AA1" w:rsidRPr="00B94E23" w:rsidRDefault="005F5AA1" w:rsidP="005F5AA1">
            <w:pPr>
              <w:rPr>
                <w:rFonts w:eastAsia="Calibri" w:cstheme="minorHAnsi"/>
                <w:sz w:val="20"/>
                <w:szCs w:val="20"/>
              </w:rPr>
            </w:pPr>
          </w:p>
        </w:tc>
        <w:tc>
          <w:tcPr>
            <w:tcW w:w="7371" w:type="dxa"/>
          </w:tcPr>
          <w:p w14:paraId="1E07E055"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V souvislosti s plánovanými novými výzvami zintenzivnit propagační a komunikační aktivity směrem k cílovým skupinám, zejm. v nově zařazených odvětvích (cestovní ruch). Zapojit relevantní stakeholdery (oborové organizace, svazy, sdružení apod.).</w:t>
            </w:r>
          </w:p>
        </w:tc>
      </w:tr>
      <w:tr w:rsidR="005F5AA1" w:rsidRPr="00B94E23" w14:paraId="0F0DE097"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41CE5EF8" w14:textId="77777777" w:rsidR="005F5AA1" w:rsidRPr="00B94E23" w:rsidRDefault="005F5AA1" w:rsidP="005F5AA1">
            <w:pPr>
              <w:rPr>
                <w:rFonts w:eastAsia="Calibri" w:cstheme="minorHAnsi"/>
                <w:sz w:val="20"/>
                <w:szCs w:val="20"/>
              </w:rPr>
            </w:pPr>
          </w:p>
        </w:tc>
        <w:tc>
          <w:tcPr>
            <w:tcW w:w="7371" w:type="dxa"/>
          </w:tcPr>
          <w:p w14:paraId="251E1B66"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2014-2020: Ve výzvách nestanovovat absolutní maximální výši podpory. Limit stanovit pro celkové způsobilé výdaje projektu (do výše hranice tzv. velkého projektu).</w:t>
            </w:r>
          </w:p>
        </w:tc>
      </w:tr>
      <w:tr w:rsidR="005F5AA1" w:rsidRPr="00B94E23" w14:paraId="28507E3C" w14:textId="77777777" w:rsidTr="0070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26DADBD" w14:textId="77777777" w:rsidR="005F5AA1" w:rsidRPr="00B94E23" w:rsidRDefault="005F5AA1" w:rsidP="005F5AA1">
            <w:pPr>
              <w:rPr>
                <w:rFonts w:eastAsia="Calibri" w:cstheme="minorHAnsi"/>
                <w:sz w:val="20"/>
                <w:szCs w:val="20"/>
              </w:rPr>
            </w:pPr>
          </w:p>
        </w:tc>
        <w:tc>
          <w:tcPr>
            <w:tcW w:w="7371" w:type="dxa"/>
          </w:tcPr>
          <w:p w14:paraId="64AEFDEE" w14:textId="77777777" w:rsidR="005F5AA1" w:rsidRPr="00B94E23" w:rsidRDefault="005F5AA1" w:rsidP="005F5AA1">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Zahájit přípravu OP K i jednotlivých programů podpory s dostatečným předstihem tak, by bylo minimalizováno zpoždění implementace.</w:t>
            </w:r>
          </w:p>
        </w:tc>
      </w:tr>
      <w:tr w:rsidR="005F5AA1" w:rsidRPr="00B94E23" w14:paraId="10F953EF" w14:textId="77777777" w:rsidTr="0070612A">
        <w:tc>
          <w:tcPr>
            <w:cnfStyle w:val="001000000000" w:firstRow="0" w:lastRow="0" w:firstColumn="1" w:lastColumn="0" w:oddVBand="0" w:evenVBand="0" w:oddHBand="0" w:evenHBand="0" w:firstRowFirstColumn="0" w:firstRowLastColumn="0" w:lastRowFirstColumn="0" w:lastRowLastColumn="0"/>
            <w:tcW w:w="6374" w:type="dxa"/>
          </w:tcPr>
          <w:p w14:paraId="3307976B" w14:textId="77777777" w:rsidR="005F5AA1" w:rsidRPr="00B94E23" w:rsidRDefault="005F5AA1" w:rsidP="005F5AA1">
            <w:pPr>
              <w:rPr>
                <w:rFonts w:eastAsia="Calibri" w:cstheme="minorHAnsi"/>
                <w:sz w:val="20"/>
                <w:szCs w:val="20"/>
              </w:rPr>
            </w:pPr>
          </w:p>
        </w:tc>
        <w:tc>
          <w:tcPr>
            <w:tcW w:w="7371" w:type="dxa"/>
          </w:tcPr>
          <w:p w14:paraId="4548B29F" w14:textId="77777777" w:rsidR="005F5AA1" w:rsidRPr="00B94E23" w:rsidRDefault="005F5AA1" w:rsidP="005F5AA1">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B94E23">
              <w:rPr>
                <w:rFonts w:eastAsia="Calibri" w:cstheme="minorHAnsi"/>
                <w:sz w:val="20"/>
                <w:szCs w:val="20"/>
              </w:rPr>
              <w:t>2021-2027: Zpracovat detailní analýzy absorpční kapacity v relevantních tematických/ problémových oblastech.</w:t>
            </w:r>
          </w:p>
        </w:tc>
      </w:tr>
    </w:tbl>
    <w:p w14:paraId="7CE50E5E" w14:textId="1636E4BC" w:rsidR="00D3770C" w:rsidRDefault="00D3770C" w:rsidP="00D3770C">
      <w:pPr>
        <w:spacing w:after="0"/>
        <w:rPr>
          <w:rFonts w:ascii="Calibri" w:hAnsi="Calibri" w:cs="Calibri"/>
        </w:rPr>
      </w:pPr>
    </w:p>
    <w:p w14:paraId="52F1BB44" w14:textId="77777777" w:rsidR="00A75E34" w:rsidRDefault="00A75E34" w:rsidP="00D3770C">
      <w:pPr>
        <w:spacing w:after="0"/>
        <w:rPr>
          <w:rFonts w:ascii="Calibri" w:hAnsi="Calibri" w:cs="Calibri"/>
        </w:rPr>
      </w:pPr>
    </w:p>
    <w:p w14:paraId="4B4EAE9A" w14:textId="77777777" w:rsidR="00446B47" w:rsidRPr="00B61281" w:rsidRDefault="00446B47" w:rsidP="00E118FD">
      <w:pPr>
        <w:spacing w:after="0"/>
        <w:rPr>
          <w:rFonts w:ascii="Calibri" w:hAnsi="Calibri" w:cs="Calibri"/>
        </w:rPr>
      </w:pPr>
    </w:p>
    <w:p w14:paraId="248D1B05" w14:textId="77777777" w:rsidR="001D7F25" w:rsidRDefault="001D7F25" w:rsidP="00446B47">
      <w:pPr>
        <w:pStyle w:val="Nadpis1"/>
        <w:ind w:left="431" w:hanging="431"/>
        <w:sectPr w:rsidR="001D7F25" w:rsidSect="001D7F25">
          <w:pgSz w:w="16838" w:h="11906" w:orient="landscape"/>
          <w:pgMar w:top="1304" w:right="1701" w:bottom="1276" w:left="1559" w:header="709" w:footer="709" w:gutter="0"/>
          <w:cols w:space="708"/>
          <w:docGrid w:linePitch="360"/>
        </w:sectPr>
      </w:pPr>
    </w:p>
    <w:p w14:paraId="545256D2" w14:textId="77777777" w:rsidR="00A7296C" w:rsidRPr="00B61281" w:rsidRDefault="00446B47" w:rsidP="00446B47">
      <w:pPr>
        <w:pStyle w:val="Nadpis1"/>
        <w:ind w:left="431" w:hanging="431"/>
      </w:pPr>
      <w:bookmarkStart w:id="268" w:name="_Toc4596881"/>
      <w:bookmarkStart w:id="269" w:name="_Toc10730014"/>
      <w:r>
        <w:lastRenderedPageBreak/>
        <w:t>Seznam použitých zdrojů</w:t>
      </w:r>
      <w:bookmarkEnd w:id="268"/>
      <w:bookmarkEnd w:id="269"/>
    </w:p>
    <w:p w14:paraId="75D9A57B" w14:textId="77777777" w:rsidR="00956A9A" w:rsidRDefault="00956A9A" w:rsidP="00E118FD">
      <w:pPr>
        <w:spacing w:after="0"/>
        <w:rPr>
          <w:rFonts w:ascii="Calibri" w:hAnsi="Calibri" w:cs="Calibri"/>
          <w:highlight w:val="yellow"/>
        </w:rPr>
      </w:pPr>
    </w:p>
    <w:tbl>
      <w:tblPr>
        <w:tblStyle w:val="Prosttabulka41"/>
        <w:tblW w:w="0" w:type="auto"/>
        <w:tblLook w:val="04A0" w:firstRow="1" w:lastRow="0" w:firstColumn="1" w:lastColumn="0" w:noHBand="0" w:noVBand="1"/>
      </w:tblPr>
      <w:tblGrid>
        <w:gridCol w:w="9316"/>
      </w:tblGrid>
      <w:tr w:rsidR="00BF5A98" w:rsidRPr="00C11C75" w14:paraId="5295D238" w14:textId="77777777" w:rsidTr="00956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316A3591" w14:textId="630C8780" w:rsidR="00BF5A98" w:rsidRPr="00083626" w:rsidRDefault="00BF5A98" w:rsidP="00C11C75">
            <w:pPr>
              <w:rPr>
                <w:b w:val="0"/>
              </w:rPr>
            </w:pPr>
            <w:r>
              <w:rPr>
                <w:b w:val="0"/>
              </w:rPr>
              <w:t xml:space="preserve">Analytická studie na zavádění nízkouhlíkových technologií v rámci ČR pro aktivity zahrnuté v rámci specifického cíle 3.4 Operačního programu Podnikání a inovace pro konkurenceschopnost (říjen 2014) </w:t>
            </w:r>
          </w:p>
        </w:tc>
      </w:tr>
      <w:tr w:rsidR="00D47B20" w:rsidRPr="00C11C75" w14:paraId="5A02CC3A"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700A42A7" w14:textId="0D9A4217" w:rsidR="00D47B20" w:rsidRDefault="00D47B20" w:rsidP="00C11C75">
            <w:pPr>
              <w:rPr>
                <w:b w:val="0"/>
              </w:rPr>
            </w:pPr>
            <w:r w:rsidRPr="00083626">
              <w:rPr>
                <w:b w:val="0"/>
              </w:rPr>
              <w:t xml:space="preserve">Datové sestavy z MS2014+ k programům podpory </w:t>
            </w:r>
            <w:r w:rsidR="00007A84">
              <w:rPr>
                <w:b w:val="0"/>
              </w:rPr>
              <w:t>OZE, ÚE a NUT</w:t>
            </w:r>
            <w:r w:rsidRPr="00083626">
              <w:rPr>
                <w:b w:val="0"/>
              </w:rPr>
              <w:t xml:space="preserve"> (stav k 3</w:t>
            </w:r>
            <w:r w:rsidR="00007A84">
              <w:rPr>
                <w:b w:val="0"/>
              </w:rPr>
              <w:t>1</w:t>
            </w:r>
            <w:r w:rsidRPr="00083626">
              <w:rPr>
                <w:b w:val="0"/>
              </w:rPr>
              <w:t xml:space="preserve">. </w:t>
            </w:r>
            <w:r w:rsidR="00007A84">
              <w:rPr>
                <w:b w:val="0"/>
              </w:rPr>
              <w:t>12</w:t>
            </w:r>
            <w:r w:rsidRPr="00083626">
              <w:rPr>
                <w:b w:val="0"/>
              </w:rPr>
              <w:t xml:space="preserve">. 2018): </w:t>
            </w:r>
          </w:p>
          <w:p w14:paraId="5232B44F" w14:textId="77777777" w:rsidR="00D47B20" w:rsidRPr="00D47B20" w:rsidRDefault="00D47B20" w:rsidP="00131C2F">
            <w:pPr>
              <w:pStyle w:val="Odstavecseseznamem"/>
              <w:numPr>
                <w:ilvl w:val="0"/>
                <w:numId w:val="29"/>
              </w:numPr>
              <w:rPr>
                <w:rFonts w:ascii="Calibri" w:hAnsi="Calibri" w:cs="Calibri"/>
              </w:rPr>
            </w:pPr>
            <w:r w:rsidRPr="00083626">
              <w:rPr>
                <w:rFonts w:ascii="Calibri" w:hAnsi="Calibri" w:cs="Calibri"/>
                <w:b w:val="0"/>
                <w:sz w:val="22"/>
                <w:szCs w:val="22"/>
              </w:rPr>
              <w:t>informace k zaregistrovaným projektům: registrační číslo, SC, výzva, stav projektu, název projektu, žadatel, IČ, právní forma, velikost podniku, počet zaměstnanců, dotace, CZV, kraj, obec, PSČ, kontakt, datum zahájení, datum ukončení; přehled Žádostí o platbu; popis pokroku v realizaci; popis projektu (cíl, aktivity, očekávaná změna, příčiny problému, problém k řešení, anotace projektu);</w:t>
            </w:r>
          </w:p>
          <w:p w14:paraId="43A63317" w14:textId="7E3C186E" w:rsidR="00D47B20" w:rsidRPr="00D47B20" w:rsidRDefault="00D47B20" w:rsidP="00131C2F">
            <w:pPr>
              <w:pStyle w:val="Odstavecseseznamem"/>
              <w:numPr>
                <w:ilvl w:val="0"/>
                <w:numId w:val="29"/>
              </w:numPr>
              <w:rPr>
                <w:rFonts w:ascii="Calibri" w:hAnsi="Calibri" w:cs="Calibri"/>
              </w:rPr>
            </w:pPr>
            <w:r w:rsidRPr="00083626">
              <w:rPr>
                <w:rFonts w:ascii="Calibri" w:hAnsi="Calibri" w:cs="Calibri"/>
                <w:b w:val="0"/>
                <w:sz w:val="22"/>
                <w:szCs w:val="22"/>
              </w:rPr>
              <w:t>hodnoty indikátorů na úrovni projektů: výchozí hodnota, cílová hodnota, dosažená hodnota, datum dosažené hodnoty, stav projektu.</w:t>
            </w:r>
          </w:p>
        </w:tc>
      </w:tr>
      <w:tr w:rsidR="001D2E81" w:rsidRPr="001D2E81" w14:paraId="14B1D14E"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3861A2DD" w14:textId="583C2B61" w:rsidR="001D2E81" w:rsidRPr="001D2E81" w:rsidRDefault="001D2E81" w:rsidP="00956A9A">
            <w:pPr>
              <w:rPr>
                <w:rFonts w:ascii="Calibri" w:hAnsi="Calibri" w:cs="Calibri"/>
                <w:b w:val="0"/>
              </w:rPr>
            </w:pPr>
            <w:r w:rsidRPr="001D2E81">
              <w:rPr>
                <w:b w:val="0"/>
              </w:rPr>
              <w:t>Dohoda o partnerství 2014 - 2020</w:t>
            </w:r>
          </w:p>
        </w:tc>
      </w:tr>
      <w:tr w:rsidR="007153D4" w:rsidRPr="007153D4" w14:paraId="782FB14F"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1C049E0A" w14:textId="58B20F12" w:rsidR="007153D4" w:rsidRPr="007153D4" w:rsidRDefault="007153D4" w:rsidP="00956A9A">
            <w:pPr>
              <w:rPr>
                <w:b w:val="0"/>
              </w:rPr>
            </w:pPr>
            <w:r w:rsidRPr="007153D4">
              <w:rPr>
                <w:b w:val="0"/>
              </w:rPr>
              <w:t>ERÚ: Roční zpráva o provozu ES ČR 2018</w:t>
            </w:r>
          </w:p>
        </w:tc>
      </w:tr>
      <w:tr w:rsidR="001D2E81" w:rsidRPr="001D2E81" w14:paraId="066D9B35"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04B748B9" w14:textId="1758FC3C" w:rsidR="001D2E81" w:rsidRPr="001D2E81" w:rsidRDefault="001D2E81" w:rsidP="00956A9A">
            <w:pPr>
              <w:rPr>
                <w:rFonts w:ascii="Calibri" w:hAnsi="Calibri" w:cs="Calibri"/>
                <w:b w:val="0"/>
              </w:rPr>
            </w:pPr>
            <w:r w:rsidRPr="001D2E81">
              <w:rPr>
                <w:b w:val="0"/>
              </w:rPr>
              <w:t>Evaluace „OP PIK: Relevance rozvojových potřeb a příspěvek k plnění cílů Dohody o partnerství za léta 2014 – 2016“</w:t>
            </w:r>
          </w:p>
        </w:tc>
      </w:tr>
      <w:tr w:rsidR="001D2E81" w:rsidRPr="001D2E81" w14:paraId="1C2279C4"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35E7E3FF" w14:textId="4BD15506" w:rsidR="001D2E81" w:rsidRPr="001D2E81" w:rsidRDefault="001D2E81" w:rsidP="00956A9A">
            <w:pPr>
              <w:rPr>
                <w:rFonts w:ascii="Calibri" w:hAnsi="Calibri" w:cs="Calibri"/>
                <w:b w:val="0"/>
              </w:rPr>
            </w:pPr>
            <w:r w:rsidRPr="001D2E81">
              <w:rPr>
                <w:b w:val="0"/>
              </w:rPr>
              <w:t>Ex ante hodnocení OP PIK</w:t>
            </w:r>
          </w:p>
        </w:tc>
      </w:tr>
      <w:tr w:rsidR="001D2E81" w:rsidRPr="001D2E81" w14:paraId="0CA64BAD"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71A61CA8" w14:textId="7FE07345" w:rsidR="001D2E81" w:rsidRPr="001D2E81" w:rsidRDefault="001D2E81" w:rsidP="00956A9A">
            <w:pPr>
              <w:rPr>
                <w:rFonts w:ascii="Calibri" w:hAnsi="Calibri" w:cs="Calibri"/>
                <w:b w:val="0"/>
              </w:rPr>
            </w:pPr>
            <w:r w:rsidRPr="001D2E81">
              <w:rPr>
                <w:b w:val="0"/>
              </w:rPr>
              <w:t xml:space="preserve">Makroekonomická predikce České republiky – </w:t>
            </w:r>
            <w:r w:rsidR="001D78D1">
              <w:rPr>
                <w:b w:val="0"/>
              </w:rPr>
              <w:t>listopad 2018</w:t>
            </w:r>
            <w:r w:rsidRPr="001D2E81">
              <w:rPr>
                <w:b w:val="0"/>
              </w:rPr>
              <w:t>. Ministerstvo financí ČR</w:t>
            </w:r>
          </w:p>
        </w:tc>
      </w:tr>
      <w:tr w:rsidR="001D2E81" w:rsidRPr="001D2E81" w14:paraId="1E6AA74D"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6F2FF8DA" w14:textId="79C5762C" w:rsidR="001D2E81" w:rsidRPr="001D2E81" w:rsidRDefault="001D2E81" w:rsidP="00772EF4">
            <w:pPr>
              <w:tabs>
                <w:tab w:val="left" w:pos="1125"/>
              </w:tabs>
              <w:rPr>
                <w:rFonts w:ascii="Calibri" w:hAnsi="Calibri" w:cs="Calibri"/>
                <w:b w:val="0"/>
              </w:rPr>
            </w:pPr>
            <w:r w:rsidRPr="001D2E81">
              <w:rPr>
                <w:b w:val="0"/>
              </w:rPr>
              <w:t>Máslo, K. (2006): Integrace obnovitelných zdrojů energie do elektrizační soustavy, Technický týdeník: https://www.technickytydenik.cz/rubriky/archiv/integrace-obnovitelnych-zdroju-energie-do-elektrizacni-soustavy_16972.html</w:t>
            </w:r>
          </w:p>
        </w:tc>
      </w:tr>
      <w:tr w:rsidR="001D2E81" w:rsidRPr="001D2E81" w14:paraId="47DF28F6"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7CA10238" w14:textId="27536E3F" w:rsidR="001D2E81" w:rsidRPr="001D2E81" w:rsidRDefault="001D2E81" w:rsidP="00956A9A">
            <w:pPr>
              <w:rPr>
                <w:rFonts w:ascii="Calibri" w:hAnsi="Calibri" w:cs="Calibri"/>
                <w:b w:val="0"/>
              </w:rPr>
            </w:pPr>
            <w:r w:rsidRPr="001D2E81">
              <w:rPr>
                <w:b w:val="0"/>
              </w:rPr>
              <w:t>Metodika SHRES: http://ec.europa.eu/eurostat/web/energy/data/shares</w:t>
            </w:r>
          </w:p>
        </w:tc>
      </w:tr>
      <w:tr w:rsidR="001D2E81" w:rsidRPr="001D2E81" w14:paraId="64462356"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573340B4" w14:textId="46B92EE5" w:rsidR="001D2E81" w:rsidRPr="001D2E81" w:rsidRDefault="001D2E81" w:rsidP="00956A9A">
            <w:pPr>
              <w:rPr>
                <w:rFonts w:ascii="Calibri" w:hAnsi="Calibri" w:cs="Calibri"/>
                <w:b w:val="0"/>
              </w:rPr>
            </w:pPr>
            <w:r w:rsidRPr="001D2E81">
              <w:rPr>
                <w:b w:val="0"/>
              </w:rPr>
              <w:t>MPO (2017): Surovinová politika České republiky v oblasti nerostných surovin a jejich zdrojů</w:t>
            </w:r>
          </w:p>
        </w:tc>
      </w:tr>
      <w:tr w:rsidR="001D2E81" w:rsidRPr="001D2E81" w14:paraId="6A3423B0"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71C6944C" w14:textId="4948D005" w:rsidR="001D2E81" w:rsidRPr="001D2E81" w:rsidRDefault="001D2E81" w:rsidP="00E118FD">
            <w:pPr>
              <w:rPr>
                <w:rFonts w:ascii="Calibri" w:hAnsi="Calibri" w:cs="Calibri"/>
                <w:b w:val="0"/>
              </w:rPr>
            </w:pPr>
            <w:r w:rsidRPr="001D2E81">
              <w:rPr>
                <w:b w:val="0"/>
              </w:rPr>
              <w:t>MPO (2018): Obnovitelné zdroje energie v roce 2017 - Výsledky statistického zjišťování</w:t>
            </w:r>
          </w:p>
        </w:tc>
      </w:tr>
      <w:tr w:rsidR="00007A84" w:rsidRPr="001D2E81" w14:paraId="299B48B4"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241DE307" w14:textId="096D5333" w:rsidR="00007A84" w:rsidRPr="001D2E81" w:rsidRDefault="00007A84" w:rsidP="00E118FD">
            <w:pPr>
              <w:rPr>
                <w:b w:val="0"/>
              </w:rPr>
            </w:pPr>
            <w:r>
              <w:rPr>
                <w:b w:val="0"/>
              </w:rPr>
              <w:t xml:space="preserve">MPO (2018): Aktualizace Politiky druhotných surovin České republiky pro období 2019 - 2022 </w:t>
            </w:r>
          </w:p>
        </w:tc>
      </w:tr>
      <w:tr w:rsidR="00007A84" w:rsidRPr="001D2E81" w14:paraId="4EE35A26"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7E1A3800" w14:textId="2F794E07" w:rsidR="00007A84" w:rsidRDefault="00007A84" w:rsidP="00E118FD">
            <w:pPr>
              <w:rPr>
                <w:b w:val="0"/>
              </w:rPr>
            </w:pPr>
            <w:r>
              <w:rPr>
                <w:b w:val="0"/>
              </w:rPr>
              <w:t>MPO (2018): Analýza současného stavu vybraných komodit druhotných surovin a jejich zdrojů včetně vize rozvoje daného odvětví</w:t>
            </w:r>
          </w:p>
        </w:tc>
      </w:tr>
      <w:tr w:rsidR="007825FE" w:rsidRPr="001D2E81" w14:paraId="233A8FC4" w14:textId="77777777" w:rsidTr="00434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349069E0" w14:textId="77777777" w:rsidR="007825FE" w:rsidRDefault="007825FE" w:rsidP="00434AF0">
            <w:pPr>
              <w:rPr>
                <w:b w:val="0"/>
              </w:rPr>
            </w:pPr>
            <w:r>
              <w:rPr>
                <w:b w:val="0"/>
              </w:rPr>
              <w:t xml:space="preserve">MPO (2018): </w:t>
            </w:r>
            <w:r w:rsidRPr="00094EB5">
              <w:rPr>
                <w:b w:val="0"/>
              </w:rPr>
              <w:t>Návrh vnitrostátního plánu v oblasti energetiky a klimatu České republiky</w:t>
            </w:r>
          </w:p>
        </w:tc>
      </w:tr>
      <w:tr w:rsidR="001D2E81" w:rsidRPr="001D2E81" w14:paraId="4D3B9F33"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6D4A0F58" w14:textId="09613EF0" w:rsidR="001D2E81" w:rsidRPr="001D2E81" w:rsidRDefault="001D2E81" w:rsidP="00FD2A62">
            <w:pPr>
              <w:rPr>
                <w:rFonts w:ascii="Calibri" w:hAnsi="Calibri" w:cs="Calibri"/>
                <w:b w:val="0"/>
              </w:rPr>
            </w:pPr>
            <w:r w:rsidRPr="001D2E81">
              <w:rPr>
                <w:b w:val="0"/>
              </w:rPr>
              <w:t xml:space="preserve">MPO (2019): Vývoj hrubé výroby elektřiny a tepla k prodeji v energetické bilanci ČR výroba a dodávky v letech 2010-2017 </w:t>
            </w:r>
          </w:p>
        </w:tc>
      </w:tr>
      <w:tr w:rsidR="00EA3FB8" w:rsidRPr="001D2E81" w14:paraId="52BFCAB2"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6012F7F8" w14:textId="4E7CB2AD" w:rsidR="00EA3FB8" w:rsidRPr="001D2E81" w:rsidRDefault="00EA3FB8" w:rsidP="00FD2A62">
            <w:pPr>
              <w:rPr>
                <w:b w:val="0"/>
              </w:rPr>
            </w:pPr>
            <w:r>
              <w:rPr>
                <w:b w:val="0"/>
              </w:rPr>
              <w:t>MPO (2019): Souhrnná energetická bilance České republiky</w:t>
            </w:r>
          </w:p>
        </w:tc>
      </w:tr>
      <w:tr w:rsidR="003F635C" w:rsidRPr="003F635C" w14:paraId="4F007E06"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20CC0C4C" w14:textId="205C4146" w:rsidR="003F635C" w:rsidRDefault="003F635C" w:rsidP="00FD2A62">
            <w:pPr>
              <w:rPr>
                <w:b w:val="0"/>
              </w:rPr>
            </w:pPr>
            <w:r>
              <w:rPr>
                <w:b w:val="0"/>
              </w:rPr>
              <w:t xml:space="preserve">MPO (2019): 7. </w:t>
            </w:r>
            <w:r w:rsidRPr="003F635C">
              <w:rPr>
                <w:b w:val="0"/>
              </w:rPr>
              <w:t>Zpráva o pokroku v oblasti plnění vnitrostátních cílů energetické účinnosti v</w:t>
            </w:r>
            <w:r>
              <w:rPr>
                <w:b w:val="0"/>
              </w:rPr>
              <w:t> </w:t>
            </w:r>
            <w:r w:rsidRPr="003F635C">
              <w:rPr>
                <w:b w:val="0"/>
              </w:rPr>
              <w:t>ČR</w:t>
            </w:r>
            <w:r>
              <w:rPr>
                <w:b w:val="0"/>
              </w:rPr>
              <w:t xml:space="preserve"> </w:t>
            </w:r>
          </w:p>
        </w:tc>
      </w:tr>
      <w:tr w:rsidR="001D2E81" w:rsidRPr="001D2E81" w14:paraId="2AD6047F"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4664F9F5" w14:textId="72B83EF9" w:rsidR="001D2E81" w:rsidRPr="001D2E81" w:rsidRDefault="001D2E81" w:rsidP="003C3999">
            <w:pPr>
              <w:rPr>
                <w:rFonts w:ascii="Calibri" w:hAnsi="Calibri" w:cs="Calibri"/>
                <w:b w:val="0"/>
              </w:rPr>
            </w:pPr>
            <w:r w:rsidRPr="001D2E81">
              <w:rPr>
                <w:b w:val="0"/>
              </w:rPr>
              <w:t>MPO: Národní akční plán energetické účinnosti, duben 2017</w:t>
            </w:r>
          </w:p>
        </w:tc>
      </w:tr>
      <w:tr w:rsidR="001D2E81" w:rsidRPr="001D2E81" w14:paraId="4D64296F"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6F774377" w14:textId="22F82062" w:rsidR="001D2E81" w:rsidRPr="001D2E81" w:rsidRDefault="001D2E81" w:rsidP="003C3999">
            <w:pPr>
              <w:rPr>
                <w:rFonts w:ascii="Calibri" w:hAnsi="Calibri" w:cs="Calibri"/>
                <w:b w:val="0"/>
              </w:rPr>
            </w:pPr>
            <w:r w:rsidRPr="001D2E81">
              <w:rPr>
                <w:b w:val="0"/>
              </w:rPr>
              <w:t>MPO: Státní energetická koncepce, prosine</w:t>
            </w:r>
            <w:r w:rsidR="00EA3FB8">
              <w:rPr>
                <w:b w:val="0"/>
              </w:rPr>
              <w:t>c</w:t>
            </w:r>
            <w:r w:rsidRPr="001D2E81">
              <w:rPr>
                <w:b w:val="0"/>
              </w:rPr>
              <w:t xml:space="preserve"> 2014</w:t>
            </w:r>
          </w:p>
        </w:tc>
      </w:tr>
      <w:tr w:rsidR="001D2E81" w:rsidRPr="001D2E81" w14:paraId="59AFB38C"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251CB746" w14:textId="4BBF458B" w:rsidR="001D2E81" w:rsidRPr="001D2E81" w:rsidRDefault="001D2E81" w:rsidP="003C3999">
            <w:pPr>
              <w:rPr>
                <w:rFonts w:ascii="Calibri" w:hAnsi="Calibri" w:cs="Calibri"/>
                <w:b w:val="0"/>
              </w:rPr>
            </w:pPr>
            <w:r w:rsidRPr="001D2E81">
              <w:rPr>
                <w:b w:val="0"/>
              </w:rPr>
              <w:t>Národní program reforem České republiky 2018. Úřad vlády ČR.</w:t>
            </w:r>
          </w:p>
        </w:tc>
      </w:tr>
      <w:tr w:rsidR="001D2E81" w:rsidRPr="001D2E81" w14:paraId="2CD2FEE1"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4487E7C3" w14:textId="03DBB586" w:rsidR="001D2E81" w:rsidRPr="001D2E81" w:rsidRDefault="001D2E81" w:rsidP="003C3999">
            <w:pPr>
              <w:rPr>
                <w:rFonts w:ascii="Calibri" w:hAnsi="Calibri" w:cs="Calibri"/>
                <w:b w:val="0"/>
              </w:rPr>
            </w:pPr>
            <w:r w:rsidRPr="001D2E81">
              <w:rPr>
                <w:b w:val="0"/>
              </w:rPr>
              <w:t>Programový dokument OP PIK vč. příloh</w:t>
            </w:r>
          </w:p>
        </w:tc>
      </w:tr>
      <w:tr w:rsidR="001D2E81" w:rsidRPr="001D2E81" w14:paraId="5BFFCEBE"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3588CBD1" w14:textId="1ECF88DC" w:rsidR="001D2E81" w:rsidRPr="001D2E81" w:rsidRDefault="001D2E81" w:rsidP="003C3999">
            <w:pPr>
              <w:rPr>
                <w:rFonts w:ascii="Calibri" w:hAnsi="Calibri" w:cs="Calibri"/>
                <w:b w:val="0"/>
              </w:rPr>
            </w:pPr>
            <w:r w:rsidRPr="001D2E81">
              <w:rPr>
                <w:b w:val="0"/>
              </w:rPr>
              <w:t>Studie „Analýza AbKap a návrh cílových hodnot indikátorů OP PIK“</w:t>
            </w:r>
          </w:p>
        </w:tc>
      </w:tr>
      <w:tr w:rsidR="001D2E81" w:rsidRPr="001D2E81" w14:paraId="6373E1A8"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7FAB233D" w14:textId="1AC215B9" w:rsidR="001D2E81" w:rsidRPr="001D2E81" w:rsidRDefault="001D2E81" w:rsidP="003C3999">
            <w:pPr>
              <w:rPr>
                <w:rFonts w:ascii="Calibri" w:hAnsi="Calibri" w:cs="Calibri"/>
                <w:b w:val="0"/>
                <w:bCs w:val="0"/>
              </w:rPr>
            </w:pPr>
            <w:r w:rsidRPr="001D2E81">
              <w:rPr>
                <w:b w:val="0"/>
              </w:rPr>
              <w:t>Studie „Analýza indikátorů výsledku OP PIK“</w:t>
            </w:r>
          </w:p>
        </w:tc>
      </w:tr>
      <w:tr w:rsidR="001D2E81" w:rsidRPr="001D2E81" w14:paraId="1F401095"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6FA4C5AA" w14:textId="22C81DB8" w:rsidR="001D2E81" w:rsidRPr="001D2E81" w:rsidRDefault="001D2E81" w:rsidP="003C3999">
            <w:pPr>
              <w:rPr>
                <w:rFonts w:ascii="Calibri" w:hAnsi="Calibri" w:cs="Calibri"/>
                <w:b w:val="0"/>
              </w:rPr>
            </w:pPr>
            <w:r w:rsidRPr="001D2E81">
              <w:rPr>
                <w:b w:val="0"/>
              </w:rPr>
              <w:t>Studie „Předběžné posouzení finančních nástrojů OP PIK“</w:t>
            </w:r>
          </w:p>
        </w:tc>
      </w:tr>
      <w:tr w:rsidR="001D2E81" w:rsidRPr="001D2E81" w14:paraId="71658B90" w14:textId="77777777" w:rsidTr="005A478E">
        <w:tc>
          <w:tcPr>
            <w:cnfStyle w:val="001000000000" w:firstRow="0" w:lastRow="0" w:firstColumn="1" w:lastColumn="0" w:oddVBand="0" w:evenVBand="0" w:oddHBand="0" w:evenHBand="0" w:firstRowFirstColumn="0" w:firstRowLastColumn="0" w:lastRowFirstColumn="0" w:lastRowLastColumn="0"/>
            <w:tcW w:w="9316" w:type="dxa"/>
          </w:tcPr>
          <w:p w14:paraId="77C8E77D" w14:textId="7228E891" w:rsidR="001D2E81" w:rsidRPr="001D2E81" w:rsidRDefault="001D2E81" w:rsidP="00D87C90">
            <w:pPr>
              <w:rPr>
                <w:rFonts w:ascii="Calibri" w:hAnsi="Calibri" w:cs="Calibri"/>
                <w:b w:val="0"/>
              </w:rPr>
            </w:pPr>
            <w:r w:rsidRPr="001D2E81">
              <w:rPr>
                <w:b w:val="0"/>
              </w:rPr>
              <w:t>Teorie změny ke SC 3.1, 3.2 a 3.4 OP PIK (příloha programového dokumentu)</w:t>
            </w:r>
          </w:p>
        </w:tc>
      </w:tr>
      <w:tr w:rsidR="001D2E81" w:rsidRPr="001D2E81" w14:paraId="4983B46E" w14:textId="77777777" w:rsidTr="005A4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5FA7F58B" w14:textId="266F02E1" w:rsidR="001D2E81" w:rsidRPr="001D2E81" w:rsidRDefault="001D2E81" w:rsidP="00D87C90">
            <w:pPr>
              <w:rPr>
                <w:rFonts w:ascii="Calibri" w:hAnsi="Calibri" w:cs="Calibri"/>
                <w:b w:val="0"/>
              </w:rPr>
            </w:pPr>
            <w:r w:rsidRPr="001D2E81">
              <w:rPr>
                <w:b w:val="0"/>
              </w:rPr>
              <w:t>Texty programů podpory Obnovitelné zdroje energie, Úspory energie, Nízkouhlíkové technologie, dokumenty k výzvám</w:t>
            </w:r>
          </w:p>
        </w:tc>
      </w:tr>
      <w:tr w:rsidR="001D2E81" w:rsidRPr="001D2E81" w14:paraId="1089D5F7"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5CADBF1E" w14:textId="0BCE437D" w:rsidR="001D2E81" w:rsidRPr="001D2E81" w:rsidRDefault="001D2E81" w:rsidP="00AE0A2F">
            <w:pPr>
              <w:rPr>
                <w:rFonts w:ascii="Calibri" w:hAnsi="Calibri" w:cs="Calibri"/>
                <w:b w:val="0"/>
              </w:rPr>
            </w:pPr>
            <w:r w:rsidRPr="001D2E81">
              <w:rPr>
                <w:b w:val="0"/>
              </w:rPr>
              <w:t>Výroční zprávy OP PIK</w:t>
            </w:r>
          </w:p>
        </w:tc>
      </w:tr>
      <w:tr w:rsidR="007A2593" w:rsidRPr="001D2E81" w14:paraId="0820A5D6" w14:textId="77777777" w:rsidTr="0095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6" w:type="dxa"/>
          </w:tcPr>
          <w:p w14:paraId="1F046EF0" w14:textId="01776F3B" w:rsidR="007A2593" w:rsidRPr="001D2E81" w:rsidRDefault="007A2593" w:rsidP="00AE0A2F">
            <w:pPr>
              <w:rPr>
                <w:b w:val="0"/>
              </w:rPr>
            </w:pPr>
            <w:r>
              <w:rPr>
                <w:b w:val="0"/>
              </w:rPr>
              <w:t>Výsledková evaluace SC 2.1 a 2.2 OP PIK</w:t>
            </w:r>
          </w:p>
        </w:tc>
      </w:tr>
      <w:tr w:rsidR="001D2E81" w:rsidRPr="001D2E81" w14:paraId="08DB4301" w14:textId="77777777" w:rsidTr="00956A9A">
        <w:tc>
          <w:tcPr>
            <w:cnfStyle w:val="001000000000" w:firstRow="0" w:lastRow="0" w:firstColumn="1" w:lastColumn="0" w:oddVBand="0" w:evenVBand="0" w:oddHBand="0" w:evenHBand="0" w:firstRowFirstColumn="0" w:firstRowLastColumn="0" w:lastRowFirstColumn="0" w:lastRowLastColumn="0"/>
            <w:tcW w:w="9316" w:type="dxa"/>
          </w:tcPr>
          <w:p w14:paraId="12E22612" w14:textId="02FFCC69" w:rsidR="001D2E81" w:rsidRPr="001D2E81" w:rsidRDefault="001D2E81" w:rsidP="003C3999">
            <w:pPr>
              <w:rPr>
                <w:rFonts w:ascii="Calibri" w:hAnsi="Calibri" w:cs="Calibri"/>
                <w:b w:val="0"/>
              </w:rPr>
            </w:pPr>
            <w:r w:rsidRPr="001D2E81">
              <w:rPr>
                <w:b w:val="0"/>
              </w:rPr>
              <w:t>Zpráva o realizaci Národního programu reforem České republiky 2018 včetně provádění doporučení Rady z roku 2018. Úřad vlády ČR.</w:t>
            </w:r>
          </w:p>
        </w:tc>
      </w:tr>
    </w:tbl>
    <w:p w14:paraId="791A51FE" w14:textId="77777777" w:rsidR="00956A9A" w:rsidRPr="00446B47" w:rsidRDefault="00956A9A" w:rsidP="00E118FD">
      <w:pPr>
        <w:spacing w:after="0"/>
        <w:rPr>
          <w:rFonts w:ascii="Calibri" w:hAnsi="Calibri" w:cs="Calibri"/>
          <w:highlight w:val="yellow"/>
        </w:rPr>
      </w:pPr>
    </w:p>
    <w:p w14:paraId="0337C66F" w14:textId="77777777" w:rsidR="00D453A6" w:rsidRDefault="00D453A6" w:rsidP="00E4631B">
      <w:pPr>
        <w:spacing w:after="0"/>
        <w:rPr>
          <w:rFonts w:ascii="Calibri" w:hAnsi="Calibri" w:cs="Calibri"/>
        </w:rPr>
      </w:pPr>
    </w:p>
    <w:p w14:paraId="5DB3DDAE" w14:textId="0C57F742" w:rsidR="00E4631B" w:rsidRDefault="00E4631B" w:rsidP="00E4631B">
      <w:pPr>
        <w:pStyle w:val="Nadpis1"/>
        <w:ind w:left="431" w:hanging="431"/>
      </w:pPr>
      <w:bookmarkStart w:id="270" w:name="_Toc4596882"/>
      <w:bookmarkStart w:id="271" w:name="_Toc10730015"/>
      <w:r>
        <w:lastRenderedPageBreak/>
        <w:t>seznam tabulek a obrázků</w:t>
      </w:r>
      <w:r w:rsidR="00F67113">
        <w:t xml:space="preserve"> v textu</w:t>
      </w:r>
      <w:bookmarkEnd w:id="270"/>
      <w:bookmarkEnd w:id="271"/>
    </w:p>
    <w:p w14:paraId="36AF4CC1" w14:textId="77777777" w:rsidR="00E4631B" w:rsidRDefault="00E4631B" w:rsidP="00E4631B">
      <w:pPr>
        <w:spacing w:after="0"/>
        <w:rPr>
          <w:rFonts w:ascii="Calibri" w:hAnsi="Calibri" w:cs="Calibri"/>
        </w:rPr>
      </w:pPr>
    </w:p>
    <w:p w14:paraId="584C3B4B" w14:textId="4888DD0A" w:rsidR="00E4631B" w:rsidRDefault="00E4631B" w:rsidP="00F67113">
      <w:pPr>
        <w:pStyle w:val="Nadpis2"/>
      </w:pPr>
      <w:bookmarkStart w:id="272" w:name="_Toc4596883"/>
      <w:bookmarkStart w:id="273" w:name="_Toc10730016"/>
      <w:r>
        <w:t>Seznam tabulek</w:t>
      </w:r>
      <w:bookmarkEnd w:id="272"/>
      <w:bookmarkEnd w:id="273"/>
    </w:p>
    <w:p w14:paraId="52F7F981" w14:textId="2055647C" w:rsidR="00A96932" w:rsidRDefault="00D47B20">
      <w:pPr>
        <w:pStyle w:val="Seznamobrzk"/>
        <w:tabs>
          <w:tab w:val="right" w:leader="dot" w:pos="9316"/>
        </w:tabs>
        <w:rPr>
          <w:rFonts w:eastAsiaTheme="minorEastAsia"/>
          <w:noProof/>
          <w:lang w:eastAsia="cs-CZ"/>
        </w:rPr>
      </w:pPr>
      <w:r>
        <w:rPr>
          <w:rFonts w:ascii="Calibri" w:hAnsi="Calibri" w:cs="Calibri"/>
        </w:rPr>
        <w:fldChar w:fldCharType="begin"/>
      </w:r>
      <w:r>
        <w:rPr>
          <w:rFonts w:ascii="Calibri" w:hAnsi="Calibri" w:cs="Calibri"/>
        </w:rPr>
        <w:instrText xml:space="preserve"> TOC \h \z \c "Tabulka" </w:instrText>
      </w:r>
      <w:r>
        <w:rPr>
          <w:rFonts w:ascii="Calibri" w:hAnsi="Calibri" w:cs="Calibri"/>
        </w:rPr>
        <w:fldChar w:fldCharType="separate"/>
      </w:r>
      <w:hyperlink w:anchor="_Toc10730020" w:history="1">
        <w:r w:rsidR="00A96932" w:rsidRPr="00160A67">
          <w:rPr>
            <w:rStyle w:val="Hypertextovodkaz"/>
            <w:noProof/>
          </w:rPr>
          <w:t>Tabulka 1: Hlavní indikátor výsledku SC 3.1</w:t>
        </w:r>
        <w:r w:rsidR="00A96932">
          <w:rPr>
            <w:noProof/>
            <w:webHidden/>
          </w:rPr>
          <w:tab/>
        </w:r>
        <w:r w:rsidR="00A96932">
          <w:rPr>
            <w:noProof/>
            <w:webHidden/>
          </w:rPr>
          <w:fldChar w:fldCharType="begin"/>
        </w:r>
        <w:r w:rsidR="00A96932">
          <w:rPr>
            <w:noProof/>
            <w:webHidden/>
          </w:rPr>
          <w:instrText xml:space="preserve"> PAGEREF _Toc10730020 \h </w:instrText>
        </w:r>
        <w:r w:rsidR="00A96932">
          <w:rPr>
            <w:noProof/>
            <w:webHidden/>
          </w:rPr>
        </w:r>
        <w:r w:rsidR="00A96932">
          <w:rPr>
            <w:noProof/>
            <w:webHidden/>
          </w:rPr>
          <w:fldChar w:fldCharType="separate"/>
        </w:r>
        <w:r w:rsidR="00E12F39">
          <w:rPr>
            <w:noProof/>
            <w:webHidden/>
          </w:rPr>
          <w:t>15</w:t>
        </w:r>
        <w:r w:rsidR="00A96932">
          <w:rPr>
            <w:noProof/>
            <w:webHidden/>
          </w:rPr>
          <w:fldChar w:fldCharType="end"/>
        </w:r>
      </w:hyperlink>
    </w:p>
    <w:p w14:paraId="0E2B9D56" w14:textId="294BF5F5" w:rsidR="00A96932" w:rsidRDefault="00E12F39">
      <w:pPr>
        <w:pStyle w:val="Seznamobrzk"/>
        <w:tabs>
          <w:tab w:val="right" w:leader="dot" w:pos="9316"/>
        </w:tabs>
        <w:rPr>
          <w:rFonts w:eastAsiaTheme="minorEastAsia"/>
          <w:noProof/>
          <w:lang w:eastAsia="cs-CZ"/>
        </w:rPr>
      </w:pPr>
      <w:hyperlink w:anchor="_Toc10730021" w:history="1">
        <w:r w:rsidR="00A96932" w:rsidRPr="00160A67">
          <w:rPr>
            <w:rStyle w:val="Hypertextovodkaz"/>
            <w:noProof/>
          </w:rPr>
          <w:t>Tabulka 2: Indikátor výstupu Nová kapacita zařízení pro výrobu energie z obnovitelných zdrojů (SC 3.1)</w:t>
        </w:r>
        <w:r w:rsidR="00A96932">
          <w:rPr>
            <w:noProof/>
            <w:webHidden/>
          </w:rPr>
          <w:tab/>
        </w:r>
        <w:r w:rsidR="00A96932">
          <w:rPr>
            <w:noProof/>
            <w:webHidden/>
          </w:rPr>
          <w:fldChar w:fldCharType="begin"/>
        </w:r>
        <w:r w:rsidR="00A96932">
          <w:rPr>
            <w:noProof/>
            <w:webHidden/>
          </w:rPr>
          <w:instrText xml:space="preserve"> PAGEREF _Toc10730021 \h </w:instrText>
        </w:r>
        <w:r w:rsidR="00A96932">
          <w:rPr>
            <w:noProof/>
            <w:webHidden/>
          </w:rPr>
        </w:r>
        <w:r w:rsidR="00A96932">
          <w:rPr>
            <w:noProof/>
            <w:webHidden/>
          </w:rPr>
          <w:fldChar w:fldCharType="separate"/>
        </w:r>
        <w:r>
          <w:rPr>
            <w:noProof/>
            <w:webHidden/>
          </w:rPr>
          <w:t>23</w:t>
        </w:r>
        <w:r w:rsidR="00A96932">
          <w:rPr>
            <w:noProof/>
            <w:webHidden/>
          </w:rPr>
          <w:fldChar w:fldCharType="end"/>
        </w:r>
      </w:hyperlink>
    </w:p>
    <w:p w14:paraId="3A3FAD0E" w14:textId="220D48E9" w:rsidR="00A96932" w:rsidRDefault="00E12F39">
      <w:pPr>
        <w:pStyle w:val="Seznamobrzk"/>
        <w:tabs>
          <w:tab w:val="right" w:leader="dot" w:pos="9316"/>
        </w:tabs>
        <w:rPr>
          <w:rFonts w:eastAsiaTheme="minorEastAsia"/>
          <w:noProof/>
          <w:lang w:eastAsia="cs-CZ"/>
        </w:rPr>
      </w:pPr>
      <w:hyperlink w:anchor="_Toc10730022" w:history="1">
        <w:r w:rsidR="00A96932" w:rsidRPr="00160A67">
          <w:rPr>
            <w:rStyle w:val="Hypertextovodkaz"/>
            <w:noProof/>
          </w:rPr>
          <w:t>Tabulka 3: Indikátor výstupu Odhadované roční snížení emisí skleníkových plynů (SC 3.1)</w:t>
        </w:r>
        <w:r w:rsidR="00A96932">
          <w:rPr>
            <w:noProof/>
            <w:webHidden/>
          </w:rPr>
          <w:tab/>
        </w:r>
        <w:r w:rsidR="00A96932">
          <w:rPr>
            <w:noProof/>
            <w:webHidden/>
          </w:rPr>
          <w:fldChar w:fldCharType="begin"/>
        </w:r>
        <w:r w:rsidR="00A96932">
          <w:rPr>
            <w:noProof/>
            <w:webHidden/>
          </w:rPr>
          <w:instrText xml:space="preserve"> PAGEREF _Toc10730022 \h </w:instrText>
        </w:r>
        <w:r w:rsidR="00A96932">
          <w:rPr>
            <w:noProof/>
            <w:webHidden/>
          </w:rPr>
        </w:r>
        <w:r w:rsidR="00A96932">
          <w:rPr>
            <w:noProof/>
            <w:webHidden/>
          </w:rPr>
          <w:fldChar w:fldCharType="separate"/>
        </w:r>
        <w:r>
          <w:rPr>
            <w:noProof/>
            <w:webHidden/>
          </w:rPr>
          <w:t>24</w:t>
        </w:r>
        <w:r w:rsidR="00A96932">
          <w:rPr>
            <w:noProof/>
            <w:webHidden/>
          </w:rPr>
          <w:fldChar w:fldCharType="end"/>
        </w:r>
      </w:hyperlink>
    </w:p>
    <w:p w14:paraId="37DED07F" w14:textId="53CB525E" w:rsidR="00A96932" w:rsidRDefault="00E12F39">
      <w:pPr>
        <w:pStyle w:val="Seznamobrzk"/>
        <w:tabs>
          <w:tab w:val="right" w:leader="dot" w:pos="9316"/>
        </w:tabs>
        <w:rPr>
          <w:rFonts w:eastAsiaTheme="minorEastAsia"/>
          <w:noProof/>
          <w:lang w:eastAsia="cs-CZ"/>
        </w:rPr>
      </w:pPr>
      <w:hyperlink w:anchor="_Toc10730023" w:history="1">
        <w:r w:rsidR="00A96932" w:rsidRPr="00160A67">
          <w:rPr>
            <w:rStyle w:val="Hypertextovodkaz"/>
            <w:noProof/>
          </w:rPr>
          <w:t>Tabulka 4: Počet projektů v PP OZE dle jejich stavu (k 31. 12. 2018) a typu podporované aktivity</w:t>
        </w:r>
        <w:r w:rsidR="00A96932">
          <w:rPr>
            <w:noProof/>
            <w:webHidden/>
          </w:rPr>
          <w:tab/>
        </w:r>
        <w:r w:rsidR="00A96932">
          <w:rPr>
            <w:noProof/>
            <w:webHidden/>
          </w:rPr>
          <w:fldChar w:fldCharType="begin"/>
        </w:r>
        <w:r w:rsidR="00A96932">
          <w:rPr>
            <w:noProof/>
            <w:webHidden/>
          </w:rPr>
          <w:instrText xml:space="preserve"> PAGEREF _Toc10730023 \h </w:instrText>
        </w:r>
        <w:r w:rsidR="00A96932">
          <w:rPr>
            <w:noProof/>
            <w:webHidden/>
          </w:rPr>
        </w:r>
        <w:r w:rsidR="00A96932">
          <w:rPr>
            <w:noProof/>
            <w:webHidden/>
          </w:rPr>
          <w:fldChar w:fldCharType="separate"/>
        </w:r>
        <w:r>
          <w:rPr>
            <w:noProof/>
            <w:webHidden/>
          </w:rPr>
          <w:t>24</w:t>
        </w:r>
        <w:r w:rsidR="00A96932">
          <w:rPr>
            <w:noProof/>
            <w:webHidden/>
          </w:rPr>
          <w:fldChar w:fldCharType="end"/>
        </w:r>
      </w:hyperlink>
    </w:p>
    <w:p w14:paraId="79F16CE1" w14:textId="0791B15D" w:rsidR="00A96932" w:rsidRDefault="00E12F39">
      <w:pPr>
        <w:pStyle w:val="Seznamobrzk"/>
        <w:tabs>
          <w:tab w:val="right" w:leader="dot" w:pos="9316"/>
        </w:tabs>
        <w:rPr>
          <w:rFonts w:eastAsiaTheme="minorEastAsia"/>
          <w:noProof/>
          <w:lang w:eastAsia="cs-CZ"/>
        </w:rPr>
      </w:pPr>
      <w:hyperlink w:anchor="_Toc10730024" w:history="1">
        <w:r w:rsidR="00A96932" w:rsidRPr="00160A67">
          <w:rPr>
            <w:rStyle w:val="Hypertextovodkaz"/>
            <w:noProof/>
          </w:rPr>
          <w:t>Tabulka 5: Celkové způsobilé náklady projektů dle jejich stavu (k 31. 12. 2018)</w:t>
        </w:r>
        <w:r w:rsidR="00A96932">
          <w:rPr>
            <w:noProof/>
            <w:webHidden/>
          </w:rPr>
          <w:tab/>
        </w:r>
        <w:r w:rsidR="00A96932">
          <w:rPr>
            <w:noProof/>
            <w:webHidden/>
          </w:rPr>
          <w:fldChar w:fldCharType="begin"/>
        </w:r>
        <w:r w:rsidR="00A96932">
          <w:rPr>
            <w:noProof/>
            <w:webHidden/>
          </w:rPr>
          <w:instrText xml:space="preserve"> PAGEREF _Toc10730024 \h </w:instrText>
        </w:r>
        <w:r w:rsidR="00A96932">
          <w:rPr>
            <w:noProof/>
            <w:webHidden/>
          </w:rPr>
        </w:r>
        <w:r w:rsidR="00A96932">
          <w:rPr>
            <w:noProof/>
            <w:webHidden/>
          </w:rPr>
          <w:fldChar w:fldCharType="separate"/>
        </w:r>
        <w:r>
          <w:rPr>
            <w:noProof/>
            <w:webHidden/>
          </w:rPr>
          <w:t>25</w:t>
        </w:r>
        <w:r w:rsidR="00A96932">
          <w:rPr>
            <w:noProof/>
            <w:webHidden/>
          </w:rPr>
          <w:fldChar w:fldCharType="end"/>
        </w:r>
      </w:hyperlink>
    </w:p>
    <w:p w14:paraId="3DEADE49" w14:textId="75EAA452" w:rsidR="00A96932" w:rsidRDefault="00E12F39">
      <w:pPr>
        <w:pStyle w:val="Seznamobrzk"/>
        <w:tabs>
          <w:tab w:val="right" w:leader="dot" w:pos="9316"/>
        </w:tabs>
        <w:rPr>
          <w:rFonts w:eastAsiaTheme="minorEastAsia"/>
          <w:noProof/>
          <w:lang w:eastAsia="cs-CZ"/>
        </w:rPr>
      </w:pPr>
      <w:hyperlink w:anchor="_Toc10730025" w:history="1">
        <w:r w:rsidR="00A96932" w:rsidRPr="00160A67">
          <w:rPr>
            <w:rStyle w:val="Hypertextovodkaz"/>
            <w:noProof/>
          </w:rPr>
          <w:t>Tabulka 6: Hlavní indikátory výsledku SC 3.2</w:t>
        </w:r>
        <w:r w:rsidR="00A96932">
          <w:rPr>
            <w:noProof/>
            <w:webHidden/>
          </w:rPr>
          <w:tab/>
        </w:r>
        <w:r w:rsidR="00A96932">
          <w:rPr>
            <w:noProof/>
            <w:webHidden/>
          </w:rPr>
          <w:fldChar w:fldCharType="begin"/>
        </w:r>
        <w:r w:rsidR="00A96932">
          <w:rPr>
            <w:noProof/>
            <w:webHidden/>
          </w:rPr>
          <w:instrText xml:space="preserve"> PAGEREF _Toc10730025 \h </w:instrText>
        </w:r>
        <w:r w:rsidR="00A96932">
          <w:rPr>
            <w:noProof/>
            <w:webHidden/>
          </w:rPr>
        </w:r>
        <w:r w:rsidR="00A96932">
          <w:rPr>
            <w:noProof/>
            <w:webHidden/>
          </w:rPr>
          <w:fldChar w:fldCharType="separate"/>
        </w:r>
        <w:r>
          <w:rPr>
            <w:noProof/>
            <w:webHidden/>
          </w:rPr>
          <w:t>29</w:t>
        </w:r>
        <w:r w:rsidR="00A96932">
          <w:rPr>
            <w:noProof/>
            <w:webHidden/>
          </w:rPr>
          <w:fldChar w:fldCharType="end"/>
        </w:r>
      </w:hyperlink>
    </w:p>
    <w:p w14:paraId="765E7BBF" w14:textId="619B1E9A" w:rsidR="00A96932" w:rsidRDefault="00E12F39">
      <w:pPr>
        <w:pStyle w:val="Seznamobrzk"/>
        <w:tabs>
          <w:tab w:val="right" w:leader="dot" w:pos="9316"/>
        </w:tabs>
        <w:rPr>
          <w:rFonts w:eastAsiaTheme="minorEastAsia"/>
          <w:noProof/>
          <w:lang w:eastAsia="cs-CZ"/>
        </w:rPr>
      </w:pPr>
      <w:hyperlink w:anchor="_Toc10730026" w:history="1">
        <w:r w:rsidR="00A96932" w:rsidRPr="00160A67">
          <w:rPr>
            <w:rStyle w:val="Hypertextovodkaz"/>
            <w:noProof/>
          </w:rPr>
          <w:t>Tabulka 7: Průměrné náklady úsporných opatření u příjemců podpory a nepodpořených žadatelů</w:t>
        </w:r>
        <w:r w:rsidR="00A96932">
          <w:rPr>
            <w:noProof/>
            <w:webHidden/>
          </w:rPr>
          <w:tab/>
        </w:r>
        <w:r w:rsidR="00A96932">
          <w:rPr>
            <w:noProof/>
            <w:webHidden/>
          </w:rPr>
          <w:fldChar w:fldCharType="begin"/>
        </w:r>
        <w:r w:rsidR="00A96932">
          <w:rPr>
            <w:noProof/>
            <w:webHidden/>
          </w:rPr>
          <w:instrText xml:space="preserve"> PAGEREF _Toc10730026 \h </w:instrText>
        </w:r>
        <w:r w:rsidR="00A96932">
          <w:rPr>
            <w:noProof/>
            <w:webHidden/>
          </w:rPr>
        </w:r>
        <w:r w:rsidR="00A96932">
          <w:rPr>
            <w:noProof/>
            <w:webHidden/>
          </w:rPr>
          <w:fldChar w:fldCharType="separate"/>
        </w:r>
        <w:r>
          <w:rPr>
            <w:noProof/>
            <w:webHidden/>
          </w:rPr>
          <w:t>40</w:t>
        </w:r>
        <w:r w:rsidR="00A96932">
          <w:rPr>
            <w:noProof/>
            <w:webHidden/>
          </w:rPr>
          <w:fldChar w:fldCharType="end"/>
        </w:r>
      </w:hyperlink>
    </w:p>
    <w:p w14:paraId="21BE3770" w14:textId="5B447EEA" w:rsidR="00A96932" w:rsidRDefault="00E12F39">
      <w:pPr>
        <w:pStyle w:val="Seznamobrzk"/>
        <w:tabs>
          <w:tab w:val="right" w:leader="dot" w:pos="9316"/>
        </w:tabs>
        <w:rPr>
          <w:rFonts w:eastAsiaTheme="minorEastAsia"/>
          <w:noProof/>
          <w:lang w:eastAsia="cs-CZ"/>
        </w:rPr>
      </w:pPr>
      <w:hyperlink w:anchor="_Toc10730027" w:history="1">
        <w:r w:rsidR="00A96932" w:rsidRPr="00160A67">
          <w:rPr>
            <w:rStyle w:val="Hypertextovodkaz"/>
            <w:noProof/>
          </w:rPr>
          <w:t>Tabulka 8: Rozložení typů podporovaných aktivit</w:t>
        </w:r>
        <w:r w:rsidR="00A96932">
          <w:rPr>
            <w:noProof/>
            <w:webHidden/>
          </w:rPr>
          <w:tab/>
        </w:r>
        <w:r w:rsidR="00A96932">
          <w:rPr>
            <w:noProof/>
            <w:webHidden/>
          </w:rPr>
          <w:fldChar w:fldCharType="begin"/>
        </w:r>
        <w:r w:rsidR="00A96932">
          <w:rPr>
            <w:noProof/>
            <w:webHidden/>
          </w:rPr>
          <w:instrText xml:space="preserve"> PAGEREF _Toc10730027 \h </w:instrText>
        </w:r>
        <w:r w:rsidR="00A96932">
          <w:rPr>
            <w:noProof/>
            <w:webHidden/>
          </w:rPr>
        </w:r>
        <w:r w:rsidR="00A96932">
          <w:rPr>
            <w:noProof/>
            <w:webHidden/>
          </w:rPr>
          <w:fldChar w:fldCharType="separate"/>
        </w:r>
        <w:r>
          <w:rPr>
            <w:noProof/>
            <w:webHidden/>
          </w:rPr>
          <w:t>46</w:t>
        </w:r>
        <w:r w:rsidR="00A96932">
          <w:rPr>
            <w:noProof/>
            <w:webHidden/>
          </w:rPr>
          <w:fldChar w:fldCharType="end"/>
        </w:r>
      </w:hyperlink>
    </w:p>
    <w:p w14:paraId="196190A4" w14:textId="58E3EF8A" w:rsidR="00A96932" w:rsidRDefault="00E12F39">
      <w:pPr>
        <w:pStyle w:val="Seznamobrzk"/>
        <w:tabs>
          <w:tab w:val="right" w:leader="dot" w:pos="9316"/>
        </w:tabs>
        <w:rPr>
          <w:rFonts w:eastAsiaTheme="minorEastAsia"/>
          <w:noProof/>
          <w:lang w:eastAsia="cs-CZ"/>
        </w:rPr>
      </w:pPr>
      <w:hyperlink w:anchor="_Toc10730028" w:history="1">
        <w:r w:rsidR="00A96932" w:rsidRPr="00160A67">
          <w:rPr>
            <w:rStyle w:val="Hypertextovodkaz"/>
            <w:noProof/>
          </w:rPr>
          <w:t>Tabulka 9: Rozložení výše dotace dle podporovaných aktivit</w:t>
        </w:r>
        <w:r w:rsidR="00A96932">
          <w:rPr>
            <w:noProof/>
            <w:webHidden/>
          </w:rPr>
          <w:tab/>
        </w:r>
        <w:r w:rsidR="00A96932">
          <w:rPr>
            <w:noProof/>
            <w:webHidden/>
          </w:rPr>
          <w:fldChar w:fldCharType="begin"/>
        </w:r>
        <w:r w:rsidR="00A96932">
          <w:rPr>
            <w:noProof/>
            <w:webHidden/>
          </w:rPr>
          <w:instrText xml:space="preserve"> PAGEREF _Toc10730028 \h </w:instrText>
        </w:r>
        <w:r w:rsidR="00A96932">
          <w:rPr>
            <w:noProof/>
            <w:webHidden/>
          </w:rPr>
        </w:r>
        <w:r w:rsidR="00A96932">
          <w:rPr>
            <w:noProof/>
            <w:webHidden/>
          </w:rPr>
          <w:fldChar w:fldCharType="separate"/>
        </w:r>
        <w:r>
          <w:rPr>
            <w:noProof/>
            <w:webHidden/>
          </w:rPr>
          <w:t>48</w:t>
        </w:r>
        <w:r w:rsidR="00A96932">
          <w:rPr>
            <w:noProof/>
            <w:webHidden/>
          </w:rPr>
          <w:fldChar w:fldCharType="end"/>
        </w:r>
      </w:hyperlink>
    </w:p>
    <w:p w14:paraId="4EF6ABF5" w14:textId="55C23DE2" w:rsidR="00A96932" w:rsidRDefault="00E12F39">
      <w:pPr>
        <w:pStyle w:val="Seznamobrzk"/>
        <w:tabs>
          <w:tab w:val="right" w:leader="dot" w:pos="9316"/>
        </w:tabs>
        <w:rPr>
          <w:rFonts w:eastAsiaTheme="minorEastAsia"/>
          <w:noProof/>
          <w:lang w:eastAsia="cs-CZ"/>
        </w:rPr>
      </w:pPr>
      <w:hyperlink w:anchor="_Toc10730029" w:history="1">
        <w:r w:rsidR="00A96932" w:rsidRPr="00160A67">
          <w:rPr>
            <w:rStyle w:val="Hypertextovodkaz"/>
            <w:noProof/>
          </w:rPr>
          <w:t>Tabulka 10: Indikátor výsledku Snížení emisí CO</w:t>
        </w:r>
        <w:r w:rsidR="00A96932" w:rsidRPr="00160A67">
          <w:rPr>
            <w:rStyle w:val="Hypertextovodkaz"/>
            <w:noProof/>
            <w:vertAlign w:val="subscript"/>
          </w:rPr>
          <w:t>2</w:t>
        </w:r>
        <w:r w:rsidR="00A96932" w:rsidRPr="00160A67">
          <w:rPr>
            <w:rStyle w:val="Hypertextovodkaz"/>
            <w:noProof/>
          </w:rPr>
          <w:t xml:space="preserve"> (SC 3.2)</w:t>
        </w:r>
        <w:r w:rsidR="00A96932">
          <w:rPr>
            <w:noProof/>
            <w:webHidden/>
          </w:rPr>
          <w:tab/>
        </w:r>
        <w:r w:rsidR="00A96932">
          <w:rPr>
            <w:noProof/>
            <w:webHidden/>
          </w:rPr>
          <w:fldChar w:fldCharType="begin"/>
        </w:r>
        <w:r w:rsidR="00A96932">
          <w:rPr>
            <w:noProof/>
            <w:webHidden/>
          </w:rPr>
          <w:instrText xml:space="preserve"> PAGEREF _Toc10730029 \h </w:instrText>
        </w:r>
        <w:r w:rsidR="00A96932">
          <w:rPr>
            <w:noProof/>
            <w:webHidden/>
          </w:rPr>
        </w:r>
        <w:r w:rsidR="00A96932">
          <w:rPr>
            <w:noProof/>
            <w:webHidden/>
          </w:rPr>
          <w:fldChar w:fldCharType="separate"/>
        </w:r>
        <w:r>
          <w:rPr>
            <w:noProof/>
            <w:webHidden/>
          </w:rPr>
          <w:t>50</w:t>
        </w:r>
        <w:r w:rsidR="00A96932">
          <w:rPr>
            <w:noProof/>
            <w:webHidden/>
          </w:rPr>
          <w:fldChar w:fldCharType="end"/>
        </w:r>
      </w:hyperlink>
    </w:p>
    <w:p w14:paraId="682FC1AC" w14:textId="2CCF6D57" w:rsidR="00A96932" w:rsidRDefault="00E12F39">
      <w:pPr>
        <w:pStyle w:val="Seznamobrzk"/>
        <w:tabs>
          <w:tab w:val="right" w:leader="dot" w:pos="9316"/>
        </w:tabs>
        <w:rPr>
          <w:rFonts w:eastAsiaTheme="minorEastAsia"/>
          <w:noProof/>
          <w:lang w:eastAsia="cs-CZ"/>
        </w:rPr>
      </w:pPr>
      <w:hyperlink w:anchor="_Toc10730030" w:history="1">
        <w:r w:rsidR="00A96932" w:rsidRPr="00160A67">
          <w:rPr>
            <w:rStyle w:val="Hypertextovodkaz"/>
            <w:noProof/>
          </w:rPr>
          <w:t>Tabulka 11: Indikátor výsledku SC 3.4</w:t>
        </w:r>
        <w:r w:rsidR="00A96932">
          <w:rPr>
            <w:noProof/>
            <w:webHidden/>
          </w:rPr>
          <w:tab/>
        </w:r>
        <w:r w:rsidR="00A96932">
          <w:rPr>
            <w:noProof/>
            <w:webHidden/>
          </w:rPr>
          <w:fldChar w:fldCharType="begin"/>
        </w:r>
        <w:r w:rsidR="00A96932">
          <w:rPr>
            <w:noProof/>
            <w:webHidden/>
          </w:rPr>
          <w:instrText xml:space="preserve"> PAGEREF _Toc10730030 \h </w:instrText>
        </w:r>
        <w:r w:rsidR="00A96932">
          <w:rPr>
            <w:noProof/>
            <w:webHidden/>
          </w:rPr>
        </w:r>
        <w:r w:rsidR="00A96932">
          <w:rPr>
            <w:noProof/>
            <w:webHidden/>
          </w:rPr>
          <w:fldChar w:fldCharType="separate"/>
        </w:r>
        <w:r>
          <w:rPr>
            <w:noProof/>
            <w:webHidden/>
          </w:rPr>
          <w:t>55</w:t>
        </w:r>
        <w:r w:rsidR="00A96932">
          <w:rPr>
            <w:noProof/>
            <w:webHidden/>
          </w:rPr>
          <w:fldChar w:fldCharType="end"/>
        </w:r>
      </w:hyperlink>
    </w:p>
    <w:p w14:paraId="0B25E45D" w14:textId="6FA6FD6E" w:rsidR="00A96932" w:rsidRDefault="00E12F39">
      <w:pPr>
        <w:pStyle w:val="Seznamobrzk"/>
        <w:tabs>
          <w:tab w:val="right" w:leader="dot" w:pos="9316"/>
        </w:tabs>
        <w:rPr>
          <w:rFonts w:eastAsiaTheme="minorEastAsia"/>
          <w:noProof/>
          <w:lang w:eastAsia="cs-CZ"/>
        </w:rPr>
      </w:pPr>
      <w:hyperlink w:anchor="_Toc10730031" w:history="1">
        <w:r w:rsidR="00A96932" w:rsidRPr="00160A67">
          <w:rPr>
            <w:rStyle w:val="Hypertextovodkaz"/>
            <w:noProof/>
          </w:rPr>
          <w:t>Tabulka 12: Kvantitativní věcný pokrok SC 3.4</w:t>
        </w:r>
        <w:r w:rsidR="00A96932">
          <w:rPr>
            <w:noProof/>
            <w:webHidden/>
          </w:rPr>
          <w:tab/>
        </w:r>
        <w:r w:rsidR="00A96932">
          <w:rPr>
            <w:noProof/>
            <w:webHidden/>
          </w:rPr>
          <w:fldChar w:fldCharType="begin"/>
        </w:r>
        <w:r w:rsidR="00A96932">
          <w:rPr>
            <w:noProof/>
            <w:webHidden/>
          </w:rPr>
          <w:instrText xml:space="preserve"> PAGEREF _Toc10730031 \h </w:instrText>
        </w:r>
        <w:r w:rsidR="00A96932">
          <w:rPr>
            <w:noProof/>
            <w:webHidden/>
          </w:rPr>
        </w:r>
        <w:r w:rsidR="00A96932">
          <w:rPr>
            <w:noProof/>
            <w:webHidden/>
          </w:rPr>
          <w:fldChar w:fldCharType="separate"/>
        </w:r>
        <w:r>
          <w:rPr>
            <w:noProof/>
            <w:webHidden/>
          </w:rPr>
          <w:t>55</w:t>
        </w:r>
        <w:r w:rsidR="00A96932">
          <w:rPr>
            <w:noProof/>
            <w:webHidden/>
          </w:rPr>
          <w:fldChar w:fldCharType="end"/>
        </w:r>
      </w:hyperlink>
    </w:p>
    <w:p w14:paraId="47B68772" w14:textId="08AFA9AF" w:rsidR="00A96932" w:rsidRDefault="00E12F39">
      <w:pPr>
        <w:pStyle w:val="Seznamobrzk"/>
        <w:tabs>
          <w:tab w:val="right" w:leader="dot" w:pos="9316"/>
        </w:tabs>
        <w:rPr>
          <w:rFonts w:eastAsiaTheme="minorEastAsia"/>
          <w:noProof/>
          <w:lang w:eastAsia="cs-CZ"/>
        </w:rPr>
      </w:pPr>
      <w:hyperlink w:anchor="_Toc10730032" w:history="1">
        <w:r w:rsidR="00A96932" w:rsidRPr="00160A67">
          <w:rPr>
            <w:rStyle w:val="Hypertextovodkaz"/>
            <w:noProof/>
          </w:rPr>
          <w:t>Tabulka 13: Trendy recyklace a využití odpadů (dle hlavních kategorií odpadů)</w:t>
        </w:r>
        <w:r w:rsidR="00A96932">
          <w:rPr>
            <w:noProof/>
            <w:webHidden/>
          </w:rPr>
          <w:tab/>
        </w:r>
        <w:r w:rsidR="00A96932">
          <w:rPr>
            <w:noProof/>
            <w:webHidden/>
          </w:rPr>
          <w:fldChar w:fldCharType="begin"/>
        </w:r>
        <w:r w:rsidR="00A96932">
          <w:rPr>
            <w:noProof/>
            <w:webHidden/>
          </w:rPr>
          <w:instrText xml:space="preserve"> PAGEREF _Toc10730032 \h </w:instrText>
        </w:r>
        <w:r w:rsidR="00A96932">
          <w:rPr>
            <w:noProof/>
            <w:webHidden/>
          </w:rPr>
        </w:r>
        <w:r w:rsidR="00A96932">
          <w:rPr>
            <w:noProof/>
            <w:webHidden/>
          </w:rPr>
          <w:fldChar w:fldCharType="separate"/>
        </w:r>
        <w:r>
          <w:rPr>
            <w:noProof/>
            <w:webHidden/>
          </w:rPr>
          <w:t>64</w:t>
        </w:r>
        <w:r w:rsidR="00A96932">
          <w:rPr>
            <w:noProof/>
            <w:webHidden/>
          </w:rPr>
          <w:fldChar w:fldCharType="end"/>
        </w:r>
      </w:hyperlink>
    </w:p>
    <w:p w14:paraId="4076FB14" w14:textId="58FD43CA" w:rsidR="00A96932" w:rsidRDefault="00E12F39">
      <w:pPr>
        <w:pStyle w:val="Seznamobrzk"/>
        <w:tabs>
          <w:tab w:val="right" w:leader="dot" w:pos="9316"/>
        </w:tabs>
        <w:rPr>
          <w:rFonts w:eastAsiaTheme="minorEastAsia"/>
          <w:noProof/>
          <w:lang w:eastAsia="cs-CZ"/>
        </w:rPr>
      </w:pPr>
      <w:hyperlink w:anchor="_Toc10730033" w:history="1">
        <w:r w:rsidR="00A96932" w:rsidRPr="00160A67">
          <w:rPr>
            <w:rStyle w:val="Hypertextovodkaz"/>
            <w:noProof/>
          </w:rPr>
          <w:t>Tabulka 14: Energetická náročnost vybraných odvětvových agregací (meziroční změna, v %)</w:t>
        </w:r>
        <w:r w:rsidR="00A96932">
          <w:rPr>
            <w:noProof/>
            <w:webHidden/>
          </w:rPr>
          <w:tab/>
        </w:r>
        <w:r w:rsidR="00A96932">
          <w:rPr>
            <w:noProof/>
            <w:webHidden/>
          </w:rPr>
          <w:fldChar w:fldCharType="begin"/>
        </w:r>
        <w:r w:rsidR="00A96932">
          <w:rPr>
            <w:noProof/>
            <w:webHidden/>
          </w:rPr>
          <w:instrText xml:space="preserve"> PAGEREF _Toc10730033 \h </w:instrText>
        </w:r>
        <w:r w:rsidR="00A96932">
          <w:rPr>
            <w:noProof/>
            <w:webHidden/>
          </w:rPr>
        </w:r>
        <w:r w:rsidR="00A96932">
          <w:rPr>
            <w:noProof/>
            <w:webHidden/>
          </w:rPr>
          <w:fldChar w:fldCharType="separate"/>
        </w:r>
        <w:r>
          <w:rPr>
            <w:noProof/>
            <w:webHidden/>
          </w:rPr>
          <w:t>67</w:t>
        </w:r>
        <w:r w:rsidR="00A96932">
          <w:rPr>
            <w:noProof/>
            <w:webHidden/>
          </w:rPr>
          <w:fldChar w:fldCharType="end"/>
        </w:r>
      </w:hyperlink>
    </w:p>
    <w:p w14:paraId="2F8AFFDD" w14:textId="37B2AE7B" w:rsidR="00A96932" w:rsidRDefault="00E12F39">
      <w:pPr>
        <w:pStyle w:val="Seznamobrzk"/>
        <w:tabs>
          <w:tab w:val="right" w:leader="dot" w:pos="9316"/>
        </w:tabs>
        <w:rPr>
          <w:rFonts w:eastAsiaTheme="minorEastAsia"/>
          <w:noProof/>
          <w:lang w:eastAsia="cs-CZ"/>
        </w:rPr>
      </w:pPr>
      <w:hyperlink w:anchor="_Toc10730034" w:history="1">
        <w:r w:rsidR="00A96932" w:rsidRPr="00160A67">
          <w:rPr>
            <w:rStyle w:val="Hypertextovodkaz"/>
            <w:noProof/>
          </w:rPr>
          <w:t>Tabulka 15: Materiálová náročnost vybraných odvětví (meziroční změna, v %)</w:t>
        </w:r>
        <w:r w:rsidR="00A96932">
          <w:rPr>
            <w:noProof/>
            <w:webHidden/>
          </w:rPr>
          <w:tab/>
        </w:r>
        <w:r w:rsidR="00A96932">
          <w:rPr>
            <w:noProof/>
            <w:webHidden/>
          </w:rPr>
          <w:fldChar w:fldCharType="begin"/>
        </w:r>
        <w:r w:rsidR="00A96932">
          <w:rPr>
            <w:noProof/>
            <w:webHidden/>
          </w:rPr>
          <w:instrText xml:space="preserve"> PAGEREF _Toc10730034 \h </w:instrText>
        </w:r>
        <w:r w:rsidR="00A96932">
          <w:rPr>
            <w:noProof/>
            <w:webHidden/>
          </w:rPr>
        </w:r>
        <w:r w:rsidR="00A96932">
          <w:rPr>
            <w:noProof/>
            <w:webHidden/>
          </w:rPr>
          <w:fldChar w:fldCharType="separate"/>
        </w:r>
        <w:r>
          <w:rPr>
            <w:noProof/>
            <w:webHidden/>
          </w:rPr>
          <w:t>68</w:t>
        </w:r>
        <w:r w:rsidR="00A96932">
          <w:rPr>
            <w:noProof/>
            <w:webHidden/>
          </w:rPr>
          <w:fldChar w:fldCharType="end"/>
        </w:r>
      </w:hyperlink>
    </w:p>
    <w:p w14:paraId="028693B6" w14:textId="1289E55F" w:rsidR="00A96932" w:rsidRDefault="00E12F39">
      <w:pPr>
        <w:pStyle w:val="Seznamobrzk"/>
        <w:tabs>
          <w:tab w:val="right" w:leader="dot" w:pos="9316"/>
        </w:tabs>
        <w:rPr>
          <w:rFonts w:eastAsiaTheme="minorEastAsia"/>
          <w:noProof/>
          <w:lang w:eastAsia="cs-CZ"/>
        </w:rPr>
      </w:pPr>
      <w:hyperlink w:anchor="_Toc10730035" w:history="1">
        <w:r w:rsidR="00A96932" w:rsidRPr="00160A67">
          <w:rPr>
            <w:rStyle w:val="Hypertextovodkaz"/>
            <w:noProof/>
          </w:rPr>
          <w:t>Tabulka 16: Kontextový indikátor SC 3.4: Investice na ochranu životního prostředí</w:t>
        </w:r>
        <w:r w:rsidR="00A96932">
          <w:rPr>
            <w:noProof/>
            <w:webHidden/>
          </w:rPr>
          <w:tab/>
        </w:r>
        <w:r w:rsidR="00A96932">
          <w:rPr>
            <w:noProof/>
            <w:webHidden/>
          </w:rPr>
          <w:fldChar w:fldCharType="begin"/>
        </w:r>
        <w:r w:rsidR="00A96932">
          <w:rPr>
            <w:noProof/>
            <w:webHidden/>
          </w:rPr>
          <w:instrText xml:space="preserve"> PAGEREF _Toc10730035 \h </w:instrText>
        </w:r>
        <w:r w:rsidR="00A96932">
          <w:rPr>
            <w:noProof/>
            <w:webHidden/>
          </w:rPr>
        </w:r>
        <w:r w:rsidR="00A96932">
          <w:rPr>
            <w:noProof/>
            <w:webHidden/>
          </w:rPr>
          <w:fldChar w:fldCharType="separate"/>
        </w:r>
        <w:r>
          <w:rPr>
            <w:noProof/>
            <w:webHidden/>
          </w:rPr>
          <w:t>84</w:t>
        </w:r>
        <w:r w:rsidR="00A96932">
          <w:rPr>
            <w:noProof/>
            <w:webHidden/>
          </w:rPr>
          <w:fldChar w:fldCharType="end"/>
        </w:r>
      </w:hyperlink>
    </w:p>
    <w:p w14:paraId="7FDD5919" w14:textId="2BDF4F2B" w:rsidR="00A96932" w:rsidRDefault="00E12F39">
      <w:pPr>
        <w:pStyle w:val="Seznamobrzk"/>
        <w:tabs>
          <w:tab w:val="right" w:leader="dot" w:pos="9316"/>
        </w:tabs>
        <w:rPr>
          <w:rFonts w:eastAsiaTheme="minorEastAsia"/>
          <w:noProof/>
          <w:lang w:eastAsia="cs-CZ"/>
        </w:rPr>
      </w:pPr>
      <w:hyperlink w:anchor="_Toc10730036" w:history="1">
        <w:r w:rsidR="00A96932" w:rsidRPr="00160A67">
          <w:rPr>
            <w:rStyle w:val="Hypertextovodkaz"/>
            <w:noProof/>
          </w:rPr>
          <w:t>Tabulka 17: Indikátor výsledku SC 3.1 (hlavní)</w:t>
        </w:r>
        <w:r w:rsidR="00A96932">
          <w:rPr>
            <w:noProof/>
            <w:webHidden/>
          </w:rPr>
          <w:tab/>
        </w:r>
        <w:r w:rsidR="00A96932">
          <w:rPr>
            <w:noProof/>
            <w:webHidden/>
          </w:rPr>
          <w:fldChar w:fldCharType="begin"/>
        </w:r>
        <w:r w:rsidR="00A96932">
          <w:rPr>
            <w:noProof/>
            <w:webHidden/>
          </w:rPr>
          <w:instrText xml:space="preserve"> PAGEREF _Toc10730036 \h </w:instrText>
        </w:r>
        <w:r w:rsidR="00A96932">
          <w:rPr>
            <w:noProof/>
            <w:webHidden/>
          </w:rPr>
        </w:r>
        <w:r w:rsidR="00A96932">
          <w:rPr>
            <w:noProof/>
            <w:webHidden/>
          </w:rPr>
          <w:fldChar w:fldCharType="separate"/>
        </w:r>
        <w:r>
          <w:rPr>
            <w:noProof/>
            <w:webHidden/>
          </w:rPr>
          <w:t>85</w:t>
        </w:r>
        <w:r w:rsidR="00A96932">
          <w:rPr>
            <w:noProof/>
            <w:webHidden/>
          </w:rPr>
          <w:fldChar w:fldCharType="end"/>
        </w:r>
      </w:hyperlink>
    </w:p>
    <w:p w14:paraId="69B005D3" w14:textId="0D0D9C03" w:rsidR="00A96932" w:rsidRDefault="00E12F39">
      <w:pPr>
        <w:pStyle w:val="Seznamobrzk"/>
        <w:tabs>
          <w:tab w:val="right" w:leader="dot" w:pos="9316"/>
        </w:tabs>
        <w:rPr>
          <w:rFonts w:eastAsiaTheme="minorEastAsia"/>
          <w:noProof/>
          <w:lang w:eastAsia="cs-CZ"/>
        </w:rPr>
      </w:pPr>
      <w:hyperlink w:anchor="_Toc10730037" w:history="1">
        <w:r w:rsidR="00A96932" w:rsidRPr="00160A67">
          <w:rPr>
            <w:rStyle w:val="Hypertextovodkaz"/>
            <w:noProof/>
          </w:rPr>
          <w:t>Tabulka 18: Indikátory výsledku SC 3.2 (hlavní)</w:t>
        </w:r>
        <w:r w:rsidR="00A96932">
          <w:rPr>
            <w:noProof/>
            <w:webHidden/>
          </w:rPr>
          <w:tab/>
        </w:r>
        <w:r w:rsidR="00A96932">
          <w:rPr>
            <w:noProof/>
            <w:webHidden/>
          </w:rPr>
          <w:fldChar w:fldCharType="begin"/>
        </w:r>
        <w:r w:rsidR="00A96932">
          <w:rPr>
            <w:noProof/>
            <w:webHidden/>
          </w:rPr>
          <w:instrText xml:space="preserve"> PAGEREF _Toc10730037 \h </w:instrText>
        </w:r>
        <w:r w:rsidR="00A96932">
          <w:rPr>
            <w:noProof/>
            <w:webHidden/>
          </w:rPr>
        </w:r>
        <w:r w:rsidR="00A96932">
          <w:rPr>
            <w:noProof/>
            <w:webHidden/>
          </w:rPr>
          <w:fldChar w:fldCharType="separate"/>
        </w:r>
        <w:r>
          <w:rPr>
            <w:noProof/>
            <w:webHidden/>
          </w:rPr>
          <w:t>85</w:t>
        </w:r>
        <w:r w:rsidR="00A96932">
          <w:rPr>
            <w:noProof/>
            <w:webHidden/>
          </w:rPr>
          <w:fldChar w:fldCharType="end"/>
        </w:r>
      </w:hyperlink>
    </w:p>
    <w:p w14:paraId="20DC563B" w14:textId="11606240" w:rsidR="00A96932" w:rsidRDefault="00E12F39">
      <w:pPr>
        <w:pStyle w:val="Seznamobrzk"/>
        <w:tabs>
          <w:tab w:val="right" w:leader="dot" w:pos="9316"/>
        </w:tabs>
        <w:rPr>
          <w:rFonts w:eastAsiaTheme="minorEastAsia"/>
          <w:noProof/>
          <w:lang w:eastAsia="cs-CZ"/>
        </w:rPr>
      </w:pPr>
      <w:hyperlink w:anchor="_Toc10730038" w:history="1">
        <w:r w:rsidR="00A96932" w:rsidRPr="00160A67">
          <w:rPr>
            <w:rStyle w:val="Hypertextovodkaz"/>
            <w:noProof/>
          </w:rPr>
          <w:t>Tabulka 19: Indikátor výsledku SC 3.4</w:t>
        </w:r>
        <w:r w:rsidR="00A96932">
          <w:rPr>
            <w:noProof/>
            <w:webHidden/>
          </w:rPr>
          <w:tab/>
        </w:r>
        <w:r w:rsidR="00A96932">
          <w:rPr>
            <w:noProof/>
            <w:webHidden/>
          </w:rPr>
          <w:fldChar w:fldCharType="begin"/>
        </w:r>
        <w:r w:rsidR="00A96932">
          <w:rPr>
            <w:noProof/>
            <w:webHidden/>
          </w:rPr>
          <w:instrText xml:space="preserve"> PAGEREF _Toc10730038 \h </w:instrText>
        </w:r>
        <w:r w:rsidR="00A96932">
          <w:rPr>
            <w:noProof/>
            <w:webHidden/>
          </w:rPr>
        </w:r>
        <w:r w:rsidR="00A96932">
          <w:rPr>
            <w:noProof/>
            <w:webHidden/>
          </w:rPr>
          <w:fldChar w:fldCharType="separate"/>
        </w:r>
        <w:r>
          <w:rPr>
            <w:noProof/>
            <w:webHidden/>
          </w:rPr>
          <w:t>86</w:t>
        </w:r>
        <w:r w:rsidR="00A96932">
          <w:rPr>
            <w:noProof/>
            <w:webHidden/>
          </w:rPr>
          <w:fldChar w:fldCharType="end"/>
        </w:r>
      </w:hyperlink>
    </w:p>
    <w:p w14:paraId="3FE4E276" w14:textId="2B86CDC7" w:rsidR="00A96932" w:rsidRDefault="00E12F39">
      <w:pPr>
        <w:pStyle w:val="Seznamobrzk"/>
        <w:tabs>
          <w:tab w:val="right" w:leader="dot" w:pos="9316"/>
        </w:tabs>
        <w:rPr>
          <w:rFonts w:eastAsiaTheme="minorEastAsia"/>
          <w:noProof/>
          <w:lang w:eastAsia="cs-CZ"/>
        </w:rPr>
      </w:pPr>
      <w:hyperlink w:anchor="_Toc10730039" w:history="1">
        <w:r w:rsidR="00A96932" w:rsidRPr="00160A67">
          <w:rPr>
            <w:rStyle w:val="Hypertextovodkaz"/>
            <w:noProof/>
          </w:rPr>
          <w:t>Tabulka 20: Plnění milníků výkonnostního rámce PO 3</w:t>
        </w:r>
        <w:r w:rsidR="00A96932">
          <w:rPr>
            <w:noProof/>
            <w:webHidden/>
          </w:rPr>
          <w:tab/>
        </w:r>
        <w:r w:rsidR="00A96932">
          <w:rPr>
            <w:noProof/>
            <w:webHidden/>
          </w:rPr>
          <w:fldChar w:fldCharType="begin"/>
        </w:r>
        <w:r w:rsidR="00A96932">
          <w:rPr>
            <w:noProof/>
            <w:webHidden/>
          </w:rPr>
          <w:instrText xml:space="preserve"> PAGEREF _Toc10730039 \h </w:instrText>
        </w:r>
        <w:r w:rsidR="00A96932">
          <w:rPr>
            <w:noProof/>
            <w:webHidden/>
          </w:rPr>
        </w:r>
        <w:r w:rsidR="00A96932">
          <w:rPr>
            <w:noProof/>
            <w:webHidden/>
          </w:rPr>
          <w:fldChar w:fldCharType="separate"/>
        </w:r>
        <w:r>
          <w:rPr>
            <w:noProof/>
            <w:webHidden/>
          </w:rPr>
          <w:t>88</w:t>
        </w:r>
        <w:r w:rsidR="00A96932">
          <w:rPr>
            <w:noProof/>
            <w:webHidden/>
          </w:rPr>
          <w:fldChar w:fldCharType="end"/>
        </w:r>
      </w:hyperlink>
    </w:p>
    <w:p w14:paraId="4AD09837" w14:textId="74BD55D9" w:rsidR="00A96932" w:rsidRDefault="00E12F39">
      <w:pPr>
        <w:pStyle w:val="Seznamobrzk"/>
        <w:tabs>
          <w:tab w:val="right" w:leader="dot" w:pos="9316"/>
        </w:tabs>
        <w:rPr>
          <w:rFonts w:eastAsiaTheme="minorEastAsia"/>
          <w:noProof/>
          <w:lang w:eastAsia="cs-CZ"/>
        </w:rPr>
      </w:pPr>
      <w:hyperlink w:anchor="_Toc10730040" w:history="1">
        <w:r w:rsidR="00A96932" w:rsidRPr="00160A67">
          <w:rPr>
            <w:rStyle w:val="Hypertextovodkaz"/>
            <w:noProof/>
          </w:rPr>
          <w:t>Tabulka 21: Ukazatele účinnosti PP Obnovitelné zdroje energie</w:t>
        </w:r>
        <w:r w:rsidR="00A96932">
          <w:rPr>
            <w:noProof/>
            <w:webHidden/>
          </w:rPr>
          <w:tab/>
        </w:r>
        <w:r w:rsidR="00A96932">
          <w:rPr>
            <w:noProof/>
            <w:webHidden/>
          </w:rPr>
          <w:fldChar w:fldCharType="begin"/>
        </w:r>
        <w:r w:rsidR="00A96932">
          <w:rPr>
            <w:noProof/>
            <w:webHidden/>
          </w:rPr>
          <w:instrText xml:space="preserve"> PAGEREF _Toc10730040 \h </w:instrText>
        </w:r>
        <w:r w:rsidR="00A96932">
          <w:rPr>
            <w:noProof/>
            <w:webHidden/>
          </w:rPr>
        </w:r>
        <w:r w:rsidR="00A96932">
          <w:rPr>
            <w:noProof/>
            <w:webHidden/>
          </w:rPr>
          <w:fldChar w:fldCharType="separate"/>
        </w:r>
        <w:r>
          <w:rPr>
            <w:noProof/>
            <w:webHidden/>
          </w:rPr>
          <w:t>89</w:t>
        </w:r>
        <w:r w:rsidR="00A96932">
          <w:rPr>
            <w:noProof/>
            <w:webHidden/>
          </w:rPr>
          <w:fldChar w:fldCharType="end"/>
        </w:r>
      </w:hyperlink>
    </w:p>
    <w:p w14:paraId="3F6C5D88" w14:textId="15FDCD32" w:rsidR="00A96932" w:rsidRDefault="00E12F39">
      <w:pPr>
        <w:pStyle w:val="Seznamobrzk"/>
        <w:tabs>
          <w:tab w:val="right" w:leader="dot" w:pos="9316"/>
        </w:tabs>
        <w:rPr>
          <w:rFonts w:eastAsiaTheme="minorEastAsia"/>
          <w:noProof/>
          <w:lang w:eastAsia="cs-CZ"/>
        </w:rPr>
      </w:pPr>
      <w:hyperlink w:anchor="_Toc10730041" w:history="1">
        <w:r w:rsidR="00A96932" w:rsidRPr="00160A67">
          <w:rPr>
            <w:rStyle w:val="Hypertextovodkaz"/>
            <w:noProof/>
          </w:rPr>
          <w:t>Tabulka 22: Ukazatele účinnosti PP Úspory energie</w:t>
        </w:r>
        <w:r w:rsidR="00A96932">
          <w:rPr>
            <w:noProof/>
            <w:webHidden/>
          </w:rPr>
          <w:tab/>
        </w:r>
        <w:r w:rsidR="00A96932">
          <w:rPr>
            <w:noProof/>
            <w:webHidden/>
          </w:rPr>
          <w:fldChar w:fldCharType="begin"/>
        </w:r>
        <w:r w:rsidR="00A96932">
          <w:rPr>
            <w:noProof/>
            <w:webHidden/>
          </w:rPr>
          <w:instrText xml:space="preserve"> PAGEREF _Toc10730041 \h </w:instrText>
        </w:r>
        <w:r w:rsidR="00A96932">
          <w:rPr>
            <w:noProof/>
            <w:webHidden/>
          </w:rPr>
        </w:r>
        <w:r w:rsidR="00A96932">
          <w:rPr>
            <w:noProof/>
            <w:webHidden/>
          </w:rPr>
          <w:fldChar w:fldCharType="separate"/>
        </w:r>
        <w:r>
          <w:rPr>
            <w:noProof/>
            <w:webHidden/>
          </w:rPr>
          <w:t>89</w:t>
        </w:r>
        <w:r w:rsidR="00A96932">
          <w:rPr>
            <w:noProof/>
            <w:webHidden/>
          </w:rPr>
          <w:fldChar w:fldCharType="end"/>
        </w:r>
      </w:hyperlink>
    </w:p>
    <w:p w14:paraId="3B4D054B" w14:textId="07F5CC0A" w:rsidR="00A96932" w:rsidRDefault="00E12F39">
      <w:pPr>
        <w:pStyle w:val="Seznamobrzk"/>
        <w:tabs>
          <w:tab w:val="right" w:leader="dot" w:pos="9316"/>
        </w:tabs>
        <w:rPr>
          <w:rFonts w:eastAsiaTheme="minorEastAsia"/>
          <w:noProof/>
          <w:lang w:eastAsia="cs-CZ"/>
        </w:rPr>
      </w:pPr>
      <w:hyperlink w:anchor="_Toc10730042" w:history="1">
        <w:r w:rsidR="00A96932" w:rsidRPr="00160A67">
          <w:rPr>
            <w:rStyle w:val="Hypertextovodkaz"/>
            <w:noProof/>
          </w:rPr>
          <w:t>Tabulka 23: Ukazatele účinnosti PP Nízkouhlíkové technologie</w:t>
        </w:r>
        <w:r w:rsidR="00A96932">
          <w:rPr>
            <w:noProof/>
            <w:webHidden/>
          </w:rPr>
          <w:tab/>
        </w:r>
        <w:r w:rsidR="00A96932">
          <w:rPr>
            <w:noProof/>
            <w:webHidden/>
          </w:rPr>
          <w:fldChar w:fldCharType="begin"/>
        </w:r>
        <w:r w:rsidR="00A96932">
          <w:rPr>
            <w:noProof/>
            <w:webHidden/>
          </w:rPr>
          <w:instrText xml:space="preserve"> PAGEREF _Toc10730042 \h </w:instrText>
        </w:r>
        <w:r w:rsidR="00A96932">
          <w:rPr>
            <w:noProof/>
            <w:webHidden/>
          </w:rPr>
        </w:r>
        <w:r w:rsidR="00A96932">
          <w:rPr>
            <w:noProof/>
            <w:webHidden/>
          </w:rPr>
          <w:fldChar w:fldCharType="separate"/>
        </w:r>
        <w:r>
          <w:rPr>
            <w:noProof/>
            <w:webHidden/>
          </w:rPr>
          <w:t>90</w:t>
        </w:r>
        <w:r w:rsidR="00A96932">
          <w:rPr>
            <w:noProof/>
            <w:webHidden/>
          </w:rPr>
          <w:fldChar w:fldCharType="end"/>
        </w:r>
      </w:hyperlink>
    </w:p>
    <w:p w14:paraId="7F8B9957" w14:textId="3CB3A61A" w:rsidR="00E4631B" w:rsidRDefault="00D47B20" w:rsidP="00D47B20">
      <w:pPr>
        <w:pStyle w:val="Seznamobrzk"/>
        <w:tabs>
          <w:tab w:val="right" w:leader="dot" w:pos="9316"/>
        </w:tabs>
        <w:rPr>
          <w:rFonts w:ascii="Calibri" w:hAnsi="Calibri" w:cs="Calibri"/>
        </w:rPr>
      </w:pPr>
      <w:r>
        <w:rPr>
          <w:rFonts w:ascii="Calibri" w:hAnsi="Calibri" w:cs="Calibri"/>
        </w:rPr>
        <w:fldChar w:fldCharType="end"/>
      </w:r>
    </w:p>
    <w:p w14:paraId="329D3C0E" w14:textId="3EA657A2" w:rsidR="00F67113" w:rsidRDefault="00F67113" w:rsidP="00F67113">
      <w:pPr>
        <w:pStyle w:val="Nadpis2"/>
      </w:pPr>
      <w:bookmarkStart w:id="274" w:name="_Toc4596884"/>
      <w:bookmarkStart w:id="275" w:name="_Toc10730017"/>
      <w:r>
        <w:t>Seznam obrázků</w:t>
      </w:r>
      <w:bookmarkEnd w:id="274"/>
      <w:bookmarkEnd w:id="275"/>
    </w:p>
    <w:p w14:paraId="5A7EF8A3" w14:textId="762E194C" w:rsidR="00A96932" w:rsidRDefault="00D47B20">
      <w:pPr>
        <w:pStyle w:val="Seznamobrzk"/>
        <w:tabs>
          <w:tab w:val="right" w:leader="dot" w:pos="9316"/>
        </w:tabs>
        <w:rPr>
          <w:rFonts w:eastAsiaTheme="minorEastAsia"/>
          <w:noProof/>
          <w:lang w:eastAsia="cs-CZ"/>
        </w:rPr>
      </w:pPr>
      <w:r>
        <w:rPr>
          <w:rFonts w:ascii="Calibri" w:hAnsi="Calibri" w:cs="Calibri"/>
        </w:rPr>
        <w:fldChar w:fldCharType="begin"/>
      </w:r>
      <w:r>
        <w:rPr>
          <w:rFonts w:ascii="Calibri" w:hAnsi="Calibri" w:cs="Calibri"/>
        </w:rPr>
        <w:instrText xml:space="preserve"> TOC \h \z \c "Obrázek" </w:instrText>
      </w:r>
      <w:r>
        <w:rPr>
          <w:rFonts w:ascii="Calibri" w:hAnsi="Calibri" w:cs="Calibri"/>
        </w:rPr>
        <w:fldChar w:fldCharType="separate"/>
      </w:r>
      <w:hyperlink w:anchor="_Toc10730043" w:history="1">
        <w:r w:rsidR="00A96932" w:rsidRPr="00827CD4">
          <w:rPr>
            <w:rStyle w:val="Hypertextovodkaz"/>
            <w:noProof/>
          </w:rPr>
          <w:t>Obrázek 1: Modelace trendů vybraných indikátorů SC 3.2</w:t>
        </w:r>
        <w:r w:rsidR="00A96932">
          <w:rPr>
            <w:noProof/>
            <w:webHidden/>
          </w:rPr>
          <w:tab/>
        </w:r>
        <w:r w:rsidR="00A96932">
          <w:rPr>
            <w:noProof/>
            <w:webHidden/>
          </w:rPr>
          <w:fldChar w:fldCharType="begin"/>
        </w:r>
        <w:r w:rsidR="00A96932">
          <w:rPr>
            <w:noProof/>
            <w:webHidden/>
          </w:rPr>
          <w:instrText xml:space="preserve"> PAGEREF _Toc10730043 \h </w:instrText>
        </w:r>
        <w:r w:rsidR="00A96932">
          <w:rPr>
            <w:noProof/>
            <w:webHidden/>
          </w:rPr>
        </w:r>
        <w:r w:rsidR="00A96932">
          <w:rPr>
            <w:noProof/>
            <w:webHidden/>
          </w:rPr>
          <w:fldChar w:fldCharType="separate"/>
        </w:r>
        <w:r w:rsidR="00E12F39">
          <w:rPr>
            <w:noProof/>
            <w:webHidden/>
          </w:rPr>
          <w:t>30</w:t>
        </w:r>
        <w:r w:rsidR="00A96932">
          <w:rPr>
            <w:noProof/>
            <w:webHidden/>
          </w:rPr>
          <w:fldChar w:fldCharType="end"/>
        </w:r>
      </w:hyperlink>
    </w:p>
    <w:p w14:paraId="54157B00" w14:textId="0B8E933E" w:rsidR="00A96932" w:rsidRDefault="00E12F39">
      <w:pPr>
        <w:pStyle w:val="Seznamobrzk"/>
        <w:tabs>
          <w:tab w:val="right" w:leader="dot" w:pos="9316"/>
        </w:tabs>
        <w:rPr>
          <w:rFonts w:eastAsiaTheme="minorEastAsia"/>
          <w:noProof/>
          <w:lang w:eastAsia="cs-CZ"/>
        </w:rPr>
      </w:pPr>
      <w:hyperlink w:anchor="_Toc10730044" w:history="1">
        <w:r w:rsidR="00A96932" w:rsidRPr="00827CD4">
          <w:rPr>
            <w:rStyle w:val="Hypertextovodkaz"/>
            <w:noProof/>
          </w:rPr>
          <w:t>Obrázek 2: Energetická náročnost hospodářství ve vybraných letech (Kgoe na 1000 EUR)</w:t>
        </w:r>
        <w:r w:rsidR="00A96932">
          <w:rPr>
            <w:noProof/>
            <w:webHidden/>
          </w:rPr>
          <w:tab/>
        </w:r>
        <w:r w:rsidR="00A96932">
          <w:rPr>
            <w:noProof/>
            <w:webHidden/>
          </w:rPr>
          <w:fldChar w:fldCharType="begin"/>
        </w:r>
        <w:r w:rsidR="00A96932">
          <w:rPr>
            <w:noProof/>
            <w:webHidden/>
          </w:rPr>
          <w:instrText xml:space="preserve"> PAGEREF _Toc10730044 \h </w:instrText>
        </w:r>
        <w:r w:rsidR="00A96932">
          <w:rPr>
            <w:noProof/>
            <w:webHidden/>
          </w:rPr>
        </w:r>
        <w:r w:rsidR="00A96932">
          <w:rPr>
            <w:noProof/>
            <w:webHidden/>
          </w:rPr>
          <w:fldChar w:fldCharType="separate"/>
        </w:r>
        <w:r>
          <w:rPr>
            <w:noProof/>
            <w:webHidden/>
          </w:rPr>
          <w:t>34</w:t>
        </w:r>
        <w:r w:rsidR="00A96932">
          <w:rPr>
            <w:noProof/>
            <w:webHidden/>
          </w:rPr>
          <w:fldChar w:fldCharType="end"/>
        </w:r>
      </w:hyperlink>
    </w:p>
    <w:p w14:paraId="571C9D85" w14:textId="3ACE84CC" w:rsidR="00A96932" w:rsidRDefault="00E12F39">
      <w:pPr>
        <w:pStyle w:val="Seznamobrzk"/>
        <w:tabs>
          <w:tab w:val="right" w:leader="dot" w:pos="9316"/>
        </w:tabs>
        <w:rPr>
          <w:rFonts w:eastAsiaTheme="minorEastAsia"/>
          <w:noProof/>
          <w:lang w:eastAsia="cs-CZ"/>
        </w:rPr>
      </w:pPr>
      <w:hyperlink w:anchor="_Toc10730045" w:history="1">
        <w:r w:rsidR="00A96932" w:rsidRPr="00827CD4">
          <w:rPr>
            <w:rStyle w:val="Hypertextovodkaz"/>
            <w:noProof/>
          </w:rPr>
          <w:t>Obrázek 3: Výsledky DŠ – Odpovědi na otázku: Podaří se Vám dosáhnout plánovaných cílů, kvůli kterým jste se rozhodli realizovat projekt s dotační podporou z programu OBNOVITELNÉ ZDROJE ENERGIE</w:t>
        </w:r>
        <w:r w:rsidR="00A96932">
          <w:rPr>
            <w:noProof/>
            <w:webHidden/>
          </w:rPr>
          <w:tab/>
        </w:r>
        <w:r w:rsidR="00A96932">
          <w:rPr>
            <w:noProof/>
            <w:webHidden/>
          </w:rPr>
          <w:fldChar w:fldCharType="begin"/>
        </w:r>
        <w:r w:rsidR="00A96932">
          <w:rPr>
            <w:noProof/>
            <w:webHidden/>
          </w:rPr>
          <w:instrText xml:space="preserve"> PAGEREF _Toc10730045 \h </w:instrText>
        </w:r>
        <w:r w:rsidR="00A96932">
          <w:rPr>
            <w:noProof/>
            <w:webHidden/>
          </w:rPr>
        </w:r>
        <w:r w:rsidR="00A96932">
          <w:rPr>
            <w:noProof/>
            <w:webHidden/>
          </w:rPr>
          <w:fldChar w:fldCharType="separate"/>
        </w:r>
        <w:r>
          <w:rPr>
            <w:noProof/>
            <w:webHidden/>
          </w:rPr>
          <w:t>35</w:t>
        </w:r>
        <w:r w:rsidR="00A96932">
          <w:rPr>
            <w:noProof/>
            <w:webHidden/>
          </w:rPr>
          <w:fldChar w:fldCharType="end"/>
        </w:r>
      </w:hyperlink>
    </w:p>
    <w:p w14:paraId="7FD3CE14" w14:textId="0C757350" w:rsidR="00A96932" w:rsidRDefault="00E12F39">
      <w:pPr>
        <w:pStyle w:val="Seznamobrzk"/>
        <w:tabs>
          <w:tab w:val="right" w:leader="dot" w:pos="9316"/>
        </w:tabs>
        <w:rPr>
          <w:rFonts w:eastAsiaTheme="minorEastAsia"/>
          <w:noProof/>
          <w:lang w:eastAsia="cs-CZ"/>
        </w:rPr>
      </w:pPr>
      <w:hyperlink w:anchor="_Toc10730046" w:history="1">
        <w:r w:rsidR="00A96932" w:rsidRPr="00827CD4">
          <w:rPr>
            <w:rStyle w:val="Hypertextovodkaz"/>
            <w:noProof/>
          </w:rPr>
          <w:t>Obrázek 4: Výsledky DŠ – Odpovědi na otázku: K jak velké změně spotřeby energie došlo ve vaší společnosti v období mezi lety 2015 až 2018?</w:t>
        </w:r>
        <w:r w:rsidR="00A96932">
          <w:rPr>
            <w:noProof/>
            <w:webHidden/>
          </w:rPr>
          <w:tab/>
        </w:r>
        <w:r w:rsidR="00A96932">
          <w:rPr>
            <w:noProof/>
            <w:webHidden/>
          </w:rPr>
          <w:fldChar w:fldCharType="begin"/>
        </w:r>
        <w:r w:rsidR="00A96932">
          <w:rPr>
            <w:noProof/>
            <w:webHidden/>
          </w:rPr>
          <w:instrText xml:space="preserve"> PAGEREF _Toc10730046 \h </w:instrText>
        </w:r>
        <w:r w:rsidR="00A96932">
          <w:rPr>
            <w:noProof/>
            <w:webHidden/>
          </w:rPr>
        </w:r>
        <w:r w:rsidR="00A96932">
          <w:rPr>
            <w:noProof/>
            <w:webHidden/>
          </w:rPr>
          <w:fldChar w:fldCharType="separate"/>
        </w:r>
        <w:r>
          <w:rPr>
            <w:noProof/>
            <w:webHidden/>
          </w:rPr>
          <w:t>38</w:t>
        </w:r>
        <w:r w:rsidR="00A96932">
          <w:rPr>
            <w:noProof/>
            <w:webHidden/>
          </w:rPr>
          <w:fldChar w:fldCharType="end"/>
        </w:r>
      </w:hyperlink>
    </w:p>
    <w:p w14:paraId="7B95E281" w14:textId="6A2F2598" w:rsidR="00A96932" w:rsidRDefault="00E12F39">
      <w:pPr>
        <w:pStyle w:val="Seznamobrzk"/>
        <w:tabs>
          <w:tab w:val="right" w:leader="dot" w:pos="9316"/>
        </w:tabs>
        <w:rPr>
          <w:rFonts w:eastAsiaTheme="minorEastAsia"/>
          <w:noProof/>
          <w:lang w:eastAsia="cs-CZ"/>
        </w:rPr>
      </w:pPr>
      <w:hyperlink w:anchor="_Toc10730047" w:history="1">
        <w:r w:rsidR="00A96932" w:rsidRPr="00827CD4">
          <w:rPr>
            <w:rStyle w:val="Hypertextovodkaz"/>
            <w:noProof/>
          </w:rPr>
          <w:t>Obrázek 5: Výsledky DŠ – Odpovědi na otázku: Co vedlo primárně k dosaženým úsporám?</w:t>
        </w:r>
        <w:r w:rsidR="00A96932">
          <w:rPr>
            <w:noProof/>
            <w:webHidden/>
          </w:rPr>
          <w:tab/>
        </w:r>
        <w:r w:rsidR="00A96932">
          <w:rPr>
            <w:noProof/>
            <w:webHidden/>
          </w:rPr>
          <w:fldChar w:fldCharType="begin"/>
        </w:r>
        <w:r w:rsidR="00A96932">
          <w:rPr>
            <w:noProof/>
            <w:webHidden/>
          </w:rPr>
          <w:instrText xml:space="preserve"> PAGEREF _Toc10730047 \h </w:instrText>
        </w:r>
        <w:r w:rsidR="00A96932">
          <w:rPr>
            <w:noProof/>
            <w:webHidden/>
          </w:rPr>
        </w:r>
        <w:r w:rsidR="00A96932">
          <w:rPr>
            <w:noProof/>
            <w:webHidden/>
          </w:rPr>
          <w:fldChar w:fldCharType="separate"/>
        </w:r>
        <w:r>
          <w:rPr>
            <w:noProof/>
            <w:webHidden/>
          </w:rPr>
          <w:t>39</w:t>
        </w:r>
        <w:r w:rsidR="00A96932">
          <w:rPr>
            <w:noProof/>
            <w:webHidden/>
          </w:rPr>
          <w:fldChar w:fldCharType="end"/>
        </w:r>
      </w:hyperlink>
    </w:p>
    <w:p w14:paraId="401F57D7" w14:textId="0B5DC28D" w:rsidR="00A96932" w:rsidRDefault="00E12F39">
      <w:pPr>
        <w:pStyle w:val="Seznamobrzk"/>
        <w:tabs>
          <w:tab w:val="right" w:leader="dot" w:pos="9316"/>
        </w:tabs>
        <w:rPr>
          <w:rFonts w:eastAsiaTheme="minorEastAsia"/>
          <w:noProof/>
          <w:lang w:eastAsia="cs-CZ"/>
        </w:rPr>
      </w:pPr>
      <w:hyperlink w:anchor="_Toc10730048" w:history="1">
        <w:r w:rsidR="00A96932" w:rsidRPr="00827CD4">
          <w:rPr>
            <w:rStyle w:val="Hypertextovodkaz"/>
            <w:noProof/>
          </w:rPr>
          <w:t>Obrázek 6: Výsledky DŠ – Investice do úsporných opatření bez podpory OP PIK</w:t>
        </w:r>
        <w:r w:rsidR="00A96932">
          <w:rPr>
            <w:noProof/>
            <w:webHidden/>
          </w:rPr>
          <w:tab/>
        </w:r>
        <w:r w:rsidR="00A96932">
          <w:rPr>
            <w:noProof/>
            <w:webHidden/>
          </w:rPr>
          <w:fldChar w:fldCharType="begin"/>
        </w:r>
        <w:r w:rsidR="00A96932">
          <w:rPr>
            <w:noProof/>
            <w:webHidden/>
          </w:rPr>
          <w:instrText xml:space="preserve"> PAGEREF _Toc10730048 \h </w:instrText>
        </w:r>
        <w:r w:rsidR="00A96932">
          <w:rPr>
            <w:noProof/>
            <w:webHidden/>
          </w:rPr>
        </w:r>
        <w:r w:rsidR="00A96932">
          <w:rPr>
            <w:noProof/>
            <w:webHidden/>
          </w:rPr>
          <w:fldChar w:fldCharType="separate"/>
        </w:r>
        <w:r>
          <w:rPr>
            <w:noProof/>
            <w:webHidden/>
          </w:rPr>
          <w:t>41</w:t>
        </w:r>
        <w:r w:rsidR="00A96932">
          <w:rPr>
            <w:noProof/>
            <w:webHidden/>
          </w:rPr>
          <w:fldChar w:fldCharType="end"/>
        </w:r>
      </w:hyperlink>
    </w:p>
    <w:p w14:paraId="0D799904" w14:textId="6213D46B" w:rsidR="00A96932" w:rsidRDefault="00E12F39">
      <w:pPr>
        <w:pStyle w:val="Seznamobrzk"/>
        <w:tabs>
          <w:tab w:val="right" w:leader="dot" w:pos="9316"/>
        </w:tabs>
        <w:rPr>
          <w:rFonts w:eastAsiaTheme="minorEastAsia"/>
          <w:noProof/>
          <w:lang w:eastAsia="cs-CZ"/>
        </w:rPr>
      </w:pPr>
      <w:hyperlink w:anchor="_Toc10730049" w:history="1">
        <w:r w:rsidR="00A96932" w:rsidRPr="00827CD4">
          <w:rPr>
            <w:rStyle w:val="Hypertextovodkaz"/>
            <w:noProof/>
          </w:rPr>
          <w:t>Obrázek 7: Výsledky DŠ – Odpovědi na otázku: Do jaké míry ovlivňují náklady na energie konkurenceschopnost Vaší společnosti?</w:t>
        </w:r>
        <w:r w:rsidR="00A96932">
          <w:rPr>
            <w:noProof/>
            <w:webHidden/>
          </w:rPr>
          <w:tab/>
        </w:r>
        <w:r w:rsidR="00A96932">
          <w:rPr>
            <w:noProof/>
            <w:webHidden/>
          </w:rPr>
          <w:fldChar w:fldCharType="begin"/>
        </w:r>
        <w:r w:rsidR="00A96932">
          <w:rPr>
            <w:noProof/>
            <w:webHidden/>
          </w:rPr>
          <w:instrText xml:space="preserve"> PAGEREF _Toc10730049 \h </w:instrText>
        </w:r>
        <w:r w:rsidR="00A96932">
          <w:rPr>
            <w:noProof/>
            <w:webHidden/>
          </w:rPr>
        </w:r>
        <w:r w:rsidR="00A96932">
          <w:rPr>
            <w:noProof/>
            <w:webHidden/>
          </w:rPr>
          <w:fldChar w:fldCharType="separate"/>
        </w:r>
        <w:r>
          <w:rPr>
            <w:noProof/>
            <w:webHidden/>
          </w:rPr>
          <w:t>43</w:t>
        </w:r>
        <w:r w:rsidR="00A96932">
          <w:rPr>
            <w:noProof/>
            <w:webHidden/>
          </w:rPr>
          <w:fldChar w:fldCharType="end"/>
        </w:r>
      </w:hyperlink>
    </w:p>
    <w:p w14:paraId="0CEFF3FD" w14:textId="1061591E" w:rsidR="00A96932" w:rsidRDefault="00E12F39">
      <w:pPr>
        <w:pStyle w:val="Seznamobrzk"/>
        <w:tabs>
          <w:tab w:val="right" w:leader="dot" w:pos="9316"/>
        </w:tabs>
        <w:rPr>
          <w:rFonts w:eastAsiaTheme="minorEastAsia"/>
          <w:noProof/>
          <w:lang w:eastAsia="cs-CZ"/>
        </w:rPr>
      </w:pPr>
      <w:hyperlink w:anchor="_Toc10730050" w:history="1">
        <w:r w:rsidR="00A96932" w:rsidRPr="00827CD4">
          <w:rPr>
            <w:rStyle w:val="Hypertextovodkaz"/>
            <w:noProof/>
          </w:rPr>
          <w:t>Obrázek 8: Výsledky DŠ – Odpovědi na otázku: Jak se změnil význam nákladů na energie pro Vaši společnost po investici do energetických úspor?</w:t>
        </w:r>
        <w:r w:rsidR="00A96932">
          <w:rPr>
            <w:noProof/>
            <w:webHidden/>
          </w:rPr>
          <w:tab/>
        </w:r>
        <w:r w:rsidR="00A96932">
          <w:rPr>
            <w:noProof/>
            <w:webHidden/>
          </w:rPr>
          <w:fldChar w:fldCharType="begin"/>
        </w:r>
        <w:r w:rsidR="00A96932">
          <w:rPr>
            <w:noProof/>
            <w:webHidden/>
          </w:rPr>
          <w:instrText xml:space="preserve"> PAGEREF _Toc10730050 \h </w:instrText>
        </w:r>
        <w:r w:rsidR="00A96932">
          <w:rPr>
            <w:noProof/>
            <w:webHidden/>
          </w:rPr>
        </w:r>
        <w:r w:rsidR="00A96932">
          <w:rPr>
            <w:noProof/>
            <w:webHidden/>
          </w:rPr>
          <w:fldChar w:fldCharType="separate"/>
        </w:r>
        <w:r>
          <w:rPr>
            <w:noProof/>
            <w:webHidden/>
          </w:rPr>
          <w:t>44</w:t>
        </w:r>
        <w:r w:rsidR="00A96932">
          <w:rPr>
            <w:noProof/>
            <w:webHidden/>
          </w:rPr>
          <w:fldChar w:fldCharType="end"/>
        </w:r>
      </w:hyperlink>
    </w:p>
    <w:p w14:paraId="6C6FF9F6" w14:textId="2290A107" w:rsidR="00A96932" w:rsidRDefault="00E12F39">
      <w:pPr>
        <w:pStyle w:val="Seznamobrzk"/>
        <w:tabs>
          <w:tab w:val="right" w:leader="dot" w:pos="9316"/>
        </w:tabs>
        <w:rPr>
          <w:rFonts w:eastAsiaTheme="minorEastAsia"/>
          <w:noProof/>
          <w:lang w:eastAsia="cs-CZ"/>
        </w:rPr>
      </w:pPr>
      <w:hyperlink w:anchor="_Toc10730051" w:history="1">
        <w:r w:rsidR="00A96932" w:rsidRPr="00827CD4">
          <w:rPr>
            <w:rStyle w:val="Hypertextovodkaz"/>
            <w:noProof/>
          </w:rPr>
          <w:t>Obrázek 9: Zastoupení typových aktivit v PP NUT z hlediska počtu podpořených projektů</w:t>
        </w:r>
        <w:r w:rsidR="00A96932">
          <w:rPr>
            <w:noProof/>
            <w:webHidden/>
          </w:rPr>
          <w:tab/>
        </w:r>
        <w:r w:rsidR="00A96932">
          <w:rPr>
            <w:noProof/>
            <w:webHidden/>
          </w:rPr>
          <w:fldChar w:fldCharType="begin"/>
        </w:r>
        <w:r w:rsidR="00A96932">
          <w:rPr>
            <w:noProof/>
            <w:webHidden/>
          </w:rPr>
          <w:instrText xml:space="preserve"> PAGEREF _Toc10730051 \h </w:instrText>
        </w:r>
        <w:r w:rsidR="00A96932">
          <w:rPr>
            <w:noProof/>
            <w:webHidden/>
          </w:rPr>
        </w:r>
        <w:r w:rsidR="00A96932">
          <w:rPr>
            <w:noProof/>
            <w:webHidden/>
          </w:rPr>
          <w:fldChar w:fldCharType="separate"/>
        </w:r>
        <w:r>
          <w:rPr>
            <w:noProof/>
            <w:webHidden/>
          </w:rPr>
          <w:t>71</w:t>
        </w:r>
        <w:r w:rsidR="00A96932">
          <w:rPr>
            <w:noProof/>
            <w:webHidden/>
          </w:rPr>
          <w:fldChar w:fldCharType="end"/>
        </w:r>
      </w:hyperlink>
    </w:p>
    <w:p w14:paraId="1ED55665" w14:textId="06A0DBD5" w:rsidR="00A96932" w:rsidRDefault="00E12F39">
      <w:pPr>
        <w:pStyle w:val="Seznamobrzk"/>
        <w:tabs>
          <w:tab w:val="right" w:leader="dot" w:pos="9316"/>
        </w:tabs>
        <w:rPr>
          <w:rFonts w:eastAsiaTheme="minorEastAsia"/>
          <w:noProof/>
          <w:lang w:eastAsia="cs-CZ"/>
        </w:rPr>
      </w:pPr>
      <w:hyperlink w:anchor="_Toc10730052" w:history="1">
        <w:r w:rsidR="00A96932" w:rsidRPr="00827CD4">
          <w:rPr>
            <w:rStyle w:val="Hypertextovodkaz"/>
            <w:noProof/>
          </w:rPr>
          <w:t>Obrázek 10: Zastoupení typových aktivit v PP NUT z hlediska objemu přiznané podpory</w:t>
        </w:r>
        <w:r w:rsidR="00A96932">
          <w:rPr>
            <w:noProof/>
            <w:webHidden/>
          </w:rPr>
          <w:tab/>
        </w:r>
        <w:r w:rsidR="00A96932">
          <w:rPr>
            <w:noProof/>
            <w:webHidden/>
          </w:rPr>
          <w:fldChar w:fldCharType="begin"/>
        </w:r>
        <w:r w:rsidR="00A96932">
          <w:rPr>
            <w:noProof/>
            <w:webHidden/>
          </w:rPr>
          <w:instrText xml:space="preserve"> PAGEREF _Toc10730052 \h </w:instrText>
        </w:r>
        <w:r w:rsidR="00A96932">
          <w:rPr>
            <w:noProof/>
            <w:webHidden/>
          </w:rPr>
        </w:r>
        <w:r w:rsidR="00A96932">
          <w:rPr>
            <w:noProof/>
            <w:webHidden/>
          </w:rPr>
          <w:fldChar w:fldCharType="separate"/>
        </w:r>
        <w:r>
          <w:rPr>
            <w:noProof/>
            <w:webHidden/>
          </w:rPr>
          <w:t>71</w:t>
        </w:r>
        <w:r w:rsidR="00A96932">
          <w:rPr>
            <w:noProof/>
            <w:webHidden/>
          </w:rPr>
          <w:fldChar w:fldCharType="end"/>
        </w:r>
      </w:hyperlink>
    </w:p>
    <w:p w14:paraId="79601643" w14:textId="76D5F503" w:rsidR="00A96932" w:rsidRDefault="00E12F39">
      <w:pPr>
        <w:pStyle w:val="Seznamobrzk"/>
        <w:tabs>
          <w:tab w:val="right" w:leader="dot" w:pos="9316"/>
        </w:tabs>
        <w:rPr>
          <w:rFonts w:eastAsiaTheme="minorEastAsia"/>
          <w:noProof/>
          <w:lang w:eastAsia="cs-CZ"/>
        </w:rPr>
      </w:pPr>
      <w:hyperlink w:anchor="_Toc10730053" w:history="1">
        <w:r w:rsidR="00A96932" w:rsidRPr="00827CD4">
          <w:rPr>
            <w:rStyle w:val="Hypertextovodkaz"/>
            <w:noProof/>
          </w:rPr>
          <w:t>Obrázek 11: Počty podpořených projektů podle výzev</w:t>
        </w:r>
        <w:r w:rsidR="00A96932">
          <w:rPr>
            <w:noProof/>
            <w:webHidden/>
          </w:rPr>
          <w:tab/>
        </w:r>
        <w:r w:rsidR="00A96932">
          <w:rPr>
            <w:noProof/>
            <w:webHidden/>
          </w:rPr>
          <w:fldChar w:fldCharType="begin"/>
        </w:r>
        <w:r w:rsidR="00A96932">
          <w:rPr>
            <w:noProof/>
            <w:webHidden/>
          </w:rPr>
          <w:instrText xml:space="preserve"> PAGEREF _Toc10730053 \h </w:instrText>
        </w:r>
        <w:r w:rsidR="00A96932">
          <w:rPr>
            <w:noProof/>
            <w:webHidden/>
          </w:rPr>
        </w:r>
        <w:r w:rsidR="00A96932">
          <w:rPr>
            <w:noProof/>
            <w:webHidden/>
          </w:rPr>
          <w:fldChar w:fldCharType="separate"/>
        </w:r>
        <w:r>
          <w:rPr>
            <w:noProof/>
            <w:webHidden/>
          </w:rPr>
          <w:t>72</w:t>
        </w:r>
        <w:r w:rsidR="00A96932">
          <w:rPr>
            <w:noProof/>
            <w:webHidden/>
          </w:rPr>
          <w:fldChar w:fldCharType="end"/>
        </w:r>
      </w:hyperlink>
    </w:p>
    <w:p w14:paraId="764303AB" w14:textId="7E190556" w:rsidR="00A96932" w:rsidRDefault="00E12F39">
      <w:pPr>
        <w:pStyle w:val="Seznamobrzk"/>
        <w:tabs>
          <w:tab w:val="right" w:leader="dot" w:pos="9316"/>
        </w:tabs>
        <w:rPr>
          <w:rFonts w:eastAsiaTheme="minorEastAsia"/>
          <w:noProof/>
          <w:lang w:eastAsia="cs-CZ"/>
        </w:rPr>
      </w:pPr>
      <w:hyperlink w:anchor="_Toc10730054" w:history="1">
        <w:r w:rsidR="00A96932" w:rsidRPr="00827CD4">
          <w:rPr>
            <w:rStyle w:val="Hypertextovodkaz"/>
            <w:noProof/>
          </w:rPr>
          <w:t>Obrázek 12: Absolutní výše přiznané podpory podle výzev</w:t>
        </w:r>
        <w:r w:rsidR="00A96932">
          <w:rPr>
            <w:noProof/>
            <w:webHidden/>
          </w:rPr>
          <w:tab/>
        </w:r>
        <w:r w:rsidR="00A96932">
          <w:rPr>
            <w:noProof/>
            <w:webHidden/>
          </w:rPr>
          <w:fldChar w:fldCharType="begin"/>
        </w:r>
        <w:r w:rsidR="00A96932">
          <w:rPr>
            <w:noProof/>
            <w:webHidden/>
          </w:rPr>
          <w:instrText xml:space="preserve"> PAGEREF _Toc10730054 \h </w:instrText>
        </w:r>
        <w:r w:rsidR="00A96932">
          <w:rPr>
            <w:noProof/>
            <w:webHidden/>
          </w:rPr>
        </w:r>
        <w:r w:rsidR="00A96932">
          <w:rPr>
            <w:noProof/>
            <w:webHidden/>
          </w:rPr>
          <w:fldChar w:fldCharType="separate"/>
        </w:r>
        <w:r>
          <w:rPr>
            <w:noProof/>
            <w:webHidden/>
          </w:rPr>
          <w:t>72</w:t>
        </w:r>
        <w:r w:rsidR="00A96932">
          <w:rPr>
            <w:noProof/>
            <w:webHidden/>
          </w:rPr>
          <w:fldChar w:fldCharType="end"/>
        </w:r>
      </w:hyperlink>
    </w:p>
    <w:p w14:paraId="03F0B6BA" w14:textId="7EE0FE80" w:rsidR="00A96932" w:rsidRDefault="00E12F39">
      <w:pPr>
        <w:pStyle w:val="Seznamobrzk"/>
        <w:tabs>
          <w:tab w:val="right" w:leader="dot" w:pos="9316"/>
        </w:tabs>
        <w:rPr>
          <w:rFonts w:eastAsiaTheme="minorEastAsia"/>
          <w:noProof/>
          <w:lang w:eastAsia="cs-CZ"/>
        </w:rPr>
      </w:pPr>
      <w:hyperlink w:anchor="_Toc10730055" w:history="1">
        <w:r w:rsidR="00A96932" w:rsidRPr="00827CD4">
          <w:rPr>
            <w:rStyle w:val="Hypertextovodkaz"/>
            <w:noProof/>
          </w:rPr>
          <w:t>Obrázek 13: Výše přiznané podpory a proplacené Žádosti o platbu</w:t>
        </w:r>
        <w:r w:rsidR="00A96932">
          <w:rPr>
            <w:noProof/>
            <w:webHidden/>
          </w:rPr>
          <w:tab/>
        </w:r>
        <w:r w:rsidR="00A96932">
          <w:rPr>
            <w:noProof/>
            <w:webHidden/>
          </w:rPr>
          <w:fldChar w:fldCharType="begin"/>
        </w:r>
        <w:r w:rsidR="00A96932">
          <w:rPr>
            <w:noProof/>
            <w:webHidden/>
          </w:rPr>
          <w:instrText xml:space="preserve"> PAGEREF _Toc10730055 \h </w:instrText>
        </w:r>
        <w:r w:rsidR="00A96932">
          <w:rPr>
            <w:noProof/>
            <w:webHidden/>
          </w:rPr>
        </w:r>
        <w:r w:rsidR="00A96932">
          <w:rPr>
            <w:noProof/>
            <w:webHidden/>
          </w:rPr>
          <w:fldChar w:fldCharType="separate"/>
        </w:r>
        <w:r>
          <w:rPr>
            <w:noProof/>
            <w:webHidden/>
          </w:rPr>
          <w:t>73</w:t>
        </w:r>
        <w:r w:rsidR="00A96932">
          <w:rPr>
            <w:noProof/>
            <w:webHidden/>
          </w:rPr>
          <w:fldChar w:fldCharType="end"/>
        </w:r>
      </w:hyperlink>
    </w:p>
    <w:p w14:paraId="449EBDEF" w14:textId="7AE7F78B" w:rsidR="00A96932" w:rsidRDefault="00E12F39">
      <w:pPr>
        <w:pStyle w:val="Seznamobrzk"/>
        <w:tabs>
          <w:tab w:val="right" w:leader="dot" w:pos="9316"/>
        </w:tabs>
        <w:rPr>
          <w:rFonts w:eastAsiaTheme="minorEastAsia"/>
          <w:noProof/>
          <w:lang w:eastAsia="cs-CZ"/>
        </w:rPr>
      </w:pPr>
      <w:hyperlink w:anchor="_Toc10730056" w:history="1">
        <w:r w:rsidR="00A96932" w:rsidRPr="00827CD4">
          <w:rPr>
            <w:rStyle w:val="Hypertextovodkaz"/>
            <w:noProof/>
          </w:rPr>
          <w:t>Obrázek 14: Průměrná výše přiznané podpory na 1 projekt</w:t>
        </w:r>
        <w:r w:rsidR="00A96932">
          <w:rPr>
            <w:noProof/>
            <w:webHidden/>
          </w:rPr>
          <w:tab/>
        </w:r>
        <w:r w:rsidR="00A96932">
          <w:rPr>
            <w:noProof/>
            <w:webHidden/>
          </w:rPr>
          <w:fldChar w:fldCharType="begin"/>
        </w:r>
        <w:r w:rsidR="00A96932">
          <w:rPr>
            <w:noProof/>
            <w:webHidden/>
          </w:rPr>
          <w:instrText xml:space="preserve"> PAGEREF _Toc10730056 \h </w:instrText>
        </w:r>
        <w:r w:rsidR="00A96932">
          <w:rPr>
            <w:noProof/>
            <w:webHidden/>
          </w:rPr>
        </w:r>
        <w:r w:rsidR="00A96932">
          <w:rPr>
            <w:noProof/>
            <w:webHidden/>
          </w:rPr>
          <w:fldChar w:fldCharType="separate"/>
        </w:r>
        <w:r>
          <w:rPr>
            <w:noProof/>
            <w:webHidden/>
          </w:rPr>
          <w:t>73</w:t>
        </w:r>
        <w:r w:rsidR="00A96932">
          <w:rPr>
            <w:noProof/>
            <w:webHidden/>
          </w:rPr>
          <w:fldChar w:fldCharType="end"/>
        </w:r>
      </w:hyperlink>
    </w:p>
    <w:p w14:paraId="18E954CA" w14:textId="04A24C28" w:rsidR="00A96932" w:rsidRDefault="00E12F39">
      <w:pPr>
        <w:pStyle w:val="Seznamobrzk"/>
        <w:tabs>
          <w:tab w:val="right" w:leader="dot" w:pos="9316"/>
        </w:tabs>
        <w:rPr>
          <w:rFonts w:eastAsiaTheme="minorEastAsia"/>
          <w:noProof/>
          <w:lang w:eastAsia="cs-CZ"/>
        </w:rPr>
      </w:pPr>
      <w:hyperlink w:anchor="_Toc10730057" w:history="1">
        <w:r w:rsidR="00A96932" w:rsidRPr="00827CD4">
          <w:rPr>
            <w:rStyle w:val="Hypertextovodkaz"/>
            <w:noProof/>
          </w:rPr>
          <w:t>Obrázek 15: Vývoj instalovaného výkonu v ES ČR v letech 2009-2018</w:t>
        </w:r>
        <w:r w:rsidR="00A96932">
          <w:rPr>
            <w:noProof/>
            <w:webHidden/>
          </w:rPr>
          <w:tab/>
        </w:r>
        <w:r w:rsidR="00A96932">
          <w:rPr>
            <w:noProof/>
            <w:webHidden/>
          </w:rPr>
          <w:fldChar w:fldCharType="begin"/>
        </w:r>
        <w:r w:rsidR="00A96932">
          <w:rPr>
            <w:noProof/>
            <w:webHidden/>
          </w:rPr>
          <w:instrText xml:space="preserve"> PAGEREF _Toc10730057 \h </w:instrText>
        </w:r>
        <w:r w:rsidR="00A96932">
          <w:rPr>
            <w:noProof/>
            <w:webHidden/>
          </w:rPr>
        </w:r>
        <w:r w:rsidR="00A96932">
          <w:rPr>
            <w:noProof/>
            <w:webHidden/>
          </w:rPr>
          <w:fldChar w:fldCharType="separate"/>
        </w:r>
        <w:r>
          <w:rPr>
            <w:noProof/>
            <w:webHidden/>
          </w:rPr>
          <w:t>84</w:t>
        </w:r>
        <w:r w:rsidR="00A96932">
          <w:rPr>
            <w:noProof/>
            <w:webHidden/>
          </w:rPr>
          <w:fldChar w:fldCharType="end"/>
        </w:r>
      </w:hyperlink>
    </w:p>
    <w:p w14:paraId="4A66907D" w14:textId="620C860B" w:rsidR="00A96932" w:rsidRDefault="00E12F39">
      <w:pPr>
        <w:pStyle w:val="Seznamobrzk"/>
        <w:tabs>
          <w:tab w:val="right" w:leader="dot" w:pos="9316"/>
        </w:tabs>
        <w:rPr>
          <w:rFonts w:eastAsiaTheme="minorEastAsia"/>
          <w:noProof/>
          <w:lang w:eastAsia="cs-CZ"/>
        </w:rPr>
      </w:pPr>
      <w:hyperlink w:anchor="_Toc10730058" w:history="1">
        <w:r w:rsidR="00A96932" w:rsidRPr="00827CD4">
          <w:rPr>
            <w:rStyle w:val="Hypertextovodkaz"/>
            <w:noProof/>
          </w:rPr>
          <w:t>Obrázek 16: Výsledek DŠ (OZE a ÚE) – Užitečnost podpory pro realizaci a cíle projektu</w:t>
        </w:r>
        <w:r w:rsidR="00A96932">
          <w:rPr>
            <w:noProof/>
            <w:webHidden/>
          </w:rPr>
          <w:tab/>
        </w:r>
        <w:r w:rsidR="00A96932">
          <w:rPr>
            <w:noProof/>
            <w:webHidden/>
          </w:rPr>
          <w:fldChar w:fldCharType="begin"/>
        </w:r>
        <w:r w:rsidR="00A96932">
          <w:rPr>
            <w:noProof/>
            <w:webHidden/>
          </w:rPr>
          <w:instrText xml:space="preserve"> PAGEREF _Toc10730058 \h </w:instrText>
        </w:r>
        <w:r w:rsidR="00A96932">
          <w:rPr>
            <w:noProof/>
            <w:webHidden/>
          </w:rPr>
        </w:r>
        <w:r w:rsidR="00A96932">
          <w:rPr>
            <w:noProof/>
            <w:webHidden/>
          </w:rPr>
          <w:fldChar w:fldCharType="separate"/>
        </w:r>
        <w:r>
          <w:rPr>
            <w:noProof/>
            <w:webHidden/>
          </w:rPr>
          <w:t>93</w:t>
        </w:r>
        <w:r w:rsidR="00A96932">
          <w:rPr>
            <w:noProof/>
            <w:webHidden/>
          </w:rPr>
          <w:fldChar w:fldCharType="end"/>
        </w:r>
      </w:hyperlink>
    </w:p>
    <w:p w14:paraId="5BC1F3B5" w14:textId="4B6D1825" w:rsidR="00A96932" w:rsidRDefault="00E12F39">
      <w:pPr>
        <w:pStyle w:val="Seznamobrzk"/>
        <w:tabs>
          <w:tab w:val="right" w:leader="dot" w:pos="9316"/>
        </w:tabs>
        <w:rPr>
          <w:rFonts w:eastAsiaTheme="minorEastAsia"/>
          <w:noProof/>
          <w:lang w:eastAsia="cs-CZ"/>
        </w:rPr>
      </w:pPr>
      <w:hyperlink w:anchor="_Toc10730059" w:history="1">
        <w:r w:rsidR="00A96932" w:rsidRPr="00827CD4">
          <w:rPr>
            <w:rStyle w:val="Hypertextovodkaz"/>
            <w:noProof/>
          </w:rPr>
          <w:t>Obrázek 17: Výsledek DŠ (NUT) – Užitečnost podpory pro realizaci a cíle projektu</w:t>
        </w:r>
        <w:r w:rsidR="00A96932">
          <w:rPr>
            <w:noProof/>
            <w:webHidden/>
          </w:rPr>
          <w:tab/>
        </w:r>
        <w:r w:rsidR="00A96932">
          <w:rPr>
            <w:noProof/>
            <w:webHidden/>
          </w:rPr>
          <w:fldChar w:fldCharType="begin"/>
        </w:r>
        <w:r w:rsidR="00A96932">
          <w:rPr>
            <w:noProof/>
            <w:webHidden/>
          </w:rPr>
          <w:instrText xml:space="preserve"> PAGEREF _Toc10730059 \h </w:instrText>
        </w:r>
        <w:r w:rsidR="00A96932">
          <w:rPr>
            <w:noProof/>
            <w:webHidden/>
          </w:rPr>
        </w:r>
        <w:r w:rsidR="00A96932">
          <w:rPr>
            <w:noProof/>
            <w:webHidden/>
          </w:rPr>
          <w:fldChar w:fldCharType="separate"/>
        </w:r>
        <w:r>
          <w:rPr>
            <w:noProof/>
            <w:webHidden/>
          </w:rPr>
          <w:t>94</w:t>
        </w:r>
        <w:r w:rsidR="00A96932">
          <w:rPr>
            <w:noProof/>
            <w:webHidden/>
          </w:rPr>
          <w:fldChar w:fldCharType="end"/>
        </w:r>
      </w:hyperlink>
    </w:p>
    <w:p w14:paraId="43DDF017" w14:textId="27113730" w:rsidR="00F67113" w:rsidRDefault="00D47B20" w:rsidP="00D47B20">
      <w:pPr>
        <w:pStyle w:val="Seznamobrzk"/>
        <w:tabs>
          <w:tab w:val="right" w:leader="dot" w:pos="9316"/>
        </w:tabs>
        <w:rPr>
          <w:rFonts w:eastAsiaTheme="minorEastAsia"/>
          <w:noProof/>
          <w:lang w:eastAsia="cs-CZ"/>
        </w:rPr>
      </w:pPr>
      <w:r>
        <w:rPr>
          <w:rFonts w:ascii="Calibri" w:hAnsi="Calibri" w:cs="Calibri"/>
        </w:rPr>
        <w:fldChar w:fldCharType="end"/>
      </w:r>
      <w:r w:rsidR="00F67113">
        <w:rPr>
          <w:rFonts w:ascii="Calibri" w:hAnsi="Calibri" w:cs="Calibri"/>
        </w:rPr>
        <w:fldChar w:fldCharType="begin"/>
      </w:r>
      <w:r w:rsidR="00F67113">
        <w:rPr>
          <w:rFonts w:ascii="Calibri" w:hAnsi="Calibri" w:cs="Calibri"/>
        </w:rPr>
        <w:instrText xml:space="preserve"> TOC \h \z \c "Obrázek" </w:instrText>
      </w:r>
      <w:r w:rsidR="00F67113">
        <w:rPr>
          <w:rFonts w:ascii="Calibri" w:hAnsi="Calibri" w:cs="Calibri"/>
        </w:rPr>
        <w:fldChar w:fldCharType="separate"/>
      </w:r>
    </w:p>
    <w:p w14:paraId="5515C152" w14:textId="77777777" w:rsidR="00F67113" w:rsidRPr="00B61281" w:rsidRDefault="00F67113" w:rsidP="00E4631B">
      <w:pPr>
        <w:spacing w:after="0"/>
        <w:rPr>
          <w:rFonts w:ascii="Calibri" w:hAnsi="Calibri" w:cs="Calibri"/>
        </w:rPr>
      </w:pPr>
      <w:r>
        <w:rPr>
          <w:rFonts w:ascii="Calibri" w:hAnsi="Calibri" w:cs="Calibri"/>
        </w:rPr>
        <w:fldChar w:fldCharType="end"/>
      </w:r>
    </w:p>
    <w:p w14:paraId="0DC44262" w14:textId="77777777" w:rsidR="00A7296C" w:rsidRPr="00B61281" w:rsidRDefault="00A7296C" w:rsidP="00E118FD">
      <w:pPr>
        <w:spacing w:after="0"/>
        <w:ind w:left="714"/>
        <w:rPr>
          <w:rFonts w:ascii="Calibri" w:hAnsi="Calibri" w:cs="Calibri"/>
        </w:rPr>
      </w:pPr>
    </w:p>
    <w:p w14:paraId="3D335A9A" w14:textId="77777777" w:rsidR="00A7296C" w:rsidRPr="00B61281" w:rsidRDefault="00A7296C" w:rsidP="00E118FD">
      <w:pPr>
        <w:spacing w:after="0"/>
        <w:rPr>
          <w:rFonts w:ascii="Calibri" w:hAnsi="Calibri" w:cs="Calibri"/>
        </w:rPr>
      </w:pPr>
    </w:p>
    <w:p w14:paraId="76279037" w14:textId="77777777" w:rsidR="00A7296C" w:rsidRPr="00B61281" w:rsidRDefault="00A7296C" w:rsidP="00E118FD">
      <w:pPr>
        <w:spacing w:after="0"/>
        <w:rPr>
          <w:rFonts w:ascii="Calibri" w:hAnsi="Calibri" w:cs="Calibri"/>
        </w:rPr>
      </w:pPr>
    </w:p>
    <w:p w14:paraId="66D4868A" w14:textId="77777777" w:rsidR="005F78C4" w:rsidRPr="00B61281" w:rsidRDefault="005F78C4" w:rsidP="00E118FD">
      <w:pPr>
        <w:spacing w:after="0"/>
        <w:rPr>
          <w:rFonts w:ascii="Calibri" w:hAnsi="Calibri" w:cs="Calibri"/>
        </w:rPr>
      </w:pPr>
    </w:p>
    <w:p w14:paraId="023A4004" w14:textId="77777777" w:rsidR="00DC2148" w:rsidRPr="00B61281" w:rsidRDefault="00DC2148" w:rsidP="00E118FD">
      <w:pPr>
        <w:spacing w:after="0"/>
        <w:rPr>
          <w:rFonts w:ascii="Calibri" w:eastAsiaTheme="majorEastAsia" w:hAnsi="Calibri" w:cs="Calibri"/>
          <w:b/>
          <w:bCs/>
          <w:color w:val="232E83"/>
          <w:sz w:val="26"/>
          <w:szCs w:val="26"/>
          <w:lang w:eastAsia="sk-SK"/>
        </w:rPr>
      </w:pPr>
      <w:bookmarkStart w:id="276" w:name="_Toc492628402"/>
      <w:r w:rsidRPr="00B61281">
        <w:rPr>
          <w:rFonts w:ascii="Calibri" w:hAnsi="Calibri" w:cs="Calibri"/>
        </w:rPr>
        <w:br w:type="page"/>
      </w:r>
    </w:p>
    <w:p w14:paraId="0FB691CD" w14:textId="77777777" w:rsidR="00830835" w:rsidRDefault="00446B47" w:rsidP="00053DA8">
      <w:pPr>
        <w:pStyle w:val="Nadpis1"/>
      </w:pPr>
      <w:bookmarkStart w:id="277" w:name="_Toc4596885"/>
      <w:bookmarkStart w:id="278" w:name="_Toc10730018"/>
      <w:bookmarkEnd w:id="276"/>
      <w:r>
        <w:lastRenderedPageBreak/>
        <w:t xml:space="preserve">seznam </w:t>
      </w:r>
      <w:r w:rsidR="00F86D20" w:rsidRPr="00B61281">
        <w:t>pří</w:t>
      </w:r>
      <w:r>
        <w:t>loh</w:t>
      </w:r>
      <w:bookmarkEnd w:id="277"/>
      <w:bookmarkEnd w:id="278"/>
    </w:p>
    <w:p w14:paraId="6A042FBA" w14:textId="77777777" w:rsidR="00446B47" w:rsidRDefault="00446B47" w:rsidP="00446B47">
      <w:pPr>
        <w:spacing w:after="0"/>
        <w:rPr>
          <w:rFonts w:ascii="Calibri" w:hAnsi="Calibri" w:cs="Calibri"/>
        </w:rPr>
      </w:pPr>
    </w:p>
    <w:p w14:paraId="23AF56D3" w14:textId="6544F360" w:rsidR="00AE63A8" w:rsidRPr="00AE63A8" w:rsidRDefault="00AE63A8" w:rsidP="00AE63A8">
      <w:pPr>
        <w:spacing w:after="0"/>
        <w:rPr>
          <w:rFonts w:ascii="Calibri" w:hAnsi="Calibri" w:cs="Calibri"/>
        </w:rPr>
      </w:pPr>
      <w:r w:rsidRPr="00AE63A8">
        <w:rPr>
          <w:rFonts w:ascii="Calibri" w:hAnsi="Calibri" w:cs="Calibri"/>
        </w:rPr>
        <w:t xml:space="preserve">Příloha 1: Teorie změny </w:t>
      </w:r>
      <w:r>
        <w:rPr>
          <w:rFonts w:ascii="Calibri" w:hAnsi="Calibri" w:cs="Calibri"/>
        </w:rPr>
        <w:t>– specifické cíle</w:t>
      </w:r>
      <w:r w:rsidRPr="00AE63A8">
        <w:rPr>
          <w:rFonts w:ascii="Calibri" w:hAnsi="Calibri" w:cs="Calibri"/>
        </w:rPr>
        <w:t xml:space="preserve"> </w:t>
      </w:r>
      <w:bookmarkStart w:id="279" w:name="_Hlk10729063"/>
      <w:r>
        <w:rPr>
          <w:rFonts w:ascii="Calibri" w:hAnsi="Calibri" w:cs="Calibri"/>
        </w:rPr>
        <w:t>3.1, 3.2 a 3.4</w:t>
      </w:r>
      <w:bookmarkEnd w:id="279"/>
    </w:p>
    <w:p w14:paraId="18A29B85" w14:textId="77777777" w:rsidR="00AE63A8" w:rsidRPr="00AE63A8" w:rsidRDefault="00AE63A8" w:rsidP="00AE63A8">
      <w:pPr>
        <w:spacing w:after="0"/>
        <w:rPr>
          <w:rFonts w:ascii="Calibri" w:hAnsi="Calibri" w:cs="Calibri"/>
        </w:rPr>
      </w:pPr>
    </w:p>
    <w:p w14:paraId="31350001" w14:textId="3461D751" w:rsidR="00AE63A8" w:rsidRPr="00AE63A8" w:rsidRDefault="00AE63A8" w:rsidP="00AE63A8">
      <w:pPr>
        <w:spacing w:after="0"/>
        <w:rPr>
          <w:rFonts w:ascii="Calibri" w:hAnsi="Calibri" w:cs="Calibri"/>
        </w:rPr>
      </w:pPr>
      <w:r w:rsidRPr="00AE63A8">
        <w:rPr>
          <w:rFonts w:ascii="Calibri" w:hAnsi="Calibri" w:cs="Calibri"/>
        </w:rPr>
        <w:t xml:space="preserve">Příloha 2: Indikátory specifických cílů </w:t>
      </w:r>
      <w:r>
        <w:rPr>
          <w:rFonts w:ascii="Calibri" w:hAnsi="Calibri" w:cs="Calibri"/>
        </w:rPr>
        <w:t>3.1, 3.2 a 3.4</w:t>
      </w:r>
    </w:p>
    <w:p w14:paraId="594DF32A" w14:textId="77777777" w:rsidR="00AE63A8" w:rsidRPr="00AE63A8" w:rsidRDefault="00AE63A8" w:rsidP="00AE63A8">
      <w:pPr>
        <w:spacing w:after="0"/>
        <w:rPr>
          <w:rFonts w:ascii="Calibri" w:hAnsi="Calibri" w:cs="Calibri"/>
        </w:rPr>
      </w:pPr>
    </w:p>
    <w:p w14:paraId="1E767311" w14:textId="125B372B" w:rsidR="00AE63A8" w:rsidRPr="00AE63A8" w:rsidRDefault="00AE63A8" w:rsidP="00AE63A8">
      <w:pPr>
        <w:spacing w:after="0"/>
        <w:rPr>
          <w:rFonts w:ascii="Calibri" w:hAnsi="Calibri" w:cs="Calibri"/>
        </w:rPr>
      </w:pPr>
      <w:r w:rsidRPr="00AE63A8">
        <w:rPr>
          <w:rFonts w:ascii="Calibri" w:hAnsi="Calibri" w:cs="Calibri"/>
        </w:rPr>
        <w:t>Příloha 3: Souhrnné vyhodnocení výsledků dotazníkov</w:t>
      </w:r>
      <w:r>
        <w:rPr>
          <w:rFonts w:ascii="Calibri" w:hAnsi="Calibri" w:cs="Calibri"/>
        </w:rPr>
        <w:t>ých</w:t>
      </w:r>
      <w:r w:rsidRPr="00AE63A8">
        <w:rPr>
          <w:rFonts w:ascii="Calibri" w:hAnsi="Calibri" w:cs="Calibri"/>
        </w:rPr>
        <w:t xml:space="preserve"> šetření</w:t>
      </w:r>
    </w:p>
    <w:p w14:paraId="412920BA" w14:textId="77777777" w:rsidR="00AE63A8" w:rsidRPr="00AE63A8" w:rsidRDefault="00AE63A8" w:rsidP="00AE63A8">
      <w:pPr>
        <w:spacing w:after="0"/>
        <w:rPr>
          <w:rFonts w:ascii="Calibri" w:hAnsi="Calibri" w:cs="Calibri"/>
        </w:rPr>
      </w:pPr>
    </w:p>
    <w:p w14:paraId="0CACCDD6" w14:textId="0E4A7F14" w:rsidR="00FC6E21" w:rsidRPr="00446B47" w:rsidRDefault="00AE63A8" w:rsidP="00AE63A8">
      <w:pPr>
        <w:spacing w:after="0"/>
        <w:rPr>
          <w:rFonts w:ascii="Calibri" w:hAnsi="Calibri" w:cs="Calibri"/>
        </w:rPr>
      </w:pPr>
      <w:r w:rsidRPr="00AE63A8">
        <w:rPr>
          <w:rFonts w:ascii="Calibri" w:hAnsi="Calibri" w:cs="Calibri"/>
        </w:rPr>
        <w:t xml:space="preserve">Příloha </w:t>
      </w:r>
      <w:r>
        <w:rPr>
          <w:rFonts w:ascii="Calibri" w:hAnsi="Calibri" w:cs="Calibri"/>
        </w:rPr>
        <w:t>4</w:t>
      </w:r>
      <w:r w:rsidRPr="00AE63A8">
        <w:rPr>
          <w:rFonts w:ascii="Calibri" w:hAnsi="Calibri" w:cs="Calibri"/>
        </w:rPr>
        <w:t>: Případové studie</w:t>
      </w:r>
    </w:p>
    <w:sectPr w:rsidR="00FC6E21" w:rsidRPr="00446B47" w:rsidSect="001D7F25">
      <w:pgSz w:w="11906" w:h="16838"/>
      <w:pgMar w:top="1701" w:right="1276" w:bottom="1559"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E67E8" w14:textId="77777777" w:rsidR="00101AEB" w:rsidRDefault="00101AEB" w:rsidP="00A76E4D">
      <w:pPr>
        <w:spacing w:after="0" w:line="240" w:lineRule="auto"/>
      </w:pPr>
      <w:r>
        <w:separator/>
      </w:r>
    </w:p>
  </w:endnote>
  <w:endnote w:type="continuationSeparator" w:id="0">
    <w:p w14:paraId="3E84B6D1" w14:textId="77777777" w:rsidR="00101AEB" w:rsidRDefault="00101AEB" w:rsidP="00A7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680471"/>
      <w:docPartObj>
        <w:docPartGallery w:val="Page Numbers (Bottom of Page)"/>
        <w:docPartUnique/>
      </w:docPartObj>
    </w:sdtPr>
    <w:sdtEndPr/>
    <w:sdtContent>
      <w:p w14:paraId="26EDACE3" w14:textId="77777777" w:rsidR="00101AEB" w:rsidRDefault="00101AEB">
        <w:pPr>
          <w:pStyle w:val="Zpat"/>
          <w:jc w:val="right"/>
        </w:pPr>
        <w:r>
          <w:rPr>
            <w:noProof/>
          </w:rPr>
          <w:fldChar w:fldCharType="begin"/>
        </w:r>
        <w:r>
          <w:rPr>
            <w:noProof/>
          </w:rPr>
          <w:instrText>PAGE   \* MERGEFORMAT</w:instrText>
        </w:r>
        <w:r>
          <w:rPr>
            <w:noProof/>
          </w:rPr>
          <w:fldChar w:fldCharType="separate"/>
        </w:r>
        <w:r>
          <w:rPr>
            <w:noProof/>
          </w:rPr>
          <w:t>31</w:t>
        </w:r>
        <w:r>
          <w:rPr>
            <w:noProof/>
          </w:rPr>
          <w:fldChar w:fldCharType="end"/>
        </w:r>
      </w:p>
    </w:sdtContent>
  </w:sdt>
  <w:p w14:paraId="070E37EA" w14:textId="77777777" w:rsidR="00101AEB" w:rsidRDefault="00101AEB" w:rsidP="00E43451">
    <w:pPr>
      <w:pStyle w:val="Zpat"/>
      <w:tabs>
        <w:tab w:val="clear" w:pos="4536"/>
        <w:tab w:val="clear" w:pos="9072"/>
        <w:tab w:val="left" w:pos="1035"/>
        <w:tab w:val="left" w:pos="11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422280"/>
      <w:docPartObj>
        <w:docPartGallery w:val="Page Numbers (Bottom of Page)"/>
        <w:docPartUnique/>
      </w:docPartObj>
    </w:sdtPr>
    <w:sdtEndPr/>
    <w:sdtContent>
      <w:p w14:paraId="3387F865" w14:textId="77777777" w:rsidR="00101AEB" w:rsidRDefault="00101AEB">
        <w:pPr>
          <w:pStyle w:val="Zpat"/>
          <w:jc w:val="right"/>
        </w:pPr>
        <w:r>
          <w:rPr>
            <w:noProof/>
          </w:rPr>
          <w:fldChar w:fldCharType="begin"/>
        </w:r>
        <w:r>
          <w:rPr>
            <w:noProof/>
          </w:rPr>
          <w:instrText>PAGE   \* MERGEFORMAT</w:instrText>
        </w:r>
        <w:r>
          <w:rPr>
            <w:noProof/>
          </w:rPr>
          <w:fldChar w:fldCharType="separate"/>
        </w:r>
        <w:r>
          <w:rPr>
            <w:noProof/>
          </w:rPr>
          <w:t>117</w:t>
        </w:r>
        <w:r>
          <w:rPr>
            <w:noProof/>
          </w:rPr>
          <w:fldChar w:fldCharType="end"/>
        </w:r>
      </w:p>
    </w:sdtContent>
  </w:sdt>
  <w:p w14:paraId="0250FFEE" w14:textId="77777777" w:rsidR="00101AEB" w:rsidRDefault="00101AEB" w:rsidP="00E43451">
    <w:pPr>
      <w:pStyle w:val="Zpat"/>
      <w:tabs>
        <w:tab w:val="clear" w:pos="4536"/>
        <w:tab w:val="clear" w:pos="9072"/>
        <w:tab w:val="left" w:pos="1035"/>
        <w:tab w:val="left" w:pos="11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6A6FE" w14:textId="77777777" w:rsidR="00101AEB" w:rsidRDefault="00101AEB" w:rsidP="00A76E4D">
      <w:pPr>
        <w:spacing w:after="0" w:line="240" w:lineRule="auto"/>
      </w:pPr>
      <w:r>
        <w:separator/>
      </w:r>
    </w:p>
  </w:footnote>
  <w:footnote w:type="continuationSeparator" w:id="0">
    <w:p w14:paraId="2C1624ED" w14:textId="77777777" w:rsidR="00101AEB" w:rsidRDefault="00101AEB" w:rsidP="00A76E4D">
      <w:pPr>
        <w:spacing w:after="0" w:line="240" w:lineRule="auto"/>
      </w:pPr>
      <w:r>
        <w:continuationSeparator/>
      </w:r>
    </w:p>
  </w:footnote>
  <w:footnote w:id="1">
    <w:p w14:paraId="18BFC521" w14:textId="39F38F4A" w:rsidR="00101AEB" w:rsidRPr="00436DC0" w:rsidRDefault="00101AEB">
      <w:pPr>
        <w:pStyle w:val="Textpoznpodarou"/>
        <w:rPr>
          <w:sz w:val="18"/>
          <w:szCs w:val="18"/>
        </w:rPr>
      </w:pPr>
      <w:r w:rsidRPr="00436DC0">
        <w:rPr>
          <w:rStyle w:val="Znakapoznpodarou"/>
          <w:sz w:val="18"/>
          <w:szCs w:val="18"/>
        </w:rPr>
        <w:footnoteRef/>
      </w:r>
      <w:r w:rsidRPr="00436DC0">
        <w:rPr>
          <w:sz w:val="18"/>
          <w:szCs w:val="18"/>
        </w:rPr>
        <w:t xml:space="preserve"> </w:t>
      </w:r>
      <w:r w:rsidRPr="00436DC0">
        <w:rPr>
          <w:rFonts w:asciiTheme="minorHAnsi" w:hAnsiTheme="minorHAnsi" w:cstheme="minorHAnsi"/>
          <w:sz w:val="18"/>
          <w:szCs w:val="18"/>
        </w:rPr>
        <w:t>viz http://ec.europa.eu/eurostat/web/energy/data/shares</w:t>
      </w:r>
    </w:p>
  </w:footnote>
  <w:footnote w:id="2">
    <w:p w14:paraId="74C6320D" w14:textId="6AE25B4A" w:rsidR="00101AEB" w:rsidRPr="00436DC0" w:rsidRDefault="00101AEB">
      <w:pPr>
        <w:pStyle w:val="Textpoznpodarou"/>
        <w:rPr>
          <w:sz w:val="18"/>
          <w:szCs w:val="18"/>
        </w:rPr>
      </w:pPr>
      <w:r w:rsidRPr="00436DC0">
        <w:rPr>
          <w:rStyle w:val="Znakapoznpodarou"/>
          <w:sz w:val="18"/>
          <w:szCs w:val="18"/>
        </w:rPr>
        <w:footnoteRef/>
      </w:r>
      <w:r w:rsidRPr="00436DC0">
        <w:rPr>
          <w:sz w:val="18"/>
          <w:szCs w:val="18"/>
        </w:rPr>
        <w:t xml:space="preserve"> </w:t>
      </w:r>
      <w:r w:rsidRPr="00436DC0">
        <w:rPr>
          <w:rFonts w:asciiTheme="minorHAnsi" w:hAnsiTheme="minorHAnsi" w:cstheme="minorHAnsi"/>
          <w:sz w:val="18"/>
          <w:szCs w:val="18"/>
        </w:rPr>
        <w:t>MPO (2018): Obnovitelné zdroje energie v roce 2017 - Výsledky statistického zjišťování</w:t>
      </w:r>
    </w:p>
  </w:footnote>
  <w:footnote w:id="3">
    <w:p w14:paraId="6BDDDBB8" w14:textId="1A906BF9" w:rsidR="00101AEB" w:rsidRPr="00F03254" w:rsidRDefault="00101AEB">
      <w:pPr>
        <w:pStyle w:val="Textpoznpodarou"/>
        <w:rPr>
          <w:rFonts w:asciiTheme="minorHAnsi" w:hAnsiTheme="minorHAnsi" w:cstheme="minorHAnsi"/>
          <w:sz w:val="18"/>
          <w:szCs w:val="18"/>
        </w:rPr>
      </w:pPr>
      <w:r w:rsidRPr="00F03254">
        <w:rPr>
          <w:rStyle w:val="Znakapoznpodarou"/>
          <w:rFonts w:asciiTheme="minorHAnsi" w:hAnsiTheme="minorHAnsi" w:cstheme="minorHAnsi"/>
          <w:sz w:val="18"/>
          <w:szCs w:val="18"/>
        </w:rPr>
        <w:footnoteRef/>
      </w:r>
      <w:r w:rsidRPr="00F03254">
        <w:rPr>
          <w:rFonts w:asciiTheme="minorHAnsi" w:hAnsiTheme="minorHAnsi" w:cstheme="minorHAnsi"/>
          <w:sz w:val="18"/>
          <w:szCs w:val="18"/>
        </w:rPr>
        <w:t xml:space="preserve"> Máslo, K. (2006): Integrace obnovitelných zdrojů energie do elektrizační soustavy, Technický týdeník: </w:t>
      </w:r>
      <w:hyperlink r:id="rId1" w:history="1">
        <w:r w:rsidRPr="00F03254">
          <w:rPr>
            <w:rStyle w:val="Hypertextovodkaz"/>
            <w:rFonts w:asciiTheme="minorHAnsi" w:hAnsiTheme="minorHAnsi" w:cstheme="minorHAnsi"/>
            <w:sz w:val="18"/>
            <w:szCs w:val="18"/>
          </w:rPr>
          <w:t>https://www.technickytydenik.cz/rubriky/archiv/integrace-obnovitelnych-zdroju-energie-do-elektrizacni-soustavy_16972.html</w:t>
        </w:r>
      </w:hyperlink>
    </w:p>
  </w:footnote>
  <w:footnote w:id="4">
    <w:p w14:paraId="6DE464FC" w14:textId="2F42BAE5" w:rsidR="00101AEB" w:rsidRPr="00F03254" w:rsidRDefault="00101AEB">
      <w:pPr>
        <w:pStyle w:val="Textpoznpodarou"/>
        <w:rPr>
          <w:rFonts w:asciiTheme="minorHAnsi" w:hAnsiTheme="minorHAnsi" w:cstheme="minorHAnsi"/>
          <w:sz w:val="18"/>
          <w:szCs w:val="18"/>
        </w:rPr>
      </w:pPr>
      <w:r w:rsidRPr="00F03254">
        <w:rPr>
          <w:rStyle w:val="Znakapoznpodarou"/>
          <w:rFonts w:asciiTheme="minorHAnsi" w:hAnsiTheme="minorHAnsi" w:cstheme="minorHAnsi"/>
          <w:sz w:val="18"/>
          <w:szCs w:val="18"/>
        </w:rPr>
        <w:footnoteRef/>
      </w:r>
      <w:r w:rsidRPr="00F03254">
        <w:rPr>
          <w:rFonts w:asciiTheme="minorHAnsi" w:hAnsiTheme="minorHAnsi" w:cstheme="minorHAnsi"/>
          <w:sz w:val="18"/>
          <w:szCs w:val="18"/>
        </w:rPr>
        <w:t xml:space="preserve"> </w:t>
      </w:r>
      <w:r w:rsidRPr="00F03254">
        <w:rPr>
          <w:rFonts w:asciiTheme="minorHAnsi" w:hAnsiTheme="minorHAnsi" w:cstheme="minorHAnsi"/>
          <w:sz w:val="18"/>
          <w:szCs w:val="18"/>
          <w:lang w:eastAsia="sk-SK"/>
        </w:rPr>
        <w:t>OP PIK: Relevance rozvojových potřeb a příspěvek k plnění cílů Dohody o partnerství za léta 2014 - 2016 - aktualizace závěrečné zprávy; str. 20</w:t>
      </w:r>
      <w:r>
        <w:rPr>
          <w:rFonts w:asciiTheme="minorHAnsi" w:hAnsiTheme="minorHAnsi" w:cstheme="minorHAnsi"/>
          <w:sz w:val="18"/>
          <w:szCs w:val="18"/>
          <w:lang w:eastAsia="sk-SK"/>
        </w:rPr>
        <w:t>.</w:t>
      </w:r>
    </w:p>
  </w:footnote>
  <w:footnote w:id="5">
    <w:p w14:paraId="17734A7F" w14:textId="4F907D5D" w:rsidR="00101AEB" w:rsidRPr="00107503" w:rsidRDefault="00101AEB">
      <w:pPr>
        <w:pStyle w:val="Textpoznpodarou"/>
        <w:rPr>
          <w:rFonts w:asciiTheme="minorHAnsi" w:hAnsiTheme="minorHAnsi" w:cstheme="minorHAnsi"/>
          <w:sz w:val="18"/>
          <w:szCs w:val="18"/>
        </w:rPr>
      </w:pPr>
      <w:r w:rsidRPr="00107503">
        <w:rPr>
          <w:rStyle w:val="Znakapoznpodarou"/>
          <w:rFonts w:asciiTheme="minorHAnsi" w:hAnsiTheme="minorHAnsi" w:cstheme="minorHAnsi"/>
          <w:sz w:val="18"/>
          <w:szCs w:val="18"/>
        </w:rPr>
        <w:footnoteRef/>
      </w:r>
      <w:r w:rsidRPr="00107503">
        <w:rPr>
          <w:rFonts w:asciiTheme="minorHAnsi" w:hAnsiTheme="minorHAnsi" w:cstheme="minorHAnsi"/>
          <w:sz w:val="18"/>
          <w:szCs w:val="18"/>
        </w:rPr>
        <w:t xml:space="preserve"> </w:t>
      </w:r>
      <w:r w:rsidRPr="00F25461">
        <w:rPr>
          <w:rFonts w:asciiTheme="minorHAnsi" w:hAnsiTheme="minorHAnsi" w:cstheme="minorHAnsi"/>
          <w:sz w:val="18"/>
          <w:szCs w:val="18"/>
        </w:rPr>
        <w:t>MPO (2017): Surovinová politika České republiky v oblasti nerostných surovin a jejich zdrojů, str. 41-42.</w:t>
      </w:r>
    </w:p>
  </w:footnote>
  <w:footnote w:id="6">
    <w:p w14:paraId="5D9DF986" w14:textId="7C1E6107" w:rsidR="00101AEB" w:rsidRPr="002F0F2C" w:rsidRDefault="00101AEB">
      <w:pPr>
        <w:pStyle w:val="Textpoznpodarou"/>
        <w:rPr>
          <w:rFonts w:asciiTheme="minorHAnsi" w:hAnsiTheme="minorHAnsi" w:cstheme="minorHAnsi"/>
          <w:sz w:val="18"/>
          <w:szCs w:val="18"/>
        </w:rPr>
      </w:pPr>
      <w:r w:rsidRPr="002F0F2C">
        <w:rPr>
          <w:rStyle w:val="Znakapoznpodarou"/>
          <w:rFonts w:asciiTheme="minorHAnsi" w:hAnsiTheme="minorHAnsi" w:cstheme="minorHAnsi"/>
          <w:sz w:val="18"/>
          <w:szCs w:val="18"/>
        </w:rPr>
        <w:footnoteRef/>
      </w:r>
      <w:r w:rsidRPr="002F0F2C">
        <w:rPr>
          <w:rFonts w:asciiTheme="minorHAnsi" w:hAnsiTheme="minorHAnsi" w:cstheme="minorHAnsi"/>
          <w:sz w:val="18"/>
          <w:szCs w:val="18"/>
        </w:rPr>
        <w:t xml:space="preserve"> MPO (2017): Surovinová politika České republiky v oblasti nerostných surovin a jejich zdrojů, str. 41-42.</w:t>
      </w:r>
    </w:p>
  </w:footnote>
  <w:footnote w:id="7">
    <w:p w14:paraId="0361B766" w14:textId="285C808B" w:rsidR="00101AEB" w:rsidRPr="002F0F2C" w:rsidRDefault="00101AEB" w:rsidP="00195861">
      <w:pPr>
        <w:pStyle w:val="Textpoznpodarou"/>
        <w:rPr>
          <w:rFonts w:asciiTheme="minorHAnsi" w:hAnsiTheme="minorHAnsi" w:cstheme="minorHAnsi"/>
          <w:sz w:val="18"/>
          <w:szCs w:val="18"/>
        </w:rPr>
      </w:pPr>
      <w:r w:rsidRPr="002F0F2C">
        <w:rPr>
          <w:rStyle w:val="Znakapoznpodarou"/>
          <w:rFonts w:asciiTheme="minorHAnsi" w:hAnsiTheme="minorHAnsi" w:cstheme="minorHAnsi"/>
          <w:sz w:val="18"/>
          <w:szCs w:val="18"/>
        </w:rPr>
        <w:footnoteRef/>
      </w:r>
      <w:r w:rsidRPr="002F0F2C">
        <w:rPr>
          <w:rFonts w:asciiTheme="minorHAnsi" w:hAnsiTheme="minorHAnsi" w:cstheme="minorHAnsi"/>
          <w:sz w:val="18"/>
          <w:szCs w:val="18"/>
        </w:rPr>
        <w:t xml:space="preserve"> MPO (2019): Vývoj hrubé výroby elektřiny a tepla k prodeji v energetické bilanci ČR výroba a dodávky v letech 2010-2017</w:t>
      </w:r>
    </w:p>
  </w:footnote>
  <w:footnote w:id="8">
    <w:p w14:paraId="33C60018" w14:textId="6E6E9DCE" w:rsidR="00101AEB" w:rsidRPr="00024BC9" w:rsidRDefault="00101AEB" w:rsidP="00363C24">
      <w:pPr>
        <w:pStyle w:val="Textpoznpodarou"/>
        <w:rPr>
          <w:rFonts w:asciiTheme="minorHAnsi" w:hAnsiTheme="minorHAnsi" w:cstheme="minorHAnsi"/>
        </w:rPr>
      </w:pPr>
      <w:r w:rsidRPr="002F0F2C">
        <w:rPr>
          <w:rStyle w:val="Znakapoznpodarou"/>
          <w:rFonts w:asciiTheme="minorHAnsi" w:hAnsiTheme="minorHAnsi" w:cstheme="minorHAnsi"/>
          <w:sz w:val="18"/>
          <w:szCs w:val="18"/>
        </w:rPr>
        <w:footnoteRef/>
      </w:r>
      <w:r w:rsidRPr="002F0F2C">
        <w:rPr>
          <w:rFonts w:asciiTheme="minorHAnsi" w:hAnsiTheme="minorHAnsi" w:cstheme="minorHAnsi"/>
          <w:sz w:val="18"/>
          <w:szCs w:val="18"/>
        </w:rPr>
        <w:t xml:space="preserve"> MPO (2018): Obnovitelné zdroje energie v roce 2017 - Výsledky statistického zjišťování</w:t>
      </w:r>
    </w:p>
  </w:footnote>
  <w:footnote w:id="9">
    <w:p w14:paraId="42D9D8B3" w14:textId="700426E1" w:rsidR="00101AEB" w:rsidRPr="00E81C2D" w:rsidRDefault="00101AEB">
      <w:pPr>
        <w:pStyle w:val="Textpoznpodarou"/>
        <w:rPr>
          <w:rFonts w:asciiTheme="minorHAnsi" w:hAnsiTheme="minorHAnsi" w:cstheme="minorHAnsi"/>
          <w:sz w:val="18"/>
          <w:szCs w:val="18"/>
        </w:rPr>
      </w:pPr>
      <w:r w:rsidRPr="00E81C2D">
        <w:rPr>
          <w:rStyle w:val="Znakapoznpodarou"/>
          <w:rFonts w:asciiTheme="minorHAnsi" w:hAnsiTheme="minorHAnsi" w:cstheme="minorHAnsi"/>
          <w:sz w:val="18"/>
          <w:szCs w:val="18"/>
        </w:rPr>
        <w:footnoteRef/>
      </w:r>
      <w:r w:rsidRPr="00E81C2D">
        <w:rPr>
          <w:rFonts w:asciiTheme="minorHAnsi" w:hAnsiTheme="minorHAnsi" w:cstheme="minorHAnsi"/>
          <w:sz w:val="18"/>
          <w:szCs w:val="18"/>
        </w:rPr>
        <w:t xml:space="preserve"> </w:t>
      </w:r>
      <w:r>
        <w:rPr>
          <w:rFonts w:asciiTheme="minorHAnsi" w:hAnsiTheme="minorHAnsi" w:cstheme="minorHAnsi"/>
          <w:sz w:val="18"/>
          <w:szCs w:val="18"/>
        </w:rPr>
        <w:t xml:space="preserve">Účastníkem fokusní skupiny byl zástupce ŘO OP PIK zajišťujícího implementaci PP OZE, dále konzultanti a obchodníci se zkušenostmi a znalostmi trhu OZE i experti v oblasti analýz a evaluací veřejných intervencí zaměřených na OZE. </w:t>
      </w:r>
      <w:r w:rsidRPr="00E81C2D">
        <w:rPr>
          <w:rFonts w:asciiTheme="minorHAnsi" w:hAnsiTheme="minorHAnsi" w:cstheme="minorHAnsi"/>
          <w:sz w:val="18"/>
          <w:szCs w:val="18"/>
        </w:rPr>
        <w:t xml:space="preserve"> </w:t>
      </w:r>
    </w:p>
  </w:footnote>
  <w:footnote w:id="10">
    <w:p w14:paraId="4B11A3D2" w14:textId="7D582D4E" w:rsidR="00101AEB" w:rsidRPr="00024BC9" w:rsidRDefault="00101AEB">
      <w:pPr>
        <w:pStyle w:val="Textpoznpodarou"/>
        <w:rPr>
          <w:rFonts w:asciiTheme="minorHAnsi" w:hAnsiTheme="minorHAnsi" w:cstheme="minorHAnsi"/>
        </w:rPr>
      </w:pPr>
      <w:r w:rsidRPr="00294948">
        <w:rPr>
          <w:rStyle w:val="Znakapoznpodarou"/>
          <w:rFonts w:asciiTheme="minorHAnsi" w:hAnsiTheme="minorHAnsi" w:cstheme="minorHAnsi"/>
          <w:sz w:val="18"/>
        </w:rPr>
        <w:footnoteRef/>
      </w:r>
      <w:r w:rsidRPr="00294948">
        <w:rPr>
          <w:rFonts w:asciiTheme="minorHAnsi" w:hAnsiTheme="minorHAnsi" w:cstheme="minorHAnsi"/>
          <w:sz w:val="18"/>
        </w:rPr>
        <w:t xml:space="preserve"> dotace vč. spolufinancování příjemce</w:t>
      </w:r>
    </w:p>
  </w:footnote>
  <w:footnote w:id="11">
    <w:p w14:paraId="1D082A43" w14:textId="045A79CF" w:rsidR="00101AEB" w:rsidRPr="00294948" w:rsidRDefault="00101AEB" w:rsidP="00024BC9">
      <w:pPr>
        <w:pStyle w:val="Default"/>
        <w:rPr>
          <w:rFonts w:asciiTheme="minorHAnsi" w:hAnsiTheme="minorHAnsi" w:cstheme="minorHAnsi"/>
          <w:sz w:val="18"/>
          <w:szCs w:val="20"/>
        </w:rPr>
      </w:pPr>
      <w:r w:rsidRPr="00294948">
        <w:rPr>
          <w:rStyle w:val="Znakapoznpodarou"/>
          <w:rFonts w:asciiTheme="minorHAnsi" w:hAnsiTheme="minorHAnsi" w:cstheme="minorHAnsi"/>
          <w:sz w:val="18"/>
          <w:szCs w:val="20"/>
        </w:rPr>
        <w:footnoteRef/>
      </w:r>
      <w:r w:rsidRPr="00294948">
        <w:rPr>
          <w:rFonts w:asciiTheme="minorHAnsi" w:hAnsiTheme="minorHAnsi" w:cstheme="minorHAnsi"/>
          <w:sz w:val="18"/>
          <w:szCs w:val="20"/>
        </w:rPr>
        <w:t xml:space="preserve"> viz http://ec.europa.eu/eurostat/web/energy/data/shares</w:t>
      </w:r>
    </w:p>
  </w:footnote>
  <w:footnote w:id="12">
    <w:p w14:paraId="6030A6DD" w14:textId="69C6ED99" w:rsidR="00101AEB" w:rsidRPr="00C71FAD" w:rsidRDefault="00101AEB">
      <w:pPr>
        <w:pStyle w:val="Textpoznpodarou"/>
        <w:rPr>
          <w:rFonts w:asciiTheme="minorHAnsi" w:hAnsiTheme="minorHAnsi" w:cstheme="minorHAnsi"/>
          <w:sz w:val="18"/>
          <w:szCs w:val="18"/>
        </w:rPr>
      </w:pPr>
      <w:r w:rsidRPr="00C71FAD">
        <w:rPr>
          <w:rStyle w:val="Znakapoznpodarou"/>
          <w:rFonts w:asciiTheme="minorHAnsi" w:hAnsiTheme="minorHAnsi" w:cstheme="minorHAnsi"/>
          <w:sz w:val="18"/>
          <w:szCs w:val="18"/>
        </w:rPr>
        <w:footnoteRef/>
      </w:r>
      <w:r w:rsidRPr="00C71FAD">
        <w:rPr>
          <w:rFonts w:asciiTheme="minorHAnsi" w:hAnsiTheme="minorHAnsi" w:cstheme="minorHAnsi"/>
          <w:sz w:val="18"/>
          <w:szCs w:val="18"/>
        </w:rPr>
        <w:t xml:space="preserve"> Doporučení vychází z diskuze </w:t>
      </w:r>
      <w:r>
        <w:rPr>
          <w:rFonts w:asciiTheme="minorHAnsi" w:hAnsiTheme="minorHAnsi" w:cstheme="minorHAnsi"/>
          <w:sz w:val="18"/>
          <w:szCs w:val="18"/>
        </w:rPr>
        <w:t xml:space="preserve">na </w:t>
      </w:r>
      <w:r w:rsidRPr="00C71FAD">
        <w:rPr>
          <w:rFonts w:asciiTheme="minorHAnsi" w:hAnsiTheme="minorHAnsi" w:cstheme="minorHAnsi"/>
          <w:sz w:val="18"/>
          <w:szCs w:val="18"/>
        </w:rPr>
        <w:t>seminář</w:t>
      </w:r>
      <w:r>
        <w:rPr>
          <w:rFonts w:asciiTheme="minorHAnsi" w:hAnsiTheme="minorHAnsi" w:cstheme="minorHAnsi"/>
          <w:sz w:val="18"/>
          <w:szCs w:val="18"/>
        </w:rPr>
        <w:t>i</w:t>
      </w:r>
      <w:r w:rsidRPr="00C71FAD">
        <w:rPr>
          <w:rFonts w:asciiTheme="minorHAnsi" w:hAnsiTheme="minorHAnsi" w:cstheme="minorHAnsi"/>
          <w:sz w:val="18"/>
          <w:szCs w:val="18"/>
        </w:rPr>
        <w:t xml:space="preserve"> organizované</w:t>
      </w:r>
      <w:r>
        <w:rPr>
          <w:rFonts w:asciiTheme="minorHAnsi" w:hAnsiTheme="minorHAnsi" w:cstheme="minorHAnsi"/>
          <w:sz w:val="18"/>
          <w:szCs w:val="18"/>
        </w:rPr>
        <w:t>m</w:t>
      </w:r>
      <w:r w:rsidRPr="00C71FAD">
        <w:rPr>
          <w:rFonts w:asciiTheme="minorHAnsi" w:hAnsiTheme="minorHAnsi" w:cstheme="minorHAnsi"/>
          <w:sz w:val="18"/>
          <w:szCs w:val="18"/>
        </w:rPr>
        <w:t xml:space="preserve"> MPO „Nakládání s vodou“, kter</w:t>
      </w:r>
      <w:r>
        <w:rPr>
          <w:rFonts w:asciiTheme="minorHAnsi" w:hAnsiTheme="minorHAnsi" w:cstheme="minorHAnsi"/>
          <w:sz w:val="18"/>
          <w:szCs w:val="18"/>
        </w:rPr>
        <w:t>ý</w:t>
      </w:r>
      <w:r w:rsidRPr="00C71FAD">
        <w:rPr>
          <w:rFonts w:asciiTheme="minorHAnsi" w:hAnsiTheme="minorHAnsi" w:cstheme="minorHAnsi"/>
          <w:sz w:val="18"/>
          <w:szCs w:val="18"/>
        </w:rPr>
        <w:t xml:space="preserve"> se uskutečnil 23.</w:t>
      </w:r>
      <w:r>
        <w:rPr>
          <w:rFonts w:asciiTheme="minorHAnsi" w:hAnsiTheme="minorHAnsi" w:cstheme="minorHAnsi"/>
          <w:sz w:val="18"/>
          <w:szCs w:val="18"/>
        </w:rPr>
        <w:t xml:space="preserve"> </w:t>
      </w:r>
      <w:r w:rsidRPr="00C71FAD">
        <w:rPr>
          <w:rFonts w:asciiTheme="minorHAnsi" w:hAnsiTheme="minorHAnsi" w:cstheme="minorHAnsi"/>
          <w:sz w:val="18"/>
          <w:szCs w:val="18"/>
        </w:rPr>
        <w:t>4.</w:t>
      </w:r>
      <w:r>
        <w:rPr>
          <w:rFonts w:asciiTheme="minorHAnsi" w:hAnsiTheme="minorHAnsi" w:cstheme="minorHAnsi"/>
          <w:sz w:val="18"/>
          <w:szCs w:val="18"/>
        </w:rPr>
        <w:t xml:space="preserve"> </w:t>
      </w:r>
      <w:r w:rsidRPr="00C71FAD">
        <w:rPr>
          <w:rFonts w:asciiTheme="minorHAnsi" w:hAnsiTheme="minorHAnsi" w:cstheme="minorHAnsi"/>
          <w:sz w:val="18"/>
          <w:szCs w:val="18"/>
        </w:rPr>
        <w:t>2019. Doporučení vychází z praxe PRV, kdy při hodnocení snížení energetické náročnosti, kter</w:t>
      </w:r>
      <w:r>
        <w:rPr>
          <w:rFonts w:asciiTheme="minorHAnsi" w:hAnsiTheme="minorHAnsi" w:cstheme="minorHAnsi"/>
          <w:sz w:val="18"/>
          <w:szCs w:val="18"/>
        </w:rPr>
        <w:t>é</w:t>
      </w:r>
      <w:r w:rsidRPr="00C71FAD">
        <w:rPr>
          <w:rFonts w:asciiTheme="minorHAnsi" w:hAnsiTheme="minorHAnsi" w:cstheme="minorHAnsi"/>
          <w:sz w:val="18"/>
          <w:szCs w:val="18"/>
        </w:rPr>
        <w:t xml:space="preserve"> je vyjádřen</w:t>
      </w:r>
      <w:r>
        <w:rPr>
          <w:rFonts w:asciiTheme="minorHAnsi" w:hAnsiTheme="minorHAnsi" w:cstheme="minorHAnsi"/>
          <w:sz w:val="18"/>
          <w:szCs w:val="18"/>
        </w:rPr>
        <w:t>o</w:t>
      </w:r>
      <w:r w:rsidRPr="00C71FAD">
        <w:rPr>
          <w:rFonts w:asciiTheme="minorHAnsi" w:hAnsiTheme="minorHAnsi" w:cstheme="minorHAnsi"/>
          <w:sz w:val="18"/>
          <w:szCs w:val="18"/>
        </w:rPr>
        <w:t xml:space="preserve"> indikátorem R14 (Increase in efficiency of energy use in agriculture and food processing in RDP supported projects), se do indikátoru započítává i spotřeba vody, která je vyjádřena určitým koeficientem a přepočtena na energie v</w:t>
      </w:r>
      <w:r>
        <w:rPr>
          <w:rFonts w:asciiTheme="minorHAnsi" w:hAnsiTheme="minorHAnsi" w:cstheme="minorHAnsi"/>
          <w:sz w:val="18"/>
          <w:szCs w:val="18"/>
        </w:rPr>
        <w:t> </w:t>
      </w:r>
      <w:r w:rsidRPr="00C71FAD">
        <w:rPr>
          <w:rFonts w:asciiTheme="minorHAnsi" w:hAnsiTheme="minorHAnsi" w:cstheme="minorHAnsi"/>
          <w:sz w:val="18"/>
          <w:szCs w:val="18"/>
        </w:rPr>
        <w:t>GJ</w:t>
      </w:r>
      <w:r>
        <w:rPr>
          <w:rFonts w:asciiTheme="minorHAnsi" w:hAnsiTheme="minorHAnsi" w:cstheme="minorHAnsi"/>
          <w:sz w:val="18"/>
          <w:szCs w:val="18"/>
        </w:rPr>
        <w:t>.</w:t>
      </w:r>
    </w:p>
  </w:footnote>
  <w:footnote w:id="13">
    <w:p w14:paraId="1500BC18" w14:textId="33E693F1" w:rsidR="00101AEB" w:rsidRPr="005E3DC8" w:rsidRDefault="00101AEB">
      <w:pPr>
        <w:pStyle w:val="Textpoznpodarou"/>
        <w:rPr>
          <w:rFonts w:asciiTheme="minorHAnsi" w:hAnsiTheme="minorHAnsi" w:cstheme="minorHAnsi"/>
          <w:sz w:val="18"/>
          <w:szCs w:val="18"/>
        </w:rPr>
      </w:pPr>
      <w:r w:rsidRPr="005E3DC8">
        <w:rPr>
          <w:rStyle w:val="Znakapoznpodarou"/>
          <w:rFonts w:asciiTheme="minorHAnsi" w:hAnsiTheme="minorHAnsi" w:cstheme="minorHAnsi"/>
          <w:sz w:val="18"/>
          <w:szCs w:val="18"/>
        </w:rPr>
        <w:footnoteRef/>
      </w:r>
      <w:r w:rsidRPr="005E3DC8">
        <w:rPr>
          <w:rFonts w:asciiTheme="minorHAnsi" w:hAnsiTheme="minorHAnsi" w:cstheme="minorHAnsi"/>
          <w:sz w:val="18"/>
          <w:szCs w:val="18"/>
        </w:rPr>
        <w:t xml:space="preserve"> Metodika výpočtu je shodná s tou, která byla použita při vyhodnocování evaluační otázky 7.</w:t>
      </w:r>
    </w:p>
  </w:footnote>
  <w:footnote w:id="14">
    <w:p w14:paraId="19ACD3EB" w14:textId="49B8A9A2" w:rsidR="00101AEB" w:rsidRPr="005E3DC8" w:rsidRDefault="00101AEB">
      <w:pPr>
        <w:pStyle w:val="Textpoznpodarou"/>
        <w:rPr>
          <w:rFonts w:asciiTheme="minorHAnsi" w:hAnsiTheme="minorHAnsi" w:cstheme="minorHAnsi"/>
          <w:sz w:val="18"/>
          <w:szCs w:val="18"/>
        </w:rPr>
      </w:pPr>
      <w:r w:rsidRPr="005E3DC8">
        <w:rPr>
          <w:rStyle w:val="Znakapoznpodarou"/>
          <w:rFonts w:asciiTheme="minorHAnsi" w:hAnsiTheme="minorHAnsi" w:cstheme="minorHAnsi"/>
          <w:sz w:val="18"/>
          <w:szCs w:val="18"/>
        </w:rPr>
        <w:footnoteRef/>
      </w:r>
      <w:r w:rsidRPr="005E3DC8">
        <w:rPr>
          <w:rFonts w:asciiTheme="minorHAnsi" w:hAnsiTheme="minorHAnsi" w:cstheme="minorHAnsi"/>
          <w:sz w:val="18"/>
          <w:szCs w:val="18"/>
        </w:rPr>
        <w:t xml:space="preserve"> otázky v dotazníkovém šetření byly formulovány následovně: </w:t>
      </w:r>
      <w:r>
        <w:rPr>
          <w:rFonts w:asciiTheme="minorHAnsi" w:hAnsiTheme="minorHAnsi" w:cstheme="minorHAnsi"/>
          <w:sz w:val="18"/>
          <w:szCs w:val="18"/>
        </w:rPr>
        <w:t>u</w:t>
      </w:r>
      <w:r w:rsidRPr="005E3DC8">
        <w:rPr>
          <w:rFonts w:asciiTheme="minorHAnsi" w:hAnsiTheme="minorHAnsi" w:cstheme="minorHAnsi"/>
          <w:sz w:val="18"/>
          <w:szCs w:val="18"/>
        </w:rPr>
        <w:t xml:space="preserve"> příjemců podpory - „Investovali byste do energetických úspor bez využití dotace z programu OP PIK?“ a u nepodpořených žadatelů „Realizovali jste nebo budete realizovat Váš investiční záměr, poté, co jste zjistili, že jste neobdrželi/neobdržíte dotaci z programu podpory Úspory energie?“</w:t>
      </w:r>
    </w:p>
  </w:footnote>
  <w:footnote w:id="15">
    <w:p w14:paraId="7B93F2CD" w14:textId="31B09D37" w:rsidR="00101AEB" w:rsidRPr="00CC628C" w:rsidRDefault="00101AEB">
      <w:pPr>
        <w:pStyle w:val="Textpoznpodarou"/>
        <w:rPr>
          <w:rFonts w:asciiTheme="minorHAnsi" w:hAnsiTheme="minorHAnsi" w:cstheme="minorHAnsi"/>
          <w:sz w:val="18"/>
          <w:szCs w:val="18"/>
        </w:rPr>
      </w:pPr>
      <w:r w:rsidRPr="00CC628C">
        <w:rPr>
          <w:rStyle w:val="Znakapoznpodarou"/>
          <w:rFonts w:asciiTheme="minorHAnsi" w:hAnsiTheme="minorHAnsi" w:cstheme="minorHAnsi"/>
          <w:sz w:val="18"/>
          <w:szCs w:val="18"/>
        </w:rPr>
        <w:footnoteRef/>
      </w:r>
      <w:r w:rsidRPr="00CC628C">
        <w:rPr>
          <w:rFonts w:asciiTheme="minorHAnsi" w:hAnsiTheme="minorHAnsi" w:cstheme="minorHAnsi"/>
          <w:sz w:val="18"/>
          <w:szCs w:val="18"/>
        </w:rPr>
        <w:t xml:space="preserve"> Počet nepodpořených žadatelů, kteří realizovali svůj projektový záměr bez dotace a zodpověděli tuto otázku v dotazníku, byl velice nízký a podíl jednotlivých odpovědí tak nelze považovat za relevantní.</w:t>
      </w:r>
    </w:p>
  </w:footnote>
  <w:footnote w:id="16">
    <w:p w14:paraId="09BE8F75" w14:textId="343D1AA1" w:rsidR="00101AEB" w:rsidRPr="00024BC9" w:rsidRDefault="00101AEB">
      <w:pPr>
        <w:pStyle w:val="Textpoznpodarou"/>
        <w:rPr>
          <w:rFonts w:asciiTheme="minorHAnsi" w:hAnsiTheme="minorHAnsi" w:cstheme="minorHAnsi"/>
        </w:rPr>
      </w:pPr>
      <w:r w:rsidRPr="00A2131E">
        <w:rPr>
          <w:rStyle w:val="Znakapoznpodarou"/>
          <w:rFonts w:asciiTheme="minorHAnsi" w:hAnsiTheme="minorHAnsi" w:cstheme="minorHAnsi"/>
          <w:sz w:val="18"/>
        </w:rPr>
        <w:footnoteRef/>
      </w:r>
      <w:r w:rsidRPr="00A2131E">
        <w:rPr>
          <w:rFonts w:asciiTheme="minorHAnsi" w:hAnsiTheme="minorHAnsi" w:cstheme="minorHAnsi"/>
          <w:sz w:val="18"/>
        </w:rPr>
        <w:t xml:space="preserve"> V případě, že žadatel podával vícero projektů v rámci prioritní osy 3, byl zapojen pouze do jednoho dotazníkového šetření v rámci této evaluace.</w:t>
      </w:r>
    </w:p>
  </w:footnote>
  <w:footnote w:id="17">
    <w:p w14:paraId="354A012C" w14:textId="77777777" w:rsidR="00101AEB" w:rsidRPr="00356886" w:rsidRDefault="00101AEB" w:rsidP="00F7383F">
      <w:pPr>
        <w:pStyle w:val="Textpoznpodarou"/>
        <w:rPr>
          <w:rFonts w:asciiTheme="minorHAnsi" w:hAnsiTheme="minorHAnsi" w:cstheme="minorHAnsi"/>
          <w:sz w:val="18"/>
          <w:szCs w:val="18"/>
        </w:rPr>
      </w:pPr>
      <w:r w:rsidRPr="00356886">
        <w:rPr>
          <w:rStyle w:val="Znakapoznpodarou"/>
          <w:rFonts w:asciiTheme="minorHAnsi" w:hAnsiTheme="minorHAnsi" w:cstheme="minorHAnsi"/>
          <w:sz w:val="18"/>
          <w:szCs w:val="18"/>
        </w:rPr>
        <w:footnoteRef/>
      </w:r>
      <w:r w:rsidRPr="00356886">
        <w:rPr>
          <w:rFonts w:asciiTheme="minorHAnsi" w:hAnsiTheme="minorHAnsi" w:cstheme="minorHAnsi"/>
          <w:sz w:val="18"/>
          <w:szCs w:val="18"/>
        </w:rPr>
        <w:t xml:space="preserve"> Jedná se o předpoklad </w:t>
      </w:r>
      <w:r>
        <w:rPr>
          <w:rFonts w:asciiTheme="minorHAnsi" w:hAnsiTheme="minorHAnsi" w:cstheme="minorHAnsi"/>
          <w:sz w:val="18"/>
          <w:szCs w:val="18"/>
        </w:rPr>
        <w:t>dodavatel</w:t>
      </w:r>
      <w:r w:rsidRPr="00356886">
        <w:rPr>
          <w:rFonts w:asciiTheme="minorHAnsi" w:hAnsiTheme="minorHAnsi" w:cstheme="minorHAnsi"/>
          <w:sz w:val="18"/>
          <w:szCs w:val="18"/>
        </w:rPr>
        <w:t>e na základě počtu podpořených projektů v aktivním stavu v MS2014+ k 31. 12. 2018.</w:t>
      </w:r>
    </w:p>
  </w:footnote>
  <w:footnote w:id="18">
    <w:p w14:paraId="731BC7ED" w14:textId="77777777" w:rsidR="00101AEB" w:rsidRDefault="00101AEB" w:rsidP="00F7383F">
      <w:pPr>
        <w:pStyle w:val="Textpoznpodarou"/>
      </w:pPr>
      <w:r w:rsidRPr="00356886">
        <w:rPr>
          <w:rStyle w:val="Znakapoznpodarou"/>
          <w:rFonts w:asciiTheme="minorHAnsi" w:hAnsiTheme="minorHAnsi" w:cstheme="minorHAnsi"/>
          <w:sz w:val="18"/>
          <w:szCs w:val="18"/>
        </w:rPr>
        <w:footnoteRef/>
      </w:r>
      <w:r w:rsidRPr="00356886">
        <w:rPr>
          <w:rFonts w:asciiTheme="minorHAnsi" w:hAnsiTheme="minorHAnsi" w:cstheme="minorHAnsi"/>
          <w:sz w:val="18"/>
          <w:szCs w:val="18"/>
        </w:rPr>
        <w:t xml:space="preserve"> Rozdíl mezi</w:t>
      </w:r>
      <w:r>
        <w:rPr>
          <w:rFonts w:asciiTheme="minorHAnsi" w:hAnsiTheme="minorHAnsi" w:cstheme="minorHAnsi"/>
          <w:sz w:val="18"/>
          <w:szCs w:val="18"/>
        </w:rPr>
        <w:t xml:space="preserve"> dosaženou hodnotou indikátoru a počtem projektů, které se podílejí na dosažené hodnotě, je dán tím, že u některých ukončených projektů nebyla dosud schválena závěrečná Zpráva o realizaci.</w:t>
      </w:r>
      <w:r>
        <w:t xml:space="preserve"> </w:t>
      </w:r>
    </w:p>
  </w:footnote>
  <w:footnote w:id="19">
    <w:p w14:paraId="0466B2D4" w14:textId="23123105" w:rsidR="00101AEB" w:rsidRPr="000A4184" w:rsidRDefault="00101AEB">
      <w:pPr>
        <w:pStyle w:val="Textpoznpodarou"/>
        <w:rPr>
          <w:rFonts w:asciiTheme="minorHAnsi" w:hAnsiTheme="minorHAnsi" w:cstheme="minorHAnsi"/>
          <w:sz w:val="18"/>
          <w:szCs w:val="18"/>
        </w:rPr>
      </w:pPr>
      <w:r w:rsidRPr="000A4184">
        <w:rPr>
          <w:rStyle w:val="Znakapoznpodarou"/>
          <w:rFonts w:asciiTheme="minorHAnsi" w:hAnsiTheme="minorHAnsi" w:cstheme="minorHAnsi"/>
          <w:sz w:val="18"/>
          <w:szCs w:val="18"/>
        </w:rPr>
        <w:footnoteRef/>
      </w:r>
      <w:r w:rsidRPr="000A4184">
        <w:rPr>
          <w:rFonts w:asciiTheme="minorHAnsi" w:hAnsiTheme="minorHAnsi" w:cstheme="minorHAnsi"/>
          <w:sz w:val="18"/>
          <w:szCs w:val="18"/>
        </w:rPr>
        <w:t xml:space="preserve"> Tisková zpráva CDV ze dne 9. 1. 2019</w:t>
      </w:r>
      <w:r>
        <w:rPr>
          <w:rFonts w:asciiTheme="minorHAnsi" w:hAnsiTheme="minorHAnsi" w:cstheme="minorHAnsi"/>
          <w:sz w:val="18"/>
          <w:szCs w:val="18"/>
        </w:rPr>
        <w:t xml:space="preserve">, </w:t>
      </w:r>
      <w:r w:rsidRPr="000A4184">
        <w:rPr>
          <w:rFonts w:asciiTheme="minorHAnsi" w:hAnsiTheme="minorHAnsi" w:cstheme="minorHAnsi"/>
          <w:sz w:val="18"/>
          <w:szCs w:val="18"/>
        </w:rPr>
        <w:t>https://www.cdv.cz/tisk/v-roce-2018-pribylo-na-ceskych-silnicich-temer-1-000-osobnich-elektromobilu-a-plug-in-hybridu/</w:t>
      </w:r>
    </w:p>
  </w:footnote>
  <w:footnote w:id="20">
    <w:p w14:paraId="7DC12575" w14:textId="6E41BFF6" w:rsidR="00101AEB" w:rsidRPr="00DF5D07" w:rsidRDefault="00101AEB">
      <w:pPr>
        <w:pStyle w:val="Textpoznpodarou"/>
        <w:rPr>
          <w:rFonts w:asciiTheme="minorHAnsi" w:hAnsiTheme="minorHAnsi" w:cstheme="minorHAnsi"/>
          <w:sz w:val="18"/>
          <w:szCs w:val="18"/>
        </w:rPr>
      </w:pPr>
      <w:r w:rsidRPr="00DF5D07">
        <w:rPr>
          <w:rStyle w:val="Znakapoznpodarou"/>
          <w:rFonts w:asciiTheme="minorHAnsi" w:hAnsiTheme="minorHAnsi" w:cstheme="minorHAnsi"/>
          <w:sz w:val="18"/>
          <w:szCs w:val="18"/>
        </w:rPr>
        <w:footnoteRef/>
      </w:r>
      <w:r w:rsidRPr="00DF5D07">
        <w:rPr>
          <w:rFonts w:asciiTheme="minorHAnsi" w:hAnsiTheme="minorHAnsi" w:cstheme="minorHAnsi"/>
          <w:sz w:val="18"/>
          <w:szCs w:val="18"/>
        </w:rPr>
        <w:t xml:space="preserve"> ERÚ: Roční zpráva o provozu ES ČR 2018. </w:t>
      </w:r>
    </w:p>
  </w:footnote>
  <w:footnote w:id="21">
    <w:p w14:paraId="37ED709D" w14:textId="76F69A5C" w:rsidR="00101AEB" w:rsidRPr="0043022E" w:rsidRDefault="00101AEB">
      <w:pPr>
        <w:pStyle w:val="Textpoznpodarou"/>
        <w:rPr>
          <w:rFonts w:asciiTheme="minorHAnsi" w:hAnsiTheme="minorHAnsi" w:cstheme="minorHAnsi"/>
          <w:sz w:val="18"/>
          <w:szCs w:val="18"/>
        </w:rPr>
      </w:pPr>
      <w:r w:rsidRPr="0043022E">
        <w:rPr>
          <w:rStyle w:val="Znakapoznpodarou"/>
          <w:rFonts w:asciiTheme="minorHAnsi" w:hAnsiTheme="minorHAnsi" w:cstheme="minorHAnsi"/>
          <w:sz w:val="18"/>
          <w:szCs w:val="18"/>
        </w:rPr>
        <w:footnoteRef/>
      </w:r>
      <w:r w:rsidRPr="0043022E">
        <w:rPr>
          <w:rFonts w:asciiTheme="minorHAnsi" w:hAnsiTheme="minorHAnsi" w:cstheme="minorHAnsi"/>
          <w:sz w:val="18"/>
          <w:szCs w:val="18"/>
        </w:rPr>
        <w:t xml:space="preserve"> MPO: Vývoj hrubé výroby elektřiny a tepla k prodeji v energetické bilanci ČR výroba a dodávky v letech 2010-2017.</w:t>
      </w:r>
    </w:p>
  </w:footnote>
  <w:footnote w:id="22">
    <w:p w14:paraId="3424490E" w14:textId="3DB6539B" w:rsidR="00101AEB" w:rsidRPr="00FF4E95" w:rsidRDefault="00101AEB">
      <w:pPr>
        <w:pStyle w:val="Textpoznpodarou"/>
        <w:rPr>
          <w:rFonts w:asciiTheme="minorHAnsi" w:hAnsiTheme="minorHAnsi" w:cstheme="minorHAnsi"/>
          <w:sz w:val="18"/>
          <w:szCs w:val="18"/>
        </w:rPr>
      </w:pPr>
      <w:r w:rsidRPr="00FF4E95">
        <w:rPr>
          <w:rStyle w:val="Znakapoznpodarou"/>
          <w:rFonts w:asciiTheme="minorHAnsi" w:hAnsiTheme="minorHAnsi" w:cstheme="minorHAnsi"/>
          <w:sz w:val="18"/>
          <w:szCs w:val="18"/>
        </w:rPr>
        <w:footnoteRef/>
      </w:r>
      <w:r w:rsidRPr="00FF4E95">
        <w:rPr>
          <w:rFonts w:asciiTheme="minorHAnsi" w:hAnsiTheme="minorHAnsi" w:cstheme="minorHAnsi"/>
          <w:sz w:val="18"/>
          <w:szCs w:val="18"/>
        </w:rPr>
        <w:t xml:space="preserve"> Aktualizace Politiky druhotných surovin České republiky pro období 2019 – 2022. MPO, prosinec 2018.</w:t>
      </w:r>
    </w:p>
  </w:footnote>
  <w:footnote w:id="23">
    <w:p w14:paraId="4CC85C0B" w14:textId="246DDF5A" w:rsidR="00101AEB" w:rsidRPr="005657EB" w:rsidRDefault="00101AEB">
      <w:pPr>
        <w:pStyle w:val="Textpoznpodarou"/>
        <w:rPr>
          <w:rFonts w:asciiTheme="minorHAnsi" w:hAnsiTheme="minorHAnsi"/>
          <w:sz w:val="18"/>
          <w:szCs w:val="18"/>
        </w:rPr>
      </w:pPr>
      <w:r w:rsidRPr="005657EB">
        <w:rPr>
          <w:rStyle w:val="Znakapoznpodarou"/>
          <w:rFonts w:asciiTheme="minorHAnsi" w:hAnsiTheme="minorHAnsi"/>
          <w:sz w:val="18"/>
          <w:szCs w:val="18"/>
        </w:rPr>
        <w:footnoteRef/>
      </w:r>
      <w:r w:rsidRPr="005657EB">
        <w:rPr>
          <w:rFonts w:asciiTheme="minorHAnsi" w:hAnsiTheme="minorHAnsi"/>
          <w:sz w:val="18"/>
          <w:szCs w:val="18"/>
        </w:rPr>
        <w:t xml:space="preserve"> 7. Zpráva o pokroku v oblasti plnění vnitrostátních cílů energetické účinnosti v České republice podle čl. 24 směrnice 2012/27/EU o energetické účinnosti. MPO, duben 2019.</w:t>
      </w:r>
    </w:p>
  </w:footnote>
  <w:footnote w:id="24">
    <w:p w14:paraId="2633430E" w14:textId="03D3EFB0" w:rsidR="00101AEB" w:rsidRPr="004365D9" w:rsidRDefault="00101AEB">
      <w:pPr>
        <w:pStyle w:val="Textpoznpodarou"/>
        <w:rPr>
          <w:rFonts w:asciiTheme="minorHAnsi" w:hAnsiTheme="minorHAnsi" w:cstheme="minorHAnsi"/>
          <w:sz w:val="18"/>
        </w:rPr>
      </w:pPr>
      <w:r w:rsidRPr="004365D9">
        <w:rPr>
          <w:rStyle w:val="Znakapoznpodarou"/>
          <w:rFonts w:asciiTheme="minorHAnsi" w:hAnsiTheme="minorHAnsi" w:cstheme="minorHAnsi"/>
          <w:sz w:val="18"/>
        </w:rPr>
        <w:footnoteRef/>
      </w:r>
      <w:r w:rsidRPr="004365D9">
        <w:rPr>
          <w:rFonts w:asciiTheme="minorHAnsi" w:hAnsiTheme="minorHAnsi" w:cstheme="minorHAnsi"/>
          <w:sz w:val="18"/>
        </w:rPr>
        <w:t xml:space="preserve"> Podrobněji viz Příloha </w:t>
      </w:r>
      <w:r>
        <w:rPr>
          <w:rFonts w:asciiTheme="minorHAnsi" w:hAnsiTheme="minorHAnsi" w:cstheme="minorHAnsi"/>
          <w:sz w:val="18"/>
        </w:rPr>
        <w:t>3</w:t>
      </w:r>
      <w:r w:rsidRPr="004365D9">
        <w:rPr>
          <w:rFonts w:asciiTheme="minorHAnsi" w:hAnsiTheme="minorHAnsi" w:cstheme="minorHAnsi"/>
          <w:sz w:val="18"/>
        </w:rPr>
        <w:t xml:space="preserve"> této Závěrečné zprávy.</w:t>
      </w:r>
    </w:p>
  </w:footnote>
  <w:footnote w:id="25">
    <w:p w14:paraId="6A6B2142" w14:textId="77777777" w:rsidR="00101AEB" w:rsidRPr="00B3060B" w:rsidRDefault="00101AEB" w:rsidP="00A36526">
      <w:pPr>
        <w:pStyle w:val="Textpoznpodarou"/>
        <w:rPr>
          <w:rFonts w:asciiTheme="minorHAnsi" w:hAnsiTheme="minorHAnsi" w:cstheme="minorHAnsi"/>
          <w:sz w:val="18"/>
        </w:rPr>
      </w:pPr>
      <w:r w:rsidRPr="00B3060B">
        <w:rPr>
          <w:rStyle w:val="Znakapoznpodarou"/>
          <w:rFonts w:asciiTheme="minorHAnsi" w:hAnsiTheme="minorHAnsi" w:cstheme="minorHAnsi"/>
          <w:sz w:val="18"/>
        </w:rPr>
        <w:footnoteRef/>
      </w:r>
      <w:r w:rsidRPr="00B3060B">
        <w:rPr>
          <w:rFonts w:asciiTheme="minorHAnsi" w:hAnsiTheme="minorHAnsi" w:cstheme="minorHAnsi"/>
          <w:sz w:val="18"/>
        </w:rPr>
        <w:t xml:space="preserve"> Analýza současného stavu vybraných komodit druhotných surovin a jejich zdrojů včetně vize rozvoje daného odvětví. Podklad pro aktualizaci Politiky druhotných surovin ČR. MPO ČR, prosinec 2018.</w:t>
      </w:r>
    </w:p>
  </w:footnote>
  <w:footnote w:id="26">
    <w:p w14:paraId="0D1B5EE6" w14:textId="77777777" w:rsidR="00101AEB" w:rsidRDefault="00101AEB" w:rsidP="007153D4">
      <w:pPr>
        <w:pStyle w:val="Textpoznpodarou"/>
      </w:pPr>
      <w:r>
        <w:rPr>
          <w:rStyle w:val="Znakapoznpodarou"/>
        </w:rPr>
        <w:footnoteRef/>
      </w:r>
      <w:r>
        <w:t xml:space="preserve"> </w:t>
      </w:r>
      <w:r w:rsidRPr="00F014A1">
        <w:rPr>
          <w:rFonts w:asciiTheme="minorHAnsi" w:hAnsiTheme="minorHAnsi" w:cstheme="minorHAnsi"/>
          <w:sz w:val="18"/>
          <w:szCs w:val="18"/>
        </w:rPr>
        <w:t>OP PIK: Relevance rozvojových potřeb a příspěvek k plnění cílů Dohody o partnerství za léta 2014 – 2016. Aktualizace závěrečné zprávy, leden 2018.</w:t>
      </w:r>
    </w:p>
  </w:footnote>
  <w:footnote w:id="27">
    <w:p w14:paraId="3D2C06FF" w14:textId="5DBCA9E6" w:rsidR="00101AEB" w:rsidRPr="00D47D68" w:rsidRDefault="00101AEB">
      <w:pPr>
        <w:pStyle w:val="Textpoznpodarou"/>
        <w:rPr>
          <w:rFonts w:asciiTheme="minorHAnsi" w:hAnsiTheme="minorHAnsi" w:cstheme="minorHAnsi"/>
          <w:sz w:val="18"/>
        </w:rPr>
      </w:pPr>
      <w:r w:rsidRPr="00D47D68">
        <w:rPr>
          <w:rStyle w:val="Znakapoznpodarou"/>
          <w:rFonts w:asciiTheme="minorHAnsi" w:hAnsiTheme="minorHAnsi" w:cstheme="minorHAnsi"/>
          <w:sz w:val="18"/>
        </w:rPr>
        <w:footnoteRef/>
      </w:r>
      <w:r w:rsidRPr="00D47D68">
        <w:rPr>
          <w:rFonts w:asciiTheme="minorHAnsi" w:hAnsiTheme="minorHAnsi" w:cstheme="minorHAnsi"/>
          <w:sz w:val="18"/>
        </w:rPr>
        <w:t xml:space="preserve"> MPO: Státní energetická koncepce, prosinec 2014.</w:t>
      </w:r>
    </w:p>
  </w:footnote>
  <w:footnote w:id="28">
    <w:p w14:paraId="2F00485C" w14:textId="76517D07" w:rsidR="00101AEB" w:rsidRPr="00D47D68" w:rsidRDefault="00101AEB">
      <w:pPr>
        <w:pStyle w:val="Textpoznpodarou"/>
        <w:rPr>
          <w:rFonts w:asciiTheme="minorHAnsi" w:hAnsiTheme="minorHAnsi" w:cstheme="minorHAnsi"/>
          <w:sz w:val="18"/>
        </w:rPr>
      </w:pPr>
      <w:r w:rsidRPr="00D47D68">
        <w:rPr>
          <w:rStyle w:val="Znakapoznpodarou"/>
          <w:rFonts w:asciiTheme="minorHAnsi" w:hAnsiTheme="minorHAnsi" w:cstheme="minorHAnsi"/>
          <w:sz w:val="18"/>
        </w:rPr>
        <w:footnoteRef/>
      </w:r>
      <w:r w:rsidRPr="00D47D68">
        <w:rPr>
          <w:rFonts w:asciiTheme="minorHAnsi" w:hAnsiTheme="minorHAnsi" w:cstheme="minorHAnsi"/>
          <w:sz w:val="18"/>
        </w:rPr>
        <w:t xml:space="preserve"> MPO: Státní energetická koncepce, prosince 2014, str. 47</w:t>
      </w:r>
    </w:p>
  </w:footnote>
  <w:footnote w:id="29">
    <w:p w14:paraId="5A271312" w14:textId="53AA5769" w:rsidR="00101AEB" w:rsidRPr="00D47D68" w:rsidRDefault="00101AEB">
      <w:pPr>
        <w:pStyle w:val="Textpoznpodarou"/>
        <w:rPr>
          <w:rFonts w:asciiTheme="minorHAnsi" w:hAnsiTheme="minorHAnsi" w:cstheme="minorHAnsi"/>
          <w:sz w:val="18"/>
        </w:rPr>
      </w:pPr>
      <w:r w:rsidRPr="00D47D68">
        <w:rPr>
          <w:rStyle w:val="Znakapoznpodarou"/>
          <w:rFonts w:asciiTheme="minorHAnsi" w:hAnsiTheme="minorHAnsi" w:cstheme="minorHAnsi"/>
          <w:sz w:val="18"/>
        </w:rPr>
        <w:footnoteRef/>
      </w:r>
      <w:r w:rsidRPr="00D47D68">
        <w:rPr>
          <w:rFonts w:asciiTheme="minorHAnsi" w:hAnsiTheme="minorHAnsi" w:cstheme="minorHAnsi"/>
          <w:sz w:val="18"/>
        </w:rPr>
        <w:t xml:space="preserve"> MPO: Státní energetická koncepce, prosince 2014, str. 49-50</w:t>
      </w:r>
    </w:p>
  </w:footnote>
  <w:footnote w:id="30">
    <w:p w14:paraId="148DD92A" w14:textId="67D325C8" w:rsidR="00101AEB" w:rsidRPr="00D47D68" w:rsidRDefault="00101AEB">
      <w:pPr>
        <w:pStyle w:val="Textpoznpodarou"/>
        <w:rPr>
          <w:rFonts w:asciiTheme="minorHAnsi" w:hAnsiTheme="minorHAnsi" w:cstheme="minorHAnsi"/>
          <w:sz w:val="18"/>
          <w:szCs w:val="18"/>
        </w:rPr>
      </w:pPr>
      <w:r w:rsidRPr="00D47D68">
        <w:rPr>
          <w:rStyle w:val="Znakapoznpodarou"/>
          <w:rFonts w:asciiTheme="minorHAnsi" w:hAnsiTheme="minorHAnsi" w:cstheme="minorHAnsi"/>
          <w:sz w:val="18"/>
          <w:szCs w:val="18"/>
        </w:rPr>
        <w:footnoteRef/>
      </w:r>
      <w:r w:rsidRPr="00D47D68">
        <w:rPr>
          <w:rFonts w:asciiTheme="minorHAnsi" w:hAnsiTheme="minorHAnsi" w:cstheme="minorHAnsi"/>
          <w:sz w:val="18"/>
          <w:szCs w:val="18"/>
        </w:rPr>
        <w:t xml:space="preserve"> byť ve </w:t>
      </w:r>
      <w:r w:rsidRPr="00D47D68">
        <w:rPr>
          <w:rFonts w:asciiTheme="minorHAnsi" w:hAnsiTheme="minorHAnsi" w:cstheme="minorHAnsi"/>
          <w:sz w:val="18"/>
          <w:szCs w:val="18"/>
          <w:lang w:eastAsia="sk-SK"/>
        </w:rPr>
        <w:t>Směrnici Evropského parlamentu a Rady 2009/28/ES o podpoře využívání energie z obnovitelných zdrojů je jako cíl pro ČR stanoven podíl 13 % OZE na konečné spotřebě energie v roce 2020</w:t>
      </w:r>
    </w:p>
  </w:footnote>
  <w:footnote w:id="31">
    <w:p w14:paraId="207976D5" w14:textId="3F8826D4" w:rsidR="00101AEB" w:rsidRPr="00D47D68" w:rsidRDefault="00101AEB">
      <w:pPr>
        <w:pStyle w:val="Textpoznpodarou"/>
        <w:rPr>
          <w:rFonts w:asciiTheme="minorHAnsi" w:hAnsiTheme="minorHAnsi" w:cstheme="minorHAnsi"/>
          <w:sz w:val="18"/>
          <w:szCs w:val="18"/>
        </w:rPr>
      </w:pPr>
      <w:r w:rsidRPr="00D47D68">
        <w:rPr>
          <w:rStyle w:val="Znakapoznpodarou"/>
          <w:rFonts w:asciiTheme="minorHAnsi" w:hAnsiTheme="minorHAnsi" w:cstheme="minorHAnsi"/>
          <w:sz w:val="18"/>
          <w:szCs w:val="18"/>
        </w:rPr>
        <w:footnoteRef/>
      </w:r>
      <w:r w:rsidRPr="00D47D68">
        <w:rPr>
          <w:rFonts w:asciiTheme="minorHAnsi" w:hAnsiTheme="minorHAnsi" w:cstheme="minorHAnsi"/>
          <w:sz w:val="18"/>
          <w:szCs w:val="18"/>
        </w:rPr>
        <w:t xml:space="preserve"> MPO: Národní akční plán energetické účinnosti, duben 2017, str. 11</w:t>
      </w:r>
    </w:p>
  </w:footnote>
  <w:footnote w:id="32">
    <w:p w14:paraId="3FF815F4" w14:textId="0E63BB9D" w:rsidR="00101AEB" w:rsidRPr="00D47D68" w:rsidRDefault="00101AEB">
      <w:pPr>
        <w:pStyle w:val="Textpoznpodarou"/>
        <w:rPr>
          <w:rFonts w:asciiTheme="minorHAnsi" w:hAnsiTheme="minorHAnsi" w:cstheme="minorHAnsi"/>
          <w:sz w:val="18"/>
          <w:szCs w:val="18"/>
        </w:rPr>
      </w:pPr>
      <w:r w:rsidRPr="00D47D68">
        <w:rPr>
          <w:rStyle w:val="Znakapoznpodarou"/>
          <w:rFonts w:asciiTheme="minorHAnsi" w:hAnsiTheme="minorHAnsi" w:cstheme="minorHAnsi"/>
          <w:sz w:val="18"/>
          <w:szCs w:val="18"/>
        </w:rPr>
        <w:footnoteRef/>
      </w:r>
      <w:r w:rsidRPr="00D47D68">
        <w:rPr>
          <w:rFonts w:asciiTheme="minorHAnsi" w:hAnsiTheme="minorHAnsi" w:cstheme="minorHAnsi"/>
          <w:sz w:val="18"/>
          <w:szCs w:val="18"/>
        </w:rPr>
        <w:t xml:space="preserve"> MPO: Národní akční plán energetické účinnosti, duben 2017, str. 16</w:t>
      </w:r>
    </w:p>
  </w:footnote>
  <w:footnote w:id="33">
    <w:p w14:paraId="00EBA0A1" w14:textId="0FA88AF2" w:rsidR="00101AEB" w:rsidRPr="00D47D68" w:rsidRDefault="00101AEB">
      <w:pPr>
        <w:pStyle w:val="Textpoznpodarou"/>
        <w:rPr>
          <w:rFonts w:asciiTheme="minorHAnsi" w:hAnsiTheme="minorHAnsi" w:cstheme="minorHAnsi"/>
          <w:sz w:val="18"/>
          <w:szCs w:val="18"/>
        </w:rPr>
      </w:pPr>
      <w:r w:rsidRPr="00D47D68">
        <w:rPr>
          <w:rStyle w:val="Znakapoznpodarou"/>
          <w:rFonts w:asciiTheme="minorHAnsi" w:hAnsiTheme="minorHAnsi" w:cstheme="minorHAnsi"/>
          <w:sz w:val="18"/>
          <w:szCs w:val="18"/>
        </w:rPr>
        <w:footnoteRef/>
      </w:r>
      <w:r w:rsidRPr="00D47D68">
        <w:rPr>
          <w:rFonts w:asciiTheme="minorHAnsi" w:hAnsiTheme="minorHAnsi" w:cstheme="minorHAnsi"/>
          <w:sz w:val="18"/>
          <w:szCs w:val="18"/>
        </w:rPr>
        <w:t xml:space="preserve"> MPO: Aktualizace Politiky druhotných surovin České republiky pro období 2019 - 2022, prosinec 2019.</w:t>
      </w:r>
    </w:p>
  </w:footnote>
  <w:footnote w:id="34">
    <w:p w14:paraId="2F6C317B" w14:textId="5D0CF6BA" w:rsidR="00101AEB" w:rsidRPr="001D78D1" w:rsidRDefault="00101AEB">
      <w:pPr>
        <w:pStyle w:val="Textpoznpodarou"/>
        <w:rPr>
          <w:rFonts w:asciiTheme="minorHAnsi" w:hAnsiTheme="minorHAnsi" w:cstheme="minorHAnsi"/>
          <w:sz w:val="18"/>
          <w:szCs w:val="18"/>
        </w:rPr>
      </w:pPr>
      <w:r w:rsidRPr="001D78D1">
        <w:rPr>
          <w:rStyle w:val="Znakapoznpodarou"/>
          <w:rFonts w:asciiTheme="minorHAnsi" w:hAnsiTheme="minorHAnsi" w:cstheme="minorHAnsi"/>
          <w:sz w:val="18"/>
          <w:szCs w:val="18"/>
        </w:rPr>
        <w:footnoteRef/>
      </w:r>
      <w:r w:rsidRPr="001D78D1">
        <w:rPr>
          <w:rFonts w:asciiTheme="minorHAnsi" w:hAnsiTheme="minorHAnsi" w:cstheme="minorHAnsi"/>
          <w:sz w:val="18"/>
          <w:szCs w:val="18"/>
        </w:rPr>
        <w:t xml:space="preserve"> Makroekonomická predikce České republiky – listopad 2018. Ministerstvo financí ČR, listopad 2018</w:t>
      </w:r>
    </w:p>
  </w:footnote>
  <w:footnote w:id="35">
    <w:p w14:paraId="41C167F5" w14:textId="0F923D6B" w:rsidR="00101AEB" w:rsidRPr="00241915" w:rsidRDefault="00101AEB">
      <w:pPr>
        <w:pStyle w:val="Textpoznpodarou"/>
        <w:rPr>
          <w:rFonts w:asciiTheme="minorHAnsi" w:hAnsiTheme="minorHAnsi" w:cstheme="minorHAnsi"/>
          <w:sz w:val="18"/>
          <w:szCs w:val="18"/>
        </w:rPr>
      </w:pPr>
      <w:r w:rsidRPr="00241915">
        <w:rPr>
          <w:rStyle w:val="Znakapoznpodarou"/>
          <w:rFonts w:asciiTheme="minorHAnsi" w:hAnsiTheme="minorHAnsi" w:cstheme="minorHAnsi"/>
          <w:sz w:val="18"/>
          <w:szCs w:val="18"/>
        </w:rPr>
        <w:footnoteRef/>
      </w:r>
      <w:r w:rsidRPr="00241915">
        <w:rPr>
          <w:rFonts w:asciiTheme="minorHAnsi" w:hAnsiTheme="minorHAnsi" w:cstheme="minorHAnsi"/>
          <w:sz w:val="18"/>
          <w:szCs w:val="18"/>
        </w:rPr>
        <w:t xml:space="preserve"> Výsledková evaluace specifických cílů 2.1 a 2.2 OP PIK. APEF, </w:t>
      </w:r>
      <w:r>
        <w:rPr>
          <w:rFonts w:asciiTheme="minorHAnsi" w:hAnsiTheme="minorHAnsi" w:cstheme="minorHAnsi"/>
          <w:sz w:val="18"/>
          <w:szCs w:val="18"/>
        </w:rPr>
        <w:t>únor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F0B28" w14:textId="410E04A7" w:rsidR="00101AEB" w:rsidRPr="00F014A1" w:rsidRDefault="00101AEB">
    <w:pPr>
      <w:pStyle w:val="Zhlav"/>
      <w:rPr>
        <w:rFonts w:cstheme="minorHAnsi"/>
        <w:b/>
        <w:noProof/>
        <w:sz w:val="16"/>
        <w:szCs w:val="16"/>
        <w:lang w:eastAsia="cs-CZ"/>
      </w:rPr>
    </w:pPr>
    <w:r w:rsidRPr="00F014A1">
      <w:rPr>
        <w:rFonts w:cstheme="minorHAnsi"/>
        <w:b/>
        <w:noProof/>
        <w:sz w:val="16"/>
        <w:szCs w:val="16"/>
        <w:lang w:eastAsia="cs-CZ"/>
      </w:rPr>
      <w:t xml:space="preserve">Výsledková evaluace specifických cílů </w:t>
    </w:r>
    <w:r>
      <w:rPr>
        <w:rFonts w:cstheme="minorHAnsi"/>
        <w:b/>
        <w:noProof/>
        <w:sz w:val="16"/>
        <w:szCs w:val="16"/>
        <w:lang w:eastAsia="cs-CZ"/>
      </w:rPr>
      <w:t>3</w:t>
    </w:r>
    <w:r w:rsidRPr="00F014A1">
      <w:rPr>
        <w:rFonts w:cstheme="minorHAnsi"/>
        <w:b/>
        <w:noProof/>
        <w:sz w:val="16"/>
        <w:szCs w:val="16"/>
        <w:lang w:eastAsia="cs-CZ"/>
      </w:rPr>
      <w:t>.1</w:t>
    </w:r>
    <w:r>
      <w:rPr>
        <w:rFonts w:cstheme="minorHAnsi"/>
        <w:b/>
        <w:noProof/>
        <w:sz w:val="16"/>
        <w:szCs w:val="16"/>
        <w:lang w:eastAsia="cs-CZ"/>
      </w:rPr>
      <w:t>, 3</w:t>
    </w:r>
    <w:r w:rsidRPr="00F014A1">
      <w:rPr>
        <w:rFonts w:cstheme="minorHAnsi"/>
        <w:b/>
        <w:noProof/>
        <w:sz w:val="16"/>
        <w:szCs w:val="16"/>
        <w:lang w:eastAsia="cs-CZ"/>
      </w:rPr>
      <w:t xml:space="preserve">.2 </w:t>
    </w:r>
    <w:r>
      <w:rPr>
        <w:rFonts w:cstheme="minorHAnsi"/>
        <w:b/>
        <w:noProof/>
        <w:sz w:val="16"/>
        <w:szCs w:val="16"/>
        <w:lang w:eastAsia="cs-CZ"/>
      </w:rPr>
      <w:t xml:space="preserve">a 3.4 </w:t>
    </w:r>
    <w:r w:rsidRPr="00F014A1">
      <w:rPr>
        <w:rFonts w:cstheme="minorHAnsi"/>
        <w:b/>
        <w:noProof/>
        <w:sz w:val="16"/>
        <w:szCs w:val="16"/>
        <w:lang w:eastAsia="cs-CZ"/>
      </w:rPr>
      <w:t>OP PIK</w:t>
    </w:r>
  </w:p>
  <w:p w14:paraId="5CDBC264" w14:textId="77777777" w:rsidR="00101AEB" w:rsidRPr="00F014A1" w:rsidRDefault="00101AEB">
    <w:pPr>
      <w:pStyle w:val="Zhlav"/>
      <w:rPr>
        <w:rFonts w:cstheme="minorHAnsi"/>
        <w:sz w:val="16"/>
        <w:szCs w:val="16"/>
      </w:rPr>
    </w:pPr>
    <w:r w:rsidRPr="00F014A1">
      <w:rPr>
        <w:rFonts w:cstheme="minorHAnsi"/>
        <w:noProof/>
        <w:sz w:val="16"/>
        <w:szCs w:val="16"/>
        <w:lang w:eastAsia="cs-CZ"/>
      </w:rPr>
      <w:t>Závěrečná zpráva</w:t>
    </w:r>
  </w:p>
  <w:p w14:paraId="75BD4D64" w14:textId="77777777" w:rsidR="00101AEB" w:rsidRDefault="00101AEB">
    <w:pPr>
      <w:pStyle w:val="Zhlav"/>
    </w:pPr>
  </w:p>
  <w:p w14:paraId="7A4EF813" w14:textId="77777777" w:rsidR="00101AEB" w:rsidRDefault="00101AE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2E4E" w14:textId="77777777" w:rsidR="00101AEB" w:rsidRDefault="00101AEB">
    <w:pPr>
      <w:pStyle w:val="Zhlav"/>
    </w:pPr>
    <w:r>
      <w:rPr>
        <w:noProof/>
        <w:lang w:eastAsia="cs-CZ"/>
      </w:rPr>
      <w:drawing>
        <wp:inline distT="0" distB="0" distL="0" distR="0" wp14:anchorId="07BF4403" wp14:editId="4FA0E129">
          <wp:extent cx="5828030" cy="682625"/>
          <wp:effectExtent l="0" t="0" r="127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826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BC54F" w14:textId="17DE1C79" w:rsidR="00101AEB" w:rsidRPr="00F014A1" w:rsidRDefault="00101AEB">
    <w:pPr>
      <w:pStyle w:val="Zhlav"/>
      <w:rPr>
        <w:rFonts w:cstheme="minorHAnsi"/>
        <w:b/>
        <w:noProof/>
        <w:sz w:val="16"/>
        <w:szCs w:val="16"/>
        <w:lang w:eastAsia="cs-CZ"/>
      </w:rPr>
    </w:pPr>
    <w:r w:rsidRPr="00F014A1">
      <w:rPr>
        <w:rFonts w:cstheme="minorHAnsi"/>
        <w:b/>
        <w:noProof/>
        <w:sz w:val="16"/>
        <w:szCs w:val="16"/>
        <w:lang w:eastAsia="cs-CZ"/>
      </w:rPr>
      <w:t xml:space="preserve">Výsledková evaluace specifických cílů </w:t>
    </w:r>
    <w:r>
      <w:rPr>
        <w:rFonts w:cstheme="minorHAnsi"/>
        <w:b/>
        <w:noProof/>
        <w:sz w:val="16"/>
        <w:szCs w:val="16"/>
        <w:lang w:eastAsia="cs-CZ"/>
      </w:rPr>
      <w:t>3</w:t>
    </w:r>
    <w:r w:rsidRPr="00F014A1">
      <w:rPr>
        <w:rFonts w:cstheme="minorHAnsi"/>
        <w:b/>
        <w:noProof/>
        <w:sz w:val="16"/>
        <w:szCs w:val="16"/>
        <w:lang w:eastAsia="cs-CZ"/>
      </w:rPr>
      <w:t>.1</w:t>
    </w:r>
    <w:r>
      <w:rPr>
        <w:rFonts w:cstheme="minorHAnsi"/>
        <w:b/>
        <w:noProof/>
        <w:sz w:val="16"/>
        <w:szCs w:val="16"/>
        <w:lang w:eastAsia="cs-CZ"/>
      </w:rPr>
      <w:t>, 3</w:t>
    </w:r>
    <w:r w:rsidRPr="00F014A1">
      <w:rPr>
        <w:rFonts w:cstheme="minorHAnsi"/>
        <w:b/>
        <w:noProof/>
        <w:sz w:val="16"/>
        <w:szCs w:val="16"/>
        <w:lang w:eastAsia="cs-CZ"/>
      </w:rPr>
      <w:t xml:space="preserve">.2 </w:t>
    </w:r>
    <w:r>
      <w:rPr>
        <w:rFonts w:cstheme="minorHAnsi"/>
        <w:b/>
        <w:noProof/>
        <w:sz w:val="16"/>
        <w:szCs w:val="16"/>
        <w:lang w:eastAsia="cs-CZ"/>
      </w:rPr>
      <w:t xml:space="preserve">a 3.4 </w:t>
    </w:r>
    <w:r w:rsidRPr="00F014A1">
      <w:rPr>
        <w:rFonts w:cstheme="minorHAnsi"/>
        <w:b/>
        <w:noProof/>
        <w:sz w:val="16"/>
        <w:szCs w:val="16"/>
        <w:lang w:eastAsia="cs-CZ"/>
      </w:rPr>
      <w:t>OP PIK</w:t>
    </w:r>
  </w:p>
  <w:p w14:paraId="0F7D37CD" w14:textId="77777777" w:rsidR="00101AEB" w:rsidRPr="00F014A1" w:rsidRDefault="00101AEB">
    <w:pPr>
      <w:pStyle w:val="Zhlav"/>
      <w:rPr>
        <w:rFonts w:cstheme="minorHAnsi"/>
        <w:sz w:val="16"/>
        <w:szCs w:val="16"/>
      </w:rPr>
    </w:pPr>
    <w:r w:rsidRPr="00F014A1">
      <w:rPr>
        <w:rFonts w:cstheme="minorHAnsi"/>
        <w:noProof/>
        <w:sz w:val="16"/>
        <w:szCs w:val="16"/>
        <w:lang w:eastAsia="cs-CZ"/>
      </w:rPr>
      <w:t>Závěrečná zpráva</w:t>
    </w:r>
  </w:p>
  <w:p w14:paraId="51D26D9E" w14:textId="77777777" w:rsidR="00101AEB" w:rsidRDefault="00101AEB">
    <w:pPr>
      <w:pStyle w:val="Zhlav"/>
    </w:pPr>
  </w:p>
  <w:p w14:paraId="10C41E71" w14:textId="77777777" w:rsidR="00101AEB" w:rsidRDefault="00101AE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A53BB" w14:textId="77777777" w:rsidR="00101AEB" w:rsidRDefault="00101AEB">
    <w:pPr>
      <w:pStyle w:val="Zhlav"/>
    </w:pPr>
    <w:r>
      <w:rPr>
        <w:noProof/>
        <w:lang w:eastAsia="cs-CZ"/>
      </w:rPr>
      <w:drawing>
        <wp:inline distT="0" distB="0" distL="0" distR="0" wp14:anchorId="70CD5DF6" wp14:editId="119A9D82">
          <wp:extent cx="5828030" cy="682625"/>
          <wp:effectExtent l="0" t="0" r="1270" b="3175"/>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82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BA8"/>
    <w:multiLevelType w:val="hybridMultilevel"/>
    <w:tmpl w:val="CFFC790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3D1EF8"/>
    <w:multiLevelType w:val="hybridMultilevel"/>
    <w:tmpl w:val="DDE09846"/>
    <w:lvl w:ilvl="0" w:tplc="C86A2536">
      <w:numFmt w:val="bullet"/>
      <w:lvlText w:val="•"/>
      <w:lvlJc w:val="left"/>
      <w:pPr>
        <w:ind w:left="708" w:hanging="708"/>
      </w:pPr>
      <w:rPr>
        <w:rFonts w:ascii="Calibri" w:eastAsia="Calibr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1542F0A"/>
    <w:multiLevelType w:val="hybridMultilevel"/>
    <w:tmpl w:val="83F6F7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1652E5F"/>
    <w:multiLevelType w:val="hybridMultilevel"/>
    <w:tmpl w:val="64C688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1AF548B"/>
    <w:multiLevelType w:val="hybridMultilevel"/>
    <w:tmpl w:val="1E96A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1F260F4"/>
    <w:multiLevelType w:val="hybridMultilevel"/>
    <w:tmpl w:val="75165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573828"/>
    <w:multiLevelType w:val="hybridMultilevel"/>
    <w:tmpl w:val="9AD44AB8"/>
    <w:lvl w:ilvl="0" w:tplc="04050011">
      <w:start w:val="1"/>
      <w:numFmt w:val="decimal"/>
      <w:lvlText w:val="%1)"/>
      <w:lvlJc w:val="left"/>
      <w:pPr>
        <w:ind w:left="720" w:hanging="360"/>
      </w:pPr>
    </w:lvl>
    <w:lvl w:ilvl="1" w:tplc="C27229F4">
      <w:start w:val="1"/>
      <w:numFmt w:val="lowerLetter"/>
      <w:lvlText w:val="%2)"/>
      <w:lvlJc w:val="left"/>
      <w:pPr>
        <w:ind w:left="1788" w:hanging="708"/>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7742307"/>
    <w:multiLevelType w:val="hybridMultilevel"/>
    <w:tmpl w:val="123CE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D96D1B"/>
    <w:multiLevelType w:val="hybridMultilevel"/>
    <w:tmpl w:val="C410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BC7615"/>
    <w:multiLevelType w:val="hybridMultilevel"/>
    <w:tmpl w:val="B6AC5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09153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186919F3"/>
    <w:multiLevelType w:val="hybridMultilevel"/>
    <w:tmpl w:val="6CB48D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893073B"/>
    <w:multiLevelType w:val="hybridMultilevel"/>
    <w:tmpl w:val="4BA68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E61633"/>
    <w:multiLevelType w:val="hybridMultilevel"/>
    <w:tmpl w:val="CBA62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5E1357"/>
    <w:multiLevelType w:val="hybridMultilevel"/>
    <w:tmpl w:val="2FA08B4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EB254D7"/>
    <w:multiLevelType w:val="hybridMultilevel"/>
    <w:tmpl w:val="E836EB5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3A35BA8"/>
    <w:multiLevelType w:val="hybridMultilevel"/>
    <w:tmpl w:val="101A1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4202A61"/>
    <w:multiLevelType w:val="hybridMultilevel"/>
    <w:tmpl w:val="1F045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49D5510"/>
    <w:multiLevelType w:val="hybridMultilevel"/>
    <w:tmpl w:val="41FE3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4D538F9"/>
    <w:multiLevelType w:val="hybridMultilevel"/>
    <w:tmpl w:val="CF8E0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8325144"/>
    <w:multiLevelType w:val="hybridMultilevel"/>
    <w:tmpl w:val="2E26D9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ACE4EB9"/>
    <w:multiLevelType w:val="hybridMultilevel"/>
    <w:tmpl w:val="B7108B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C783301"/>
    <w:multiLevelType w:val="hybridMultilevel"/>
    <w:tmpl w:val="E91468D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22C75F2"/>
    <w:multiLevelType w:val="hybridMultilevel"/>
    <w:tmpl w:val="7BC0DA7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2CD13B6"/>
    <w:multiLevelType w:val="hybridMultilevel"/>
    <w:tmpl w:val="C35E61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38D680D"/>
    <w:multiLevelType w:val="hybridMultilevel"/>
    <w:tmpl w:val="0B204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AE05D4"/>
    <w:multiLevelType w:val="hybridMultilevel"/>
    <w:tmpl w:val="97AAF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A354E11"/>
    <w:multiLevelType w:val="hybridMultilevel"/>
    <w:tmpl w:val="45483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A714AC0"/>
    <w:multiLevelType w:val="hybridMultilevel"/>
    <w:tmpl w:val="F8BCE8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F3F1841"/>
    <w:multiLevelType w:val="hybridMultilevel"/>
    <w:tmpl w:val="5674F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FCD4BEB"/>
    <w:multiLevelType w:val="hybridMultilevel"/>
    <w:tmpl w:val="7A7A12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2190D0A"/>
    <w:multiLevelType w:val="hybridMultilevel"/>
    <w:tmpl w:val="EA46237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2190E2A"/>
    <w:multiLevelType w:val="hybridMultilevel"/>
    <w:tmpl w:val="24CE6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221208C"/>
    <w:multiLevelType w:val="hybridMultilevel"/>
    <w:tmpl w:val="AF76CB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30C786A"/>
    <w:multiLevelType w:val="hybridMultilevel"/>
    <w:tmpl w:val="BEA6A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6C232FF"/>
    <w:multiLevelType w:val="hybridMultilevel"/>
    <w:tmpl w:val="3702A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6FF57B8"/>
    <w:multiLevelType w:val="hybridMultilevel"/>
    <w:tmpl w:val="D848C1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7F556DD"/>
    <w:multiLevelType w:val="hybridMultilevel"/>
    <w:tmpl w:val="35462F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A2C2E7E"/>
    <w:multiLevelType w:val="hybridMultilevel"/>
    <w:tmpl w:val="B704A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CBB79FB"/>
    <w:multiLevelType w:val="hybridMultilevel"/>
    <w:tmpl w:val="C2C203C8"/>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1766CD8"/>
    <w:multiLevelType w:val="hybridMultilevel"/>
    <w:tmpl w:val="C35E61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4AB63D4"/>
    <w:multiLevelType w:val="hybridMultilevel"/>
    <w:tmpl w:val="3022E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89350E7"/>
    <w:multiLevelType w:val="hybridMultilevel"/>
    <w:tmpl w:val="CB96BF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AF35F43"/>
    <w:multiLevelType w:val="multilevel"/>
    <w:tmpl w:val="0D8ABE32"/>
    <w:numStyleLink w:val="VariantaB-sla"/>
  </w:abstractNum>
  <w:abstractNum w:abstractNumId="45" w15:restartNumberingAfterBreak="0">
    <w:nsid w:val="5CF852A8"/>
    <w:multiLevelType w:val="hybridMultilevel"/>
    <w:tmpl w:val="837244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E0645D3"/>
    <w:multiLevelType w:val="hybridMultilevel"/>
    <w:tmpl w:val="0CC060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F9E02E0"/>
    <w:multiLevelType w:val="hybridMultilevel"/>
    <w:tmpl w:val="FF6C6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0265643"/>
    <w:multiLevelType w:val="hybridMultilevel"/>
    <w:tmpl w:val="C35E61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11C3881"/>
    <w:multiLevelType w:val="hybridMultilevel"/>
    <w:tmpl w:val="78665AC6"/>
    <w:lvl w:ilvl="0" w:tplc="D308839C">
      <w:numFmt w:val="bullet"/>
      <w:lvlText w:val="•"/>
      <w:lvlJc w:val="left"/>
      <w:pPr>
        <w:ind w:left="705" w:hanging="705"/>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6A173050"/>
    <w:multiLevelType w:val="hybridMultilevel"/>
    <w:tmpl w:val="67128390"/>
    <w:lvl w:ilvl="0" w:tplc="04050017">
      <w:start w:val="1"/>
      <w:numFmt w:val="lowerLetter"/>
      <w:lvlText w:val="%1)"/>
      <w:lvlJc w:val="left"/>
      <w:pPr>
        <w:ind w:left="720" w:hanging="360"/>
      </w:pPr>
    </w:lvl>
    <w:lvl w:ilvl="1" w:tplc="04050015">
      <w:start w:val="1"/>
      <w:numFmt w:val="upp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6B1429D7"/>
    <w:multiLevelType w:val="hybridMultilevel"/>
    <w:tmpl w:val="C3447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6D8D0605"/>
    <w:multiLevelType w:val="hybridMultilevel"/>
    <w:tmpl w:val="19A8821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B9A0BA12">
      <w:numFmt w:val="bullet"/>
      <w:lvlText w:val="-"/>
      <w:lvlJc w:val="left"/>
      <w:pPr>
        <w:ind w:left="2505" w:hanging="705"/>
      </w:pPr>
      <w:rPr>
        <w:rFonts w:ascii="Arial" w:eastAsiaTheme="minorHAnsi"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E4763CE"/>
    <w:multiLevelType w:val="hybridMultilevel"/>
    <w:tmpl w:val="482E6AA0"/>
    <w:lvl w:ilvl="0" w:tplc="C86A2536">
      <w:numFmt w:val="bullet"/>
      <w:lvlText w:val="•"/>
      <w:lvlJc w:val="left"/>
      <w:pPr>
        <w:ind w:left="708" w:hanging="708"/>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08E4F75"/>
    <w:multiLevelType w:val="hybridMultilevel"/>
    <w:tmpl w:val="FEC2F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1644CD5"/>
    <w:multiLevelType w:val="hybridMultilevel"/>
    <w:tmpl w:val="8FCC2FC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1F20F80"/>
    <w:multiLevelType w:val="hybridMultilevel"/>
    <w:tmpl w:val="AEE8888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706745A"/>
    <w:multiLevelType w:val="multilevel"/>
    <w:tmpl w:val="BA1A1C62"/>
    <w:lvl w:ilvl="0">
      <w:start w:val="1"/>
      <w:numFmt w:val="decimal"/>
      <w:pStyle w:val="Nadpis1sl"/>
      <w:lvlText w:val="%1"/>
      <w:lvlJc w:val="left"/>
      <w:pPr>
        <w:ind w:left="432" w:hanging="432"/>
      </w:pPr>
      <w:rPr>
        <w:rFonts w:hint="default"/>
      </w:rPr>
    </w:lvl>
    <w:lvl w:ilvl="1">
      <w:start w:val="1"/>
      <w:numFmt w:val="decimal"/>
      <w:pStyle w:val="Nadpis2sl"/>
      <w:lvlText w:val="%1.%2"/>
      <w:lvlJc w:val="left"/>
      <w:pPr>
        <w:ind w:left="576" w:hanging="576"/>
      </w:pPr>
      <w:rPr>
        <w:rFonts w:hint="default"/>
        <w:b/>
        <w:color w:val="232E83"/>
        <w:sz w:val="26"/>
        <w:szCs w:val="26"/>
      </w:rPr>
    </w:lvl>
    <w:lvl w:ilvl="2">
      <w:start w:val="1"/>
      <w:numFmt w:val="decimal"/>
      <w:pStyle w:val="Nadpis3s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7BDB5D11"/>
    <w:multiLevelType w:val="hybridMultilevel"/>
    <w:tmpl w:val="44EA1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7F1A4C55"/>
    <w:multiLevelType w:val="hybridMultilevel"/>
    <w:tmpl w:val="507E7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7"/>
  </w:num>
  <w:num w:numId="2">
    <w:abstractNumId w:val="10"/>
  </w:num>
  <w:num w:numId="3">
    <w:abstractNumId w:val="45"/>
  </w:num>
  <w:num w:numId="4">
    <w:abstractNumId w:val="20"/>
  </w:num>
  <w:num w:numId="5">
    <w:abstractNumId w:val="25"/>
  </w:num>
  <w:num w:numId="6">
    <w:abstractNumId w:val="46"/>
  </w:num>
  <w:num w:numId="7">
    <w:abstractNumId w:val="52"/>
  </w:num>
  <w:num w:numId="8">
    <w:abstractNumId w:val="21"/>
  </w:num>
  <w:num w:numId="9">
    <w:abstractNumId w:val="33"/>
  </w:num>
  <w:num w:numId="10">
    <w:abstractNumId w:val="24"/>
  </w:num>
  <w:num w:numId="11">
    <w:abstractNumId w:val="8"/>
  </w:num>
  <w:num w:numId="12">
    <w:abstractNumId w:val="51"/>
  </w:num>
  <w:num w:numId="13">
    <w:abstractNumId w:val="43"/>
  </w:num>
  <w:num w:numId="14">
    <w:abstractNumId w:val="13"/>
  </w:num>
  <w:num w:numId="15">
    <w:abstractNumId w:val="38"/>
  </w:num>
  <w:num w:numId="16">
    <w:abstractNumId w:val="18"/>
  </w:num>
  <w:num w:numId="17">
    <w:abstractNumId w:val="12"/>
  </w:num>
  <w:num w:numId="18">
    <w:abstractNumId w:val="37"/>
  </w:num>
  <w:num w:numId="19">
    <w:abstractNumId w:val="28"/>
  </w:num>
  <w:num w:numId="20">
    <w:abstractNumId w:val="30"/>
  </w:num>
  <w:num w:numId="21">
    <w:abstractNumId w:val="0"/>
  </w:num>
  <w:num w:numId="22">
    <w:abstractNumId w:val="11"/>
  </w:num>
  <w:num w:numId="23">
    <w:abstractNumId w:val="31"/>
  </w:num>
  <w:num w:numId="24">
    <w:abstractNumId w:val="40"/>
  </w:num>
  <w:num w:numId="25">
    <w:abstractNumId w:val="44"/>
  </w:num>
  <w:num w:numId="26">
    <w:abstractNumId w:val="5"/>
  </w:num>
  <w:num w:numId="27">
    <w:abstractNumId w:val="59"/>
  </w:num>
  <w:num w:numId="28">
    <w:abstractNumId w:val="7"/>
  </w:num>
  <w:num w:numId="29">
    <w:abstractNumId w:val="42"/>
  </w:num>
  <w:num w:numId="30">
    <w:abstractNumId w:val="23"/>
  </w:num>
  <w:num w:numId="31">
    <w:abstractNumId w:val="34"/>
  </w:num>
  <w:num w:numId="32">
    <w:abstractNumId w:val="32"/>
  </w:num>
  <w:num w:numId="33">
    <w:abstractNumId w:val="58"/>
  </w:num>
  <w:num w:numId="34">
    <w:abstractNumId w:val="6"/>
  </w:num>
  <w:num w:numId="35">
    <w:abstractNumId w:val="22"/>
  </w:num>
  <w:num w:numId="36">
    <w:abstractNumId w:val="9"/>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16"/>
  </w:num>
  <w:num w:numId="40">
    <w:abstractNumId w:val="3"/>
  </w:num>
  <w:num w:numId="41">
    <w:abstractNumId w:val="17"/>
  </w:num>
  <w:num w:numId="42">
    <w:abstractNumId w:val="35"/>
  </w:num>
  <w:num w:numId="43">
    <w:abstractNumId w:val="29"/>
  </w:num>
  <w:num w:numId="44">
    <w:abstractNumId w:val="2"/>
  </w:num>
  <w:num w:numId="45">
    <w:abstractNumId w:val="19"/>
  </w:num>
  <w:num w:numId="46">
    <w:abstractNumId w:val="56"/>
  </w:num>
  <w:num w:numId="47">
    <w:abstractNumId w:val="27"/>
  </w:num>
  <w:num w:numId="48">
    <w:abstractNumId w:val="15"/>
  </w:num>
  <w:num w:numId="49">
    <w:abstractNumId w:val="26"/>
  </w:num>
  <w:num w:numId="50">
    <w:abstractNumId w:val="49"/>
  </w:num>
  <w:num w:numId="51">
    <w:abstractNumId w:val="10"/>
  </w:num>
  <w:num w:numId="52">
    <w:abstractNumId w:val="10"/>
  </w:num>
  <w:num w:numId="53">
    <w:abstractNumId w:val="41"/>
  </w:num>
  <w:num w:numId="54">
    <w:abstractNumId w:val="48"/>
  </w:num>
  <w:num w:numId="55">
    <w:abstractNumId w:val="4"/>
  </w:num>
  <w:num w:numId="56">
    <w:abstractNumId w:val="47"/>
  </w:num>
  <w:num w:numId="57">
    <w:abstractNumId w:val="1"/>
  </w:num>
  <w:num w:numId="58">
    <w:abstractNumId w:val="53"/>
  </w:num>
  <w:num w:numId="59">
    <w:abstractNumId w:val="36"/>
  </w:num>
  <w:num w:numId="60">
    <w:abstractNumId w:val="14"/>
  </w:num>
  <w:num w:numId="61">
    <w:abstractNumId w:val="50"/>
  </w:num>
  <w:num w:numId="62">
    <w:abstractNumId w:val="39"/>
  </w:num>
  <w:num w:numId="63">
    <w:abstractNumId w:val="5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451"/>
    <w:rsid w:val="0000032E"/>
    <w:rsid w:val="00003798"/>
    <w:rsid w:val="000049B3"/>
    <w:rsid w:val="000052B7"/>
    <w:rsid w:val="00006858"/>
    <w:rsid w:val="0000733D"/>
    <w:rsid w:val="00007A84"/>
    <w:rsid w:val="000109F5"/>
    <w:rsid w:val="00010B9A"/>
    <w:rsid w:val="00010F0A"/>
    <w:rsid w:val="0001222A"/>
    <w:rsid w:val="000139FC"/>
    <w:rsid w:val="00014C9B"/>
    <w:rsid w:val="0001504F"/>
    <w:rsid w:val="00023123"/>
    <w:rsid w:val="00024BC9"/>
    <w:rsid w:val="000264A1"/>
    <w:rsid w:val="00026BE9"/>
    <w:rsid w:val="000277F2"/>
    <w:rsid w:val="00032CA9"/>
    <w:rsid w:val="000339F9"/>
    <w:rsid w:val="000372D7"/>
    <w:rsid w:val="0004164F"/>
    <w:rsid w:val="000417EE"/>
    <w:rsid w:val="000424A2"/>
    <w:rsid w:val="00042CB3"/>
    <w:rsid w:val="000462F8"/>
    <w:rsid w:val="0004711D"/>
    <w:rsid w:val="00047EB6"/>
    <w:rsid w:val="0005349C"/>
    <w:rsid w:val="00053DA8"/>
    <w:rsid w:val="00055FAE"/>
    <w:rsid w:val="00057441"/>
    <w:rsid w:val="00057560"/>
    <w:rsid w:val="0005763A"/>
    <w:rsid w:val="00057919"/>
    <w:rsid w:val="00061410"/>
    <w:rsid w:val="0006338E"/>
    <w:rsid w:val="000670FD"/>
    <w:rsid w:val="000672EF"/>
    <w:rsid w:val="00067E32"/>
    <w:rsid w:val="000722BD"/>
    <w:rsid w:val="00072645"/>
    <w:rsid w:val="00073E2C"/>
    <w:rsid w:val="00075D88"/>
    <w:rsid w:val="00076492"/>
    <w:rsid w:val="000830E4"/>
    <w:rsid w:val="00084132"/>
    <w:rsid w:val="000844F9"/>
    <w:rsid w:val="000865A7"/>
    <w:rsid w:val="00087B1D"/>
    <w:rsid w:val="00090237"/>
    <w:rsid w:val="000912A7"/>
    <w:rsid w:val="00092989"/>
    <w:rsid w:val="00094EB5"/>
    <w:rsid w:val="00096708"/>
    <w:rsid w:val="000A046B"/>
    <w:rsid w:val="000A19ED"/>
    <w:rsid w:val="000A2D8D"/>
    <w:rsid w:val="000A4112"/>
    <w:rsid w:val="000A4184"/>
    <w:rsid w:val="000A5370"/>
    <w:rsid w:val="000A5397"/>
    <w:rsid w:val="000A54EC"/>
    <w:rsid w:val="000A6500"/>
    <w:rsid w:val="000A7363"/>
    <w:rsid w:val="000A7CCD"/>
    <w:rsid w:val="000B0C3B"/>
    <w:rsid w:val="000B29E6"/>
    <w:rsid w:val="000B7AFC"/>
    <w:rsid w:val="000B7D09"/>
    <w:rsid w:val="000B7F7D"/>
    <w:rsid w:val="000C0C19"/>
    <w:rsid w:val="000C5ED2"/>
    <w:rsid w:val="000D1D84"/>
    <w:rsid w:val="000D6E21"/>
    <w:rsid w:val="000D7670"/>
    <w:rsid w:val="000E56DF"/>
    <w:rsid w:val="000E6E83"/>
    <w:rsid w:val="000F11BA"/>
    <w:rsid w:val="000F474F"/>
    <w:rsid w:val="000F5212"/>
    <w:rsid w:val="000F720E"/>
    <w:rsid w:val="001008AE"/>
    <w:rsid w:val="00101AEB"/>
    <w:rsid w:val="001041B1"/>
    <w:rsid w:val="00104AE0"/>
    <w:rsid w:val="0010722D"/>
    <w:rsid w:val="001074C9"/>
    <w:rsid w:val="00107503"/>
    <w:rsid w:val="00110320"/>
    <w:rsid w:val="00111433"/>
    <w:rsid w:val="00115607"/>
    <w:rsid w:val="00120052"/>
    <w:rsid w:val="00120D25"/>
    <w:rsid w:val="001230CC"/>
    <w:rsid w:val="00125A01"/>
    <w:rsid w:val="00125FFB"/>
    <w:rsid w:val="00131C02"/>
    <w:rsid w:val="00131C2F"/>
    <w:rsid w:val="0013565E"/>
    <w:rsid w:val="00142028"/>
    <w:rsid w:val="00145338"/>
    <w:rsid w:val="001467C5"/>
    <w:rsid w:val="00147EA2"/>
    <w:rsid w:val="00151CAA"/>
    <w:rsid w:val="001522F1"/>
    <w:rsid w:val="00153262"/>
    <w:rsid w:val="0015445F"/>
    <w:rsid w:val="00154D87"/>
    <w:rsid w:val="00163494"/>
    <w:rsid w:val="001636EC"/>
    <w:rsid w:val="00164DAD"/>
    <w:rsid w:val="001726E1"/>
    <w:rsid w:val="00174049"/>
    <w:rsid w:val="00174284"/>
    <w:rsid w:val="00174477"/>
    <w:rsid w:val="00177708"/>
    <w:rsid w:val="001819B5"/>
    <w:rsid w:val="0018260D"/>
    <w:rsid w:val="00183443"/>
    <w:rsid w:val="001863CA"/>
    <w:rsid w:val="00186BD9"/>
    <w:rsid w:val="00190046"/>
    <w:rsid w:val="001905A2"/>
    <w:rsid w:val="00191AC7"/>
    <w:rsid w:val="00191C3B"/>
    <w:rsid w:val="00193C04"/>
    <w:rsid w:val="00194B0C"/>
    <w:rsid w:val="00194EF3"/>
    <w:rsid w:val="00194FF4"/>
    <w:rsid w:val="00195148"/>
    <w:rsid w:val="00195861"/>
    <w:rsid w:val="001970DD"/>
    <w:rsid w:val="001A0669"/>
    <w:rsid w:val="001A1547"/>
    <w:rsid w:val="001A71BC"/>
    <w:rsid w:val="001B14D0"/>
    <w:rsid w:val="001B166F"/>
    <w:rsid w:val="001B1D7A"/>
    <w:rsid w:val="001B27B8"/>
    <w:rsid w:val="001B35D3"/>
    <w:rsid w:val="001B5F12"/>
    <w:rsid w:val="001B6268"/>
    <w:rsid w:val="001B6784"/>
    <w:rsid w:val="001C024C"/>
    <w:rsid w:val="001C0733"/>
    <w:rsid w:val="001C0F72"/>
    <w:rsid w:val="001C1012"/>
    <w:rsid w:val="001C1044"/>
    <w:rsid w:val="001C210E"/>
    <w:rsid w:val="001C2DDC"/>
    <w:rsid w:val="001C415B"/>
    <w:rsid w:val="001C50E7"/>
    <w:rsid w:val="001C53BF"/>
    <w:rsid w:val="001C5578"/>
    <w:rsid w:val="001C655C"/>
    <w:rsid w:val="001C6AFC"/>
    <w:rsid w:val="001D1132"/>
    <w:rsid w:val="001D2E81"/>
    <w:rsid w:val="001D356F"/>
    <w:rsid w:val="001D4858"/>
    <w:rsid w:val="001D5C77"/>
    <w:rsid w:val="001D67F9"/>
    <w:rsid w:val="001D6B27"/>
    <w:rsid w:val="001D740F"/>
    <w:rsid w:val="001D75E4"/>
    <w:rsid w:val="001D78D1"/>
    <w:rsid w:val="001D7F25"/>
    <w:rsid w:val="001E160F"/>
    <w:rsid w:val="001E1901"/>
    <w:rsid w:val="001E2493"/>
    <w:rsid w:val="001E330C"/>
    <w:rsid w:val="001E37C5"/>
    <w:rsid w:val="001E4872"/>
    <w:rsid w:val="001E5696"/>
    <w:rsid w:val="001E5F2D"/>
    <w:rsid w:val="001E6E76"/>
    <w:rsid w:val="001E72D1"/>
    <w:rsid w:val="001F16DC"/>
    <w:rsid w:val="001F1E53"/>
    <w:rsid w:val="00200CAB"/>
    <w:rsid w:val="0020126B"/>
    <w:rsid w:val="00201D50"/>
    <w:rsid w:val="002046C7"/>
    <w:rsid w:val="00205728"/>
    <w:rsid w:val="0021108B"/>
    <w:rsid w:val="00214223"/>
    <w:rsid w:val="0021799E"/>
    <w:rsid w:val="00220B7F"/>
    <w:rsid w:val="00224054"/>
    <w:rsid w:val="002242CC"/>
    <w:rsid w:val="00225E3D"/>
    <w:rsid w:val="00226642"/>
    <w:rsid w:val="00227988"/>
    <w:rsid w:val="00230353"/>
    <w:rsid w:val="00230E06"/>
    <w:rsid w:val="00230E9A"/>
    <w:rsid w:val="00232D0B"/>
    <w:rsid w:val="00233D92"/>
    <w:rsid w:val="0023535F"/>
    <w:rsid w:val="00235A3B"/>
    <w:rsid w:val="00235C04"/>
    <w:rsid w:val="00235DF1"/>
    <w:rsid w:val="002376D6"/>
    <w:rsid w:val="002405EC"/>
    <w:rsid w:val="00241915"/>
    <w:rsid w:val="0024205E"/>
    <w:rsid w:val="00243401"/>
    <w:rsid w:val="00244B48"/>
    <w:rsid w:val="002501FB"/>
    <w:rsid w:val="002505E6"/>
    <w:rsid w:val="0025072B"/>
    <w:rsid w:val="00250928"/>
    <w:rsid w:val="00251645"/>
    <w:rsid w:val="00251849"/>
    <w:rsid w:val="0025375A"/>
    <w:rsid w:val="00253B06"/>
    <w:rsid w:val="00253E01"/>
    <w:rsid w:val="00257A39"/>
    <w:rsid w:val="002614A0"/>
    <w:rsid w:val="002668CA"/>
    <w:rsid w:val="002736AB"/>
    <w:rsid w:val="002746CD"/>
    <w:rsid w:val="002767C5"/>
    <w:rsid w:val="00281B08"/>
    <w:rsid w:val="0028222E"/>
    <w:rsid w:val="0028278C"/>
    <w:rsid w:val="00284664"/>
    <w:rsid w:val="0028727C"/>
    <w:rsid w:val="00287768"/>
    <w:rsid w:val="002910D7"/>
    <w:rsid w:val="00291DC9"/>
    <w:rsid w:val="002929F2"/>
    <w:rsid w:val="00292C30"/>
    <w:rsid w:val="002934D9"/>
    <w:rsid w:val="00293994"/>
    <w:rsid w:val="00294948"/>
    <w:rsid w:val="00294C1D"/>
    <w:rsid w:val="00295D97"/>
    <w:rsid w:val="00297BA6"/>
    <w:rsid w:val="002A1E04"/>
    <w:rsid w:val="002A55B2"/>
    <w:rsid w:val="002A7205"/>
    <w:rsid w:val="002A7BA4"/>
    <w:rsid w:val="002B08E9"/>
    <w:rsid w:val="002C01D2"/>
    <w:rsid w:val="002C3FA7"/>
    <w:rsid w:val="002C62DC"/>
    <w:rsid w:val="002C6C02"/>
    <w:rsid w:val="002C6DC4"/>
    <w:rsid w:val="002D037D"/>
    <w:rsid w:val="002D1965"/>
    <w:rsid w:val="002D1D6E"/>
    <w:rsid w:val="002D26BE"/>
    <w:rsid w:val="002D62AB"/>
    <w:rsid w:val="002D6E11"/>
    <w:rsid w:val="002D7322"/>
    <w:rsid w:val="002E164D"/>
    <w:rsid w:val="002E17E0"/>
    <w:rsid w:val="002E1C63"/>
    <w:rsid w:val="002E4047"/>
    <w:rsid w:val="002E4066"/>
    <w:rsid w:val="002E4288"/>
    <w:rsid w:val="002E7310"/>
    <w:rsid w:val="002F099C"/>
    <w:rsid w:val="002F0F2C"/>
    <w:rsid w:val="002F1CEB"/>
    <w:rsid w:val="002F614E"/>
    <w:rsid w:val="002F6B29"/>
    <w:rsid w:val="002F798B"/>
    <w:rsid w:val="0030042D"/>
    <w:rsid w:val="003022F4"/>
    <w:rsid w:val="003024C0"/>
    <w:rsid w:val="00303B95"/>
    <w:rsid w:val="00306A95"/>
    <w:rsid w:val="00310D6E"/>
    <w:rsid w:val="00311EA3"/>
    <w:rsid w:val="00312445"/>
    <w:rsid w:val="00312E7D"/>
    <w:rsid w:val="00314FAC"/>
    <w:rsid w:val="00320525"/>
    <w:rsid w:val="003213E8"/>
    <w:rsid w:val="003216BA"/>
    <w:rsid w:val="00321E61"/>
    <w:rsid w:val="00327348"/>
    <w:rsid w:val="00332FE3"/>
    <w:rsid w:val="003333DC"/>
    <w:rsid w:val="00336E34"/>
    <w:rsid w:val="00337839"/>
    <w:rsid w:val="00340829"/>
    <w:rsid w:val="0034096B"/>
    <w:rsid w:val="00340F0A"/>
    <w:rsid w:val="00341ECF"/>
    <w:rsid w:val="003438D2"/>
    <w:rsid w:val="00346491"/>
    <w:rsid w:val="0034717D"/>
    <w:rsid w:val="003473D1"/>
    <w:rsid w:val="0035279E"/>
    <w:rsid w:val="00352E5B"/>
    <w:rsid w:val="003548C1"/>
    <w:rsid w:val="00354F96"/>
    <w:rsid w:val="00355468"/>
    <w:rsid w:val="003608E3"/>
    <w:rsid w:val="0036351C"/>
    <w:rsid w:val="00363C24"/>
    <w:rsid w:val="00364079"/>
    <w:rsid w:val="00364543"/>
    <w:rsid w:val="003666EA"/>
    <w:rsid w:val="003667A5"/>
    <w:rsid w:val="0036794C"/>
    <w:rsid w:val="00367B11"/>
    <w:rsid w:val="00370DFB"/>
    <w:rsid w:val="0037452F"/>
    <w:rsid w:val="0037536F"/>
    <w:rsid w:val="00375BC4"/>
    <w:rsid w:val="003772E3"/>
    <w:rsid w:val="00377D53"/>
    <w:rsid w:val="00380639"/>
    <w:rsid w:val="003807C4"/>
    <w:rsid w:val="0038603C"/>
    <w:rsid w:val="0038721E"/>
    <w:rsid w:val="00390C33"/>
    <w:rsid w:val="00391F3E"/>
    <w:rsid w:val="00393420"/>
    <w:rsid w:val="00395255"/>
    <w:rsid w:val="00395BC2"/>
    <w:rsid w:val="00395F23"/>
    <w:rsid w:val="003A0D59"/>
    <w:rsid w:val="003A24F3"/>
    <w:rsid w:val="003A2FF7"/>
    <w:rsid w:val="003A4399"/>
    <w:rsid w:val="003B0982"/>
    <w:rsid w:val="003B137A"/>
    <w:rsid w:val="003B2092"/>
    <w:rsid w:val="003B2614"/>
    <w:rsid w:val="003B3A41"/>
    <w:rsid w:val="003B4CFB"/>
    <w:rsid w:val="003C15B2"/>
    <w:rsid w:val="003C3999"/>
    <w:rsid w:val="003C3CA4"/>
    <w:rsid w:val="003D0562"/>
    <w:rsid w:val="003D35C7"/>
    <w:rsid w:val="003D3BEB"/>
    <w:rsid w:val="003D7134"/>
    <w:rsid w:val="003D73A2"/>
    <w:rsid w:val="003D7715"/>
    <w:rsid w:val="003E15BC"/>
    <w:rsid w:val="003E2E02"/>
    <w:rsid w:val="003E46F6"/>
    <w:rsid w:val="003F00A9"/>
    <w:rsid w:val="003F2FC3"/>
    <w:rsid w:val="003F46AE"/>
    <w:rsid w:val="003F4E87"/>
    <w:rsid w:val="003F5A55"/>
    <w:rsid w:val="003F5DDE"/>
    <w:rsid w:val="003F635C"/>
    <w:rsid w:val="003F6801"/>
    <w:rsid w:val="00400F59"/>
    <w:rsid w:val="004048F0"/>
    <w:rsid w:val="00405289"/>
    <w:rsid w:val="00405ACD"/>
    <w:rsid w:val="004068E3"/>
    <w:rsid w:val="00406B84"/>
    <w:rsid w:val="00407E34"/>
    <w:rsid w:val="0041118C"/>
    <w:rsid w:val="004164FB"/>
    <w:rsid w:val="004177D8"/>
    <w:rsid w:val="00417B7E"/>
    <w:rsid w:val="00417E9A"/>
    <w:rsid w:val="00417F27"/>
    <w:rsid w:val="004207CB"/>
    <w:rsid w:val="0042364F"/>
    <w:rsid w:val="0042782C"/>
    <w:rsid w:val="0043022E"/>
    <w:rsid w:val="00431E97"/>
    <w:rsid w:val="00433244"/>
    <w:rsid w:val="00433959"/>
    <w:rsid w:val="00434230"/>
    <w:rsid w:val="00434AF0"/>
    <w:rsid w:val="00434E04"/>
    <w:rsid w:val="004365D9"/>
    <w:rsid w:val="00436C19"/>
    <w:rsid w:val="00436DC0"/>
    <w:rsid w:val="0044071F"/>
    <w:rsid w:val="00443474"/>
    <w:rsid w:val="00443675"/>
    <w:rsid w:val="0044436D"/>
    <w:rsid w:val="0044626B"/>
    <w:rsid w:val="00446B47"/>
    <w:rsid w:val="00447AD0"/>
    <w:rsid w:val="00452C61"/>
    <w:rsid w:val="004542E7"/>
    <w:rsid w:val="004554B6"/>
    <w:rsid w:val="0045616A"/>
    <w:rsid w:val="00456B9B"/>
    <w:rsid w:val="004609DF"/>
    <w:rsid w:val="004627B7"/>
    <w:rsid w:val="00463450"/>
    <w:rsid w:val="00463791"/>
    <w:rsid w:val="00464A7A"/>
    <w:rsid w:val="00465488"/>
    <w:rsid w:val="004669F0"/>
    <w:rsid w:val="00467C52"/>
    <w:rsid w:val="0047043E"/>
    <w:rsid w:val="00470440"/>
    <w:rsid w:val="00471E5C"/>
    <w:rsid w:val="0047274C"/>
    <w:rsid w:val="00472EC3"/>
    <w:rsid w:val="004775A9"/>
    <w:rsid w:val="00481820"/>
    <w:rsid w:val="004823F8"/>
    <w:rsid w:val="0048335A"/>
    <w:rsid w:val="0048425D"/>
    <w:rsid w:val="004860F9"/>
    <w:rsid w:val="004875AB"/>
    <w:rsid w:val="00490B7D"/>
    <w:rsid w:val="00490C1B"/>
    <w:rsid w:val="004921E4"/>
    <w:rsid w:val="00493D03"/>
    <w:rsid w:val="004942B8"/>
    <w:rsid w:val="00494613"/>
    <w:rsid w:val="00494A85"/>
    <w:rsid w:val="00495068"/>
    <w:rsid w:val="004960D6"/>
    <w:rsid w:val="00497258"/>
    <w:rsid w:val="004979C6"/>
    <w:rsid w:val="004A0C58"/>
    <w:rsid w:val="004A1407"/>
    <w:rsid w:val="004A4110"/>
    <w:rsid w:val="004A443D"/>
    <w:rsid w:val="004A6804"/>
    <w:rsid w:val="004A7ED2"/>
    <w:rsid w:val="004B109F"/>
    <w:rsid w:val="004B148B"/>
    <w:rsid w:val="004B4946"/>
    <w:rsid w:val="004B4B1F"/>
    <w:rsid w:val="004B5548"/>
    <w:rsid w:val="004B6B62"/>
    <w:rsid w:val="004C06D9"/>
    <w:rsid w:val="004C30FC"/>
    <w:rsid w:val="004D007D"/>
    <w:rsid w:val="004E0D4E"/>
    <w:rsid w:val="004E325D"/>
    <w:rsid w:val="004E3262"/>
    <w:rsid w:val="004E3E9D"/>
    <w:rsid w:val="004E484D"/>
    <w:rsid w:val="004E5589"/>
    <w:rsid w:val="004E5B99"/>
    <w:rsid w:val="004F0335"/>
    <w:rsid w:val="004F0CC0"/>
    <w:rsid w:val="004F0D0E"/>
    <w:rsid w:val="004F3AEE"/>
    <w:rsid w:val="004F5ADB"/>
    <w:rsid w:val="004F6793"/>
    <w:rsid w:val="00501FB8"/>
    <w:rsid w:val="00502286"/>
    <w:rsid w:val="00502D83"/>
    <w:rsid w:val="00504F7A"/>
    <w:rsid w:val="005132FA"/>
    <w:rsid w:val="00514400"/>
    <w:rsid w:val="00514F09"/>
    <w:rsid w:val="00516094"/>
    <w:rsid w:val="005160C3"/>
    <w:rsid w:val="005161A2"/>
    <w:rsid w:val="00524890"/>
    <w:rsid w:val="005251EB"/>
    <w:rsid w:val="005259CB"/>
    <w:rsid w:val="0052655F"/>
    <w:rsid w:val="00527E54"/>
    <w:rsid w:val="0053113B"/>
    <w:rsid w:val="00531152"/>
    <w:rsid w:val="005313CF"/>
    <w:rsid w:val="00535642"/>
    <w:rsid w:val="0053599B"/>
    <w:rsid w:val="00537F43"/>
    <w:rsid w:val="0054026F"/>
    <w:rsid w:val="0054158E"/>
    <w:rsid w:val="00544240"/>
    <w:rsid w:val="0054503A"/>
    <w:rsid w:val="00545F5E"/>
    <w:rsid w:val="00547C8C"/>
    <w:rsid w:val="0055019B"/>
    <w:rsid w:val="0055357F"/>
    <w:rsid w:val="00553F55"/>
    <w:rsid w:val="005550B9"/>
    <w:rsid w:val="00555836"/>
    <w:rsid w:val="005561A9"/>
    <w:rsid w:val="00557926"/>
    <w:rsid w:val="00560E8D"/>
    <w:rsid w:val="00561BC8"/>
    <w:rsid w:val="00562B32"/>
    <w:rsid w:val="0056391F"/>
    <w:rsid w:val="00565013"/>
    <w:rsid w:val="005657EB"/>
    <w:rsid w:val="00565F6B"/>
    <w:rsid w:val="00566227"/>
    <w:rsid w:val="00566ECE"/>
    <w:rsid w:val="00567DE7"/>
    <w:rsid w:val="00567FCC"/>
    <w:rsid w:val="00570C04"/>
    <w:rsid w:val="00571B77"/>
    <w:rsid w:val="0057380A"/>
    <w:rsid w:val="00575BB6"/>
    <w:rsid w:val="00576183"/>
    <w:rsid w:val="00576B9F"/>
    <w:rsid w:val="0057764A"/>
    <w:rsid w:val="00577DD9"/>
    <w:rsid w:val="00580707"/>
    <w:rsid w:val="005809CE"/>
    <w:rsid w:val="00581C33"/>
    <w:rsid w:val="00581F44"/>
    <w:rsid w:val="00583ABB"/>
    <w:rsid w:val="00583CEB"/>
    <w:rsid w:val="00583F60"/>
    <w:rsid w:val="005852D9"/>
    <w:rsid w:val="0058774B"/>
    <w:rsid w:val="00587BB7"/>
    <w:rsid w:val="00591344"/>
    <w:rsid w:val="005915D7"/>
    <w:rsid w:val="00591CF6"/>
    <w:rsid w:val="005946D3"/>
    <w:rsid w:val="0059741F"/>
    <w:rsid w:val="00597D36"/>
    <w:rsid w:val="005A1D79"/>
    <w:rsid w:val="005A2B16"/>
    <w:rsid w:val="005A3D85"/>
    <w:rsid w:val="005A478E"/>
    <w:rsid w:val="005A55A4"/>
    <w:rsid w:val="005A767E"/>
    <w:rsid w:val="005A78AC"/>
    <w:rsid w:val="005B1B82"/>
    <w:rsid w:val="005B3661"/>
    <w:rsid w:val="005B4C05"/>
    <w:rsid w:val="005B5FB4"/>
    <w:rsid w:val="005B7D27"/>
    <w:rsid w:val="005C0F94"/>
    <w:rsid w:val="005C59E4"/>
    <w:rsid w:val="005C5B0D"/>
    <w:rsid w:val="005C5EF2"/>
    <w:rsid w:val="005C7CF4"/>
    <w:rsid w:val="005D1E54"/>
    <w:rsid w:val="005D5775"/>
    <w:rsid w:val="005D6BC9"/>
    <w:rsid w:val="005D709E"/>
    <w:rsid w:val="005D7A43"/>
    <w:rsid w:val="005E0356"/>
    <w:rsid w:val="005E0F64"/>
    <w:rsid w:val="005E1685"/>
    <w:rsid w:val="005E2514"/>
    <w:rsid w:val="005E35DB"/>
    <w:rsid w:val="005E380D"/>
    <w:rsid w:val="005E3DC8"/>
    <w:rsid w:val="005E63F2"/>
    <w:rsid w:val="005E72CA"/>
    <w:rsid w:val="005E7343"/>
    <w:rsid w:val="005F0217"/>
    <w:rsid w:val="005F10D3"/>
    <w:rsid w:val="005F1A9A"/>
    <w:rsid w:val="005F1AD6"/>
    <w:rsid w:val="005F5AA1"/>
    <w:rsid w:val="005F659F"/>
    <w:rsid w:val="005F6639"/>
    <w:rsid w:val="005F6A16"/>
    <w:rsid w:val="005F78C4"/>
    <w:rsid w:val="0060075A"/>
    <w:rsid w:val="00602AC6"/>
    <w:rsid w:val="006031D2"/>
    <w:rsid w:val="006039E9"/>
    <w:rsid w:val="00604818"/>
    <w:rsid w:val="00606266"/>
    <w:rsid w:val="00607884"/>
    <w:rsid w:val="0061104A"/>
    <w:rsid w:val="006111FC"/>
    <w:rsid w:val="00613FE4"/>
    <w:rsid w:val="006178A8"/>
    <w:rsid w:val="00621FA9"/>
    <w:rsid w:val="00624A2A"/>
    <w:rsid w:val="00624CD9"/>
    <w:rsid w:val="00626B56"/>
    <w:rsid w:val="00631566"/>
    <w:rsid w:val="00632001"/>
    <w:rsid w:val="00632510"/>
    <w:rsid w:val="0063254D"/>
    <w:rsid w:val="006357C0"/>
    <w:rsid w:val="006378D9"/>
    <w:rsid w:val="00640FCC"/>
    <w:rsid w:val="00643CD5"/>
    <w:rsid w:val="006460DA"/>
    <w:rsid w:val="00646BD5"/>
    <w:rsid w:val="00650591"/>
    <w:rsid w:val="00650DBE"/>
    <w:rsid w:val="00654F9C"/>
    <w:rsid w:val="006562BE"/>
    <w:rsid w:val="00660950"/>
    <w:rsid w:val="00660E05"/>
    <w:rsid w:val="00660FC8"/>
    <w:rsid w:val="006616CE"/>
    <w:rsid w:val="00664EBC"/>
    <w:rsid w:val="00665D1A"/>
    <w:rsid w:val="00670036"/>
    <w:rsid w:val="0067479B"/>
    <w:rsid w:val="00676150"/>
    <w:rsid w:val="00676AFA"/>
    <w:rsid w:val="00677162"/>
    <w:rsid w:val="006828DF"/>
    <w:rsid w:val="00683499"/>
    <w:rsid w:val="00683964"/>
    <w:rsid w:val="00684E97"/>
    <w:rsid w:val="00685CB3"/>
    <w:rsid w:val="00686215"/>
    <w:rsid w:val="006862BD"/>
    <w:rsid w:val="006873C0"/>
    <w:rsid w:val="00687D8C"/>
    <w:rsid w:val="006909A7"/>
    <w:rsid w:val="00694238"/>
    <w:rsid w:val="006959B4"/>
    <w:rsid w:val="006962D8"/>
    <w:rsid w:val="00696346"/>
    <w:rsid w:val="006964C7"/>
    <w:rsid w:val="006967DC"/>
    <w:rsid w:val="006971CA"/>
    <w:rsid w:val="006A033F"/>
    <w:rsid w:val="006A2BE6"/>
    <w:rsid w:val="006A3210"/>
    <w:rsid w:val="006A64E5"/>
    <w:rsid w:val="006A71FF"/>
    <w:rsid w:val="006B193E"/>
    <w:rsid w:val="006B1B33"/>
    <w:rsid w:val="006B2B09"/>
    <w:rsid w:val="006B3FA5"/>
    <w:rsid w:val="006B4D93"/>
    <w:rsid w:val="006B6689"/>
    <w:rsid w:val="006B6F96"/>
    <w:rsid w:val="006B7C89"/>
    <w:rsid w:val="006C007F"/>
    <w:rsid w:val="006C0668"/>
    <w:rsid w:val="006C26D2"/>
    <w:rsid w:val="006C39C7"/>
    <w:rsid w:val="006C51ED"/>
    <w:rsid w:val="006C5BE0"/>
    <w:rsid w:val="006C634A"/>
    <w:rsid w:val="006D20A9"/>
    <w:rsid w:val="006D2C35"/>
    <w:rsid w:val="006D3B22"/>
    <w:rsid w:val="006D4926"/>
    <w:rsid w:val="006D6074"/>
    <w:rsid w:val="006D65DA"/>
    <w:rsid w:val="006E2963"/>
    <w:rsid w:val="006E36BE"/>
    <w:rsid w:val="006E3744"/>
    <w:rsid w:val="006E4049"/>
    <w:rsid w:val="006E67D8"/>
    <w:rsid w:val="006E78FF"/>
    <w:rsid w:val="006F048B"/>
    <w:rsid w:val="006F3DA5"/>
    <w:rsid w:val="006F56E9"/>
    <w:rsid w:val="006F59F3"/>
    <w:rsid w:val="006F7472"/>
    <w:rsid w:val="006F77EC"/>
    <w:rsid w:val="00701FF4"/>
    <w:rsid w:val="007024CF"/>
    <w:rsid w:val="0070313D"/>
    <w:rsid w:val="007055E5"/>
    <w:rsid w:val="0070612A"/>
    <w:rsid w:val="007100CA"/>
    <w:rsid w:val="007106B1"/>
    <w:rsid w:val="0071079F"/>
    <w:rsid w:val="007153D4"/>
    <w:rsid w:val="00715CE5"/>
    <w:rsid w:val="00716318"/>
    <w:rsid w:val="00716354"/>
    <w:rsid w:val="007210E9"/>
    <w:rsid w:val="00721D44"/>
    <w:rsid w:val="00721E11"/>
    <w:rsid w:val="007221B4"/>
    <w:rsid w:val="007241F5"/>
    <w:rsid w:val="0072485D"/>
    <w:rsid w:val="00730789"/>
    <w:rsid w:val="00731038"/>
    <w:rsid w:val="00733398"/>
    <w:rsid w:val="00735556"/>
    <w:rsid w:val="00735A63"/>
    <w:rsid w:val="0073750A"/>
    <w:rsid w:val="007378B2"/>
    <w:rsid w:val="00737A9B"/>
    <w:rsid w:val="00740067"/>
    <w:rsid w:val="0074216C"/>
    <w:rsid w:val="00743E45"/>
    <w:rsid w:val="00746BC3"/>
    <w:rsid w:val="00750F21"/>
    <w:rsid w:val="00751071"/>
    <w:rsid w:val="00751D1B"/>
    <w:rsid w:val="00751E49"/>
    <w:rsid w:val="00752051"/>
    <w:rsid w:val="007520E6"/>
    <w:rsid w:val="00753F4C"/>
    <w:rsid w:val="0075486A"/>
    <w:rsid w:val="00754E9C"/>
    <w:rsid w:val="0075502B"/>
    <w:rsid w:val="00756A51"/>
    <w:rsid w:val="00756CE0"/>
    <w:rsid w:val="007571A1"/>
    <w:rsid w:val="007574F4"/>
    <w:rsid w:val="007577F0"/>
    <w:rsid w:val="00760145"/>
    <w:rsid w:val="0076025E"/>
    <w:rsid w:val="00762C04"/>
    <w:rsid w:val="00762E81"/>
    <w:rsid w:val="007658D6"/>
    <w:rsid w:val="00766297"/>
    <w:rsid w:val="00771D76"/>
    <w:rsid w:val="00772EF4"/>
    <w:rsid w:val="00773BC0"/>
    <w:rsid w:val="00776068"/>
    <w:rsid w:val="00776124"/>
    <w:rsid w:val="00776B4A"/>
    <w:rsid w:val="00777645"/>
    <w:rsid w:val="0078195B"/>
    <w:rsid w:val="007825F1"/>
    <w:rsid w:val="007825FE"/>
    <w:rsid w:val="007837BC"/>
    <w:rsid w:val="00785460"/>
    <w:rsid w:val="00786E4D"/>
    <w:rsid w:val="00792E86"/>
    <w:rsid w:val="00794463"/>
    <w:rsid w:val="00794AC9"/>
    <w:rsid w:val="00794CFA"/>
    <w:rsid w:val="00794D4E"/>
    <w:rsid w:val="007956E5"/>
    <w:rsid w:val="00796B7D"/>
    <w:rsid w:val="00796E7C"/>
    <w:rsid w:val="007970BC"/>
    <w:rsid w:val="007A0723"/>
    <w:rsid w:val="007A08CF"/>
    <w:rsid w:val="007A2593"/>
    <w:rsid w:val="007A372D"/>
    <w:rsid w:val="007A6A45"/>
    <w:rsid w:val="007A7FF3"/>
    <w:rsid w:val="007B0398"/>
    <w:rsid w:val="007B1614"/>
    <w:rsid w:val="007B3F7B"/>
    <w:rsid w:val="007B4FFC"/>
    <w:rsid w:val="007B6857"/>
    <w:rsid w:val="007B7853"/>
    <w:rsid w:val="007C06FD"/>
    <w:rsid w:val="007C1294"/>
    <w:rsid w:val="007C159D"/>
    <w:rsid w:val="007C30B4"/>
    <w:rsid w:val="007C568C"/>
    <w:rsid w:val="007C5D3A"/>
    <w:rsid w:val="007C62B1"/>
    <w:rsid w:val="007D17A4"/>
    <w:rsid w:val="007D1F5E"/>
    <w:rsid w:val="007D645C"/>
    <w:rsid w:val="007E0927"/>
    <w:rsid w:val="007E0CB6"/>
    <w:rsid w:val="007E18DE"/>
    <w:rsid w:val="007E19BA"/>
    <w:rsid w:val="007E21F6"/>
    <w:rsid w:val="007E2AF2"/>
    <w:rsid w:val="007E341C"/>
    <w:rsid w:val="007E5530"/>
    <w:rsid w:val="007E5A5D"/>
    <w:rsid w:val="007E5C23"/>
    <w:rsid w:val="007F33C9"/>
    <w:rsid w:val="007F3412"/>
    <w:rsid w:val="007F3F6E"/>
    <w:rsid w:val="007F65B1"/>
    <w:rsid w:val="0080373C"/>
    <w:rsid w:val="00805025"/>
    <w:rsid w:val="008061D5"/>
    <w:rsid w:val="00807AD7"/>
    <w:rsid w:val="00807B35"/>
    <w:rsid w:val="00811453"/>
    <w:rsid w:val="00811BD4"/>
    <w:rsid w:val="008121C6"/>
    <w:rsid w:val="00812332"/>
    <w:rsid w:val="008134F6"/>
    <w:rsid w:val="00820BD4"/>
    <w:rsid w:val="008215BB"/>
    <w:rsid w:val="00822622"/>
    <w:rsid w:val="0082277D"/>
    <w:rsid w:val="008233A1"/>
    <w:rsid w:val="00823904"/>
    <w:rsid w:val="00824D4B"/>
    <w:rsid w:val="00830835"/>
    <w:rsid w:val="00830DA2"/>
    <w:rsid w:val="008313CF"/>
    <w:rsid w:val="00834504"/>
    <w:rsid w:val="00835293"/>
    <w:rsid w:val="0083585F"/>
    <w:rsid w:val="00837C26"/>
    <w:rsid w:val="00837C67"/>
    <w:rsid w:val="00843493"/>
    <w:rsid w:val="00844D5A"/>
    <w:rsid w:val="0084593A"/>
    <w:rsid w:val="00846B35"/>
    <w:rsid w:val="0085298A"/>
    <w:rsid w:val="008564A9"/>
    <w:rsid w:val="008605E4"/>
    <w:rsid w:val="00860C7B"/>
    <w:rsid w:val="008615E4"/>
    <w:rsid w:val="00861EF9"/>
    <w:rsid w:val="008620B1"/>
    <w:rsid w:val="008623B7"/>
    <w:rsid w:val="008645CE"/>
    <w:rsid w:val="00864DFF"/>
    <w:rsid w:val="00865CFF"/>
    <w:rsid w:val="00870645"/>
    <w:rsid w:val="00874D51"/>
    <w:rsid w:val="008777BA"/>
    <w:rsid w:val="00877D23"/>
    <w:rsid w:val="00880511"/>
    <w:rsid w:val="00880810"/>
    <w:rsid w:val="008824EB"/>
    <w:rsid w:val="00882A12"/>
    <w:rsid w:val="00882BD2"/>
    <w:rsid w:val="00883719"/>
    <w:rsid w:val="008856A6"/>
    <w:rsid w:val="008857B9"/>
    <w:rsid w:val="00886827"/>
    <w:rsid w:val="00890A57"/>
    <w:rsid w:val="00890E26"/>
    <w:rsid w:val="00891431"/>
    <w:rsid w:val="00893CF9"/>
    <w:rsid w:val="00894814"/>
    <w:rsid w:val="00894B8A"/>
    <w:rsid w:val="00895941"/>
    <w:rsid w:val="008A0410"/>
    <w:rsid w:val="008A2DC2"/>
    <w:rsid w:val="008A4986"/>
    <w:rsid w:val="008A4A59"/>
    <w:rsid w:val="008B0116"/>
    <w:rsid w:val="008B1F30"/>
    <w:rsid w:val="008B436A"/>
    <w:rsid w:val="008B4F5A"/>
    <w:rsid w:val="008B4FE4"/>
    <w:rsid w:val="008B5096"/>
    <w:rsid w:val="008B514C"/>
    <w:rsid w:val="008B5485"/>
    <w:rsid w:val="008B73A8"/>
    <w:rsid w:val="008C28E5"/>
    <w:rsid w:val="008C6BBE"/>
    <w:rsid w:val="008C7C5A"/>
    <w:rsid w:val="008D0636"/>
    <w:rsid w:val="008D16AD"/>
    <w:rsid w:val="008D326F"/>
    <w:rsid w:val="008D56FF"/>
    <w:rsid w:val="008E045F"/>
    <w:rsid w:val="008E0FFA"/>
    <w:rsid w:val="008E1783"/>
    <w:rsid w:val="008E2189"/>
    <w:rsid w:val="008E33DA"/>
    <w:rsid w:val="008E350E"/>
    <w:rsid w:val="008E5778"/>
    <w:rsid w:val="008E5AB0"/>
    <w:rsid w:val="008E5F6C"/>
    <w:rsid w:val="008E6CCB"/>
    <w:rsid w:val="008E731F"/>
    <w:rsid w:val="008E76F7"/>
    <w:rsid w:val="008E7CB7"/>
    <w:rsid w:val="008F01DF"/>
    <w:rsid w:val="008F0244"/>
    <w:rsid w:val="008F0EDF"/>
    <w:rsid w:val="008F140C"/>
    <w:rsid w:val="008F1E80"/>
    <w:rsid w:val="008F2D08"/>
    <w:rsid w:val="008F34D9"/>
    <w:rsid w:val="008F3A01"/>
    <w:rsid w:val="008F4702"/>
    <w:rsid w:val="008F53B4"/>
    <w:rsid w:val="008F546D"/>
    <w:rsid w:val="008F612F"/>
    <w:rsid w:val="009003AB"/>
    <w:rsid w:val="009026CB"/>
    <w:rsid w:val="00902E5B"/>
    <w:rsid w:val="00902F75"/>
    <w:rsid w:val="009043CA"/>
    <w:rsid w:val="009137C7"/>
    <w:rsid w:val="00914748"/>
    <w:rsid w:val="009178FF"/>
    <w:rsid w:val="0092202A"/>
    <w:rsid w:val="0092260F"/>
    <w:rsid w:val="00922F08"/>
    <w:rsid w:val="00923007"/>
    <w:rsid w:val="009236AD"/>
    <w:rsid w:val="00923BC7"/>
    <w:rsid w:val="0092404F"/>
    <w:rsid w:val="00925BCF"/>
    <w:rsid w:val="009261F5"/>
    <w:rsid w:val="009303FA"/>
    <w:rsid w:val="00930C0D"/>
    <w:rsid w:val="00931913"/>
    <w:rsid w:val="00931A05"/>
    <w:rsid w:val="00933AAB"/>
    <w:rsid w:val="00934F1B"/>
    <w:rsid w:val="0093644E"/>
    <w:rsid w:val="0093645E"/>
    <w:rsid w:val="00940749"/>
    <w:rsid w:val="0094223C"/>
    <w:rsid w:val="00944031"/>
    <w:rsid w:val="009445F6"/>
    <w:rsid w:val="00944868"/>
    <w:rsid w:val="00946741"/>
    <w:rsid w:val="009468B2"/>
    <w:rsid w:val="00946AE2"/>
    <w:rsid w:val="009521CB"/>
    <w:rsid w:val="00952536"/>
    <w:rsid w:val="00953520"/>
    <w:rsid w:val="00955C37"/>
    <w:rsid w:val="00956A9A"/>
    <w:rsid w:val="00956E59"/>
    <w:rsid w:val="0096010A"/>
    <w:rsid w:val="00960ADA"/>
    <w:rsid w:val="00960C74"/>
    <w:rsid w:val="00962E37"/>
    <w:rsid w:val="0096334D"/>
    <w:rsid w:val="009655EA"/>
    <w:rsid w:val="00971FC0"/>
    <w:rsid w:val="009725CA"/>
    <w:rsid w:val="0097364A"/>
    <w:rsid w:val="00973956"/>
    <w:rsid w:val="00974E27"/>
    <w:rsid w:val="009759D9"/>
    <w:rsid w:val="0097602C"/>
    <w:rsid w:val="00976A5A"/>
    <w:rsid w:val="0097734A"/>
    <w:rsid w:val="00977EDE"/>
    <w:rsid w:val="00980834"/>
    <w:rsid w:val="009815DA"/>
    <w:rsid w:val="00982B44"/>
    <w:rsid w:val="00986571"/>
    <w:rsid w:val="00987630"/>
    <w:rsid w:val="00990207"/>
    <w:rsid w:val="00990342"/>
    <w:rsid w:val="009916B6"/>
    <w:rsid w:val="00994157"/>
    <w:rsid w:val="00994D2B"/>
    <w:rsid w:val="00997FF0"/>
    <w:rsid w:val="009A0A64"/>
    <w:rsid w:val="009A1DAB"/>
    <w:rsid w:val="009A42F2"/>
    <w:rsid w:val="009A47DE"/>
    <w:rsid w:val="009A488D"/>
    <w:rsid w:val="009A5DBA"/>
    <w:rsid w:val="009A64EB"/>
    <w:rsid w:val="009A6C10"/>
    <w:rsid w:val="009B0DFB"/>
    <w:rsid w:val="009B39A9"/>
    <w:rsid w:val="009B3A3C"/>
    <w:rsid w:val="009B65FC"/>
    <w:rsid w:val="009B6977"/>
    <w:rsid w:val="009C0043"/>
    <w:rsid w:val="009C0800"/>
    <w:rsid w:val="009C0EEF"/>
    <w:rsid w:val="009C32EF"/>
    <w:rsid w:val="009C4102"/>
    <w:rsid w:val="009C444E"/>
    <w:rsid w:val="009C52ED"/>
    <w:rsid w:val="009C5A68"/>
    <w:rsid w:val="009D41A1"/>
    <w:rsid w:val="009D5F66"/>
    <w:rsid w:val="009E2B4C"/>
    <w:rsid w:val="009E64C7"/>
    <w:rsid w:val="009F01A8"/>
    <w:rsid w:val="009F2D1D"/>
    <w:rsid w:val="009F4BD8"/>
    <w:rsid w:val="009F5662"/>
    <w:rsid w:val="009F5BCF"/>
    <w:rsid w:val="009F5F6C"/>
    <w:rsid w:val="009F70C9"/>
    <w:rsid w:val="009F71F3"/>
    <w:rsid w:val="009F723C"/>
    <w:rsid w:val="009F76AF"/>
    <w:rsid w:val="009F7891"/>
    <w:rsid w:val="009F7B64"/>
    <w:rsid w:val="00A01936"/>
    <w:rsid w:val="00A02EBC"/>
    <w:rsid w:val="00A038B9"/>
    <w:rsid w:val="00A041C7"/>
    <w:rsid w:val="00A04549"/>
    <w:rsid w:val="00A04835"/>
    <w:rsid w:val="00A049EC"/>
    <w:rsid w:val="00A04DB6"/>
    <w:rsid w:val="00A04FE4"/>
    <w:rsid w:val="00A05810"/>
    <w:rsid w:val="00A05D69"/>
    <w:rsid w:val="00A05F1B"/>
    <w:rsid w:val="00A06617"/>
    <w:rsid w:val="00A068D8"/>
    <w:rsid w:val="00A10392"/>
    <w:rsid w:val="00A123A0"/>
    <w:rsid w:val="00A12469"/>
    <w:rsid w:val="00A12B30"/>
    <w:rsid w:val="00A12CDE"/>
    <w:rsid w:val="00A13D34"/>
    <w:rsid w:val="00A20F71"/>
    <w:rsid w:val="00A2131E"/>
    <w:rsid w:val="00A2169B"/>
    <w:rsid w:val="00A21CBF"/>
    <w:rsid w:val="00A22378"/>
    <w:rsid w:val="00A22D52"/>
    <w:rsid w:val="00A22DBF"/>
    <w:rsid w:val="00A22ECC"/>
    <w:rsid w:val="00A31032"/>
    <w:rsid w:val="00A31ABD"/>
    <w:rsid w:val="00A32A8C"/>
    <w:rsid w:val="00A333E3"/>
    <w:rsid w:val="00A33DAB"/>
    <w:rsid w:val="00A349B3"/>
    <w:rsid w:val="00A36526"/>
    <w:rsid w:val="00A36FD1"/>
    <w:rsid w:val="00A44254"/>
    <w:rsid w:val="00A53A1A"/>
    <w:rsid w:val="00A5548E"/>
    <w:rsid w:val="00A56636"/>
    <w:rsid w:val="00A5671D"/>
    <w:rsid w:val="00A56B25"/>
    <w:rsid w:val="00A614BE"/>
    <w:rsid w:val="00A62C7D"/>
    <w:rsid w:val="00A63405"/>
    <w:rsid w:val="00A65620"/>
    <w:rsid w:val="00A67DC2"/>
    <w:rsid w:val="00A707BA"/>
    <w:rsid w:val="00A708C8"/>
    <w:rsid w:val="00A724B4"/>
    <w:rsid w:val="00A72906"/>
    <w:rsid w:val="00A7296C"/>
    <w:rsid w:val="00A75E34"/>
    <w:rsid w:val="00A76E4D"/>
    <w:rsid w:val="00A77599"/>
    <w:rsid w:val="00A7761C"/>
    <w:rsid w:val="00A803EC"/>
    <w:rsid w:val="00A80531"/>
    <w:rsid w:val="00A850D7"/>
    <w:rsid w:val="00A8623A"/>
    <w:rsid w:val="00A87083"/>
    <w:rsid w:val="00A91545"/>
    <w:rsid w:val="00A92901"/>
    <w:rsid w:val="00A933AC"/>
    <w:rsid w:val="00A946AE"/>
    <w:rsid w:val="00A956CA"/>
    <w:rsid w:val="00A95F9A"/>
    <w:rsid w:val="00A9656B"/>
    <w:rsid w:val="00A96932"/>
    <w:rsid w:val="00A96E78"/>
    <w:rsid w:val="00AA0648"/>
    <w:rsid w:val="00AA1B14"/>
    <w:rsid w:val="00AA4021"/>
    <w:rsid w:val="00AA4097"/>
    <w:rsid w:val="00AA51E9"/>
    <w:rsid w:val="00AA56EB"/>
    <w:rsid w:val="00AB142C"/>
    <w:rsid w:val="00AB1A38"/>
    <w:rsid w:val="00AB22A1"/>
    <w:rsid w:val="00AB2317"/>
    <w:rsid w:val="00AB3396"/>
    <w:rsid w:val="00AB5901"/>
    <w:rsid w:val="00AB742E"/>
    <w:rsid w:val="00AB7933"/>
    <w:rsid w:val="00AC1302"/>
    <w:rsid w:val="00AC1963"/>
    <w:rsid w:val="00AC19BA"/>
    <w:rsid w:val="00AC24AB"/>
    <w:rsid w:val="00AC5BEF"/>
    <w:rsid w:val="00AD0D9F"/>
    <w:rsid w:val="00AD4761"/>
    <w:rsid w:val="00AD4776"/>
    <w:rsid w:val="00AD66D0"/>
    <w:rsid w:val="00AE0A2F"/>
    <w:rsid w:val="00AE300E"/>
    <w:rsid w:val="00AE4950"/>
    <w:rsid w:val="00AE54ED"/>
    <w:rsid w:val="00AE63A8"/>
    <w:rsid w:val="00AF06A0"/>
    <w:rsid w:val="00AF103C"/>
    <w:rsid w:val="00AF4763"/>
    <w:rsid w:val="00AF4D13"/>
    <w:rsid w:val="00B00605"/>
    <w:rsid w:val="00B01E81"/>
    <w:rsid w:val="00B03A31"/>
    <w:rsid w:val="00B07F9E"/>
    <w:rsid w:val="00B10706"/>
    <w:rsid w:val="00B1312D"/>
    <w:rsid w:val="00B13A8E"/>
    <w:rsid w:val="00B13CCD"/>
    <w:rsid w:val="00B1474C"/>
    <w:rsid w:val="00B160B1"/>
    <w:rsid w:val="00B17FCC"/>
    <w:rsid w:val="00B20C98"/>
    <w:rsid w:val="00B22E6F"/>
    <w:rsid w:val="00B22FB3"/>
    <w:rsid w:val="00B234D4"/>
    <w:rsid w:val="00B3059D"/>
    <w:rsid w:val="00B3060B"/>
    <w:rsid w:val="00B335CF"/>
    <w:rsid w:val="00B33D1B"/>
    <w:rsid w:val="00B359F6"/>
    <w:rsid w:val="00B36B83"/>
    <w:rsid w:val="00B3766C"/>
    <w:rsid w:val="00B4042D"/>
    <w:rsid w:val="00B40E5D"/>
    <w:rsid w:val="00B43867"/>
    <w:rsid w:val="00B43881"/>
    <w:rsid w:val="00B45E03"/>
    <w:rsid w:val="00B47B1A"/>
    <w:rsid w:val="00B5129E"/>
    <w:rsid w:val="00B51764"/>
    <w:rsid w:val="00B51F87"/>
    <w:rsid w:val="00B52DE9"/>
    <w:rsid w:val="00B53096"/>
    <w:rsid w:val="00B56B5F"/>
    <w:rsid w:val="00B574D8"/>
    <w:rsid w:val="00B61281"/>
    <w:rsid w:val="00B64206"/>
    <w:rsid w:val="00B675BE"/>
    <w:rsid w:val="00B67CD2"/>
    <w:rsid w:val="00B74715"/>
    <w:rsid w:val="00B74AB9"/>
    <w:rsid w:val="00B76519"/>
    <w:rsid w:val="00B80C38"/>
    <w:rsid w:val="00B82297"/>
    <w:rsid w:val="00B82C10"/>
    <w:rsid w:val="00B836B9"/>
    <w:rsid w:val="00B86C48"/>
    <w:rsid w:val="00B90E9C"/>
    <w:rsid w:val="00B9348F"/>
    <w:rsid w:val="00B93B0F"/>
    <w:rsid w:val="00B94E23"/>
    <w:rsid w:val="00B950E2"/>
    <w:rsid w:val="00B9511E"/>
    <w:rsid w:val="00B95282"/>
    <w:rsid w:val="00B96F5E"/>
    <w:rsid w:val="00BA002D"/>
    <w:rsid w:val="00BA0FD6"/>
    <w:rsid w:val="00BA158D"/>
    <w:rsid w:val="00BA15EB"/>
    <w:rsid w:val="00BA48F7"/>
    <w:rsid w:val="00BA52F2"/>
    <w:rsid w:val="00BA56F5"/>
    <w:rsid w:val="00BA5E80"/>
    <w:rsid w:val="00BA5FA9"/>
    <w:rsid w:val="00BA61CA"/>
    <w:rsid w:val="00BA647E"/>
    <w:rsid w:val="00BA6916"/>
    <w:rsid w:val="00BA6D53"/>
    <w:rsid w:val="00BA732B"/>
    <w:rsid w:val="00BA79D2"/>
    <w:rsid w:val="00BB00E7"/>
    <w:rsid w:val="00BB1B99"/>
    <w:rsid w:val="00BB3342"/>
    <w:rsid w:val="00BB4A7F"/>
    <w:rsid w:val="00BB579E"/>
    <w:rsid w:val="00BB70D7"/>
    <w:rsid w:val="00BC0049"/>
    <w:rsid w:val="00BC4FAF"/>
    <w:rsid w:val="00BC657B"/>
    <w:rsid w:val="00BC6AC7"/>
    <w:rsid w:val="00BC7C0C"/>
    <w:rsid w:val="00BC7E63"/>
    <w:rsid w:val="00BD0D48"/>
    <w:rsid w:val="00BD1E27"/>
    <w:rsid w:val="00BD2FE9"/>
    <w:rsid w:val="00BD5A24"/>
    <w:rsid w:val="00BD5E0B"/>
    <w:rsid w:val="00BD6C67"/>
    <w:rsid w:val="00BD6FE7"/>
    <w:rsid w:val="00BD754F"/>
    <w:rsid w:val="00BE3861"/>
    <w:rsid w:val="00BE3E86"/>
    <w:rsid w:val="00BE44C5"/>
    <w:rsid w:val="00BE47A7"/>
    <w:rsid w:val="00BE5C13"/>
    <w:rsid w:val="00BE6F6A"/>
    <w:rsid w:val="00BE762E"/>
    <w:rsid w:val="00BF1234"/>
    <w:rsid w:val="00BF1268"/>
    <w:rsid w:val="00BF46DE"/>
    <w:rsid w:val="00BF4DFF"/>
    <w:rsid w:val="00BF5A98"/>
    <w:rsid w:val="00BF6A58"/>
    <w:rsid w:val="00C0021E"/>
    <w:rsid w:val="00C009B0"/>
    <w:rsid w:val="00C00C8B"/>
    <w:rsid w:val="00C0491E"/>
    <w:rsid w:val="00C075F0"/>
    <w:rsid w:val="00C07FEB"/>
    <w:rsid w:val="00C1085A"/>
    <w:rsid w:val="00C1166D"/>
    <w:rsid w:val="00C11C75"/>
    <w:rsid w:val="00C13AD6"/>
    <w:rsid w:val="00C14DD4"/>
    <w:rsid w:val="00C23F73"/>
    <w:rsid w:val="00C2441F"/>
    <w:rsid w:val="00C255A9"/>
    <w:rsid w:val="00C27AC8"/>
    <w:rsid w:val="00C30DC4"/>
    <w:rsid w:val="00C30EE2"/>
    <w:rsid w:val="00C32808"/>
    <w:rsid w:val="00C33A1A"/>
    <w:rsid w:val="00C34E9D"/>
    <w:rsid w:val="00C358B9"/>
    <w:rsid w:val="00C36567"/>
    <w:rsid w:val="00C41106"/>
    <w:rsid w:val="00C4183A"/>
    <w:rsid w:val="00C41C92"/>
    <w:rsid w:val="00C43A2C"/>
    <w:rsid w:val="00C4535D"/>
    <w:rsid w:val="00C471E4"/>
    <w:rsid w:val="00C516D2"/>
    <w:rsid w:val="00C52D14"/>
    <w:rsid w:val="00C567B1"/>
    <w:rsid w:val="00C57B23"/>
    <w:rsid w:val="00C63A2D"/>
    <w:rsid w:val="00C668B1"/>
    <w:rsid w:val="00C70C53"/>
    <w:rsid w:val="00C71FAD"/>
    <w:rsid w:val="00C73F34"/>
    <w:rsid w:val="00C74589"/>
    <w:rsid w:val="00C74D76"/>
    <w:rsid w:val="00C77AFC"/>
    <w:rsid w:val="00C81893"/>
    <w:rsid w:val="00C81D37"/>
    <w:rsid w:val="00C821A6"/>
    <w:rsid w:val="00C839DA"/>
    <w:rsid w:val="00C840E4"/>
    <w:rsid w:val="00C85F7E"/>
    <w:rsid w:val="00C861B0"/>
    <w:rsid w:val="00C87079"/>
    <w:rsid w:val="00C873F1"/>
    <w:rsid w:val="00C91048"/>
    <w:rsid w:val="00C92A72"/>
    <w:rsid w:val="00C9469A"/>
    <w:rsid w:val="00C94AED"/>
    <w:rsid w:val="00C958C6"/>
    <w:rsid w:val="00C95DE1"/>
    <w:rsid w:val="00C95EA7"/>
    <w:rsid w:val="00C97107"/>
    <w:rsid w:val="00C97256"/>
    <w:rsid w:val="00CA071C"/>
    <w:rsid w:val="00CA23FC"/>
    <w:rsid w:val="00CA2628"/>
    <w:rsid w:val="00CA312E"/>
    <w:rsid w:val="00CA53C3"/>
    <w:rsid w:val="00CA5F0B"/>
    <w:rsid w:val="00CA60A4"/>
    <w:rsid w:val="00CA67E2"/>
    <w:rsid w:val="00CA6865"/>
    <w:rsid w:val="00CA6FE0"/>
    <w:rsid w:val="00CA7DF8"/>
    <w:rsid w:val="00CB04B4"/>
    <w:rsid w:val="00CB3F48"/>
    <w:rsid w:val="00CB4810"/>
    <w:rsid w:val="00CB6435"/>
    <w:rsid w:val="00CB68B2"/>
    <w:rsid w:val="00CC280A"/>
    <w:rsid w:val="00CC4B20"/>
    <w:rsid w:val="00CC4B81"/>
    <w:rsid w:val="00CC5077"/>
    <w:rsid w:val="00CC628C"/>
    <w:rsid w:val="00CC6927"/>
    <w:rsid w:val="00CC7086"/>
    <w:rsid w:val="00CD2783"/>
    <w:rsid w:val="00CD4116"/>
    <w:rsid w:val="00CD64C1"/>
    <w:rsid w:val="00CD744D"/>
    <w:rsid w:val="00CD7BF9"/>
    <w:rsid w:val="00CE0DC2"/>
    <w:rsid w:val="00CE1E2F"/>
    <w:rsid w:val="00CE32F2"/>
    <w:rsid w:val="00CE66F1"/>
    <w:rsid w:val="00CE718B"/>
    <w:rsid w:val="00CE74DA"/>
    <w:rsid w:val="00CE7514"/>
    <w:rsid w:val="00CF0BD3"/>
    <w:rsid w:val="00CF1090"/>
    <w:rsid w:val="00CF11C4"/>
    <w:rsid w:val="00CF1D43"/>
    <w:rsid w:val="00CF3E7C"/>
    <w:rsid w:val="00CF53BD"/>
    <w:rsid w:val="00CF6803"/>
    <w:rsid w:val="00CF776D"/>
    <w:rsid w:val="00D001C1"/>
    <w:rsid w:val="00D01FC2"/>
    <w:rsid w:val="00D02E34"/>
    <w:rsid w:val="00D05091"/>
    <w:rsid w:val="00D065F5"/>
    <w:rsid w:val="00D107BE"/>
    <w:rsid w:val="00D12656"/>
    <w:rsid w:val="00D12BF5"/>
    <w:rsid w:val="00D1392A"/>
    <w:rsid w:val="00D22552"/>
    <w:rsid w:val="00D22EE2"/>
    <w:rsid w:val="00D235EB"/>
    <w:rsid w:val="00D2365A"/>
    <w:rsid w:val="00D241EA"/>
    <w:rsid w:val="00D2530B"/>
    <w:rsid w:val="00D259C5"/>
    <w:rsid w:val="00D25C6A"/>
    <w:rsid w:val="00D308CA"/>
    <w:rsid w:val="00D34469"/>
    <w:rsid w:val="00D3537C"/>
    <w:rsid w:val="00D35720"/>
    <w:rsid w:val="00D36835"/>
    <w:rsid w:val="00D36B59"/>
    <w:rsid w:val="00D3770C"/>
    <w:rsid w:val="00D43430"/>
    <w:rsid w:val="00D43B09"/>
    <w:rsid w:val="00D453A6"/>
    <w:rsid w:val="00D45F69"/>
    <w:rsid w:val="00D4635D"/>
    <w:rsid w:val="00D47B20"/>
    <w:rsid w:val="00D47CC2"/>
    <w:rsid w:val="00D47D68"/>
    <w:rsid w:val="00D50859"/>
    <w:rsid w:val="00D50ACA"/>
    <w:rsid w:val="00D53B28"/>
    <w:rsid w:val="00D54ABD"/>
    <w:rsid w:val="00D54C0A"/>
    <w:rsid w:val="00D550EC"/>
    <w:rsid w:val="00D579EA"/>
    <w:rsid w:val="00D63FC2"/>
    <w:rsid w:val="00D6628B"/>
    <w:rsid w:val="00D66E18"/>
    <w:rsid w:val="00D67C9B"/>
    <w:rsid w:val="00D67DB3"/>
    <w:rsid w:val="00D70830"/>
    <w:rsid w:val="00D77A62"/>
    <w:rsid w:val="00D813DA"/>
    <w:rsid w:val="00D830CD"/>
    <w:rsid w:val="00D8550C"/>
    <w:rsid w:val="00D868D6"/>
    <w:rsid w:val="00D8703D"/>
    <w:rsid w:val="00D87C90"/>
    <w:rsid w:val="00D902B3"/>
    <w:rsid w:val="00D9033C"/>
    <w:rsid w:val="00D90716"/>
    <w:rsid w:val="00D91553"/>
    <w:rsid w:val="00D92682"/>
    <w:rsid w:val="00D96D2B"/>
    <w:rsid w:val="00D96EC5"/>
    <w:rsid w:val="00DA184C"/>
    <w:rsid w:val="00DA1E8E"/>
    <w:rsid w:val="00DA2FCE"/>
    <w:rsid w:val="00DA6099"/>
    <w:rsid w:val="00DA690D"/>
    <w:rsid w:val="00DB03CC"/>
    <w:rsid w:val="00DB0BA9"/>
    <w:rsid w:val="00DB10FC"/>
    <w:rsid w:val="00DB1655"/>
    <w:rsid w:val="00DB177A"/>
    <w:rsid w:val="00DB2297"/>
    <w:rsid w:val="00DB6CD5"/>
    <w:rsid w:val="00DB77BD"/>
    <w:rsid w:val="00DC0073"/>
    <w:rsid w:val="00DC1584"/>
    <w:rsid w:val="00DC1E8E"/>
    <w:rsid w:val="00DC2148"/>
    <w:rsid w:val="00DC470D"/>
    <w:rsid w:val="00DC5734"/>
    <w:rsid w:val="00DC69BD"/>
    <w:rsid w:val="00DC7104"/>
    <w:rsid w:val="00DC78DE"/>
    <w:rsid w:val="00DD1481"/>
    <w:rsid w:val="00DD22D0"/>
    <w:rsid w:val="00DD23F3"/>
    <w:rsid w:val="00DD3FEF"/>
    <w:rsid w:val="00DD47E6"/>
    <w:rsid w:val="00DD7ABE"/>
    <w:rsid w:val="00DE177B"/>
    <w:rsid w:val="00DE1E88"/>
    <w:rsid w:val="00DE333E"/>
    <w:rsid w:val="00DE4247"/>
    <w:rsid w:val="00DE751F"/>
    <w:rsid w:val="00DF486B"/>
    <w:rsid w:val="00DF4D2D"/>
    <w:rsid w:val="00DF5D07"/>
    <w:rsid w:val="00DF7174"/>
    <w:rsid w:val="00E00F98"/>
    <w:rsid w:val="00E01253"/>
    <w:rsid w:val="00E020A2"/>
    <w:rsid w:val="00E024F2"/>
    <w:rsid w:val="00E04A22"/>
    <w:rsid w:val="00E05187"/>
    <w:rsid w:val="00E07591"/>
    <w:rsid w:val="00E118FD"/>
    <w:rsid w:val="00E120A5"/>
    <w:rsid w:val="00E12F39"/>
    <w:rsid w:val="00E145C9"/>
    <w:rsid w:val="00E22B7B"/>
    <w:rsid w:val="00E23E88"/>
    <w:rsid w:val="00E25DBC"/>
    <w:rsid w:val="00E2612F"/>
    <w:rsid w:val="00E27A16"/>
    <w:rsid w:val="00E27C0C"/>
    <w:rsid w:val="00E30D6F"/>
    <w:rsid w:val="00E32C59"/>
    <w:rsid w:val="00E333FB"/>
    <w:rsid w:val="00E33A9F"/>
    <w:rsid w:val="00E34B69"/>
    <w:rsid w:val="00E3578E"/>
    <w:rsid w:val="00E43451"/>
    <w:rsid w:val="00E434AF"/>
    <w:rsid w:val="00E44785"/>
    <w:rsid w:val="00E4508C"/>
    <w:rsid w:val="00E4631B"/>
    <w:rsid w:val="00E50195"/>
    <w:rsid w:val="00E50CE0"/>
    <w:rsid w:val="00E515E5"/>
    <w:rsid w:val="00E52A7A"/>
    <w:rsid w:val="00E54528"/>
    <w:rsid w:val="00E54BB7"/>
    <w:rsid w:val="00E56191"/>
    <w:rsid w:val="00E565DB"/>
    <w:rsid w:val="00E56C24"/>
    <w:rsid w:val="00E57FEB"/>
    <w:rsid w:val="00E61B8B"/>
    <w:rsid w:val="00E61DD0"/>
    <w:rsid w:val="00E639FC"/>
    <w:rsid w:val="00E66627"/>
    <w:rsid w:val="00E727AF"/>
    <w:rsid w:val="00E72D3F"/>
    <w:rsid w:val="00E74121"/>
    <w:rsid w:val="00E77E41"/>
    <w:rsid w:val="00E80530"/>
    <w:rsid w:val="00E81383"/>
    <w:rsid w:val="00E81C2D"/>
    <w:rsid w:val="00E82AEE"/>
    <w:rsid w:val="00E83E9A"/>
    <w:rsid w:val="00E841DB"/>
    <w:rsid w:val="00E85825"/>
    <w:rsid w:val="00E8598B"/>
    <w:rsid w:val="00E85D7B"/>
    <w:rsid w:val="00E86EB1"/>
    <w:rsid w:val="00E90706"/>
    <w:rsid w:val="00E91292"/>
    <w:rsid w:val="00E9157D"/>
    <w:rsid w:val="00E92A89"/>
    <w:rsid w:val="00E93A01"/>
    <w:rsid w:val="00EA10D6"/>
    <w:rsid w:val="00EA24D7"/>
    <w:rsid w:val="00EA3B2F"/>
    <w:rsid w:val="00EA3FB8"/>
    <w:rsid w:val="00EA5753"/>
    <w:rsid w:val="00EB0B63"/>
    <w:rsid w:val="00EB590D"/>
    <w:rsid w:val="00EB6A66"/>
    <w:rsid w:val="00EB7F24"/>
    <w:rsid w:val="00EC3461"/>
    <w:rsid w:val="00EC439F"/>
    <w:rsid w:val="00EC4874"/>
    <w:rsid w:val="00EC4C59"/>
    <w:rsid w:val="00EC5DAA"/>
    <w:rsid w:val="00ED0B23"/>
    <w:rsid w:val="00ED516A"/>
    <w:rsid w:val="00ED5303"/>
    <w:rsid w:val="00ED7366"/>
    <w:rsid w:val="00EE4384"/>
    <w:rsid w:val="00EE5DF3"/>
    <w:rsid w:val="00EE61A8"/>
    <w:rsid w:val="00EE61F6"/>
    <w:rsid w:val="00EF23F7"/>
    <w:rsid w:val="00EF5357"/>
    <w:rsid w:val="00EF734B"/>
    <w:rsid w:val="00F011EF"/>
    <w:rsid w:val="00F014A1"/>
    <w:rsid w:val="00F02625"/>
    <w:rsid w:val="00F03254"/>
    <w:rsid w:val="00F0343D"/>
    <w:rsid w:val="00F040D2"/>
    <w:rsid w:val="00F056CD"/>
    <w:rsid w:val="00F05DA9"/>
    <w:rsid w:val="00F06C45"/>
    <w:rsid w:val="00F10839"/>
    <w:rsid w:val="00F11649"/>
    <w:rsid w:val="00F11B78"/>
    <w:rsid w:val="00F13222"/>
    <w:rsid w:val="00F13E22"/>
    <w:rsid w:val="00F140E0"/>
    <w:rsid w:val="00F155AC"/>
    <w:rsid w:val="00F172EC"/>
    <w:rsid w:val="00F21631"/>
    <w:rsid w:val="00F21917"/>
    <w:rsid w:val="00F237FD"/>
    <w:rsid w:val="00F24352"/>
    <w:rsid w:val="00F24B65"/>
    <w:rsid w:val="00F25461"/>
    <w:rsid w:val="00F2547A"/>
    <w:rsid w:val="00F27224"/>
    <w:rsid w:val="00F274B7"/>
    <w:rsid w:val="00F304F8"/>
    <w:rsid w:val="00F321DD"/>
    <w:rsid w:val="00F35953"/>
    <w:rsid w:val="00F36573"/>
    <w:rsid w:val="00F4101F"/>
    <w:rsid w:val="00F41620"/>
    <w:rsid w:val="00F43AB6"/>
    <w:rsid w:val="00F4430A"/>
    <w:rsid w:val="00F4459F"/>
    <w:rsid w:val="00F44C2A"/>
    <w:rsid w:val="00F44FBF"/>
    <w:rsid w:val="00F47970"/>
    <w:rsid w:val="00F47BAD"/>
    <w:rsid w:val="00F5117F"/>
    <w:rsid w:val="00F512B4"/>
    <w:rsid w:val="00F527B3"/>
    <w:rsid w:val="00F53A9C"/>
    <w:rsid w:val="00F54B76"/>
    <w:rsid w:val="00F55C13"/>
    <w:rsid w:val="00F57ADF"/>
    <w:rsid w:val="00F60FC0"/>
    <w:rsid w:val="00F63285"/>
    <w:rsid w:val="00F669B1"/>
    <w:rsid w:val="00F67113"/>
    <w:rsid w:val="00F6797F"/>
    <w:rsid w:val="00F701AD"/>
    <w:rsid w:val="00F7079B"/>
    <w:rsid w:val="00F7383F"/>
    <w:rsid w:val="00F74C68"/>
    <w:rsid w:val="00F756BC"/>
    <w:rsid w:val="00F76BF9"/>
    <w:rsid w:val="00F77AF1"/>
    <w:rsid w:val="00F77DB1"/>
    <w:rsid w:val="00F81B03"/>
    <w:rsid w:val="00F83823"/>
    <w:rsid w:val="00F83AE5"/>
    <w:rsid w:val="00F851E1"/>
    <w:rsid w:val="00F85BBF"/>
    <w:rsid w:val="00F86C13"/>
    <w:rsid w:val="00F86CD5"/>
    <w:rsid w:val="00F86D20"/>
    <w:rsid w:val="00F917C2"/>
    <w:rsid w:val="00F92099"/>
    <w:rsid w:val="00F9230F"/>
    <w:rsid w:val="00F92B95"/>
    <w:rsid w:val="00F93C22"/>
    <w:rsid w:val="00F963C9"/>
    <w:rsid w:val="00FA1137"/>
    <w:rsid w:val="00FA2F02"/>
    <w:rsid w:val="00FA510F"/>
    <w:rsid w:val="00FA7BBB"/>
    <w:rsid w:val="00FB0973"/>
    <w:rsid w:val="00FB109E"/>
    <w:rsid w:val="00FB157A"/>
    <w:rsid w:val="00FB1670"/>
    <w:rsid w:val="00FB276B"/>
    <w:rsid w:val="00FB2B68"/>
    <w:rsid w:val="00FB3FD6"/>
    <w:rsid w:val="00FB5400"/>
    <w:rsid w:val="00FC0B7F"/>
    <w:rsid w:val="00FC6E21"/>
    <w:rsid w:val="00FD2920"/>
    <w:rsid w:val="00FD2A62"/>
    <w:rsid w:val="00FD2AC4"/>
    <w:rsid w:val="00FD42E9"/>
    <w:rsid w:val="00FD4BA7"/>
    <w:rsid w:val="00FD54F6"/>
    <w:rsid w:val="00FE170B"/>
    <w:rsid w:val="00FE27BD"/>
    <w:rsid w:val="00FE4158"/>
    <w:rsid w:val="00FE4816"/>
    <w:rsid w:val="00FE4EF8"/>
    <w:rsid w:val="00FE6565"/>
    <w:rsid w:val="00FF25D2"/>
    <w:rsid w:val="00FF3930"/>
    <w:rsid w:val="00FF4E95"/>
    <w:rsid w:val="00FF59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03A8C9"/>
  <w15:docId w15:val="{A7B0423C-77E2-42FC-8058-1BFEB13C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72E3"/>
  </w:style>
  <w:style w:type="paragraph" w:styleId="Nadpis1">
    <w:name w:val="heading 1"/>
    <w:basedOn w:val="Normln"/>
    <w:link w:val="Nadpis1Char"/>
    <w:uiPriority w:val="9"/>
    <w:qFormat/>
    <w:rsid w:val="00053DA8"/>
    <w:pPr>
      <w:keepNext/>
      <w:pageBreakBefore/>
      <w:numPr>
        <w:numId w:val="2"/>
      </w:numPr>
      <w:spacing w:after="120"/>
      <w:outlineLvl w:val="0"/>
    </w:pPr>
    <w:rPr>
      <w:rFonts w:ascii="Calibri" w:eastAsia="Times New Roman" w:hAnsi="Calibri" w:cs="Calibri"/>
      <w:b/>
      <w:bCs/>
      <w:caps/>
      <w:color w:val="232E83"/>
      <w:kern w:val="32"/>
      <w:sz w:val="26"/>
      <w:szCs w:val="32"/>
      <w:lang w:eastAsia="sk-SK"/>
    </w:rPr>
  </w:style>
  <w:style w:type="paragraph" w:styleId="Nadpis2">
    <w:name w:val="heading 2"/>
    <w:basedOn w:val="Normln"/>
    <w:next w:val="Normln"/>
    <w:link w:val="Nadpis2Char"/>
    <w:uiPriority w:val="9"/>
    <w:unhideWhenUsed/>
    <w:qFormat/>
    <w:rsid w:val="00053DA8"/>
    <w:pPr>
      <w:keepNext/>
      <w:keepLines/>
      <w:numPr>
        <w:ilvl w:val="1"/>
        <w:numId w:val="2"/>
      </w:numPr>
      <w:spacing w:after="120"/>
      <w:outlineLvl w:val="1"/>
    </w:pPr>
    <w:rPr>
      <w:rFonts w:ascii="Calibri" w:eastAsiaTheme="majorEastAsia" w:hAnsi="Calibri" w:cs="Calibri"/>
      <w:b/>
      <w:bCs/>
      <w:color w:val="232E83"/>
      <w:sz w:val="26"/>
      <w:szCs w:val="26"/>
      <w:lang w:eastAsia="sk-SK"/>
    </w:rPr>
  </w:style>
  <w:style w:type="paragraph" w:styleId="Nadpis3">
    <w:name w:val="heading 3"/>
    <w:basedOn w:val="Normln"/>
    <w:next w:val="Normln"/>
    <w:link w:val="Nadpis3Char"/>
    <w:uiPriority w:val="9"/>
    <w:unhideWhenUsed/>
    <w:qFormat/>
    <w:rsid w:val="00F014A1"/>
    <w:pPr>
      <w:keepNext/>
      <w:keepLines/>
      <w:numPr>
        <w:ilvl w:val="2"/>
        <w:numId w:val="2"/>
      </w:numPr>
      <w:spacing w:after="12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893CF9"/>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11143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11143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11143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11143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1143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76E4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76E4D"/>
  </w:style>
  <w:style w:type="paragraph" w:styleId="Zpat">
    <w:name w:val="footer"/>
    <w:basedOn w:val="Normln"/>
    <w:link w:val="ZpatChar"/>
    <w:uiPriority w:val="99"/>
    <w:unhideWhenUsed/>
    <w:rsid w:val="00A76E4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6E4D"/>
  </w:style>
  <w:style w:type="paragraph" w:styleId="Textbubliny">
    <w:name w:val="Balloon Text"/>
    <w:basedOn w:val="Normln"/>
    <w:link w:val="TextbublinyChar"/>
    <w:uiPriority w:val="99"/>
    <w:semiHidden/>
    <w:unhideWhenUsed/>
    <w:rsid w:val="00A76E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6E4D"/>
    <w:rPr>
      <w:rFonts w:ascii="Tahoma" w:hAnsi="Tahoma" w:cs="Tahoma"/>
      <w:sz w:val="16"/>
      <w:szCs w:val="16"/>
    </w:rPr>
  </w:style>
  <w:style w:type="paragraph" w:styleId="Normlnweb">
    <w:name w:val="Normal (Web)"/>
    <w:basedOn w:val="Normln"/>
    <w:uiPriority w:val="99"/>
    <w:semiHidden/>
    <w:unhideWhenUsed/>
    <w:rsid w:val="00B33D1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link w:val="OdstavecseseznamemChar"/>
    <w:uiPriority w:val="34"/>
    <w:qFormat/>
    <w:rsid w:val="00BA79D2"/>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styleId="Hypertextovodkaz">
    <w:name w:val="Hyperlink"/>
    <w:basedOn w:val="Standardnpsmoodstavce"/>
    <w:uiPriority w:val="99"/>
    <w:unhideWhenUsed/>
    <w:rsid w:val="00BA79D2"/>
    <w:rPr>
      <w:color w:val="0000FF"/>
      <w:u w:val="single"/>
    </w:rPr>
  </w:style>
  <w:style w:type="character" w:customStyle="1" w:styleId="Nadpis1Char">
    <w:name w:val="Nadpis 1 Char"/>
    <w:basedOn w:val="Standardnpsmoodstavce"/>
    <w:link w:val="Nadpis1"/>
    <w:uiPriority w:val="9"/>
    <w:rsid w:val="00053DA8"/>
    <w:rPr>
      <w:rFonts w:ascii="Calibri" w:eastAsia="Times New Roman" w:hAnsi="Calibri" w:cs="Calibri"/>
      <w:b/>
      <w:bCs/>
      <w:caps/>
      <w:color w:val="232E83"/>
      <w:kern w:val="32"/>
      <w:sz w:val="26"/>
      <w:szCs w:val="32"/>
      <w:lang w:eastAsia="sk-SK"/>
    </w:rPr>
  </w:style>
  <w:style w:type="character" w:customStyle="1" w:styleId="small">
    <w:name w:val="small"/>
    <w:basedOn w:val="Standardnpsmoodstavce"/>
    <w:rsid w:val="00BA79D2"/>
  </w:style>
  <w:style w:type="paragraph" w:styleId="Nzev">
    <w:name w:val="Title"/>
    <w:basedOn w:val="Normln"/>
    <w:link w:val="NzevChar"/>
    <w:uiPriority w:val="10"/>
    <w:rsid w:val="0034096B"/>
    <w:pPr>
      <w:spacing w:after="0" w:line="240" w:lineRule="auto"/>
      <w:contextualSpacing/>
      <w:jc w:val="right"/>
    </w:pPr>
    <w:rPr>
      <w:rFonts w:eastAsiaTheme="majorEastAsia" w:cstheme="majorBidi"/>
      <w:b/>
      <w:color w:val="232E83"/>
      <w:kern w:val="28"/>
      <w:sz w:val="44"/>
      <w:szCs w:val="56"/>
      <w:lang w:eastAsia="zh-CN"/>
    </w:rPr>
  </w:style>
  <w:style w:type="character" w:customStyle="1" w:styleId="NzevChar">
    <w:name w:val="Název Char"/>
    <w:basedOn w:val="Standardnpsmoodstavce"/>
    <w:link w:val="Nzev"/>
    <w:uiPriority w:val="10"/>
    <w:rsid w:val="0034096B"/>
    <w:rPr>
      <w:rFonts w:eastAsiaTheme="majorEastAsia" w:cstheme="majorBidi"/>
      <w:b/>
      <w:color w:val="232E83"/>
      <w:kern w:val="28"/>
      <w:sz w:val="44"/>
      <w:szCs w:val="56"/>
      <w:lang w:eastAsia="zh-CN"/>
    </w:rPr>
  </w:style>
  <w:style w:type="paragraph" w:styleId="Obsah1">
    <w:name w:val="toc 1"/>
    <w:basedOn w:val="Normln"/>
    <w:next w:val="Normln"/>
    <w:autoRedefine/>
    <w:uiPriority w:val="39"/>
    <w:unhideWhenUsed/>
    <w:rsid w:val="00CB3F48"/>
    <w:pPr>
      <w:tabs>
        <w:tab w:val="left" w:pos="284"/>
        <w:tab w:val="right" w:leader="dot" w:pos="9356"/>
      </w:tabs>
      <w:spacing w:before="120" w:after="0"/>
      <w:jc w:val="both"/>
    </w:pPr>
    <w:rPr>
      <w:rFonts w:ascii="Arial" w:eastAsiaTheme="minorEastAsia" w:hAnsi="Arial"/>
      <w:b/>
      <w:caps/>
      <w:noProof/>
      <w:lang w:eastAsia="zh-CN"/>
    </w:rPr>
  </w:style>
  <w:style w:type="paragraph" w:styleId="Nadpisobsahu">
    <w:name w:val="TOC Heading"/>
    <w:basedOn w:val="Nadpis1"/>
    <w:next w:val="Normln"/>
    <w:uiPriority w:val="39"/>
    <w:unhideWhenUsed/>
    <w:qFormat/>
    <w:rsid w:val="0034096B"/>
    <w:pPr>
      <w:keepLines/>
      <w:outlineLvl w:val="9"/>
    </w:pPr>
    <w:rPr>
      <w:rFonts w:asciiTheme="minorHAnsi" w:eastAsiaTheme="majorEastAsia" w:hAnsiTheme="minorHAnsi" w:cstheme="majorBidi"/>
      <w:bCs w:val="0"/>
      <w:caps w:val="0"/>
      <w:kern w:val="0"/>
    </w:rPr>
  </w:style>
  <w:style w:type="paragraph" w:customStyle="1" w:styleId="Nadpis1sl">
    <w:name w:val="Nadpis 1 čísl"/>
    <w:basedOn w:val="Nadpis1"/>
    <w:next w:val="Normln"/>
    <w:rsid w:val="001041B1"/>
    <w:pPr>
      <w:numPr>
        <w:numId w:val="1"/>
      </w:numPr>
    </w:pPr>
    <w:rPr>
      <w:rFonts w:asciiTheme="minorHAnsi" w:hAnsiTheme="minorHAnsi" w:cs="Arial"/>
      <w:caps w:val="0"/>
    </w:rPr>
  </w:style>
  <w:style w:type="paragraph" w:customStyle="1" w:styleId="Nadpis2sl">
    <w:name w:val="Nadpis 2 čísl"/>
    <w:basedOn w:val="Nadpis2"/>
    <w:next w:val="Normln"/>
    <w:rsid w:val="001041B1"/>
    <w:pPr>
      <w:numPr>
        <w:numId w:val="1"/>
      </w:numPr>
    </w:pPr>
    <w:rPr>
      <w:rFonts w:asciiTheme="minorHAnsi" w:hAnsiTheme="minorHAnsi"/>
    </w:rPr>
  </w:style>
  <w:style w:type="paragraph" w:customStyle="1" w:styleId="Nadpis3sl">
    <w:name w:val="Nadpis 3 čísl"/>
    <w:basedOn w:val="Nadpis3"/>
    <w:next w:val="Normln"/>
    <w:rsid w:val="001041B1"/>
    <w:pPr>
      <w:numPr>
        <w:numId w:val="1"/>
      </w:numPr>
      <w:ind w:left="709" w:hanging="709"/>
      <w:jc w:val="both"/>
    </w:pPr>
    <w:rPr>
      <w:rFonts w:asciiTheme="minorHAnsi" w:hAnsiTheme="minorHAnsi"/>
      <w:b w:val="0"/>
      <w:bCs w:val="0"/>
      <w:color w:val="232E83"/>
      <w:szCs w:val="24"/>
      <w:lang w:eastAsia="sk-SK"/>
    </w:rPr>
  </w:style>
  <w:style w:type="character" w:customStyle="1" w:styleId="Nadpis2Char">
    <w:name w:val="Nadpis 2 Char"/>
    <w:basedOn w:val="Standardnpsmoodstavce"/>
    <w:link w:val="Nadpis2"/>
    <w:uiPriority w:val="9"/>
    <w:rsid w:val="00053DA8"/>
    <w:rPr>
      <w:rFonts w:ascii="Calibri" w:eastAsiaTheme="majorEastAsia" w:hAnsi="Calibri" w:cs="Calibri"/>
      <w:b/>
      <w:bCs/>
      <w:color w:val="232E83"/>
      <w:sz w:val="26"/>
      <w:szCs w:val="26"/>
      <w:lang w:eastAsia="sk-SK"/>
    </w:rPr>
  </w:style>
  <w:style w:type="character" w:customStyle="1" w:styleId="Nadpis3Char">
    <w:name w:val="Nadpis 3 Char"/>
    <w:basedOn w:val="Standardnpsmoodstavce"/>
    <w:link w:val="Nadpis3"/>
    <w:uiPriority w:val="9"/>
    <w:rsid w:val="00F014A1"/>
    <w:rPr>
      <w:rFonts w:asciiTheme="majorHAnsi" w:eastAsiaTheme="majorEastAsia" w:hAnsiTheme="majorHAnsi" w:cstheme="majorBidi"/>
      <w:b/>
      <w:bCs/>
      <w:color w:val="4F81BD" w:themeColor="accent1"/>
    </w:rPr>
  </w:style>
  <w:style w:type="paragraph" w:styleId="Obsah2">
    <w:name w:val="toc 2"/>
    <w:basedOn w:val="Normln"/>
    <w:next w:val="Normln"/>
    <w:autoRedefine/>
    <w:uiPriority w:val="39"/>
    <w:unhideWhenUsed/>
    <w:rsid w:val="00830835"/>
    <w:pPr>
      <w:spacing w:after="100"/>
      <w:ind w:left="220"/>
    </w:pPr>
  </w:style>
  <w:style w:type="paragraph" w:styleId="Textpoznpodarou">
    <w:name w:val="footnote text"/>
    <w:basedOn w:val="Normln"/>
    <w:link w:val="TextpoznpodarouChar"/>
    <w:uiPriority w:val="99"/>
    <w:unhideWhenUsed/>
    <w:rsid w:val="008313CF"/>
    <w:pPr>
      <w:spacing w:after="0" w:line="240" w:lineRule="auto"/>
      <w:jc w:val="both"/>
    </w:pPr>
    <w:rPr>
      <w:rFonts w:ascii="Arial" w:eastAsia="Times New Roman" w:hAnsi="Arial" w:cs="Arial"/>
      <w:sz w:val="20"/>
      <w:szCs w:val="20"/>
      <w:lang w:eastAsia="cs-CZ"/>
    </w:rPr>
  </w:style>
  <w:style w:type="character" w:customStyle="1" w:styleId="TextpoznpodarouChar">
    <w:name w:val="Text pozn. pod čarou Char"/>
    <w:basedOn w:val="Standardnpsmoodstavce"/>
    <w:link w:val="Textpoznpodarou"/>
    <w:uiPriority w:val="99"/>
    <w:rsid w:val="008313CF"/>
    <w:rPr>
      <w:rFonts w:ascii="Arial" w:eastAsia="Times New Roman" w:hAnsi="Arial" w:cs="Arial"/>
      <w:sz w:val="20"/>
      <w:szCs w:val="20"/>
      <w:lang w:eastAsia="cs-CZ"/>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
    <w:uiPriority w:val="99"/>
    <w:unhideWhenUsed/>
    <w:rsid w:val="008313CF"/>
    <w:rPr>
      <w:vertAlign w:val="superscript"/>
    </w:rPr>
  </w:style>
  <w:style w:type="character" w:styleId="Odkaznakoment">
    <w:name w:val="annotation reference"/>
    <w:uiPriority w:val="99"/>
    <w:semiHidden/>
    <w:unhideWhenUsed/>
    <w:rsid w:val="00F917C2"/>
    <w:rPr>
      <w:sz w:val="16"/>
      <w:szCs w:val="16"/>
    </w:rPr>
  </w:style>
  <w:style w:type="paragraph" w:styleId="Textkomente">
    <w:name w:val="annotation text"/>
    <w:basedOn w:val="Normln"/>
    <w:link w:val="TextkomenteChar"/>
    <w:uiPriority w:val="99"/>
    <w:semiHidden/>
    <w:unhideWhenUsed/>
    <w:rsid w:val="00F917C2"/>
    <w:pPr>
      <w:spacing w:after="0" w:line="240" w:lineRule="auto"/>
      <w:jc w:val="both"/>
    </w:pPr>
    <w:rPr>
      <w:rFonts w:ascii="Arial" w:eastAsia="Times New Roman" w:hAnsi="Arial" w:cs="Arial"/>
      <w:sz w:val="20"/>
      <w:szCs w:val="20"/>
      <w:lang w:eastAsia="cs-CZ"/>
    </w:rPr>
  </w:style>
  <w:style w:type="character" w:customStyle="1" w:styleId="TextkomenteChar">
    <w:name w:val="Text komentáře Char"/>
    <w:basedOn w:val="Standardnpsmoodstavce"/>
    <w:link w:val="Textkomente"/>
    <w:uiPriority w:val="99"/>
    <w:semiHidden/>
    <w:rsid w:val="00F917C2"/>
    <w:rPr>
      <w:rFonts w:ascii="Arial" w:eastAsia="Times New Roman" w:hAnsi="Arial" w:cs="Arial"/>
      <w:sz w:val="20"/>
      <w:szCs w:val="20"/>
      <w:lang w:eastAsia="cs-CZ"/>
    </w:rPr>
  </w:style>
  <w:style w:type="paragraph" w:styleId="Pedmtkomente">
    <w:name w:val="annotation subject"/>
    <w:basedOn w:val="Textkomente"/>
    <w:next w:val="Textkomente"/>
    <w:link w:val="PedmtkomenteChar"/>
    <w:uiPriority w:val="99"/>
    <w:semiHidden/>
    <w:unhideWhenUsed/>
    <w:rsid w:val="00327348"/>
    <w:pPr>
      <w:spacing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327348"/>
    <w:rPr>
      <w:rFonts w:ascii="Arial" w:eastAsia="Times New Roman" w:hAnsi="Arial" w:cs="Arial"/>
      <w:b/>
      <w:bCs/>
      <w:sz w:val="20"/>
      <w:szCs w:val="20"/>
      <w:lang w:eastAsia="cs-CZ"/>
    </w:rPr>
  </w:style>
  <w:style w:type="paragraph" w:styleId="Zkladntext">
    <w:name w:val="Body Text"/>
    <w:aliases w:val="Základní text Char Char Char Char Char Char"/>
    <w:basedOn w:val="Normln"/>
    <w:link w:val="ZkladntextChar"/>
    <w:rsid w:val="00E54BB7"/>
    <w:pPr>
      <w:spacing w:after="0" w:line="240" w:lineRule="auto"/>
    </w:pPr>
    <w:rPr>
      <w:rFonts w:ascii="Verdana" w:eastAsia="Times New Roman" w:hAnsi="Verdana" w:cs="Arial"/>
      <w:lang w:eastAsia="cs-CZ"/>
    </w:rPr>
  </w:style>
  <w:style w:type="character" w:customStyle="1" w:styleId="ZkladntextChar">
    <w:name w:val="Základní text Char"/>
    <w:aliases w:val="Základní text Char Char Char Char Char Char Char"/>
    <w:basedOn w:val="Standardnpsmoodstavce"/>
    <w:link w:val="Zkladntext"/>
    <w:rsid w:val="00E54BB7"/>
    <w:rPr>
      <w:rFonts w:ascii="Verdana" w:eastAsia="Times New Roman" w:hAnsi="Verdana" w:cs="Arial"/>
      <w:lang w:eastAsia="cs-CZ"/>
    </w:rPr>
  </w:style>
  <w:style w:type="table" w:styleId="Mkatabulky">
    <w:name w:val="Table Grid"/>
    <w:basedOn w:val="Normlntabulka"/>
    <w:uiPriority w:val="39"/>
    <w:rsid w:val="00733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ntext">
    <w:name w:val="Standardní text"/>
    <w:basedOn w:val="Normln"/>
    <w:link w:val="StandardntextChar"/>
    <w:qFormat/>
    <w:rsid w:val="00BD6C67"/>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4"/>
      <w:lang w:eastAsia="cs-CZ"/>
    </w:rPr>
  </w:style>
  <w:style w:type="character" w:customStyle="1" w:styleId="StandardntextChar">
    <w:name w:val="Standardní text Char"/>
    <w:link w:val="Standardntext"/>
    <w:rsid w:val="00BD6C67"/>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893CF9"/>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111433"/>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111433"/>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111433"/>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11143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11433"/>
    <w:rPr>
      <w:rFonts w:asciiTheme="majorHAnsi" w:eastAsiaTheme="majorEastAsia" w:hAnsiTheme="majorHAnsi" w:cstheme="majorBidi"/>
      <w:i/>
      <w:iCs/>
      <w:color w:val="272727" w:themeColor="text1" w:themeTint="D8"/>
      <w:sz w:val="21"/>
      <w:szCs w:val="21"/>
    </w:rPr>
  </w:style>
  <w:style w:type="table" w:customStyle="1" w:styleId="Prosttabulka11">
    <w:name w:val="Prostá tabulka 11"/>
    <w:basedOn w:val="Normlntabulka"/>
    <w:uiPriority w:val="41"/>
    <w:rsid w:val="001C50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ulkaseznamu3zvraznn11">
    <w:name w:val="Tabulka seznamu 3 – zvýraznění 11"/>
    <w:basedOn w:val="Normlntabulka"/>
    <w:uiPriority w:val="48"/>
    <w:rsid w:val="00893CF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Svtlmkatabulky1">
    <w:name w:val="Světlá mřížka tabulky1"/>
    <w:basedOn w:val="Normlntabulka"/>
    <w:uiPriority w:val="40"/>
    <w:rsid w:val="00893C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ulek">
    <w:name w:val="caption"/>
    <w:basedOn w:val="Normln"/>
    <w:next w:val="Normln"/>
    <w:uiPriority w:val="35"/>
    <w:unhideWhenUsed/>
    <w:qFormat/>
    <w:rsid w:val="00C07FEB"/>
    <w:pPr>
      <w:keepNext/>
      <w:spacing w:line="240" w:lineRule="auto"/>
    </w:pPr>
    <w:rPr>
      <w:i/>
      <w:iCs/>
      <w:color w:val="1F497D" w:themeColor="text2"/>
      <w:sz w:val="20"/>
      <w:szCs w:val="20"/>
    </w:rPr>
  </w:style>
  <w:style w:type="paragraph" w:styleId="Obsah3">
    <w:name w:val="toc 3"/>
    <w:basedOn w:val="Normln"/>
    <w:next w:val="Normln"/>
    <w:autoRedefine/>
    <w:uiPriority w:val="39"/>
    <w:unhideWhenUsed/>
    <w:rsid w:val="00AA51E9"/>
    <w:pPr>
      <w:spacing w:after="100"/>
      <w:ind w:left="440"/>
    </w:pPr>
  </w:style>
  <w:style w:type="table" w:customStyle="1" w:styleId="Prosttabulka41">
    <w:name w:val="Prostá tabulka 41"/>
    <w:basedOn w:val="Normlntabulka"/>
    <w:uiPriority w:val="44"/>
    <w:rsid w:val="00956A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ovanodkaz">
    <w:name w:val="FollowedHyperlink"/>
    <w:basedOn w:val="Standardnpsmoodstavce"/>
    <w:uiPriority w:val="99"/>
    <w:semiHidden/>
    <w:unhideWhenUsed/>
    <w:rsid w:val="00AE0A2F"/>
    <w:rPr>
      <w:color w:val="800080" w:themeColor="followedHyperlink"/>
      <w:u w:val="single"/>
    </w:rPr>
  </w:style>
  <w:style w:type="table" w:customStyle="1" w:styleId="Tabulkasmkou2zvraznn11">
    <w:name w:val="Tabulka s mřížkou 2 – zvýraznění 11"/>
    <w:basedOn w:val="Normlntabulka"/>
    <w:uiPriority w:val="47"/>
    <w:rsid w:val="006959B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rosttabulka110">
    <w:name w:val="Prostá tabulka 11"/>
    <w:basedOn w:val="Normlntabulka"/>
    <w:next w:val="Prosttabulka11"/>
    <w:uiPriority w:val="41"/>
    <w:rsid w:val="00894814"/>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rosttabulka111">
    <w:name w:val="Prostá tabulka 111"/>
    <w:basedOn w:val="Normlntabulka"/>
    <w:next w:val="Prosttabulka11"/>
    <w:uiPriority w:val="41"/>
    <w:rsid w:val="002A7205"/>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eznamobrzk">
    <w:name w:val="table of figures"/>
    <w:basedOn w:val="Normln"/>
    <w:next w:val="Normln"/>
    <w:uiPriority w:val="99"/>
    <w:unhideWhenUsed/>
    <w:rsid w:val="00E4631B"/>
    <w:pPr>
      <w:spacing w:after="0"/>
    </w:pPr>
  </w:style>
  <w:style w:type="table" w:customStyle="1" w:styleId="Prosttabulka112">
    <w:name w:val="Prostá tabulka 112"/>
    <w:basedOn w:val="Normlntabulka"/>
    <w:uiPriority w:val="41"/>
    <w:rsid w:val="003D3BE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rosttabulka113">
    <w:name w:val="Prostá tabulka 113"/>
    <w:basedOn w:val="Normlntabulka"/>
    <w:uiPriority w:val="41"/>
    <w:rsid w:val="003D3BE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rosttabulka114">
    <w:name w:val="Prostá tabulka 114"/>
    <w:basedOn w:val="Normlntabulka"/>
    <w:uiPriority w:val="41"/>
    <w:rsid w:val="003D3BE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rosttabulka115">
    <w:name w:val="Prostá tabulka 115"/>
    <w:basedOn w:val="Normlntabulka"/>
    <w:uiPriority w:val="41"/>
    <w:rsid w:val="003D3BE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vtlmkatabulky11">
    <w:name w:val="Světlá mřížka tabulky11"/>
    <w:basedOn w:val="Normlntabulka"/>
    <w:uiPriority w:val="40"/>
    <w:rsid w:val="003D3BE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rosttabulka116">
    <w:name w:val="Prostá tabulka 116"/>
    <w:basedOn w:val="Normlntabulka"/>
    <w:uiPriority w:val="41"/>
    <w:rsid w:val="003D3BEB"/>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vtlmkatabulky12">
    <w:name w:val="Světlá mřížka tabulky12"/>
    <w:basedOn w:val="Normlntabulka"/>
    <w:uiPriority w:val="40"/>
    <w:rsid w:val="003D3BE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Obsah4">
    <w:name w:val="toc 4"/>
    <w:basedOn w:val="Normln"/>
    <w:next w:val="Normln"/>
    <w:autoRedefine/>
    <w:uiPriority w:val="39"/>
    <w:unhideWhenUsed/>
    <w:rsid w:val="0034717D"/>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34717D"/>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34717D"/>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34717D"/>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34717D"/>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34717D"/>
    <w:pPr>
      <w:spacing w:after="100" w:line="259" w:lineRule="auto"/>
      <w:ind w:left="1760"/>
    </w:pPr>
    <w:rPr>
      <w:rFonts w:eastAsiaTheme="minorEastAsia"/>
      <w:lang w:eastAsia="cs-CZ"/>
    </w:rPr>
  </w:style>
  <w:style w:type="character" w:customStyle="1" w:styleId="Nevyeenzmnka1">
    <w:name w:val="Nevyřešená zmínka1"/>
    <w:basedOn w:val="Standardnpsmoodstavce"/>
    <w:uiPriority w:val="99"/>
    <w:semiHidden/>
    <w:unhideWhenUsed/>
    <w:rsid w:val="0034717D"/>
    <w:rPr>
      <w:color w:val="605E5C"/>
      <w:shd w:val="clear" w:color="auto" w:fill="E1DFDD"/>
    </w:rPr>
  </w:style>
  <w:style w:type="paragraph" w:customStyle="1" w:styleId="Default">
    <w:name w:val="Default"/>
    <w:rsid w:val="00BE762E"/>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link w:val="Odstavecseseznamem"/>
    <w:uiPriority w:val="34"/>
    <w:locked/>
    <w:rsid w:val="00B03A31"/>
    <w:rPr>
      <w:rFonts w:ascii="Times New Roman" w:eastAsia="Lucida Sans Unicode" w:hAnsi="Times New Roman" w:cs="Times New Roman"/>
      <w:kern w:val="1"/>
      <w:sz w:val="24"/>
      <w:szCs w:val="24"/>
    </w:rPr>
  </w:style>
  <w:style w:type="numbering" w:customStyle="1" w:styleId="VariantaB-sla">
    <w:name w:val="Varianta B - čísla"/>
    <w:uiPriority w:val="99"/>
    <w:rsid w:val="003F00A9"/>
    <w:pPr>
      <w:numPr>
        <w:numId w:val="24"/>
      </w:numPr>
    </w:pPr>
  </w:style>
  <w:style w:type="paragraph" w:customStyle="1" w:styleId="slovanseznamB">
    <w:name w:val="Číslovaný seznam B"/>
    <w:basedOn w:val="Normln"/>
    <w:uiPriority w:val="16"/>
    <w:qFormat/>
    <w:rsid w:val="003F00A9"/>
    <w:pPr>
      <w:numPr>
        <w:numId w:val="25"/>
      </w:numPr>
      <w:overflowPunct w:val="0"/>
      <w:autoSpaceDE w:val="0"/>
      <w:autoSpaceDN w:val="0"/>
      <w:adjustRightInd w:val="0"/>
      <w:spacing w:after="0" w:line="340" w:lineRule="exact"/>
      <w:jc w:val="both"/>
      <w:textAlignment w:val="baseline"/>
    </w:pPr>
    <w:rPr>
      <w:rFonts w:eastAsia="Times New Roman" w:cs="Times New Roman"/>
      <w:szCs w:val="20"/>
      <w:lang w:eastAsia="cs-CZ"/>
    </w:rPr>
  </w:style>
  <w:style w:type="paragraph" w:customStyle="1" w:styleId="slovanseznamB2">
    <w:name w:val="Číslovaný seznam B 2"/>
    <w:basedOn w:val="Normln"/>
    <w:uiPriority w:val="16"/>
    <w:qFormat/>
    <w:rsid w:val="003F00A9"/>
    <w:pPr>
      <w:numPr>
        <w:ilvl w:val="1"/>
        <w:numId w:val="25"/>
      </w:numPr>
      <w:overflowPunct w:val="0"/>
      <w:autoSpaceDE w:val="0"/>
      <w:autoSpaceDN w:val="0"/>
      <w:adjustRightInd w:val="0"/>
      <w:spacing w:after="0" w:line="340" w:lineRule="exact"/>
      <w:jc w:val="both"/>
      <w:textAlignment w:val="baseline"/>
    </w:pPr>
    <w:rPr>
      <w:rFonts w:eastAsia="Times New Roman" w:cs="Times New Roman"/>
      <w:szCs w:val="20"/>
      <w:lang w:eastAsia="cs-CZ"/>
    </w:rPr>
  </w:style>
  <w:style w:type="paragraph" w:customStyle="1" w:styleId="slovanseznamB3">
    <w:name w:val="Číslovaný seznam B 3"/>
    <w:basedOn w:val="Normln"/>
    <w:uiPriority w:val="16"/>
    <w:qFormat/>
    <w:rsid w:val="003F00A9"/>
    <w:pPr>
      <w:numPr>
        <w:ilvl w:val="2"/>
        <w:numId w:val="25"/>
      </w:numPr>
      <w:overflowPunct w:val="0"/>
      <w:autoSpaceDE w:val="0"/>
      <w:autoSpaceDN w:val="0"/>
      <w:adjustRightInd w:val="0"/>
      <w:spacing w:after="0" w:line="340" w:lineRule="exact"/>
      <w:jc w:val="both"/>
      <w:textAlignment w:val="baseline"/>
    </w:pPr>
    <w:rPr>
      <w:rFonts w:eastAsia="Times New Roman" w:cs="Times New Roman"/>
      <w:szCs w:val="20"/>
      <w:lang w:eastAsia="cs-CZ"/>
    </w:rPr>
  </w:style>
  <w:style w:type="paragraph" w:customStyle="1" w:styleId="slovanseznamB4">
    <w:name w:val="Číslovaný seznam B 4"/>
    <w:basedOn w:val="Normln"/>
    <w:uiPriority w:val="16"/>
    <w:qFormat/>
    <w:rsid w:val="003F00A9"/>
    <w:pPr>
      <w:numPr>
        <w:ilvl w:val="3"/>
        <w:numId w:val="25"/>
      </w:numPr>
      <w:overflowPunct w:val="0"/>
      <w:autoSpaceDE w:val="0"/>
      <w:autoSpaceDN w:val="0"/>
      <w:adjustRightInd w:val="0"/>
      <w:spacing w:after="0" w:line="340" w:lineRule="exact"/>
      <w:jc w:val="both"/>
      <w:textAlignment w:val="baseline"/>
    </w:pPr>
    <w:rPr>
      <w:rFonts w:eastAsia="Times New Roman" w:cs="Times New Roman"/>
      <w:szCs w:val="20"/>
      <w:lang w:eastAsia="cs-CZ"/>
    </w:rPr>
  </w:style>
  <w:style w:type="paragraph" w:customStyle="1" w:styleId="slovanseznamB5">
    <w:name w:val="Číslovaný seznam B 5"/>
    <w:basedOn w:val="Normln"/>
    <w:uiPriority w:val="16"/>
    <w:qFormat/>
    <w:rsid w:val="003F00A9"/>
    <w:pPr>
      <w:numPr>
        <w:ilvl w:val="4"/>
        <w:numId w:val="25"/>
      </w:numPr>
      <w:overflowPunct w:val="0"/>
      <w:autoSpaceDE w:val="0"/>
      <w:autoSpaceDN w:val="0"/>
      <w:adjustRightInd w:val="0"/>
      <w:spacing w:after="0" w:line="340" w:lineRule="exact"/>
      <w:jc w:val="both"/>
      <w:textAlignment w:val="baseline"/>
    </w:pPr>
    <w:rPr>
      <w:rFonts w:eastAsia="Times New Roman" w:cs="Times New Roman"/>
      <w:szCs w:val="20"/>
      <w:lang w:eastAsia="cs-CZ"/>
    </w:rPr>
  </w:style>
  <w:style w:type="table" w:customStyle="1" w:styleId="Svtlmkatabulky13">
    <w:name w:val="Světlá mřížka tabulky13"/>
    <w:basedOn w:val="Normlntabulka"/>
    <w:uiPriority w:val="40"/>
    <w:rsid w:val="00D508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tlmkatabulky14">
    <w:name w:val="Světlá mřížka tabulky14"/>
    <w:basedOn w:val="Normlntabulka"/>
    <w:uiPriority w:val="40"/>
    <w:rsid w:val="00BD5E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tlmkatabulky15">
    <w:name w:val="Světlá mřížka tabulky15"/>
    <w:basedOn w:val="Normlntabulka"/>
    <w:uiPriority w:val="40"/>
    <w:rsid w:val="000052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eenzmnka2">
    <w:name w:val="Nevyřešená zmínka2"/>
    <w:basedOn w:val="Standardnpsmoodstavce"/>
    <w:uiPriority w:val="99"/>
    <w:semiHidden/>
    <w:unhideWhenUsed/>
    <w:rsid w:val="005E72CA"/>
    <w:rPr>
      <w:color w:val="605E5C"/>
      <w:shd w:val="clear" w:color="auto" w:fill="E1DFDD"/>
    </w:rPr>
  </w:style>
  <w:style w:type="paragraph" w:styleId="Revize">
    <w:name w:val="Revision"/>
    <w:hidden/>
    <w:uiPriority w:val="99"/>
    <w:semiHidden/>
    <w:rsid w:val="00293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7706">
      <w:bodyDiv w:val="1"/>
      <w:marLeft w:val="0"/>
      <w:marRight w:val="0"/>
      <w:marTop w:val="0"/>
      <w:marBottom w:val="0"/>
      <w:divBdr>
        <w:top w:val="none" w:sz="0" w:space="0" w:color="auto"/>
        <w:left w:val="none" w:sz="0" w:space="0" w:color="auto"/>
        <w:bottom w:val="none" w:sz="0" w:space="0" w:color="auto"/>
        <w:right w:val="none" w:sz="0" w:space="0" w:color="auto"/>
      </w:divBdr>
    </w:div>
    <w:div w:id="36513616">
      <w:bodyDiv w:val="1"/>
      <w:marLeft w:val="0"/>
      <w:marRight w:val="0"/>
      <w:marTop w:val="0"/>
      <w:marBottom w:val="0"/>
      <w:divBdr>
        <w:top w:val="none" w:sz="0" w:space="0" w:color="auto"/>
        <w:left w:val="none" w:sz="0" w:space="0" w:color="auto"/>
        <w:bottom w:val="none" w:sz="0" w:space="0" w:color="auto"/>
        <w:right w:val="none" w:sz="0" w:space="0" w:color="auto"/>
      </w:divBdr>
    </w:div>
    <w:div w:id="116267992">
      <w:bodyDiv w:val="1"/>
      <w:marLeft w:val="0"/>
      <w:marRight w:val="0"/>
      <w:marTop w:val="0"/>
      <w:marBottom w:val="0"/>
      <w:divBdr>
        <w:top w:val="none" w:sz="0" w:space="0" w:color="auto"/>
        <w:left w:val="none" w:sz="0" w:space="0" w:color="auto"/>
        <w:bottom w:val="none" w:sz="0" w:space="0" w:color="auto"/>
        <w:right w:val="none" w:sz="0" w:space="0" w:color="auto"/>
      </w:divBdr>
    </w:div>
    <w:div w:id="172884189">
      <w:bodyDiv w:val="1"/>
      <w:marLeft w:val="0"/>
      <w:marRight w:val="0"/>
      <w:marTop w:val="0"/>
      <w:marBottom w:val="0"/>
      <w:divBdr>
        <w:top w:val="none" w:sz="0" w:space="0" w:color="auto"/>
        <w:left w:val="none" w:sz="0" w:space="0" w:color="auto"/>
        <w:bottom w:val="none" w:sz="0" w:space="0" w:color="auto"/>
        <w:right w:val="none" w:sz="0" w:space="0" w:color="auto"/>
      </w:divBdr>
    </w:div>
    <w:div w:id="225342043">
      <w:bodyDiv w:val="1"/>
      <w:marLeft w:val="0"/>
      <w:marRight w:val="0"/>
      <w:marTop w:val="0"/>
      <w:marBottom w:val="0"/>
      <w:divBdr>
        <w:top w:val="none" w:sz="0" w:space="0" w:color="auto"/>
        <w:left w:val="none" w:sz="0" w:space="0" w:color="auto"/>
        <w:bottom w:val="none" w:sz="0" w:space="0" w:color="auto"/>
        <w:right w:val="none" w:sz="0" w:space="0" w:color="auto"/>
      </w:divBdr>
    </w:div>
    <w:div w:id="240799338">
      <w:bodyDiv w:val="1"/>
      <w:marLeft w:val="0"/>
      <w:marRight w:val="0"/>
      <w:marTop w:val="0"/>
      <w:marBottom w:val="0"/>
      <w:divBdr>
        <w:top w:val="none" w:sz="0" w:space="0" w:color="auto"/>
        <w:left w:val="none" w:sz="0" w:space="0" w:color="auto"/>
        <w:bottom w:val="none" w:sz="0" w:space="0" w:color="auto"/>
        <w:right w:val="none" w:sz="0" w:space="0" w:color="auto"/>
      </w:divBdr>
    </w:div>
    <w:div w:id="242766668">
      <w:bodyDiv w:val="1"/>
      <w:marLeft w:val="0"/>
      <w:marRight w:val="0"/>
      <w:marTop w:val="0"/>
      <w:marBottom w:val="0"/>
      <w:divBdr>
        <w:top w:val="none" w:sz="0" w:space="0" w:color="auto"/>
        <w:left w:val="none" w:sz="0" w:space="0" w:color="auto"/>
        <w:bottom w:val="none" w:sz="0" w:space="0" w:color="auto"/>
        <w:right w:val="none" w:sz="0" w:space="0" w:color="auto"/>
      </w:divBdr>
    </w:div>
    <w:div w:id="272325498">
      <w:bodyDiv w:val="1"/>
      <w:marLeft w:val="0"/>
      <w:marRight w:val="0"/>
      <w:marTop w:val="0"/>
      <w:marBottom w:val="0"/>
      <w:divBdr>
        <w:top w:val="none" w:sz="0" w:space="0" w:color="auto"/>
        <w:left w:val="none" w:sz="0" w:space="0" w:color="auto"/>
        <w:bottom w:val="none" w:sz="0" w:space="0" w:color="auto"/>
        <w:right w:val="none" w:sz="0" w:space="0" w:color="auto"/>
      </w:divBdr>
      <w:divsChild>
        <w:div w:id="1542092486">
          <w:marLeft w:val="576"/>
          <w:marRight w:val="0"/>
          <w:marTop w:val="0"/>
          <w:marBottom w:val="0"/>
          <w:divBdr>
            <w:top w:val="none" w:sz="0" w:space="0" w:color="auto"/>
            <w:left w:val="none" w:sz="0" w:space="0" w:color="auto"/>
            <w:bottom w:val="none" w:sz="0" w:space="0" w:color="auto"/>
            <w:right w:val="none" w:sz="0" w:space="0" w:color="auto"/>
          </w:divBdr>
        </w:div>
        <w:div w:id="134445765">
          <w:marLeft w:val="576"/>
          <w:marRight w:val="0"/>
          <w:marTop w:val="0"/>
          <w:marBottom w:val="0"/>
          <w:divBdr>
            <w:top w:val="none" w:sz="0" w:space="0" w:color="auto"/>
            <w:left w:val="none" w:sz="0" w:space="0" w:color="auto"/>
            <w:bottom w:val="none" w:sz="0" w:space="0" w:color="auto"/>
            <w:right w:val="none" w:sz="0" w:space="0" w:color="auto"/>
          </w:divBdr>
        </w:div>
        <w:div w:id="68771483">
          <w:marLeft w:val="576"/>
          <w:marRight w:val="0"/>
          <w:marTop w:val="0"/>
          <w:marBottom w:val="0"/>
          <w:divBdr>
            <w:top w:val="none" w:sz="0" w:space="0" w:color="auto"/>
            <w:left w:val="none" w:sz="0" w:space="0" w:color="auto"/>
            <w:bottom w:val="none" w:sz="0" w:space="0" w:color="auto"/>
            <w:right w:val="none" w:sz="0" w:space="0" w:color="auto"/>
          </w:divBdr>
        </w:div>
      </w:divsChild>
    </w:div>
    <w:div w:id="293563492">
      <w:bodyDiv w:val="1"/>
      <w:marLeft w:val="0"/>
      <w:marRight w:val="0"/>
      <w:marTop w:val="0"/>
      <w:marBottom w:val="0"/>
      <w:divBdr>
        <w:top w:val="none" w:sz="0" w:space="0" w:color="auto"/>
        <w:left w:val="none" w:sz="0" w:space="0" w:color="auto"/>
        <w:bottom w:val="none" w:sz="0" w:space="0" w:color="auto"/>
        <w:right w:val="none" w:sz="0" w:space="0" w:color="auto"/>
      </w:divBdr>
    </w:div>
    <w:div w:id="337469428">
      <w:bodyDiv w:val="1"/>
      <w:marLeft w:val="0"/>
      <w:marRight w:val="0"/>
      <w:marTop w:val="0"/>
      <w:marBottom w:val="0"/>
      <w:divBdr>
        <w:top w:val="none" w:sz="0" w:space="0" w:color="auto"/>
        <w:left w:val="none" w:sz="0" w:space="0" w:color="auto"/>
        <w:bottom w:val="none" w:sz="0" w:space="0" w:color="auto"/>
        <w:right w:val="none" w:sz="0" w:space="0" w:color="auto"/>
      </w:divBdr>
    </w:div>
    <w:div w:id="353117123">
      <w:bodyDiv w:val="1"/>
      <w:marLeft w:val="0"/>
      <w:marRight w:val="0"/>
      <w:marTop w:val="0"/>
      <w:marBottom w:val="0"/>
      <w:divBdr>
        <w:top w:val="none" w:sz="0" w:space="0" w:color="auto"/>
        <w:left w:val="none" w:sz="0" w:space="0" w:color="auto"/>
        <w:bottom w:val="none" w:sz="0" w:space="0" w:color="auto"/>
        <w:right w:val="none" w:sz="0" w:space="0" w:color="auto"/>
      </w:divBdr>
    </w:div>
    <w:div w:id="447550725">
      <w:bodyDiv w:val="1"/>
      <w:marLeft w:val="0"/>
      <w:marRight w:val="0"/>
      <w:marTop w:val="0"/>
      <w:marBottom w:val="0"/>
      <w:divBdr>
        <w:top w:val="none" w:sz="0" w:space="0" w:color="auto"/>
        <w:left w:val="none" w:sz="0" w:space="0" w:color="auto"/>
        <w:bottom w:val="none" w:sz="0" w:space="0" w:color="auto"/>
        <w:right w:val="none" w:sz="0" w:space="0" w:color="auto"/>
      </w:divBdr>
    </w:div>
    <w:div w:id="450973574">
      <w:bodyDiv w:val="1"/>
      <w:marLeft w:val="0"/>
      <w:marRight w:val="0"/>
      <w:marTop w:val="0"/>
      <w:marBottom w:val="0"/>
      <w:divBdr>
        <w:top w:val="none" w:sz="0" w:space="0" w:color="auto"/>
        <w:left w:val="none" w:sz="0" w:space="0" w:color="auto"/>
        <w:bottom w:val="none" w:sz="0" w:space="0" w:color="auto"/>
        <w:right w:val="none" w:sz="0" w:space="0" w:color="auto"/>
      </w:divBdr>
    </w:div>
    <w:div w:id="458651490">
      <w:bodyDiv w:val="1"/>
      <w:marLeft w:val="0"/>
      <w:marRight w:val="0"/>
      <w:marTop w:val="0"/>
      <w:marBottom w:val="0"/>
      <w:divBdr>
        <w:top w:val="none" w:sz="0" w:space="0" w:color="auto"/>
        <w:left w:val="none" w:sz="0" w:space="0" w:color="auto"/>
        <w:bottom w:val="none" w:sz="0" w:space="0" w:color="auto"/>
        <w:right w:val="none" w:sz="0" w:space="0" w:color="auto"/>
      </w:divBdr>
    </w:div>
    <w:div w:id="517626622">
      <w:bodyDiv w:val="1"/>
      <w:marLeft w:val="0"/>
      <w:marRight w:val="0"/>
      <w:marTop w:val="0"/>
      <w:marBottom w:val="0"/>
      <w:divBdr>
        <w:top w:val="none" w:sz="0" w:space="0" w:color="auto"/>
        <w:left w:val="none" w:sz="0" w:space="0" w:color="auto"/>
        <w:bottom w:val="none" w:sz="0" w:space="0" w:color="auto"/>
        <w:right w:val="none" w:sz="0" w:space="0" w:color="auto"/>
      </w:divBdr>
    </w:div>
    <w:div w:id="573662509">
      <w:bodyDiv w:val="1"/>
      <w:marLeft w:val="0"/>
      <w:marRight w:val="0"/>
      <w:marTop w:val="0"/>
      <w:marBottom w:val="0"/>
      <w:divBdr>
        <w:top w:val="none" w:sz="0" w:space="0" w:color="auto"/>
        <w:left w:val="none" w:sz="0" w:space="0" w:color="auto"/>
        <w:bottom w:val="none" w:sz="0" w:space="0" w:color="auto"/>
        <w:right w:val="none" w:sz="0" w:space="0" w:color="auto"/>
      </w:divBdr>
    </w:div>
    <w:div w:id="600989766">
      <w:bodyDiv w:val="1"/>
      <w:marLeft w:val="0"/>
      <w:marRight w:val="0"/>
      <w:marTop w:val="0"/>
      <w:marBottom w:val="0"/>
      <w:divBdr>
        <w:top w:val="none" w:sz="0" w:space="0" w:color="auto"/>
        <w:left w:val="none" w:sz="0" w:space="0" w:color="auto"/>
        <w:bottom w:val="none" w:sz="0" w:space="0" w:color="auto"/>
        <w:right w:val="none" w:sz="0" w:space="0" w:color="auto"/>
      </w:divBdr>
    </w:div>
    <w:div w:id="607277097">
      <w:bodyDiv w:val="1"/>
      <w:marLeft w:val="0"/>
      <w:marRight w:val="0"/>
      <w:marTop w:val="0"/>
      <w:marBottom w:val="0"/>
      <w:divBdr>
        <w:top w:val="none" w:sz="0" w:space="0" w:color="auto"/>
        <w:left w:val="none" w:sz="0" w:space="0" w:color="auto"/>
        <w:bottom w:val="none" w:sz="0" w:space="0" w:color="auto"/>
        <w:right w:val="none" w:sz="0" w:space="0" w:color="auto"/>
      </w:divBdr>
    </w:div>
    <w:div w:id="608318406">
      <w:bodyDiv w:val="1"/>
      <w:marLeft w:val="0"/>
      <w:marRight w:val="0"/>
      <w:marTop w:val="0"/>
      <w:marBottom w:val="0"/>
      <w:divBdr>
        <w:top w:val="none" w:sz="0" w:space="0" w:color="auto"/>
        <w:left w:val="none" w:sz="0" w:space="0" w:color="auto"/>
        <w:bottom w:val="none" w:sz="0" w:space="0" w:color="auto"/>
        <w:right w:val="none" w:sz="0" w:space="0" w:color="auto"/>
      </w:divBdr>
    </w:div>
    <w:div w:id="669648397">
      <w:bodyDiv w:val="1"/>
      <w:marLeft w:val="0"/>
      <w:marRight w:val="0"/>
      <w:marTop w:val="0"/>
      <w:marBottom w:val="0"/>
      <w:divBdr>
        <w:top w:val="none" w:sz="0" w:space="0" w:color="auto"/>
        <w:left w:val="none" w:sz="0" w:space="0" w:color="auto"/>
        <w:bottom w:val="none" w:sz="0" w:space="0" w:color="auto"/>
        <w:right w:val="none" w:sz="0" w:space="0" w:color="auto"/>
      </w:divBdr>
    </w:div>
    <w:div w:id="737287114">
      <w:bodyDiv w:val="1"/>
      <w:marLeft w:val="0"/>
      <w:marRight w:val="0"/>
      <w:marTop w:val="0"/>
      <w:marBottom w:val="0"/>
      <w:divBdr>
        <w:top w:val="none" w:sz="0" w:space="0" w:color="auto"/>
        <w:left w:val="none" w:sz="0" w:space="0" w:color="auto"/>
        <w:bottom w:val="none" w:sz="0" w:space="0" w:color="auto"/>
        <w:right w:val="none" w:sz="0" w:space="0" w:color="auto"/>
      </w:divBdr>
    </w:div>
    <w:div w:id="758795813">
      <w:bodyDiv w:val="1"/>
      <w:marLeft w:val="0"/>
      <w:marRight w:val="0"/>
      <w:marTop w:val="0"/>
      <w:marBottom w:val="0"/>
      <w:divBdr>
        <w:top w:val="none" w:sz="0" w:space="0" w:color="auto"/>
        <w:left w:val="none" w:sz="0" w:space="0" w:color="auto"/>
        <w:bottom w:val="none" w:sz="0" w:space="0" w:color="auto"/>
        <w:right w:val="none" w:sz="0" w:space="0" w:color="auto"/>
      </w:divBdr>
    </w:div>
    <w:div w:id="766539556">
      <w:bodyDiv w:val="1"/>
      <w:marLeft w:val="0"/>
      <w:marRight w:val="0"/>
      <w:marTop w:val="0"/>
      <w:marBottom w:val="0"/>
      <w:divBdr>
        <w:top w:val="none" w:sz="0" w:space="0" w:color="auto"/>
        <w:left w:val="none" w:sz="0" w:space="0" w:color="auto"/>
        <w:bottom w:val="none" w:sz="0" w:space="0" w:color="auto"/>
        <w:right w:val="none" w:sz="0" w:space="0" w:color="auto"/>
      </w:divBdr>
      <w:divsChild>
        <w:div w:id="2015834223">
          <w:marLeft w:val="576"/>
          <w:marRight w:val="0"/>
          <w:marTop w:val="0"/>
          <w:marBottom w:val="0"/>
          <w:divBdr>
            <w:top w:val="none" w:sz="0" w:space="0" w:color="auto"/>
            <w:left w:val="none" w:sz="0" w:space="0" w:color="auto"/>
            <w:bottom w:val="none" w:sz="0" w:space="0" w:color="auto"/>
            <w:right w:val="none" w:sz="0" w:space="0" w:color="auto"/>
          </w:divBdr>
        </w:div>
      </w:divsChild>
    </w:div>
    <w:div w:id="777026146">
      <w:bodyDiv w:val="1"/>
      <w:marLeft w:val="0"/>
      <w:marRight w:val="0"/>
      <w:marTop w:val="0"/>
      <w:marBottom w:val="0"/>
      <w:divBdr>
        <w:top w:val="none" w:sz="0" w:space="0" w:color="auto"/>
        <w:left w:val="none" w:sz="0" w:space="0" w:color="auto"/>
        <w:bottom w:val="none" w:sz="0" w:space="0" w:color="auto"/>
        <w:right w:val="none" w:sz="0" w:space="0" w:color="auto"/>
      </w:divBdr>
    </w:div>
    <w:div w:id="797181826">
      <w:bodyDiv w:val="1"/>
      <w:marLeft w:val="0"/>
      <w:marRight w:val="0"/>
      <w:marTop w:val="0"/>
      <w:marBottom w:val="0"/>
      <w:divBdr>
        <w:top w:val="none" w:sz="0" w:space="0" w:color="auto"/>
        <w:left w:val="none" w:sz="0" w:space="0" w:color="auto"/>
        <w:bottom w:val="none" w:sz="0" w:space="0" w:color="auto"/>
        <w:right w:val="none" w:sz="0" w:space="0" w:color="auto"/>
      </w:divBdr>
    </w:div>
    <w:div w:id="839852572">
      <w:bodyDiv w:val="1"/>
      <w:marLeft w:val="0"/>
      <w:marRight w:val="0"/>
      <w:marTop w:val="0"/>
      <w:marBottom w:val="0"/>
      <w:divBdr>
        <w:top w:val="none" w:sz="0" w:space="0" w:color="auto"/>
        <w:left w:val="none" w:sz="0" w:space="0" w:color="auto"/>
        <w:bottom w:val="none" w:sz="0" w:space="0" w:color="auto"/>
        <w:right w:val="none" w:sz="0" w:space="0" w:color="auto"/>
      </w:divBdr>
    </w:div>
    <w:div w:id="932131576">
      <w:bodyDiv w:val="1"/>
      <w:marLeft w:val="0"/>
      <w:marRight w:val="0"/>
      <w:marTop w:val="0"/>
      <w:marBottom w:val="0"/>
      <w:divBdr>
        <w:top w:val="none" w:sz="0" w:space="0" w:color="auto"/>
        <w:left w:val="none" w:sz="0" w:space="0" w:color="auto"/>
        <w:bottom w:val="none" w:sz="0" w:space="0" w:color="auto"/>
        <w:right w:val="none" w:sz="0" w:space="0" w:color="auto"/>
      </w:divBdr>
    </w:div>
    <w:div w:id="948852293">
      <w:bodyDiv w:val="1"/>
      <w:marLeft w:val="0"/>
      <w:marRight w:val="0"/>
      <w:marTop w:val="0"/>
      <w:marBottom w:val="0"/>
      <w:divBdr>
        <w:top w:val="none" w:sz="0" w:space="0" w:color="auto"/>
        <w:left w:val="none" w:sz="0" w:space="0" w:color="auto"/>
        <w:bottom w:val="none" w:sz="0" w:space="0" w:color="auto"/>
        <w:right w:val="none" w:sz="0" w:space="0" w:color="auto"/>
      </w:divBdr>
    </w:div>
    <w:div w:id="969164850">
      <w:bodyDiv w:val="1"/>
      <w:marLeft w:val="0"/>
      <w:marRight w:val="0"/>
      <w:marTop w:val="0"/>
      <w:marBottom w:val="0"/>
      <w:divBdr>
        <w:top w:val="none" w:sz="0" w:space="0" w:color="auto"/>
        <w:left w:val="none" w:sz="0" w:space="0" w:color="auto"/>
        <w:bottom w:val="none" w:sz="0" w:space="0" w:color="auto"/>
        <w:right w:val="none" w:sz="0" w:space="0" w:color="auto"/>
      </w:divBdr>
    </w:div>
    <w:div w:id="1015814313">
      <w:bodyDiv w:val="1"/>
      <w:marLeft w:val="0"/>
      <w:marRight w:val="0"/>
      <w:marTop w:val="0"/>
      <w:marBottom w:val="0"/>
      <w:divBdr>
        <w:top w:val="none" w:sz="0" w:space="0" w:color="auto"/>
        <w:left w:val="none" w:sz="0" w:space="0" w:color="auto"/>
        <w:bottom w:val="none" w:sz="0" w:space="0" w:color="auto"/>
        <w:right w:val="none" w:sz="0" w:space="0" w:color="auto"/>
      </w:divBdr>
    </w:div>
    <w:div w:id="1022632990">
      <w:bodyDiv w:val="1"/>
      <w:marLeft w:val="0"/>
      <w:marRight w:val="0"/>
      <w:marTop w:val="0"/>
      <w:marBottom w:val="0"/>
      <w:divBdr>
        <w:top w:val="none" w:sz="0" w:space="0" w:color="auto"/>
        <w:left w:val="none" w:sz="0" w:space="0" w:color="auto"/>
        <w:bottom w:val="none" w:sz="0" w:space="0" w:color="auto"/>
        <w:right w:val="none" w:sz="0" w:space="0" w:color="auto"/>
      </w:divBdr>
    </w:div>
    <w:div w:id="1055197334">
      <w:bodyDiv w:val="1"/>
      <w:marLeft w:val="0"/>
      <w:marRight w:val="0"/>
      <w:marTop w:val="0"/>
      <w:marBottom w:val="0"/>
      <w:divBdr>
        <w:top w:val="none" w:sz="0" w:space="0" w:color="auto"/>
        <w:left w:val="none" w:sz="0" w:space="0" w:color="auto"/>
        <w:bottom w:val="none" w:sz="0" w:space="0" w:color="auto"/>
        <w:right w:val="none" w:sz="0" w:space="0" w:color="auto"/>
      </w:divBdr>
    </w:div>
    <w:div w:id="1114322429">
      <w:bodyDiv w:val="1"/>
      <w:marLeft w:val="0"/>
      <w:marRight w:val="0"/>
      <w:marTop w:val="0"/>
      <w:marBottom w:val="0"/>
      <w:divBdr>
        <w:top w:val="none" w:sz="0" w:space="0" w:color="auto"/>
        <w:left w:val="none" w:sz="0" w:space="0" w:color="auto"/>
        <w:bottom w:val="none" w:sz="0" w:space="0" w:color="auto"/>
        <w:right w:val="none" w:sz="0" w:space="0" w:color="auto"/>
      </w:divBdr>
    </w:div>
    <w:div w:id="1118060578">
      <w:bodyDiv w:val="1"/>
      <w:marLeft w:val="0"/>
      <w:marRight w:val="0"/>
      <w:marTop w:val="0"/>
      <w:marBottom w:val="0"/>
      <w:divBdr>
        <w:top w:val="none" w:sz="0" w:space="0" w:color="auto"/>
        <w:left w:val="none" w:sz="0" w:space="0" w:color="auto"/>
        <w:bottom w:val="none" w:sz="0" w:space="0" w:color="auto"/>
        <w:right w:val="none" w:sz="0" w:space="0" w:color="auto"/>
      </w:divBdr>
    </w:div>
    <w:div w:id="1124733556">
      <w:bodyDiv w:val="1"/>
      <w:marLeft w:val="0"/>
      <w:marRight w:val="0"/>
      <w:marTop w:val="0"/>
      <w:marBottom w:val="0"/>
      <w:divBdr>
        <w:top w:val="none" w:sz="0" w:space="0" w:color="auto"/>
        <w:left w:val="none" w:sz="0" w:space="0" w:color="auto"/>
        <w:bottom w:val="none" w:sz="0" w:space="0" w:color="auto"/>
        <w:right w:val="none" w:sz="0" w:space="0" w:color="auto"/>
      </w:divBdr>
    </w:div>
    <w:div w:id="1139608716">
      <w:bodyDiv w:val="1"/>
      <w:marLeft w:val="0"/>
      <w:marRight w:val="0"/>
      <w:marTop w:val="0"/>
      <w:marBottom w:val="0"/>
      <w:divBdr>
        <w:top w:val="none" w:sz="0" w:space="0" w:color="auto"/>
        <w:left w:val="none" w:sz="0" w:space="0" w:color="auto"/>
        <w:bottom w:val="none" w:sz="0" w:space="0" w:color="auto"/>
        <w:right w:val="none" w:sz="0" w:space="0" w:color="auto"/>
      </w:divBdr>
    </w:div>
    <w:div w:id="1153065276">
      <w:bodyDiv w:val="1"/>
      <w:marLeft w:val="0"/>
      <w:marRight w:val="0"/>
      <w:marTop w:val="0"/>
      <w:marBottom w:val="0"/>
      <w:divBdr>
        <w:top w:val="none" w:sz="0" w:space="0" w:color="auto"/>
        <w:left w:val="none" w:sz="0" w:space="0" w:color="auto"/>
        <w:bottom w:val="none" w:sz="0" w:space="0" w:color="auto"/>
        <w:right w:val="none" w:sz="0" w:space="0" w:color="auto"/>
      </w:divBdr>
    </w:div>
    <w:div w:id="1167942119">
      <w:bodyDiv w:val="1"/>
      <w:marLeft w:val="0"/>
      <w:marRight w:val="0"/>
      <w:marTop w:val="0"/>
      <w:marBottom w:val="0"/>
      <w:divBdr>
        <w:top w:val="none" w:sz="0" w:space="0" w:color="auto"/>
        <w:left w:val="none" w:sz="0" w:space="0" w:color="auto"/>
        <w:bottom w:val="none" w:sz="0" w:space="0" w:color="auto"/>
        <w:right w:val="none" w:sz="0" w:space="0" w:color="auto"/>
      </w:divBdr>
    </w:div>
    <w:div w:id="1240560946">
      <w:bodyDiv w:val="1"/>
      <w:marLeft w:val="0"/>
      <w:marRight w:val="0"/>
      <w:marTop w:val="0"/>
      <w:marBottom w:val="0"/>
      <w:divBdr>
        <w:top w:val="none" w:sz="0" w:space="0" w:color="auto"/>
        <w:left w:val="none" w:sz="0" w:space="0" w:color="auto"/>
        <w:bottom w:val="none" w:sz="0" w:space="0" w:color="auto"/>
        <w:right w:val="none" w:sz="0" w:space="0" w:color="auto"/>
      </w:divBdr>
    </w:div>
    <w:div w:id="1293366621">
      <w:bodyDiv w:val="1"/>
      <w:marLeft w:val="0"/>
      <w:marRight w:val="0"/>
      <w:marTop w:val="0"/>
      <w:marBottom w:val="0"/>
      <w:divBdr>
        <w:top w:val="none" w:sz="0" w:space="0" w:color="auto"/>
        <w:left w:val="none" w:sz="0" w:space="0" w:color="auto"/>
        <w:bottom w:val="none" w:sz="0" w:space="0" w:color="auto"/>
        <w:right w:val="none" w:sz="0" w:space="0" w:color="auto"/>
      </w:divBdr>
    </w:div>
    <w:div w:id="1301230225">
      <w:bodyDiv w:val="1"/>
      <w:marLeft w:val="0"/>
      <w:marRight w:val="0"/>
      <w:marTop w:val="0"/>
      <w:marBottom w:val="0"/>
      <w:divBdr>
        <w:top w:val="none" w:sz="0" w:space="0" w:color="auto"/>
        <w:left w:val="none" w:sz="0" w:space="0" w:color="auto"/>
        <w:bottom w:val="none" w:sz="0" w:space="0" w:color="auto"/>
        <w:right w:val="none" w:sz="0" w:space="0" w:color="auto"/>
      </w:divBdr>
      <w:divsChild>
        <w:div w:id="845942920">
          <w:marLeft w:val="576"/>
          <w:marRight w:val="0"/>
          <w:marTop w:val="0"/>
          <w:marBottom w:val="0"/>
          <w:divBdr>
            <w:top w:val="none" w:sz="0" w:space="0" w:color="auto"/>
            <w:left w:val="none" w:sz="0" w:space="0" w:color="auto"/>
            <w:bottom w:val="none" w:sz="0" w:space="0" w:color="auto"/>
            <w:right w:val="none" w:sz="0" w:space="0" w:color="auto"/>
          </w:divBdr>
        </w:div>
      </w:divsChild>
    </w:div>
    <w:div w:id="1340085103">
      <w:bodyDiv w:val="1"/>
      <w:marLeft w:val="0"/>
      <w:marRight w:val="0"/>
      <w:marTop w:val="0"/>
      <w:marBottom w:val="0"/>
      <w:divBdr>
        <w:top w:val="none" w:sz="0" w:space="0" w:color="auto"/>
        <w:left w:val="none" w:sz="0" w:space="0" w:color="auto"/>
        <w:bottom w:val="none" w:sz="0" w:space="0" w:color="auto"/>
        <w:right w:val="none" w:sz="0" w:space="0" w:color="auto"/>
      </w:divBdr>
      <w:divsChild>
        <w:div w:id="1926450147">
          <w:marLeft w:val="576"/>
          <w:marRight w:val="0"/>
          <w:marTop w:val="0"/>
          <w:marBottom w:val="0"/>
          <w:divBdr>
            <w:top w:val="none" w:sz="0" w:space="0" w:color="auto"/>
            <w:left w:val="none" w:sz="0" w:space="0" w:color="auto"/>
            <w:bottom w:val="none" w:sz="0" w:space="0" w:color="auto"/>
            <w:right w:val="none" w:sz="0" w:space="0" w:color="auto"/>
          </w:divBdr>
        </w:div>
        <w:div w:id="234440614">
          <w:marLeft w:val="576"/>
          <w:marRight w:val="0"/>
          <w:marTop w:val="0"/>
          <w:marBottom w:val="0"/>
          <w:divBdr>
            <w:top w:val="none" w:sz="0" w:space="0" w:color="auto"/>
            <w:left w:val="none" w:sz="0" w:space="0" w:color="auto"/>
            <w:bottom w:val="none" w:sz="0" w:space="0" w:color="auto"/>
            <w:right w:val="none" w:sz="0" w:space="0" w:color="auto"/>
          </w:divBdr>
        </w:div>
        <w:div w:id="1916016343">
          <w:marLeft w:val="576"/>
          <w:marRight w:val="0"/>
          <w:marTop w:val="0"/>
          <w:marBottom w:val="0"/>
          <w:divBdr>
            <w:top w:val="none" w:sz="0" w:space="0" w:color="auto"/>
            <w:left w:val="none" w:sz="0" w:space="0" w:color="auto"/>
            <w:bottom w:val="none" w:sz="0" w:space="0" w:color="auto"/>
            <w:right w:val="none" w:sz="0" w:space="0" w:color="auto"/>
          </w:divBdr>
        </w:div>
      </w:divsChild>
    </w:div>
    <w:div w:id="1349331537">
      <w:bodyDiv w:val="1"/>
      <w:marLeft w:val="0"/>
      <w:marRight w:val="0"/>
      <w:marTop w:val="0"/>
      <w:marBottom w:val="0"/>
      <w:divBdr>
        <w:top w:val="none" w:sz="0" w:space="0" w:color="auto"/>
        <w:left w:val="none" w:sz="0" w:space="0" w:color="auto"/>
        <w:bottom w:val="none" w:sz="0" w:space="0" w:color="auto"/>
        <w:right w:val="none" w:sz="0" w:space="0" w:color="auto"/>
      </w:divBdr>
    </w:div>
    <w:div w:id="1464999733">
      <w:bodyDiv w:val="1"/>
      <w:marLeft w:val="0"/>
      <w:marRight w:val="0"/>
      <w:marTop w:val="0"/>
      <w:marBottom w:val="0"/>
      <w:divBdr>
        <w:top w:val="none" w:sz="0" w:space="0" w:color="auto"/>
        <w:left w:val="none" w:sz="0" w:space="0" w:color="auto"/>
        <w:bottom w:val="none" w:sz="0" w:space="0" w:color="auto"/>
        <w:right w:val="none" w:sz="0" w:space="0" w:color="auto"/>
      </w:divBdr>
    </w:div>
    <w:div w:id="1504006244">
      <w:bodyDiv w:val="1"/>
      <w:marLeft w:val="0"/>
      <w:marRight w:val="0"/>
      <w:marTop w:val="0"/>
      <w:marBottom w:val="0"/>
      <w:divBdr>
        <w:top w:val="none" w:sz="0" w:space="0" w:color="auto"/>
        <w:left w:val="none" w:sz="0" w:space="0" w:color="auto"/>
        <w:bottom w:val="none" w:sz="0" w:space="0" w:color="auto"/>
        <w:right w:val="none" w:sz="0" w:space="0" w:color="auto"/>
      </w:divBdr>
    </w:div>
    <w:div w:id="1504198465">
      <w:bodyDiv w:val="1"/>
      <w:marLeft w:val="0"/>
      <w:marRight w:val="0"/>
      <w:marTop w:val="0"/>
      <w:marBottom w:val="0"/>
      <w:divBdr>
        <w:top w:val="none" w:sz="0" w:space="0" w:color="auto"/>
        <w:left w:val="none" w:sz="0" w:space="0" w:color="auto"/>
        <w:bottom w:val="none" w:sz="0" w:space="0" w:color="auto"/>
        <w:right w:val="none" w:sz="0" w:space="0" w:color="auto"/>
      </w:divBdr>
    </w:div>
    <w:div w:id="1538813404">
      <w:bodyDiv w:val="1"/>
      <w:marLeft w:val="0"/>
      <w:marRight w:val="0"/>
      <w:marTop w:val="0"/>
      <w:marBottom w:val="0"/>
      <w:divBdr>
        <w:top w:val="none" w:sz="0" w:space="0" w:color="auto"/>
        <w:left w:val="none" w:sz="0" w:space="0" w:color="auto"/>
        <w:bottom w:val="none" w:sz="0" w:space="0" w:color="auto"/>
        <w:right w:val="none" w:sz="0" w:space="0" w:color="auto"/>
      </w:divBdr>
    </w:div>
    <w:div w:id="1573273142">
      <w:bodyDiv w:val="1"/>
      <w:marLeft w:val="0"/>
      <w:marRight w:val="0"/>
      <w:marTop w:val="0"/>
      <w:marBottom w:val="0"/>
      <w:divBdr>
        <w:top w:val="none" w:sz="0" w:space="0" w:color="auto"/>
        <w:left w:val="none" w:sz="0" w:space="0" w:color="auto"/>
        <w:bottom w:val="none" w:sz="0" w:space="0" w:color="auto"/>
        <w:right w:val="none" w:sz="0" w:space="0" w:color="auto"/>
      </w:divBdr>
    </w:div>
    <w:div w:id="1578978194">
      <w:bodyDiv w:val="1"/>
      <w:marLeft w:val="0"/>
      <w:marRight w:val="0"/>
      <w:marTop w:val="0"/>
      <w:marBottom w:val="0"/>
      <w:divBdr>
        <w:top w:val="none" w:sz="0" w:space="0" w:color="auto"/>
        <w:left w:val="none" w:sz="0" w:space="0" w:color="auto"/>
        <w:bottom w:val="none" w:sz="0" w:space="0" w:color="auto"/>
        <w:right w:val="none" w:sz="0" w:space="0" w:color="auto"/>
      </w:divBdr>
    </w:div>
    <w:div w:id="1655446472">
      <w:bodyDiv w:val="1"/>
      <w:marLeft w:val="0"/>
      <w:marRight w:val="0"/>
      <w:marTop w:val="0"/>
      <w:marBottom w:val="0"/>
      <w:divBdr>
        <w:top w:val="none" w:sz="0" w:space="0" w:color="auto"/>
        <w:left w:val="none" w:sz="0" w:space="0" w:color="auto"/>
        <w:bottom w:val="none" w:sz="0" w:space="0" w:color="auto"/>
        <w:right w:val="none" w:sz="0" w:space="0" w:color="auto"/>
      </w:divBdr>
    </w:div>
    <w:div w:id="1658261073">
      <w:bodyDiv w:val="1"/>
      <w:marLeft w:val="0"/>
      <w:marRight w:val="0"/>
      <w:marTop w:val="0"/>
      <w:marBottom w:val="0"/>
      <w:divBdr>
        <w:top w:val="none" w:sz="0" w:space="0" w:color="auto"/>
        <w:left w:val="none" w:sz="0" w:space="0" w:color="auto"/>
        <w:bottom w:val="none" w:sz="0" w:space="0" w:color="auto"/>
        <w:right w:val="none" w:sz="0" w:space="0" w:color="auto"/>
      </w:divBdr>
      <w:divsChild>
        <w:div w:id="353074147">
          <w:marLeft w:val="576"/>
          <w:marRight w:val="0"/>
          <w:marTop w:val="0"/>
          <w:marBottom w:val="0"/>
          <w:divBdr>
            <w:top w:val="none" w:sz="0" w:space="0" w:color="auto"/>
            <w:left w:val="none" w:sz="0" w:space="0" w:color="auto"/>
            <w:bottom w:val="none" w:sz="0" w:space="0" w:color="auto"/>
            <w:right w:val="none" w:sz="0" w:space="0" w:color="auto"/>
          </w:divBdr>
        </w:div>
      </w:divsChild>
    </w:div>
    <w:div w:id="1784381095">
      <w:bodyDiv w:val="1"/>
      <w:marLeft w:val="0"/>
      <w:marRight w:val="0"/>
      <w:marTop w:val="0"/>
      <w:marBottom w:val="0"/>
      <w:divBdr>
        <w:top w:val="none" w:sz="0" w:space="0" w:color="auto"/>
        <w:left w:val="none" w:sz="0" w:space="0" w:color="auto"/>
        <w:bottom w:val="none" w:sz="0" w:space="0" w:color="auto"/>
        <w:right w:val="none" w:sz="0" w:space="0" w:color="auto"/>
      </w:divBdr>
    </w:div>
    <w:div w:id="1799638795">
      <w:bodyDiv w:val="1"/>
      <w:marLeft w:val="0"/>
      <w:marRight w:val="0"/>
      <w:marTop w:val="0"/>
      <w:marBottom w:val="0"/>
      <w:divBdr>
        <w:top w:val="none" w:sz="0" w:space="0" w:color="auto"/>
        <w:left w:val="none" w:sz="0" w:space="0" w:color="auto"/>
        <w:bottom w:val="none" w:sz="0" w:space="0" w:color="auto"/>
        <w:right w:val="none" w:sz="0" w:space="0" w:color="auto"/>
      </w:divBdr>
      <w:divsChild>
        <w:div w:id="1664773627">
          <w:marLeft w:val="0"/>
          <w:marRight w:val="0"/>
          <w:marTop w:val="0"/>
          <w:marBottom w:val="0"/>
          <w:divBdr>
            <w:top w:val="none" w:sz="0" w:space="0" w:color="auto"/>
            <w:left w:val="none" w:sz="0" w:space="0" w:color="auto"/>
            <w:bottom w:val="none" w:sz="0" w:space="0" w:color="auto"/>
            <w:right w:val="none" w:sz="0" w:space="0" w:color="auto"/>
          </w:divBdr>
        </w:div>
      </w:divsChild>
    </w:div>
    <w:div w:id="1801613096">
      <w:bodyDiv w:val="1"/>
      <w:marLeft w:val="0"/>
      <w:marRight w:val="0"/>
      <w:marTop w:val="0"/>
      <w:marBottom w:val="0"/>
      <w:divBdr>
        <w:top w:val="none" w:sz="0" w:space="0" w:color="auto"/>
        <w:left w:val="none" w:sz="0" w:space="0" w:color="auto"/>
        <w:bottom w:val="none" w:sz="0" w:space="0" w:color="auto"/>
        <w:right w:val="none" w:sz="0" w:space="0" w:color="auto"/>
      </w:divBdr>
    </w:div>
    <w:div w:id="1843275047">
      <w:bodyDiv w:val="1"/>
      <w:marLeft w:val="0"/>
      <w:marRight w:val="0"/>
      <w:marTop w:val="0"/>
      <w:marBottom w:val="0"/>
      <w:divBdr>
        <w:top w:val="none" w:sz="0" w:space="0" w:color="auto"/>
        <w:left w:val="none" w:sz="0" w:space="0" w:color="auto"/>
        <w:bottom w:val="none" w:sz="0" w:space="0" w:color="auto"/>
        <w:right w:val="none" w:sz="0" w:space="0" w:color="auto"/>
      </w:divBdr>
    </w:div>
    <w:div w:id="1985426250">
      <w:bodyDiv w:val="1"/>
      <w:marLeft w:val="0"/>
      <w:marRight w:val="0"/>
      <w:marTop w:val="0"/>
      <w:marBottom w:val="0"/>
      <w:divBdr>
        <w:top w:val="none" w:sz="0" w:space="0" w:color="auto"/>
        <w:left w:val="none" w:sz="0" w:space="0" w:color="auto"/>
        <w:bottom w:val="none" w:sz="0" w:space="0" w:color="auto"/>
        <w:right w:val="none" w:sz="0" w:space="0" w:color="auto"/>
      </w:divBdr>
    </w:div>
    <w:div w:id="214322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ce.cz"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enovation.cz"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fc.cz" TargetMode="External"/><Relationship Id="rId24" Type="http://schemas.openxmlformats.org/officeDocument/2006/relationships/chart" Target="charts/chart9.xml"/><Relationship Id="rId32" Type="http://schemas.openxmlformats.org/officeDocument/2006/relationships/header" Target="header1.xm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oter" Target="footer2.xml"/><Relationship Id="rId10" Type="http://schemas.openxmlformats.org/officeDocument/2006/relationships/hyperlink" Target="http://www.apef.cz" TargetMode="External"/><Relationship Id="rId19" Type="http://schemas.openxmlformats.org/officeDocument/2006/relationships/chart" Target="charts/chart4.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http://www.mpo.cz" TargetMode="External"/><Relationship Id="rId14" Type="http://schemas.openxmlformats.org/officeDocument/2006/relationships/hyperlink" Target="http://www.sanchopanza.cz"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echnickytydenik.cz/rubriky/archiv/integrace-obnovitelnych-zdroju-energie-do-elektrizacni-soustavy_1697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UFC-SERVER\Projekty\Projekty\Ministerstvo%20prumyslu%20a%20obchodu\MPO_Vysledkova%20evaluace%203.1,%203.2%20a%203.4\2%20Realizace\02_Podklady\Data_vlastni%20uprava\Data_SC%203-4.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EUFC-SERVER\Projekty\Projekty\Ministerstvo%20prumyslu%20a%20obchodu\MPO_Vysledkova%20evaluace%203.1,%203.2%20a%203.4\2%20Realizace\02_Podklady\Data_vlastni%20uprava\Data_SC%203-4.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EUFC-SERVER\Projekty\Projekty\Ministerstvo%20prumyslu%20a%20obchodu\MPO_Vysledkova%20evaluace%203.1,%203.2%20a%203.4\2%20Realizace\02_Podklady\Data_vlastni%20uprava\Data_SC%203-4.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EUFC-SERVER\Projekty\Projekty\Ministerstvo%20prumyslu%20a%20obchodu\MPO_Vysledkova%20evaluace%203.1,%203.2%20a%203.4\2%20Realizace\02_Podklady\Data_vlastni%20uprava\Data_SC%203-4.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20v2.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wner\Documents\Projekty\NAVIGA%204\EVAL%20APEF\05_01_Dotaznikove%20setreni\Data%20&#218;E\Hodnocen&#237;%20v&#253;sledk&#367;%20programu%20podpory%20&#218;spory%20energie.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EUFC-SERVER\Projekty\Projekty\Ministerstvo%20prumyslu%20a%20obchodu\MPO_Vysledkova%20evaluace%203.1,%203.2%20a%203.4\2%20Realizace\02_Podklady\Data_vlastni%20uprava\Data_SC%203-4.xlsx"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EUFC-SERVER\Projekty\Projekty\Ministerstvo%20prumyslu%20a%20obchodu\MPO_Vysledkova%20evaluace%203.1,%203.2%20a%203.4\2%20Realizace\02_Podklady\Data_vlastni%20uprava\Data_SC%203-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List1!$B$4</c:f>
              <c:strCache>
                <c:ptCount val="1"/>
                <c:pt idx="0">
                  <c:v>32210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List1!$C$4:$L$4</c:f>
              <c:numCache>
                <c:formatCode>#,##0</c:formatCode>
                <c:ptCount val="10"/>
                <c:pt idx="0">
                  <c:v>313213</c:v>
                </c:pt>
                <c:pt idx="1">
                  <c:v>315639</c:v>
                </c:pt>
                <c:pt idx="2">
                  <c:v>308210</c:v>
                </c:pt>
                <c:pt idx="3">
                  <c:v>281713</c:v>
                </c:pt>
              </c:numCache>
            </c:numRef>
          </c:val>
          <c:smooth val="0"/>
          <c:extLst>
            <c:ext xmlns:c16="http://schemas.microsoft.com/office/drawing/2014/chart" uri="{C3380CC4-5D6E-409C-BE32-E72D297353CC}">
              <c16:uniqueId val="{00000000-4BC8-49A7-B2B4-03320B6D1091}"/>
            </c:ext>
          </c:extLst>
        </c:ser>
        <c:ser>
          <c:idx val="1"/>
          <c:order val="1"/>
          <c:tx>
            <c:strRef>
              <c:f>List1!$B$5</c:f>
              <c:strCache>
                <c:ptCount val="1"/>
                <c:pt idx="0">
                  <c:v>32220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List1!$C$5:$L$5</c:f>
              <c:numCache>
                <c:formatCode>#,##0</c:formatCode>
                <c:ptCount val="10"/>
                <c:pt idx="0">
                  <c:v>117171</c:v>
                </c:pt>
                <c:pt idx="1">
                  <c:v>119279</c:v>
                </c:pt>
                <c:pt idx="2">
                  <c:v>127738</c:v>
                </c:pt>
                <c:pt idx="3">
                  <c:v>132102</c:v>
                </c:pt>
              </c:numCache>
            </c:numRef>
          </c:val>
          <c:smooth val="0"/>
          <c:extLst>
            <c:ext xmlns:c16="http://schemas.microsoft.com/office/drawing/2014/chart" uri="{C3380CC4-5D6E-409C-BE32-E72D297353CC}">
              <c16:uniqueId val="{00000001-4BC8-49A7-B2B4-03320B6D1091}"/>
            </c:ext>
          </c:extLst>
        </c:ser>
        <c:ser>
          <c:idx val="2"/>
          <c:order val="2"/>
          <c:tx>
            <c:strRef>
              <c:f>List1!$B$6</c:f>
              <c:strCache>
                <c:ptCount val="1"/>
                <c:pt idx="0">
                  <c:v>32210 - trend</c:v>
                </c:pt>
              </c:strCache>
            </c:strRef>
          </c:tx>
          <c:spPr>
            <a:ln w="28575" cap="rnd">
              <a:solidFill>
                <a:schemeClr val="accent1"/>
              </a:solidFill>
              <a:prstDash val="sysDash"/>
              <a:round/>
            </a:ln>
            <a:effectLst/>
          </c:spPr>
          <c:marker>
            <c:symbol val="circle"/>
            <c:size val="5"/>
            <c:spPr>
              <a:solidFill>
                <a:schemeClr val="accent1"/>
              </a:solidFill>
              <a:ln w="9525">
                <a:solidFill>
                  <a:schemeClr val="accent1"/>
                </a:solid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List1!$C$6:$L$6</c:f>
              <c:numCache>
                <c:formatCode>General</c:formatCode>
                <c:ptCount val="10"/>
                <c:pt idx="3" formatCode="#,##0">
                  <c:v>281713</c:v>
                </c:pt>
                <c:pt idx="4">
                  <c:v>279211.5</c:v>
                </c:pt>
                <c:pt idx="5">
                  <c:v>269018.60000000149</c:v>
                </c:pt>
                <c:pt idx="6">
                  <c:v>258825.70000000298</c:v>
                </c:pt>
                <c:pt idx="7">
                  <c:v>248632.80000000447</c:v>
                </c:pt>
                <c:pt idx="8">
                  <c:v>238439.90000000596</c:v>
                </c:pt>
                <c:pt idx="9">
                  <c:v>228247.00000000373</c:v>
                </c:pt>
              </c:numCache>
            </c:numRef>
          </c:val>
          <c:smooth val="0"/>
          <c:extLst>
            <c:ext xmlns:c16="http://schemas.microsoft.com/office/drawing/2014/chart" uri="{C3380CC4-5D6E-409C-BE32-E72D297353CC}">
              <c16:uniqueId val="{00000002-4BC8-49A7-B2B4-03320B6D1091}"/>
            </c:ext>
          </c:extLst>
        </c:ser>
        <c:ser>
          <c:idx val="3"/>
          <c:order val="3"/>
          <c:tx>
            <c:strRef>
              <c:f>List1!$B$7</c:f>
              <c:strCache>
                <c:ptCount val="1"/>
                <c:pt idx="0">
                  <c:v>32220 - trend</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List1!$C$7:$L$7</c:f>
              <c:numCache>
                <c:formatCode>General</c:formatCode>
                <c:ptCount val="10"/>
                <c:pt idx="3" formatCode="#,##0">
                  <c:v>132102</c:v>
                </c:pt>
                <c:pt idx="4">
                  <c:v>137385.5</c:v>
                </c:pt>
                <c:pt idx="5">
                  <c:v>142710.69999999925</c:v>
                </c:pt>
                <c:pt idx="6">
                  <c:v>148035.89999999851</c:v>
                </c:pt>
                <c:pt idx="7">
                  <c:v>153361.09999999776</c:v>
                </c:pt>
                <c:pt idx="8">
                  <c:v>158686.29999999702</c:v>
                </c:pt>
                <c:pt idx="9">
                  <c:v>164011.49999999814</c:v>
                </c:pt>
              </c:numCache>
            </c:numRef>
          </c:val>
          <c:smooth val="0"/>
          <c:extLst>
            <c:ext xmlns:c16="http://schemas.microsoft.com/office/drawing/2014/chart" uri="{C3380CC4-5D6E-409C-BE32-E72D297353CC}">
              <c16:uniqueId val="{00000003-4BC8-49A7-B2B4-03320B6D1091}"/>
            </c:ext>
          </c:extLst>
        </c:ser>
        <c:ser>
          <c:idx val="4"/>
          <c:order val="4"/>
          <c:tx>
            <c:strRef>
              <c:f>List1!$B$8</c:f>
              <c:strCache>
                <c:ptCount val="1"/>
                <c:pt idx="0">
                  <c:v>32210 - cílová hodnota</c:v>
                </c:pt>
              </c:strCache>
            </c:strRef>
          </c:tx>
          <c:spPr>
            <a:ln w="15875" cap="rnd">
              <a:solidFill>
                <a:srgbClr val="002060"/>
              </a:solidFill>
              <a:round/>
            </a:ln>
            <a:effectLst/>
          </c:spPr>
          <c:marker>
            <c:symbol val="circle"/>
            <c:size val="5"/>
            <c:spPr>
              <a:noFill/>
              <a:ln w="9525">
                <a:no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List1!$C$8:$L$8</c:f>
              <c:numCache>
                <c:formatCode>General</c:formatCode>
                <c:ptCount val="10"/>
                <c:pt idx="0">
                  <c:v>336838</c:v>
                </c:pt>
                <c:pt idx="1">
                  <c:v>336838</c:v>
                </c:pt>
                <c:pt idx="2">
                  <c:v>336838</c:v>
                </c:pt>
                <c:pt idx="3">
                  <c:v>336838</c:v>
                </c:pt>
                <c:pt idx="4">
                  <c:v>336838</c:v>
                </c:pt>
                <c:pt idx="5">
                  <c:v>336838</c:v>
                </c:pt>
                <c:pt idx="6">
                  <c:v>336838</c:v>
                </c:pt>
                <c:pt idx="7">
                  <c:v>336838</c:v>
                </c:pt>
                <c:pt idx="8">
                  <c:v>336838</c:v>
                </c:pt>
                <c:pt idx="9">
                  <c:v>336838</c:v>
                </c:pt>
              </c:numCache>
            </c:numRef>
          </c:val>
          <c:smooth val="0"/>
          <c:extLst>
            <c:ext xmlns:c16="http://schemas.microsoft.com/office/drawing/2014/chart" uri="{C3380CC4-5D6E-409C-BE32-E72D297353CC}">
              <c16:uniqueId val="{00000004-4BC8-49A7-B2B4-03320B6D1091}"/>
            </c:ext>
          </c:extLst>
        </c:ser>
        <c:ser>
          <c:idx val="5"/>
          <c:order val="5"/>
          <c:tx>
            <c:strRef>
              <c:f>List1!$B$9</c:f>
              <c:strCache>
                <c:ptCount val="1"/>
                <c:pt idx="0">
                  <c:v>32220 - cílová hodnota</c:v>
                </c:pt>
              </c:strCache>
            </c:strRef>
          </c:tx>
          <c:spPr>
            <a:ln w="15875" cap="rnd">
              <a:solidFill>
                <a:srgbClr val="FF0000"/>
              </a:solidFill>
              <a:round/>
            </a:ln>
            <a:effectLst/>
          </c:spPr>
          <c:marker>
            <c:symbol val="circle"/>
            <c:size val="5"/>
            <c:spPr>
              <a:noFill/>
              <a:ln w="9525">
                <a:noFill/>
              </a:ln>
              <a:effectLst/>
            </c:spPr>
          </c:marker>
          <c:cat>
            <c:numRef>
              <c:f>List1!$C$3:$L$3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List1!$C$9:$L$9</c:f>
              <c:numCache>
                <c:formatCode>#,##0</c:formatCode>
                <c:ptCount val="10"/>
                <c:pt idx="0">
                  <c:v>145872</c:v>
                </c:pt>
                <c:pt idx="1">
                  <c:v>145872</c:v>
                </c:pt>
                <c:pt idx="2">
                  <c:v>145872</c:v>
                </c:pt>
                <c:pt idx="3">
                  <c:v>145872</c:v>
                </c:pt>
                <c:pt idx="4">
                  <c:v>145872</c:v>
                </c:pt>
                <c:pt idx="5">
                  <c:v>145872</c:v>
                </c:pt>
                <c:pt idx="6">
                  <c:v>145872</c:v>
                </c:pt>
                <c:pt idx="7">
                  <c:v>145872</c:v>
                </c:pt>
                <c:pt idx="8">
                  <c:v>145872</c:v>
                </c:pt>
                <c:pt idx="9">
                  <c:v>145872</c:v>
                </c:pt>
              </c:numCache>
            </c:numRef>
          </c:val>
          <c:smooth val="0"/>
          <c:extLst>
            <c:ext xmlns:c16="http://schemas.microsoft.com/office/drawing/2014/chart" uri="{C3380CC4-5D6E-409C-BE32-E72D297353CC}">
              <c16:uniqueId val="{00000005-4BC8-49A7-B2B4-03320B6D1091}"/>
            </c:ext>
          </c:extLst>
        </c:ser>
        <c:dLbls>
          <c:showLegendKey val="0"/>
          <c:showVal val="0"/>
          <c:showCatName val="0"/>
          <c:showSerName val="0"/>
          <c:showPercent val="0"/>
          <c:showBubbleSize val="0"/>
        </c:dLbls>
        <c:marker val="1"/>
        <c:smooth val="0"/>
        <c:axId val="337748352"/>
        <c:axId val="337750272"/>
      </c:lineChart>
      <c:catAx>
        <c:axId val="33774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7750272"/>
        <c:crosses val="autoZero"/>
        <c:auto val="1"/>
        <c:lblAlgn val="ctr"/>
        <c:lblOffset val="100"/>
        <c:noMultiLvlLbl val="0"/>
      </c:catAx>
      <c:valAx>
        <c:axId val="33775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3774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grafy!$A$3</c:f>
              <c:strCache>
                <c:ptCount val="1"/>
                <c:pt idx="0">
                  <c:v>Elektromobilita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grafy!$B$2:$E$2</c:f>
              <c:strCache>
                <c:ptCount val="4"/>
                <c:pt idx="0">
                  <c:v>I. výzva</c:v>
                </c:pt>
                <c:pt idx="1">
                  <c:v>II. výzva</c:v>
                </c:pt>
                <c:pt idx="2">
                  <c:v>III. výzva</c:v>
                </c:pt>
                <c:pt idx="3">
                  <c:v>CELKEM</c:v>
                </c:pt>
              </c:strCache>
            </c:strRef>
          </c:cat>
          <c:val>
            <c:numRef>
              <c:f>grafy!$B$3:$E$3</c:f>
              <c:numCache>
                <c:formatCode>General</c:formatCode>
                <c:ptCount val="4"/>
                <c:pt idx="0">
                  <c:v>34</c:v>
                </c:pt>
                <c:pt idx="1">
                  <c:v>102</c:v>
                </c:pt>
                <c:pt idx="2">
                  <c:v>49</c:v>
                </c:pt>
                <c:pt idx="3">
                  <c:v>185</c:v>
                </c:pt>
              </c:numCache>
            </c:numRef>
          </c:val>
          <c:extLst>
            <c:ext xmlns:c16="http://schemas.microsoft.com/office/drawing/2014/chart" uri="{C3380CC4-5D6E-409C-BE32-E72D297353CC}">
              <c16:uniqueId val="{00000000-4512-4983-8458-86F481664A41}"/>
            </c:ext>
          </c:extLst>
        </c:ser>
        <c:ser>
          <c:idx val="1"/>
          <c:order val="1"/>
          <c:tx>
            <c:strRef>
              <c:f>grafy!$A$4</c:f>
              <c:strCache>
                <c:ptCount val="1"/>
                <c:pt idx="0">
                  <c:v>Akumulace energie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grafy!$B$2:$E$2</c:f>
              <c:strCache>
                <c:ptCount val="4"/>
                <c:pt idx="0">
                  <c:v>I. výzva</c:v>
                </c:pt>
                <c:pt idx="1">
                  <c:v>II. výzva</c:v>
                </c:pt>
                <c:pt idx="2">
                  <c:v>III. výzva</c:v>
                </c:pt>
                <c:pt idx="3">
                  <c:v>CELKEM</c:v>
                </c:pt>
              </c:strCache>
            </c:strRef>
          </c:cat>
          <c:val>
            <c:numRef>
              <c:f>grafy!$B$4:$E$4</c:f>
              <c:numCache>
                <c:formatCode>General</c:formatCode>
                <c:ptCount val="4"/>
                <c:pt idx="0">
                  <c:v>6</c:v>
                </c:pt>
                <c:pt idx="1">
                  <c:v>60</c:v>
                </c:pt>
                <c:pt idx="2">
                  <c:v>2</c:v>
                </c:pt>
                <c:pt idx="3">
                  <c:v>68</c:v>
                </c:pt>
              </c:numCache>
            </c:numRef>
          </c:val>
          <c:extLst>
            <c:ext xmlns:c16="http://schemas.microsoft.com/office/drawing/2014/chart" uri="{C3380CC4-5D6E-409C-BE32-E72D297353CC}">
              <c16:uniqueId val="{00000001-4512-4983-8458-86F481664A41}"/>
            </c:ext>
          </c:extLst>
        </c:ser>
        <c:ser>
          <c:idx val="2"/>
          <c:order val="2"/>
          <c:tx>
            <c:strRef>
              <c:f>grafy!$A$5</c:f>
              <c:strCache>
                <c:ptCount val="1"/>
                <c:pt idx="0">
                  <c:v>Druhotné suroviny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grafy!$B$2:$E$2</c:f>
              <c:strCache>
                <c:ptCount val="4"/>
                <c:pt idx="0">
                  <c:v>I. výzva</c:v>
                </c:pt>
                <c:pt idx="1">
                  <c:v>II. výzva</c:v>
                </c:pt>
                <c:pt idx="2">
                  <c:v>III. výzva</c:v>
                </c:pt>
                <c:pt idx="3">
                  <c:v>CELKEM</c:v>
                </c:pt>
              </c:strCache>
            </c:strRef>
          </c:cat>
          <c:val>
            <c:numRef>
              <c:f>grafy!$B$5:$E$5</c:f>
              <c:numCache>
                <c:formatCode>General</c:formatCode>
                <c:ptCount val="4"/>
                <c:pt idx="0">
                  <c:v>17</c:v>
                </c:pt>
                <c:pt idx="1">
                  <c:v>7</c:v>
                </c:pt>
                <c:pt idx="2">
                  <c:v>7</c:v>
                </c:pt>
                <c:pt idx="3">
                  <c:v>31</c:v>
                </c:pt>
              </c:numCache>
            </c:numRef>
          </c:val>
          <c:extLst>
            <c:ext xmlns:c16="http://schemas.microsoft.com/office/drawing/2014/chart" uri="{C3380CC4-5D6E-409C-BE32-E72D297353CC}">
              <c16:uniqueId val="{00000002-4512-4983-8458-86F481664A41}"/>
            </c:ext>
          </c:extLst>
        </c:ser>
        <c:ser>
          <c:idx val="3"/>
          <c:order val="3"/>
          <c:tx>
            <c:strRef>
              <c:f>grafy!$A$6</c:f>
              <c:strCache>
                <c:ptCount val="1"/>
                <c:pt idx="0">
                  <c:v>Úprava bioplynu na biometan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grafy!$B$2:$E$2</c:f>
              <c:strCache>
                <c:ptCount val="4"/>
                <c:pt idx="0">
                  <c:v>I. výzva</c:v>
                </c:pt>
                <c:pt idx="1">
                  <c:v>II. výzva</c:v>
                </c:pt>
                <c:pt idx="2">
                  <c:v>III. výzva</c:v>
                </c:pt>
                <c:pt idx="3">
                  <c:v>CELKEM</c:v>
                </c:pt>
              </c:strCache>
            </c:strRef>
          </c:cat>
          <c:val>
            <c:numRef>
              <c:f>grafy!$B$6:$E$6</c:f>
              <c:numCache>
                <c:formatCode>General</c:formatCode>
                <c:ptCount val="4"/>
                <c:pt idx="2">
                  <c:v>1</c:v>
                </c:pt>
                <c:pt idx="3">
                  <c:v>1</c:v>
                </c:pt>
              </c:numCache>
            </c:numRef>
          </c:val>
          <c:extLst>
            <c:ext xmlns:c16="http://schemas.microsoft.com/office/drawing/2014/chart" uri="{C3380CC4-5D6E-409C-BE32-E72D297353CC}">
              <c16:uniqueId val="{00000003-4512-4983-8458-86F481664A41}"/>
            </c:ext>
          </c:extLst>
        </c:ser>
        <c:dLbls>
          <c:showLegendKey val="0"/>
          <c:showVal val="0"/>
          <c:showCatName val="0"/>
          <c:showSerName val="0"/>
          <c:showPercent val="0"/>
          <c:showBubbleSize val="0"/>
        </c:dLbls>
        <c:gapWidth val="150"/>
        <c:overlap val="100"/>
        <c:axId val="144402304"/>
        <c:axId val="144403840"/>
      </c:barChart>
      <c:catAx>
        <c:axId val="14440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403840"/>
        <c:crosses val="autoZero"/>
        <c:auto val="1"/>
        <c:lblAlgn val="ctr"/>
        <c:lblOffset val="100"/>
        <c:noMultiLvlLbl val="0"/>
      </c:catAx>
      <c:valAx>
        <c:axId val="14440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4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80334466014435"/>
          <c:y val="4.1867954911433171E-2"/>
          <c:w val="0.84229400431856061"/>
          <c:h val="0.82605779350045017"/>
        </c:manualLayout>
      </c:layout>
      <c:barChart>
        <c:barDir val="col"/>
        <c:grouping val="stacked"/>
        <c:varyColors val="0"/>
        <c:ser>
          <c:idx val="0"/>
          <c:order val="0"/>
          <c:tx>
            <c:strRef>
              <c:f>grafy!$A$3</c:f>
              <c:strCache>
                <c:ptCount val="1"/>
                <c:pt idx="0">
                  <c:v>Elektromobilita</c:v>
                </c:pt>
              </c:strCache>
            </c:strRef>
          </c:tx>
          <c:spPr>
            <a:solidFill>
              <a:schemeClr val="accent1"/>
            </a:solidFill>
            <a:ln>
              <a:noFill/>
            </a:ln>
            <a:effectLst/>
          </c:spPr>
          <c:invertIfNegative val="0"/>
          <c:cat>
            <c:strRef>
              <c:f>grafy!$H$2:$K$2</c:f>
              <c:strCache>
                <c:ptCount val="4"/>
                <c:pt idx="0">
                  <c:v>I. výzva</c:v>
                </c:pt>
                <c:pt idx="1">
                  <c:v>II. výzva</c:v>
                </c:pt>
                <c:pt idx="2">
                  <c:v>III. výzva</c:v>
                </c:pt>
                <c:pt idx="3">
                  <c:v>CELKEM</c:v>
                </c:pt>
              </c:strCache>
            </c:strRef>
          </c:cat>
          <c:val>
            <c:numRef>
              <c:f>grafy!$H$3:$K$3</c:f>
              <c:numCache>
                <c:formatCode>#,##0\ "Kč"</c:formatCode>
                <c:ptCount val="4"/>
                <c:pt idx="0">
                  <c:v>18312727.16</c:v>
                </c:pt>
                <c:pt idx="1">
                  <c:v>114599923.82999998</c:v>
                </c:pt>
                <c:pt idx="2">
                  <c:v>38763090.230000004</c:v>
                </c:pt>
                <c:pt idx="3">
                  <c:v>171675741.21999997</c:v>
                </c:pt>
              </c:numCache>
            </c:numRef>
          </c:val>
          <c:extLst>
            <c:ext xmlns:c16="http://schemas.microsoft.com/office/drawing/2014/chart" uri="{C3380CC4-5D6E-409C-BE32-E72D297353CC}">
              <c16:uniqueId val="{00000000-2317-42C3-AD81-AEF97D398481}"/>
            </c:ext>
          </c:extLst>
        </c:ser>
        <c:ser>
          <c:idx val="1"/>
          <c:order val="1"/>
          <c:tx>
            <c:strRef>
              <c:f>grafy!$A$4</c:f>
              <c:strCache>
                <c:ptCount val="1"/>
                <c:pt idx="0">
                  <c:v>Akumulace energie</c:v>
                </c:pt>
              </c:strCache>
            </c:strRef>
          </c:tx>
          <c:spPr>
            <a:solidFill>
              <a:schemeClr val="accent2"/>
            </a:solidFill>
            <a:ln>
              <a:noFill/>
            </a:ln>
            <a:effectLst/>
          </c:spPr>
          <c:invertIfNegative val="0"/>
          <c:cat>
            <c:strRef>
              <c:f>grafy!$H$2:$K$2</c:f>
              <c:strCache>
                <c:ptCount val="4"/>
                <c:pt idx="0">
                  <c:v>I. výzva</c:v>
                </c:pt>
                <c:pt idx="1">
                  <c:v>II. výzva</c:v>
                </c:pt>
                <c:pt idx="2">
                  <c:v>III. výzva</c:v>
                </c:pt>
                <c:pt idx="3">
                  <c:v>CELKEM</c:v>
                </c:pt>
              </c:strCache>
            </c:strRef>
          </c:cat>
          <c:val>
            <c:numRef>
              <c:f>grafy!$H$4:$K$4</c:f>
              <c:numCache>
                <c:formatCode>#,##0\ "Kč"</c:formatCode>
                <c:ptCount val="4"/>
                <c:pt idx="0">
                  <c:v>15439664.25</c:v>
                </c:pt>
                <c:pt idx="1">
                  <c:v>243277445.51000002</c:v>
                </c:pt>
                <c:pt idx="2">
                  <c:v>448200</c:v>
                </c:pt>
                <c:pt idx="3">
                  <c:v>259165309.76000002</c:v>
                </c:pt>
              </c:numCache>
            </c:numRef>
          </c:val>
          <c:extLst>
            <c:ext xmlns:c16="http://schemas.microsoft.com/office/drawing/2014/chart" uri="{C3380CC4-5D6E-409C-BE32-E72D297353CC}">
              <c16:uniqueId val="{00000001-2317-42C3-AD81-AEF97D398481}"/>
            </c:ext>
          </c:extLst>
        </c:ser>
        <c:ser>
          <c:idx val="2"/>
          <c:order val="2"/>
          <c:tx>
            <c:strRef>
              <c:f>grafy!$A$5</c:f>
              <c:strCache>
                <c:ptCount val="1"/>
                <c:pt idx="0">
                  <c:v>Druhotné suroviny</c:v>
                </c:pt>
              </c:strCache>
            </c:strRef>
          </c:tx>
          <c:spPr>
            <a:solidFill>
              <a:schemeClr val="accent3"/>
            </a:solidFill>
            <a:ln>
              <a:noFill/>
            </a:ln>
            <a:effectLst/>
          </c:spPr>
          <c:invertIfNegative val="0"/>
          <c:cat>
            <c:strRef>
              <c:f>grafy!$H$2:$K$2</c:f>
              <c:strCache>
                <c:ptCount val="4"/>
                <c:pt idx="0">
                  <c:v>I. výzva</c:v>
                </c:pt>
                <c:pt idx="1">
                  <c:v>II. výzva</c:v>
                </c:pt>
                <c:pt idx="2">
                  <c:v>III. výzva</c:v>
                </c:pt>
                <c:pt idx="3">
                  <c:v>CELKEM</c:v>
                </c:pt>
              </c:strCache>
            </c:strRef>
          </c:cat>
          <c:val>
            <c:numRef>
              <c:f>grafy!$H$5:$K$5</c:f>
              <c:numCache>
                <c:formatCode>#,##0\ "Kč"</c:formatCode>
                <c:ptCount val="4"/>
                <c:pt idx="0">
                  <c:v>131648987.8</c:v>
                </c:pt>
                <c:pt idx="1">
                  <c:v>64558494.109999999</c:v>
                </c:pt>
                <c:pt idx="2">
                  <c:v>47156310</c:v>
                </c:pt>
                <c:pt idx="3">
                  <c:v>243363791.91</c:v>
                </c:pt>
              </c:numCache>
            </c:numRef>
          </c:val>
          <c:extLst>
            <c:ext xmlns:c16="http://schemas.microsoft.com/office/drawing/2014/chart" uri="{C3380CC4-5D6E-409C-BE32-E72D297353CC}">
              <c16:uniqueId val="{00000002-2317-42C3-AD81-AEF97D398481}"/>
            </c:ext>
          </c:extLst>
        </c:ser>
        <c:ser>
          <c:idx val="3"/>
          <c:order val="3"/>
          <c:tx>
            <c:strRef>
              <c:f>grafy!$A$6</c:f>
              <c:strCache>
                <c:ptCount val="1"/>
                <c:pt idx="0">
                  <c:v>Úprava bioplynu na biometan</c:v>
                </c:pt>
              </c:strCache>
            </c:strRef>
          </c:tx>
          <c:spPr>
            <a:solidFill>
              <a:schemeClr val="accent4"/>
            </a:solidFill>
            <a:ln>
              <a:noFill/>
            </a:ln>
            <a:effectLst/>
          </c:spPr>
          <c:invertIfNegative val="0"/>
          <c:cat>
            <c:strRef>
              <c:f>grafy!$H$2:$K$2</c:f>
              <c:strCache>
                <c:ptCount val="4"/>
                <c:pt idx="0">
                  <c:v>I. výzva</c:v>
                </c:pt>
                <c:pt idx="1">
                  <c:v>II. výzva</c:v>
                </c:pt>
                <c:pt idx="2">
                  <c:v>III. výzva</c:v>
                </c:pt>
                <c:pt idx="3">
                  <c:v>CELKEM</c:v>
                </c:pt>
              </c:strCache>
            </c:strRef>
          </c:cat>
          <c:val>
            <c:numRef>
              <c:f>grafy!$H$6:$K$6</c:f>
              <c:numCache>
                <c:formatCode>General</c:formatCode>
                <c:ptCount val="4"/>
                <c:pt idx="2" formatCode="#,##0\ &quot;Kč&quot;">
                  <c:v>7257495</c:v>
                </c:pt>
                <c:pt idx="3" formatCode="#,##0\ &quot;Kč&quot;">
                  <c:v>7257495</c:v>
                </c:pt>
              </c:numCache>
            </c:numRef>
          </c:val>
          <c:extLst>
            <c:ext xmlns:c16="http://schemas.microsoft.com/office/drawing/2014/chart" uri="{C3380CC4-5D6E-409C-BE32-E72D297353CC}">
              <c16:uniqueId val="{00000003-2317-42C3-AD81-AEF97D398481}"/>
            </c:ext>
          </c:extLst>
        </c:ser>
        <c:dLbls>
          <c:showLegendKey val="0"/>
          <c:showVal val="0"/>
          <c:showCatName val="0"/>
          <c:showSerName val="0"/>
          <c:showPercent val="0"/>
          <c:showBubbleSize val="0"/>
        </c:dLbls>
        <c:gapWidth val="150"/>
        <c:overlap val="100"/>
        <c:axId val="144507648"/>
        <c:axId val="144509184"/>
      </c:barChart>
      <c:catAx>
        <c:axId val="1445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09184"/>
        <c:crosses val="autoZero"/>
        <c:auto val="1"/>
        <c:lblAlgn val="ctr"/>
        <c:lblOffset val="100"/>
        <c:noMultiLvlLbl val="0"/>
      </c:catAx>
      <c:valAx>
        <c:axId val="144509184"/>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0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grafy!$X$2</c:f>
              <c:strCache>
                <c:ptCount val="1"/>
                <c:pt idx="0">
                  <c:v>Příspěvek Unie</c:v>
                </c:pt>
              </c:strCache>
            </c:strRef>
          </c:tx>
          <c:spPr>
            <a:solidFill>
              <a:schemeClr val="accent1"/>
            </a:solidFill>
            <a:ln>
              <a:noFill/>
            </a:ln>
            <a:effectLst/>
          </c:spPr>
          <c:invertIfNegative val="0"/>
          <c:cat>
            <c:strRef>
              <c:f>grafy!$W$3:$W$7</c:f>
              <c:strCache>
                <c:ptCount val="5"/>
                <c:pt idx="0">
                  <c:v>Elektromobilita</c:v>
                </c:pt>
                <c:pt idx="1">
                  <c:v>Akumulace energie</c:v>
                </c:pt>
                <c:pt idx="2">
                  <c:v>Druhotné suroviny</c:v>
                </c:pt>
                <c:pt idx="3">
                  <c:v>Úprava bioplynu na biometan</c:v>
                </c:pt>
                <c:pt idx="4">
                  <c:v>CELKEM</c:v>
                </c:pt>
              </c:strCache>
            </c:strRef>
          </c:cat>
          <c:val>
            <c:numRef>
              <c:f>grafy!$X$3:$X$7</c:f>
              <c:numCache>
                <c:formatCode>#,##0\ "Kč"</c:formatCode>
                <c:ptCount val="5"/>
                <c:pt idx="0">
                  <c:v>171675741.21999997</c:v>
                </c:pt>
                <c:pt idx="1">
                  <c:v>259165309.76000002</c:v>
                </c:pt>
                <c:pt idx="2">
                  <c:v>243363791.91</c:v>
                </c:pt>
                <c:pt idx="3">
                  <c:v>7257495</c:v>
                </c:pt>
                <c:pt idx="4">
                  <c:v>681462337.88999999</c:v>
                </c:pt>
              </c:numCache>
            </c:numRef>
          </c:val>
          <c:extLst>
            <c:ext xmlns:c16="http://schemas.microsoft.com/office/drawing/2014/chart" uri="{C3380CC4-5D6E-409C-BE32-E72D297353CC}">
              <c16:uniqueId val="{00000000-E6BE-4480-8EEF-D2B4F2CBDCE4}"/>
            </c:ext>
          </c:extLst>
        </c:ser>
        <c:ser>
          <c:idx val="1"/>
          <c:order val="1"/>
          <c:tx>
            <c:strRef>
              <c:f>grafy!$Y$2</c:f>
              <c:strCache>
                <c:ptCount val="1"/>
                <c:pt idx="0">
                  <c:v>Proplacené ŽoPl</c:v>
                </c:pt>
              </c:strCache>
            </c:strRef>
          </c:tx>
          <c:spPr>
            <a:solidFill>
              <a:schemeClr val="accent2"/>
            </a:solidFill>
            <a:ln>
              <a:noFill/>
            </a:ln>
            <a:effectLst/>
          </c:spPr>
          <c:invertIfNegative val="0"/>
          <c:cat>
            <c:strRef>
              <c:f>grafy!$W$3:$W$7</c:f>
              <c:strCache>
                <c:ptCount val="5"/>
                <c:pt idx="0">
                  <c:v>Elektromobilita</c:v>
                </c:pt>
                <c:pt idx="1">
                  <c:v>Akumulace energie</c:v>
                </c:pt>
                <c:pt idx="2">
                  <c:v>Druhotné suroviny</c:v>
                </c:pt>
                <c:pt idx="3">
                  <c:v>Úprava bioplynu na biometan</c:v>
                </c:pt>
                <c:pt idx="4">
                  <c:v>CELKEM</c:v>
                </c:pt>
              </c:strCache>
            </c:strRef>
          </c:cat>
          <c:val>
            <c:numRef>
              <c:f>grafy!$Y$3:$Y$7</c:f>
              <c:numCache>
                <c:formatCode>#,##0\ "Kč"</c:formatCode>
                <c:ptCount val="5"/>
                <c:pt idx="0">
                  <c:v>17763308.433499999</c:v>
                </c:pt>
                <c:pt idx="1">
                  <c:v>19481149.445340998</c:v>
                </c:pt>
                <c:pt idx="2">
                  <c:v>49519758.126000002</c:v>
                </c:pt>
                <c:pt idx="3">
                  <c:v>0</c:v>
                </c:pt>
                <c:pt idx="4">
                  <c:v>86764216.004841</c:v>
                </c:pt>
              </c:numCache>
            </c:numRef>
          </c:val>
          <c:extLst>
            <c:ext xmlns:c16="http://schemas.microsoft.com/office/drawing/2014/chart" uri="{C3380CC4-5D6E-409C-BE32-E72D297353CC}">
              <c16:uniqueId val="{00000001-E6BE-4480-8EEF-D2B4F2CBDCE4}"/>
            </c:ext>
          </c:extLst>
        </c:ser>
        <c:dLbls>
          <c:showLegendKey val="0"/>
          <c:showVal val="0"/>
          <c:showCatName val="0"/>
          <c:showSerName val="0"/>
          <c:showPercent val="0"/>
          <c:showBubbleSize val="0"/>
        </c:dLbls>
        <c:gapWidth val="219"/>
        <c:overlap val="-27"/>
        <c:axId val="144544512"/>
        <c:axId val="144546048"/>
      </c:barChart>
      <c:catAx>
        <c:axId val="14454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46048"/>
        <c:crosses val="autoZero"/>
        <c:auto val="1"/>
        <c:lblAlgn val="ctr"/>
        <c:lblOffset val="100"/>
        <c:noMultiLvlLbl val="0"/>
      </c:catAx>
      <c:valAx>
        <c:axId val="144546048"/>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4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grafy!$A$3</c:f>
              <c:strCache>
                <c:ptCount val="1"/>
                <c:pt idx="0">
                  <c:v>Elektromobilita</c:v>
                </c:pt>
              </c:strCache>
            </c:strRef>
          </c:tx>
          <c:spPr>
            <a:solidFill>
              <a:schemeClr val="accent1"/>
            </a:solidFill>
            <a:ln>
              <a:noFill/>
            </a:ln>
            <a:effectLst/>
          </c:spPr>
          <c:invertIfNegative val="0"/>
          <c:cat>
            <c:strRef>
              <c:f>grafy!$S$2:$V$2</c:f>
              <c:strCache>
                <c:ptCount val="4"/>
                <c:pt idx="0">
                  <c:v>I. výzva</c:v>
                </c:pt>
                <c:pt idx="1">
                  <c:v>II. výzva</c:v>
                </c:pt>
                <c:pt idx="2">
                  <c:v>III. výzva</c:v>
                </c:pt>
                <c:pt idx="3">
                  <c:v>CELKEM</c:v>
                </c:pt>
              </c:strCache>
            </c:strRef>
          </c:cat>
          <c:val>
            <c:numRef>
              <c:f>grafy!$S$3:$V$3</c:f>
              <c:numCache>
                <c:formatCode>#,##0\ "Kč"</c:formatCode>
                <c:ptCount val="4"/>
                <c:pt idx="0">
                  <c:v>538609.62235294119</c:v>
                </c:pt>
                <c:pt idx="1">
                  <c:v>1123528.6649999998</c:v>
                </c:pt>
                <c:pt idx="2">
                  <c:v>791083.47408163268</c:v>
                </c:pt>
                <c:pt idx="3">
                  <c:v>927976.97956756735</c:v>
                </c:pt>
              </c:numCache>
            </c:numRef>
          </c:val>
          <c:extLst>
            <c:ext xmlns:c16="http://schemas.microsoft.com/office/drawing/2014/chart" uri="{C3380CC4-5D6E-409C-BE32-E72D297353CC}">
              <c16:uniqueId val="{00000000-F7E1-4641-9BFB-39533B594B6D}"/>
            </c:ext>
          </c:extLst>
        </c:ser>
        <c:ser>
          <c:idx val="1"/>
          <c:order val="1"/>
          <c:tx>
            <c:strRef>
              <c:f>grafy!$A$4</c:f>
              <c:strCache>
                <c:ptCount val="1"/>
                <c:pt idx="0">
                  <c:v>Akumulace energie</c:v>
                </c:pt>
              </c:strCache>
            </c:strRef>
          </c:tx>
          <c:spPr>
            <a:solidFill>
              <a:schemeClr val="accent2"/>
            </a:solidFill>
            <a:ln>
              <a:noFill/>
            </a:ln>
            <a:effectLst/>
          </c:spPr>
          <c:invertIfNegative val="0"/>
          <c:cat>
            <c:strRef>
              <c:f>grafy!$S$2:$V$2</c:f>
              <c:strCache>
                <c:ptCount val="4"/>
                <c:pt idx="0">
                  <c:v>I. výzva</c:v>
                </c:pt>
                <c:pt idx="1">
                  <c:v>II. výzva</c:v>
                </c:pt>
                <c:pt idx="2">
                  <c:v>III. výzva</c:v>
                </c:pt>
                <c:pt idx="3">
                  <c:v>CELKEM</c:v>
                </c:pt>
              </c:strCache>
            </c:strRef>
          </c:cat>
          <c:val>
            <c:numRef>
              <c:f>grafy!$S$4:$V$4</c:f>
              <c:numCache>
                <c:formatCode>#,##0\ "Kč"</c:formatCode>
                <c:ptCount val="4"/>
                <c:pt idx="0">
                  <c:v>2573277.375</c:v>
                </c:pt>
                <c:pt idx="1">
                  <c:v>4054624.0918333335</c:v>
                </c:pt>
                <c:pt idx="2">
                  <c:v>224100</c:v>
                </c:pt>
                <c:pt idx="3">
                  <c:v>3811254.5552941179</c:v>
                </c:pt>
              </c:numCache>
            </c:numRef>
          </c:val>
          <c:extLst>
            <c:ext xmlns:c16="http://schemas.microsoft.com/office/drawing/2014/chart" uri="{C3380CC4-5D6E-409C-BE32-E72D297353CC}">
              <c16:uniqueId val="{00000001-F7E1-4641-9BFB-39533B594B6D}"/>
            </c:ext>
          </c:extLst>
        </c:ser>
        <c:ser>
          <c:idx val="2"/>
          <c:order val="2"/>
          <c:tx>
            <c:strRef>
              <c:f>grafy!$A$5</c:f>
              <c:strCache>
                <c:ptCount val="1"/>
                <c:pt idx="0">
                  <c:v>Druhotné suroviny</c:v>
                </c:pt>
              </c:strCache>
            </c:strRef>
          </c:tx>
          <c:spPr>
            <a:solidFill>
              <a:schemeClr val="accent3"/>
            </a:solidFill>
            <a:ln>
              <a:noFill/>
            </a:ln>
            <a:effectLst/>
          </c:spPr>
          <c:invertIfNegative val="0"/>
          <c:cat>
            <c:strRef>
              <c:f>grafy!$S$2:$V$2</c:f>
              <c:strCache>
                <c:ptCount val="4"/>
                <c:pt idx="0">
                  <c:v>I. výzva</c:v>
                </c:pt>
                <c:pt idx="1">
                  <c:v>II. výzva</c:v>
                </c:pt>
                <c:pt idx="2">
                  <c:v>III. výzva</c:v>
                </c:pt>
                <c:pt idx="3">
                  <c:v>CELKEM</c:v>
                </c:pt>
              </c:strCache>
            </c:strRef>
          </c:cat>
          <c:val>
            <c:numRef>
              <c:f>grafy!$S$5:$V$5</c:f>
              <c:numCache>
                <c:formatCode>#,##0\ "Kč"</c:formatCode>
                <c:ptCount val="4"/>
                <c:pt idx="0">
                  <c:v>7744058.1058823531</c:v>
                </c:pt>
                <c:pt idx="1">
                  <c:v>9222642.0157142859</c:v>
                </c:pt>
                <c:pt idx="2">
                  <c:v>6736615.7142857146</c:v>
                </c:pt>
                <c:pt idx="3">
                  <c:v>7850444.9003225807</c:v>
                </c:pt>
              </c:numCache>
            </c:numRef>
          </c:val>
          <c:extLst>
            <c:ext xmlns:c16="http://schemas.microsoft.com/office/drawing/2014/chart" uri="{C3380CC4-5D6E-409C-BE32-E72D297353CC}">
              <c16:uniqueId val="{00000002-F7E1-4641-9BFB-39533B594B6D}"/>
            </c:ext>
          </c:extLst>
        </c:ser>
        <c:ser>
          <c:idx val="3"/>
          <c:order val="3"/>
          <c:tx>
            <c:strRef>
              <c:f>grafy!$A$6</c:f>
              <c:strCache>
                <c:ptCount val="1"/>
                <c:pt idx="0">
                  <c:v>Úprava bioplynu na biometan</c:v>
                </c:pt>
              </c:strCache>
            </c:strRef>
          </c:tx>
          <c:spPr>
            <a:solidFill>
              <a:schemeClr val="accent4"/>
            </a:solidFill>
            <a:ln>
              <a:noFill/>
            </a:ln>
            <a:effectLst/>
          </c:spPr>
          <c:invertIfNegative val="0"/>
          <c:cat>
            <c:strRef>
              <c:f>grafy!$S$2:$V$2</c:f>
              <c:strCache>
                <c:ptCount val="4"/>
                <c:pt idx="0">
                  <c:v>I. výzva</c:v>
                </c:pt>
                <c:pt idx="1">
                  <c:v>II. výzva</c:v>
                </c:pt>
                <c:pt idx="2">
                  <c:v>III. výzva</c:v>
                </c:pt>
                <c:pt idx="3">
                  <c:v>CELKEM</c:v>
                </c:pt>
              </c:strCache>
            </c:strRef>
          </c:cat>
          <c:val>
            <c:numRef>
              <c:f>grafy!$S$6:$V$6</c:f>
              <c:numCache>
                <c:formatCode>General</c:formatCode>
                <c:ptCount val="4"/>
                <c:pt idx="2" formatCode="#,##0\ &quot;Kč&quot;">
                  <c:v>7257495</c:v>
                </c:pt>
                <c:pt idx="3" formatCode="#,##0\ &quot;Kč&quot;">
                  <c:v>7257495</c:v>
                </c:pt>
              </c:numCache>
            </c:numRef>
          </c:val>
          <c:extLst>
            <c:ext xmlns:c16="http://schemas.microsoft.com/office/drawing/2014/chart" uri="{C3380CC4-5D6E-409C-BE32-E72D297353CC}">
              <c16:uniqueId val="{00000003-F7E1-4641-9BFB-39533B594B6D}"/>
            </c:ext>
          </c:extLst>
        </c:ser>
        <c:dLbls>
          <c:showLegendKey val="0"/>
          <c:showVal val="0"/>
          <c:showCatName val="0"/>
          <c:showSerName val="0"/>
          <c:showPercent val="0"/>
          <c:showBubbleSize val="0"/>
        </c:dLbls>
        <c:gapWidth val="219"/>
        <c:overlap val="-27"/>
        <c:axId val="144567680"/>
        <c:axId val="144573568"/>
      </c:barChart>
      <c:catAx>
        <c:axId val="1445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73568"/>
        <c:crosses val="autoZero"/>
        <c:auto val="1"/>
        <c:lblAlgn val="ctr"/>
        <c:lblOffset val="100"/>
        <c:noMultiLvlLbl val="0"/>
      </c:catAx>
      <c:valAx>
        <c:axId val="144573568"/>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4456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cs-CZ" sz="960" b="0" i="0" u="none" strike="noStrike" baseline="0">
                <a:effectLst/>
              </a:rPr>
              <a:t>Byli byste schopni zrealizovat Váš projekt a dosáhnout plánovaných cílů i bez dotace?</a:t>
            </a:r>
            <a:endParaRPr lang="cs-CZ" b="0"/>
          </a:p>
        </c:rich>
      </c:tx>
      <c:overlay val="0"/>
    </c:title>
    <c:autoTitleDeleted val="0"/>
    <c:plotArea>
      <c:layout/>
      <c:barChart>
        <c:barDir val="col"/>
        <c:grouping val="clustered"/>
        <c:varyColors val="0"/>
        <c:ser>
          <c:idx val="0"/>
          <c:order val="0"/>
          <c:tx>
            <c:v>PP ÚE</c:v>
          </c:tx>
          <c:invertIfNegative val="0"/>
          <c:cat>
            <c:strRef>
              <c:f>'Question 9'!$A$38:$A$41</c:f>
              <c:strCache>
                <c:ptCount val="4"/>
                <c:pt idx="0">
                  <c:v>Rozhodně ne, dotace nám umožnila projekt realizovat</c:v>
                </c:pt>
                <c:pt idx="1">
                  <c:v>Spíše ne, dotace nám výraznou měrou pomohla projekt realizovat</c:v>
                </c:pt>
                <c:pt idx="2">
                  <c:v>Asi ano, ale dotace nám k realizaci projektu přispěla</c:v>
                </c:pt>
                <c:pt idx="3">
                  <c:v>Rozhodně ano, bez dotace bychom se obešli</c:v>
                </c:pt>
              </c:strCache>
            </c:strRef>
          </c:cat>
          <c:val>
            <c:numRef>
              <c:f>'Question 9'!$B$38:$B$41</c:f>
              <c:numCache>
                <c:formatCode>0.00%</c:formatCode>
                <c:ptCount val="4"/>
                <c:pt idx="0">
                  <c:v>0.1176</c:v>
                </c:pt>
                <c:pt idx="1">
                  <c:v>0.4471</c:v>
                </c:pt>
                <c:pt idx="2">
                  <c:v>0.38819999999999999</c:v>
                </c:pt>
                <c:pt idx="3">
                  <c:v>4.7100000000000003E-2</c:v>
                </c:pt>
              </c:numCache>
            </c:numRef>
          </c:val>
          <c:extLst>
            <c:ext xmlns:c16="http://schemas.microsoft.com/office/drawing/2014/chart" uri="{C3380CC4-5D6E-409C-BE32-E72D297353CC}">
              <c16:uniqueId val="{00000000-2A2A-4C43-BDE2-0F7175E8D34A}"/>
            </c:ext>
          </c:extLst>
        </c:ser>
        <c:ser>
          <c:idx val="1"/>
          <c:order val="1"/>
          <c:tx>
            <c:v>PP OZE</c:v>
          </c:tx>
          <c:spPr>
            <a:solidFill>
              <a:schemeClr val="accent6">
                <a:lumMod val="75000"/>
              </a:schemeClr>
            </a:solidFill>
          </c:spPr>
          <c:invertIfNegative val="0"/>
          <c:cat>
            <c:strRef>
              <c:f>'Question 9'!$A$38:$A$41</c:f>
              <c:strCache>
                <c:ptCount val="4"/>
                <c:pt idx="0">
                  <c:v>Rozhodně ne, dotace nám umožnila projekt realizovat</c:v>
                </c:pt>
                <c:pt idx="1">
                  <c:v>Spíše ne, dotace nám výraznou měrou pomohla projekt realizovat</c:v>
                </c:pt>
                <c:pt idx="2">
                  <c:v>Asi ano, ale dotace nám k realizaci projektu přispěla</c:v>
                </c:pt>
                <c:pt idx="3">
                  <c:v>Rozhodně ano, bez dotace bychom se obešli</c:v>
                </c:pt>
              </c:strCache>
            </c:strRef>
          </c:cat>
          <c:val>
            <c:numRef>
              <c:f>'Question 9'!$E$38:$E$41</c:f>
              <c:numCache>
                <c:formatCode>0.00%</c:formatCode>
                <c:ptCount val="4"/>
                <c:pt idx="0">
                  <c:v>0.33333333333333331</c:v>
                </c:pt>
                <c:pt idx="1">
                  <c:v>0</c:v>
                </c:pt>
                <c:pt idx="2">
                  <c:v>0.16666666666666666</c:v>
                </c:pt>
                <c:pt idx="3">
                  <c:v>0.5</c:v>
                </c:pt>
              </c:numCache>
            </c:numRef>
          </c:val>
          <c:extLst>
            <c:ext xmlns:c16="http://schemas.microsoft.com/office/drawing/2014/chart" uri="{C3380CC4-5D6E-409C-BE32-E72D297353CC}">
              <c16:uniqueId val="{00000001-2A2A-4C43-BDE2-0F7175E8D34A}"/>
            </c:ext>
          </c:extLst>
        </c:ser>
        <c:dLbls>
          <c:showLegendKey val="0"/>
          <c:showVal val="0"/>
          <c:showCatName val="0"/>
          <c:showSerName val="0"/>
          <c:showPercent val="0"/>
          <c:showBubbleSize val="0"/>
        </c:dLbls>
        <c:gapWidth val="150"/>
        <c:axId val="144629120"/>
        <c:axId val="144630912"/>
      </c:barChart>
      <c:catAx>
        <c:axId val="144629120"/>
        <c:scaling>
          <c:orientation val="minMax"/>
        </c:scaling>
        <c:delete val="0"/>
        <c:axPos val="b"/>
        <c:numFmt formatCode="General" sourceLinked="0"/>
        <c:majorTickMark val="out"/>
        <c:minorTickMark val="none"/>
        <c:tickLblPos val="nextTo"/>
        <c:crossAx val="144630912"/>
        <c:crosses val="autoZero"/>
        <c:auto val="1"/>
        <c:lblAlgn val="ctr"/>
        <c:lblOffset val="100"/>
        <c:noMultiLvlLbl val="0"/>
      </c:catAx>
      <c:valAx>
        <c:axId val="144630912"/>
        <c:scaling>
          <c:orientation val="minMax"/>
        </c:scaling>
        <c:delete val="0"/>
        <c:axPos val="l"/>
        <c:majorGridlines/>
        <c:numFmt formatCode="0.00%" sourceLinked="1"/>
        <c:majorTickMark val="out"/>
        <c:minorTickMark val="none"/>
        <c:tickLblPos val="nextTo"/>
        <c:crossAx val="144629120"/>
        <c:crosses val="autoZero"/>
        <c:crossBetween val="between"/>
      </c:valAx>
    </c:plotArea>
    <c:legend>
      <c:legendPos val="r"/>
      <c:overlay val="0"/>
    </c:legend>
    <c:plotVisOnly val="1"/>
    <c:dispBlanksAs val="gap"/>
    <c:showDLblsOverMax val="0"/>
  </c:chart>
  <c:txPr>
    <a:bodyPr/>
    <a:lstStyle/>
    <a:p>
      <a:pPr>
        <a:defRPr sz="800"/>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cs-CZ"/>
              <a:t>Z dnešního pohledu: domníváte se, že byste byli schopni realizovat projekt a dosáhnout plánovaných cílů (výstupů) i bez dotace?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61-4975-8B91-BDBFEC5C359F}"/>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1361-4975-8B91-BDBFEC5C359F}"/>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1361-4975-8B91-BDBFEC5C35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61-4975-8B91-BDBFEC5C359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List2!$H$2:$H$5</c:f>
              <c:strCache>
                <c:ptCount val="4"/>
                <c:pt idx="0">
                  <c:v>Rozhodně ne, bez dotace bychom projekt vůbec nerealizovali.</c:v>
                </c:pt>
                <c:pt idx="1">
                  <c:v>Spíše ne, dotace nám výraznou měrou pomohla dosáhnout plánovaných cílů.</c:v>
                </c:pt>
                <c:pt idx="2">
                  <c:v>Asi ano, ale v omezeném rozsahu.</c:v>
                </c:pt>
                <c:pt idx="3">
                  <c:v>Rozhodně ano, projekt bychom realizovali v plném rozsahu i bez dotace.</c:v>
                </c:pt>
              </c:strCache>
            </c:strRef>
          </c:cat>
          <c:val>
            <c:numRef>
              <c:f>List2!$J$2:$J$5</c:f>
              <c:numCache>
                <c:formatCode>0.0%</c:formatCode>
                <c:ptCount val="4"/>
                <c:pt idx="0">
                  <c:v>0.25714285714285712</c:v>
                </c:pt>
                <c:pt idx="1">
                  <c:v>0.32857142857142857</c:v>
                </c:pt>
                <c:pt idx="2">
                  <c:v>0.31428571428571428</c:v>
                </c:pt>
                <c:pt idx="3">
                  <c:v>0.1</c:v>
                </c:pt>
              </c:numCache>
            </c:numRef>
          </c:val>
          <c:extLst>
            <c:ext xmlns:c16="http://schemas.microsoft.com/office/drawing/2014/chart" uri="{C3380CC4-5D6E-409C-BE32-E72D297353CC}">
              <c16:uniqueId val="{00000008-1361-4975-8B91-BDBFEC5C35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Plnění cílů z pohledu příjemců</a:t>
            </a:r>
          </a:p>
        </c:rich>
      </c:tx>
      <c:overlay val="0"/>
    </c:title>
    <c:autoTitleDeleted val="0"/>
    <c:plotArea>
      <c:layout/>
      <c:barChart>
        <c:barDir val="bar"/>
        <c:grouping val="percentStacked"/>
        <c:varyColors val="0"/>
        <c:ser>
          <c:idx val="0"/>
          <c:order val="0"/>
          <c:tx>
            <c:strRef>
              <c:f>'Question 2'!$A$4</c:f>
              <c:strCache>
                <c:ptCount val="1"/>
                <c:pt idx="0">
                  <c:v>Ano, zcela</c:v>
                </c:pt>
              </c:strCache>
            </c:strRef>
          </c:tx>
          <c:invertIfNegative val="0"/>
          <c:val>
            <c:numRef>
              <c:f>'Question 2'!$B$4</c:f>
              <c:numCache>
                <c:formatCode>0.00%</c:formatCode>
                <c:ptCount val="1"/>
                <c:pt idx="0">
                  <c:v>0.92370000000000008</c:v>
                </c:pt>
              </c:numCache>
            </c:numRef>
          </c:val>
          <c:extLst>
            <c:ext xmlns:c16="http://schemas.microsoft.com/office/drawing/2014/chart" uri="{C3380CC4-5D6E-409C-BE32-E72D297353CC}">
              <c16:uniqueId val="{00000000-81F1-4F83-94F7-36747EE4998D}"/>
            </c:ext>
          </c:extLst>
        </c:ser>
        <c:ser>
          <c:idx val="1"/>
          <c:order val="1"/>
          <c:tx>
            <c:strRef>
              <c:f>'Question 2'!$A$5</c:f>
              <c:strCache>
                <c:ptCount val="1"/>
                <c:pt idx="0">
                  <c:v>Ano, ale pouze částečně</c:v>
                </c:pt>
              </c:strCache>
            </c:strRef>
          </c:tx>
          <c:spPr>
            <a:solidFill>
              <a:schemeClr val="accent6">
                <a:lumMod val="75000"/>
              </a:schemeClr>
            </a:solidFill>
          </c:spPr>
          <c:invertIfNegative val="0"/>
          <c:val>
            <c:numRef>
              <c:f>'Question 2'!$B$5</c:f>
              <c:numCache>
                <c:formatCode>0.00%</c:formatCode>
                <c:ptCount val="1"/>
                <c:pt idx="0">
                  <c:v>6.1100000000000002E-2</c:v>
                </c:pt>
              </c:numCache>
            </c:numRef>
          </c:val>
          <c:extLst>
            <c:ext xmlns:c16="http://schemas.microsoft.com/office/drawing/2014/chart" uri="{C3380CC4-5D6E-409C-BE32-E72D297353CC}">
              <c16:uniqueId val="{00000001-81F1-4F83-94F7-36747EE4998D}"/>
            </c:ext>
          </c:extLst>
        </c:ser>
        <c:ser>
          <c:idx val="2"/>
          <c:order val="2"/>
          <c:tx>
            <c:strRef>
              <c:f>'Question 2'!$A$6</c:f>
              <c:strCache>
                <c:ptCount val="1"/>
                <c:pt idx="0">
                  <c:v>Ne, plánovaných cílů nedosáhneme</c:v>
                </c:pt>
              </c:strCache>
            </c:strRef>
          </c:tx>
          <c:spPr>
            <a:solidFill>
              <a:schemeClr val="bg1">
                <a:lumMod val="75000"/>
              </a:schemeClr>
            </a:solidFill>
          </c:spPr>
          <c:invertIfNegative val="0"/>
          <c:val>
            <c:numRef>
              <c:f>'Question 2'!$B$6</c:f>
              <c:numCache>
                <c:formatCode>0.00%</c:formatCode>
                <c:ptCount val="1"/>
                <c:pt idx="0">
                  <c:v>1.5299999999999999E-2</c:v>
                </c:pt>
              </c:numCache>
            </c:numRef>
          </c:val>
          <c:extLst>
            <c:ext xmlns:c16="http://schemas.microsoft.com/office/drawing/2014/chart" uri="{C3380CC4-5D6E-409C-BE32-E72D297353CC}">
              <c16:uniqueId val="{00000002-81F1-4F83-94F7-36747EE4998D}"/>
            </c:ext>
          </c:extLst>
        </c:ser>
        <c:dLbls>
          <c:showLegendKey val="0"/>
          <c:showVal val="0"/>
          <c:showCatName val="0"/>
          <c:showSerName val="0"/>
          <c:showPercent val="0"/>
          <c:showBubbleSize val="0"/>
        </c:dLbls>
        <c:gapWidth val="150"/>
        <c:overlap val="100"/>
        <c:axId val="144152064"/>
        <c:axId val="144153600"/>
      </c:barChart>
      <c:catAx>
        <c:axId val="144152064"/>
        <c:scaling>
          <c:orientation val="minMax"/>
        </c:scaling>
        <c:delete val="1"/>
        <c:axPos val="l"/>
        <c:majorTickMark val="out"/>
        <c:minorTickMark val="none"/>
        <c:tickLblPos val="nextTo"/>
        <c:crossAx val="144153600"/>
        <c:crosses val="autoZero"/>
        <c:auto val="1"/>
        <c:lblAlgn val="ctr"/>
        <c:lblOffset val="100"/>
        <c:noMultiLvlLbl val="0"/>
      </c:catAx>
      <c:valAx>
        <c:axId val="144153600"/>
        <c:scaling>
          <c:orientation val="minMax"/>
          <c:min val="0"/>
        </c:scaling>
        <c:delete val="0"/>
        <c:axPos val="b"/>
        <c:majorGridlines/>
        <c:numFmt formatCode="0%" sourceLinked="1"/>
        <c:majorTickMark val="out"/>
        <c:minorTickMark val="none"/>
        <c:tickLblPos val="nextTo"/>
        <c:crossAx val="144152064"/>
        <c:crosses val="autoZero"/>
        <c:crossBetween val="between"/>
      </c:valAx>
    </c:plotArea>
    <c:legend>
      <c:legendPos val="b"/>
      <c:overlay val="0"/>
    </c:legend>
    <c:plotVisOnly val="1"/>
    <c:dispBlanksAs val="gap"/>
    <c:showDLblsOverMax val="0"/>
  </c:chart>
  <c:txPr>
    <a:bodyPr/>
    <a:lstStyle/>
    <a:p>
      <a:pPr>
        <a:defRPr sz="800"/>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Změna spotřeby energie v  letech 2015-2018</a:t>
            </a:r>
          </a:p>
        </c:rich>
      </c:tx>
      <c:overlay val="0"/>
    </c:title>
    <c:autoTitleDeleted val="0"/>
    <c:plotArea>
      <c:layout/>
      <c:barChart>
        <c:barDir val="col"/>
        <c:grouping val="clustered"/>
        <c:varyColors val="0"/>
        <c:ser>
          <c:idx val="0"/>
          <c:order val="0"/>
          <c:tx>
            <c:v>Příjemci dotace</c:v>
          </c:tx>
          <c:invertIfNegative val="0"/>
          <c:cat>
            <c:strRef>
              <c:f>'Question 4'!$A$4:$A$10</c:f>
              <c:strCache>
                <c:ptCount val="7"/>
                <c:pt idx="0">
                  <c:v>Snížení spotřeby energie o 20 % a více</c:v>
                </c:pt>
                <c:pt idx="1">
                  <c:v>Snížení spotřeby energie v rozmezí 10 – 19,9 %</c:v>
                </c:pt>
                <c:pt idx="2">
                  <c:v>Snížení spotřeby energie v rozmezí 5 – 9,9 %</c:v>
                </c:pt>
                <c:pt idx="3">
                  <c:v>Spotřeba zůstala v prakticky nezměněné výši +- 5 % oproti stavu z roku 2015</c:v>
                </c:pt>
                <c:pt idx="4">
                  <c:v>Zvýšení spotřeby energie v rozmezí 5 – 9,9 %</c:v>
                </c:pt>
                <c:pt idx="5">
                  <c:v>Zvýšení spotřeby energie v rozmezí 10 – 19,9 %</c:v>
                </c:pt>
                <c:pt idx="6">
                  <c:v>Zvýšení spotřeby energie o 20 % a více</c:v>
                </c:pt>
              </c:strCache>
            </c:strRef>
          </c:cat>
          <c:val>
            <c:numRef>
              <c:f>'Question 4'!$B$4:$B$10</c:f>
              <c:numCache>
                <c:formatCode>0.00%</c:formatCode>
                <c:ptCount val="7"/>
                <c:pt idx="0">
                  <c:v>0.3654</c:v>
                </c:pt>
                <c:pt idx="1">
                  <c:v>0.26919999999999999</c:v>
                </c:pt>
                <c:pt idx="2">
                  <c:v>0.16350000000000001</c:v>
                </c:pt>
                <c:pt idx="3">
                  <c:v>0.15379999999999999</c:v>
                </c:pt>
                <c:pt idx="4">
                  <c:v>0</c:v>
                </c:pt>
                <c:pt idx="5">
                  <c:v>2.8799999999999999E-2</c:v>
                </c:pt>
                <c:pt idx="6">
                  <c:v>1.9199999999999998E-2</c:v>
                </c:pt>
              </c:numCache>
            </c:numRef>
          </c:val>
          <c:extLst>
            <c:ext xmlns:c16="http://schemas.microsoft.com/office/drawing/2014/chart" uri="{C3380CC4-5D6E-409C-BE32-E72D297353CC}">
              <c16:uniqueId val="{00000000-2D30-491F-BFA9-F86ED55EDDFF}"/>
            </c:ext>
          </c:extLst>
        </c:ser>
        <c:ser>
          <c:idx val="1"/>
          <c:order val="1"/>
          <c:tx>
            <c:v>Nepodpoření žadatelé</c:v>
          </c:tx>
          <c:spPr>
            <a:solidFill>
              <a:schemeClr val="accent6">
                <a:lumMod val="75000"/>
              </a:schemeClr>
            </a:solidFill>
          </c:spPr>
          <c:invertIfNegative val="0"/>
          <c:cat>
            <c:strRef>
              <c:f>'Question 4'!$A$4:$A$10</c:f>
              <c:strCache>
                <c:ptCount val="7"/>
                <c:pt idx="0">
                  <c:v>Snížení spotřeby energie o 20 % a více</c:v>
                </c:pt>
                <c:pt idx="1">
                  <c:v>Snížení spotřeby energie v rozmezí 10 – 19,9 %</c:v>
                </c:pt>
                <c:pt idx="2">
                  <c:v>Snížení spotřeby energie v rozmezí 5 – 9,9 %</c:v>
                </c:pt>
                <c:pt idx="3">
                  <c:v>Spotřeba zůstala v prakticky nezměněné výši +- 5 % oproti stavu z roku 2015</c:v>
                </c:pt>
                <c:pt idx="4">
                  <c:v>Zvýšení spotřeby energie v rozmezí 5 – 9,9 %</c:v>
                </c:pt>
                <c:pt idx="5">
                  <c:v>Zvýšení spotřeby energie v rozmezí 10 – 19,9 %</c:v>
                </c:pt>
                <c:pt idx="6">
                  <c:v>Zvýšení spotřeby energie o 20 % a více</c:v>
                </c:pt>
              </c:strCache>
            </c:strRef>
          </c:cat>
          <c:val>
            <c:numRef>
              <c:f>'Question 4'!$D$4:$D$10</c:f>
              <c:numCache>
                <c:formatCode>0.00%</c:formatCode>
                <c:ptCount val="7"/>
                <c:pt idx="0">
                  <c:v>6.3799999999999996E-2</c:v>
                </c:pt>
                <c:pt idx="1">
                  <c:v>0.1489</c:v>
                </c:pt>
                <c:pt idx="2">
                  <c:v>0.17019999999999999</c:v>
                </c:pt>
                <c:pt idx="3">
                  <c:v>0.31909999999999999</c:v>
                </c:pt>
                <c:pt idx="4">
                  <c:v>8.5099999999999995E-2</c:v>
                </c:pt>
                <c:pt idx="5">
                  <c:v>0.12770000000000001</c:v>
                </c:pt>
                <c:pt idx="6">
                  <c:v>8.5099999999999995E-2</c:v>
                </c:pt>
              </c:numCache>
            </c:numRef>
          </c:val>
          <c:extLst>
            <c:ext xmlns:c16="http://schemas.microsoft.com/office/drawing/2014/chart" uri="{C3380CC4-5D6E-409C-BE32-E72D297353CC}">
              <c16:uniqueId val="{00000001-2D30-491F-BFA9-F86ED55EDDFF}"/>
            </c:ext>
          </c:extLst>
        </c:ser>
        <c:dLbls>
          <c:showLegendKey val="0"/>
          <c:showVal val="0"/>
          <c:showCatName val="0"/>
          <c:showSerName val="0"/>
          <c:showPercent val="0"/>
          <c:showBubbleSize val="0"/>
        </c:dLbls>
        <c:gapWidth val="150"/>
        <c:axId val="144261888"/>
        <c:axId val="144263424"/>
      </c:barChart>
      <c:catAx>
        <c:axId val="144261888"/>
        <c:scaling>
          <c:orientation val="minMax"/>
        </c:scaling>
        <c:delete val="0"/>
        <c:axPos val="b"/>
        <c:numFmt formatCode="General" sourceLinked="0"/>
        <c:majorTickMark val="out"/>
        <c:minorTickMark val="none"/>
        <c:tickLblPos val="nextTo"/>
        <c:crossAx val="144263424"/>
        <c:crosses val="autoZero"/>
        <c:auto val="1"/>
        <c:lblAlgn val="l"/>
        <c:lblOffset val="100"/>
        <c:noMultiLvlLbl val="0"/>
      </c:catAx>
      <c:valAx>
        <c:axId val="144263424"/>
        <c:scaling>
          <c:orientation val="minMax"/>
        </c:scaling>
        <c:delete val="0"/>
        <c:axPos val="l"/>
        <c:majorGridlines/>
        <c:numFmt formatCode="0.00%" sourceLinked="1"/>
        <c:majorTickMark val="out"/>
        <c:minorTickMark val="none"/>
        <c:tickLblPos val="nextTo"/>
        <c:crossAx val="144261888"/>
        <c:crosses val="autoZero"/>
        <c:crossBetween val="between"/>
      </c:valAx>
    </c:plotArea>
    <c:legend>
      <c:legendPos val="b"/>
      <c:overlay val="0"/>
    </c:legend>
    <c:plotVisOnly val="1"/>
    <c:dispBlanksAs val="gap"/>
    <c:showDLblsOverMax val="0"/>
  </c:chart>
  <c:txPr>
    <a:bodyPr/>
    <a:lstStyle/>
    <a:p>
      <a:pPr>
        <a:defRPr sz="800"/>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Faktory ovlivňující změnu spotřeby energie v letech 2015-18</a:t>
            </a:r>
          </a:p>
        </c:rich>
      </c:tx>
      <c:overlay val="0"/>
    </c:title>
    <c:autoTitleDeleted val="0"/>
    <c:plotArea>
      <c:layout/>
      <c:barChart>
        <c:barDir val="bar"/>
        <c:grouping val="clustered"/>
        <c:varyColors val="0"/>
        <c:ser>
          <c:idx val="0"/>
          <c:order val="0"/>
          <c:tx>
            <c:v>Příjemci podpory</c:v>
          </c:tx>
          <c:invertIfNegative val="0"/>
          <c:cat>
            <c:strRef>
              <c:f>'Question 5'!$B$6:$B$15</c:f>
              <c:strCache>
                <c:ptCount val="10"/>
                <c:pt idx="0">
                  <c:v>Rekonstrukce stávajících či výstavba nových budov s pasivním energetickým standardem nebo téměř nulovou spotřebou</c:v>
                </c:pt>
                <c:pt idx="1">
                  <c:v>Modernizace a rekonstrukce stávajících zařízení na výrobu energie pro vlastní spotřebu vedoucí ke zvýšení její účinnosti</c:v>
                </c:pt>
                <c:pt idx="2">
                  <c:v>Instalace kogenerační jednotky s maximálním využitím elektrické a tepelné energie pro vlastní spotřebu podniku</c:v>
                </c:pt>
                <c:pt idx="3">
                  <c:v>Instalace obnovitelných zdrojů pro vlastní spotřebu podniku</c:v>
                </c:pt>
                <c:pt idx="4">
                  <c:v>Snižování energetické náročnosti / zvyšování energetické účinnosti výrobních a technologických procesů</c:v>
                </c:pt>
                <c:pt idx="5">
                  <c:v>Využití odpadní energie ve výrobních procesech</c:v>
                </c:pt>
                <c:pt idx="6">
                  <c:v>Modernizace soustav osvětlení budov a průmyslových areálů</c:v>
                </c:pt>
                <c:pt idx="7">
                  <c:v>Zavádění a modernizace systémů měření a regulace</c:v>
                </c:pt>
                <c:pt idx="8">
                  <c:v>Modernizace rozvodů elektřiny, plynu a tepla v budovách</c:v>
                </c:pt>
                <c:pt idx="9">
                  <c:v>Snižování energetické náročnosti budov (zateplení, výměna a renovace otvorových výplní apod.)</c:v>
                </c:pt>
              </c:strCache>
            </c:strRef>
          </c:cat>
          <c:val>
            <c:numRef>
              <c:f>'Question 5'!$C$6:$C$15</c:f>
              <c:numCache>
                <c:formatCode>0.00%</c:formatCode>
                <c:ptCount val="10"/>
                <c:pt idx="0">
                  <c:v>1.9199999999999998E-2</c:v>
                </c:pt>
                <c:pt idx="1">
                  <c:v>6.7299999999999999E-2</c:v>
                </c:pt>
                <c:pt idx="2">
                  <c:v>0</c:v>
                </c:pt>
                <c:pt idx="3">
                  <c:v>8.6500000000000007E-2</c:v>
                </c:pt>
                <c:pt idx="4">
                  <c:v>0.29809999999999998</c:v>
                </c:pt>
                <c:pt idx="5">
                  <c:v>0.14419999999999999</c:v>
                </c:pt>
                <c:pt idx="6">
                  <c:v>0.375</c:v>
                </c:pt>
                <c:pt idx="7">
                  <c:v>0.1923</c:v>
                </c:pt>
                <c:pt idx="8">
                  <c:v>0.21149999999999999</c:v>
                </c:pt>
                <c:pt idx="9">
                  <c:v>0.61539999999999995</c:v>
                </c:pt>
              </c:numCache>
            </c:numRef>
          </c:val>
          <c:extLst>
            <c:ext xmlns:c16="http://schemas.microsoft.com/office/drawing/2014/chart" uri="{C3380CC4-5D6E-409C-BE32-E72D297353CC}">
              <c16:uniqueId val="{00000000-72B2-4218-B7A7-408BD8CDB985}"/>
            </c:ext>
          </c:extLst>
        </c:ser>
        <c:ser>
          <c:idx val="1"/>
          <c:order val="1"/>
          <c:tx>
            <c:v>Nepodpoření žadatelé</c:v>
          </c:tx>
          <c:spPr>
            <a:solidFill>
              <a:schemeClr val="accent6">
                <a:lumMod val="75000"/>
              </a:schemeClr>
            </a:solidFill>
          </c:spPr>
          <c:invertIfNegative val="0"/>
          <c:cat>
            <c:strRef>
              <c:f>'Question 5'!$B$6:$B$15</c:f>
              <c:strCache>
                <c:ptCount val="10"/>
                <c:pt idx="0">
                  <c:v>Rekonstrukce stávajících či výstavba nových budov s pasivním energetickým standardem nebo téměř nulovou spotřebou</c:v>
                </c:pt>
                <c:pt idx="1">
                  <c:v>Modernizace a rekonstrukce stávajících zařízení na výrobu energie pro vlastní spotřebu vedoucí ke zvýšení její účinnosti</c:v>
                </c:pt>
                <c:pt idx="2">
                  <c:v>Instalace kogenerační jednotky s maximálním využitím elektrické a tepelné energie pro vlastní spotřebu podniku</c:v>
                </c:pt>
                <c:pt idx="3">
                  <c:v>Instalace obnovitelných zdrojů pro vlastní spotřebu podniku</c:v>
                </c:pt>
                <c:pt idx="4">
                  <c:v>Snižování energetické náročnosti / zvyšování energetické účinnosti výrobních a technologických procesů</c:v>
                </c:pt>
                <c:pt idx="5">
                  <c:v>Využití odpadní energie ve výrobních procesech</c:v>
                </c:pt>
                <c:pt idx="6">
                  <c:v>Modernizace soustav osvětlení budov a průmyslových areálů</c:v>
                </c:pt>
                <c:pt idx="7">
                  <c:v>Zavádění a modernizace systémů měření a regulace</c:v>
                </c:pt>
                <c:pt idx="8">
                  <c:v>Modernizace rozvodů elektřiny, plynu a tepla v budovách</c:v>
                </c:pt>
                <c:pt idx="9">
                  <c:v>Snižování energetické náročnosti budov (zateplení, výměna a renovace otvorových výplní apod.)</c:v>
                </c:pt>
              </c:strCache>
            </c:strRef>
          </c:cat>
          <c:val>
            <c:numRef>
              <c:f>'Question 5'!$E$6:$E$15</c:f>
              <c:numCache>
                <c:formatCode>0.00%</c:formatCode>
                <c:ptCount val="10"/>
                <c:pt idx="0">
                  <c:v>0</c:v>
                </c:pt>
                <c:pt idx="1">
                  <c:v>0.17649999999999999</c:v>
                </c:pt>
                <c:pt idx="2">
                  <c:v>0</c:v>
                </c:pt>
                <c:pt idx="3">
                  <c:v>0.1176</c:v>
                </c:pt>
                <c:pt idx="4">
                  <c:v>0.4118</c:v>
                </c:pt>
                <c:pt idx="5">
                  <c:v>0</c:v>
                </c:pt>
                <c:pt idx="6">
                  <c:v>0.29409999999999997</c:v>
                </c:pt>
                <c:pt idx="7">
                  <c:v>0.23530000000000001</c:v>
                </c:pt>
                <c:pt idx="8">
                  <c:v>0.23530000000000001</c:v>
                </c:pt>
                <c:pt idx="9">
                  <c:v>0.70590000000000008</c:v>
                </c:pt>
              </c:numCache>
            </c:numRef>
          </c:val>
          <c:extLst>
            <c:ext xmlns:c16="http://schemas.microsoft.com/office/drawing/2014/chart" uri="{C3380CC4-5D6E-409C-BE32-E72D297353CC}">
              <c16:uniqueId val="{00000001-72B2-4218-B7A7-408BD8CDB985}"/>
            </c:ext>
          </c:extLst>
        </c:ser>
        <c:dLbls>
          <c:showLegendKey val="0"/>
          <c:showVal val="0"/>
          <c:showCatName val="0"/>
          <c:showSerName val="0"/>
          <c:showPercent val="0"/>
          <c:showBubbleSize val="0"/>
        </c:dLbls>
        <c:gapWidth val="150"/>
        <c:axId val="144289792"/>
        <c:axId val="144291328"/>
      </c:barChart>
      <c:catAx>
        <c:axId val="144289792"/>
        <c:scaling>
          <c:orientation val="minMax"/>
        </c:scaling>
        <c:delete val="0"/>
        <c:axPos val="l"/>
        <c:numFmt formatCode="General" sourceLinked="0"/>
        <c:majorTickMark val="out"/>
        <c:minorTickMark val="none"/>
        <c:tickLblPos val="nextTo"/>
        <c:crossAx val="144291328"/>
        <c:crosses val="autoZero"/>
        <c:auto val="1"/>
        <c:lblAlgn val="ctr"/>
        <c:lblOffset val="100"/>
        <c:noMultiLvlLbl val="0"/>
      </c:catAx>
      <c:valAx>
        <c:axId val="144291328"/>
        <c:scaling>
          <c:orientation val="minMax"/>
        </c:scaling>
        <c:delete val="0"/>
        <c:axPos val="b"/>
        <c:majorGridlines/>
        <c:numFmt formatCode="0%" sourceLinked="0"/>
        <c:majorTickMark val="out"/>
        <c:minorTickMark val="none"/>
        <c:tickLblPos val="nextTo"/>
        <c:crossAx val="144289792"/>
        <c:crosses val="autoZero"/>
        <c:crossBetween val="between"/>
      </c:valAx>
    </c:plotArea>
    <c:legend>
      <c:legendPos val="b"/>
      <c:overlay val="0"/>
    </c:legend>
    <c:plotVisOnly val="1"/>
    <c:dispBlanksAs val="gap"/>
    <c:showDLblsOverMax val="0"/>
  </c:chart>
  <c:txPr>
    <a:bodyPr/>
    <a:lstStyle/>
    <a:p>
      <a:pPr>
        <a:defRPr sz="800"/>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'Question 9'!$D$4</c:f>
              <c:strCache>
                <c:ptCount val="1"/>
                <c:pt idx="0">
                  <c:v>Ano, ve stejném rozsahu</c:v>
                </c:pt>
              </c:strCache>
            </c:strRef>
          </c:tx>
          <c:invertIfNegative val="0"/>
          <c:cat>
            <c:strRef>
              <c:f>'Question 9'!$E$3:$F$3</c:f>
              <c:strCache>
                <c:ptCount val="2"/>
                <c:pt idx="0">
                  <c:v>Nepodpoření žadatelé</c:v>
                </c:pt>
                <c:pt idx="1">
                  <c:v>Příjemci podpory</c:v>
                </c:pt>
              </c:strCache>
            </c:strRef>
          </c:cat>
          <c:val>
            <c:numRef>
              <c:f>'Question 9'!$E$4:$F$4</c:f>
              <c:numCache>
                <c:formatCode>0.00%</c:formatCode>
                <c:ptCount val="2"/>
                <c:pt idx="0">
                  <c:v>0.15</c:v>
                </c:pt>
                <c:pt idx="1">
                  <c:v>0.12790000000000001</c:v>
                </c:pt>
              </c:numCache>
            </c:numRef>
          </c:val>
          <c:extLst>
            <c:ext xmlns:c16="http://schemas.microsoft.com/office/drawing/2014/chart" uri="{C3380CC4-5D6E-409C-BE32-E72D297353CC}">
              <c16:uniqueId val="{00000000-8581-44F2-AEF1-A29FC00ADC7F}"/>
            </c:ext>
          </c:extLst>
        </c:ser>
        <c:ser>
          <c:idx val="1"/>
          <c:order val="1"/>
          <c:tx>
            <c:strRef>
              <c:f>'Question 9'!$D$5</c:f>
              <c:strCache>
                <c:ptCount val="1"/>
                <c:pt idx="0">
                  <c:v>Ano, ale v menším rozsahu</c:v>
                </c:pt>
              </c:strCache>
            </c:strRef>
          </c:tx>
          <c:spPr>
            <a:solidFill>
              <a:schemeClr val="accent6">
                <a:lumMod val="75000"/>
              </a:schemeClr>
            </a:solidFill>
          </c:spPr>
          <c:invertIfNegative val="0"/>
          <c:cat>
            <c:strRef>
              <c:f>'Question 9'!$E$3:$F$3</c:f>
              <c:strCache>
                <c:ptCount val="2"/>
                <c:pt idx="0">
                  <c:v>Nepodpoření žadatelé</c:v>
                </c:pt>
                <c:pt idx="1">
                  <c:v>Příjemci podpory</c:v>
                </c:pt>
              </c:strCache>
            </c:strRef>
          </c:cat>
          <c:val>
            <c:numRef>
              <c:f>'Question 9'!$E$5:$F$5</c:f>
              <c:numCache>
                <c:formatCode>0.00%</c:formatCode>
                <c:ptCount val="2"/>
                <c:pt idx="0">
                  <c:v>0.23330000000000001</c:v>
                </c:pt>
                <c:pt idx="1">
                  <c:v>0.58140000000000003</c:v>
                </c:pt>
              </c:numCache>
            </c:numRef>
          </c:val>
          <c:extLst>
            <c:ext xmlns:c16="http://schemas.microsoft.com/office/drawing/2014/chart" uri="{C3380CC4-5D6E-409C-BE32-E72D297353CC}">
              <c16:uniqueId val="{00000001-8581-44F2-AEF1-A29FC00ADC7F}"/>
            </c:ext>
          </c:extLst>
        </c:ser>
        <c:ser>
          <c:idx val="2"/>
          <c:order val="2"/>
          <c:tx>
            <c:strRef>
              <c:f>'Question 9'!$D$6</c:f>
              <c:strCache>
                <c:ptCount val="1"/>
                <c:pt idx="0">
                  <c:v>Ne</c:v>
                </c:pt>
              </c:strCache>
            </c:strRef>
          </c:tx>
          <c:spPr>
            <a:solidFill>
              <a:schemeClr val="bg1">
                <a:lumMod val="50000"/>
              </a:schemeClr>
            </a:solidFill>
          </c:spPr>
          <c:invertIfNegative val="0"/>
          <c:cat>
            <c:strRef>
              <c:f>'Question 9'!$E$3:$F$3</c:f>
              <c:strCache>
                <c:ptCount val="2"/>
                <c:pt idx="0">
                  <c:v>Nepodpoření žadatelé</c:v>
                </c:pt>
                <c:pt idx="1">
                  <c:v>Příjemci podpory</c:v>
                </c:pt>
              </c:strCache>
            </c:strRef>
          </c:cat>
          <c:val>
            <c:numRef>
              <c:f>'Question 9'!$E$6:$F$6</c:f>
              <c:numCache>
                <c:formatCode>0.00%</c:formatCode>
                <c:ptCount val="2"/>
                <c:pt idx="0">
                  <c:v>0.61670000000000003</c:v>
                </c:pt>
                <c:pt idx="1">
                  <c:v>0.29070000000000001</c:v>
                </c:pt>
              </c:numCache>
            </c:numRef>
          </c:val>
          <c:extLst>
            <c:ext xmlns:c16="http://schemas.microsoft.com/office/drawing/2014/chart" uri="{C3380CC4-5D6E-409C-BE32-E72D297353CC}">
              <c16:uniqueId val="{00000002-8581-44F2-AEF1-A29FC00ADC7F}"/>
            </c:ext>
          </c:extLst>
        </c:ser>
        <c:dLbls>
          <c:showLegendKey val="0"/>
          <c:showVal val="0"/>
          <c:showCatName val="0"/>
          <c:showSerName val="0"/>
          <c:showPercent val="0"/>
          <c:showBubbleSize val="0"/>
        </c:dLbls>
        <c:gapWidth val="150"/>
        <c:overlap val="100"/>
        <c:axId val="144310656"/>
        <c:axId val="144312192"/>
      </c:barChart>
      <c:catAx>
        <c:axId val="144310656"/>
        <c:scaling>
          <c:orientation val="minMax"/>
        </c:scaling>
        <c:delete val="0"/>
        <c:axPos val="l"/>
        <c:numFmt formatCode="General" sourceLinked="0"/>
        <c:majorTickMark val="out"/>
        <c:minorTickMark val="none"/>
        <c:tickLblPos val="nextTo"/>
        <c:crossAx val="144312192"/>
        <c:crosses val="autoZero"/>
        <c:auto val="1"/>
        <c:lblAlgn val="ctr"/>
        <c:lblOffset val="100"/>
        <c:noMultiLvlLbl val="0"/>
      </c:catAx>
      <c:valAx>
        <c:axId val="144312192"/>
        <c:scaling>
          <c:orientation val="minMax"/>
        </c:scaling>
        <c:delete val="0"/>
        <c:axPos val="b"/>
        <c:majorGridlines/>
        <c:numFmt formatCode="0%" sourceLinked="1"/>
        <c:majorTickMark val="out"/>
        <c:minorTickMark val="none"/>
        <c:tickLblPos val="nextTo"/>
        <c:crossAx val="144310656"/>
        <c:crosses val="autoZero"/>
        <c:crossBetween val="between"/>
      </c:valAx>
    </c:plotArea>
    <c:legend>
      <c:legendPos val="b"/>
      <c:overlay val="0"/>
    </c:legend>
    <c:plotVisOnly val="1"/>
    <c:dispBlanksAs val="gap"/>
    <c:showDLblsOverMax val="0"/>
  </c:chart>
  <c:txPr>
    <a:bodyPr/>
    <a:lstStyle/>
    <a:p>
      <a:pPr>
        <a:defRPr sz="800"/>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Význam nákladů na energie </a:t>
            </a:r>
          </a:p>
        </c:rich>
      </c:tx>
      <c:overlay val="0"/>
    </c:title>
    <c:autoTitleDeleted val="0"/>
    <c:plotArea>
      <c:layout/>
      <c:barChart>
        <c:barDir val="col"/>
        <c:grouping val="clustered"/>
        <c:varyColors val="0"/>
        <c:ser>
          <c:idx val="0"/>
          <c:order val="0"/>
          <c:tx>
            <c:v>Příjemci pdopory</c:v>
          </c:tx>
          <c:spPr>
            <a:solidFill>
              <a:schemeClr val="accent1"/>
            </a:solidFill>
          </c:spPr>
          <c:invertIfNegative val="0"/>
          <c:cat>
            <c:strRef>
              <c:f>'Question 10'!$A$4:$A$7</c:f>
              <c:strCache>
                <c:ptCount val="4"/>
                <c:pt idx="0">
                  <c:v>Zcela zásadní nákladová položka</c:v>
                </c:pt>
                <c:pt idx="1">
                  <c:v>Významná nákladová položka</c:v>
                </c:pt>
                <c:pt idx="2">
                  <c:v>Ne zcela významná nákladová položka</c:v>
                </c:pt>
                <c:pt idx="3">
                  <c:v>Nevýznamná (okrajová) nákladová položka</c:v>
                </c:pt>
              </c:strCache>
            </c:strRef>
          </c:cat>
          <c:val>
            <c:numRef>
              <c:f>'Question 10'!$B$4:$B$7</c:f>
              <c:numCache>
                <c:formatCode>0.00%</c:formatCode>
                <c:ptCount val="4"/>
                <c:pt idx="0">
                  <c:v>0.1047</c:v>
                </c:pt>
                <c:pt idx="1">
                  <c:v>0.66280000000000006</c:v>
                </c:pt>
                <c:pt idx="2">
                  <c:v>0.22090000000000001</c:v>
                </c:pt>
                <c:pt idx="3">
                  <c:v>1.1599999999999999E-2</c:v>
                </c:pt>
              </c:numCache>
            </c:numRef>
          </c:val>
          <c:extLst>
            <c:ext xmlns:c16="http://schemas.microsoft.com/office/drawing/2014/chart" uri="{C3380CC4-5D6E-409C-BE32-E72D297353CC}">
              <c16:uniqueId val="{00000000-2F8D-4B7D-8B78-1CA1BB18AF05}"/>
            </c:ext>
          </c:extLst>
        </c:ser>
        <c:ser>
          <c:idx val="1"/>
          <c:order val="1"/>
          <c:tx>
            <c:v>Nepodpoření žadatelé</c:v>
          </c:tx>
          <c:spPr>
            <a:solidFill>
              <a:schemeClr val="accent6">
                <a:lumMod val="75000"/>
              </a:schemeClr>
            </a:solidFill>
          </c:spPr>
          <c:invertIfNegative val="0"/>
          <c:cat>
            <c:strRef>
              <c:f>'Question 10'!$A$4:$A$7</c:f>
              <c:strCache>
                <c:ptCount val="4"/>
                <c:pt idx="0">
                  <c:v>Zcela zásadní nákladová položka</c:v>
                </c:pt>
                <c:pt idx="1">
                  <c:v>Významná nákladová položka</c:v>
                </c:pt>
                <c:pt idx="2">
                  <c:v>Ne zcela významná nákladová položka</c:v>
                </c:pt>
                <c:pt idx="3">
                  <c:v>Nevýznamná (okrajová) nákladová položka</c:v>
                </c:pt>
              </c:strCache>
            </c:strRef>
          </c:cat>
          <c:val>
            <c:numRef>
              <c:f>'Question 10'!$H$4:$H$7</c:f>
              <c:numCache>
                <c:formatCode>0.00%</c:formatCode>
                <c:ptCount val="4"/>
                <c:pt idx="0">
                  <c:v>0.10639999999999999</c:v>
                </c:pt>
                <c:pt idx="1">
                  <c:v>0.72340000000000004</c:v>
                </c:pt>
                <c:pt idx="2">
                  <c:v>0.17019999999999999</c:v>
                </c:pt>
                <c:pt idx="3">
                  <c:v>0</c:v>
                </c:pt>
              </c:numCache>
            </c:numRef>
          </c:val>
          <c:extLst>
            <c:ext xmlns:c16="http://schemas.microsoft.com/office/drawing/2014/chart" uri="{C3380CC4-5D6E-409C-BE32-E72D297353CC}">
              <c16:uniqueId val="{00000001-2F8D-4B7D-8B78-1CA1BB18AF05}"/>
            </c:ext>
          </c:extLst>
        </c:ser>
        <c:dLbls>
          <c:showLegendKey val="0"/>
          <c:showVal val="0"/>
          <c:showCatName val="0"/>
          <c:showSerName val="0"/>
          <c:showPercent val="0"/>
          <c:showBubbleSize val="0"/>
        </c:dLbls>
        <c:gapWidth val="150"/>
        <c:axId val="144325632"/>
        <c:axId val="144327424"/>
      </c:barChart>
      <c:catAx>
        <c:axId val="144325632"/>
        <c:scaling>
          <c:orientation val="minMax"/>
        </c:scaling>
        <c:delete val="0"/>
        <c:axPos val="b"/>
        <c:numFmt formatCode="General" sourceLinked="0"/>
        <c:majorTickMark val="out"/>
        <c:minorTickMark val="none"/>
        <c:tickLblPos val="nextTo"/>
        <c:crossAx val="144327424"/>
        <c:crosses val="autoZero"/>
        <c:auto val="1"/>
        <c:lblAlgn val="ctr"/>
        <c:lblOffset val="100"/>
        <c:noMultiLvlLbl val="0"/>
      </c:catAx>
      <c:valAx>
        <c:axId val="144327424"/>
        <c:scaling>
          <c:orientation val="minMax"/>
        </c:scaling>
        <c:delete val="0"/>
        <c:axPos val="l"/>
        <c:majorGridlines/>
        <c:numFmt formatCode="0.00%" sourceLinked="1"/>
        <c:majorTickMark val="out"/>
        <c:minorTickMark val="none"/>
        <c:tickLblPos val="nextTo"/>
        <c:crossAx val="144325632"/>
        <c:crosses val="autoZero"/>
        <c:crossBetween val="between"/>
      </c:valAx>
    </c:plotArea>
    <c:legend>
      <c:legendPos val="b"/>
      <c:overlay val="0"/>
    </c:legend>
    <c:plotVisOnly val="1"/>
    <c:dispBlanksAs val="gap"/>
    <c:showDLblsOverMax val="0"/>
  </c:chart>
  <c:txPr>
    <a:bodyPr/>
    <a:lstStyle/>
    <a:p>
      <a:pPr>
        <a:defRPr sz="800"/>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Změna významu nákladů na energie po realizaci projektu</a:t>
            </a:r>
          </a:p>
        </c:rich>
      </c:tx>
      <c:overlay val="0"/>
    </c:title>
    <c:autoTitleDeleted val="0"/>
    <c:plotArea>
      <c:layout/>
      <c:barChart>
        <c:barDir val="col"/>
        <c:grouping val="clustered"/>
        <c:varyColors val="0"/>
        <c:ser>
          <c:idx val="0"/>
          <c:order val="0"/>
          <c:tx>
            <c:v>Příjemci podpory</c:v>
          </c:tx>
          <c:spPr>
            <a:solidFill>
              <a:schemeClr val="accent1"/>
            </a:solidFill>
          </c:spPr>
          <c:invertIfNegative val="0"/>
          <c:cat>
            <c:strRef>
              <c:f>'Question 11'!$A$4:$A$7</c:f>
              <c:strCache>
                <c:ptCount val="4"/>
                <c:pt idx="0">
                  <c:v>Významně poklesla váha nákladů na energie na celkových nákladech společnosti</c:v>
                </c:pt>
                <c:pt idx="1">
                  <c:v>Částečně poklesla váha nákladů na energie na celkových nákladech společnosti</c:v>
                </c:pt>
                <c:pt idx="2">
                  <c:v>Částečně vzrostla váha nákladů na energie na celkových nákladech společnosti</c:v>
                </c:pt>
                <c:pt idx="3">
                  <c:v>Významně vzrostla váha nákladů na energie na celkových nákladech společnosti</c:v>
                </c:pt>
              </c:strCache>
            </c:strRef>
          </c:cat>
          <c:val>
            <c:numRef>
              <c:f>'Question 11'!$B$4:$B$7</c:f>
              <c:numCache>
                <c:formatCode>0.00%</c:formatCode>
                <c:ptCount val="4"/>
                <c:pt idx="0">
                  <c:v>0.1512</c:v>
                </c:pt>
                <c:pt idx="1">
                  <c:v>0.83719999999999994</c:v>
                </c:pt>
                <c:pt idx="2">
                  <c:v>1.1599999999999999E-2</c:v>
                </c:pt>
                <c:pt idx="3">
                  <c:v>0</c:v>
                </c:pt>
              </c:numCache>
            </c:numRef>
          </c:val>
          <c:extLst>
            <c:ext xmlns:c16="http://schemas.microsoft.com/office/drawing/2014/chart" uri="{C3380CC4-5D6E-409C-BE32-E72D297353CC}">
              <c16:uniqueId val="{00000000-2DEE-405E-8FF9-5B71E7E3FF87}"/>
            </c:ext>
          </c:extLst>
        </c:ser>
        <c:dLbls>
          <c:showLegendKey val="0"/>
          <c:showVal val="0"/>
          <c:showCatName val="0"/>
          <c:showSerName val="0"/>
          <c:showPercent val="0"/>
          <c:showBubbleSize val="0"/>
        </c:dLbls>
        <c:gapWidth val="150"/>
        <c:axId val="144336000"/>
        <c:axId val="144337536"/>
      </c:barChart>
      <c:catAx>
        <c:axId val="144336000"/>
        <c:scaling>
          <c:orientation val="minMax"/>
        </c:scaling>
        <c:delete val="0"/>
        <c:axPos val="b"/>
        <c:numFmt formatCode="General" sourceLinked="0"/>
        <c:majorTickMark val="out"/>
        <c:minorTickMark val="none"/>
        <c:tickLblPos val="nextTo"/>
        <c:crossAx val="144337536"/>
        <c:crosses val="autoZero"/>
        <c:auto val="1"/>
        <c:lblAlgn val="ctr"/>
        <c:lblOffset val="100"/>
        <c:noMultiLvlLbl val="0"/>
      </c:catAx>
      <c:valAx>
        <c:axId val="144337536"/>
        <c:scaling>
          <c:orientation val="minMax"/>
        </c:scaling>
        <c:delete val="0"/>
        <c:axPos val="l"/>
        <c:majorGridlines/>
        <c:numFmt formatCode="0.00%" sourceLinked="1"/>
        <c:majorTickMark val="out"/>
        <c:minorTickMark val="none"/>
        <c:tickLblPos val="nextTo"/>
        <c:crossAx val="144336000"/>
        <c:crosses val="autoZero"/>
        <c:crossBetween val="between"/>
      </c:valAx>
    </c:plotArea>
    <c:plotVisOnly val="1"/>
    <c:dispBlanksAs val="gap"/>
    <c:showDLblsOverMax val="0"/>
  </c:chart>
  <c:txPr>
    <a:bodyPr/>
    <a:lstStyle/>
    <a:p>
      <a:pPr>
        <a:defRPr sz="800"/>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09558180227467"/>
          <c:y val="6.0691163604549424E-2"/>
          <c:w val="0.46536439195100615"/>
          <c:h val="0.77560731991834353"/>
        </c:manualLayout>
      </c:layout>
      <c:pie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B6-4E2D-A021-7B4AC8A7BE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B6-4E2D-A021-7B4AC8A7BE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B6-4E2D-A021-7B4AC8A7BE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B6-4E2D-A021-7B4AC8A7BE5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grafy!$A$3:$A$6</c:f>
              <c:strCache>
                <c:ptCount val="4"/>
                <c:pt idx="0">
                  <c:v>Elektromobilita</c:v>
                </c:pt>
                <c:pt idx="1">
                  <c:v>Akumulace energie</c:v>
                </c:pt>
                <c:pt idx="2">
                  <c:v>Druhotné suroviny</c:v>
                </c:pt>
                <c:pt idx="3">
                  <c:v>Úprava bioplynu na biometan</c:v>
                </c:pt>
              </c:strCache>
            </c:strRef>
          </c:cat>
          <c:val>
            <c:numRef>
              <c:f>grafy!$F$3:$F$6</c:f>
              <c:numCache>
                <c:formatCode>0.0%</c:formatCode>
                <c:ptCount val="4"/>
                <c:pt idx="0">
                  <c:v>0.64912280701754388</c:v>
                </c:pt>
                <c:pt idx="1">
                  <c:v>0.23859649122807017</c:v>
                </c:pt>
                <c:pt idx="2">
                  <c:v>0.10877192982456141</c:v>
                </c:pt>
                <c:pt idx="3">
                  <c:v>3.5087719298245615E-3</c:v>
                </c:pt>
              </c:numCache>
            </c:numRef>
          </c:val>
          <c:extLst>
            <c:ext xmlns:c16="http://schemas.microsoft.com/office/drawing/2014/chart" uri="{C3380CC4-5D6E-409C-BE32-E72D297353CC}">
              <c16:uniqueId val="{00000008-DBB6-4E2D-A021-7B4AC8A7BE5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74-4310-99A5-337CFE5886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74-4310-99A5-337CFE5886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74-4310-99A5-337CFE5886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74-4310-99A5-337CFE5886A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grafy!$A$3:$A$6</c:f>
              <c:strCache>
                <c:ptCount val="4"/>
                <c:pt idx="0">
                  <c:v>Elektromobilita</c:v>
                </c:pt>
                <c:pt idx="1">
                  <c:v>Akumulace energie</c:v>
                </c:pt>
                <c:pt idx="2">
                  <c:v>Druhotné suroviny</c:v>
                </c:pt>
                <c:pt idx="3">
                  <c:v>Úprava bioplynu na biometan</c:v>
                </c:pt>
              </c:strCache>
            </c:strRef>
          </c:cat>
          <c:val>
            <c:numRef>
              <c:f>grafy!$L$3:$L$6</c:f>
              <c:numCache>
                <c:formatCode>0.0%</c:formatCode>
                <c:ptCount val="4"/>
                <c:pt idx="0">
                  <c:v>0.25192256662570173</c:v>
                </c:pt>
                <c:pt idx="1">
                  <c:v>0.38030760520449169</c:v>
                </c:pt>
                <c:pt idx="2">
                  <c:v>0.35711994394807361</c:v>
                </c:pt>
                <c:pt idx="3">
                  <c:v>1.0649884221733011E-2</c:v>
                </c:pt>
              </c:numCache>
            </c:numRef>
          </c:val>
          <c:extLst>
            <c:ext xmlns:c16="http://schemas.microsoft.com/office/drawing/2014/chart" uri="{C3380CC4-5D6E-409C-BE32-E72D297353CC}">
              <c16:uniqueId val="{00000008-1174-4310-99A5-337CFE5886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cs-CZ"/>
    </a:p>
  </c:txPr>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98310-DC09-4428-88DA-C0597AEA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36679</Words>
  <Characters>216410</Characters>
  <Application>Microsoft Office Word</Application>
  <DocSecurity>0</DocSecurity>
  <Lines>1803</Lines>
  <Paragraphs>505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kucera</dc:creator>
  <cp:lastModifiedBy>Ladislav Kučera</cp:lastModifiedBy>
  <cp:revision>6</cp:revision>
  <cp:lastPrinted>2019-06-27T07:01:00Z</cp:lastPrinted>
  <dcterms:created xsi:type="dcterms:W3CDTF">2019-06-27T06:49:00Z</dcterms:created>
  <dcterms:modified xsi:type="dcterms:W3CDTF">2019-06-27T07:02:00Z</dcterms:modified>
</cp:coreProperties>
</file>