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D0" w:rsidRPr="0080755C" w:rsidRDefault="00BD2BD0" w:rsidP="00BD2BD0"/>
    <w:p w:rsidR="00BD2BD0" w:rsidRPr="0080755C" w:rsidRDefault="00BD2BD0" w:rsidP="00BD2BD0">
      <w:pPr>
        <w:spacing w:after="200" w:line="276" w:lineRule="auto"/>
        <w:rPr>
          <w:sz w:val="6"/>
          <w:szCs w:val="6"/>
        </w:rPr>
        <w:sectPr w:rsidR="00BD2BD0" w:rsidRPr="0080755C" w:rsidSect="00277F1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43" w:right="1418" w:bottom="1418" w:left="1418" w:header="680" w:footer="936" w:gutter="0"/>
          <w:cols w:space="284"/>
          <w:titlePg/>
          <w:docGrid w:linePitch="360"/>
        </w:sectPr>
      </w:pPr>
      <w:r w:rsidRPr="0057135A">
        <w:rPr>
          <w:noProof/>
          <w:sz w:val="6"/>
          <w:szCs w:val="6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B82725" wp14:editId="6AC28B08">
                <wp:simplePos x="0" y="0"/>
                <wp:positionH relativeFrom="margin">
                  <wp:posOffset>-118169</wp:posOffset>
                </wp:positionH>
                <wp:positionV relativeFrom="paragraph">
                  <wp:posOffset>5555314</wp:posOffset>
                </wp:positionV>
                <wp:extent cx="6128980" cy="1404620"/>
                <wp:effectExtent l="0" t="0" r="571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BD0" w:rsidRPr="000F00F0" w:rsidRDefault="00BD2BD0" w:rsidP="00BD2BD0">
                            <w:pPr>
                              <w:pStyle w:val="Documenttitle"/>
                              <w:rPr>
                                <w:b w:val="0"/>
                                <w:bCs w:val="0"/>
                                <w:sz w:val="32"/>
                                <w:szCs w:val="24"/>
                                <w:lang w:val="cs-CZ"/>
                              </w:rPr>
                            </w:pPr>
                            <w:r w:rsidRPr="000F00F0">
                              <w:rPr>
                                <w:b w:val="0"/>
                                <w:bCs w:val="0"/>
                                <w:sz w:val="32"/>
                                <w:szCs w:val="24"/>
                                <w:lang w:val="cs-CZ"/>
                              </w:rPr>
                              <w:t>Návrh indikátorové soustavy operačního programu MPO pro programové období 2021+</w:t>
                            </w:r>
                          </w:p>
                          <w:p w:rsidR="00BD2BD0" w:rsidRPr="000F00F0" w:rsidRDefault="00BD2BD0" w:rsidP="00BD2BD0">
                            <w:pPr>
                              <w:pStyle w:val="Documentsubtitle"/>
                              <w:rPr>
                                <w:sz w:val="32"/>
                                <w:szCs w:val="20"/>
                              </w:rPr>
                            </w:pPr>
                          </w:p>
                          <w:p w:rsidR="00BD2BD0" w:rsidRDefault="00BD2BD0" w:rsidP="00BD2BD0">
                            <w:pPr>
                              <w:pStyle w:val="Documentsubtitle"/>
                              <w:rPr>
                                <w:sz w:val="32"/>
                                <w:szCs w:val="20"/>
                              </w:rPr>
                            </w:pPr>
                            <w:r w:rsidRPr="000F00F0">
                              <w:rPr>
                                <w:sz w:val="32"/>
                                <w:szCs w:val="20"/>
                              </w:rPr>
                              <w:t>Česká republika – Ministerstvo průmyslu a obchodu</w:t>
                            </w:r>
                          </w:p>
                          <w:p w:rsidR="00BD2BD0" w:rsidRDefault="00BD2BD0" w:rsidP="00BD2BD0">
                            <w:pPr>
                              <w:pStyle w:val="Documentsubtitle"/>
                              <w:rPr>
                                <w:sz w:val="32"/>
                                <w:szCs w:val="20"/>
                              </w:rPr>
                            </w:pPr>
                          </w:p>
                          <w:p w:rsidR="00BD2BD0" w:rsidRDefault="00BD2BD0" w:rsidP="00BD2BD0">
                            <w:pPr>
                              <w:pStyle w:val="Documentsubtitle"/>
                              <w:rPr>
                                <w:b/>
                                <w:bCs/>
                                <w:sz w:val="32"/>
                                <w:szCs w:val="20"/>
                              </w:rPr>
                            </w:pPr>
                            <w:r w:rsidRPr="000F00F0">
                              <w:rPr>
                                <w:b/>
                                <w:bCs/>
                                <w:sz w:val="32"/>
                                <w:szCs w:val="20"/>
                              </w:rPr>
                              <w:t>Závěrečná zpráva</w:t>
                            </w:r>
                            <w:r w:rsidRPr="000C64C8">
                              <w:rPr>
                                <w:noProof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t>– Manažerské shrnutí</w:t>
                            </w:r>
                          </w:p>
                          <w:p w:rsidR="00BD2BD0" w:rsidRPr="00650E61" w:rsidRDefault="00BD2BD0" w:rsidP="00BD2BD0">
                            <w:pPr>
                              <w:pStyle w:val="Documenttitle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cs-CZ"/>
                              </w:rPr>
                              <w:t>Prosinec</w:t>
                            </w:r>
                            <w:r w:rsidRPr="00650E61"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cs-CZ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B827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437.45pt;width:482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" stroked="f">
                <v:textbox style="mso-fit-shape-to-text:t">
                  <w:txbxContent>
                    <w:p w:rsidR="00BD2BD0" w:rsidRPr="000F00F0" w:rsidRDefault="00BD2BD0" w:rsidP="00BD2BD0">
                      <w:pPr>
                        <w:pStyle w:val="Documenttitle"/>
                        <w:rPr>
                          <w:b w:val="0"/>
                          <w:bCs w:val="0"/>
                          <w:sz w:val="32"/>
                          <w:szCs w:val="24"/>
                          <w:lang w:val="cs-CZ"/>
                        </w:rPr>
                      </w:pPr>
                      <w:r w:rsidRPr="000F00F0">
                        <w:rPr>
                          <w:b w:val="0"/>
                          <w:bCs w:val="0"/>
                          <w:sz w:val="32"/>
                          <w:szCs w:val="24"/>
                          <w:lang w:val="cs-CZ"/>
                        </w:rPr>
                        <w:t>Návrh indikátorové soustavy operačního programu MPO pro programové období 2021+</w:t>
                      </w:r>
                    </w:p>
                    <w:p w:rsidR="00BD2BD0" w:rsidRPr="000F00F0" w:rsidRDefault="00BD2BD0" w:rsidP="00BD2BD0">
                      <w:pPr>
                        <w:pStyle w:val="Documentsubtitle"/>
                        <w:rPr>
                          <w:sz w:val="32"/>
                          <w:szCs w:val="20"/>
                        </w:rPr>
                      </w:pPr>
                    </w:p>
                    <w:p w:rsidR="00BD2BD0" w:rsidRDefault="00BD2BD0" w:rsidP="00BD2BD0">
                      <w:pPr>
                        <w:pStyle w:val="Documentsubtitle"/>
                        <w:rPr>
                          <w:sz w:val="32"/>
                          <w:szCs w:val="20"/>
                        </w:rPr>
                      </w:pPr>
                      <w:r w:rsidRPr="000F00F0">
                        <w:rPr>
                          <w:sz w:val="32"/>
                          <w:szCs w:val="20"/>
                        </w:rPr>
                        <w:t>Česká republika – Ministerstvo průmyslu a obchodu</w:t>
                      </w:r>
                    </w:p>
                    <w:p w:rsidR="00BD2BD0" w:rsidRDefault="00BD2BD0" w:rsidP="00BD2BD0">
                      <w:pPr>
                        <w:pStyle w:val="Documentsubtitle"/>
                        <w:rPr>
                          <w:sz w:val="32"/>
                          <w:szCs w:val="20"/>
                        </w:rPr>
                      </w:pPr>
                    </w:p>
                    <w:p w:rsidR="00BD2BD0" w:rsidRDefault="00BD2BD0" w:rsidP="00BD2BD0">
                      <w:pPr>
                        <w:pStyle w:val="Documentsubtitle"/>
                        <w:rPr>
                          <w:b/>
                          <w:bCs/>
                          <w:sz w:val="32"/>
                          <w:szCs w:val="20"/>
                        </w:rPr>
                      </w:pPr>
                      <w:r w:rsidRPr="000F00F0">
                        <w:rPr>
                          <w:b/>
                          <w:bCs/>
                          <w:sz w:val="32"/>
                          <w:szCs w:val="20"/>
                        </w:rPr>
                        <w:t>Závěrečná zpráva</w:t>
                      </w:r>
                      <w:r w:rsidRPr="000C64C8">
                        <w:rPr>
                          <w:noProof/>
                          <w:lang w:eastAsia="cs-CZ"/>
                        </w:rPr>
                        <w:t xml:space="preserve"> </w:t>
                      </w:r>
                      <w:r>
                        <w:rPr>
                          <w:noProof/>
                          <w:lang w:eastAsia="cs-CZ"/>
                        </w:rPr>
                        <w:t>– Manažerské shrnutí</w:t>
                      </w:r>
                    </w:p>
                    <w:p w:rsidR="00BD2BD0" w:rsidRPr="00650E61" w:rsidRDefault="00BD2BD0" w:rsidP="00BD2BD0">
                      <w:pPr>
                        <w:pStyle w:val="Documenttitle"/>
                        <w:rPr>
                          <w:b w:val="0"/>
                          <w:bCs w:val="0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  <w:lang w:val="cs-CZ"/>
                        </w:rPr>
                        <w:t>Prosinec</w:t>
                      </w:r>
                      <w:r w:rsidRPr="00650E61">
                        <w:rPr>
                          <w:b w:val="0"/>
                          <w:bCs w:val="0"/>
                          <w:sz w:val="24"/>
                          <w:szCs w:val="24"/>
                          <w:lang w:val="cs-CZ"/>
                        </w:rPr>
                        <w:t xml:space="preserve">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135A">
        <w:rPr>
          <w:noProof/>
          <w:sz w:val="6"/>
          <w:szCs w:val="6"/>
          <w:lang w:eastAsia="cs-CZ"/>
        </w:rPr>
        <w:drawing>
          <wp:anchor distT="0" distB="0" distL="114300" distR="114300" simplePos="0" relativeHeight="251659264" behindDoc="0" locked="0" layoutInCell="1" allowOverlap="1" wp14:anchorId="445CB4E2" wp14:editId="3394090F">
            <wp:simplePos x="0" y="0"/>
            <wp:positionH relativeFrom="column">
              <wp:posOffset>114300</wp:posOffset>
            </wp:positionH>
            <wp:positionV relativeFrom="paragraph">
              <wp:posOffset>469900</wp:posOffset>
            </wp:positionV>
            <wp:extent cx="5190979" cy="4976764"/>
            <wp:effectExtent l="0" t="0" r="0" b="0"/>
            <wp:wrapSquare wrapText="bothSides"/>
            <wp:docPr id="2" name="Picture 2" descr="C:\Users\nkrizanova\AppData\Local\Microsoft\Windows\INetCache\IE\DJ2M0TCX\shutterstock_511337065_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krizanova\AppData\Local\Microsoft\Windows\INetCache\IE\DJ2M0TCX\shutterstock_511337065_l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979" cy="497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2BD0" w:rsidRPr="00710B9D" w:rsidRDefault="00BD2BD0" w:rsidP="00BD2BD0">
      <w:pPr>
        <w:pStyle w:val="Sectiontitle"/>
      </w:pPr>
      <w:bookmarkStart w:id="0" w:name="_Toc25944066"/>
      <w:r w:rsidRPr="00710B9D">
        <w:lastRenderedPageBreak/>
        <w:t>Manažerské shrnutí</w:t>
      </w:r>
      <w:bookmarkEnd w:id="0"/>
    </w:p>
    <w:p w:rsidR="00BD2BD0" w:rsidRDefault="00BD2BD0" w:rsidP="00BD2BD0">
      <w:pPr>
        <w:tabs>
          <w:tab w:val="left" w:pos="3435"/>
        </w:tabs>
        <w:spacing w:before="120"/>
        <w:jc w:val="both"/>
      </w:pPr>
      <w:r w:rsidRPr="00487789">
        <w:t>Předmětem zakázky bylo zpracování návrhu indikátorové s</w:t>
      </w:r>
      <w:r>
        <w:t xml:space="preserve">oustavy Operačního programu zaměřeného na konkurenceschopnost pro období 2021-2027 Ministerstva průmyslu a obchodu (dále také „MPO“) pro programové období 2021 – 2027 (dále také „OP K“). Součástí návrhu indikátorové soustavy je i metodika výpočtu </w:t>
      </w:r>
      <w:r w:rsidRPr="00487789">
        <w:t>cílových hodnot indikátorů</w:t>
      </w:r>
      <w:r>
        <w:t xml:space="preserve"> a milníků a předběžné stanovení hodnot, které bude dále upřesňováno na základě vývoje OP K a alokace jednotlivých specifických cílů.</w:t>
      </w:r>
    </w:p>
    <w:p w:rsidR="00BD2BD0" w:rsidRDefault="00BD2BD0" w:rsidP="00BD2BD0">
      <w:pPr>
        <w:tabs>
          <w:tab w:val="left" w:pos="3435"/>
        </w:tabs>
        <w:spacing w:before="120"/>
        <w:jc w:val="both"/>
      </w:pPr>
      <w:r>
        <w:t>Dodavatel při zpracování vycházel primárně z revize současné indikátorové soustavy Operačního programu Podnikání a inovace pro konkurenceschopnost (dále také „OP PIK“), Národního číselníku indikátorů a zkušeností ze současného programového období s využíváním a efektivitou této indikátorové soustavy. Druhým klíčovým východiskem pro tvorbu návrhu nové soustavy indikátorů bylo především dostupné znění připravovaného OP K a soubor nařízení Evropské Komise, Evropského parlamentu a Rady o Evropském fondu pro regionální rozvoj a Fondu soudržnosti</w:t>
      </w:r>
      <w:r w:rsidRPr="00631893">
        <w:rPr>
          <w:vertAlign w:val="superscript"/>
        </w:rPr>
        <w:footnoteReference w:id="1"/>
      </w:r>
      <w:r>
        <w:t xml:space="preserve">. </w:t>
      </w:r>
    </w:p>
    <w:p w:rsidR="00BD2BD0" w:rsidRDefault="00BD2BD0" w:rsidP="00BD2BD0">
      <w:pPr>
        <w:tabs>
          <w:tab w:val="left" w:pos="3435"/>
        </w:tabs>
        <w:spacing w:before="120"/>
        <w:jc w:val="both"/>
      </w:pPr>
      <w:r>
        <w:t>Dodavatel při realizaci zakázky vycházel jak z vlastní analýzy a expertního posouzení, tak ze zkušeností a odborné expertízy zástupců řídícího orgánu (MPO) a zprostředkujícího subjektu Agentury pro podnikání a inovace (dále také „API“). Návrh indikátorové soustavy OP K včetně způsobu výpočtu hodnot indikátorů byl diskutován s gestor</w:t>
      </w:r>
      <w:r w:rsidR="00AC0DFF">
        <w:t xml:space="preserve">em indikátorové soustavy OP PIK </w:t>
      </w:r>
      <w:r w:rsidR="00AC0DFF">
        <w:br/>
      </w:r>
      <w:r>
        <w:t>a s gestory MPO a projektovými manažery API pro jednotlivé programy podpory specifických cílů. V rámci návrhu výpočtu byli rovněž konzultováni experti na příslušné věcné oblasti včetně zástupců jiných operačních programů.</w:t>
      </w:r>
    </w:p>
    <w:p w:rsidR="00BD2BD0" w:rsidRPr="00945DD4" w:rsidRDefault="00BD2BD0" w:rsidP="00BD2BD0">
      <w:pPr>
        <w:spacing w:after="120" w:line="276" w:lineRule="auto"/>
        <w:jc w:val="both"/>
        <w:rPr>
          <w:b/>
          <w:color w:val="62B5E5" w:themeColor="accent3"/>
        </w:rPr>
      </w:pPr>
      <w:r w:rsidRPr="00945DD4">
        <w:rPr>
          <w:b/>
          <w:color w:val="62B5E5" w:themeColor="accent3"/>
        </w:rPr>
        <w:t>Změny v novém programovém období s dopadem na indikátorovou soustavu</w:t>
      </w:r>
    </w:p>
    <w:p w:rsidR="00BD2BD0" w:rsidRDefault="00BD2BD0" w:rsidP="00BD2BD0">
      <w:pPr>
        <w:tabs>
          <w:tab w:val="left" w:pos="3435"/>
        </w:tabs>
        <w:spacing w:before="120"/>
        <w:jc w:val="both"/>
      </w:pPr>
      <w:r>
        <w:t>Nový OP K přináší několik změn s dopadem na indikátorovou soustavu. V první řadě dochází k několika obsahovým změnám na úrovni specifických cílů a podporovaných aktivitách. Zatímco některé typy aktivit již nebudou v novém období podporované a na ně navázané indikátory tudíž nerelevantní, jiné aktivity a celé specifické cíle budou naopak zcela nové. Pro tyto nové aktivity a specifické cíle byly navržené nové indikátory. Zároveň se v novém programovém období ruší rozdělení na jednotlivé programy podpory a zůstává rozdělení pouze na specifické cíle. Další významné změny s dopadem na indikátorovou soustavu mají metodologický charakter. Nově tak bude v novém programovém období každý indikátor výstupu</w:t>
      </w:r>
      <w:r w:rsidRPr="00703C26">
        <w:t xml:space="preserve"> zároveň milníkem</w:t>
      </w:r>
      <w:r>
        <w:t xml:space="preserve">, indikátory zůstanou v OP K na úrovni specifických cílů a bude zrušena výkonnostní rezerva. Indikátorů a především jejich cílových hodnot se dotkne i nové územní zacílení podpory OP K ve třech kategoriích regionů, včetně hlavního města Prahy. </w:t>
      </w:r>
    </w:p>
    <w:p w:rsidR="00BD2BD0" w:rsidRPr="00945DD4" w:rsidRDefault="00BD2BD0" w:rsidP="00BD2BD0">
      <w:pPr>
        <w:spacing w:after="120" w:line="276" w:lineRule="auto"/>
        <w:jc w:val="both"/>
        <w:rPr>
          <w:b/>
          <w:color w:val="62B5E5" w:themeColor="accent3"/>
        </w:rPr>
      </w:pPr>
      <w:r w:rsidRPr="00945DD4">
        <w:rPr>
          <w:b/>
          <w:color w:val="62B5E5" w:themeColor="accent3"/>
        </w:rPr>
        <w:t>Principy návrhu nové indikátorové soustavy a výpočtu cílových hodnot</w:t>
      </w:r>
    </w:p>
    <w:p w:rsidR="00BD2BD0" w:rsidRPr="0080755C" w:rsidRDefault="00BD2BD0" w:rsidP="00BD2BD0">
      <w:pPr>
        <w:tabs>
          <w:tab w:val="left" w:pos="3435"/>
        </w:tabs>
        <w:spacing w:before="120"/>
        <w:jc w:val="both"/>
      </w:pPr>
      <w:r>
        <w:t>Při návrhu nové indikátorové soustavy postupoval Dodavatel v souladu s několika klíčovými principy. Dodavatel v první řadě přistupoval k i</w:t>
      </w:r>
      <w:r w:rsidRPr="0080755C">
        <w:t>ndikátor</w:t>
      </w:r>
      <w:r>
        <w:t>ům</w:t>
      </w:r>
      <w:r w:rsidRPr="0080755C">
        <w:t xml:space="preserve"> jako</w:t>
      </w:r>
      <w:r>
        <w:t xml:space="preserve"> k</w:t>
      </w:r>
      <w:r w:rsidRPr="0080755C">
        <w:t xml:space="preserve"> nástroj</w:t>
      </w:r>
      <w:r>
        <w:t>i</w:t>
      </w:r>
      <w:r w:rsidRPr="0080755C">
        <w:t xml:space="preserve"> řízení operačního programu</w:t>
      </w:r>
      <w:r>
        <w:t xml:space="preserve">. Indikátory mají přispět k informovanému způsobu řízení operačního programu založenému na datech. Indikátorová soustava by měla být funkční a efektivní, tedy sledovat pouze smysluplné indikátory s relevantní výpovědní hodnotou a zároveň vytvářet co nejmenší administrativní zátěž jak pro příjemce podpory, tak pro řídící orgán a zprostředkující subjekt. </w:t>
      </w:r>
    </w:p>
    <w:p w:rsidR="00BD2BD0" w:rsidRPr="00EC6615" w:rsidRDefault="00BD2BD0" w:rsidP="00BD2BD0">
      <w:pPr>
        <w:spacing w:after="120"/>
        <w:jc w:val="both"/>
      </w:pPr>
      <w:r w:rsidRPr="00EC6615">
        <w:t xml:space="preserve">Dále se </w:t>
      </w:r>
      <w:r>
        <w:t xml:space="preserve">Dodavatel </w:t>
      </w:r>
      <w:r w:rsidRPr="00EC6615">
        <w:t xml:space="preserve">zaměřil </w:t>
      </w:r>
      <w:r>
        <w:t xml:space="preserve">na </w:t>
      </w:r>
      <w:r w:rsidRPr="00EC6615">
        <w:t xml:space="preserve">revizi indikátorů s nízkou dosaženou hodnotou, nízkými cílovými hodnotami, kontextovým a dopadovým indikátorům a indikátorům povinně k výběru, které jsou z pohledu vykazovaných hodnot nejproblematičtější. Výsledná sada indikátorů byla sestavena ve </w:t>
      </w:r>
      <w:r w:rsidRPr="00EC6615">
        <w:lastRenderedPageBreak/>
        <w:t>spolupráci s věcnými gestory, a některé indikátory, které Dodavatel navrhoval v novém OP nevyužívat, byly po projednání v expertním panelu opětovně doplněny.</w:t>
      </w:r>
    </w:p>
    <w:p w:rsidR="00BD2BD0" w:rsidRDefault="00BD2BD0" w:rsidP="00BD2BD0">
      <w:pPr>
        <w:spacing w:after="120"/>
        <w:jc w:val="both"/>
      </w:pPr>
      <w:r w:rsidRPr="00EC6615">
        <w:t xml:space="preserve">Při stanovení cílových hodnot indikátorů a způsobu jejich výpočtu Dodavatel vycházel ze stejných principů při zohlednění změn metodiky výpočtu v novém operačním období, reflexi hodnot stávajících indikátorů a jejich četných změn. </w:t>
      </w:r>
    </w:p>
    <w:p w:rsidR="00BD2BD0" w:rsidRDefault="00BD2BD0" w:rsidP="00BD2BD0">
      <w:pPr>
        <w:spacing w:after="120"/>
        <w:jc w:val="both"/>
      </w:pPr>
      <w:r>
        <w:t>Následující tabulka shrnuje společné indikátory navrhované v rámci indikátorové soustavy Operačního programu zaměřeného na konkurenceschopnost pro období 2021-2027. Projektové indikátory a dopadové indikátory jednotlivých SC jsou u</w:t>
      </w:r>
      <w:bookmarkStart w:id="1" w:name="_GoBack"/>
      <w:bookmarkEnd w:id="1"/>
      <w:r>
        <w:t xml:space="preserve">vedené v Kapitole </w:t>
      </w:r>
      <w:r w:rsidR="000421F1">
        <w:t>6</w:t>
      </w:r>
      <w:r w:rsidR="00AC0DFF">
        <w:t>.3.</w:t>
      </w:r>
    </w:p>
    <w:p w:rsidR="00BD2BD0" w:rsidRDefault="00BD2BD0" w:rsidP="00BD2BD0">
      <w:pPr>
        <w:spacing w:after="120"/>
        <w:jc w:val="both"/>
      </w:pPr>
      <w:r>
        <w:t>Přehled ukazatelů výstupu a výsledku v členění dle kategorie regionů včetně návrhu cílových hodnot a milníků je uvedený v příloze 5: Návrh  ukazatelů výstupu a výsledku OP K v členění dle regionu.</w:t>
      </w:r>
      <w:r w:rsidR="00C21C92">
        <w:t xml:space="preserve"> </w:t>
      </w:r>
    </w:p>
    <w:p w:rsidR="00BD2BD0" w:rsidRDefault="00BD2BD0" w:rsidP="00BD2BD0">
      <w:pPr>
        <w:pStyle w:val="Caption"/>
      </w:pPr>
      <w:bookmarkStart w:id="2" w:name="_Toc25944106"/>
      <w:r>
        <w:t xml:space="preserve">Tabulka </w:t>
      </w:r>
      <w:fldSimple w:instr=" SEQ Tabulka \* ARABIC ">
        <w:r w:rsidR="000343D5">
          <w:rPr>
            <w:noProof/>
          </w:rPr>
          <w:t>1</w:t>
        </w:r>
      </w:fldSimple>
      <w:r>
        <w:t xml:space="preserve">: </w:t>
      </w:r>
      <w:bookmarkEnd w:id="2"/>
      <w:r w:rsidR="00C21C92" w:rsidRPr="0029534E">
        <w:t>Přehled společných indikátorů v Operačním programu zaměřeném na konkurenceschopnost 2021 – 2027</w:t>
      </w:r>
    </w:p>
    <w:tbl>
      <w:tblPr>
        <w:tblStyle w:val="Tabulkasmkou4zvraznn11"/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651"/>
        <w:gridCol w:w="5461"/>
        <w:gridCol w:w="1501"/>
        <w:gridCol w:w="1459"/>
      </w:tblGrid>
      <w:tr w:rsidR="00BD2BD0" w:rsidRPr="008C6619" w:rsidTr="00B21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59" w:type="pct"/>
            <w:tcBorders>
              <w:left w:val="nil"/>
            </w:tcBorders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noProof/>
                <w:color w:val="FFFFFF" w:themeColor="background1"/>
                <w:sz w:val="16"/>
                <w:szCs w:val="16"/>
              </w:rPr>
            </w:pPr>
            <w:r w:rsidRPr="008C6619">
              <w:rPr>
                <w:rFonts w:eastAsia="Verdana"/>
                <w:noProof/>
                <w:color w:val="FFFFFF" w:themeColor="background1"/>
                <w:sz w:val="16"/>
                <w:szCs w:val="16"/>
              </w:rPr>
              <w:t>SC</w:t>
            </w:r>
          </w:p>
        </w:tc>
        <w:tc>
          <w:tcPr>
            <w:tcW w:w="3010" w:type="pct"/>
          </w:tcPr>
          <w:p w:rsidR="00BD2BD0" w:rsidRPr="008C6619" w:rsidRDefault="00BD2BD0" w:rsidP="00B210CE">
            <w:pPr>
              <w:spacing w:after="0" w:line="240" w:lineRule="auto"/>
              <w:rPr>
                <w:rFonts w:eastAsia="Verdana"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eastAsia="Verdana"/>
                <w:noProof/>
                <w:color w:val="FFFFFF" w:themeColor="background1"/>
                <w:sz w:val="16"/>
                <w:szCs w:val="16"/>
              </w:rPr>
              <w:t>Indikátor</w:t>
            </w:r>
          </w:p>
        </w:tc>
        <w:tc>
          <w:tcPr>
            <w:tcW w:w="827" w:type="pct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noProof/>
                <w:color w:val="FFFFFF" w:themeColor="background1"/>
                <w:sz w:val="16"/>
                <w:szCs w:val="16"/>
              </w:rPr>
            </w:pPr>
            <w:r w:rsidRPr="008C6619">
              <w:rPr>
                <w:rFonts w:eastAsia="Verdana"/>
                <w:noProof/>
                <w:color w:val="FFFFFF" w:themeColor="background1"/>
                <w:sz w:val="16"/>
                <w:szCs w:val="16"/>
              </w:rPr>
              <w:t>Relevantní indikátor EK</w:t>
            </w:r>
          </w:p>
        </w:tc>
        <w:tc>
          <w:tcPr>
            <w:tcW w:w="804" w:type="pct"/>
            <w:tcBorders>
              <w:right w:val="nil"/>
            </w:tcBorders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noProof/>
                <w:color w:val="FFFFFF" w:themeColor="background1"/>
                <w:sz w:val="16"/>
                <w:szCs w:val="16"/>
              </w:rPr>
            </w:pPr>
            <w:r w:rsidRPr="008C6619">
              <w:rPr>
                <w:rFonts w:eastAsia="Verdana"/>
                <w:noProof/>
                <w:color w:val="FFFFFF" w:themeColor="background1"/>
                <w:sz w:val="16"/>
                <w:szCs w:val="16"/>
              </w:rPr>
              <w:t>Typ indikátoru</w:t>
            </w:r>
          </w:p>
        </w:tc>
      </w:tr>
      <w:tr w:rsidR="00BD2BD0" w:rsidRPr="008C6619" w:rsidTr="00B210CE">
        <w:tc>
          <w:tcPr>
            <w:tcW w:w="359" w:type="pct"/>
            <w:vMerge w:val="restart"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/>
                <w:noProof/>
                <w:sz w:val="16"/>
                <w:szCs w:val="16"/>
              </w:rPr>
              <w:t>SC 1.1</w:t>
            </w: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 xml:space="preserve">10000 Počet podniků pobírajících podporu 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RCO01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c>
          <w:tcPr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10102 Počet podniků pobírajících granty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RCO02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c>
          <w:tcPr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10103 Počet podniků pobírajících jinou finanční podporu než granty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RCO03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c>
          <w:tcPr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20000 Počet podniků spolupracujících s výzkumnými institucemi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noProof/>
                <w:sz w:val="16"/>
                <w:szCs w:val="16"/>
              </w:rPr>
              <w:t>RCO10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rPr>
          <w:trHeight w:val="165"/>
        </w:trPr>
        <w:tc>
          <w:tcPr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(NOVÝ) Soukromé investice ve srovnatelné výši jako podpora z veřejných zdrojů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noProof/>
                <w:sz w:val="16"/>
                <w:szCs w:val="16"/>
              </w:rPr>
              <w:t>RCR02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Výsledek</w:t>
            </w:r>
          </w:p>
        </w:tc>
      </w:tr>
      <w:tr w:rsidR="00BD2BD0" w:rsidRPr="008C6619" w:rsidTr="00B210CE">
        <w:tc>
          <w:tcPr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noProof/>
                <w:sz w:val="16"/>
                <w:szCs w:val="16"/>
              </w:rPr>
              <w:t>(NOVÝ) Malé a střední podniky zavádějící inovace produktů nebo procesů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noProof/>
                <w:sz w:val="16"/>
                <w:szCs w:val="16"/>
              </w:rPr>
              <w:t>RCR03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Výsledek</w:t>
            </w:r>
          </w:p>
        </w:tc>
      </w:tr>
      <w:tr w:rsidR="00BD2BD0" w:rsidRPr="008C6619" w:rsidTr="00B210CE">
        <w:tc>
          <w:tcPr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noProof/>
                <w:sz w:val="16"/>
                <w:szCs w:val="16"/>
              </w:rPr>
              <w:t>(NOVÝ) Malé a střední podniky zavádějí</w:t>
            </w:r>
            <w:r>
              <w:rPr>
                <w:rFonts w:eastAsia="Verdana"/>
                <w:noProof/>
                <w:sz w:val="16"/>
                <w:szCs w:val="16"/>
              </w:rPr>
              <w:t>cí marketingové nebo org.</w:t>
            </w:r>
            <w:r w:rsidRPr="008C6619">
              <w:rPr>
                <w:rFonts w:eastAsia="Verdana"/>
                <w:noProof/>
                <w:sz w:val="16"/>
                <w:szCs w:val="16"/>
              </w:rPr>
              <w:t xml:space="preserve"> inovace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noProof/>
                <w:sz w:val="16"/>
                <w:szCs w:val="16"/>
              </w:rPr>
              <w:t>RCR04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Výsledek</w:t>
            </w:r>
          </w:p>
        </w:tc>
      </w:tr>
      <w:tr w:rsidR="00BD2BD0" w:rsidRPr="008C6619" w:rsidTr="00B210CE">
        <w:tc>
          <w:tcPr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(NOVÝ) Podané patentové přihlášky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RCR06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Výsledek</w:t>
            </w:r>
          </w:p>
        </w:tc>
      </w:tr>
      <w:tr w:rsidR="00BD2BD0" w:rsidRPr="008C6619" w:rsidTr="00B210CE">
        <w:tc>
          <w:tcPr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rPr>
                <w:rFonts w:eastAsia="Verdana"/>
                <w:bCs/>
                <w:i/>
                <w:i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(NOVÝ) Přihlášky ochranných známek a průmyslových vzorů - EU</w:t>
            </w:r>
            <w:r w:rsidRPr="008C6619">
              <w:rPr>
                <w:rFonts w:eastAsia="Verdana"/>
                <w:bCs/>
                <w:i/>
                <w:i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RCR07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Výsledek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 w:val="restart"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  <w:r w:rsidRPr="008C6619">
              <w:rPr>
                <w:rFonts w:eastAsia="Verdana"/>
                <w:noProof/>
                <w:sz w:val="16"/>
                <w:szCs w:val="16"/>
              </w:rPr>
              <w:t>SC 1.2</w:t>
            </w: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10000 Počet podniků pobírajících podporu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RCO01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10102 Počet podniků pobírajících granty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RCO02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10103 Počet podniků pobírajících jinou finanční podporu než granty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RCO03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(NOVÝ) Soukromé investice ve srovnatelné výši jako podpora z veřejných zdrojů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noProof/>
                <w:sz w:val="16"/>
                <w:szCs w:val="16"/>
              </w:rPr>
              <w:t>RCR02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Výsledek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 w:val="restart"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 w:val="0"/>
                <w:noProof/>
                <w:sz w:val="16"/>
                <w:szCs w:val="16"/>
              </w:rPr>
              <w:t>SC 1.3</w:t>
            </w: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10104 Počet podniků pobírajících nefinanční podporu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RCO04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(NOVÝ) MSP investující do dovedností pro inteligentní specializaci, průmyslovou transformaci a podnikání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noProof/>
                <w:sz w:val="16"/>
                <w:szCs w:val="16"/>
              </w:rPr>
              <w:t>RCO101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>
              <w:rPr>
                <w:rFonts w:eastAsia="Verdana"/>
                <w:bCs/>
                <w:noProof/>
                <w:sz w:val="16"/>
                <w:szCs w:val="16"/>
              </w:rPr>
              <w:t>(NOVÝ) Soukromé investice ve srovnatelné výši jako podpora z veřejných zdrojů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>
              <w:rPr>
                <w:rFonts w:eastAsia="Verdana"/>
                <w:noProof/>
                <w:sz w:val="16"/>
                <w:szCs w:val="16"/>
              </w:rPr>
              <w:t>RCR02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Výsledek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 w:val="restart"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 w:val="0"/>
                <w:noProof/>
                <w:sz w:val="16"/>
                <w:szCs w:val="16"/>
              </w:rPr>
              <w:t>SC 2.1</w:t>
            </w: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 xml:space="preserve">10000 Počet podniků pobírajících podporu 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RCO01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10102 Počet podniků pobírajících granty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RCO02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10103 Počet podniků pobírajících jinou finanční podporu než granty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RCO03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10104 Počet podniků pobírajících nefinanční podporu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RCO04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i/>
                <w:i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(NOVÝ) Soukromé investice ve srovnatelné výši jako podpora z veřejných zdrojů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noProof/>
                <w:sz w:val="16"/>
                <w:szCs w:val="16"/>
              </w:rPr>
              <w:t>RCR02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Výsledek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 w:val="restart"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i/>
                <w:iCs/>
                <w:noProof/>
                <w:sz w:val="16"/>
                <w:szCs w:val="16"/>
              </w:rPr>
            </w:pPr>
            <w:r w:rsidRPr="008C6619">
              <w:rPr>
                <w:rFonts w:eastAsia="Verdana"/>
                <w:iCs/>
                <w:noProof/>
                <w:sz w:val="16"/>
                <w:szCs w:val="16"/>
              </w:rPr>
              <w:t>SC 3.1</w:t>
            </w: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i/>
                <w:i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 xml:space="preserve">10000 Počet podniků pobírajících podporu 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RCO01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i/>
                <w:i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10102 Počet podniků pobírajících granty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RCO02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i/>
                <w:i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10103 Počet podniků pobírajících jinou finanční podporu než granty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RCO03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34600 Nová kapacita zařízení pro výrobu energie z obnovitelných zdrojů (z toho: elektřina, teplo)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RCO22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34701 Nové nebo rekonstruované KVET (vysoko-efektivní kogenerační jednotky)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RCO104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(NOVÝ) Soukromé investice ve srovnatelné výši jako podpora z veřejných zdrojů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noProof/>
                <w:sz w:val="16"/>
                <w:szCs w:val="16"/>
              </w:rPr>
              <w:t>RCR02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Výsledek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>
              <w:rPr>
                <w:rFonts w:eastAsia="Verdana"/>
                <w:bCs/>
                <w:noProof/>
                <w:sz w:val="16"/>
                <w:szCs w:val="16"/>
              </w:rPr>
              <w:t xml:space="preserve">(NOVÝ) </w:t>
            </w: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Roční spotřeba primární energie v budovách (z toho: domácnosti, veřejné budovy, podnikatelské subjekty, další)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noProof/>
                <w:sz w:val="16"/>
                <w:szCs w:val="16"/>
              </w:rPr>
              <w:t>RCR26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Výsledek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 w:val="restart"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iCs/>
                <w:noProof/>
                <w:sz w:val="16"/>
                <w:szCs w:val="16"/>
              </w:rPr>
            </w:pPr>
            <w:r w:rsidRPr="008C6619">
              <w:rPr>
                <w:rFonts w:eastAsia="Verdana"/>
                <w:iCs/>
                <w:noProof/>
                <w:sz w:val="16"/>
                <w:szCs w:val="16"/>
              </w:rPr>
              <w:t>SC 3.2</w:t>
            </w: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34600 Nová kapacita zařízení pro výrobu energie z obnovitelných zdrojů (z toho: elektřina, teplo)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RCO22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10000 Počet podniků pobírajících podporu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RCO01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10102 Počet podniků pobírajících granty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RCO02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10103 Počet podniků pobírajících jinou finanční podporu než granty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RCO03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cs="Arial"/>
                <w:bCs/>
                <w:noProof/>
                <w:sz w:val="16"/>
                <w:szCs w:val="16"/>
              </w:rPr>
              <w:t>(NOVÝ) Celkové množství vyrobené energie z obnovitelných zdrojů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noProof/>
                <w:sz w:val="16"/>
                <w:szCs w:val="16"/>
              </w:rPr>
              <w:t>RCR31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Výsledek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 w:val="restart"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i/>
                <w:iCs/>
                <w:noProof/>
                <w:sz w:val="16"/>
                <w:szCs w:val="16"/>
              </w:rPr>
            </w:pPr>
            <w:r w:rsidRPr="008C6619">
              <w:rPr>
                <w:rFonts w:eastAsia="Verdana"/>
                <w:iCs/>
                <w:noProof/>
                <w:sz w:val="16"/>
                <w:szCs w:val="16"/>
              </w:rPr>
              <w:t>SC 3.3</w:t>
            </w: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33503 Nové smart grids systémy v distribučních soustavách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noProof/>
                <w:sz w:val="16"/>
                <w:szCs w:val="16"/>
              </w:rPr>
              <w:t>RCO23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(NOVÝ) Kapacita pro skladování elektřiny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RCO105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(NOVÝ) Soukromé investice ve srovnatelné výši jako podpora z veřejných zdrojů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noProof/>
                <w:sz w:val="16"/>
                <w:szCs w:val="16"/>
              </w:rPr>
              <w:t>RCR02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Výsledek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 w:val="restart"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 w:val="0"/>
                <w:noProof/>
                <w:sz w:val="16"/>
                <w:szCs w:val="16"/>
              </w:rPr>
              <w:t>SC 3.4</w:t>
            </w: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(NOVÝ) Nově vybudovaná infrastruktura plnících a dobíjecích stanic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noProof/>
                <w:sz w:val="16"/>
                <w:szCs w:val="16"/>
              </w:rPr>
              <w:t>RCO59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 xml:space="preserve">10000 Počet podniků pobírajících podporu 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RCO01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10102 Počet podniků pobírajících granty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RCO02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(NOVÝ) Soukromé investice ve srovnatelné výši jako podpora z veřejných zdrojů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noProof/>
                <w:sz w:val="16"/>
                <w:szCs w:val="16"/>
              </w:rPr>
              <w:t>RCR02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Výsledek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 w:val="restart"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 w:val="0"/>
                <w:noProof/>
                <w:sz w:val="16"/>
                <w:szCs w:val="16"/>
              </w:rPr>
              <w:t>SC 4.1</w:t>
            </w: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10000 Počet podniků pobírajících podporu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RCO01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10102 Počet podniků pobírajících granty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RCO02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10103 Počet podniků pobírajících jinou finanční podporu než granty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RCO03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(NOVÝ) Soukromé investice ve srovnatelné výši jako podpora z veřejných zdrojů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noProof/>
                <w:sz w:val="16"/>
                <w:szCs w:val="16"/>
              </w:rPr>
              <w:t>RCR02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Výsledek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 w:val="restart"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 w:val="0"/>
                <w:noProof/>
                <w:sz w:val="16"/>
                <w:szCs w:val="16"/>
              </w:rPr>
              <w:t>SC 4.2</w:t>
            </w: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10000 Počet podniků pobírajících podporu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RCO01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10102 Počet podniků pobírajících granty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RCO02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10103 Počet podniků pobírajících jinou finanční podporu než granty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RCO03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(NOVÝ) Recyklovaný odpad používaný jako surovina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noProof/>
                <w:sz w:val="16"/>
                <w:szCs w:val="16"/>
              </w:rPr>
              <w:t>RCR48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Výsledek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(NOVÝ) Soukromé investice ve srovnatelné výši jako podpora z veřejných zdrojů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noProof/>
                <w:sz w:val="16"/>
                <w:szCs w:val="16"/>
              </w:rPr>
              <w:t>RCR02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Výsledek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 w:val="restart"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 w:val="0"/>
                <w:noProof/>
                <w:sz w:val="16"/>
                <w:szCs w:val="16"/>
              </w:rPr>
              <w:t>SC 5.1</w:t>
            </w: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10000 Počet podniků pobírajících podporu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RCO01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10102 Počet podniků pobírajících granty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RCO02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10103 Počet podniků pobírajících jinou finanční podporu než granty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RCO03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Výstup</w:t>
            </w:r>
          </w:p>
        </w:tc>
      </w:tr>
      <w:tr w:rsidR="00BD2BD0" w:rsidRPr="008C6619" w:rsidTr="00B210C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vMerge/>
            <w:tcBorders>
              <w:lef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rPr>
                <w:rFonts w:eastAsia="Verdana"/>
                <w:bCs w:val="0"/>
                <w:noProof/>
                <w:sz w:val="16"/>
                <w:szCs w:val="16"/>
              </w:rPr>
            </w:pPr>
          </w:p>
        </w:tc>
        <w:tc>
          <w:tcPr>
            <w:tcW w:w="3010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bCs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(NOVÝ) Soukromé investice ve srovnatelné výši jako podpora z veřejných zdrojů</w:t>
            </w:r>
          </w:p>
        </w:tc>
        <w:tc>
          <w:tcPr>
            <w:tcW w:w="827" w:type="pct"/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noProof/>
                <w:sz w:val="16"/>
                <w:szCs w:val="16"/>
              </w:rPr>
              <w:t>RCR02</w:t>
            </w:r>
          </w:p>
        </w:tc>
        <w:tc>
          <w:tcPr>
            <w:tcW w:w="804" w:type="pct"/>
            <w:tcBorders>
              <w:right w:val="nil"/>
            </w:tcBorders>
            <w:shd w:val="clear" w:color="auto" w:fill="auto"/>
          </w:tcPr>
          <w:p w:rsidR="00BD2BD0" w:rsidRPr="008C6619" w:rsidRDefault="00BD2BD0" w:rsidP="00B210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/>
                <w:noProof/>
                <w:sz w:val="16"/>
                <w:szCs w:val="16"/>
              </w:rPr>
            </w:pPr>
            <w:r w:rsidRPr="008C6619">
              <w:rPr>
                <w:rFonts w:eastAsia="Verdana"/>
                <w:bCs/>
                <w:noProof/>
                <w:sz w:val="16"/>
                <w:szCs w:val="16"/>
              </w:rPr>
              <w:t>Výsledek</w:t>
            </w:r>
          </w:p>
        </w:tc>
      </w:tr>
    </w:tbl>
    <w:p w:rsidR="00BD2BD0" w:rsidRDefault="00BD2BD0" w:rsidP="00BD2BD0">
      <w:pPr>
        <w:spacing w:after="120"/>
        <w:jc w:val="both"/>
      </w:pPr>
    </w:p>
    <w:p w:rsidR="00110604" w:rsidRPr="00934055" w:rsidRDefault="00110604" w:rsidP="00BD2BD0">
      <w:pPr>
        <w:spacing w:after="200" w:line="276" w:lineRule="auto"/>
      </w:pPr>
    </w:p>
    <w:sectPr w:rsidR="00110604" w:rsidRPr="00934055" w:rsidSect="00C67491">
      <w:footerReference w:type="default" r:id="rId13"/>
      <w:footerReference w:type="first" r:id="rId14"/>
      <w:pgSz w:w="11906" w:h="16838" w:code="9"/>
      <w:pgMar w:top="1417" w:right="1417" w:bottom="1417" w:left="1417" w:header="680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BD0" w:rsidRDefault="00BD2BD0" w:rsidP="00C702C7">
      <w:pPr>
        <w:spacing w:after="0" w:line="240" w:lineRule="auto"/>
      </w:pPr>
      <w:r>
        <w:separator/>
      </w:r>
    </w:p>
  </w:endnote>
  <w:endnote w:type="continuationSeparator" w:id="0">
    <w:p w:rsidR="00BD2BD0" w:rsidRDefault="00BD2BD0" w:rsidP="00C7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710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BD0" w:rsidRDefault="00BD2BD0">
        <w:pPr>
          <w:pStyle w:val="ListBullet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D2BD0" w:rsidRPr="00904097" w:rsidRDefault="00BD2BD0" w:rsidP="00904097">
    <w:pPr>
      <w:pStyle w:val="ListBullet2"/>
      <w:spacing w:line="240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D0" w:rsidRDefault="00BD2BD0" w:rsidP="004C5A2F">
    <w:pPr>
      <w:pStyle w:val="ListBullet2"/>
      <w:numPr>
        <w:ilvl w:val="0"/>
        <w:numId w:val="0"/>
      </w:numPr>
      <w:ind w:left="227"/>
      <w:jc w:val="right"/>
    </w:pPr>
    <w:r>
      <w:rPr>
        <w:noProof/>
        <w:lang w:eastAsia="cs-CZ"/>
      </w:rPr>
      <w:drawing>
        <wp:inline distT="0" distB="0" distL="0" distR="0" wp14:anchorId="71E2F8FE" wp14:editId="2B771658">
          <wp:extent cx="1831975" cy="345440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75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2BD0" w:rsidRPr="00904097" w:rsidRDefault="00BD2BD0" w:rsidP="00904097">
    <w:pPr>
      <w:pStyle w:val="ListBullet2"/>
      <w:spacing w:line="240" w:lineRule="auto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665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BD0" w:rsidRDefault="00BD2B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C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21E5" w:rsidRPr="00335CF3" w:rsidRDefault="001D21E5" w:rsidP="00335CF3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662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1C92" w:rsidRDefault="00C21C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1E5" w:rsidRDefault="001D21E5" w:rsidP="004C5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BD0" w:rsidRDefault="00BD2BD0" w:rsidP="00C702C7">
      <w:pPr>
        <w:spacing w:after="0" w:line="240" w:lineRule="auto"/>
      </w:pPr>
      <w:r>
        <w:separator/>
      </w:r>
    </w:p>
  </w:footnote>
  <w:footnote w:type="continuationSeparator" w:id="0">
    <w:p w:rsidR="00BD2BD0" w:rsidRDefault="00BD2BD0" w:rsidP="00C702C7">
      <w:pPr>
        <w:spacing w:after="0" w:line="240" w:lineRule="auto"/>
      </w:pPr>
      <w:r>
        <w:continuationSeparator/>
      </w:r>
    </w:p>
  </w:footnote>
  <w:footnote w:id="1">
    <w:p w:rsidR="00BD2BD0" w:rsidRPr="00306956" w:rsidRDefault="00BD2BD0" w:rsidP="00BD2BD0">
      <w:pPr>
        <w:spacing w:after="0" w:line="240" w:lineRule="auto"/>
        <w:rPr>
          <w:sz w:val="16"/>
          <w:szCs w:val="16"/>
        </w:rPr>
      </w:pPr>
      <w:r w:rsidRPr="00306956">
        <w:rPr>
          <w:sz w:val="16"/>
          <w:szCs w:val="16"/>
          <w:vertAlign w:val="superscript"/>
        </w:rPr>
        <w:footnoteRef/>
      </w:r>
      <w:r w:rsidRPr="00306956">
        <w:rPr>
          <w:sz w:val="16"/>
          <w:szCs w:val="16"/>
          <w:vertAlign w:val="superscript"/>
        </w:rPr>
        <w:t xml:space="preserve"> </w:t>
      </w:r>
      <w:r w:rsidRPr="00306956">
        <w:rPr>
          <w:sz w:val="16"/>
          <w:szCs w:val="16"/>
        </w:rPr>
        <w:t xml:space="preserve">Zejména Návrh nařízení Evropského Parlamentu a Rady o Evropském fondu pro regionální rozvoj a o Fondu soudržnosti </w:t>
      </w:r>
      <w:proofErr w:type="gramStart"/>
      <w:r w:rsidRPr="00306956">
        <w:rPr>
          <w:sz w:val="16"/>
          <w:szCs w:val="16"/>
        </w:rPr>
        <w:t>SEC(2018</w:t>
      </w:r>
      <w:proofErr w:type="gramEnd"/>
      <w:r w:rsidRPr="00306956">
        <w:rPr>
          <w:sz w:val="16"/>
          <w:szCs w:val="16"/>
        </w:rPr>
        <w:t>)268.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D0" w:rsidRPr="00D36E73" w:rsidRDefault="00BD2BD0">
    <w:pPr>
      <w:rPr>
        <w:b/>
      </w:rPr>
    </w:pPr>
    <w:r w:rsidRPr="000F00F0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277C601" wp14:editId="27F40E20">
          <wp:simplePos x="0" y="0"/>
          <wp:positionH relativeFrom="margin">
            <wp:posOffset>-76200</wp:posOffset>
          </wp:positionH>
          <wp:positionV relativeFrom="paragraph">
            <wp:posOffset>-98425</wp:posOffset>
          </wp:positionV>
          <wp:extent cx="2257425" cy="705673"/>
          <wp:effectExtent l="0" t="0" r="0" b="0"/>
          <wp:wrapTopAndBottom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705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0F0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8CE9B78" wp14:editId="092F2D21">
          <wp:simplePos x="0" y="0"/>
          <wp:positionH relativeFrom="margin">
            <wp:posOffset>4532630</wp:posOffset>
          </wp:positionH>
          <wp:positionV relativeFrom="paragraph">
            <wp:posOffset>-43815</wp:posOffset>
          </wp:positionV>
          <wp:extent cx="1227434" cy="595935"/>
          <wp:effectExtent l="0" t="0" r="0" b="0"/>
          <wp:wrapTopAndBottom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PO - cz--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34" cy="5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D0" w:rsidRPr="00BD2BD0" w:rsidRDefault="00BD2BD0" w:rsidP="00BD2BD0">
    <w:pPr>
      <w:rPr>
        <w:b/>
      </w:rPr>
    </w:pPr>
    <w:r w:rsidRPr="000F00F0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C7BD4C2" wp14:editId="359E09DE">
          <wp:simplePos x="0" y="0"/>
          <wp:positionH relativeFrom="margin">
            <wp:posOffset>-156119</wp:posOffset>
          </wp:positionH>
          <wp:positionV relativeFrom="paragraph">
            <wp:posOffset>-98425</wp:posOffset>
          </wp:positionV>
          <wp:extent cx="2257425" cy="705673"/>
          <wp:effectExtent l="0" t="0" r="0" b="0"/>
          <wp:wrapTopAndBottom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705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0F0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0AED5900" wp14:editId="4E7C1630">
          <wp:simplePos x="0" y="0"/>
          <wp:positionH relativeFrom="margin">
            <wp:posOffset>4532630</wp:posOffset>
          </wp:positionH>
          <wp:positionV relativeFrom="paragraph">
            <wp:posOffset>-43815</wp:posOffset>
          </wp:positionV>
          <wp:extent cx="1227434" cy="595935"/>
          <wp:effectExtent l="0" t="0" r="0" b="0"/>
          <wp:wrapTopAndBottom/>
          <wp:docPr id="6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PO - cz--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34" cy="5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19C28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F2524"/>
    <w:multiLevelType w:val="multilevel"/>
    <w:tmpl w:val="0D8E80BE"/>
    <w:lvl w:ilvl="0">
      <w:start w:val="2"/>
      <w:numFmt w:val="decimal"/>
      <w:lvlText w:val="%1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E28068C"/>
    <w:multiLevelType w:val="multilevel"/>
    <w:tmpl w:val="0FE63172"/>
    <w:lvl w:ilvl="0">
      <w:start w:val="1"/>
      <w:numFmt w:val="decimal"/>
      <w:pStyle w:val="Smlouva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16"/>
  </w:num>
  <w:num w:numId="7">
    <w:abstractNumId w:val="16"/>
    <w:lvlOverride w:ilvl="0">
      <w:startOverride w:val="1"/>
    </w:lvlOverride>
  </w:num>
  <w:num w:numId="8">
    <w:abstractNumId w:val="14"/>
  </w:num>
  <w:num w:numId="9">
    <w:abstractNumId w:val="15"/>
  </w:num>
  <w:num w:numId="10">
    <w:abstractNumId w:val="7"/>
  </w:num>
  <w:num w:numId="11">
    <w:abstractNumId w:val="8"/>
  </w:num>
  <w:num w:numId="12">
    <w:abstractNumId w:val="17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13"/>
  </w:num>
  <w:num w:numId="18">
    <w:abstractNumId w:val="6"/>
  </w:num>
  <w:num w:numId="19">
    <w:abstractNumId w:val="12"/>
  </w:num>
  <w:num w:numId="20">
    <w:abstractNumId w:val="4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D0"/>
    <w:rsid w:val="000005FE"/>
    <w:rsid w:val="000131A3"/>
    <w:rsid w:val="00013C0A"/>
    <w:rsid w:val="00014B89"/>
    <w:rsid w:val="000173B3"/>
    <w:rsid w:val="00020D44"/>
    <w:rsid w:val="00021A39"/>
    <w:rsid w:val="00025E7D"/>
    <w:rsid w:val="000343D5"/>
    <w:rsid w:val="00035DBA"/>
    <w:rsid w:val="00037C17"/>
    <w:rsid w:val="00041DB4"/>
    <w:rsid w:val="000421F1"/>
    <w:rsid w:val="000429AC"/>
    <w:rsid w:val="00042B6A"/>
    <w:rsid w:val="00042B99"/>
    <w:rsid w:val="0004657A"/>
    <w:rsid w:val="000516C4"/>
    <w:rsid w:val="000517C0"/>
    <w:rsid w:val="00061444"/>
    <w:rsid w:val="000637A6"/>
    <w:rsid w:val="00066BBA"/>
    <w:rsid w:val="00071509"/>
    <w:rsid w:val="00083DD5"/>
    <w:rsid w:val="00092341"/>
    <w:rsid w:val="000A7F05"/>
    <w:rsid w:val="000B6C05"/>
    <w:rsid w:val="000C20BD"/>
    <w:rsid w:val="000C2B24"/>
    <w:rsid w:val="000C5EA5"/>
    <w:rsid w:val="000D2DE0"/>
    <w:rsid w:val="000E2C94"/>
    <w:rsid w:val="000E4AA4"/>
    <w:rsid w:val="000F37BD"/>
    <w:rsid w:val="000F5C22"/>
    <w:rsid w:val="0010113D"/>
    <w:rsid w:val="0010462B"/>
    <w:rsid w:val="00110604"/>
    <w:rsid w:val="00111011"/>
    <w:rsid w:val="00123AD3"/>
    <w:rsid w:val="001263BF"/>
    <w:rsid w:val="001265CF"/>
    <w:rsid w:val="00130191"/>
    <w:rsid w:val="00135844"/>
    <w:rsid w:val="00136294"/>
    <w:rsid w:val="00140513"/>
    <w:rsid w:val="001457BC"/>
    <w:rsid w:val="00157BD7"/>
    <w:rsid w:val="00163881"/>
    <w:rsid w:val="001659E4"/>
    <w:rsid w:val="001708B9"/>
    <w:rsid w:val="0017280D"/>
    <w:rsid w:val="001757CE"/>
    <w:rsid w:val="00180BDA"/>
    <w:rsid w:val="0018108F"/>
    <w:rsid w:val="00186FC8"/>
    <w:rsid w:val="00193BE3"/>
    <w:rsid w:val="001975EF"/>
    <w:rsid w:val="0019765A"/>
    <w:rsid w:val="001A45CF"/>
    <w:rsid w:val="001B0F94"/>
    <w:rsid w:val="001B5C19"/>
    <w:rsid w:val="001D03A7"/>
    <w:rsid w:val="001D21E5"/>
    <w:rsid w:val="001E016B"/>
    <w:rsid w:val="001E7D3E"/>
    <w:rsid w:val="001F38BE"/>
    <w:rsid w:val="001F61B8"/>
    <w:rsid w:val="001F6839"/>
    <w:rsid w:val="00204CBA"/>
    <w:rsid w:val="00211AB1"/>
    <w:rsid w:val="00212852"/>
    <w:rsid w:val="00216CF6"/>
    <w:rsid w:val="00220CCF"/>
    <w:rsid w:val="00227F1F"/>
    <w:rsid w:val="00231B44"/>
    <w:rsid w:val="002340B6"/>
    <w:rsid w:val="00234BA2"/>
    <w:rsid w:val="00235582"/>
    <w:rsid w:val="00237008"/>
    <w:rsid w:val="002370AB"/>
    <w:rsid w:val="00237872"/>
    <w:rsid w:val="0024202F"/>
    <w:rsid w:val="00244010"/>
    <w:rsid w:val="00253D2A"/>
    <w:rsid w:val="00255D53"/>
    <w:rsid w:val="00277DBB"/>
    <w:rsid w:val="002930B2"/>
    <w:rsid w:val="00294BBA"/>
    <w:rsid w:val="00295B52"/>
    <w:rsid w:val="00297214"/>
    <w:rsid w:val="002B2376"/>
    <w:rsid w:val="002B4054"/>
    <w:rsid w:val="002B4D02"/>
    <w:rsid w:val="002B6D2E"/>
    <w:rsid w:val="002C5FEA"/>
    <w:rsid w:val="002C690A"/>
    <w:rsid w:val="002C6F50"/>
    <w:rsid w:val="002D41F7"/>
    <w:rsid w:val="002E1C00"/>
    <w:rsid w:val="002E7099"/>
    <w:rsid w:val="002F027D"/>
    <w:rsid w:val="002F2771"/>
    <w:rsid w:val="002F279A"/>
    <w:rsid w:val="003121C1"/>
    <w:rsid w:val="0032373B"/>
    <w:rsid w:val="00331D1F"/>
    <w:rsid w:val="00335CF3"/>
    <w:rsid w:val="00337680"/>
    <w:rsid w:val="00350886"/>
    <w:rsid w:val="00357E4F"/>
    <w:rsid w:val="00367B44"/>
    <w:rsid w:val="00375EB8"/>
    <w:rsid w:val="00377AE4"/>
    <w:rsid w:val="003863C7"/>
    <w:rsid w:val="0039181B"/>
    <w:rsid w:val="003923FD"/>
    <w:rsid w:val="003A494E"/>
    <w:rsid w:val="003B3379"/>
    <w:rsid w:val="003B3C47"/>
    <w:rsid w:val="003B3F96"/>
    <w:rsid w:val="003C12AF"/>
    <w:rsid w:val="003C4BE4"/>
    <w:rsid w:val="003C4DE4"/>
    <w:rsid w:val="003D0767"/>
    <w:rsid w:val="003D1A80"/>
    <w:rsid w:val="003E138D"/>
    <w:rsid w:val="003E1820"/>
    <w:rsid w:val="003E49BA"/>
    <w:rsid w:val="003F2224"/>
    <w:rsid w:val="00404297"/>
    <w:rsid w:val="004052BC"/>
    <w:rsid w:val="004066C3"/>
    <w:rsid w:val="00412EA0"/>
    <w:rsid w:val="00413084"/>
    <w:rsid w:val="004314E1"/>
    <w:rsid w:val="00432002"/>
    <w:rsid w:val="0044117C"/>
    <w:rsid w:val="0044558B"/>
    <w:rsid w:val="004509E3"/>
    <w:rsid w:val="00451AD9"/>
    <w:rsid w:val="00473614"/>
    <w:rsid w:val="0048369A"/>
    <w:rsid w:val="004860A3"/>
    <w:rsid w:val="00486736"/>
    <w:rsid w:val="004A0DCC"/>
    <w:rsid w:val="004A6C6D"/>
    <w:rsid w:val="004C2616"/>
    <w:rsid w:val="004C5D1B"/>
    <w:rsid w:val="004D159E"/>
    <w:rsid w:val="004D1F57"/>
    <w:rsid w:val="004D49FC"/>
    <w:rsid w:val="004F47B4"/>
    <w:rsid w:val="004F4A4B"/>
    <w:rsid w:val="00501EFF"/>
    <w:rsid w:val="00526863"/>
    <w:rsid w:val="005270F9"/>
    <w:rsid w:val="00542505"/>
    <w:rsid w:val="00543BA8"/>
    <w:rsid w:val="00544D24"/>
    <w:rsid w:val="00563C6F"/>
    <w:rsid w:val="00564F21"/>
    <w:rsid w:val="0057076F"/>
    <w:rsid w:val="00573556"/>
    <w:rsid w:val="00573D2F"/>
    <w:rsid w:val="005843DE"/>
    <w:rsid w:val="00585334"/>
    <w:rsid w:val="00593BF7"/>
    <w:rsid w:val="005967D7"/>
    <w:rsid w:val="0059682F"/>
    <w:rsid w:val="005969FB"/>
    <w:rsid w:val="005A2F04"/>
    <w:rsid w:val="005A6392"/>
    <w:rsid w:val="005B6B53"/>
    <w:rsid w:val="005C23D6"/>
    <w:rsid w:val="005D5512"/>
    <w:rsid w:val="005E3501"/>
    <w:rsid w:val="005F3D7B"/>
    <w:rsid w:val="005F525A"/>
    <w:rsid w:val="005F54F5"/>
    <w:rsid w:val="005F68FD"/>
    <w:rsid w:val="005F74C0"/>
    <w:rsid w:val="00605199"/>
    <w:rsid w:val="00624C5E"/>
    <w:rsid w:val="00626FD8"/>
    <w:rsid w:val="006464CD"/>
    <w:rsid w:val="00650D85"/>
    <w:rsid w:val="006528C9"/>
    <w:rsid w:val="00656274"/>
    <w:rsid w:val="006673E8"/>
    <w:rsid w:val="00671EC0"/>
    <w:rsid w:val="00676F48"/>
    <w:rsid w:val="0067770B"/>
    <w:rsid w:val="00686056"/>
    <w:rsid w:val="00691C32"/>
    <w:rsid w:val="006A473D"/>
    <w:rsid w:val="006B0513"/>
    <w:rsid w:val="006B16E0"/>
    <w:rsid w:val="006B24BB"/>
    <w:rsid w:val="006B30D1"/>
    <w:rsid w:val="006B4816"/>
    <w:rsid w:val="006C4B90"/>
    <w:rsid w:val="006C5AD3"/>
    <w:rsid w:val="006C617F"/>
    <w:rsid w:val="006D6A17"/>
    <w:rsid w:val="006E3221"/>
    <w:rsid w:val="00705766"/>
    <w:rsid w:val="007172D9"/>
    <w:rsid w:val="00720888"/>
    <w:rsid w:val="0072138D"/>
    <w:rsid w:val="0072746D"/>
    <w:rsid w:val="007312AA"/>
    <w:rsid w:val="007342AA"/>
    <w:rsid w:val="00734C1B"/>
    <w:rsid w:val="007445CD"/>
    <w:rsid w:val="007460A4"/>
    <w:rsid w:val="00750D3B"/>
    <w:rsid w:val="00750F80"/>
    <w:rsid w:val="007516F0"/>
    <w:rsid w:val="00753A99"/>
    <w:rsid w:val="007550AB"/>
    <w:rsid w:val="007604FB"/>
    <w:rsid w:val="007653DA"/>
    <w:rsid w:val="0076614E"/>
    <w:rsid w:val="00773725"/>
    <w:rsid w:val="00784EB7"/>
    <w:rsid w:val="0079305A"/>
    <w:rsid w:val="007A1421"/>
    <w:rsid w:val="007B29C4"/>
    <w:rsid w:val="007B2FB1"/>
    <w:rsid w:val="007C008A"/>
    <w:rsid w:val="007C0C20"/>
    <w:rsid w:val="007C2A5C"/>
    <w:rsid w:val="007C7944"/>
    <w:rsid w:val="007C7C55"/>
    <w:rsid w:val="007E03C0"/>
    <w:rsid w:val="007E2034"/>
    <w:rsid w:val="007E2836"/>
    <w:rsid w:val="007E568A"/>
    <w:rsid w:val="007F0D03"/>
    <w:rsid w:val="007F4828"/>
    <w:rsid w:val="008005C8"/>
    <w:rsid w:val="008006BE"/>
    <w:rsid w:val="00802289"/>
    <w:rsid w:val="0080397A"/>
    <w:rsid w:val="00807054"/>
    <w:rsid w:val="0080728A"/>
    <w:rsid w:val="00813DBC"/>
    <w:rsid w:val="00813F7A"/>
    <w:rsid w:val="00821F18"/>
    <w:rsid w:val="00822995"/>
    <w:rsid w:val="00822FC7"/>
    <w:rsid w:val="00825CB7"/>
    <w:rsid w:val="00855A9A"/>
    <w:rsid w:val="00856A0E"/>
    <w:rsid w:val="008631CE"/>
    <w:rsid w:val="0086443E"/>
    <w:rsid w:val="00872FD2"/>
    <w:rsid w:val="00873D35"/>
    <w:rsid w:val="00876869"/>
    <w:rsid w:val="00894F9A"/>
    <w:rsid w:val="00896BD0"/>
    <w:rsid w:val="008B26FD"/>
    <w:rsid w:val="008B2E86"/>
    <w:rsid w:val="008B2F37"/>
    <w:rsid w:val="008C0EAA"/>
    <w:rsid w:val="008C5A91"/>
    <w:rsid w:val="008E2830"/>
    <w:rsid w:val="008E3008"/>
    <w:rsid w:val="008E7B8E"/>
    <w:rsid w:val="008E7ED3"/>
    <w:rsid w:val="008F31BA"/>
    <w:rsid w:val="00904097"/>
    <w:rsid w:val="009053F7"/>
    <w:rsid w:val="00905422"/>
    <w:rsid w:val="00930258"/>
    <w:rsid w:val="00930A39"/>
    <w:rsid w:val="00934055"/>
    <w:rsid w:val="009350F0"/>
    <w:rsid w:val="009419A4"/>
    <w:rsid w:val="00952D32"/>
    <w:rsid w:val="00957BA0"/>
    <w:rsid w:val="00971261"/>
    <w:rsid w:val="00977BEA"/>
    <w:rsid w:val="00991538"/>
    <w:rsid w:val="0099372E"/>
    <w:rsid w:val="00994C96"/>
    <w:rsid w:val="00995104"/>
    <w:rsid w:val="009A0464"/>
    <w:rsid w:val="009A44A5"/>
    <w:rsid w:val="009B058D"/>
    <w:rsid w:val="009B139F"/>
    <w:rsid w:val="009B2D95"/>
    <w:rsid w:val="009B60B8"/>
    <w:rsid w:val="009C403B"/>
    <w:rsid w:val="009D3564"/>
    <w:rsid w:val="009D5174"/>
    <w:rsid w:val="009D57E3"/>
    <w:rsid w:val="009E006D"/>
    <w:rsid w:val="009E0A65"/>
    <w:rsid w:val="009E5122"/>
    <w:rsid w:val="00A043CA"/>
    <w:rsid w:val="00A063EE"/>
    <w:rsid w:val="00A161A4"/>
    <w:rsid w:val="00A17957"/>
    <w:rsid w:val="00A22C63"/>
    <w:rsid w:val="00A253B8"/>
    <w:rsid w:val="00A31E80"/>
    <w:rsid w:val="00A32258"/>
    <w:rsid w:val="00A33333"/>
    <w:rsid w:val="00A37554"/>
    <w:rsid w:val="00A43B3E"/>
    <w:rsid w:val="00A659E1"/>
    <w:rsid w:val="00A7281A"/>
    <w:rsid w:val="00A80E26"/>
    <w:rsid w:val="00A85445"/>
    <w:rsid w:val="00A900CC"/>
    <w:rsid w:val="00A9095F"/>
    <w:rsid w:val="00A97EDE"/>
    <w:rsid w:val="00AA34E3"/>
    <w:rsid w:val="00AA4905"/>
    <w:rsid w:val="00AB32A9"/>
    <w:rsid w:val="00AB3DD5"/>
    <w:rsid w:val="00AC02AA"/>
    <w:rsid w:val="00AC0DFF"/>
    <w:rsid w:val="00AC1D94"/>
    <w:rsid w:val="00AC2081"/>
    <w:rsid w:val="00AD1749"/>
    <w:rsid w:val="00AD6475"/>
    <w:rsid w:val="00AE0FC7"/>
    <w:rsid w:val="00AE6C40"/>
    <w:rsid w:val="00AE710A"/>
    <w:rsid w:val="00B020E4"/>
    <w:rsid w:val="00B055B1"/>
    <w:rsid w:val="00B0660D"/>
    <w:rsid w:val="00B06697"/>
    <w:rsid w:val="00B176C3"/>
    <w:rsid w:val="00B20E03"/>
    <w:rsid w:val="00B253A1"/>
    <w:rsid w:val="00B262AB"/>
    <w:rsid w:val="00B33CB7"/>
    <w:rsid w:val="00B352FA"/>
    <w:rsid w:val="00B36B5C"/>
    <w:rsid w:val="00B36D31"/>
    <w:rsid w:val="00B43146"/>
    <w:rsid w:val="00B46969"/>
    <w:rsid w:val="00B47A1D"/>
    <w:rsid w:val="00B615EA"/>
    <w:rsid w:val="00B617CD"/>
    <w:rsid w:val="00B66FC9"/>
    <w:rsid w:val="00B76AF5"/>
    <w:rsid w:val="00B805E0"/>
    <w:rsid w:val="00B955FF"/>
    <w:rsid w:val="00B962CB"/>
    <w:rsid w:val="00BB4A7A"/>
    <w:rsid w:val="00BB6CB3"/>
    <w:rsid w:val="00BC0047"/>
    <w:rsid w:val="00BC266F"/>
    <w:rsid w:val="00BD2206"/>
    <w:rsid w:val="00BD2BD0"/>
    <w:rsid w:val="00BE48D2"/>
    <w:rsid w:val="00BE77B1"/>
    <w:rsid w:val="00BF67EE"/>
    <w:rsid w:val="00BF6F8B"/>
    <w:rsid w:val="00C04DCF"/>
    <w:rsid w:val="00C04F0F"/>
    <w:rsid w:val="00C06177"/>
    <w:rsid w:val="00C075EA"/>
    <w:rsid w:val="00C14C5A"/>
    <w:rsid w:val="00C158DA"/>
    <w:rsid w:val="00C21C92"/>
    <w:rsid w:val="00C23990"/>
    <w:rsid w:val="00C25EC1"/>
    <w:rsid w:val="00C34C43"/>
    <w:rsid w:val="00C41BEB"/>
    <w:rsid w:val="00C50A26"/>
    <w:rsid w:val="00C61AC6"/>
    <w:rsid w:val="00C67491"/>
    <w:rsid w:val="00C702C7"/>
    <w:rsid w:val="00C7429C"/>
    <w:rsid w:val="00C762EB"/>
    <w:rsid w:val="00C81837"/>
    <w:rsid w:val="00C8703B"/>
    <w:rsid w:val="00CA4E63"/>
    <w:rsid w:val="00CA5B05"/>
    <w:rsid w:val="00CC2A1A"/>
    <w:rsid w:val="00CC5E8F"/>
    <w:rsid w:val="00CC69B1"/>
    <w:rsid w:val="00CD5842"/>
    <w:rsid w:val="00CE1D9F"/>
    <w:rsid w:val="00CF3CA4"/>
    <w:rsid w:val="00CF546E"/>
    <w:rsid w:val="00CF7F7F"/>
    <w:rsid w:val="00D0023B"/>
    <w:rsid w:val="00D01239"/>
    <w:rsid w:val="00D149B4"/>
    <w:rsid w:val="00D236E8"/>
    <w:rsid w:val="00D27B73"/>
    <w:rsid w:val="00D329DF"/>
    <w:rsid w:val="00D33A2B"/>
    <w:rsid w:val="00D35C72"/>
    <w:rsid w:val="00D36E73"/>
    <w:rsid w:val="00D4280C"/>
    <w:rsid w:val="00D5297D"/>
    <w:rsid w:val="00D52A6A"/>
    <w:rsid w:val="00D61DFC"/>
    <w:rsid w:val="00D6230E"/>
    <w:rsid w:val="00D768FD"/>
    <w:rsid w:val="00D7732D"/>
    <w:rsid w:val="00D77643"/>
    <w:rsid w:val="00D815D0"/>
    <w:rsid w:val="00DA1962"/>
    <w:rsid w:val="00DB0CB1"/>
    <w:rsid w:val="00DB5D79"/>
    <w:rsid w:val="00DC4D91"/>
    <w:rsid w:val="00DC65D0"/>
    <w:rsid w:val="00DD5A1B"/>
    <w:rsid w:val="00DD715C"/>
    <w:rsid w:val="00DE18BC"/>
    <w:rsid w:val="00DF4B62"/>
    <w:rsid w:val="00E0517E"/>
    <w:rsid w:val="00E15DEF"/>
    <w:rsid w:val="00E15E9E"/>
    <w:rsid w:val="00E26113"/>
    <w:rsid w:val="00E266A4"/>
    <w:rsid w:val="00E307B8"/>
    <w:rsid w:val="00E35306"/>
    <w:rsid w:val="00E35847"/>
    <w:rsid w:val="00E36C7A"/>
    <w:rsid w:val="00E4362E"/>
    <w:rsid w:val="00E51605"/>
    <w:rsid w:val="00E54BEF"/>
    <w:rsid w:val="00E56993"/>
    <w:rsid w:val="00E56F4A"/>
    <w:rsid w:val="00E7797E"/>
    <w:rsid w:val="00E82807"/>
    <w:rsid w:val="00E87432"/>
    <w:rsid w:val="00E943B8"/>
    <w:rsid w:val="00E94C20"/>
    <w:rsid w:val="00EA300D"/>
    <w:rsid w:val="00EB209E"/>
    <w:rsid w:val="00EB5CD1"/>
    <w:rsid w:val="00EC6CC9"/>
    <w:rsid w:val="00ED5DBC"/>
    <w:rsid w:val="00EE16D4"/>
    <w:rsid w:val="00EE2C87"/>
    <w:rsid w:val="00EE61A2"/>
    <w:rsid w:val="00EF0925"/>
    <w:rsid w:val="00EF35EF"/>
    <w:rsid w:val="00EF4086"/>
    <w:rsid w:val="00F045B9"/>
    <w:rsid w:val="00F1518C"/>
    <w:rsid w:val="00F15F5C"/>
    <w:rsid w:val="00F23266"/>
    <w:rsid w:val="00F30144"/>
    <w:rsid w:val="00F3081C"/>
    <w:rsid w:val="00F448EC"/>
    <w:rsid w:val="00F506EF"/>
    <w:rsid w:val="00F5140D"/>
    <w:rsid w:val="00F565A3"/>
    <w:rsid w:val="00F600EA"/>
    <w:rsid w:val="00F64334"/>
    <w:rsid w:val="00F7435C"/>
    <w:rsid w:val="00F9119D"/>
    <w:rsid w:val="00F973D7"/>
    <w:rsid w:val="00FA6EC4"/>
    <w:rsid w:val="00FB0CB7"/>
    <w:rsid w:val="00FB25C1"/>
    <w:rsid w:val="00FB6C38"/>
    <w:rsid w:val="00FC1E31"/>
    <w:rsid w:val="00FC2104"/>
    <w:rsid w:val="00FC2B0D"/>
    <w:rsid w:val="00FC3A87"/>
    <w:rsid w:val="00FC5C06"/>
    <w:rsid w:val="00FD505C"/>
    <w:rsid w:val="00FD5421"/>
    <w:rsid w:val="00FD5F2E"/>
    <w:rsid w:val="00FE7E6F"/>
    <w:rsid w:val="00FF0F52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2C3436"/>
  <w15:chartTrackingRefBased/>
  <w15:docId w15:val="{DCA8EE53-E8BC-4B62-AEC3-8CEECE31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BD0"/>
    <w:pPr>
      <w:spacing w:after="240" w:line="240" w:lineRule="atLeas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0AB"/>
    <w:pPr>
      <w:keepNext/>
      <w:keepLines/>
      <w:spacing w:after="0"/>
      <w:outlineLvl w:val="0"/>
    </w:pPr>
    <w:rPr>
      <w:rFonts w:eastAsia="MingLiU"/>
      <w:b/>
      <w:bCs/>
      <w:color w:val="62B5E5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50AB"/>
    <w:pPr>
      <w:keepNext/>
      <w:keepLines/>
      <w:spacing w:after="0"/>
      <w:outlineLvl w:val="1"/>
    </w:pPr>
    <w:rPr>
      <w:rFonts w:eastAsia="MingLiU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2A1A"/>
    <w:pPr>
      <w:keepNext/>
      <w:keepLines/>
      <w:spacing w:after="0"/>
      <w:outlineLvl w:val="2"/>
    </w:pPr>
    <w:rPr>
      <w:rFonts w:eastAsia="MingLiU"/>
      <w:b/>
      <w:bCs/>
      <w:color w:val="75787B"/>
    </w:rPr>
  </w:style>
  <w:style w:type="paragraph" w:styleId="Heading4">
    <w:name w:val="heading 4"/>
    <w:basedOn w:val="Normal"/>
    <w:next w:val="Normal"/>
    <w:link w:val="Heading4Char"/>
    <w:uiPriority w:val="9"/>
    <w:qFormat/>
    <w:rsid w:val="00255D53"/>
    <w:pPr>
      <w:keepNext/>
      <w:keepLines/>
      <w:tabs>
        <w:tab w:val="left" w:pos="340"/>
      </w:tabs>
      <w:spacing w:after="0"/>
      <w:outlineLvl w:val="3"/>
    </w:pPr>
    <w:rPr>
      <w:rFonts w:eastAsia="MingLiU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C5D1B"/>
    <w:pPr>
      <w:keepNext/>
      <w:keepLines/>
      <w:spacing w:before="40" w:after="0"/>
      <w:outlineLvl w:val="4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50AB"/>
    <w:rPr>
      <w:rFonts w:ascii="Verdana" w:eastAsia="MingLiU" w:hAnsi="Verdana" w:cs="Times New Roman"/>
      <w:b/>
      <w:bCs/>
      <w:color w:val="62B5E5"/>
      <w:sz w:val="1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7550AB"/>
    <w:rPr>
      <w:rFonts w:ascii="Verdana" w:eastAsia="MingLiU" w:hAnsi="Verdana" w:cs="Times New Roman"/>
      <w:b/>
      <w:bCs/>
      <w:color w:val="000000"/>
      <w:sz w:val="18"/>
      <w:szCs w:val="26"/>
      <w:lang w:val="en-US"/>
    </w:rPr>
  </w:style>
  <w:style w:type="table" w:styleId="TableGrid">
    <w:name w:val="Table Grid"/>
    <w:basedOn w:val="TableNormal"/>
    <w:uiPriority w:val="59"/>
    <w:rsid w:val="001E016B"/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link w:val="HeaderChar"/>
    <w:uiPriority w:val="99"/>
    <w:rsid w:val="008631CE"/>
    <w:pPr>
      <w:tabs>
        <w:tab w:val="center" w:pos="4513"/>
        <w:tab w:val="right" w:pos="9026"/>
      </w:tabs>
    </w:pPr>
    <w:rPr>
      <w:b/>
      <w:sz w:val="14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8631CE"/>
    <w:rPr>
      <w:b/>
      <w:sz w:val="14"/>
      <w:lang w:val="en-US"/>
    </w:rPr>
  </w:style>
  <w:style w:type="paragraph" w:styleId="Footer">
    <w:name w:val="footer"/>
    <w:basedOn w:val="Normal"/>
    <w:link w:val="FooterChar"/>
    <w:uiPriority w:val="99"/>
    <w:rsid w:val="001975EF"/>
    <w:pPr>
      <w:tabs>
        <w:tab w:val="right" w:pos="7371"/>
      </w:tabs>
      <w:spacing w:after="0"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7550AB"/>
    <w:rPr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7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uiPriority w:val="99"/>
    <w:semiHidden/>
    <w:rsid w:val="001975EF"/>
    <w:rPr>
      <w:color w:val="808080"/>
    </w:rPr>
  </w:style>
  <w:style w:type="paragraph" w:styleId="ListBullet">
    <w:name w:val="List Bullet"/>
    <w:basedOn w:val="Normal"/>
    <w:uiPriority w:val="99"/>
    <w:qFormat/>
    <w:rsid w:val="00544D24"/>
    <w:pPr>
      <w:numPr>
        <w:numId w:val="1"/>
      </w:numPr>
      <w:tabs>
        <w:tab w:val="clear" w:pos="360"/>
      </w:tabs>
      <w:spacing w:after="0"/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2B4D02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544D24"/>
    <w:pPr>
      <w:numPr>
        <w:numId w:val="3"/>
      </w:numPr>
      <w:tabs>
        <w:tab w:val="clear" w:pos="360"/>
      </w:tabs>
      <w:spacing w:after="0"/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D35C72"/>
    <w:pPr>
      <w:numPr>
        <w:numId w:val="4"/>
      </w:numPr>
      <w:ind w:left="568" w:hanging="284"/>
      <w:contextualSpacing/>
    </w:pPr>
  </w:style>
  <w:style w:type="character" w:customStyle="1" w:styleId="Heading3Char">
    <w:name w:val="Heading 3 Char"/>
    <w:link w:val="Heading3"/>
    <w:uiPriority w:val="9"/>
    <w:rsid w:val="00CC2A1A"/>
    <w:rPr>
      <w:rFonts w:ascii="Verdana" w:eastAsia="MingLiU" w:hAnsi="Verdana" w:cs="Times New Roman"/>
      <w:b/>
      <w:bCs/>
      <w:color w:val="75787B"/>
      <w:sz w:val="18"/>
      <w:lang w:val="en-US"/>
    </w:rPr>
  </w:style>
  <w:style w:type="character" w:customStyle="1" w:styleId="Heading4Char">
    <w:name w:val="Heading 4 Char"/>
    <w:link w:val="Heading4"/>
    <w:uiPriority w:val="9"/>
    <w:rsid w:val="00C67491"/>
    <w:rPr>
      <w:rFonts w:eastAsia="MingLiU"/>
      <w:b/>
      <w:bCs/>
      <w:iCs/>
      <w:color w:val="000000"/>
      <w:sz w:val="18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F3081C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A7281A"/>
    <w:pPr>
      <w:spacing w:line="440" w:lineRule="atLeast"/>
    </w:pPr>
    <w:rPr>
      <w:rFonts w:eastAsia="MingLiU"/>
      <w:b/>
      <w:bCs/>
      <w:color w:val="000000"/>
      <w:sz w:val="36"/>
      <w:szCs w:val="28"/>
      <w:lang w:val="en-GB" w:eastAsia="en-US"/>
    </w:rPr>
  </w:style>
  <w:style w:type="paragraph" w:customStyle="1" w:styleId="Subheading">
    <w:name w:val="Subheading"/>
    <w:basedOn w:val="Normal"/>
    <w:next w:val="Normal"/>
    <w:semiHidden/>
    <w:qFormat/>
    <w:rsid w:val="00D236E8"/>
    <w:pPr>
      <w:spacing w:after="0"/>
    </w:pPr>
    <w:rPr>
      <w:rFonts w:eastAsia="MingLiU"/>
      <w:b/>
      <w:bCs/>
      <w:iCs/>
      <w:color w:val="000000"/>
    </w:rPr>
  </w:style>
  <w:style w:type="character" w:styleId="FootnoteReference">
    <w:name w:val="footnote reference"/>
    <w:uiPriority w:val="99"/>
    <w:semiHidden/>
    <w:rsid w:val="00412EA0"/>
    <w:rPr>
      <w:vertAlign w:val="superscript"/>
    </w:rPr>
  </w:style>
  <w:style w:type="paragraph" w:customStyle="1" w:styleId="Sectionintro">
    <w:name w:val="Section intro"/>
    <w:basedOn w:val="Normal"/>
    <w:next w:val="Normal"/>
    <w:qFormat/>
    <w:rsid w:val="00212852"/>
    <w:pPr>
      <w:spacing w:line="360" w:lineRule="atLeast"/>
    </w:pPr>
    <w:rPr>
      <w:sz w:val="28"/>
    </w:rPr>
  </w:style>
  <w:style w:type="paragraph" w:customStyle="1" w:styleId="Documentdate">
    <w:name w:val="Document date"/>
    <w:qFormat/>
    <w:rsid w:val="007550AB"/>
    <w:pPr>
      <w:spacing w:line="240" w:lineRule="atLeast"/>
    </w:pPr>
    <w:rPr>
      <w:sz w:val="18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link w:val="SectiontitleChar"/>
    <w:qFormat/>
    <w:rsid w:val="00EE61A2"/>
    <w:pPr>
      <w:spacing w:after="480" w:line="720" w:lineRule="atLeast"/>
    </w:pPr>
    <w:rPr>
      <w:sz w:val="60"/>
    </w:rPr>
  </w:style>
  <w:style w:type="paragraph" w:customStyle="1" w:styleId="PulloutBlue">
    <w:name w:val="Pullout Blue"/>
    <w:basedOn w:val="Normal"/>
    <w:next w:val="Normal"/>
    <w:qFormat/>
    <w:rsid w:val="00DD5A1B"/>
    <w:pPr>
      <w:spacing w:line="360" w:lineRule="atLeast"/>
    </w:pPr>
    <w:rPr>
      <w:color w:val="62B5E5"/>
      <w:sz w:val="28"/>
    </w:rPr>
  </w:style>
  <w:style w:type="paragraph" w:customStyle="1" w:styleId="Contacttext">
    <w:name w:val="Contact text"/>
    <w:basedOn w:val="Normal"/>
    <w:qFormat/>
    <w:rsid w:val="00D7732D"/>
    <w:pPr>
      <w:spacing w:after="0"/>
    </w:pPr>
  </w:style>
  <w:style w:type="paragraph" w:customStyle="1" w:styleId="Contactus">
    <w:name w:val="Contact us"/>
    <w:basedOn w:val="Contacttext"/>
    <w:next w:val="Contacttext"/>
    <w:qFormat/>
    <w:rsid w:val="00D7732D"/>
    <w:pPr>
      <w:spacing w:after="240" w:line="340" w:lineRule="atLeast"/>
    </w:pPr>
    <w:rPr>
      <w:sz w:val="28"/>
    </w:rPr>
  </w:style>
  <w:style w:type="paragraph" w:styleId="Caption">
    <w:name w:val="caption"/>
    <w:aliases w:val="Schema"/>
    <w:basedOn w:val="Normal"/>
    <w:next w:val="Normal"/>
    <w:link w:val="CaptionChar"/>
    <w:qFormat/>
    <w:rsid w:val="00B46969"/>
    <w:pPr>
      <w:keepNext/>
      <w:spacing w:line="240" w:lineRule="auto"/>
    </w:pPr>
    <w:rPr>
      <w:iCs/>
      <w:color w:val="75787B"/>
      <w:sz w:val="17"/>
      <w:szCs w:val="18"/>
    </w:rPr>
  </w:style>
  <w:style w:type="character" w:styleId="Hyperlink">
    <w:name w:val="Hyperlink"/>
    <w:uiPriority w:val="99"/>
    <w:unhideWhenUsed/>
    <w:rsid w:val="00E94C20"/>
    <w:rPr>
      <w:color w:val="00A3E0"/>
      <w:u w:val="single"/>
    </w:rPr>
  </w:style>
  <w:style w:type="paragraph" w:customStyle="1" w:styleId="PulloutGreen">
    <w:name w:val="Pullout Green"/>
    <w:basedOn w:val="PulloutBlue"/>
    <w:next w:val="Normal"/>
    <w:qFormat/>
    <w:rsid w:val="00822995"/>
    <w:rPr>
      <w:color w:val="86BC25"/>
    </w:rPr>
  </w:style>
  <w:style w:type="paragraph" w:customStyle="1" w:styleId="QuotesourceBlue">
    <w:name w:val="Quote source Blue"/>
    <w:basedOn w:val="Normal"/>
    <w:next w:val="Normal"/>
    <w:qFormat/>
    <w:rsid w:val="004C5D1B"/>
    <w:pPr>
      <w:spacing w:line="200" w:lineRule="atLeast"/>
      <w:contextualSpacing/>
    </w:pPr>
    <w:rPr>
      <w:b/>
      <w:color w:val="62B5E5"/>
    </w:rPr>
  </w:style>
  <w:style w:type="paragraph" w:customStyle="1" w:styleId="QuotesourceGreen">
    <w:name w:val="Quote source Green"/>
    <w:basedOn w:val="QuotesourceBlue"/>
    <w:next w:val="Normal"/>
    <w:qFormat/>
    <w:rsid w:val="000516C4"/>
    <w:rPr>
      <w:color w:val="86BC25"/>
    </w:rPr>
  </w:style>
  <w:style w:type="paragraph" w:customStyle="1" w:styleId="Paneltext">
    <w:name w:val="Panel text"/>
    <w:basedOn w:val="Normal"/>
    <w:qFormat/>
    <w:rsid w:val="00AE0FC7"/>
    <w:rPr>
      <w:color w:val="FFFFFF"/>
      <w:sz w:val="17"/>
    </w:rPr>
  </w:style>
  <w:style w:type="paragraph" w:customStyle="1" w:styleId="Paneltitle">
    <w:name w:val="Panel title"/>
    <w:basedOn w:val="Paneltext"/>
    <w:next w:val="Paneltext"/>
    <w:qFormat/>
    <w:rsid w:val="00D0023B"/>
    <w:pPr>
      <w:spacing w:line="360" w:lineRule="atLeast"/>
    </w:pPr>
    <w:rPr>
      <w:b/>
      <w:sz w:val="28"/>
    </w:rPr>
  </w:style>
  <w:style w:type="paragraph" w:customStyle="1" w:styleId="Formoreinfocalloutwhite8512ptPullOutStyles">
    <w:name w:val="For more info call out (white 8.5/12pt) (Pull Out Styles)"/>
    <w:basedOn w:val="Normal"/>
    <w:uiPriority w:val="99"/>
    <w:rsid w:val="00AE0FC7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after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Documentsubtitle">
    <w:name w:val="Document subtitle"/>
    <w:basedOn w:val="Normal"/>
    <w:qFormat/>
    <w:rsid w:val="006528C9"/>
    <w:pPr>
      <w:spacing w:after="120" w:line="440" w:lineRule="atLeast"/>
    </w:pPr>
    <w:rPr>
      <w:sz w:val="36"/>
    </w:rPr>
  </w:style>
  <w:style w:type="paragraph" w:customStyle="1" w:styleId="Contentstitle">
    <w:name w:val="Contents title"/>
    <w:basedOn w:val="Sectiontitle"/>
    <w:next w:val="Normal"/>
    <w:qFormat/>
    <w:rsid w:val="00244010"/>
  </w:style>
  <w:style w:type="paragraph" w:styleId="TOC1">
    <w:name w:val="toc 1"/>
    <w:basedOn w:val="Normal"/>
    <w:next w:val="Normal"/>
    <w:autoRedefine/>
    <w:uiPriority w:val="39"/>
    <w:rsid w:val="000B6C05"/>
    <w:pPr>
      <w:tabs>
        <w:tab w:val="right" w:pos="6935"/>
      </w:tabs>
      <w:spacing w:after="120" w:line="360" w:lineRule="atLeast"/>
    </w:pPr>
    <w:rPr>
      <w:sz w:val="28"/>
    </w:rPr>
  </w:style>
  <w:style w:type="paragraph" w:customStyle="1" w:styleId="Quotetext">
    <w:name w:val="Quote text"/>
    <w:basedOn w:val="PulloutBlue"/>
    <w:qFormat/>
    <w:rsid w:val="003E49BA"/>
    <w:pPr>
      <w:spacing w:after="0" w:line="720" w:lineRule="atLeast"/>
    </w:pPr>
    <w:rPr>
      <w:color w:val="FFFFFF"/>
      <w:sz w:val="60"/>
    </w:rPr>
  </w:style>
  <w:style w:type="paragraph" w:customStyle="1" w:styleId="Legaltext">
    <w:name w:val="Legal text"/>
    <w:basedOn w:val="Normal"/>
    <w:qFormat/>
    <w:rsid w:val="00BF6F8B"/>
    <w:pPr>
      <w:spacing w:after="0" w:line="180" w:lineRule="atLeast"/>
      <w:ind w:right="5387"/>
    </w:pPr>
    <w:rPr>
      <w:sz w:val="14"/>
    </w:rPr>
  </w:style>
  <w:style w:type="table" w:customStyle="1" w:styleId="Deloittetable">
    <w:name w:val="Deloitte table"/>
    <w:basedOn w:val="TableNormal"/>
    <w:uiPriority w:val="99"/>
    <w:rsid w:val="00335CF3"/>
    <w:rPr>
      <w:sz w:val="17"/>
    </w:rPr>
    <w:tblPr>
      <w:tblBorders>
        <w:top w:val="single" w:sz="4" w:space="0" w:color="62B5E5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62B5E5"/>
        <w:sz w:val="17"/>
      </w:rPr>
      <w:tblPr/>
      <w:tcPr>
        <w:tcBorders>
          <w:top w:val="single" w:sz="24" w:space="0" w:color="62B5E5"/>
        </w:tcBorders>
      </w:tcPr>
    </w:tblStylePr>
  </w:style>
  <w:style w:type="paragraph" w:customStyle="1" w:styleId="Tabletext">
    <w:name w:val="Table text"/>
    <w:basedOn w:val="Normal"/>
    <w:qFormat/>
    <w:rsid w:val="004D1F57"/>
    <w:pPr>
      <w:spacing w:after="0" w:line="200" w:lineRule="atLeast"/>
    </w:pPr>
    <w:rPr>
      <w:sz w:val="17"/>
    </w:rPr>
  </w:style>
  <w:style w:type="paragraph" w:customStyle="1" w:styleId="Tabletitle">
    <w:name w:val="Table title"/>
    <w:basedOn w:val="Tabletext"/>
    <w:qFormat/>
    <w:rsid w:val="004D1F57"/>
    <w:rPr>
      <w:b/>
      <w:color w:val="62B5E5"/>
    </w:rPr>
  </w:style>
  <w:style w:type="paragraph" w:customStyle="1" w:styleId="SourcetextTableorChart">
    <w:name w:val="Source text Table or Chart"/>
    <w:basedOn w:val="Caption"/>
    <w:next w:val="Normal"/>
    <w:qFormat/>
    <w:rsid w:val="003B3379"/>
    <w:pPr>
      <w:spacing w:before="120"/>
    </w:pPr>
    <w:rPr>
      <w:sz w:val="14"/>
    </w:rPr>
  </w:style>
  <w:style w:type="paragraph" w:customStyle="1" w:styleId="Tablebullets">
    <w:name w:val="Table bullets"/>
    <w:basedOn w:val="Tabletext"/>
    <w:qFormat/>
    <w:rsid w:val="00AD6475"/>
    <w:pPr>
      <w:numPr>
        <w:numId w:val="19"/>
      </w:numPr>
      <w:ind w:left="284" w:hanging="284"/>
    </w:pPr>
  </w:style>
  <w:style w:type="paragraph" w:customStyle="1" w:styleId="Tablenumbered">
    <w:name w:val="Table numbered"/>
    <w:basedOn w:val="Tablebullets"/>
    <w:qFormat/>
    <w:rsid w:val="00AD6475"/>
    <w:pPr>
      <w:numPr>
        <w:numId w:val="20"/>
      </w:numPr>
      <w:ind w:left="284" w:hanging="284"/>
    </w:pPr>
  </w:style>
  <w:style w:type="paragraph" w:customStyle="1" w:styleId="Charttitle">
    <w:name w:val="Chart title"/>
    <w:basedOn w:val="Heading2"/>
    <w:qFormat/>
    <w:rsid w:val="00B66FC9"/>
  </w:style>
  <w:style w:type="paragraph" w:customStyle="1" w:styleId="Smlouvaheading1">
    <w:name w:val="Smlouva heading 1"/>
    <w:basedOn w:val="Normal"/>
    <w:link w:val="Smlouvaheading1Char"/>
    <w:qFormat/>
    <w:rsid w:val="00277DBB"/>
    <w:pPr>
      <w:numPr>
        <w:numId w:val="24"/>
      </w:numPr>
      <w:spacing w:before="240" w:after="120"/>
      <w:jc w:val="both"/>
    </w:pPr>
    <w:rPr>
      <w:b/>
    </w:rPr>
  </w:style>
  <w:style w:type="character" w:customStyle="1" w:styleId="Smlouvaheading1Char">
    <w:name w:val="Smlouva heading 1 Char"/>
    <w:link w:val="Smlouvaheading1"/>
    <w:rsid w:val="00277DBB"/>
    <w:rPr>
      <w:b/>
      <w:sz w:val="18"/>
      <w:szCs w:val="22"/>
      <w:lang w:val="en-US" w:eastAsia="en-US"/>
    </w:rPr>
  </w:style>
  <w:style w:type="paragraph" w:customStyle="1" w:styleId="Smlouvaheading2">
    <w:name w:val="Smlouva heading 2"/>
    <w:link w:val="Smlouvaheading2Char"/>
    <w:qFormat/>
    <w:rsid w:val="00277DBB"/>
    <w:pPr>
      <w:numPr>
        <w:ilvl w:val="1"/>
        <w:numId w:val="24"/>
      </w:numPr>
      <w:spacing w:before="120"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Smlouvaheading2Char">
    <w:name w:val="Smlouva heading 2 Char"/>
    <w:link w:val="Smlouvaheading2"/>
    <w:rsid w:val="00277DBB"/>
    <w:rPr>
      <w:sz w:val="18"/>
      <w:szCs w:val="22"/>
      <w:lang w:val="en-US" w:eastAsia="en-US"/>
    </w:rPr>
  </w:style>
  <w:style w:type="paragraph" w:customStyle="1" w:styleId="Smlouvaheading3">
    <w:name w:val="Smlouva heading 3"/>
    <w:qFormat/>
    <w:rsid w:val="00C81837"/>
    <w:pPr>
      <w:numPr>
        <w:ilvl w:val="2"/>
        <w:numId w:val="24"/>
      </w:numPr>
      <w:spacing w:after="120" w:line="240" w:lineRule="atLeast"/>
      <w:ind w:left="1475" w:hanging="624"/>
      <w:jc w:val="both"/>
    </w:pPr>
    <w:rPr>
      <w:sz w:val="18"/>
      <w:szCs w:val="22"/>
      <w:lang w:val="en-US" w:eastAsia="en-US"/>
    </w:rPr>
  </w:style>
  <w:style w:type="paragraph" w:customStyle="1" w:styleId="Smlouvaheading4">
    <w:name w:val="Smlouva heading 4"/>
    <w:qFormat/>
    <w:rsid w:val="00AD1749"/>
    <w:pPr>
      <w:numPr>
        <w:ilvl w:val="3"/>
        <w:numId w:val="24"/>
      </w:numPr>
      <w:spacing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rsid w:val="004C5D1B"/>
    <w:rPr>
      <w:rFonts w:ascii="Verdana" w:eastAsia="Times New Roman" w:hAnsi="Verdana" w:cs="Times New Roman"/>
      <w:sz w:val="18"/>
      <w:szCs w:val="22"/>
      <w:lang w:val="en-US" w:eastAsia="en-US"/>
    </w:rPr>
  </w:style>
  <w:style w:type="table" w:customStyle="1" w:styleId="Deloittetable2">
    <w:name w:val="Deloitte table 2"/>
    <w:basedOn w:val="TableNormal"/>
    <w:uiPriority w:val="99"/>
    <w:rsid w:val="004C5D1B"/>
    <w:rPr>
      <w:sz w:val="17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86BC25"/>
        <w:sz w:val="18"/>
      </w:rPr>
      <w:tblPr/>
      <w:tcPr>
        <w:tcBorders>
          <w:top w:val="single" w:sz="24" w:space="0" w:color="86BC25"/>
        </w:tcBorders>
      </w:tcPr>
    </w:tblStylePr>
  </w:style>
  <w:style w:type="table" w:customStyle="1" w:styleId="Deloittetable3">
    <w:name w:val="Deloitte table 3"/>
    <w:basedOn w:val="PlainTable4"/>
    <w:uiPriority w:val="99"/>
    <w:rsid w:val="00110604"/>
    <w:rPr>
      <w:sz w:val="17"/>
      <w:lang w:val="en-US" w:eastAsia="en-US"/>
    </w:rPr>
    <w:tblPr>
      <w:tblBorders>
        <w:bottom w:val="single" w:sz="4" w:space="0" w:color="E7E6E6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b/>
        <w:bCs/>
        <w:color w:val="86BC25"/>
        <w:sz w:val="18"/>
      </w:rPr>
      <w:tblPr/>
      <w:tcPr>
        <w:tcBorders>
          <w:top w:val="single" w:sz="24" w:space="0" w:color="86BC25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bottom w:val="single" w:sz="4" w:space="0" w:color="E7E6E6"/>
        </w:tcBorders>
        <w:shd w:val="clear" w:color="auto" w:fill="auto"/>
      </w:tcPr>
    </w:tblStylePr>
    <w:tblStylePr w:type="firstCol">
      <w:rPr>
        <w:b w:val="0"/>
        <w:bCs/>
      </w:rPr>
      <w:tblPr>
        <w:tblCellMar>
          <w:top w:w="57" w:type="dxa"/>
          <w:left w:w="0" w:type="dxa"/>
          <w:bottom w:w="57" w:type="dxa"/>
          <w:right w:w="0" w:type="dxa"/>
        </w:tblCellMar>
      </w:tbl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6562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Deloitte2">
    <w:name w:val="Deloitte 2"/>
    <w:basedOn w:val="TableNormal"/>
    <w:uiPriority w:val="99"/>
    <w:rsid w:val="0057076F"/>
    <w:rPr>
      <w:rFonts w:asciiTheme="minorHAnsi" w:eastAsiaTheme="minorHAnsi" w:hAnsiTheme="minorHAnsi" w:cstheme="minorBidi"/>
      <w:szCs w:val="22"/>
      <w:lang w:val="en-GB" w:eastAsia="en-US"/>
    </w:rPr>
    <w:tblPr/>
  </w:style>
  <w:style w:type="character" w:customStyle="1" w:styleId="CaptionChar">
    <w:name w:val="Caption Char"/>
    <w:aliases w:val="Schema Char"/>
    <w:basedOn w:val="DefaultParagraphFont"/>
    <w:link w:val="Caption"/>
    <w:rsid w:val="00BD2BD0"/>
    <w:rPr>
      <w:iCs/>
      <w:color w:val="75787B"/>
      <w:sz w:val="17"/>
      <w:szCs w:val="18"/>
      <w:lang w:val="en-US" w:eastAsia="en-US"/>
    </w:rPr>
  </w:style>
  <w:style w:type="table" w:customStyle="1" w:styleId="Tabulkasmkou4zvraznn11">
    <w:name w:val="Tabulka s mřížkou 4 – zvýraznění 11"/>
    <w:basedOn w:val="TableNormal"/>
    <w:next w:val="TableNormal"/>
    <w:uiPriority w:val="49"/>
    <w:rsid w:val="00BD2BD0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B9E370"/>
        <w:left w:val="single" w:sz="4" w:space="0" w:color="B9E370"/>
        <w:bottom w:val="single" w:sz="4" w:space="0" w:color="B9E370"/>
        <w:right w:val="single" w:sz="4" w:space="0" w:color="B9E370"/>
        <w:insideH w:val="single" w:sz="4" w:space="0" w:color="B9E370"/>
        <w:insideV w:val="single" w:sz="4" w:space="0" w:color="B9E370"/>
      </w:tblBorders>
    </w:tblPr>
    <w:tblStylePr w:type="firstRow">
      <w:rPr>
        <w:b/>
        <w:bCs/>
        <w:color w:val="DBDBD2"/>
      </w:rPr>
      <w:tblPr/>
      <w:tcPr>
        <w:tcBorders>
          <w:top w:val="single" w:sz="4" w:space="0" w:color="86BC25"/>
          <w:left w:val="single" w:sz="4" w:space="0" w:color="86BC25"/>
          <w:bottom w:val="single" w:sz="4" w:space="0" w:color="86BC25"/>
          <w:right w:val="single" w:sz="4" w:space="0" w:color="86BC25"/>
          <w:insideH w:val="nil"/>
          <w:insideV w:val="nil"/>
        </w:tcBorders>
        <w:shd w:val="clear" w:color="auto" w:fill="86BC25"/>
      </w:tcPr>
    </w:tblStylePr>
    <w:tblStylePr w:type="lastRow">
      <w:rPr>
        <w:b/>
        <w:bCs/>
      </w:rPr>
      <w:tblPr/>
      <w:tcPr>
        <w:tcBorders>
          <w:top w:val="double" w:sz="4" w:space="0" w:color="86BC2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/>
      </w:tcPr>
    </w:tblStylePr>
    <w:tblStylePr w:type="band1Horz">
      <w:tblPr/>
      <w:tcPr>
        <w:shd w:val="clear" w:color="auto" w:fill="E7F5CF"/>
      </w:tcPr>
    </w:tblStylePr>
  </w:style>
  <w:style w:type="character" w:customStyle="1" w:styleId="SectiontitleChar">
    <w:name w:val="Section title Char"/>
    <w:basedOn w:val="DefaultParagraphFont"/>
    <w:link w:val="Sectiontitle"/>
    <w:rsid w:val="00BD2BD0"/>
    <w:rPr>
      <w:sz w:val="6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loitte_US_Letter_Print Theme">
  <a:themeElements>
    <a:clrScheme name="Custom 1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A3C7-1DF2-4EA1-8A9E-9C3EEC1D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1261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Proposal_A4</vt:lpstr>
    </vt:vector>
  </TitlesOfParts>
  <Company>Deloitte Touche Tohmatsu Services, Inc.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Proposal_A4</dc:title>
  <dc:subject/>
  <dc:creator>Rames, Filip</dc:creator>
  <cp:keywords/>
  <dc:description/>
  <cp:lastModifiedBy>Rames, Filip</cp:lastModifiedBy>
  <cp:revision>5</cp:revision>
  <cp:lastPrinted>2019-12-16T09:34:00Z</cp:lastPrinted>
  <dcterms:created xsi:type="dcterms:W3CDTF">2019-12-16T09:31:00Z</dcterms:created>
  <dcterms:modified xsi:type="dcterms:W3CDTF">2019-12-16T15:01:00Z</dcterms:modified>
</cp:coreProperties>
</file>