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rPr>
        <w:id w:val="2080625881"/>
        <w:docPartObj>
          <w:docPartGallery w:val="Cover Pages"/>
          <w:docPartUnique/>
        </w:docPartObj>
      </w:sdtPr>
      <w:sdtEndPr>
        <w:rPr>
          <w:sz w:val="6"/>
          <w:szCs w:val="6"/>
        </w:rPr>
      </w:sdtEndPr>
      <w:sdtContent>
        <w:tbl>
          <w:tblPr>
            <w:tblStyle w:val="TableGrid"/>
            <w:tblW w:w="9720" w:type="dxa"/>
            <w:tblLayout w:type="fixed"/>
            <w:tblLook w:val="04A0" w:firstRow="1" w:lastRow="0" w:firstColumn="1" w:lastColumn="0" w:noHBand="0" w:noVBand="1"/>
          </w:tblPr>
          <w:tblGrid>
            <w:gridCol w:w="9720"/>
          </w:tblGrid>
          <w:tr w:rsidR="00ED0AD6" w:rsidRPr="00880699" w:rsidTr="00A13600">
            <w:trPr>
              <w:cnfStyle w:val="100000000000" w:firstRow="1" w:lastRow="0" w:firstColumn="0" w:lastColumn="0" w:oddVBand="0" w:evenVBand="0" w:oddHBand="0" w:evenHBand="0" w:firstRowFirstColumn="0" w:firstRowLastColumn="0" w:lastRowFirstColumn="0" w:lastRowLastColumn="0"/>
              <w:trHeight w:hRule="exact" w:val="9884"/>
            </w:trPr>
            <w:tc>
              <w:tcPr>
                <w:tcW w:w="9720" w:type="dxa"/>
                <w:vAlign w:val="center"/>
              </w:tcPr>
              <w:p w:rsidR="00ED0AD6" w:rsidRPr="00880699" w:rsidRDefault="00ED0AD6" w:rsidP="00A13600">
                <w:pPr>
                  <w:rPr>
                    <w:rFonts w:asciiTheme="majorHAnsi" w:hAnsiTheme="majorHAnsi"/>
                  </w:rPr>
                </w:pPr>
                <w:r>
                  <w:rPr>
                    <w:noProof/>
                    <w:lang w:eastAsia="cs-CZ"/>
                  </w:rPr>
                  <w:drawing>
                    <wp:inline distT="0" distB="0" distL="0" distR="0" wp14:anchorId="554A9104" wp14:editId="28AA2E15">
                      <wp:extent cx="5623560" cy="5623560"/>
                      <wp:effectExtent l="0" t="0" r="0" b="0"/>
                      <wp:docPr id="4" name="Picture 4" descr="C:\Users\frames\Downloads\shutterstock_451176577_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23560" cy="5623560"/>
                              </a:xfrm>
                              <a:prstGeom prst="rect">
                                <a:avLst/>
                              </a:prstGeom>
                            </pic:spPr>
                          </pic:pic>
                        </a:graphicData>
                      </a:graphic>
                    </wp:inline>
                  </w:drawing>
                </w:r>
              </w:p>
            </w:tc>
          </w:tr>
        </w:tbl>
        <w:p w:rsidR="00ED0AD6" w:rsidRPr="00880699" w:rsidRDefault="00ED0AD6" w:rsidP="00ED0AD6">
          <w:pPr>
            <w:spacing w:after="0" w:line="240" w:lineRule="auto"/>
            <w:jc w:val="both"/>
            <w:rPr>
              <w:rFonts w:asciiTheme="majorHAnsi" w:hAnsiTheme="majorHAnsi"/>
            </w:rPr>
          </w:pPr>
          <w:r w:rsidRPr="00880699">
            <w:rPr>
              <w:rFonts w:asciiTheme="majorHAnsi" w:hAnsiTheme="majorHAnsi"/>
              <w:noProof/>
              <w:lang w:eastAsia="cs-CZ"/>
            </w:rPr>
            <w:drawing>
              <wp:anchor distT="0" distB="0" distL="114300" distR="114300" simplePos="0" relativeHeight="251660288" behindDoc="0" locked="1" layoutInCell="1" allowOverlap="1" wp14:anchorId="0B651A61" wp14:editId="40B1A4D3">
                <wp:simplePos x="0" y="0"/>
                <wp:positionH relativeFrom="page">
                  <wp:posOffset>5332730</wp:posOffset>
                </wp:positionH>
                <wp:positionV relativeFrom="page">
                  <wp:posOffset>9533890</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r w:rsidRPr="00880699">
            <w:rPr>
              <w:rFonts w:asciiTheme="majorHAnsi" w:hAnsiTheme="majorHAnsi"/>
              <w:noProof/>
              <w:lang w:eastAsia="cs-CZ"/>
            </w:rPr>
            <mc:AlternateContent>
              <mc:Choice Requires="wps">
                <w:drawing>
                  <wp:anchor distT="0" distB="0" distL="114300" distR="114300" simplePos="0" relativeHeight="251659264" behindDoc="1" locked="1" layoutInCell="1" allowOverlap="1" wp14:anchorId="7A0D0538" wp14:editId="608E3BFD">
                    <wp:simplePos x="0" y="0"/>
                    <wp:positionH relativeFrom="page">
                      <wp:posOffset>0</wp:posOffset>
                    </wp:positionH>
                    <wp:positionV relativeFrom="page">
                      <wp:posOffset>835025</wp:posOffset>
                    </wp:positionV>
                    <wp:extent cx="7595870" cy="9751695"/>
                    <wp:effectExtent l="0" t="0" r="5080" b="1905"/>
                    <wp:wrapNone/>
                    <wp:docPr id="8" name="Rectangle 8"/>
                    <wp:cNvGraphicFramePr/>
                    <a:graphic xmlns:a="http://schemas.openxmlformats.org/drawingml/2006/main">
                      <a:graphicData uri="http://schemas.microsoft.com/office/word/2010/wordprocessingShape">
                        <wps:wsp>
                          <wps:cNvSpPr/>
                          <wps:spPr>
                            <a:xfrm>
                              <a:off x="0" y="0"/>
                              <a:ext cx="7595870" cy="97516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E0401" id="Rectangle 8" o:spid="_x0000_s1026" style="position:absolute;margin-left:0;margin-top:65.75pt;width:598.1pt;height:76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" fillcolor="white [3212]" stroked="f" strokeweight="2pt">
                    <w10:wrap anchorx="page" anchory="page"/>
                    <w10:anchorlock/>
                  </v:rect>
                </w:pict>
              </mc:Fallback>
            </mc:AlternateContent>
          </w:r>
        </w:p>
        <w:tbl>
          <w:tblPr>
            <w:tblStyle w:val="TableGrid"/>
            <w:tblW w:w="9720" w:type="dxa"/>
            <w:tblLayout w:type="fixed"/>
            <w:tblLook w:val="04A0" w:firstRow="1" w:lastRow="0" w:firstColumn="1" w:lastColumn="0" w:noHBand="0" w:noVBand="1"/>
          </w:tblPr>
          <w:tblGrid>
            <w:gridCol w:w="9720"/>
          </w:tblGrid>
          <w:tr w:rsidR="00ED0AD6" w:rsidRPr="00880699" w:rsidTr="00A13600">
            <w:trPr>
              <w:cnfStyle w:val="100000000000" w:firstRow="1" w:lastRow="0" w:firstColumn="0" w:lastColumn="0" w:oddVBand="0" w:evenVBand="0" w:oddHBand="0" w:evenHBand="0" w:firstRowFirstColumn="0" w:firstRowLastColumn="0" w:lastRowFirstColumn="0" w:lastRowLastColumn="0"/>
              <w:trHeight w:hRule="exact" w:val="2835"/>
            </w:trPr>
            <w:tc>
              <w:tcPr>
                <w:tcW w:w="9720" w:type="dxa"/>
                <w:vAlign w:val="bottom"/>
              </w:tcPr>
              <w:p w:rsidR="00ED0AD6" w:rsidRPr="00880699" w:rsidRDefault="00ED0AD6" w:rsidP="00A13600">
                <w:pPr>
                  <w:pStyle w:val="Documenttitle"/>
                  <w:spacing w:line="240" w:lineRule="auto"/>
                  <w:rPr>
                    <w:lang w:val="cs-CZ"/>
                  </w:rPr>
                </w:pPr>
                <w:r w:rsidRPr="00ED0AD6">
                  <w:rPr>
                    <w:lang w:val="cs-CZ"/>
                  </w:rPr>
                  <w:t xml:space="preserve">Evaluation </w:t>
                </w:r>
                <w:proofErr w:type="spellStart"/>
                <w:r w:rsidRPr="00ED0AD6">
                  <w:rPr>
                    <w:lang w:val="cs-CZ"/>
                  </w:rPr>
                  <w:t>of</w:t>
                </w:r>
                <w:proofErr w:type="spellEnd"/>
                <w:r w:rsidRPr="00ED0AD6">
                  <w:rPr>
                    <w:lang w:val="cs-CZ"/>
                  </w:rPr>
                  <w:t xml:space="preserve"> </w:t>
                </w:r>
                <w:proofErr w:type="spellStart"/>
                <w:r w:rsidRPr="00ED0AD6">
                  <w:rPr>
                    <w:lang w:val="cs-CZ"/>
                  </w:rPr>
                  <w:t>administrative</w:t>
                </w:r>
                <w:proofErr w:type="spellEnd"/>
                <w:r w:rsidRPr="00ED0AD6">
                  <w:rPr>
                    <w:lang w:val="cs-CZ"/>
                  </w:rPr>
                  <w:t xml:space="preserve"> </w:t>
                </w:r>
                <w:proofErr w:type="spellStart"/>
                <w:r w:rsidRPr="00ED0AD6">
                  <w:rPr>
                    <w:lang w:val="cs-CZ"/>
                  </w:rPr>
                  <w:t>procedures</w:t>
                </w:r>
                <w:proofErr w:type="spellEnd"/>
                <w:r w:rsidRPr="00ED0AD6">
                  <w:rPr>
                    <w:lang w:val="cs-CZ"/>
                  </w:rPr>
                  <w:t xml:space="preserve"> </w:t>
                </w:r>
                <w:proofErr w:type="spellStart"/>
                <w:r w:rsidRPr="00ED0AD6">
                  <w:rPr>
                    <w:lang w:val="cs-CZ"/>
                  </w:rPr>
                  <w:t>of</w:t>
                </w:r>
                <w:proofErr w:type="spellEnd"/>
                <w:r w:rsidRPr="00ED0AD6">
                  <w:rPr>
                    <w:lang w:val="cs-CZ"/>
                  </w:rPr>
                  <w:t xml:space="preserve"> </w:t>
                </w:r>
                <w:proofErr w:type="spellStart"/>
                <w:r w:rsidRPr="00ED0AD6">
                  <w:rPr>
                    <w:lang w:val="cs-CZ"/>
                  </w:rPr>
                  <w:t>the</w:t>
                </w:r>
                <w:proofErr w:type="spellEnd"/>
                <w:r w:rsidRPr="00ED0AD6">
                  <w:rPr>
                    <w:lang w:val="cs-CZ"/>
                  </w:rPr>
                  <w:t xml:space="preserve"> </w:t>
                </w:r>
                <w:proofErr w:type="spellStart"/>
                <w:r w:rsidRPr="00ED0AD6">
                  <w:rPr>
                    <w:lang w:val="cs-CZ"/>
                  </w:rPr>
                  <w:t>implementation</w:t>
                </w:r>
                <w:proofErr w:type="spellEnd"/>
                <w:r w:rsidRPr="00ED0AD6">
                  <w:rPr>
                    <w:lang w:val="cs-CZ"/>
                  </w:rPr>
                  <w:t xml:space="preserve"> </w:t>
                </w:r>
                <w:proofErr w:type="spellStart"/>
                <w:r w:rsidRPr="00ED0AD6">
                  <w:rPr>
                    <w:lang w:val="cs-CZ"/>
                  </w:rPr>
                  <w:t>structure</w:t>
                </w:r>
                <w:proofErr w:type="spellEnd"/>
                <w:r w:rsidRPr="00ED0AD6">
                  <w:rPr>
                    <w:lang w:val="cs-CZ"/>
                  </w:rPr>
                  <w:t xml:space="preserve"> </w:t>
                </w:r>
                <w:proofErr w:type="spellStart"/>
                <w:r w:rsidRPr="00ED0AD6">
                  <w:rPr>
                    <w:lang w:val="cs-CZ"/>
                  </w:rPr>
                  <w:t>of</w:t>
                </w:r>
                <w:proofErr w:type="spellEnd"/>
                <w:r w:rsidRPr="00ED0AD6">
                  <w:rPr>
                    <w:lang w:val="cs-CZ"/>
                  </w:rPr>
                  <w:t xml:space="preserve"> </w:t>
                </w:r>
                <w:proofErr w:type="spellStart"/>
                <w:r w:rsidRPr="00ED0AD6">
                  <w:rPr>
                    <w:lang w:val="cs-CZ"/>
                  </w:rPr>
                  <w:t>the</w:t>
                </w:r>
                <w:proofErr w:type="spellEnd"/>
                <w:r w:rsidRPr="00ED0AD6">
                  <w:rPr>
                    <w:lang w:val="cs-CZ"/>
                  </w:rPr>
                  <w:t xml:space="preserve"> OP EIC</w:t>
                </w:r>
              </w:p>
              <w:p w:rsidR="00ED0AD6" w:rsidRPr="00ED0AD6" w:rsidRDefault="00ED0AD6" w:rsidP="00A13600">
                <w:pPr>
                  <w:pStyle w:val="Documentsubtitle"/>
                  <w:spacing w:line="240" w:lineRule="auto"/>
                  <w:rPr>
                    <w:rFonts w:asciiTheme="majorHAnsi" w:hAnsiTheme="majorHAnsi"/>
                  </w:rPr>
                </w:pPr>
                <w:r w:rsidRPr="00ED0AD6">
                  <w:rPr>
                    <w:rFonts w:asciiTheme="majorHAnsi" w:hAnsiTheme="majorHAnsi"/>
                  </w:rPr>
                  <w:t>Czech Republic</w:t>
                </w:r>
                <w:r w:rsidRPr="00ED0AD6">
                  <w:rPr>
                    <w:rFonts w:asciiTheme="majorHAnsi" w:hAnsiTheme="majorHAnsi"/>
                  </w:rPr>
                  <w:t xml:space="preserve"> </w:t>
                </w:r>
                <w:r>
                  <w:rPr>
                    <w:rFonts w:asciiTheme="majorHAnsi" w:hAnsiTheme="majorHAnsi"/>
                  </w:rPr>
                  <w:t>–</w:t>
                </w:r>
                <w:r w:rsidRPr="00ED0AD6">
                  <w:rPr>
                    <w:rFonts w:asciiTheme="majorHAnsi" w:hAnsiTheme="majorHAnsi"/>
                  </w:rPr>
                  <w:t xml:space="preserve"> </w:t>
                </w:r>
                <w:r>
                  <w:rPr>
                    <w:rFonts w:asciiTheme="majorHAnsi" w:hAnsiTheme="majorHAnsi"/>
                  </w:rPr>
                  <w:t xml:space="preserve">Ministry of Industry and </w:t>
                </w:r>
                <w:r>
                  <w:rPr>
                    <w:rFonts w:asciiTheme="majorHAnsi" w:hAnsiTheme="majorHAnsi"/>
                  </w:rPr>
                  <w:t>Trade</w:t>
                </w:r>
              </w:p>
              <w:p w:rsidR="00ED0AD6" w:rsidRDefault="00ED0AD6" w:rsidP="00A13600">
                <w:pPr>
                  <w:pStyle w:val="Documentsubtitle"/>
                  <w:spacing w:after="0" w:line="240" w:lineRule="auto"/>
                  <w:jc w:val="both"/>
                  <w:rPr>
                    <w:rFonts w:asciiTheme="majorHAnsi" w:hAnsiTheme="majorHAnsi"/>
                    <w:b/>
                  </w:rPr>
                </w:pPr>
                <w:r>
                  <w:rPr>
                    <w:rFonts w:asciiTheme="majorHAnsi" w:hAnsiTheme="majorHAnsi"/>
                    <w:b/>
                  </w:rPr>
                  <w:t>Final Report</w:t>
                </w:r>
              </w:p>
              <w:p w:rsidR="00ED0AD6" w:rsidRPr="00880699" w:rsidRDefault="00BF017D" w:rsidP="00A13600">
                <w:pPr>
                  <w:pStyle w:val="Documentsubtitle"/>
                  <w:spacing w:line="240" w:lineRule="auto"/>
                  <w:jc w:val="both"/>
                  <w:rPr>
                    <w:rFonts w:asciiTheme="majorHAnsi" w:hAnsiTheme="majorHAnsi"/>
                    <w:sz w:val="18"/>
                    <w:szCs w:val="18"/>
                  </w:rPr>
                </w:pPr>
                <w:r w:rsidRPr="00BF017D">
                  <w:rPr>
                    <w:rFonts w:asciiTheme="majorHAnsi" w:hAnsiTheme="majorHAnsi"/>
                    <w:sz w:val="20"/>
                    <w:szCs w:val="18"/>
                  </w:rPr>
                  <w:t>October</w:t>
                </w:r>
                <w:r w:rsidR="00ED0AD6" w:rsidRPr="00BF017D">
                  <w:rPr>
                    <w:rFonts w:asciiTheme="majorHAnsi" w:hAnsiTheme="majorHAnsi"/>
                    <w:sz w:val="20"/>
                    <w:szCs w:val="18"/>
                  </w:rPr>
                  <w:t xml:space="preserve"> 2020</w:t>
                </w:r>
              </w:p>
            </w:tc>
          </w:tr>
        </w:tbl>
        <w:p w:rsidR="00ED0AD6" w:rsidRPr="00880699" w:rsidRDefault="00ED0AD6" w:rsidP="00ED0AD6">
          <w:pPr>
            <w:spacing w:line="240" w:lineRule="auto"/>
            <w:jc w:val="both"/>
            <w:rPr>
              <w:rFonts w:asciiTheme="majorHAnsi" w:hAnsiTheme="majorHAnsi"/>
              <w:sz w:val="6"/>
              <w:szCs w:val="6"/>
            </w:rPr>
          </w:pPr>
          <w:r w:rsidRPr="00880699">
            <w:rPr>
              <w:rFonts w:asciiTheme="majorHAnsi" w:hAnsiTheme="majorHAnsi"/>
              <w:sz w:val="6"/>
              <w:szCs w:val="6"/>
            </w:rPr>
            <w:br w:type="page"/>
          </w:r>
        </w:p>
      </w:sdtContent>
    </w:sdt>
    <w:p w:rsidR="007C115F" w:rsidRPr="007C115F" w:rsidRDefault="00ED0AD6" w:rsidP="007C115F">
      <w:pPr>
        <w:keepNext/>
        <w:pageBreakBefore/>
        <w:spacing w:line="240" w:lineRule="auto"/>
        <w:ind w:left="360" w:hanging="360"/>
        <w:rPr>
          <w:rFonts w:ascii="Verdana" w:eastAsia="Times New Roman" w:hAnsi="Verdana" w:cs="Calibri Light"/>
          <w:szCs w:val="20"/>
          <w:lang w:val="cs-CZ" w:eastAsia="cs-CZ"/>
        </w:rPr>
      </w:pPr>
      <w:r>
        <w:rPr>
          <w:rFonts w:ascii="Verdana" w:eastAsia="Times New Roman" w:hAnsi="Verdana" w:cs="Calibri Light"/>
          <w:color w:val="000000"/>
          <w:sz w:val="60"/>
          <w:szCs w:val="60"/>
          <w:lang w:val="en" w:eastAsia="cs-CZ"/>
        </w:rPr>
        <w:lastRenderedPageBreak/>
        <w:t>E</w:t>
      </w:r>
      <w:commentRangeStart w:id="0"/>
      <w:r w:rsidR="007C115F" w:rsidRPr="007C115F">
        <w:rPr>
          <w:rFonts w:ascii="Verdana" w:eastAsia="Times New Roman" w:hAnsi="Verdana" w:cs="Calibri Light"/>
          <w:color w:val="000000"/>
          <w:sz w:val="60"/>
          <w:szCs w:val="60"/>
          <w:lang w:val="en" w:eastAsia="cs-CZ"/>
        </w:rPr>
        <w:t>xecutive summary</w:t>
      </w:r>
    </w:p>
    <w:p w:rsidR="007C115F" w:rsidRPr="007C115F" w:rsidRDefault="007C115F" w:rsidP="009F5680">
      <w:pPr>
        <w:jc w:val="both"/>
        <w:rPr>
          <w:rFonts w:ascii="Verdana" w:eastAsia="Times New Roman" w:hAnsi="Verdana" w:cs="Calibri Light"/>
          <w:sz w:val="18"/>
          <w:szCs w:val="18"/>
          <w:lang w:val="cs-CZ" w:eastAsia="cs-CZ"/>
        </w:rPr>
      </w:pPr>
      <w:r w:rsidRPr="007C115F">
        <w:rPr>
          <w:rFonts w:ascii="Verdana" w:eastAsia="Times New Roman" w:hAnsi="Verdana" w:cs="Calibri Light"/>
          <w:sz w:val="18"/>
          <w:szCs w:val="18"/>
          <w:lang w:val="en" w:eastAsia="cs-CZ"/>
        </w:rPr>
        <w:t>The submitted Final Report summarizes the findings of the analysis carried out within the project "</w:t>
      </w:r>
      <w:r w:rsidRPr="007C115F">
        <w:rPr>
          <w:rFonts w:ascii="Verdana" w:eastAsia="Times New Roman" w:hAnsi="Verdana" w:cs="Calibri Light"/>
          <w:b/>
          <w:bCs/>
          <w:sz w:val="18"/>
          <w:szCs w:val="18"/>
          <w:lang w:val="en" w:eastAsia="cs-CZ"/>
        </w:rPr>
        <w:t>Evaluation of administrative procedures of the OP EIC implementation structure</w:t>
      </w:r>
      <w:r w:rsidRPr="007C115F">
        <w:rPr>
          <w:rFonts w:ascii="Verdana" w:eastAsia="Times New Roman" w:hAnsi="Verdana" w:cs="Calibri Light"/>
          <w:sz w:val="18"/>
          <w:szCs w:val="18"/>
          <w:lang w:val="en" w:eastAsia="cs-CZ"/>
        </w:rPr>
        <w:t xml:space="preserve">" (hereinafter also "Project") prepared for the Ministry of Industry and Trade (hereinafter also "MIT" or "Contracting Authority"). The aim of the Evaluation was to identify shortcomings in the administration processes of the </w:t>
      </w:r>
      <w:r w:rsidR="00FC4964">
        <w:rPr>
          <w:rFonts w:ascii="Verdana" w:eastAsia="Times New Roman" w:hAnsi="Verdana" w:cs="Calibri Light"/>
          <w:sz w:val="18"/>
          <w:szCs w:val="18"/>
          <w:lang w:val="en" w:eastAsia="cs-CZ"/>
        </w:rPr>
        <w:t>Operational Program Entrepreneurship and I</w:t>
      </w:r>
      <w:r w:rsidR="00FC4964" w:rsidRPr="00FC4964">
        <w:rPr>
          <w:rFonts w:ascii="Verdana" w:eastAsia="Times New Roman" w:hAnsi="Verdana" w:cs="Calibri Light"/>
          <w:sz w:val="18"/>
          <w:szCs w:val="18"/>
          <w:lang w:val="en" w:eastAsia="cs-CZ"/>
        </w:rPr>
        <w:t xml:space="preserve">nnovation for </w:t>
      </w:r>
      <w:r w:rsidR="00FC4964">
        <w:rPr>
          <w:rFonts w:ascii="Verdana" w:eastAsia="Times New Roman" w:hAnsi="Verdana" w:cs="Calibri Light"/>
          <w:sz w:val="18"/>
          <w:szCs w:val="18"/>
          <w:lang w:val="en" w:eastAsia="cs-CZ"/>
        </w:rPr>
        <w:t>C</w:t>
      </w:r>
      <w:r w:rsidR="00FC4964" w:rsidRPr="00FC4964">
        <w:rPr>
          <w:rFonts w:ascii="Verdana" w:eastAsia="Times New Roman" w:hAnsi="Verdana" w:cs="Calibri Light"/>
          <w:sz w:val="18"/>
          <w:szCs w:val="18"/>
          <w:lang w:val="en" w:eastAsia="cs-CZ"/>
        </w:rPr>
        <w:t xml:space="preserve">ompetitiveness </w:t>
      </w:r>
      <w:r w:rsidR="00FC4964">
        <w:rPr>
          <w:rFonts w:ascii="Verdana" w:eastAsia="Times New Roman" w:hAnsi="Verdana" w:cs="Calibri Light"/>
          <w:sz w:val="18"/>
          <w:szCs w:val="18"/>
          <w:lang w:val="en" w:eastAsia="cs-CZ"/>
        </w:rPr>
        <w:t>(</w:t>
      </w:r>
      <w:r w:rsidRPr="007C115F">
        <w:rPr>
          <w:rFonts w:ascii="Verdana" w:eastAsia="Times New Roman" w:hAnsi="Verdana" w:cs="Calibri Light"/>
          <w:sz w:val="18"/>
          <w:szCs w:val="18"/>
          <w:lang w:val="en" w:eastAsia="cs-CZ"/>
        </w:rPr>
        <w:t>OP EIC</w:t>
      </w:r>
      <w:r w:rsidR="00FC4964">
        <w:rPr>
          <w:rFonts w:ascii="Verdana" w:eastAsia="Times New Roman" w:hAnsi="Verdana" w:cs="Calibri Light"/>
          <w:sz w:val="18"/>
          <w:szCs w:val="18"/>
          <w:lang w:val="en" w:eastAsia="cs-CZ"/>
        </w:rPr>
        <w:t>)</w:t>
      </w:r>
      <w:r w:rsidRPr="007C115F">
        <w:rPr>
          <w:rFonts w:ascii="Verdana" w:eastAsia="Times New Roman" w:hAnsi="Verdana" w:cs="Calibri Light"/>
          <w:sz w:val="18"/>
          <w:szCs w:val="18"/>
          <w:lang w:val="en" w:eastAsia="cs-CZ"/>
        </w:rPr>
        <w:t xml:space="preserve"> and to propose an appropriate solution so that the administration of support and certification of funds can be accelerated.</w:t>
      </w:r>
    </w:p>
    <w:p w:rsidR="007C115F" w:rsidRPr="007C115F" w:rsidRDefault="007C115F" w:rsidP="009F5680">
      <w:pPr>
        <w:jc w:val="both"/>
        <w:rPr>
          <w:rFonts w:ascii="Verdana" w:eastAsia="Times New Roman" w:hAnsi="Verdana" w:cs="Calibri Light"/>
          <w:sz w:val="18"/>
          <w:szCs w:val="18"/>
          <w:lang w:val="cs-CZ" w:eastAsia="cs-CZ"/>
        </w:rPr>
      </w:pPr>
      <w:r w:rsidRPr="007C115F">
        <w:rPr>
          <w:rFonts w:ascii="Verdana" w:eastAsia="Times New Roman" w:hAnsi="Verdana" w:cs="Calibri Light"/>
          <w:sz w:val="18"/>
          <w:szCs w:val="18"/>
          <w:lang w:val="en" w:eastAsia="cs-CZ"/>
        </w:rPr>
        <w:t>The presented report contains the main findings on the identified shortcomings of the processes associated with the administration of OP EIC support both by the implementation structure and by the applicants/beneficiaries. He then proposes measures to eliminate these shortcomings. These findings are a synthesis of knowledge gained by triangulation of selected evaluation methods in all phases of Evaluation, which are</w:t>
      </w:r>
      <w:bookmarkStart w:id="1" w:name="_GoBack"/>
      <w:bookmarkEnd w:id="1"/>
      <w:r w:rsidRPr="007C115F">
        <w:rPr>
          <w:rFonts w:ascii="Verdana" w:eastAsia="Times New Roman" w:hAnsi="Verdana" w:cs="Calibri Light"/>
          <w:sz w:val="18"/>
          <w:szCs w:val="18"/>
          <w:lang w:val="en" w:eastAsia="cs-CZ"/>
        </w:rPr>
        <w:t xml:space="preserve"> described in more detail in Chapter 3. The final report also provides answers to evaluation questions in the areas of methodology, implementation, communication and controls and irregularities. Last but not least, the Final Report contains a detailed analysis of six optimization measures as selected by the participants of the expert panel.</w:t>
      </w:r>
    </w:p>
    <w:p w:rsidR="007C115F" w:rsidRPr="007C115F" w:rsidRDefault="007C115F" w:rsidP="009F5680">
      <w:pPr>
        <w:jc w:val="both"/>
        <w:rPr>
          <w:rFonts w:ascii="Verdana" w:eastAsia="Times New Roman" w:hAnsi="Verdana" w:cs="Calibri Light"/>
          <w:sz w:val="18"/>
          <w:szCs w:val="18"/>
          <w:lang w:val="cs-CZ" w:eastAsia="cs-CZ"/>
        </w:rPr>
      </w:pPr>
      <w:r w:rsidRPr="007C115F">
        <w:rPr>
          <w:rFonts w:ascii="Verdana" w:eastAsia="Times New Roman" w:hAnsi="Verdana" w:cs="Calibri Light"/>
          <w:b/>
          <w:bCs/>
          <w:sz w:val="18"/>
          <w:szCs w:val="18"/>
          <w:lang w:val="en" w:eastAsia="cs-CZ"/>
        </w:rPr>
        <w:t>Overview of key findings and corresponding solutions</w:t>
      </w:r>
    </w:p>
    <w:p w:rsidR="007C115F" w:rsidRPr="007C115F" w:rsidRDefault="007C115F" w:rsidP="009F5680">
      <w:pPr>
        <w:jc w:val="both"/>
        <w:rPr>
          <w:rFonts w:ascii="Verdana" w:eastAsia="Times New Roman" w:hAnsi="Verdana" w:cs="Calibri Light"/>
          <w:sz w:val="18"/>
          <w:szCs w:val="18"/>
          <w:lang w:val="cs-CZ" w:eastAsia="cs-CZ"/>
        </w:rPr>
      </w:pPr>
      <w:r w:rsidRPr="007C115F">
        <w:rPr>
          <w:rFonts w:ascii="Verdana" w:eastAsia="Times New Roman" w:hAnsi="Verdana" w:cs="Calibri Light"/>
          <w:sz w:val="18"/>
          <w:szCs w:val="18"/>
          <w:lang w:val="en" w:eastAsia="cs-CZ"/>
        </w:rPr>
        <w:t>The following table presents a list of the most important identified deficiencies, and proposes an adequate solution with an optimal time horizon. In order to maintain the complexity, the Processor also left selected recommendations, which are not directly under the responsibility of the MIT, however, they can serve as an argument when setting up the administration of operational programs in the next programming period.</w:t>
      </w:r>
    </w:p>
    <w:p w:rsidR="007C115F" w:rsidRPr="007C115F" w:rsidRDefault="007C115F" w:rsidP="007C115F">
      <w:pPr>
        <w:rPr>
          <w:rFonts w:ascii="Verdana" w:eastAsia="Times New Roman" w:hAnsi="Verdana" w:cs="Calibri Light"/>
          <w:sz w:val="18"/>
          <w:szCs w:val="18"/>
          <w:lang w:val="cs-CZ" w:eastAsia="cs-CZ"/>
        </w:rPr>
      </w:pPr>
      <w:r w:rsidRPr="007C115F">
        <w:rPr>
          <w:rFonts w:ascii="Verdana" w:eastAsia="Times New Roman" w:hAnsi="Verdana" w:cs="Calibri Light"/>
          <w:sz w:val="18"/>
          <w:szCs w:val="18"/>
          <w:lang w:val="en" w:eastAsia="cs-CZ"/>
        </w:rPr>
        <w:t>The working groups, which for this purpose the Draftsman proposes to establish the MA, should be responsible for the further elaboration of the recommended solutions, namely:</w:t>
      </w:r>
    </w:p>
    <w:p w:rsidR="007C115F" w:rsidRPr="009F5680" w:rsidRDefault="007C115F" w:rsidP="007C115F">
      <w:pPr>
        <w:pStyle w:val="ListParagraph"/>
        <w:numPr>
          <w:ilvl w:val="0"/>
          <w:numId w:val="24"/>
        </w:numPr>
        <w:spacing w:before="60" w:after="60"/>
        <w:rPr>
          <w:rFonts w:ascii="Verdana" w:hAnsi="Verdana"/>
          <w:sz w:val="18"/>
          <w:szCs w:val="18"/>
          <w:lang w:val="en"/>
        </w:rPr>
      </w:pPr>
      <w:r w:rsidRPr="009F5680">
        <w:rPr>
          <w:rFonts w:ascii="Verdana" w:hAnsi="Verdana"/>
          <w:sz w:val="18"/>
          <w:szCs w:val="18"/>
        </w:rPr>
        <w:t xml:space="preserve">PS to </w:t>
      </w:r>
      <w:proofErr w:type="spellStart"/>
      <w:r w:rsidRPr="009F5680">
        <w:rPr>
          <w:rFonts w:ascii="Verdana" w:hAnsi="Verdana"/>
          <w:sz w:val="18"/>
          <w:szCs w:val="18"/>
        </w:rPr>
        <w:t>the</w:t>
      </w:r>
      <w:proofErr w:type="spellEnd"/>
      <w:r w:rsidRPr="009F5680">
        <w:rPr>
          <w:rFonts w:ascii="Verdana" w:hAnsi="Verdana"/>
          <w:sz w:val="18"/>
          <w:szCs w:val="18"/>
        </w:rPr>
        <w:t xml:space="preserve"> </w:t>
      </w:r>
      <w:proofErr w:type="spellStart"/>
      <w:r w:rsidRPr="009F5680">
        <w:rPr>
          <w:rFonts w:ascii="Verdana" w:hAnsi="Verdana"/>
          <w:sz w:val="18"/>
          <w:szCs w:val="18"/>
        </w:rPr>
        <w:t>methodological</w:t>
      </w:r>
      <w:proofErr w:type="spellEnd"/>
      <w:r w:rsidRPr="009F5680">
        <w:rPr>
          <w:rFonts w:ascii="Verdana" w:hAnsi="Verdana"/>
          <w:sz w:val="18"/>
          <w:szCs w:val="18"/>
        </w:rPr>
        <w:t xml:space="preserve"> </w:t>
      </w:r>
      <w:proofErr w:type="spellStart"/>
      <w:r w:rsidRPr="009F5680">
        <w:rPr>
          <w:rFonts w:ascii="Verdana" w:hAnsi="Verdana"/>
          <w:sz w:val="18"/>
          <w:szCs w:val="18"/>
        </w:rPr>
        <w:t>environment</w:t>
      </w:r>
      <w:proofErr w:type="spellEnd"/>
      <w:r w:rsidRPr="009F5680">
        <w:rPr>
          <w:rFonts w:ascii="Verdana" w:hAnsi="Verdana"/>
          <w:sz w:val="18"/>
          <w:szCs w:val="18"/>
        </w:rPr>
        <w:t>;</w:t>
      </w:r>
    </w:p>
    <w:p w:rsidR="007C115F" w:rsidRPr="009F5680" w:rsidRDefault="007C115F" w:rsidP="007C115F">
      <w:pPr>
        <w:pStyle w:val="ListParagraph"/>
        <w:numPr>
          <w:ilvl w:val="0"/>
          <w:numId w:val="24"/>
        </w:numPr>
        <w:spacing w:before="60" w:after="60"/>
        <w:rPr>
          <w:rFonts w:ascii="Verdana" w:hAnsi="Verdana"/>
          <w:sz w:val="18"/>
          <w:szCs w:val="18"/>
          <w:lang w:val="en"/>
        </w:rPr>
      </w:pPr>
      <w:r w:rsidRPr="009F5680">
        <w:rPr>
          <w:rFonts w:ascii="Verdana" w:hAnsi="Verdana"/>
          <w:sz w:val="18"/>
          <w:szCs w:val="18"/>
        </w:rPr>
        <w:t xml:space="preserve">PS </w:t>
      </w:r>
      <w:proofErr w:type="spellStart"/>
      <w:r w:rsidRPr="009F5680">
        <w:rPr>
          <w:rFonts w:ascii="Verdana" w:hAnsi="Verdana"/>
          <w:sz w:val="18"/>
          <w:szCs w:val="18"/>
        </w:rPr>
        <w:t>for</w:t>
      </w:r>
      <w:proofErr w:type="spellEnd"/>
      <w:r w:rsidRPr="009F5680">
        <w:rPr>
          <w:rFonts w:ascii="Verdana" w:hAnsi="Verdana"/>
          <w:sz w:val="18"/>
          <w:szCs w:val="18"/>
        </w:rPr>
        <w:t xml:space="preserve"> </w:t>
      </w:r>
      <w:proofErr w:type="spellStart"/>
      <w:r w:rsidRPr="009F5680">
        <w:rPr>
          <w:rFonts w:ascii="Verdana" w:hAnsi="Verdana"/>
          <w:sz w:val="18"/>
          <w:szCs w:val="18"/>
        </w:rPr>
        <w:t>implementation</w:t>
      </w:r>
      <w:proofErr w:type="spellEnd"/>
      <w:r w:rsidRPr="009F5680">
        <w:rPr>
          <w:rFonts w:ascii="Verdana" w:hAnsi="Verdana"/>
          <w:sz w:val="18"/>
          <w:szCs w:val="18"/>
        </w:rPr>
        <w:t>;</w:t>
      </w:r>
    </w:p>
    <w:p w:rsidR="007C115F" w:rsidRPr="009F5680" w:rsidRDefault="007C115F" w:rsidP="007C115F">
      <w:pPr>
        <w:pStyle w:val="ListParagraph"/>
        <w:numPr>
          <w:ilvl w:val="0"/>
          <w:numId w:val="24"/>
        </w:numPr>
        <w:spacing w:before="60" w:after="60"/>
        <w:rPr>
          <w:rFonts w:ascii="Verdana" w:hAnsi="Verdana"/>
          <w:sz w:val="18"/>
          <w:szCs w:val="18"/>
          <w:lang w:val="en"/>
        </w:rPr>
      </w:pPr>
      <w:r w:rsidRPr="009F5680">
        <w:rPr>
          <w:rFonts w:ascii="Verdana" w:hAnsi="Verdana"/>
          <w:sz w:val="18"/>
          <w:szCs w:val="18"/>
        </w:rPr>
        <w:t xml:space="preserve">PS to </w:t>
      </w:r>
      <w:proofErr w:type="spellStart"/>
      <w:r w:rsidRPr="009F5680">
        <w:rPr>
          <w:rFonts w:ascii="Verdana" w:hAnsi="Verdana"/>
          <w:sz w:val="18"/>
          <w:szCs w:val="18"/>
        </w:rPr>
        <w:t>information</w:t>
      </w:r>
      <w:proofErr w:type="spellEnd"/>
      <w:r w:rsidRPr="009F5680">
        <w:rPr>
          <w:rFonts w:ascii="Verdana" w:hAnsi="Verdana"/>
          <w:sz w:val="18"/>
          <w:szCs w:val="18"/>
        </w:rPr>
        <w:t xml:space="preserve"> </w:t>
      </w:r>
      <w:proofErr w:type="spellStart"/>
      <w:r w:rsidRPr="009F5680">
        <w:rPr>
          <w:rFonts w:ascii="Verdana" w:hAnsi="Verdana"/>
          <w:sz w:val="18"/>
          <w:szCs w:val="18"/>
        </w:rPr>
        <w:t>systems</w:t>
      </w:r>
      <w:proofErr w:type="spellEnd"/>
      <w:r w:rsidRPr="009F5680">
        <w:rPr>
          <w:rFonts w:ascii="Verdana" w:hAnsi="Verdana"/>
          <w:sz w:val="18"/>
          <w:szCs w:val="18"/>
        </w:rPr>
        <w:t xml:space="preserve">, </w:t>
      </w:r>
      <w:proofErr w:type="spellStart"/>
      <w:r w:rsidRPr="009F5680">
        <w:rPr>
          <w:rFonts w:ascii="Verdana" w:hAnsi="Verdana"/>
          <w:sz w:val="18"/>
          <w:szCs w:val="18"/>
        </w:rPr>
        <w:t>automation</w:t>
      </w:r>
      <w:proofErr w:type="spellEnd"/>
      <w:r w:rsidRPr="009F5680">
        <w:rPr>
          <w:rFonts w:ascii="Verdana" w:hAnsi="Verdana"/>
          <w:sz w:val="18"/>
          <w:szCs w:val="18"/>
        </w:rPr>
        <w:t xml:space="preserve"> and </w:t>
      </w:r>
      <w:proofErr w:type="spellStart"/>
      <w:r w:rsidRPr="009F5680">
        <w:rPr>
          <w:rFonts w:ascii="Verdana" w:hAnsi="Verdana"/>
          <w:sz w:val="18"/>
          <w:szCs w:val="18"/>
        </w:rPr>
        <w:t>robotics</w:t>
      </w:r>
      <w:proofErr w:type="spellEnd"/>
    </w:p>
    <w:p w:rsidR="007C115F" w:rsidRPr="007C115F" w:rsidRDefault="007C115F" w:rsidP="007C115F">
      <w:pPr>
        <w:rPr>
          <w:rFonts w:ascii="Verdana" w:eastAsia="Times New Roman" w:hAnsi="Verdana" w:cs="Calibri Light"/>
          <w:sz w:val="18"/>
          <w:szCs w:val="18"/>
          <w:lang w:val="cs-CZ" w:eastAsia="cs-CZ"/>
        </w:rPr>
      </w:pPr>
      <w:r w:rsidRPr="007C115F">
        <w:rPr>
          <w:rFonts w:ascii="Verdana" w:eastAsia="Times New Roman" w:hAnsi="Verdana" w:cs="Calibri Light"/>
          <w:sz w:val="18"/>
          <w:szCs w:val="18"/>
          <w:lang w:val="en" w:eastAsia="cs-CZ"/>
        </w:rPr>
        <w:t>A complete list of findings with recommendations, including the definition of the MIT's responsibility and a proposal for division into working groups, is given in the table in Chapter 4.</w:t>
      </w:r>
    </w:p>
    <w:p w:rsidR="007C115F" w:rsidRPr="009F5680" w:rsidRDefault="007C115F" w:rsidP="009F5680">
      <w:pPr>
        <w:pStyle w:val="Caption"/>
        <w:jc w:val="center"/>
        <w:rPr>
          <w:rFonts w:ascii="Verdana" w:hAnsi="Verdana"/>
          <w:sz w:val="18"/>
        </w:rPr>
      </w:pPr>
      <w:r w:rsidRPr="009F5680">
        <w:rPr>
          <w:rFonts w:ascii="Verdana" w:hAnsi="Verdana"/>
          <w:sz w:val="18"/>
        </w:rPr>
        <w:t xml:space="preserve">Table </w:t>
      </w:r>
      <w:r w:rsidRPr="009F5680">
        <w:rPr>
          <w:rFonts w:ascii="Verdana" w:hAnsi="Verdana"/>
          <w:sz w:val="18"/>
        </w:rPr>
        <w:fldChar w:fldCharType="begin"/>
      </w:r>
      <w:r w:rsidRPr="009F5680">
        <w:rPr>
          <w:rFonts w:ascii="Verdana" w:hAnsi="Verdana"/>
          <w:sz w:val="18"/>
        </w:rPr>
        <w:instrText xml:space="preserve"> SEQ Table \* ARABIC </w:instrText>
      </w:r>
      <w:r w:rsidRPr="009F5680">
        <w:rPr>
          <w:rFonts w:ascii="Verdana" w:hAnsi="Verdana"/>
          <w:sz w:val="18"/>
        </w:rPr>
        <w:fldChar w:fldCharType="separate"/>
      </w:r>
      <w:r w:rsidRPr="009F5680">
        <w:rPr>
          <w:rFonts w:ascii="Verdana" w:hAnsi="Verdana"/>
          <w:noProof/>
          <w:sz w:val="18"/>
        </w:rPr>
        <w:t>1</w:t>
      </w:r>
      <w:r w:rsidRPr="009F5680">
        <w:rPr>
          <w:rFonts w:ascii="Verdana" w:hAnsi="Verdana"/>
          <w:sz w:val="18"/>
        </w:rPr>
        <w:fldChar w:fldCharType="end"/>
      </w:r>
      <w:r w:rsidRPr="009F5680">
        <w:rPr>
          <w:rFonts w:ascii="Verdana" w:hAnsi="Verdana"/>
          <w:sz w:val="18"/>
        </w:rPr>
        <w:t xml:space="preserve"> Main findings and corresponding recommendations for the adjustment of administrative procedures of the OP EIC</w:t>
      </w:r>
    </w:p>
    <w:tbl>
      <w:tblPr>
        <w:tblW w:w="5000" w:type="pct"/>
        <w:tblCellMar>
          <w:left w:w="0" w:type="dxa"/>
          <w:right w:w="0" w:type="dxa"/>
        </w:tblCellMar>
        <w:tblLook w:val="04A0" w:firstRow="1" w:lastRow="0" w:firstColumn="1" w:lastColumn="0" w:noHBand="0" w:noVBand="1"/>
      </w:tblPr>
      <w:tblGrid>
        <w:gridCol w:w="362"/>
        <w:gridCol w:w="3656"/>
        <w:gridCol w:w="3750"/>
        <w:gridCol w:w="1294"/>
      </w:tblGrid>
      <w:tr w:rsidR="007C115F" w:rsidRPr="007C115F" w:rsidTr="007C115F">
        <w:trPr>
          <w:tblHeader/>
        </w:trPr>
        <w:tc>
          <w:tcPr>
            <w:tcW w:w="200" w:type="pct"/>
            <w:tcBorders>
              <w:top w:val="single" w:sz="24" w:space="0" w:color="86BC25"/>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color w:val="86BC25"/>
                <w:sz w:val="16"/>
                <w:szCs w:val="16"/>
                <w:lang w:val="en" w:eastAsia="cs-CZ"/>
              </w:rPr>
              <w:t>No.</w:t>
            </w:r>
          </w:p>
        </w:tc>
        <w:tc>
          <w:tcPr>
            <w:tcW w:w="2017" w:type="pct"/>
            <w:tcBorders>
              <w:top w:val="single" w:sz="24" w:space="0" w:color="86BC25"/>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color w:val="86BC25"/>
                <w:sz w:val="16"/>
                <w:szCs w:val="16"/>
                <w:lang w:val="en" w:eastAsia="cs-CZ"/>
              </w:rPr>
              <w:t>Identified deficiency</w:t>
            </w:r>
          </w:p>
        </w:tc>
        <w:tc>
          <w:tcPr>
            <w:tcW w:w="2069" w:type="pct"/>
            <w:tcBorders>
              <w:top w:val="single" w:sz="24" w:space="0" w:color="86BC25"/>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ind w:right="134"/>
              <w:rPr>
                <w:rFonts w:ascii="Verdana" w:eastAsia="Times New Roman" w:hAnsi="Verdana" w:cs="Calibri Light"/>
                <w:sz w:val="16"/>
                <w:szCs w:val="16"/>
                <w:lang w:val="cs-CZ" w:eastAsia="cs-CZ"/>
              </w:rPr>
            </w:pPr>
            <w:r w:rsidRPr="007C115F">
              <w:rPr>
                <w:rFonts w:ascii="Verdana" w:eastAsia="Times New Roman" w:hAnsi="Verdana" w:cs="Calibri Light"/>
                <w:b/>
                <w:bCs/>
                <w:color w:val="86BC25"/>
                <w:sz w:val="16"/>
                <w:szCs w:val="16"/>
                <w:lang w:val="en" w:eastAsia="cs-CZ"/>
              </w:rPr>
              <w:t>Solution design</w:t>
            </w:r>
          </w:p>
        </w:tc>
        <w:tc>
          <w:tcPr>
            <w:tcW w:w="715" w:type="pct"/>
            <w:tcBorders>
              <w:top w:val="single" w:sz="24" w:space="0" w:color="86BC25"/>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color w:val="86BC25"/>
                <w:sz w:val="16"/>
                <w:szCs w:val="16"/>
                <w:lang w:val="en" w:eastAsia="cs-CZ"/>
              </w:rPr>
              <w:t>Timetable</w:t>
            </w:r>
          </w:p>
        </w:tc>
      </w:tr>
      <w:tr w:rsidR="007C115F" w:rsidRPr="007C115F" w:rsidTr="007C115F">
        <w:tc>
          <w:tcPr>
            <w:tcW w:w="200" w:type="pct"/>
            <w:tcBorders>
              <w:top w:val="nil"/>
              <w:left w:val="single" w:sz="8" w:space="0" w:color="D0EC9F"/>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tc>
        <w:tc>
          <w:tcPr>
            <w:tcW w:w="4800" w:type="pct"/>
            <w:gridSpan w:val="3"/>
            <w:tcBorders>
              <w:top w:val="nil"/>
              <w:left w:val="nil"/>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Information systems</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eastAsia="cs-CZ"/>
              </w:rPr>
              <w:t>Insufficient functionality requiring manual data processing.</w:t>
            </w:r>
            <w:r w:rsidRPr="007C115F">
              <w:rPr>
                <w:rFonts w:ascii="Verdana" w:eastAsia="Times New Roman" w:hAnsi="Verdana" w:cs="Calibri Light"/>
                <w:b/>
                <w:bCs/>
                <w:sz w:val="16"/>
                <w:szCs w:val="16"/>
                <w:lang w:val="en" w:eastAsia="cs-CZ"/>
              </w:rPr>
              <w:t xml:space="preserve"> </w:t>
            </w:r>
            <w:r w:rsidRPr="007C115F">
              <w:rPr>
                <w:rFonts w:ascii="Verdana" w:eastAsia="Times New Roman" w:hAnsi="Verdana" w:cs="Calibri Light"/>
                <w:sz w:val="16"/>
                <w:szCs w:val="16"/>
                <w:lang w:eastAsia="cs-CZ"/>
              </w:rPr>
              <w:t>E.g.:</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w:t>
            </w:r>
            <w:r w:rsidRPr="00F26586">
              <w:rPr>
                <w:rFonts w:ascii="Verdana" w:eastAsia="Times New Roman" w:hAnsi="Verdana" w:cs="Calibri Light"/>
                <w:sz w:val="16"/>
                <w:szCs w:val="16"/>
                <w:lang w:val="en" w:eastAsia="cs-CZ"/>
              </w:rPr>
              <w:t>Control lists</w:t>
            </w:r>
            <w:r w:rsidRPr="007C115F">
              <w:rPr>
                <w:rFonts w:ascii="Verdana" w:eastAsia="Times New Roman" w:hAnsi="Verdana" w:cs="Calibri Light"/>
                <w:sz w:val="16"/>
                <w:szCs w:val="16"/>
                <w:lang w:val="en" w:eastAsia="cs-CZ"/>
              </w:rPr>
              <w:t xml:space="preserve"> </w:t>
            </w:r>
            <w:r w:rsidRPr="00F26586">
              <w:rPr>
                <w:rFonts w:ascii="Verdana" w:eastAsia="Times New Roman" w:hAnsi="Verdana" w:cs="Calibri Light"/>
                <w:sz w:val="16"/>
                <w:szCs w:val="16"/>
                <w:lang w:val="en" w:eastAsia="cs-CZ"/>
              </w:rPr>
              <w:t xml:space="preserve">(CL) </w:t>
            </w:r>
            <w:r w:rsidRPr="007C115F">
              <w:rPr>
                <w:rFonts w:ascii="Verdana" w:eastAsia="Times New Roman" w:hAnsi="Verdana" w:cs="Calibri Light"/>
                <w:sz w:val="16"/>
                <w:szCs w:val="16"/>
                <w:lang w:val="en" w:eastAsia="cs-CZ"/>
              </w:rPr>
              <w:t xml:space="preserve">to </w:t>
            </w:r>
            <w:r w:rsidRPr="00F26586">
              <w:rPr>
                <w:rFonts w:ascii="Verdana" w:eastAsia="Times New Roman" w:hAnsi="Verdana" w:cs="Calibri Light"/>
                <w:sz w:val="16"/>
                <w:szCs w:val="16"/>
                <w:lang w:val="en" w:eastAsia="cs-CZ"/>
              </w:rPr>
              <w:t>Subsidy Decision (SD)</w:t>
            </w:r>
            <w:r w:rsidRPr="007C115F">
              <w:rPr>
                <w:rFonts w:ascii="Verdana" w:eastAsia="Times New Roman" w:hAnsi="Verdana" w:cs="Calibri Light"/>
                <w:sz w:val="16"/>
                <w:szCs w:val="16"/>
                <w:lang w:val="en" w:eastAsia="cs-CZ"/>
              </w:rPr>
              <w:t xml:space="preserve">, </w:t>
            </w:r>
            <w:r w:rsidRPr="00F26586">
              <w:rPr>
                <w:rFonts w:ascii="Verdana" w:eastAsia="Times New Roman" w:hAnsi="Verdana" w:cs="Calibri Light"/>
                <w:sz w:val="16"/>
                <w:szCs w:val="16"/>
                <w:lang w:val="en" w:eastAsia="cs-CZ"/>
              </w:rPr>
              <w:t>C</w:t>
            </w:r>
            <w:r w:rsidRPr="007C115F">
              <w:rPr>
                <w:rFonts w:ascii="Verdana" w:eastAsia="Times New Roman" w:hAnsi="Verdana" w:cs="Calibri Light"/>
                <w:sz w:val="16"/>
                <w:szCs w:val="16"/>
                <w:lang w:val="en" w:eastAsia="cs-CZ"/>
              </w:rPr>
              <w:t xml:space="preserve">L to change requests </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w:t>
            </w:r>
            <w:r w:rsidRPr="007C115F">
              <w:rPr>
                <w:rFonts w:ascii="Verdana" w:eastAsia="Times New Roman" w:hAnsi="Verdana" w:cs="Calibri Light"/>
                <w:sz w:val="16"/>
                <w:szCs w:val="16"/>
                <w:lang w:val="en" w:eastAsia="cs-CZ"/>
              </w:rPr>
              <w:t xml:space="preserve">Additions to </w:t>
            </w:r>
            <w:r w:rsidRPr="00F26586">
              <w:rPr>
                <w:rFonts w:ascii="Verdana" w:eastAsia="Times New Roman" w:hAnsi="Verdana" w:cs="Calibri Light"/>
                <w:sz w:val="16"/>
                <w:szCs w:val="16"/>
                <w:lang w:val="en" w:eastAsia="cs-CZ"/>
              </w:rPr>
              <w:t>SD</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w:t>
            </w:r>
            <w:r w:rsidRPr="007C115F">
              <w:rPr>
                <w:rFonts w:ascii="Verdana" w:eastAsia="Times New Roman" w:hAnsi="Verdana" w:cs="Calibri Light"/>
                <w:sz w:val="16"/>
                <w:szCs w:val="16"/>
                <w:lang w:val="en" w:eastAsia="cs-CZ"/>
              </w:rPr>
              <w:t xml:space="preserve">Supporting documents for the selection committee </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xml:space="preserve">  </w:t>
            </w:r>
            <w:r w:rsidRPr="007C115F">
              <w:rPr>
                <w:rFonts w:ascii="Verdana" w:eastAsia="Times New Roman" w:hAnsi="Verdana" w:cs="Calibri Light"/>
                <w:sz w:val="16"/>
                <w:szCs w:val="16"/>
                <w:lang w:val="en" w:eastAsia="cs-CZ"/>
              </w:rPr>
              <w:t>Lack of templates</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xml:space="preserve">  </w:t>
            </w:r>
            <w:r w:rsidRPr="007C115F">
              <w:rPr>
                <w:rFonts w:ascii="Verdana" w:eastAsia="Times New Roman" w:hAnsi="Verdana" w:cs="Calibri Light"/>
                <w:sz w:val="16"/>
                <w:szCs w:val="16"/>
                <w:lang w:val="en" w:eastAsia="cs-CZ"/>
              </w:rPr>
              <w:t>Recipient notifications are not effective enough, they are sent only in the form of dispatches to ISKP2014+</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xml:space="preserve">  </w:t>
            </w:r>
            <w:r w:rsidRPr="007C115F">
              <w:rPr>
                <w:rFonts w:ascii="Verdana" w:eastAsia="Times New Roman" w:hAnsi="Verdana" w:cs="Calibri Light"/>
                <w:sz w:val="16"/>
                <w:szCs w:val="16"/>
                <w:lang w:val="en" w:eastAsia="cs-CZ"/>
              </w:rPr>
              <w:t xml:space="preserve">Administrative verification </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lastRenderedPageBreak/>
              <w:t>·</w:t>
            </w:r>
            <w:r w:rsidRPr="007C115F">
              <w:rPr>
                <w:rFonts w:ascii="Verdana" w:eastAsia="Times New Roman" w:hAnsi="Verdana"/>
                <w:sz w:val="16"/>
                <w:szCs w:val="16"/>
                <w:lang w:eastAsia="cs-CZ"/>
              </w:rPr>
              <w:t xml:space="preserve">  </w:t>
            </w:r>
            <w:r w:rsidRPr="007C115F">
              <w:rPr>
                <w:rFonts w:ascii="Verdana" w:eastAsia="Times New Roman" w:hAnsi="Verdana" w:cs="Calibri Light"/>
                <w:sz w:val="16"/>
                <w:szCs w:val="16"/>
                <w:lang w:val="en" w:eastAsia="cs-CZ"/>
              </w:rPr>
              <w:t xml:space="preserve">Generate lists, reports, statistics </w:t>
            </w:r>
          </w:p>
          <w:p w:rsidR="007C115F" w:rsidRPr="007C115F" w:rsidRDefault="007C115F" w:rsidP="007C115F">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w:t>
            </w:r>
            <w:r w:rsidRPr="007C115F">
              <w:rPr>
                <w:rFonts w:ascii="Verdana" w:eastAsia="Times New Roman" w:hAnsi="Verdana" w:cs="Calibri Light"/>
                <w:sz w:val="16"/>
                <w:szCs w:val="16"/>
                <w:lang w:val="en" w:eastAsia="cs-CZ"/>
              </w:rPr>
              <w:t>Calculation of mixed ratios</w:t>
            </w:r>
          </w:p>
          <w:p w:rsidR="007C115F" w:rsidRPr="007C115F" w:rsidRDefault="007C115F" w:rsidP="009756E0">
            <w:pPr>
              <w:spacing w:before="60" w:after="60" w:line="240" w:lineRule="auto"/>
              <w:ind w:left="259" w:hanging="18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r w:rsidRPr="007C115F">
              <w:rPr>
                <w:rFonts w:ascii="Verdana" w:eastAsia="Times New Roman" w:hAnsi="Verdana"/>
                <w:sz w:val="16"/>
                <w:szCs w:val="16"/>
                <w:lang w:eastAsia="cs-CZ"/>
              </w:rPr>
              <w:t xml:space="preserve">  </w:t>
            </w:r>
            <w:r w:rsidR="009F5680" w:rsidRPr="00F26586">
              <w:rPr>
                <w:rFonts w:ascii="Verdana" w:eastAsia="Times New Roman" w:hAnsi="Verdana" w:cs="Calibri Light"/>
                <w:sz w:val="16"/>
                <w:szCs w:val="16"/>
                <w:lang w:val="en" w:eastAsia="cs-CZ"/>
              </w:rPr>
              <w:t>Check Payment request (PR)</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lastRenderedPageBreak/>
              <w:t>·</w:t>
            </w:r>
            <w:proofErr w:type="gramStart"/>
            <w:r w:rsidRPr="007C115F">
              <w:rPr>
                <w:rFonts w:ascii="Verdana" w:hAnsi="Verdana"/>
                <w:sz w:val="16"/>
                <w:szCs w:val="16"/>
                <w:lang w:eastAsia="cs-CZ"/>
              </w:rPr>
              <w:t>  </w:t>
            </w:r>
            <w:r w:rsidRPr="007C115F">
              <w:rPr>
                <w:rFonts w:ascii="Verdana" w:hAnsi="Verdana"/>
                <w:sz w:val="16"/>
                <w:szCs w:val="16"/>
                <w:lang w:val="en" w:eastAsia="cs-CZ"/>
              </w:rPr>
              <w:t>Detailed</w:t>
            </w:r>
            <w:proofErr w:type="gramEnd"/>
            <w:r w:rsidRPr="007C115F">
              <w:rPr>
                <w:rFonts w:ascii="Verdana" w:hAnsi="Verdana"/>
                <w:sz w:val="16"/>
                <w:szCs w:val="16"/>
                <w:lang w:val="en" w:eastAsia="cs-CZ"/>
              </w:rPr>
              <w:t xml:space="preserve"> analysis of absentee functionalisms MS2014+ and ISKP14+ and creation of a list of requirements for the new monitoring system.</w:t>
            </w:r>
          </w:p>
          <w:p w:rsidR="007C115F" w:rsidRPr="007C115F" w:rsidRDefault="007C115F" w:rsidP="007C115F">
            <w:pPr>
              <w:spacing w:before="60" w:after="60"/>
              <w:ind w:left="44" w:right="134"/>
              <w:rPr>
                <w:rFonts w:ascii="Verdana" w:eastAsia="Times New Roman" w:hAnsi="Verdana" w:cs="Calibri Light"/>
                <w:sz w:val="16"/>
                <w:szCs w:val="16"/>
                <w:lang w:val="cs-CZ" w:eastAsia="cs-CZ"/>
              </w:rPr>
            </w:pPr>
            <w:r w:rsidRPr="007C115F">
              <w:rPr>
                <w:rFonts w:ascii="Verdana" w:eastAsia="Times New Roman" w:hAnsi="Verdana" w:cs="Calibri Light"/>
                <w:sz w:val="16"/>
                <w:szCs w:val="16"/>
                <w:u w:val="single"/>
                <w:lang w:val="en" w:eastAsia="cs-CZ"/>
              </w:rPr>
              <w:t>Development requirements for MS2014+ resulting from the following analysis:</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Cancel</w:t>
            </w:r>
            <w:proofErr w:type="gramEnd"/>
            <w:r w:rsidRPr="007C115F">
              <w:rPr>
                <w:rFonts w:ascii="Verdana" w:hAnsi="Verdana"/>
                <w:b/>
                <w:bCs/>
                <w:sz w:val="16"/>
                <w:szCs w:val="16"/>
                <w:lang w:val="en" w:eastAsia="cs-CZ"/>
              </w:rPr>
              <w:t xml:space="preserve"> the "Administrative Verification" tab.</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eastAsia="cs-CZ"/>
              </w:rPr>
              <w:t>Automatic</w:t>
            </w:r>
            <w:proofErr w:type="gramEnd"/>
            <w:r w:rsidRPr="007C115F">
              <w:rPr>
                <w:rFonts w:ascii="Verdana" w:hAnsi="Verdana"/>
                <w:b/>
                <w:bCs/>
                <w:sz w:val="16"/>
                <w:szCs w:val="16"/>
                <w:lang w:eastAsia="cs-CZ"/>
              </w:rPr>
              <w:t xml:space="preserve"> pre-filling and copying of</w:t>
            </w:r>
            <w:r w:rsidRPr="007C115F">
              <w:rPr>
                <w:rFonts w:ascii="Verdana" w:hAnsi="Verdana"/>
                <w:b/>
                <w:bCs/>
                <w:sz w:val="16"/>
                <w:szCs w:val="16"/>
                <w:lang w:val="en" w:eastAsia="cs-CZ"/>
              </w:rPr>
              <w:t xml:space="preserve"> </w:t>
            </w:r>
            <w:r w:rsidRPr="007C115F">
              <w:rPr>
                <w:rFonts w:ascii="Verdana" w:hAnsi="Verdana"/>
                <w:sz w:val="16"/>
                <w:szCs w:val="16"/>
                <w:lang w:val="en" w:eastAsia="cs-CZ"/>
              </w:rPr>
              <w:t>data in</w:t>
            </w:r>
            <w:r w:rsidRPr="007C115F">
              <w:rPr>
                <w:rFonts w:ascii="Verdana" w:hAnsi="Verdana"/>
                <w:sz w:val="16"/>
                <w:szCs w:val="16"/>
                <w:lang w:eastAsia="cs-CZ"/>
              </w:rPr>
              <w:t xml:space="preserve"> the MS system (e.g. NACE, NU</w:t>
            </w:r>
            <w:r w:rsidR="009F5680" w:rsidRPr="00F26586">
              <w:rPr>
                <w:rFonts w:ascii="Verdana" w:hAnsi="Verdana"/>
                <w:sz w:val="16"/>
                <w:szCs w:val="16"/>
                <w:lang w:eastAsia="cs-CZ"/>
              </w:rPr>
              <w:t>T, date of signature of the SD</w:t>
            </w:r>
            <w:r w:rsidRPr="007C115F">
              <w:rPr>
                <w:rFonts w:ascii="Verdana" w:hAnsi="Verdana"/>
                <w:sz w:val="16"/>
                <w:szCs w:val="16"/>
                <w:lang w:eastAsia="cs-CZ"/>
              </w:rPr>
              <w:t>, justification for the sanction).</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lastRenderedPageBreak/>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Automatic</w:t>
            </w:r>
            <w:proofErr w:type="gramEnd"/>
            <w:r w:rsidRPr="007C115F">
              <w:rPr>
                <w:rFonts w:ascii="Verdana" w:hAnsi="Verdana"/>
                <w:b/>
                <w:bCs/>
                <w:sz w:val="16"/>
                <w:szCs w:val="16"/>
                <w:lang w:val="en" w:eastAsia="cs-CZ"/>
              </w:rPr>
              <w:t xml:space="preserve"> gener</w:t>
            </w:r>
            <w:r w:rsidR="009F5680" w:rsidRPr="00F26586">
              <w:rPr>
                <w:rFonts w:ascii="Verdana" w:hAnsi="Verdana"/>
                <w:b/>
                <w:bCs/>
                <w:sz w:val="16"/>
                <w:szCs w:val="16"/>
                <w:lang w:val="en" w:eastAsia="cs-CZ"/>
              </w:rPr>
              <w:t>ation of pre-filled documents, C</w:t>
            </w:r>
            <w:r w:rsidRPr="007C115F">
              <w:rPr>
                <w:rFonts w:ascii="Verdana" w:hAnsi="Verdana"/>
                <w:b/>
                <w:bCs/>
                <w:sz w:val="16"/>
                <w:szCs w:val="16"/>
                <w:lang w:val="en" w:eastAsia="cs-CZ"/>
              </w:rPr>
              <w:t>L.</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eastAsia="cs-CZ"/>
              </w:rPr>
              <w:t>Streamline</w:t>
            </w:r>
            <w:proofErr w:type="gramEnd"/>
            <w:r w:rsidRPr="007C115F">
              <w:rPr>
                <w:rFonts w:ascii="Verdana" w:hAnsi="Verdana"/>
                <w:b/>
                <w:bCs/>
                <w:sz w:val="16"/>
                <w:szCs w:val="16"/>
                <w:lang w:eastAsia="cs-CZ"/>
              </w:rPr>
              <w:t xml:space="preserve"> state transition in</w:t>
            </w:r>
            <w:r w:rsidRPr="007C115F">
              <w:rPr>
                <w:rFonts w:ascii="Verdana" w:hAnsi="Verdana"/>
                <w:b/>
                <w:bCs/>
                <w:sz w:val="16"/>
                <w:szCs w:val="16"/>
                <w:lang w:val="en" w:eastAsia="cs-CZ"/>
              </w:rPr>
              <w:t xml:space="preserve"> </w:t>
            </w:r>
            <w:r w:rsidRPr="007C115F">
              <w:rPr>
                <w:rFonts w:ascii="Verdana" w:hAnsi="Verdana"/>
                <w:sz w:val="16"/>
                <w:szCs w:val="16"/>
                <w:lang w:eastAsia="cs-CZ"/>
              </w:rPr>
              <w:t>MS2014+</w:t>
            </w:r>
            <w:r w:rsidRPr="007C115F">
              <w:rPr>
                <w:rFonts w:ascii="Verdana" w:hAnsi="Verdana"/>
                <w:sz w:val="16"/>
                <w:szCs w:val="16"/>
                <w:lang w:val="en" w:eastAsia="cs-CZ"/>
              </w:rPr>
              <w:t xml:space="preserve"> linked to a specific operation, such as linking payment detail generation to state transition.</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sz w:val="16"/>
                <w:szCs w:val="16"/>
                <w:lang w:val="en" w:eastAsia="cs-CZ"/>
              </w:rPr>
              <w:t>Streamlining</w:t>
            </w:r>
            <w:proofErr w:type="gramEnd"/>
            <w:r w:rsidRPr="007C115F">
              <w:rPr>
                <w:rFonts w:ascii="Verdana" w:hAnsi="Verdana"/>
                <w:sz w:val="16"/>
                <w:szCs w:val="16"/>
                <w:lang w:val="en" w:eastAsia="cs-CZ"/>
              </w:rPr>
              <w:t xml:space="preserve"> the selection of addressees (instead of clicking individual addressees give the option to "everyone") and automating the sender at dispatches. </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sz w:val="16"/>
                <w:szCs w:val="16"/>
                <w:lang w:val="en" w:eastAsia="cs-CZ"/>
              </w:rPr>
              <w:t>Create</w:t>
            </w:r>
            <w:proofErr w:type="gramEnd"/>
            <w:r w:rsidRPr="007C115F">
              <w:rPr>
                <w:rFonts w:ascii="Verdana" w:hAnsi="Verdana"/>
                <w:sz w:val="16"/>
                <w:szCs w:val="16"/>
                <w:lang w:val="en" w:eastAsia="cs-CZ"/>
              </w:rPr>
              <w:t xml:space="preserve"> statistics more efficiently and export reports from MS2014+.</w:t>
            </w:r>
          </w:p>
          <w:p w:rsidR="007C115F" w:rsidRPr="007C115F" w:rsidRDefault="007C115F" w:rsidP="007C115F">
            <w:pPr>
              <w:spacing w:before="60" w:after="60"/>
              <w:ind w:right="134"/>
              <w:rPr>
                <w:rFonts w:ascii="Verdana" w:eastAsia="Times New Roman" w:hAnsi="Verdana" w:cs="Calibri Light"/>
                <w:sz w:val="16"/>
                <w:szCs w:val="16"/>
                <w:lang w:val="cs-CZ" w:eastAsia="cs-CZ"/>
              </w:rPr>
            </w:pPr>
            <w:r w:rsidRPr="007C115F">
              <w:rPr>
                <w:rFonts w:ascii="Verdana" w:eastAsia="Times New Roman" w:hAnsi="Verdana" w:cs="Calibri Light"/>
                <w:sz w:val="16"/>
                <w:szCs w:val="16"/>
                <w:u w:val="single"/>
                <w:lang w:val="en" w:eastAsia="cs-CZ"/>
              </w:rPr>
              <w:t>Development outside MS2014+:</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009756E0" w:rsidRPr="00F26586">
              <w:rPr>
                <w:rFonts w:ascii="Verdana" w:hAnsi="Verdana"/>
                <w:sz w:val="16"/>
                <w:szCs w:val="16"/>
                <w:lang w:eastAsia="cs-CZ"/>
              </w:rPr>
              <w:t>  </w:t>
            </w:r>
            <w:r w:rsidRPr="007C115F">
              <w:rPr>
                <w:rFonts w:ascii="Verdana" w:hAnsi="Verdana"/>
                <w:b/>
                <w:bCs/>
                <w:sz w:val="16"/>
                <w:szCs w:val="16"/>
                <w:lang w:val="en" w:eastAsia="cs-CZ"/>
              </w:rPr>
              <w:t>Application</w:t>
            </w:r>
            <w:proofErr w:type="gramEnd"/>
            <w:r w:rsidRPr="007C115F">
              <w:rPr>
                <w:rFonts w:ascii="Verdana" w:hAnsi="Verdana"/>
                <w:b/>
                <w:bCs/>
                <w:sz w:val="16"/>
                <w:szCs w:val="16"/>
                <w:lang w:val="en" w:eastAsia="cs-CZ"/>
              </w:rPr>
              <w:t xml:space="preserve"> of robotic process automation (RPA) to selected processes.</w:t>
            </w:r>
          </w:p>
          <w:p w:rsidR="007C115F" w:rsidRPr="007C115F" w:rsidRDefault="007C115F" w:rsidP="009756E0">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val="en" w:eastAsia="cs-CZ"/>
              </w:rPr>
              <w:t>RPA</w:t>
            </w:r>
            <w:proofErr w:type="gramEnd"/>
            <w:r w:rsidRPr="007C115F">
              <w:rPr>
                <w:rFonts w:ascii="Verdana" w:hAnsi="Verdana"/>
                <w:b/>
                <w:bCs/>
                <w:sz w:val="16"/>
                <w:szCs w:val="16"/>
                <w:lang w:val="en" w:eastAsia="cs-CZ"/>
              </w:rPr>
              <w:t xml:space="preserve"> for data validation in central registers</w:t>
            </w:r>
            <w:r w:rsidRPr="007C115F">
              <w:rPr>
                <w:rFonts w:ascii="Verdana" w:hAnsi="Verdana"/>
                <w:sz w:val="16"/>
                <w:szCs w:val="16"/>
                <w:lang w:eastAsia="cs-CZ"/>
              </w:rPr>
              <w:t>.</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lastRenderedPageBreak/>
              <w:t>Short-term horizon for RPA</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Next programming period for setting up a new MS</w:t>
            </w:r>
          </w:p>
        </w:tc>
      </w:tr>
      <w:tr w:rsidR="007C115F" w:rsidRPr="007C115F" w:rsidTr="007C115F">
        <w:tc>
          <w:tcPr>
            <w:tcW w:w="200" w:type="pct"/>
            <w:tcBorders>
              <w:top w:val="nil"/>
              <w:left w:val="single" w:sz="8" w:space="0" w:color="D0EC9F"/>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tc>
        <w:tc>
          <w:tcPr>
            <w:tcW w:w="4800" w:type="pct"/>
            <w:gridSpan w:val="3"/>
            <w:tcBorders>
              <w:top w:val="nil"/>
              <w:left w:val="nil"/>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Methodological environment</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2</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55643">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 xml:space="preserve">The changing interpretation of the rules by the </w:t>
            </w:r>
            <w:r w:rsidR="00755643" w:rsidRPr="00F26586">
              <w:rPr>
                <w:rFonts w:ascii="Verdana" w:eastAsia="Times New Roman" w:hAnsi="Verdana" w:cs="Calibri Light"/>
                <w:b/>
                <w:bCs/>
                <w:sz w:val="16"/>
                <w:szCs w:val="16"/>
                <w:lang w:val="en" w:eastAsia="cs-CZ"/>
              </w:rPr>
              <w:t>intermediate body (IB)</w:t>
            </w:r>
            <w:r w:rsidRPr="007C115F">
              <w:rPr>
                <w:rFonts w:ascii="Verdana" w:eastAsia="Times New Roman" w:hAnsi="Verdana" w:cs="Calibri Light"/>
                <w:b/>
                <w:bCs/>
                <w:sz w:val="16"/>
                <w:szCs w:val="16"/>
                <w:lang w:val="en" w:eastAsia="cs-CZ"/>
              </w:rPr>
              <w:t>/</w:t>
            </w:r>
            <w:r w:rsidR="00755643" w:rsidRPr="00F26586">
              <w:rPr>
                <w:rFonts w:ascii="Verdana" w:eastAsia="Times New Roman" w:hAnsi="Verdana" w:cs="Calibri Light"/>
                <w:b/>
                <w:bCs/>
                <w:sz w:val="16"/>
                <w:szCs w:val="16"/>
                <w:lang w:val="en" w:eastAsia="cs-CZ"/>
              </w:rPr>
              <w:t xml:space="preserve"> managing authority (MA)</w:t>
            </w:r>
            <w:r w:rsidRPr="007C115F">
              <w:rPr>
                <w:rFonts w:ascii="Verdana" w:eastAsia="Times New Roman" w:hAnsi="Verdana" w:cs="Calibri Light"/>
                <w:b/>
                <w:bCs/>
                <w:sz w:val="16"/>
                <w:szCs w:val="16"/>
                <w:lang w:val="en" w:eastAsia="cs-CZ"/>
              </w:rPr>
              <w:t xml:space="preserve"> during the implementation of the supported project, or the absence of binding statements and unified rules. </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9756E0">
            <w:pPr>
              <w:spacing w:before="60" w:after="60" w:line="240" w:lineRule="auto"/>
              <w:ind w:left="22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val="en" w:eastAsia="cs-CZ"/>
              </w:rPr>
              <w:t>Introduce</w:t>
            </w:r>
            <w:proofErr w:type="gramEnd"/>
            <w:r w:rsidRPr="007C115F">
              <w:rPr>
                <w:rFonts w:ascii="Verdana" w:hAnsi="Verdana"/>
                <w:b/>
                <w:bCs/>
                <w:sz w:val="16"/>
                <w:szCs w:val="16"/>
                <w:lang w:val="en" w:eastAsia="cs-CZ"/>
              </w:rPr>
              <w:t xml:space="preserve"> a binding nature of the decision, the opinions of the </w:t>
            </w:r>
            <w:r w:rsidR="00755643" w:rsidRPr="00F26586">
              <w:rPr>
                <w:rFonts w:ascii="Verdana" w:hAnsi="Verdana"/>
                <w:b/>
                <w:bCs/>
                <w:sz w:val="16"/>
                <w:szCs w:val="16"/>
                <w:lang w:val="en" w:eastAsia="cs-CZ"/>
              </w:rPr>
              <w:t>IB/M</w:t>
            </w:r>
            <w:r w:rsidRPr="007C115F">
              <w:rPr>
                <w:rFonts w:ascii="Verdana" w:hAnsi="Verdana"/>
                <w:b/>
                <w:bCs/>
                <w:sz w:val="16"/>
                <w:szCs w:val="16"/>
                <w:lang w:val="en" w:eastAsia="cs-CZ"/>
              </w:rPr>
              <w:t xml:space="preserve">A (e.g. the </w:t>
            </w:r>
            <w:r w:rsidR="00294EDF" w:rsidRPr="00F26586">
              <w:rPr>
                <w:rFonts w:ascii="Verdana" w:hAnsi="Verdana"/>
                <w:b/>
                <w:bCs/>
                <w:sz w:val="16"/>
                <w:szCs w:val="16"/>
                <w:lang w:val="en" w:eastAsia="cs-CZ"/>
              </w:rPr>
              <w:t>tender</w:t>
            </w:r>
            <w:r w:rsidRPr="007C115F">
              <w:rPr>
                <w:rFonts w:ascii="Verdana" w:hAnsi="Verdana"/>
                <w:b/>
                <w:bCs/>
                <w:sz w:val="16"/>
                <w:szCs w:val="16"/>
                <w:lang w:val="en" w:eastAsia="cs-CZ"/>
              </w:rPr>
              <w:t xml:space="preserve">, the business plan), which cannot be amended retroactively. </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3</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Complexity of methodological environment</w:t>
            </w:r>
            <w:r w:rsidRPr="007C115F">
              <w:rPr>
                <w:rFonts w:ascii="Verdana" w:eastAsia="Times New Roman" w:hAnsi="Verdana" w:cs="Calibri Light"/>
                <w:sz w:val="16"/>
                <w:szCs w:val="16"/>
                <w:lang w:eastAsia="cs-CZ"/>
              </w:rPr>
              <w:t xml:space="preserve"> </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294ED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009756E0" w:rsidRPr="00F26586">
              <w:rPr>
                <w:rFonts w:ascii="Verdana" w:hAnsi="Verdana"/>
                <w:sz w:val="16"/>
                <w:szCs w:val="16"/>
                <w:lang w:eastAsia="cs-CZ"/>
              </w:rPr>
              <w:t>  </w:t>
            </w:r>
            <w:r w:rsidRPr="007C115F">
              <w:rPr>
                <w:rFonts w:ascii="Verdana" w:hAnsi="Verdana"/>
                <w:b/>
                <w:bCs/>
                <w:sz w:val="16"/>
                <w:szCs w:val="16"/>
                <w:lang w:eastAsia="cs-CZ"/>
              </w:rPr>
              <w:t>Introduction</w:t>
            </w:r>
            <w:proofErr w:type="gramEnd"/>
            <w:r w:rsidRPr="007C115F">
              <w:rPr>
                <w:rFonts w:ascii="Verdana" w:hAnsi="Verdana"/>
                <w:b/>
                <w:bCs/>
                <w:sz w:val="16"/>
                <w:szCs w:val="16"/>
                <w:lang w:eastAsia="cs-CZ"/>
              </w:rPr>
              <w:t xml:space="preserve"> of evidence of </w:t>
            </w:r>
            <w:r w:rsidR="00294EDF" w:rsidRPr="00F26586">
              <w:rPr>
                <w:rFonts w:ascii="Verdana" w:hAnsi="Verdana"/>
                <w:b/>
                <w:bCs/>
                <w:sz w:val="16"/>
                <w:szCs w:val="16"/>
                <w:lang w:eastAsia="cs-CZ"/>
              </w:rPr>
              <w:t>changes</w:t>
            </w:r>
            <w:r w:rsidRPr="007C115F">
              <w:rPr>
                <w:rFonts w:ascii="Verdana" w:hAnsi="Verdana"/>
                <w:b/>
                <w:bCs/>
                <w:sz w:val="16"/>
                <w:szCs w:val="16"/>
                <w:lang w:eastAsia="cs-CZ"/>
              </w:rPr>
              <w:t xml:space="preserve"> </w:t>
            </w:r>
            <w:r w:rsidRPr="007C115F">
              <w:rPr>
                <w:rFonts w:ascii="Verdana" w:hAnsi="Verdana"/>
                <w:sz w:val="16"/>
                <w:szCs w:val="16"/>
                <w:lang w:eastAsia="cs-CZ"/>
              </w:rPr>
              <w:t xml:space="preserve">to monitor and </w:t>
            </w:r>
            <w:r w:rsidR="00294EDF" w:rsidRPr="00F26586">
              <w:rPr>
                <w:rFonts w:ascii="Verdana" w:hAnsi="Verdana"/>
                <w:sz w:val="16"/>
                <w:szCs w:val="16"/>
                <w:lang w:eastAsia="cs-CZ"/>
              </w:rPr>
              <w:t>prioritize</w:t>
            </w:r>
            <w:r w:rsidRPr="007C115F">
              <w:rPr>
                <w:rFonts w:ascii="Verdana" w:hAnsi="Verdana"/>
                <w:sz w:val="16"/>
                <w:szCs w:val="16"/>
                <w:lang w:eastAsia="cs-CZ"/>
              </w:rPr>
              <w:t xml:space="preserve"> methodological changes.</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tc>
      </w:tr>
      <w:tr w:rsidR="007C115F" w:rsidRPr="007C115F" w:rsidTr="007C115F">
        <w:trPr>
          <w:trHeight w:val="312"/>
        </w:trPr>
        <w:tc>
          <w:tcPr>
            <w:tcW w:w="200" w:type="pct"/>
            <w:tcBorders>
              <w:top w:val="nil"/>
              <w:left w:val="single" w:sz="8" w:space="0" w:color="D0EC9F"/>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tc>
        <w:tc>
          <w:tcPr>
            <w:tcW w:w="4800" w:type="pct"/>
            <w:gridSpan w:val="3"/>
            <w:tcBorders>
              <w:top w:val="nil"/>
              <w:left w:val="nil"/>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Implementation</w:t>
            </w:r>
          </w:p>
        </w:tc>
      </w:tr>
      <w:tr w:rsidR="007C115F" w:rsidRPr="007C115F" w:rsidTr="007C115F">
        <w:trPr>
          <w:trHeight w:val="1580"/>
        </w:trPr>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4</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5E6A48">
            <w:pPr>
              <w:spacing w:before="60" w:after="60"/>
              <w:rPr>
                <w:rFonts w:ascii="Verdana" w:eastAsia="Times New Roman" w:hAnsi="Verdana" w:cs="Calibri Light"/>
                <w:sz w:val="16"/>
                <w:szCs w:val="16"/>
                <w:lang w:val="en" w:eastAsia="cs-CZ"/>
              </w:rPr>
            </w:pPr>
            <w:r w:rsidRPr="007C115F">
              <w:rPr>
                <w:rFonts w:ascii="Verdana" w:eastAsia="Times New Roman" w:hAnsi="Verdana" w:cs="Calibri Light"/>
                <w:b/>
                <w:bCs/>
                <w:sz w:val="16"/>
                <w:szCs w:val="16"/>
                <w:lang w:eastAsia="cs-CZ"/>
              </w:rPr>
              <w:t>The length</w:t>
            </w:r>
            <w:r w:rsidRPr="007C115F">
              <w:rPr>
                <w:rFonts w:ascii="Verdana" w:eastAsia="Times New Roman" w:hAnsi="Verdana" w:cs="Calibri Light"/>
                <w:b/>
                <w:bCs/>
                <w:sz w:val="16"/>
                <w:szCs w:val="16"/>
                <w:lang w:val="en" w:eastAsia="cs-CZ"/>
              </w:rPr>
              <w:t xml:space="preserve"> </w:t>
            </w:r>
            <w:r w:rsidRPr="007C115F">
              <w:rPr>
                <w:rFonts w:ascii="Verdana" w:eastAsia="Times New Roman" w:hAnsi="Verdana" w:cs="Calibri Light"/>
                <w:sz w:val="16"/>
                <w:szCs w:val="16"/>
                <w:lang w:eastAsia="cs-CZ"/>
              </w:rPr>
              <w:t>of project</w:t>
            </w:r>
            <w:r w:rsidR="005E6A48" w:rsidRPr="00F26586">
              <w:rPr>
                <w:rFonts w:ascii="Verdana" w:eastAsia="Times New Roman" w:hAnsi="Verdana" w:cs="Calibri Light"/>
                <w:sz w:val="16"/>
                <w:szCs w:val="16"/>
                <w:lang w:eastAsia="cs-CZ"/>
              </w:rPr>
              <w:t xml:space="preserve"> proposals</w:t>
            </w:r>
            <w:r w:rsidRPr="007C115F">
              <w:rPr>
                <w:rFonts w:ascii="Verdana" w:eastAsia="Times New Roman" w:hAnsi="Verdana" w:cs="Calibri Light"/>
                <w:sz w:val="16"/>
                <w:szCs w:val="16"/>
                <w:lang w:eastAsia="cs-CZ"/>
              </w:rPr>
              <w:t xml:space="preserve"> </w:t>
            </w:r>
            <w:r w:rsidR="005E6A48" w:rsidRPr="00F26586">
              <w:rPr>
                <w:rFonts w:ascii="Verdana" w:eastAsia="Times New Roman" w:hAnsi="Verdana" w:cs="Calibri Light"/>
                <w:sz w:val="16"/>
                <w:szCs w:val="16"/>
                <w:lang w:eastAsia="cs-CZ"/>
              </w:rPr>
              <w:t>assessment</w:t>
            </w:r>
            <w:r w:rsidRPr="007C115F">
              <w:rPr>
                <w:rFonts w:ascii="Verdana" w:eastAsia="Times New Roman" w:hAnsi="Verdana" w:cs="Calibri Light"/>
                <w:sz w:val="16"/>
                <w:szCs w:val="16"/>
                <w:lang w:eastAsia="cs-CZ"/>
              </w:rPr>
              <w:t xml:space="preserve"> and approval leads to frequent changes in support applications as well as supported projects and subsequent administrative burdens.</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Cs/>
                <w:sz w:val="16"/>
                <w:szCs w:val="16"/>
                <w:lang w:val="en" w:eastAsia="cs-CZ"/>
              </w:rPr>
              <w:t>Implementation</w:t>
            </w:r>
            <w:proofErr w:type="gramEnd"/>
            <w:r w:rsidRPr="007C115F">
              <w:rPr>
                <w:rFonts w:ascii="Verdana" w:hAnsi="Verdana"/>
                <w:bCs/>
                <w:sz w:val="16"/>
                <w:szCs w:val="16"/>
                <w:lang w:val="en" w:eastAsia="cs-CZ"/>
              </w:rPr>
              <w:t xml:space="preserve"> of a full</w:t>
            </w:r>
            <w:r w:rsidR="005E6A48" w:rsidRPr="00F26586">
              <w:rPr>
                <w:rFonts w:ascii="Verdana" w:hAnsi="Verdana"/>
                <w:bCs/>
                <w:sz w:val="16"/>
                <w:szCs w:val="16"/>
                <w:lang w:val="en" w:eastAsia="cs-CZ"/>
              </w:rPr>
              <w:t xml:space="preserve"> retrospective</w:t>
            </w:r>
            <w:r w:rsidRPr="007C115F">
              <w:rPr>
                <w:rFonts w:ascii="Verdana" w:hAnsi="Verdana"/>
                <w:bCs/>
                <w:sz w:val="16"/>
                <w:szCs w:val="16"/>
                <w:lang w:val="en" w:eastAsia="cs-CZ"/>
              </w:rPr>
              <w:t xml:space="preserve"> system of reimbursement of projects</w:t>
            </w:r>
            <w:r w:rsidR="005E6A48" w:rsidRPr="00F26586">
              <w:rPr>
                <w:rFonts w:ascii="Verdana" w:hAnsi="Verdana"/>
                <w:bCs/>
                <w:sz w:val="16"/>
                <w:szCs w:val="16"/>
                <w:lang w:val="en" w:eastAsia="cs-CZ"/>
              </w:rPr>
              <w:t xml:space="preserve"> based on verification of purpose and costs not a project proposal</w:t>
            </w:r>
            <w:r w:rsidRPr="007C115F">
              <w:rPr>
                <w:rFonts w:ascii="Verdana" w:hAnsi="Verdana"/>
                <w:bCs/>
                <w:sz w:val="16"/>
                <w:szCs w:val="16"/>
                <w:lang w:val="en" w:eastAsia="cs-CZ"/>
              </w:rPr>
              <w:t>.</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  </w:t>
            </w:r>
            <w:r w:rsidRPr="007C115F">
              <w:rPr>
                <w:rFonts w:ascii="Verdana" w:hAnsi="Verdana"/>
                <w:b/>
                <w:bCs/>
                <w:sz w:val="16"/>
                <w:szCs w:val="16"/>
                <w:lang w:val="en" w:eastAsia="cs-CZ"/>
              </w:rPr>
              <w:t>Use of RPA in formal evaluation</w:t>
            </w:r>
            <w:r w:rsidRPr="007C115F">
              <w:rPr>
                <w:rFonts w:ascii="Verdana" w:hAnsi="Verdana"/>
                <w:sz w:val="16"/>
                <w:szCs w:val="16"/>
                <w:lang w:eastAsia="cs-CZ"/>
              </w:rPr>
              <w:t xml:space="preserve"> </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Allowing</w:t>
            </w:r>
            <w:proofErr w:type="gramEnd"/>
            <w:r w:rsidRPr="007C115F">
              <w:rPr>
                <w:rFonts w:ascii="Verdana" w:hAnsi="Verdana"/>
                <w:b/>
                <w:bCs/>
                <w:sz w:val="16"/>
                <w:szCs w:val="16"/>
                <w:lang w:val="en" w:eastAsia="cs-CZ"/>
              </w:rPr>
              <w:t xml:space="preserve"> </w:t>
            </w:r>
            <w:r w:rsidR="00404762" w:rsidRPr="00F26586">
              <w:rPr>
                <w:rFonts w:ascii="Verdana" w:hAnsi="Verdana"/>
                <w:b/>
                <w:bCs/>
                <w:sz w:val="16"/>
                <w:szCs w:val="16"/>
                <w:lang w:val="en" w:eastAsia="cs-CZ"/>
              </w:rPr>
              <w:t>project managers at the IB to fix the intentional redundant</w:t>
            </w:r>
            <w:r w:rsidRPr="007C115F">
              <w:rPr>
                <w:rFonts w:ascii="Verdana" w:hAnsi="Verdana"/>
                <w:b/>
                <w:bCs/>
                <w:sz w:val="16"/>
                <w:szCs w:val="16"/>
                <w:lang w:val="en" w:eastAsia="cs-CZ"/>
              </w:rPr>
              <w:t xml:space="preserve"> errors</w:t>
            </w:r>
            <w:r w:rsidR="00404762" w:rsidRPr="00F26586">
              <w:rPr>
                <w:rFonts w:ascii="Verdana" w:hAnsi="Verdana"/>
                <w:b/>
                <w:bCs/>
                <w:sz w:val="16"/>
                <w:szCs w:val="16"/>
                <w:lang w:val="en" w:eastAsia="cs-CZ"/>
              </w:rPr>
              <w:t xml:space="preserve"> in project proposals</w:t>
            </w:r>
            <w:r w:rsidRPr="007C115F">
              <w:rPr>
                <w:rFonts w:ascii="Verdana" w:hAnsi="Verdana"/>
                <w:b/>
                <w:bCs/>
                <w:sz w:val="16"/>
                <w:szCs w:val="16"/>
                <w:lang w:val="en" w:eastAsia="cs-CZ"/>
              </w:rPr>
              <w:t>.</w:t>
            </w:r>
            <w:r w:rsidRPr="007C115F">
              <w:rPr>
                <w:rFonts w:ascii="Verdana" w:hAnsi="Verdana"/>
                <w:sz w:val="16"/>
                <w:szCs w:val="16"/>
                <w:lang w:eastAsia="cs-CZ"/>
              </w:rPr>
              <w:t xml:space="preserve"> </w:t>
            </w:r>
          </w:p>
          <w:p w:rsidR="007C115F" w:rsidRPr="007C115F" w:rsidRDefault="007C115F" w:rsidP="009756E0">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More</w:t>
            </w:r>
            <w:proofErr w:type="gramEnd"/>
            <w:r w:rsidRPr="007C115F">
              <w:rPr>
                <w:rFonts w:ascii="Verdana" w:hAnsi="Verdana"/>
                <w:b/>
                <w:bCs/>
                <w:sz w:val="16"/>
                <w:szCs w:val="16"/>
                <w:lang w:val="en" w:eastAsia="cs-CZ"/>
              </w:rPr>
              <w:t xml:space="preserve"> frequent introduction of simplified </w:t>
            </w:r>
            <w:r w:rsidR="00404762" w:rsidRPr="00F26586">
              <w:rPr>
                <w:rFonts w:ascii="Verdana" w:hAnsi="Verdana"/>
                <w:b/>
                <w:bCs/>
                <w:sz w:val="16"/>
                <w:szCs w:val="16"/>
                <w:lang w:val="en" w:eastAsia="cs-CZ"/>
              </w:rPr>
              <w:t>assessment</w:t>
            </w:r>
            <w:r w:rsidRPr="007C115F">
              <w:rPr>
                <w:rFonts w:ascii="Verdana" w:hAnsi="Verdana"/>
                <w:b/>
                <w:bCs/>
                <w:sz w:val="16"/>
                <w:szCs w:val="16"/>
                <w:lang w:val="en" w:eastAsia="cs-CZ"/>
              </w:rPr>
              <w:t>.</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Next programming period</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5</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294ED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 xml:space="preserve">Cost benefit analysis </w:t>
            </w:r>
            <w:r w:rsidR="00BB4C36" w:rsidRPr="00F26586">
              <w:rPr>
                <w:rFonts w:ascii="Verdana" w:eastAsia="Times New Roman" w:hAnsi="Verdana" w:cs="Calibri Light"/>
                <w:b/>
                <w:bCs/>
                <w:sz w:val="16"/>
                <w:szCs w:val="16"/>
                <w:lang w:val="en" w:eastAsia="cs-CZ"/>
              </w:rPr>
              <w:t xml:space="preserve">(CBA) </w:t>
            </w:r>
            <w:r w:rsidRPr="007C115F">
              <w:rPr>
                <w:rFonts w:ascii="Verdana" w:eastAsia="Times New Roman" w:hAnsi="Verdana" w:cs="Calibri Light"/>
                <w:b/>
                <w:bCs/>
                <w:sz w:val="16"/>
                <w:szCs w:val="16"/>
                <w:lang w:val="en" w:eastAsia="cs-CZ"/>
              </w:rPr>
              <w:t xml:space="preserve">is a redundant process with minimal added value for further </w:t>
            </w:r>
            <w:r w:rsidR="00294EDF" w:rsidRPr="00F26586">
              <w:rPr>
                <w:rFonts w:ascii="Verdana" w:eastAsia="Times New Roman" w:hAnsi="Verdana" w:cs="Calibri Light"/>
                <w:b/>
                <w:bCs/>
                <w:sz w:val="16"/>
                <w:szCs w:val="16"/>
                <w:lang w:val="en" w:eastAsia="cs-CZ"/>
              </w:rPr>
              <w:t>proposal assessment</w:t>
            </w:r>
            <w:r w:rsidRPr="007C115F">
              <w:rPr>
                <w:rFonts w:ascii="Verdana" w:eastAsia="Times New Roman" w:hAnsi="Verdana" w:cs="Calibri Light"/>
                <w:b/>
                <w:bCs/>
                <w:sz w:val="16"/>
                <w:szCs w:val="16"/>
                <w:lang w:val="en" w:eastAsia="cs-CZ"/>
              </w:rPr>
              <w:t xml:space="preserve"> and support of projects</w:t>
            </w:r>
            <w:r w:rsidRPr="007C115F">
              <w:rPr>
                <w:rFonts w:ascii="Verdana" w:eastAsia="Times New Roman" w:hAnsi="Verdana" w:cs="Calibri Light"/>
                <w:sz w:val="16"/>
                <w:szCs w:val="16"/>
                <w:lang w:eastAsia="cs-CZ"/>
              </w:rPr>
              <w:t xml:space="preserve">. </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9756E0">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Abolition</w:t>
            </w:r>
            <w:proofErr w:type="gramEnd"/>
            <w:r w:rsidRPr="007C115F">
              <w:rPr>
                <w:rFonts w:ascii="Verdana" w:hAnsi="Verdana"/>
                <w:b/>
                <w:bCs/>
                <w:sz w:val="16"/>
                <w:szCs w:val="16"/>
                <w:lang w:val="en" w:eastAsia="cs-CZ"/>
              </w:rPr>
              <w:t xml:space="preserve"> of CBA for projects with CZV up to EUR 1 million.</w:t>
            </w:r>
            <w:r w:rsidRPr="00F26586">
              <w:rPr>
                <w:rStyle w:val="FootnoteReference"/>
                <w:rFonts w:ascii="Verdana" w:hAnsi="Verdana"/>
                <w:b/>
                <w:bCs/>
                <w:sz w:val="16"/>
                <w:szCs w:val="16"/>
                <w:lang w:val="en" w:eastAsia="cs-CZ"/>
              </w:rPr>
              <w:footnoteReference w:id="1"/>
            </w:r>
            <w:r w:rsidRPr="00F26586">
              <w:rPr>
                <w:rFonts w:ascii="Verdana" w:hAnsi="Verdana"/>
                <w:sz w:val="16"/>
                <w:szCs w:val="16"/>
                <w:lang w:val="cs-CZ" w:eastAsia="cs-CZ"/>
              </w:rPr>
              <w:t xml:space="preserve"> </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6</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Inefficiently set rules for tenders.</w:t>
            </w:r>
            <w:r w:rsidRPr="007C115F">
              <w:rPr>
                <w:rFonts w:ascii="Verdana" w:eastAsia="Times New Roman" w:hAnsi="Verdana" w:cs="Calibri Light"/>
                <w:sz w:val="16"/>
                <w:szCs w:val="16"/>
                <w:lang w:eastAsia="cs-CZ"/>
              </w:rPr>
              <w:t xml:space="preserve"> </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eastAsia="cs-CZ"/>
              </w:rPr>
              <w:t>Increase</w:t>
            </w:r>
            <w:proofErr w:type="gramEnd"/>
            <w:r w:rsidRPr="007C115F">
              <w:rPr>
                <w:rFonts w:ascii="Verdana" w:hAnsi="Verdana"/>
                <w:b/>
                <w:bCs/>
                <w:sz w:val="16"/>
                <w:szCs w:val="16"/>
                <w:lang w:eastAsia="cs-CZ"/>
              </w:rPr>
              <w:t xml:space="preserve"> of the financial limits </w:t>
            </w:r>
            <w:r w:rsidRPr="007C115F">
              <w:rPr>
                <w:rFonts w:ascii="Verdana" w:hAnsi="Verdana"/>
                <w:sz w:val="16"/>
                <w:szCs w:val="16"/>
                <w:lang w:val="en" w:eastAsia="cs-CZ"/>
              </w:rPr>
              <w:t xml:space="preserve">for the obligation to proceed with the selection of a supplier </w:t>
            </w:r>
            <w:r w:rsidR="00BB4C36" w:rsidRPr="00F26586">
              <w:rPr>
                <w:rFonts w:ascii="Verdana" w:hAnsi="Verdana"/>
                <w:sz w:val="16"/>
                <w:szCs w:val="16"/>
                <w:lang w:val="en" w:eastAsia="cs-CZ"/>
              </w:rPr>
              <w:t>following</w:t>
            </w:r>
            <w:r w:rsidRPr="007C115F">
              <w:rPr>
                <w:rFonts w:ascii="Verdana" w:hAnsi="Verdana"/>
                <w:sz w:val="16"/>
                <w:szCs w:val="16"/>
                <w:lang w:val="en" w:eastAsia="cs-CZ"/>
              </w:rPr>
              <w:t xml:space="preserve"> </w:t>
            </w:r>
            <w:r w:rsidR="00BB4C36" w:rsidRPr="00F26586">
              <w:rPr>
                <w:rFonts w:ascii="Verdana" w:hAnsi="Verdana"/>
                <w:sz w:val="16"/>
                <w:szCs w:val="16"/>
                <w:lang w:val="en" w:eastAsia="cs-CZ"/>
              </w:rPr>
              <w:t xml:space="preserve">the official </w:t>
            </w:r>
            <w:r w:rsidR="00BB4C36" w:rsidRPr="00F26586">
              <w:rPr>
                <w:rFonts w:ascii="Verdana" w:hAnsi="Verdana"/>
                <w:i/>
                <w:sz w:val="16"/>
                <w:szCs w:val="16"/>
                <w:lang w:val="en" w:eastAsia="cs-CZ"/>
              </w:rPr>
              <w:t>Rules for supplier selection</w:t>
            </w:r>
            <w:r w:rsidR="00BB4C36" w:rsidRPr="00F26586">
              <w:rPr>
                <w:rFonts w:ascii="Verdana" w:hAnsi="Verdana"/>
                <w:sz w:val="16"/>
                <w:szCs w:val="16"/>
                <w:lang w:val="en" w:eastAsia="cs-CZ"/>
              </w:rPr>
              <w:t xml:space="preserve"> </w:t>
            </w:r>
            <w:r w:rsidRPr="007C115F">
              <w:rPr>
                <w:rFonts w:ascii="Verdana" w:hAnsi="Verdana"/>
                <w:sz w:val="16"/>
                <w:szCs w:val="16"/>
                <w:lang w:eastAsia="cs-CZ"/>
              </w:rPr>
              <w:t>to CZK 5</w:t>
            </w:r>
            <w:r w:rsidRPr="007C115F">
              <w:rPr>
                <w:rFonts w:ascii="Verdana" w:hAnsi="Verdana"/>
                <w:sz w:val="16"/>
                <w:szCs w:val="16"/>
                <w:lang w:val="en" w:eastAsia="cs-CZ"/>
              </w:rPr>
              <w:t xml:space="preserve"> million and in the case of the </w:t>
            </w:r>
            <w:r w:rsidR="00BB4C36" w:rsidRPr="00F26586">
              <w:rPr>
                <w:rFonts w:ascii="Verdana" w:hAnsi="Verdana"/>
                <w:sz w:val="16"/>
                <w:szCs w:val="16"/>
                <w:lang w:val="en" w:eastAsia="cs-CZ"/>
              </w:rPr>
              <w:t xml:space="preserve">tenders according to the </w:t>
            </w:r>
            <w:r w:rsidR="00DC1B07" w:rsidRPr="00F26586">
              <w:rPr>
                <w:rFonts w:ascii="Verdana" w:hAnsi="Verdana"/>
                <w:i/>
                <w:sz w:val="16"/>
                <w:szCs w:val="16"/>
                <w:lang w:val="en" w:eastAsia="cs-CZ"/>
              </w:rPr>
              <w:t>L</w:t>
            </w:r>
            <w:r w:rsidR="00BB4C36" w:rsidRPr="00F26586">
              <w:rPr>
                <w:rFonts w:ascii="Verdana" w:hAnsi="Verdana"/>
                <w:i/>
                <w:sz w:val="16"/>
                <w:szCs w:val="16"/>
                <w:lang w:val="en" w:eastAsia="cs-CZ"/>
              </w:rPr>
              <w:t>aw on public procurement</w:t>
            </w:r>
            <w:r w:rsidRPr="007C115F">
              <w:rPr>
                <w:rFonts w:ascii="Verdana" w:hAnsi="Verdana"/>
                <w:i/>
                <w:sz w:val="16"/>
                <w:szCs w:val="16"/>
                <w:lang w:val="en" w:eastAsia="cs-CZ"/>
              </w:rPr>
              <w:t xml:space="preserve"> </w:t>
            </w:r>
            <w:r w:rsidRPr="007C115F">
              <w:rPr>
                <w:rFonts w:ascii="Verdana" w:hAnsi="Verdana"/>
                <w:sz w:val="16"/>
                <w:szCs w:val="16"/>
                <w:lang w:val="en" w:eastAsia="cs-CZ"/>
              </w:rPr>
              <w:t>to CZK 2 million.</w:t>
            </w:r>
          </w:p>
          <w:p w:rsidR="007C115F" w:rsidRPr="007C115F" w:rsidRDefault="007C115F" w:rsidP="00DC1B07">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val="en" w:eastAsia="cs-CZ"/>
              </w:rPr>
              <w:t>Change</w:t>
            </w:r>
            <w:proofErr w:type="gramEnd"/>
            <w:r w:rsidRPr="007C115F">
              <w:rPr>
                <w:rFonts w:ascii="Verdana" w:hAnsi="Verdana"/>
                <w:b/>
                <w:bCs/>
                <w:sz w:val="16"/>
                <w:szCs w:val="16"/>
                <w:lang w:val="en" w:eastAsia="cs-CZ"/>
              </w:rPr>
              <w:t xml:space="preserve"> the Vendor Selection Rules.</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Medium-term horizon</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Next programming period</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lastRenderedPageBreak/>
              <w:t>7</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The implementation o</w:t>
            </w:r>
            <w:r w:rsidR="00BB4C36" w:rsidRPr="00F26586">
              <w:rPr>
                <w:rFonts w:ascii="Verdana" w:eastAsia="Times New Roman" w:hAnsi="Verdana" w:cs="Calibri Light"/>
                <w:b/>
                <w:bCs/>
                <w:sz w:val="16"/>
                <w:szCs w:val="16"/>
                <w:lang w:val="en" w:eastAsia="cs-CZ"/>
              </w:rPr>
              <w:t>f the change procedure at the IB</w:t>
            </w:r>
            <w:r w:rsidRPr="007C115F">
              <w:rPr>
                <w:rFonts w:ascii="Verdana" w:eastAsia="Times New Roman" w:hAnsi="Verdana" w:cs="Calibri Light"/>
                <w:b/>
                <w:bCs/>
                <w:sz w:val="16"/>
                <w:szCs w:val="16"/>
                <w:lang w:val="en" w:eastAsia="cs-CZ"/>
              </w:rPr>
              <w:t xml:space="preserve"> leads to a further burden on its staff and non-compliance with deadlines</w:t>
            </w:r>
            <w:r w:rsidRPr="007C115F">
              <w:rPr>
                <w:rFonts w:ascii="Verdana" w:eastAsia="Times New Roman" w:hAnsi="Verdana" w:cs="Calibri Light"/>
                <w:sz w:val="16"/>
                <w:szCs w:val="16"/>
                <w:lang w:eastAsia="cs-CZ"/>
              </w:rPr>
              <w:t xml:space="preserve">. </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17" w:right="134" w:hanging="180"/>
              <w:rPr>
                <w:rFonts w:ascii="Verdana" w:hAnsi="Verdana"/>
                <w:sz w:val="16"/>
                <w:szCs w:val="16"/>
                <w:lang w:val="cs-CZ" w:eastAsia="cs-CZ"/>
              </w:rPr>
            </w:pPr>
            <w:r w:rsidRPr="007C115F">
              <w:rPr>
                <w:rFonts w:ascii="Verdana" w:hAnsi="Verdana"/>
                <w:sz w:val="16"/>
                <w:szCs w:val="16"/>
                <w:lang w:eastAsia="cs-CZ"/>
              </w:rPr>
              <w:t>·</w:t>
            </w:r>
            <w:proofErr w:type="gramStart"/>
            <w:r w:rsidR="00DC1B07" w:rsidRPr="00F26586">
              <w:rPr>
                <w:rFonts w:ascii="Verdana" w:hAnsi="Verdana"/>
                <w:sz w:val="16"/>
                <w:szCs w:val="16"/>
                <w:lang w:eastAsia="cs-CZ"/>
              </w:rPr>
              <w:t>  </w:t>
            </w:r>
            <w:r w:rsidRPr="007C115F">
              <w:rPr>
                <w:rFonts w:ascii="Verdana" w:hAnsi="Verdana"/>
                <w:b/>
                <w:bCs/>
                <w:sz w:val="16"/>
                <w:szCs w:val="16"/>
                <w:lang w:eastAsia="cs-CZ"/>
              </w:rPr>
              <w:t>Transfer</w:t>
            </w:r>
            <w:proofErr w:type="gramEnd"/>
            <w:r w:rsidRPr="007C115F">
              <w:rPr>
                <w:rFonts w:ascii="Verdana" w:hAnsi="Verdana"/>
                <w:b/>
                <w:bCs/>
                <w:sz w:val="16"/>
                <w:szCs w:val="16"/>
                <w:lang w:eastAsia="cs-CZ"/>
              </w:rPr>
              <w:t xml:space="preserve">/share the change management </w:t>
            </w:r>
            <w:r w:rsidRPr="007C115F">
              <w:rPr>
                <w:rFonts w:ascii="Verdana" w:hAnsi="Verdana"/>
                <w:sz w:val="16"/>
                <w:szCs w:val="16"/>
                <w:lang w:val="en" w:eastAsia="cs-CZ"/>
              </w:rPr>
              <w:t xml:space="preserve">agenda from </w:t>
            </w:r>
            <w:r w:rsidR="00DC1B07" w:rsidRPr="00F26586">
              <w:rPr>
                <w:rFonts w:ascii="Verdana" w:hAnsi="Verdana"/>
                <w:sz w:val="16"/>
                <w:szCs w:val="16"/>
                <w:lang w:val="en" w:eastAsia="cs-CZ"/>
              </w:rPr>
              <w:t>IB</w:t>
            </w:r>
            <w:r w:rsidRPr="007C115F">
              <w:rPr>
                <w:rFonts w:ascii="Verdana" w:hAnsi="Verdana"/>
                <w:sz w:val="16"/>
                <w:szCs w:val="16"/>
                <w:lang w:val="en" w:eastAsia="cs-CZ"/>
              </w:rPr>
              <w:t xml:space="preserve"> to </w:t>
            </w:r>
            <w:r w:rsidR="00DC1B07" w:rsidRPr="00F26586">
              <w:rPr>
                <w:rFonts w:ascii="Verdana" w:hAnsi="Verdana"/>
                <w:sz w:val="16"/>
                <w:szCs w:val="16"/>
                <w:lang w:val="en" w:eastAsia="cs-CZ"/>
              </w:rPr>
              <w:t>M</w:t>
            </w:r>
            <w:r w:rsidRPr="007C115F">
              <w:rPr>
                <w:rFonts w:ascii="Verdana" w:hAnsi="Verdana"/>
                <w:sz w:val="16"/>
                <w:szCs w:val="16"/>
                <w:lang w:eastAsia="cs-CZ"/>
              </w:rPr>
              <w:t>A.</w:t>
            </w:r>
          </w:p>
          <w:p w:rsidR="007C115F" w:rsidRPr="007C115F" w:rsidRDefault="007C115F" w:rsidP="00DC1B07">
            <w:pPr>
              <w:spacing w:before="60" w:after="60" w:line="240" w:lineRule="auto"/>
              <w:ind w:left="217"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Enabling</w:t>
            </w:r>
            <w:proofErr w:type="gramEnd"/>
            <w:r w:rsidRPr="007C115F">
              <w:rPr>
                <w:rFonts w:ascii="Verdana" w:hAnsi="Verdana"/>
                <w:b/>
                <w:bCs/>
                <w:sz w:val="16"/>
                <w:szCs w:val="16"/>
                <w:lang w:val="en" w:eastAsia="cs-CZ"/>
              </w:rPr>
              <w:t xml:space="preserve"> automatic approval/notification of changes in the budget not exceeding XY % of the total budget or partial changes to the project without changes in the results and purpose of the aid.</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8</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 xml:space="preserve">Checking the status of SMEs </w:t>
            </w:r>
            <w:r w:rsidRPr="007C115F">
              <w:rPr>
                <w:rFonts w:ascii="Verdana" w:eastAsia="Times New Roman" w:hAnsi="Verdana" w:cs="Calibri Light"/>
                <w:b/>
                <w:bCs/>
                <w:sz w:val="16"/>
                <w:szCs w:val="16"/>
                <w:lang w:val="en" w:eastAsia="cs-CZ"/>
              </w:rPr>
              <w:t>is time-consuming</w:t>
            </w:r>
            <w:r w:rsidR="00DC1B07" w:rsidRPr="00F26586">
              <w:rPr>
                <w:rFonts w:ascii="Verdana" w:eastAsia="Times New Roman" w:hAnsi="Verdana" w:cs="Calibri Light"/>
                <w:b/>
                <w:bCs/>
                <w:sz w:val="16"/>
                <w:szCs w:val="16"/>
                <w:lang w:val="en" w:eastAsia="cs-CZ"/>
              </w:rPr>
              <w:t xml:space="preserve"> </w:t>
            </w:r>
            <w:r w:rsidRPr="007C115F">
              <w:rPr>
                <w:rFonts w:ascii="Verdana" w:eastAsia="Times New Roman" w:hAnsi="Verdana" w:cs="Calibri Light"/>
                <w:sz w:val="16"/>
                <w:szCs w:val="16"/>
                <w:lang w:val="en" w:eastAsia="cs-CZ"/>
              </w:rPr>
              <w:t>and capacity-</w:t>
            </w:r>
            <w:proofErr w:type="gramStart"/>
            <w:r w:rsidRPr="007C115F">
              <w:rPr>
                <w:rFonts w:ascii="Verdana" w:eastAsia="Times New Roman" w:hAnsi="Verdana" w:cs="Calibri Light"/>
                <w:sz w:val="16"/>
                <w:szCs w:val="16"/>
                <w:lang w:val="en" w:eastAsia="cs-CZ"/>
              </w:rPr>
              <w:t>consuming ,</w:t>
            </w:r>
            <w:proofErr w:type="gramEnd"/>
            <w:r w:rsidRPr="007C115F">
              <w:rPr>
                <w:rFonts w:ascii="Verdana" w:eastAsia="Times New Roman" w:hAnsi="Verdana" w:cs="Calibri Light"/>
                <w:sz w:val="16"/>
                <w:szCs w:val="16"/>
                <w:lang w:val="en" w:eastAsia="cs-CZ"/>
              </w:rPr>
              <w:t xml:space="preserve"> leading to non-compliance with deadlines, different concepts among various senior project managers of the </w:t>
            </w:r>
            <w:r w:rsidR="00DC1B07" w:rsidRPr="00F26586">
              <w:rPr>
                <w:rFonts w:ascii="Verdana" w:eastAsia="Times New Roman" w:hAnsi="Verdana" w:cs="Calibri Light"/>
                <w:sz w:val="16"/>
                <w:szCs w:val="16"/>
                <w:lang w:val="en" w:eastAsia="cs-CZ"/>
              </w:rPr>
              <w:t>IB</w:t>
            </w:r>
            <w:r w:rsidRPr="007C115F">
              <w:rPr>
                <w:rFonts w:ascii="Verdana" w:eastAsia="Times New Roman" w:hAnsi="Verdana" w:cs="Calibri Light"/>
                <w:sz w:val="16"/>
                <w:szCs w:val="16"/>
                <w:lang w:val="en" w:eastAsia="cs-CZ"/>
              </w:rPr>
              <w:t xml:space="preserve">. </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17"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eastAsia="cs-CZ"/>
              </w:rPr>
              <w:t>Outsourcing</w:t>
            </w:r>
            <w:proofErr w:type="gramEnd"/>
            <w:r w:rsidRPr="007C115F">
              <w:rPr>
                <w:rFonts w:ascii="Verdana" w:hAnsi="Verdana"/>
                <w:b/>
                <w:bCs/>
                <w:sz w:val="16"/>
                <w:szCs w:val="16"/>
                <w:lang w:eastAsia="cs-CZ"/>
              </w:rPr>
              <w:t xml:space="preserve"> </w:t>
            </w:r>
            <w:r w:rsidRPr="007C115F">
              <w:rPr>
                <w:rFonts w:ascii="Verdana" w:hAnsi="Verdana"/>
                <w:sz w:val="16"/>
                <w:szCs w:val="16"/>
                <w:lang w:eastAsia="cs-CZ"/>
              </w:rPr>
              <w:t>the assessment of SME</w:t>
            </w:r>
            <w:r w:rsidRPr="007C115F">
              <w:rPr>
                <w:rFonts w:ascii="Verdana" w:hAnsi="Verdana"/>
                <w:b/>
                <w:bCs/>
                <w:sz w:val="16"/>
                <w:szCs w:val="16"/>
                <w:lang w:eastAsia="cs-CZ"/>
              </w:rPr>
              <w:t xml:space="preserve"> </w:t>
            </w:r>
            <w:r w:rsidRPr="007C115F">
              <w:rPr>
                <w:rFonts w:ascii="Verdana" w:hAnsi="Verdana"/>
                <w:sz w:val="16"/>
                <w:szCs w:val="16"/>
                <w:lang w:eastAsia="cs-CZ"/>
              </w:rPr>
              <w:t>status to external suppliers.</w:t>
            </w:r>
          </w:p>
          <w:p w:rsidR="007C115F" w:rsidRPr="007C115F" w:rsidRDefault="007C115F" w:rsidP="007C115F">
            <w:pPr>
              <w:spacing w:before="60" w:after="60" w:line="240" w:lineRule="auto"/>
              <w:ind w:left="217"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val="en" w:eastAsia="cs-CZ"/>
              </w:rPr>
              <w:t>Creation</w:t>
            </w:r>
            <w:proofErr w:type="gramEnd"/>
            <w:r w:rsidRPr="007C115F">
              <w:rPr>
                <w:rFonts w:ascii="Verdana" w:hAnsi="Verdana"/>
                <w:b/>
                <w:bCs/>
                <w:sz w:val="16"/>
                <w:szCs w:val="16"/>
                <w:lang w:val="en" w:eastAsia="cs-CZ"/>
              </w:rPr>
              <w:t xml:space="preserve"> of a separate </w:t>
            </w:r>
            <w:r w:rsidR="00DC1B07" w:rsidRPr="00F26586">
              <w:rPr>
                <w:rFonts w:ascii="Verdana" w:hAnsi="Verdana"/>
                <w:b/>
                <w:bCs/>
                <w:sz w:val="16"/>
                <w:szCs w:val="16"/>
                <w:lang w:val="en" w:eastAsia="cs-CZ"/>
              </w:rPr>
              <w:t>IB</w:t>
            </w:r>
            <w:r w:rsidRPr="007C115F">
              <w:rPr>
                <w:rFonts w:ascii="Verdana" w:hAnsi="Verdana"/>
                <w:b/>
                <w:bCs/>
                <w:sz w:val="16"/>
                <w:szCs w:val="16"/>
                <w:lang w:val="en" w:eastAsia="cs-CZ"/>
              </w:rPr>
              <w:t>/</w:t>
            </w:r>
            <w:r w:rsidR="00DC1B07" w:rsidRPr="00F26586">
              <w:rPr>
                <w:rFonts w:ascii="Verdana" w:hAnsi="Verdana"/>
                <w:b/>
                <w:bCs/>
                <w:sz w:val="16"/>
                <w:szCs w:val="16"/>
                <w:lang w:val="en" w:eastAsia="cs-CZ"/>
              </w:rPr>
              <w:t>MA</w:t>
            </w:r>
            <w:r w:rsidRPr="007C115F">
              <w:rPr>
                <w:rFonts w:ascii="Verdana" w:hAnsi="Verdana"/>
                <w:b/>
                <w:bCs/>
                <w:sz w:val="16"/>
                <w:szCs w:val="16"/>
                <w:lang w:val="en" w:eastAsia="cs-CZ"/>
              </w:rPr>
              <w:t xml:space="preserve"> department to determine the status of SMEs.</w:t>
            </w:r>
          </w:p>
          <w:p w:rsidR="007C115F" w:rsidRPr="007C115F" w:rsidRDefault="007C115F" w:rsidP="007C115F">
            <w:pPr>
              <w:spacing w:before="60" w:after="60" w:line="240" w:lineRule="auto"/>
              <w:ind w:left="217"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val="en" w:eastAsia="cs-CZ"/>
              </w:rPr>
              <w:t>Application</w:t>
            </w:r>
            <w:proofErr w:type="gramEnd"/>
            <w:r w:rsidRPr="007C115F">
              <w:rPr>
                <w:rFonts w:ascii="Verdana" w:hAnsi="Verdana"/>
                <w:b/>
                <w:bCs/>
                <w:sz w:val="16"/>
                <w:szCs w:val="16"/>
                <w:lang w:val="en" w:eastAsia="cs-CZ"/>
              </w:rPr>
              <w:t xml:space="preserve"> of the SME status control model used by </w:t>
            </w:r>
            <w:r w:rsidR="00DC1B07" w:rsidRPr="00F26586">
              <w:rPr>
                <w:rFonts w:ascii="Verdana" w:hAnsi="Verdana"/>
                <w:b/>
                <w:bCs/>
                <w:sz w:val="16"/>
                <w:szCs w:val="16"/>
                <w:lang w:val="en" w:eastAsia="cs-CZ"/>
              </w:rPr>
              <w:t>C</w:t>
            </w:r>
            <w:r w:rsidRPr="007C115F">
              <w:rPr>
                <w:rFonts w:ascii="Verdana" w:hAnsi="Verdana"/>
                <w:b/>
                <w:bCs/>
                <w:sz w:val="16"/>
                <w:szCs w:val="16"/>
                <w:lang w:val="en" w:eastAsia="cs-CZ"/>
              </w:rPr>
              <w:t>MZRB</w:t>
            </w:r>
            <w:r w:rsidR="00DC1B07" w:rsidRPr="00F26586">
              <w:rPr>
                <w:rStyle w:val="FootnoteReference"/>
                <w:rFonts w:ascii="Verdana" w:hAnsi="Verdana"/>
                <w:b/>
                <w:bCs/>
                <w:sz w:val="16"/>
                <w:szCs w:val="16"/>
                <w:lang w:val="en" w:eastAsia="cs-CZ"/>
              </w:rPr>
              <w:footnoteReference w:id="2"/>
            </w:r>
            <w:r w:rsidRPr="007C115F">
              <w:rPr>
                <w:rFonts w:ascii="Verdana" w:hAnsi="Verdana"/>
                <w:b/>
                <w:bCs/>
                <w:sz w:val="16"/>
                <w:szCs w:val="16"/>
                <w:lang w:val="en" w:eastAsia="cs-CZ"/>
              </w:rPr>
              <w:t>.</w:t>
            </w:r>
          </w:p>
          <w:p w:rsidR="007C115F" w:rsidRPr="007C115F" w:rsidRDefault="007C115F" w:rsidP="00DC1B07">
            <w:pPr>
              <w:spacing w:before="60" w:after="60" w:line="240" w:lineRule="auto"/>
              <w:ind w:left="217"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eastAsia="cs-CZ"/>
              </w:rPr>
              <w:t>Use</w:t>
            </w:r>
            <w:proofErr w:type="gramEnd"/>
            <w:r w:rsidRPr="007C115F">
              <w:rPr>
                <w:rFonts w:ascii="Verdana" w:hAnsi="Verdana"/>
                <w:b/>
                <w:bCs/>
                <w:sz w:val="16"/>
                <w:szCs w:val="16"/>
                <w:lang w:eastAsia="cs-CZ"/>
              </w:rPr>
              <w:t xml:space="preserve"> of RPA for selected parts of the </w:t>
            </w:r>
            <w:r w:rsidRPr="007C115F">
              <w:rPr>
                <w:rFonts w:ascii="Verdana" w:hAnsi="Verdana"/>
                <w:sz w:val="16"/>
                <w:szCs w:val="16"/>
                <w:lang w:val="en" w:eastAsia="cs-CZ"/>
              </w:rPr>
              <w:t xml:space="preserve">process </w:t>
            </w:r>
            <w:r w:rsidRPr="007C115F">
              <w:rPr>
                <w:rFonts w:ascii="Verdana" w:hAnsi="Verdana"/>
                <w:sz w:val="16"/>
                <w:szCs w:val="16"/>
                <w:lang w:eastAsia="cs-CZ"/>
              </w:rPr>
              <w:t>(e.g. verification of data in registers, determination of the status of a firm in difficulty).</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Medium-term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9</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3D304E">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 xml:space="preserve">Length and complexity of approval </w:t>
            </w:r>
            <w:r w:rsidR="003D304E" w:rsidRPr="00F26586">
              <w:rPr>
                <w:rFonts w:ascii="Verdana" w:eastAsia="Times New Roman" w:hAnsi="Verdana" w:cs="Calibri Light"/>
                <w:b/>
                <w:bCs/>
                <w:sz w:val="16"/>
                <w:szCs w:val="16"/>
                <w:lang w:val="en" w:eastAsia="cs-CZ"/>
              </w:rPr>
              <w:t>PR</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3D304E" w:rsidRPr="00F26586" w:rsidRDefault="007C115F" w:rsidP="003D304E">
            <w:pPr>
              <w:spacing w:before="60" w:after="60" w:line="240" w:lineRule="auto"/>
              <w:ind w:left="217" w:right="134" w:hanging="180"/>
              <w:rPr>
                <w:rFonts w:ascii="Verdana" w:hAnsi="Verdana"/>
                <w:sz w:val="16"/>
                <w:szCs w:val="16"/>
                <w:lang w:eastAsia="cs-CZ"/>
              </w:rPr>
            </w:pPr>
            <w:r w:rsidRPr="007C115F">
              <w:rPr>
                <w:rFonts w:ascii="Verdana" w:hAnsi="Verdana"/>
                <w:sz w:val="16"/>
                <w:szCs w:val="16"/>
                <w:lang w:eastAsia="cs-CZ"/>
              </w:rPr>
              <w:t>·</w:t>
            </w:r>
            <w:proofErr w:type="gramStart"/>
            <w:r w:rsidR="003D304E" w:rsidRPr="00F26586">
              <w:rPr>
                <w:rFonts w:ascii="Verdana" w:hAnsi="Verdana"/>
                <w:sz w:val="16"/>
                <w:szCs w:val="16"/>
                <w:lang w:eastAsia="cs-CZ"/>
              </w:rPr>
              <w:t>  </w:t>
            </w:r>
            <w:r w:rsidRPr="007C115F">
              <w:rPr>
                <w:rFonts w:ascii="Verdana" w:hAnsi="Verdana"/>
                <w:b/>
                <w:bCs/>
                <w:sz w:val="16"/>
                <w:szCs w:val="16"/>
                <w:lang w:eastAsia="cs-CZ"/>
              </w:rPr>
              <w:t>Wider</w:t>
            </w:r>
            <w:proofErr w:type="gramEnd"/>
            <w:r w:rsidRPr="007C115F">
              <w:rPr>
                <w:rFonts w:ascii="Verdana" w:hAnsi="Verdana"/>
                <w:b/>
                <w:bCs/>
                <w:sz w:val="16"/>
                <w:szCs w:val="16"/>
                <w:lang w:eastAsia="cs-CZ"/>
              </w:rPr>
              <w:t xml:space="preserve"> application of simplified cost options </w:t>
            </w:r>
            <w:r w:rsidRPr="007C115F">
              <w:rPr>
                <w:rFonts w:ascii="Verdana" w:hAnsi="Verdana"/>
                <w:sz w:val="16"/>
                <w:szCs w:val="16"/>
                <w:lang w:eastAsia="cs-CZ"/>
              </w:rPr>
              <w:t xml:space="preserve">(e.g. flat-rate support for </w:t>
            </w:r>
            <w:proofErr w:type="spellStart"/>
            <w:r w:rsidRPr="007C115F">
              <w:rPr>
                <w:rFonts w:ascii="Verdana" w:hAnsi="Verdana"/>
                <w:sz w:val="16"/>
                <w:szCs w:val="16"/>
                <w:lang w:eastAsia="cs-CZ"/>
              </w:rPr>
              <w:t>labour</w:t>
            </w:r>
            <w:proofErr w:type="spellEnd"/>
            <w:r w:rsidRPr="007C115F">
              <w:rPr>
                <w:rFonts w:ascii="Verdana" w:hAnsi="Verdana"/>
                <w:sz w:val="16"/>
                <w:szCs w:val="16"/>
                <w:lang w:eastAsia="cs-CZ"/>
              </w:rPr>
              <w:t xml:space="preserve"> costs; parametric support).</w:t>
            </w:r>
          </w:p>
          <w:p w:rsidR="003D304E" w:rsidRPr="007C115F" w:rsidRDefault="003D304E" w:rsidP="003D304E">
            <w:pPr>
              <w:spacing w:before="60" w:after="60" w:line="240" w:lineRule="auto"/>
              <w:ind w:left="217"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F26586">
              <w:rPr>
                <w:rFonts w:ascii="Verdana" w:hAnsi="Verdana"/>
                <w:sz w:val="16"/>
                <w:szCs w:val="16"/>
                <w:lang w:eastAsia="cs-CZ"/>
              </w:rPr>
              <w:t>  </w:t>
            </w:r>
            <w:r w:rsidRPr="00F26586">
              <w:rPr>
                <w:rFonts w:ascii="Verdana" w:hAnsi="Verdana"/>
                <w:sz w:val="16"/>
                <w:szCs w:val="16"/>
                <w:lang w:eastAsia="cs-CZ"/>
              </w:rPr>
              <w:t>Application</w:t>
            </w:r>
            <w:proofErr w:type="gramEnd"/>
            <w:r w:rsidRPr="00F26586">
              <w:rPr>
                <w:rFonts w:ascii="Verdana" w:hAnsi="Verdana"/>
                <w:sz w:val="16"/>
                <w:szCs w:val="16"/>
                <w:lang w:eastAsia="cs-CZ"/>
              </w:rPr>
              <w:t xml:space="preserve"> of RPA and artificial intelligence. </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Medium-term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10</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The calls and their annexes are too extensive, complex and cluttered for applicants</w:t>
            </w:r>
            <w:r w:rsidRPr="007C115F">
              <w:rPr>
                <w:rFonts w:ascii="Verdana" w:eastAsia="Times New Roman" w:hAnsi="Verdana" w:cs="Calibri Light"/>
                <w:sz w:val="16"/>
                <w:szCs w:val="16"/>
                <w:lang w:eastAsia="cs-CZ"/>
              </w:rPr>
              <w:t xml:space="preserve">. </w:t>
            </w:r>
          </w:p>
        </w:tc>
        <w:tc>
          <w:tcPr>
            <w:tcW w:w="2069" w:type="pct"/>
            <w:vMerge w:val="restar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eastAsia="cs-CZ"/>
              </w:rPr>
              <w:t>Revision</w:t>
            </w:r>
            <w:proofErr w:type="gramEnd"/>
            <w:r w:rsidRPr="007C115F">
              <w:rPr>
                <w:rFonts w:ascii="Verdana" w:hAnsi="Verdana"/>
                <w:b/>
                <w:bCs/>
                <w:sz w:val="16"/>
                <w:szCs w:val="16"/>
                <w:lang w:eastAsia="cs-CZ"/>
              </w:rPr>
              <w:t xml:space="preserve"> of the text of the calls, number of mandatory annexes</w:t>
            </w:r>
            <w:r w:rsidRPr="007C115F">
              <w:rPr>
                <w:rFonts w:ascii="Verdana" w:hAnsi="Verdana"/>
                <w:sz w:val="16"/>
                <w:szCs w:val="16"/>
                <w:lang w:eastAsia="cs-CZ"/>
              </w:rPr>
              <w:t xml:space="preserve">. </w:t>
            </w:r>
            <w:r w:rsidRPr="007C115F">
              <w:rPr>
                <w:rFonts w:ascii="Verdana" w:hAnsi="Verdana"/>
                <w:sz w:val="16"/>
                <w:szCs w:val="16"/>
                <w:lang w:val="en" w:eastAsia="cs-CZ"/>
              </w:rPr>
              <w:t>Rigorous monitoring of the compliance of calls and rules for beneficiaries.</w:t>
            </w:r>
          </w:p>
          <w:p w:rsidR="007C115F" w:rsidRPr="007C115F" w:rsidRDefault="007C115F" w:rsidP="003D304E">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xml:space="preserve">  </w:t>
            </w:r>
            <w:r w:rsidRPr="007C115F">
              <w:rPr>
                <w:rFonts w:ascii="Verdana" w:hAnsi="Verdana"/>
                <w:b/>
                <w:bCs/>
                <w:sz w:val="16"/>
                <w:szCs w:val="16"/>
                <w:lang w:eastAsia="cs-CZ"/>
              </w:rPr>
              <w:t>Simplifying</w:t>
            </w:r>
            <w:proofErr w:type="gramEnd"/>
            <w:r w:rsidRPr="007C115F">
              <w:rPr>
                <w:rFonts w:ascii="Verdana" w:hAnsi="Verdana"/>
                <w:b/>
                <w:bCs/>
                <w:sz w:val="16"/>
                <w:szCs w:val="16"/>
                <w:lang w:val="en" w:eastAsia="cs-CZ"/>
              </w:rPr>
              <w:t xml:space="preserve"> </w:t>
            </w:r>
            <w:r w:rsidRPr="007C115F">
              <w:rPr>
                <w:rFonts w:ascii="Verdana" w:hAnsi="Verdana"/>
                <w:sz w:val="16"/>
                <w:szCs w:val="16"/>
                <w:lang w:eastAsia="cs-CZ"/>
              </w:rPr>
              <w:t>language (limiting the use of technical terms, unifying terminology) and streamlining the communication of changes in the wording of calls, in rules for recipients, etc. by highlighting or pre-sorting them graphically.</w:t>
            </w:r>
          </w:p>
        </w:tc>
        <w:tc>
          <w:tcPr>
            <w:tcW w:w="715" w:type="pct"/>
            <w:vMerge w:val="restar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tc>
      </w:tr>
      <w:tr w:rsidR="007C115F" w:rsidRPr="007C115F" w:rsidTr="007C115F">
        <w:trPr>
          <w:trHeight w:val="1090"/>
        </w:trPr>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11</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3D304E">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 xml:space="preserve">Applicants are </w:t>
            </w:r>
            <w:r w:rsidRPr="007C115F">
              <w:rPr>
                <w:rFonts w:ascii="Verdana" w:eastAsia="Times New Roman" w:hAnsi="Verdana" w:cs="Calibri Light"/>
                <w:b/>
                <w:bCs/>
                <w:sz w:val="16"/>
                <w:szCs w:val="16"/>
                <w:lang w:val="en" w:eastAsia="cs-CZ"/>
              </w:rPr>
              <w:t>required to provide documents or information that is not relevant to</w:t>
            </w:r>
            <w:r w:rsidRPr="007C115F">
              <w:rPr>
                <w:rFonts w:ascii="Verdana" w:eastAsia="Times New Roman" w:hAnsi="Verdana" w:cs="Calibri Light"/>
                <w:sz w:val="16"/>
                <w:szCs w:val="16"/>
                <w:lang w:val="en" w:eastAsia="cs-CZ"/>
              </w:rPr>
              <w:t xml:space="preserve"> the </w:t>
            </w:r>
            <w:r w:rsidR="003D304E" w:rsidRPr="00F26586">
              <w:rPr>
                <w:rFonts w:ascii="Verdana" w:eastAsia="Times New Roman" w:hAnsi="Verdana" w:cs="Calibri Light"/>
                <w:sz w:val="16"/>
                <w:szCs w:val="16"/>
                <w:lang w:val="en" w:eastAsia="cs-CZ"/>
              </w:rPr>
              <w:t>assessment</w:t>
            </w:r>
            <w:r w:rsidRPr="007C115F">
              <w:rPr>
                <w:rFonts w:ascii="Verdana" w:eastAsia="Times New Roman" w:hAnsi="Verdana" w:cs="Calibri Light"/>
                <w:sz w:val="16"/>
                <w:szCs w:val="16"/>
                <w:lang w:val="en" w:eastAsia="cs-CZ"/>
              </w:rPr>
              <w:t xml:space="preserve"> of the project </w:t>
            </w:r>
            <w:r w:rsidR="003D304E" w:rsidRPr="00F26586">
              <w:rPr>
                <w:rFonts w:ascii="Verdana" w:eastAsia="Times New Roman" w:hAnsi="Verdana" w:cs="Calibri Light"/>
                <w:sz w:val="16"/>
                <w:szCs w:val="16"/>
                <w:lang w:val="en" w:eastAsia="cs-CZ"/>
              </w:rPr>
              <w:t xml:space="preserve">proposals </w:t>
            </w:r>
            <w:r w:rsidRPr="007C115F">
              <w:rPr>
                <w:rFonts w:ascii="Verdana" w:eastAsia="Times New Roman" w:hAnsi="Verdana" w:cs="Calibri Light"/>
                <w:sz w:val="16"/>
                <w:szCs w:val="16"/>
                <w:lang w:val="en" w:eastAsia="cs-CZ"/>
              </w:rPr>
              <w:t xml:space="preserve">or is duplicated in the </w:t>
            </w:r>
            <w:r w:rsidR="003D304E" w:rsidRPr="00F26586">
              <w:rPr>
                <w:rFonts w:ascii="Verdana" w:eastAsia="Times New Roman" w:hAnsi="Verdana" w:cs="Calibri Light"/>
                <w:sz w:val="16"/>
                <w:szCs w:val="16"/>
                <w:lang w:val="en" w:eastAsia="cs-CZ"/>
              </w:rPr>
              <w:t>proposal</w:t>
            </w:r>
            <w:r w:rsidRPr="007C115F">
              <w:rPr>
                <w:rFonts w:ascii="Verdana" w:eastAsia="Times New Roman" w:hAnsi="Verdana" w:cs="Calibri Light"/>
                <w:sz w:val="16"/>
                <w:szCs w:val="16"/>
                <w:lang w:val="en" w:eastAsia="cs-CZ"/>
              </w:rPr>
              <w:t xml:space="preserve">. </w:t>
            </w:r>
          </w:p>
        </w:tc>
        <w:tc>
          <w:tcPr>
            <w:tcW w:w="0" w:type="auto"/>
            <w:vMerge/>
            <w:tcBorders>
              <w:top w:val="nil"/>
              <w:left w:val="nil"/>
              <w:bottom w:val="single" w:sz="8" w:space="0" w:color="D9D9D9"/>
              <w:right w:val="single" w:sz="8" w:space="0" w:color="D0EC9F"/>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c>
          <w:tcPr>
            <w:tcW w:w="0" w:type="auto"/>
            <w:vMerge/>
            <w:tcBorders>
              <w:top w:val="nil"/>
              <w:left w:val="nil"/>
              <w:bottom w:val="single" w:sz="8" w:space="0" w:color="D9D9D9"/>
              <w:right w:val="nil"/>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r>
      <w:tr w:rsidR="007C115F" w:rsidRPr="007C115F" w:rsidTr="007C115F">
        <w:trPr>
          <w:trHeight w:val="249"/>
        </w:trPr>
        <w:tc>
          <w:tcPr>
            <w:tcW w:w="200" w:type="pct"/>
            <w:tcBorders>
              <w:top w:val="nil"/>
              <w:left w:val="single" w:sz="8" w:space="0" w:color="D0EC9F"/>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tc>
        <w:tc>
          <w:tcPr>
            <w:tcW w:w="4800" w:type="pct"/>
            <w:gridSpan w:val="3"/>
            <w:tcBorders>
              <w:top w:val="nil"/>
              <w:left w:val="nil"/>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3D304E" w:rsidP="003D304E">
            <w:pPr>
              <w:spacing w:before="60" w:after="60"/>
              <w:rPr>
                <w:rFonts w:ascii="Verdana" w:eastAsia="Times New Roman" w:hAnsi="Verdana" w:cs="Calibri Light"/>
                <w:sz w:val="16"/>
                <w:szCs w:val="16"/>
                <w:lang w:val="cs-CZ" w:eastAsia="cs-CZ"/>
              </w:rPr>
            </w:pPr>
            <w:r w:rsidRPr="00F26586">
              <w:rPr>
                <w:rFonts w:ascii="Verdana" w:eastAsia="Times New Roman" w:hAnsi="Verdana" w:cs="Calibri Light"/>
                <w:b/>
                <w:bCs/>
                <w:sz w:val="16"/>
                <w:szCs w:val="16"/>
                <w:lang w:val="en" w:eastAsia="cs-CZ"/>
              </w:rPr>
              <w:t>Controls</w:t>
            </w:r>
            <w:r w:rsidR="007C115F" w:rsidRPr="007C115F">
              <w:rPr>
                <w:rFonts w:ascii="Verdana" w:eastAsia="Times New Roman" w:hAnsi="Verdana" w:cs="Calibri Light"/>
                <w:b/>
                <w:bCs/>
                <w:sz w:val="16"/>
                <w:szCs w:val="16"/>
                <w:lang w:val="en" w:eastAsia="cs-CZ"/>
              </w:rPr>
              <w:t xml:space="preserve"> and irregularities (</w:t>
            </w:r>
            <w:proofErr w:type="spellStart"/>
            <w:r w:rsidRPr="00F26586">
              <w:rPr>
                <w:rFonts w:ascii="Verdana" w:eastAsia="Times New Roman" w:hAnsi="Verdana" w:cs="Calibri Light"/>
                <w:b/>
                <w:bCs/>
                <w:sz w:val="16"/>
                <w:szCs w:val="16"/>
                <w:lang w:val="en" w:eastAsia="cs-CZ"/>
              </w:rPr>
              <w:t>CaI</w:t>
            </w:r>
            <w:proofErr w:type="spellEnd"/>
            <w:r w:rsidR="007C115F" w:rsidRPr="007C115F">
              <w:rPr>
                <w:rFonts w:ascii="Verdana" w:eastAsia="Times New Roman" w:hAnsi="Verdana" w:cs="Calibri Light"/>
                <w:b/>
                <w:bCs/>
                <w:sz w:val="16"/>
                <w:szCs w:val="16"/>
                <w:lang w:val="en" w:eastAsia="cs-CZ"/>
              </w:rPr>
              <w:t>)</w:t>
            </w:r>
          </w:p>
        </w:tc>
      </w:tr>
      <w:tr w:rsidR="007C115F" w:rsidRPr="007C115F" w:rsidTr="007C115F">
        <w:trPr>
          <w:trHeight w:val="730"/>
        </w:trPr>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12</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3D304E" w:rsidP="007C115F">
            <w:pPr>
              <w:spacing w:before="60" w:after="60"/>
              <w:rPr>
                <w:rFonts w:ascii="Verdana" w:eastAsia="Times New Roman" w:hAnsi="Verdana" w:cs="Calibri Light"/>
                <w:sz w:val="16"/>
                <w:szCs w:val="16"/>
                <w:lang w:val="cs-CZ" w:eastAsia="cs-CZ"/>
              </w:rPr>
            </w:pPr>
            <w:proofErr w:type="spellStart"/>
            <w:r w:rsidRPr="00F26586">
              <w:rPr>
                <w:rFonts w:ascii="Verdana" w:eastAsia="Times New Roman" w:hAnsi="Verdana" w:cs="Calibri Light"/>
                <w:b/>
                <w:bCs/>
                <w:sz w:val="16"/>
                <w:szCs w:val="16"/>
                <w:lang w:val="en" w:eastAsia="cs-CZ"/>
              </w:rPr>
              <w:t>CaI</w:t>
            </w:r>
            <w:proofErr w:type="spellEnd"/>
            <w:r w:rsidR="007C115F" w:rsidRPr="007C115F">
              <w:rPr>
                <w:rFonts w:ascii="Verdana" w:eastAsia="Times New Roman" w:hAnsi="Verdana" w:cs="Calibri Light"/>
                <w:b/>
                <w:bCs/>
                <w:sz w:val="16"/>
                <w:szCs w:val="16"/>
                <w:lang w:val="en" w:eastAsia="cs-CZ"/>
              </w:rPr>
              <w:t xml:space="preserve"> processes are associated with unnecessary manual tasks.</w:t>
            </w:r>
            <w:r w:rsidR="007C115F" w:rsidRPr="007C115F">
              <w:rPr>
                <w:rFonts w:ascii="Verdana" w:eastAsia="Times New Roman" w:hAnsi="Verdana" w:cs="Calibri Light"/>
                <w:sz w:val="16"/>
                <w:szCs w:val="16"/>
                <w:lang w:eastAsia="cs-CZ"/>
              </w:rPr>
              <w:t xml:space="preserve"> </w:t>
            </w:r>
          </w:p>
        </w:tc>
        <w:tc>
          <w:tcPr>
            <w:tcW w:w="2069" w:type="pct"/>
            <w:vMerge w:val="restar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Untying</w:t>
            </w:r>
            <w:proofErr w:type="gramEnd"/>
            <w:r w:rsidRPr="007C115F">
              <w:rPr>
                <w:rFonts w:ascii="Verdana" w:hAnsi="Verdana"/>
                <w:b/>
                <w:bCs/>
                <w:sz w:val="16"/>
                <w:szCs w:val="16"/>
                <w:lang w:val="en" w:eastAsia="cs-CZ"/>
              </w:rPr>
              <w:t xml:space="preserve"> </w:t>
            </w:r>
            <w:proofErr w:type="spellStart"/>
            <w:r w:rsidR="003D304E" w:rsidRPr="00F26586">
              <w:rPr>
                <w:rFonts w:ascii="Verdana" w:hAnsi="Verdana"/>
                <w:b/>
                <w:bCs/>
                <w:sz w:val="16"/>
                <w:szCs w:val="16"/>
                <w:lang w:val="en" w:eastAsia="cs-CZ"/>
              </w:rPr>
              <w:t>CaI</w:t>
            </w:r>
            <w:proofErr w:type="spellEnd"/>
            <w:r w:rsidRPr="007C115F">
              <w:rPr>
                <w:rFonts w:ascii="Verdana" w:hAnsi="Verdana"/>
                <w:b/>
                <w:bCs/>
                <w:sz w:val="16"/>
                <w:szCs w:val="16"/>
                <w:lang w:val="en" w:eastAsia="cs-CZ"/>
              </w:rPr>
              <w:t xml:space="preserve"> from </w:t>
            </w:r>
            <w:r w:rsidR="003D304E" w:rsidRPr="00F26586">
              <w:rPr>
                <w:rFonts w:ascii="Verdana" w:hAnsi="Verdana"/>
                <w:b/>
                <w:bCs/>
                <w:sz w:val="16"/>
                <w:szCs w:val="16"/>
                <w:lang w:val="en" w:eastAsia="cs-CZ"/>
              </w:rPr>
              <w:t>PR</w:t>
            </w:r>
            <w:r w:rsidRPr="007C115F">
              <w:rPr>
                <w:rFonts w:ascii="Verdana" w:hAnsi="Verdana"/>
                <w:sz w:val="16"/>
                <w:szCs w:val="16"/>
                <w:lang w:eastAsia="cs-CZ"/>
              </w:rPr>
              <w:t>.</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00052026" w:rsidRPr="00F26586">
              <w:rPr>
                <w:rFonts w:ascii="Verdana" w:hAnsi="Verdana"/>
                <w:sz w:val="16"/>
                <w:szCs w:val="16"/>
                <w:lang w:val="en" w:eastAsia="cs-CZ"/>
              </w:rPr>
              <w:t>Introduction</w:t>
            </w:r>
            <w:proofErr w:type="gramEnd"/>
            <w:r w:rsidR="00052026" w:rsidRPr="00F26586">
              <w:rPr>
                <w:rFonts w:ascii="Verdana" w:hAnsi="Verdana"/>
                <w:sz w:val="16"/>
                <w:szCs w:val="16"/>
                <w:lang w:val="en" w:eastAsia="cs-CZ"/>
              </w:rPr>
              <w:t xml:space="preserve"> </w:t>
            </w:r>
            <w:r w:rsidRPr="007C115F">
              <w:rPr>
                <w:rFonts w:ascii="Verdana" w:hAnsi="Verdana"/>
                <w:sz w:val="16"/>
                <w:szCs w:val="16"/>
                <w:lang w:val="en" w:eastAsia="cs-CZ"/>
              </w:rPr>
              <w:t xml:space="preserve">of the compulsory participation </w:t>
            </w:r>
            <w:r w:rsidR="00052026" w:rsidRPr="00F26586">
              <w:rPr>
                <w:rFonts w:ascii="Verdana" w:hAnsi="Verdana"/>
                <w:sz w:val="16"/>
                <w:szCs w:val="16"/>
                <w:lang w:val="en" w:eastAsia="cs-CZ"/>
              </w:rPr>
              <w:t xml:space="preserve">in the </w:t>
            </w:r>
            <w:proofErr w:type="spellStart"/>
            <w:r w:rsidR="00052026" w:rsidRPr="00F26586">
              <w:rPr>
                <w:rFonts w:ascii="Verdana" w:hAnsi="Verdana"/>
                <w:sz w:val="16"/>
                <w:szCs w:val="16"/>
                <w:lang w:val="en" w:eastAsia="cs-CZ"/>
              </w:rPr>
              <w:t>CaI</w:t>
            </w:r>
            <w:proofErr w:type="spellEnd"/>
            <w:r w:rsidR="00052026" w:rsidRPr="00F26586">
              <w:rPr>
                <w:rFonts w:ascii="Verdana" w:hAnsi="Verdana"/>
                <w:sz w:val="16"/>
                <w:szCs w:val="16"/>
                <w:lang w:val="en" w:eastAsia="cs-CZ"/>
              </w:rPr>
              <w:t xml:space="preserve"> by </w:t>
            </w:r>
            <w:r w:rsidRPr="007C115F">
              <w:rPr>
                <w:rFonts w:ascii="Verdana" w:hAnsi="Verdana"/>
                <w:sz w:val="16"/>
                <w:szCs w:val="16"/>
                <w:lang w:val="en" w:eastAsia="cs-CZ"/>
              </w:rPr>
              <w:t xml:space="preserve">the </w:t>
            </w:r>
            <w:r w:rsidR="00052026" w:rsidRPr="00F26586">
              <w:rPr>
                <w:rFonts w:ascii="Verdana" w:hAnsi="Verdana"/>
                <w:sz w:val="16"/>
                <w:szCs w:val="16"/>
                <w:lang w:val="en" w:eastAsia="cs-CZ"/>
              </w:rPr>
              <w:t>requesting authority (mostly IB)</w:t>
            </w:r>
            <w:r w:rsidRPr="007C115F">
              <w:rPr>
                <w:rFonts w:ascii="Verdana" w:hAnsi="Verdana"/>
                <w:sz w:val="16"/>
                <w:szCs w:val="16"/>
                <w:lang w:val="en" w:eastAsia="cs-CZ"/>
              </w:rPr>
              <w:t>.</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Entrusting</w:t>
            </w:r>
            <w:proofErr w:type="gramEnd"/>
            <w:r w:rsidRPr="007C115F">
              <w:rPr>
                <w:rFonts w:ascii="Verdana" w:hAnsi="Verdana"/>
                <w:b/>
                <w:bCs/>
                <w:sz w:val="16"/>
                <w:szCs w:val="16"/>
                <w:lang w:val="en" w:eastAsia="cs-CZ"/>
              </w:rPr>
              <w:t xml:space="preserve"> </w:t>
            </w:r>
            <w:proofErr w:type="spellStart"/>
            <w:r w:rsidR="00052026" w:rsidRPr="00F26586">
              <w:rPr>
                <w:rFonts w:ascii="Verdana" w:hAnsi="Verdana"/>
                <w:b/>
                <w:bCs/>
                <w:sz w:val="16"/>
                <w:szCs w:val="16"/>
                <w:lang w:val="en" w:eastAsia="cs-CZ"/>
              </w:rPr>
              <w:t>CaI</w:t>
            </w:r>
            <w:r w:rsidRPr="007C115F">
              <w:rPr>
                <w:rFonts w:ascii="Verdana" w:hAnsi="Verdana"/>
                <w:b/>
                <w:bCs/>
                <w:sz w:val="16"/>
                <w:szCs w:val="16"/>
                <w:lang w:val="en" w:eastAsia="cs-CZ"/>
              </w:rPr>
              <w:t>'s</w:t>
            </w:r>
            <w:proofErr w:type="spellEnd"/>
            <w:r w:rsidRPr="007C115F">
              <w:rPr>
                <w:rFonts w:ascii="Verdana" w:hAnsi="Verdana"/>
                <w:b/>
                <w:bCs/>
                <w:sz w:val="16"/>
                <w:szCs w:val="16"/>
                <w:lang w:val="en" w:eastAsia="cs-CZ"/>
              </w:rPr>
              <w:t xml:space="preserve"> performance to an external supplier.</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sz w:val="16"/>
                <w:szCs w:val="16"/>
                <w:lang w:val="en" w:eastAsia="cs-CZ"/>
              </w:rPr>
              <w:t>Cancel</w:t>
            </w:r>
            <w:proofErr w:type="gramEnd"/>
            <w:r w:rsidRPr="007C115F">
              <w:rPr>
                <w:rFonts w:ascii="Verdana" w:hAnsi="Verdana"/>
                <w:sz w:val="16"/>
                <w:szCs w:val="16"/>
                <w:lang w:val="en" w:eastAsia="cs-CZ"/>
              </w:rPr>
              <w:t xml:space="preserve"> or automate reports to the </w:t>
            </w:r>
            <w:r w:rsidR="00052026" w:rsidRPr="00F26586">
              <w:rPr>
                <w:rFonts w:ascii="Verdana" w:hAnsi="Verdana"/>
                <w:sz w:val="16"/>
                <w:szCs w:val="16"/>
                <w:lang w:val="en" w:eastAsia="cs-CZ"/>
              </w:rPr>
              <w:t>IPCM</w:t>
            </w:r>
            <w:r w:rsidR="00052026" w:rsidRPr="00F26586">
              <w:rPr>
                <w:rStyle w:val="FootnoteReference"/>
                <w:rFonts w:ascii="Verdana" w:hAnsi="Verdana"/>
                <w:sz w:val="16"/>
                <w:szCs w:val="16"/>
                <w:lang w:val="en" w:eastAsia="cs-CZ"/>
              </w:rPr>
              <w:footnoteReference w:id="3"/>
            </w:r>
            <w:r w:rsidRPr="007C115F">
              <w:rPr>
                <w:rFonts w:ascii="Verdana" w:hAnsi="Verdana"/>
                <w:sz w:val="16"/>
                <w:szCs w:val="16"/>
                <w:lang w:val="en" w:eastAsia="cs-CZ"/>
              </w:rPr>
              <w:t>.</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Removal</w:t>
            </w:r>
            <w:proofErr w:type="gramEnd"/>
            <w:r w:rsidRPr="007C115F">
              <w:rPr>
                <w:rFonts w:ascii="Verdana" w:hAnsi="Verdana"/>
                <w:b/>
                <w:bCs/>
                <w:sz w:val="16"/>
                <w:szCs w:val="16"/>
                <w:lang w:val="en" w:eastAsia="cs-CZ"/>
              </w:rPr>
              <w:t xml:space="preserve"> of the obligation to check the status of SMEs from the </w:t>
            </w:r>
            <w:proofErr w:type="spellStart"/>
            <w:r w:rsidR="00052026" w:rsidRPr="00F26586">
              <w:rPr>
                <w:rFonts w:ascii="Verdana" w:hAnsi="Verdana"/>
                <w:b/>
                <w:bCs/>
                <w:sz w:val="16"/>
                <w:szCs w:val="16"/>
                <w:lang w:val="en" w:eastAsia="cs-CZ"/>
              </w:rPr>
              <w:t>CaI</w:t>
            </w:r>
            <w:proofErr w:type="spellEnd"/>
            <w:r w:rsidR="00052026" w:rsidRPr="00F26586">
              <w:rPr>
                <w:rFonts w:ascii="Verdana" w:hAnsi="Verdana"/>
                <w:b/>
                <w:bCs/>
                <w:sz w:val="16"/>
                <w:szCs w:val="16"/>
                <w:lang w:val="en" w:eastAsia="cs-CZ"/>
              </w:rPr>
              <w:t xml:space="preserve"> process</w:t>
            </w:r>
            <w:r w:rsidRPr="007C115F">
              <w:rPr>
                <w:rFonts w:ascii="Verdana" w:hAnsi="Verdana"/>
                <w:b/>
                <w:bCs/>
                <w:sz w:val="16"/>
                <w:szCs w:val="16"/>
                <w:lang w:val="en" w:eastAsia="cs-CZ"/>
              </w:rPr>
              <w:t>.</w:t>
            </w:r>
          </w:p>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sz w:val="16"/>
                <w:szCs w:val="16"/>
                <w:lang w:val="en" w:eastAsia="cs-CZ"/>
              </w:rPr>
              <w:t>Removal</w:t>
            </w:r>
            <w:proofErr w:type="gramEnd"/>
            <w:r w:rsidRPr="007C115F">
              <w:rPr>
                <w:rFonts w:ascii="Verdana" w:hAnsi="Verdana"/>
                <w:sz w:val="16"/>
                <w:szCs w:val="16"/>
                <w:lang w:val="en" w:eastAsia="cs-CZ"/>
              </w:rPr>
              <w:t xml:space="preserve"> of </w:t>
            </w:r>
            <w:proofErr w:type="spellStart"/>
            <w:r w:rsidRPr="007C115F">
              <w:rPr>
                <w:rFonts w:ascii="Verdana" w:hAnsi="Verdana"/>
                <w:sz w:val="16"/>
                <w:szCs w:val="16"/>
                <w:lang w:val="en" w:eastAsia="cs-CZ"/>
              </w:rPr>
              <w:t>labour</w:t>
            </w:r>
            <w:proofErr w:type="spellEnd"/>
            <w:r w:rsidRPr="007C115F">
              <w:rPr>
                <w:rFonts w:ascii="Verdana" w:hAnsi="Verdana"/>
                <w:sz w:val="16"/>
                <w:szCs w:val="16"/>
                <w:lang w:val="en" w:eastAsia="cs-CZ"/>
              </w:rPr>
              <w:t xml:space="preserve"> cost control from </w:t>
            </w:r>
            <w:proofErr w:type="spellStart"/>
            <w:r w:rsidR="00052026" w:rsidRPr="00F26586">
              <w:rPr>
                <w:rFonts w:ascii="Verdana" w:hAnsi="Verdana"/>
                <w:sz w:val="16"/>
                <w:szCs w:val="16"/>
                <w:lang w:val="en" w:eastAsia="cs-CZ"/>
              </w:rPr>
              <w:t>CaI</w:t>
            </w:r>
            <w:proofErr w:type="spellEnd"/>
            <w:r w:rsidRPr="007C115F">
              <w:rPr>
                <w:rFonts w:ascii="Verdana" w:hAnsi="Verdana"/>
                <w:sz w:val="16"/>
                <w:szCs w:val="16"/>
                <w:lang w:val="en" w:eastAsia="cs-CZ"/>
              </w:rPr>
              <w:t xml:space="preserve">. / </w:t>
            </w:r>
            <w:r w:rsidRPr="007C115F">
              <w:rPr>
                <w:rFonts w:ascii="Verdana" w:hAnsi="Verdana"/>
                <w:b/>
                <w:bCs/>
                <w:sz w:val="16"/>
                <w:szCs w:val="16"/>
                <w:lang w:val="en" w:eastAsia="cs-CZ"/>
              </w:rPr>
              <w:t xml:space="preserve">Introduction of flat-rate financing of </w:t>
            </w:r>
            <w:proofErr w:type="spellStart"/>
            <w:r w:rsidRPr="007C115F">
              <w:rPr>
                <w:rFonts w:ascii="Verdana" w:hAnsi="Verdana"/>
                <w:b/>
                <w:bCs/>
                <w:sz w:val="16"/>
                <w:szCs w:val="16"/>
                <w:lang w:val="en" w:eastAsia="cs-CZ"/>
              </w:rPr>
              <w:t>labour</w:t>
            </w:r>
            <w:proofErr w:type="spellEnd"/>
            <w:r w:rsidRPr="007C115F">
              <w:rPr>
                <w:rFonts w:ascii="Verdana" w:hAnsi="Verdana"/>
                <w:b/>
                <w:bCs/>
                <w:sz w:val="16"/>
                <w:szCs w:val="16"/>
                <w:lang w:val="en" w:eastAsia="cs-CZ"/>
              </w:rPr>
              <w:t xml:space="preserve"> costs</w:t>
            </w:r>
            <w:r w:rsidRPr="007C115F">
              <w:rPr>
                <w:rFonts w:ascii="Verdana" w:hAnsi="Verdana"/>
                <w:sz w:val="16"/>
                <w:szCs w:val="16"/>
                <w:lang w:eastAsia="cs-CZ"/>
              </w:rPr>
              <w:t>.</w:t>
            </w:r>
          </w:p>
          <w:p w:rsidR="007C115F" w:rsidRPr="007C115F" w:rsidRDefault="007C115F" w:rsidP="00052026">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sz w:val="16"/>
                <w:szCs w:val="16"/>
                <w:lang w:val="en" w:eastAsia="cs-CZ"/>
              </w:rPr>
              <w:t>Cancellation</w:t>
            </w:r>
            <w:proofErr w:type="gramEnd"/>
            <w:r w:rsidRPr="007C115F">
              <w:rPr>
                <w:rFonts w:ascii="Verdana" w:hAnsi="Verdana"/>
                <w:sz w:val="16"/>
                <w:szCs w:val="16"/>
                <w:lang w:val="en" w:eastAsia="cs-CZ"/>
              </w:rPr>
              <w:t xml:space="preserve"> of automatic sending of </w:t>
            </w:r>
            <w:proofErr w:type="spellStart"/>
            <w:r w:rsidR="00052026" w:rsidRPr="00F26586">
              <w:rPr>
                <w:rFonts w:ascii="Verdana" w:hAnsi="Verdana"/>
                <w:sz w:val="16"/>
                <w:szCs w:val="16"/>
                <w:lang w:val="en" w:eastAsia="cs-CZ"/>
              </w:rPr>
              <w:t>CaI</w:t>
            </w:r>
            <w:proofErr w:type="spellEnd"/>
            <w:r w:rsidRPr="007C115F">
              <w:rPr>
                <w:rFonts w:ascii="Verdana" w:hAnsi="Verdana"/>
                <w:sz w:val="16"/>
                <w:szCs w:val="16"/>
                <w:lang w:val="en" w:eastAsia="cs-CZ"/>
              </w:rPr>
              <w:t xml:space="preserve"> to unlaunched projects and automatic start of the process of withdrawal of the subsidy.</w:t>
            </w:r>
          </w:p>
        </w:tc>
        <w:tc>
          <w:tcPr>
            <w:tcW w:w="715" w:type="pct"/>
            <w:vMerge w:val="restar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13</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en" w:eastAsia="cs-CZ"/>
              </w:rPr>
            </w:pPr>
            <w:r w:rsidRPr="007C115F">
              <w:rPr>
                <w:rFonts w:ascii="Verdana" w:eastAsia="Times New Roman" w:hAnsi="Verdana" w:cs="Calibri Light"/>
                <w:b/>
                <w:bCs/>
                <w:sz w:val="16"/>
                <w:szCs w:val="16"/>
                <w:lang w:eastAsia="cs-CZ"/>
              </w:rPr>
              <w:t>Verification of SME status in</w:t>
            </w:r>
            <w:r w:rsidRPr="007C115F">
              <w:rPr>
                <w:rFonts w:ascii="Verdana" w:eastAsia="Times New Roman" w:hAnsi="Verdana" w:cs="Calibri Light"/>
                <w:b/>
                <w:bCs/>
                <w:sz w:val="16"/>
                <w:szCs w:val="16"/>
                <w:lang w:val="en" w:eastAsia="cs-CZ"/>
              </w:rPr>
              <w:t xml:space="preserve"> </w:t>
            </w:r>
            <w:r w:rsidRPr="007C115F">
              <w:rPr>
                <w:rFonts w:ascii="Verdana" w:eastAsia="Times New Roman" w:hAnsi="Verdana" w:cs="Calibri Light"/>
                <w:sz w:val="16"/>
                <w:szCs w:val="16"/>
                <w:lang w:val="en" w:eastAsia="cs-CZ"/>
              </w:rPr>
              <w:t>the context of</w:t>
            </w:r>
            <w:r w:rsidRPr="007C115F">
              <w:rPr>
                <w:rFonts w:ascii="Verdana" w:eastAsia="Times New Roman" w:hAnsi="Verdana" w:cs="Calibri Light"/>
                <w:sz w:val="16"/>
                <w:szCs w:val="16"/>
                <w:lang w:eastAsia="cs-CZ"/>
              </w:rPr>
              <w:t xml:space="preserve"> on-the-spot </w:t>
            </w:r>
            <w:r w:rsidRPr="007C115F">
              <w:rPr>
                <w:rFonts w:ascii="Verdana" w:eastAsia="Times New Roman" w:hAnsi="Verdana" w:cs="Calibri Light"/>
                <w:b/>
                <w:bCs/>
                <w:sz w:val="16"/>
                <w:szCs w:val="16"/>
                <w:lang w:eastAsia="cs-CZ"/>
              </w:rPr>
              <w:t>checks is the most time-consuming activity with low added value</w:t>
            </w:r>
            <w:r w:rsidRPr="007C115F">
              <w:rPr>
                <w:rFonts w:ascii="Verdana" w:eastAsia="Times New Roman" w:hAnsi="Verdana" w:cs="Calibri Light"/>
                <w:sz w:val="16"/>
                <w:szCs w:val="16"/>
                <w:lang w:eastAsia="cs-CZ"/>
              </w:rPr>
              <w:t>.</w:t>
            </w:r>
          </w:p>
        </w:tc>
        <w:tc>
          <w:tcPr>
            <w:tcW w:w="0" w:type="auto"/>
            <w:vMerge/>
            <w:tcBorders>
              <w:top w:val="nil"/>
              <w:left w:val="nil"/>
              <w:bottom w:val="single" w:sz="8" w:space="0" w:color="D9D9D9"/>
              <w:right w:val="single" w:sz="8" w:space="0" w:color="D0EC9F"/>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c>
          <w:tcPr>
            <w:tcW w:w="0" w:type="auto"/>
            <w:vMerge/>
            <w:tcBorders>
              <w:top w:val="nil"/>
              <w:left w:val="nil"/>
              <w:bottom w:val="single" w:sz="8" w:space="0" w:color="D9D9D9"/>
              <w:right w:val="nil"/>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14</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en" w:eastAsia="cs-CZ"/>
              </w:rPr>
            </w:pPr>
            <w:r w:rsidRPr="007C115F">
              <w:rPr>
                <w:rFonts w:ascii="Verdana" w:eastAsia="Times New Roman" w:hAnsi="Verdana" w:cs="Calibri Light"/>
                <w:b/>
                <w:bCs/>
                <w:sz w:val="16"/>
                <w:szCs w:val="16"/>
                <w:lang w:eastAsia="cs-CZ"/>
              </w:rPr>
              <w:t>Controlling labor costs is</w:t>
            </w:r>
            <w:r w:rsidRPr="007C115F">
              <w:rPr>
                <w:rFonts w:ascii="Verdana" w:eastAsia="Times New Roman" w:hAnsi="Verdana" w:cs="Calibri Light"/>
                <w:b/>
                <w:bCs/>
                <w:sz w:val="16"/>
                <w:szCs w:val="16"/>
                <w:lang w:val="en" w:eastAsia="cs-CZ"/>
              </w:rPr>
              <w:t xml:space="preserve"> </w:t>
            </w:r>
            <w:r w:rsidRPr="007C115F">
              <w:rPr>
                <w:rFonts w:ascii="Verdana" w:eastAsia="Times New Roman" w:hAnsi="Verdana" w:cs="Calibri Light"/>
                <w:b/>
                <w:bCs/>
                <w:sz w:val="16"/>
                <w:szCs w:val="16"/>
                <w:lang w:eastAsia="cs-CZ"/>
              </w:rPr>
              <w:t>time-consuming and slows down the entire inspection</w:t>
            </w:r>
            <w:r w:rsidRPr="007C115F">
              <w:rPr>
                <w:rFonts w:ascii="Verdana" w:eastAsia="Times New Roman" w:hAnsi="Verdana" w:cs="Calibri Light"/>
                <w:sz w:val="16"/>
                <w:szCs w:val="16"/>
                <w:lang w:eastAsia="cs-CZ"/>
              </w:rPr>
              <w:t xml:space="preserve"> process.</w:t>
            </w:r>
          </w:p>
        </w:tc>
        <w:tc>
          <w:tcPr>
            <w:tcW w:w="0" w:type="auto"/>
            <w:vMerge/>
            <w:tcBorders>
              <w:top w:val="nil"/>
              <w:left w:val="nil"/>
              <w:bottom w:val="single" w:sz="8" w:space="0" w:color="D9D9D9"/>
              <w:right w:val="single" w:sz="8" w:space="0" w:color="D0EC9F"/>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c>
          <w:tcPr>
            <w:tcW w:w="0" w:type="auto"/>
            <w:vMerge/>
            <w:tcBorders>
              <w:top w:val="nil"/>
              <w:left w:val="nil"/>
              <w:bottom w:val="single" w:sz="8" w:space="0" w:color="D9D9D9"/>
              <w:right w:val="nil"/>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15</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On-the-spot checks are also carried out in the case of 'dead projects'</w:t>
            </w:r>
            <w:r w:rsidR="00052026" w:rsidRPr="00F26586">
              <w:rPr>
                <w:rFonts w:ascii="Verdana" w:eastAsia="Times New Roman" w:hAnsi="Verdana" w:cs="Calibri Light"/>
                <w:b/>
                <w:bCs/>
                <w:sz w:val="16"/>
                <w:szCs w:val="16"/>
                <w:lang w:val="en" w:eastAsia="cs-CZ"/>
              </w:rPr>
              <w:t>.</w:t>
            </w:r>
          </w:p>
        </w:tc>
        <w:tc>
          <w:tcPr>
            <w:tcW w:w="0" w:type="auto"/>
            <w:vMerge/>
            <w:tcBorders>
              <w:top w:val="nil"/>
              <w:left w:val="nil"/>
              <w:bottom w:val="single" w:sz="8" w:space="0" w:color="D9D9D9"/>
              <w:right w:val="single" w:sz="8" w:space="0" w:color="D0EC9F"/>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c>
          <w:tcPr>
            <w:tcW w:w="0" w:type="auto"/>
            <w:vMerge/>
            <w:tcBorders>
              <w:top w:val="nil"/>
              <w:left w:val="nil"/>
              <w:bottom w:val="single" w:sz="8" w:space="0" w:color="D9D9D9"/>
              <w:right w:val="nil"/>
            </w:tcBorders>
            <w:vAlign w:val="center"/>
            <w:hideMark/>
          </w:tcPr>
          <w:p w:rsidR="007C115F" w:rsidRPr="007C115F" w:rsidRDefault="007C115F" w:rsidP="007C115F">
            <w:pPr>
              <w:spacing w:after="0" w:line="240" w:lineRule="auto"/>
              <w:rPr>
                <w:rFonts w:ascii="Verdana" w:eastAsia="Times New Roman" w:hAnsi="Verdana" w:cs="Calibri Light"/>
                <w:sz w:val="16"/>
                <w:szCs w:val="16"/>
                <w:lang w:val="cs-CZ" w:eastAsia="cs-CZ"/>
              </w:rPr>
            </w:pP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16</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12126B">
            <w:pPr>
              <w:spacing w:before="60" w:after="60"/>
              <w:rPr>
                <w:rFonts w:ascii="Verdana" w:eastAsia="Times New Roman" w:hAnsi="Verdana" w:cs="Calibri Light"/>
                <w:sz w:val="16"/>
                <w:szCs w:val="16"/>
                <w:lang w:val="en" w:eastAsia="cs-CZ"/>
              </w:rPr>
            </w:pPr>
            <w:r w:rsidRPr="007C115F">
              <w:rPr>
                <w:rFonts w:ascii="Verdana" w:eastAsia="Times New Roman" w:hAnsi="Verdana" w:cs="Calibri Light"/>
                <w:sz w:val="16"/>
                <w:szCs w:val="16"/>
                <w:lang w:val="en" w:eastAsia="cs-CZ"/>
              </w:rPr>
              <w:t xml:space="preserve">The sanctions system for the Final Sustainability Reports leads to a </w:t>
            </w:r>
            <w:r w:rsidRPr="007C115F">
              <w:rPr>
                <w:rFonts w:ascii="Verdana" w:eastAsia="Times New Roman" w:hAnsi="Verdana" w:cs="Calibri Light"/>
                <w:b/>
                <w:bCs/>
                <w:sz w:val="16"/>
                <w:szCs w:val="16"/>
                <w:lang w:eastAsia="cs-CZ"/>
              </w:rPr>
              <w:t xml:space="preserve">large number of reported irregularities </w:t>
            </w:r>
            <w:r w:rsidRPr="007C115F">
              <w:rPr>
                <w:rFonts w:ascii="Verdana" w:eastAsia="Times New Roman" w:hAnsi="Verdana" w:cs="Calibri Light"/>
                <w:sz w:val="16"/>
                <w:szCs w:val="16"/>
                <w:lang w:val="en" w:eastAsia="cs-CZ"/>
              </w:rPr>
              <w:t xml:space="preserve">of </w:t>
            </w:r>
            <w:r w:rsidRPr="007C115F">
              <w:rPr>
                <w:rFonts w:ascii="Verdana" w:eastAsia="Times New Roman" w:hAnsi="Verdana" w:cs="Calibri Light"/>
                <w:sz w:val="16"/>
                <w:szCs w:val="16"/>
                <w:lang w:eastAsia="cs-CZ"/>
              </w:rPr>
              <w:t xml:space="preserve">an </w:t>
            </w:r>
            <w:r w:rsidRPr="007C115F">
              <w:rPr>
                <w:rFonts w:ascii="Verdana" w:eastAsia="Times New Roman" w:hAnsi="Verdana" w:cs="Calibri Light"/>
                <w:sz w:val="16"/>
                <w:szCs w:val="16"/>
                <w:lang w:eastAsia="cs-CZ"/>
              </w:rPr>
              <w:lastRenderedPageBreak/>
              <w:t xml:space="preserve">insignificant amount of 0.01% </w:t>
            </w:r>
            <w:r w:rsidRPr="007C115F">
              <w:rPr>
                <w:rFonts w:ascii="Verdana" w:eastAsia="Times New Roman" w:hAnsi="Verdana" w:cs="Calibri Light"/>
                <w:sz w:val="16"/>
                <w:szCs w:val="16"/>
                <w:lang w:val="en" w:eastAsia="cs-CZ"/>
              </w:rPr>
              <w:t>and an administrative burden on the implementation structure.</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lastRenderedPageBreak/>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Abolition</w:t>
            </w:r>
            <w:proofErr w:type="gramEnd"/>
            <w:r w:rsidRPr="007C115F">
              <w:rPr>
                <w:rFonts w:ascii="Verdana" w:hAnsi="Verdana"/>
                <w:b/>
                <w:bCs/>
                <w:sz w:val="16"/>
                <w:szCs w:val="16"/>
                <w:lang w:val="en" w:eastAsia="cs-CZ"/>
              </w:rPr>
              <w:t xml:space="preserve"> of the sanctioning mechanism for not presenting a sustainability report.</w:t>
            </w:r>
          </w:p>
          <w:p w:rsidR="007C115F" w:rsidRPr="007C115F" w:rsidRDefault="007C115F" w:rsidP="0012126B">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lastRenderedPageBreak/>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Introduction</w:t>
            </w:r>
            <w:proofErr w:type="gramEnd"/>
            <w:r w:rsidRPr="007C115F">
              <w:rPr>
                <w:rFonts w:ascii="Verdana" w:hAnsi="Verdana"/>
                <w:b/>
                <w:bCs/>
                <w:sz w:val="16"/>
                <w:szCs w:val="16"/>
                <w:lang w:val="en" w:eastAsia="cs-CZ"/>
              </w:rPr>
              <w:t xml:space="preserve"> of automatic notification of </w:t>
            </w:r>
            <w:r w:rsidR="0012126B" w:rsidRPr="00F26586">
              <w:rPr>
                <w:rFonts w:ascii="Verdana" w:hAnsi="Verdana"/>
                <w:b/>
                <w:bCs/>
                <w:sz w:val="16"/>
                <w:szCs w:val="16"/>
                <w:lang w:val="en" w:eastAsia="cs-CZ"/>
              </w:rPr>
              <w:t>beneficiaries</w:t>
            </w:r>
            <w:r w:rsidRPr="007C115F">
              <w:rPr>
                <w:rFonts w:ascii="Verdana" w:hAnsi="Verdana"/>
                <w:b/>
                <w:bCs/>
                <w:sz w:val="16"/>
                <w:szCs w:val="16"/>
                <w:lang w:val="en" w:eastAsia="cs-CZ"/>
              </w:rPr>
              <w:t xml:space="preserve"> of their information obligations to their </w:t>
            </w:r>
            <w:r w:rsidR="0012126B" w:rsidRPr="00F26586">
              <w:rPr>
                <w:rFonts w:ascii="Verdana" w:hAnsi="Verdana"/>
                <w:b/>
                <w:bCs/>
                <w:sz w:val="16"/>
                <w:szCs w:val="16"/>
                <w:lang w:val="en" w:eastAsia="cs-CZ"/>
              </w:rPr>
              <w:t>“</w:t>
            </w:r>
            <w:r w:rsidRPr="007C115F">
              <w:rPr>
                <w:rFonts w:ascii="Verdana" w:hAnsi="Verdana"/>
                <w:b/>
                <w:bCs/>
                <w:sz w:val="16"/>
                <w:szCs w:val="16"/>
                <w:lang w:val="en" w:eastAsia="cs-CZ"/>
              </w:rPr>
              <w:t>data box</w:t>
            </w:r>
            <w:r w:rsidR="0012126B" w:rsidRPr="00F26586">
              <w:rPr>
                <w:rFonts w:ascii="Verdana" w:hAnsi="Verdana"/>
                <w:b/>
                <w:bCs/>
                <w:sz w:val="16"/>
                <w:szCs w:val="16"/>
                <w:lang w:val="en" w:eastAsia="cs-CZ"/>
              </w:rPr>
              <w:t>”</w:t>
            </w:r>
            <w:r w:rsidRPr="007C115F">
              <w:rPr>
                <w:rFonts w:ascii="Verdana" w:hAnsi="Verdana"/>
                <w:b/>
                <w:bCs/>
                <w:sz w:val="16"/>
                <w:szCs w:val="16"/>
                <w:lang w:val="en" w:eastAsia="cs-CZ"/>
              </w:rPr>
              <w:t>.</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lastRenderedPageBreak/>
              <w:t>Short-term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17</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12126B" w:rsidP="007C115F">
            <w:pPr>
              <w:spacing w:before="60" w:after="60"/>
              <w:rPr>
                <w:rFonts w:ascii="Verdana" w:eastAsia="Times New Roman" w:hAnsi="Verdana" w:cs="Calibri Light"/>
                <w:sz w:val="16"/>
                <w:szCs w:val="16"/>
                <w:lang w:val="en" w:eastAsia="cs-CZ"/>
              </w:rPr>
            </w:pPr>
            <w:r w:rsidRPr="00F26586">
              <w:rPr>
                <w:rFonts w:ascii="Verdana" w:eastAsia="Times New Roman" w:hAnsi="Verdana" w:cs="Calibri Light"/>
                <w:b/>
                <w:bCs/>
                <w:sz w:val="16"/>
                <w:szCs w:val="16"/>
                <w:lang w:eastAsia="cs-CZ"/>
              </w:rPr>
              <w:t>The IB</w:t>
            </w:r>
            <w:r w:rsidR="007C115F" w:rsidRPr="007C115F">
              <w:rPr>
                <w:rFonts w:ascii="Verdana" w:eastAsia="Times New Roman" w:hAnsi="Verdana" w:cs="Calibri Light"/>
                <w:b/>
                <w:bCs/>
                <w:sz w:val="16"/>
                <w:szCs w:val="16"/>
                <w:lang w:eastAsia="cs-CZ"/>
              </w:rPr>
              <w:t xml:space="preserve"> does not receive feedback on</w:t>
            </w:r>
            <w:r w:rsidR="007C115F" w:rsidRPr="007C115F">
              <w:rPr>
                <w:rFonts w:ascii="Verdana" w:eastAsia="Times New Roman" w:hAnsi="Verdana" w:cs="Calibri Light"/>
                <w:b/>
                <w:bCs/>
                <w:sz w:val="16"/>
                <w:szCs w:val="16"/>
                <w:lang w:val="en" w:eastAsia="cs-CZ"/>
              </w:rPr>
              <w:t xml:space="preserve"> </w:t>
            </w:r>
            <w:r w:rsidR="007C115F" w:rsidRPr="007C115F">
              <w:rPr>
                <w:rFonts w:ascii="Verdana" w:eastAsia="Times New Roman" w:hAnsi="Verdana" w:cs="Calibri Light"/>
                <w:sz w:val="16"/>
                <w:szCs w:val="16"/>
                <w:lang w:val="en" w:eastAsia="cs-CZ"/>
              </w:rPr>
              <w:t>the way forward in the event of reported</w:t>
            </w:r>
            <w:r w:rsidR="007C115F" w:rsidRPr="007C115F">
              <w:rPr>
                <w:rFonts w:ascii="Verdana" w:eastAsia="Times New Roman" w:hAnsi="Verdana" w:cs="Calibri Light"/>
                <w:sz w:val="16"/>
                <w:szCs w:val="16"/>
                <w:lang w:eastAsia="cs-CZ"/>
              </w:rPr>
              <w:t xml:space="preserve"> irregularities.</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12126B">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sz w:val="16"/>
                <w:szCs w:val="16"/>
                <w:lang w:val="en" w:eastAsia="cs-CZ"/>
              </w:rPr>
              <w:t>Sending</w:t>
            </w:r>
            <w:proofErr w:type="gramEnd"/>
            <w:r w:rsidRPr="007C115F">
              <w:rPr>
                <w:rFonts w:ascii="Verdana" w:hAnsi="Verdana"/>
                <w:sz w:val="16"/>
                <w:szCs w:val="16"/>
                <w:lang w:val="en" w:eastAsia="cs-CZ"/>
              </w:rPr>
              <w:t xml:space="preserve"> feedback to the I</w:t>
            </w:r>
            <w:r w:rsidR="0012126B" w:rsidRPr="00F26586">
              <w:rPr>
                <w:rFonts w:ascii="Verdana" w:hAnsi="Verdana"/>
                <w:sz w:val="16"/>
                <w:szCs w:val="16"/>
                <w:lang w:val="en" w:eastAsia="cs-CZ"/>
              </w:rPr>
              <w:t>B</w:t>
            </w:r>
            <w:r w:rsidRPr="007C115F">
              <w:rPr>
                <w:rFonts w:ascii="Verdana" w:hAnsi="Verdana"/>
                <w:sz w:val="16"/>
                <w:szCs w:val="16"/>
                <w:lang w:val="en" w:eastAsia="cs-CZ"/>
              </w:rPr>
              <w:t xml:space="preserve"> about the process of irregularities.</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18</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 xml:space="preserve">The long delay between the imposition and application of a </w:t>
            </w:r>
            <w:r w:rsidRPr="007C115F">
              <w:rPr>
                <w:rFonts w:ascii="Verdana" w:eastAsia="Times New Roman" w:hAnsi="Verdana" w:cs="Calibri Light"/>
                <w:b/>
                <w:bCs/>
                <w:sz w:val="16"/>
                <w:szCs w:val="16"/>
                <w:lang w:val="en" w:eastAsia="cs-CZ"/>
              </w:rPr>
              <w:t>penalty</w:t>
            </w:r>
            <w:r w:rsidRPr="007C115F">
              <w:rPr>
                <w:rFonts w:ascii="Verdana" w:eastAsia="Times New Roman" w:hAnsi="Verdana" w:cs="Calibri Light"/>
                <w:sz w:val="16"/>
                <w:szCs w:val="16"/>
                <w:lang w:val="en" w:eastAsia="cs-CZ"/>
              </w:rPr>
              <w:t xml:space="preserve"> leads to intervention in several financial years.</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052026">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proofErr w:type="spellStart"/>
            <w:r w:rsidRPr="007C115F">
              <w:rPr>
                <w:rFonts w:ascii="Verdana" w:hAnsi="Verdana"/>
                <w:sz w:val="16"/>
                <w:szCs w:val="16"/>
                <w:lang w:val="en" w:eastAsia="cs-CZ"/>
              </w:rPr>
              <w:t>Robotization</w:t>
            </w:r>
            <w:proofErr w:type="spellEnd"/>
            <w:proofErr w:type="gramEnd"/>
            <w:r w:rsidRPr="007C115F">
              <w:rPr>
                <w:rFonts w:ascii="Verdana" w:hAnsi="Verdana"/>
                <w:sz w:val="16"/>
                <w:szCs w:val="16"/>
                <w:lang w:val="en" w:eastAsia="cs-CZ"/>
              </w:rPr>
              <w:t xml:space="preserve"> and automation of sanctions calculation processes.</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12126B"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Medium-term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19</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en" w:eastAsia="cs-CZ"/>
              </w:rPr>
            </w:pPr>
            <w:r w:rsidRPr="007C115F">
              <w:rPr>
                <w:rFonts w:ascii="Verdana" w:eastAsia="Times New Roman" w:hAnsi="Verdana" w:cs="Calibri Light"/>
                <w:b/>
                <w:bCs/>
                <w:sz w:val="16"/>
                <w:szCs w:val="16"/>
                <w:lang w:eastAsia="cs-CZ"/>
              </w:rPr>
              <w:t>Complexity of reduction of subsidies</w:t>
            </w:r>
            <w:r w:rsidRPr="007C115F">
              <w:rPr>
                <w:rFonts w:ascii="Verdana" w:eastAsia="Times New Roman" w:hAnsi="Verdana" w:cs="Calibri Light"/>
                <w:b/>
                <w:bCs/>
                <w:sz w:val="16"/>
                <w:szCs w:val="16"/>
                <w:lang w:val="en" w:eastAsia="cs-CZ"/>
              </w:rPr>
              <w:t xml:space="preserve"> </w:t>
            </w:r>
            <w:r w:rsidRPr="007C115F">
              <w:rPr>
                <w:rFonts w:ascii="Verdana" w:eastAsia="Times New Roman" w:hAnsi="Verdana" w:cs="Calibri Light"/>
                <w:sz w:val="16"/>
                <w:szCs w:val="16"/>
                <w:lang w:val="en" w:eastAsia="cs-CZ"/>
              </w:rPr>
              <w:t>according to</w:t>
            </w:r>
            <w:r w:rsidRPr="007C115F">
              <w:rPr>
                <w:rFonts w:ascii="Verdana" w:eastAsia="Times New Roman" w:hAnsi="Verdana" w:cs="Calibri Light"/>
                <w:sz w:val="16"/>
                <w:szCs w:val="16"/>
                <w:lang w:eastAsia="cs-CZ"/>
              </w:rPr>
              <w:t xml:space="preserve"> §14 of Act No. 218/2000 Coll. Influence of reduction of ineligible expenditure on internal limits.</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proofErr w:type="spellStart"/>
            <w:r w:rsidRPr="007C115F">
              <w:rPr>
                <w:rFonts w:ascii="Verdana" w:hAnsi="Verdana"/>
                <w:sz w:val="16"/>
                <w:szCs w:val="16"/>
                <w:lang w:val="en" w:eastAsia="cs-CZ"/>
              </w:rPr>
              <w:t>Robotization</w:t>
            </w:r>
            <w:proofErr w:type="spellEnd"/>
            <w:proofErr w:type="gramEnd"/>
            <w:r w:rsidRPr="007C115F">
              <w:rPr>
                <w:rFonts w:ascii="Verdana" w:hAnsi="Verdana"/>
                <w:sz w:val="16"/>
                <w:szCs w:val="16"/>
                <w:lang w:val="en" w:eastAsia="cs-CZ"/>
              </w:rPr>
              <w:t>, automation of the calculation of subsidy cuts.</w:t>
            </w:r>
          </w:p>
          <w:p w:rsidR="007C115F" w:rsidRPr="007C115F" w:rsidRDefault="007C115F" w:rsidP="00052026">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b/>
                <w:bCs/>
                <w:sz w:val="16"/>
                <w:szCs w:val="16"/>
                <w:lang w:val="en" w:eastAsia="cs-CZ"/>
              </w:rPr>
              <w:t>Introduction</w:t>
            </w:r>
            <w:proofErr w:type="gramEnd"/>
            <w:r w:rsidRPr="007C115F">
              <w:rPr>
                <w:rFonts w:ascii="Verdana" w:hAnsi="Verdana"/>
                <w:b/>
                <w:bCs/>
                <w:sz w:val="16"/>
                <w:szCs w:val="16"/>
                <w:lang w:val="en" w:eastAsia="cs-CZ"/>
              </w:rPr>
              <w:t xml:space="preserve"> of a uniform level of support.</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12126B"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Medium-term horizon</w:t>
            </w:r>
          </w:p>
        </w:tc>
      </w:tr>
      <w:tr w:rsidR="007C115F" w:rsidRPr="007C115F" w:rsidTr="007C115F">
        <w:tc>
          <w:tcPr>
            <w:tcW w:w="200" w:type="pct"/>
            <w:tcBorders>
              <w:top w:val="nil"/>
              <w:left w:val="single" w:sz="8" w:space="0" w:color="D0EC9F"/>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eastAsia="cs-CZ"/>
              </w:rPr>
              <w:t> </w:t>
            </w:r>
          </w:p>
        </w:tc>
        <w:tc>
          <w:tcPr>
            <w:tcW w:w="4800" w:type="pct"/>
            <w:gridSpan w:val="3"/>
            <w:tcBorders>
              <w:top w:val="nil"/>
              <w:left w:val="nil"/>
              <w:bottom w:val="single" w:sz="8" w:space="0" w:color="D9D9D9"/>
              <w:right w:val="single" w:sz="8" w:space="0" w:color="D0EC9F"/>
            </w:tcBorders>
            <w:shd w:val="clear" w:color="auto" w:fill="E7F5CF"/>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Communication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20</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val="en" w:eastAsia="cs-CZ"/>
              </w:rPr>
              <w:t>Under-set communication processes and absence of communication platforms within the OP PIK implementation structure</w:t>
            </w:r>
            <w:r w:rsidR="0012126B" w:rsidRPr="00F26586">
              <w:rPr>
                <w:rFonts w:ascii="Verdana" w:eastAsia="Times New Roman" w:hAnsi="Verdana" w:cs="Calibri Light"/>
                <w:sz w:val="16"/>
                <w:szCs w:val="16"/>
                <w:lang w:eastAsia="cs-CZ"/>
              </w:rPr>
              <w:t>.</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sz w:val="16"/>
                <w:szCs w:val="16"/>
                <w:lang w:val="en" w:eastAsia="cs-CZ"/>
              </w:rPr>
              <w:t>Introduction</w:t>
            </w:r>
            <w:proofErr w:type="gramEnd"/>
            <w:r w:rsidRPr="007C115F">
              <w:rPr>
                <w:rFonts w:ascii="Verdana" w:hAnsi="Verdana"/>
                <w:sz w:val="16"/>
                <w:szCs w:val="16"/>
                <w:lang w:val="en" w:eastAsia="cs-CZ"/>
              </w:rPr>
              <w:t xml:space="preserve"> of communication mechanisms within the IS OP PIK (information sharing platform beyond sectional meetings) e.g. using the </w:t>
            </w:r>
            <w:proofErr w:type="spellStart"/>
            <w:r w:rsidRPr="007C115F">
              <w:rPr>
                <w:rFonts w:ascii="Verdana" w:hAnsi="Verdana"/>
                <w:sz w:val="16"/>
                <w:szCs w:val="16"/>
                <w:lang w:val="en" w:eastAsia="cs-CZ"/>
              </w:rPr>
              <w:t>Programboard</w:t>
            </w:r>
            <w:proofErr w:type="spellEnd"/>
            <w:r w:rsidRPr="007C115F">
              <w:rPr>
                <w:rFonts w:ascii="Verdana" w:hAnsi="Verdana"/>
                <w:sz w:val="16"/>
                <w:szCs w:val="16"/>
                <w:lang w:val="en" w:eastAsia="cs-CZ"/>
              </w:rPr>
              <w:t xml:space="preserve"> information sharing platform.</w:t>
            </w:r>
          </w:p>
          <w:p w:rsidR="007C115F" w:rsidRPr="007C115F" w:rsidRDefault="007C115F" w:rsidP="00052026">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w:t>
            </w:r>
            <w:proofErr w:type="gramStart"/>
            <w:r w:rsidRPr="007C115F">
              <w:rPr>
                <w:rFonts w:ascii="Verdana" w:hAnsi="Verdana"/>
                <w:sz w:val="16"/>
                <w:szCs w:val="16"/>
                <w:lang w:eastAsia="cs-CZ"/>
              </w:rPr>
              <w:t>  </w:t>
            </w:r>
            <w:r w:rsidRPr="007C115F">
              <w:rPr>
                <w:rFonts w:ascii="Verdana" w:hAnsi="Verdana"/>
                <w:sz w:val="16"/>
                <w:szCs w:val="16"/>
                <w:lang w:val="en" w:eastAsia="cs-CZ"/>
              </w:rPr>
              <w:t>Introduce</w:t>
            </w:r>
            <w:proofErr w:type="gramEnd"/>
            <w:r w:rsidRPr="007C115F">
              <w:rPr>
                <w:rFonts w:ascii="Verdana" w:hAnsi="Verdana"/>
                <w:sz w:val="16"/>
                <w:szCs w:val="16"/>
                <w:lang w:val="en" w:eastAsia="cs-CZ"/>
              </w:rPr>
              <w:t xml:space="preserve"> targeted collection and sharing of examples of good and bad practice, again using a single platform, e.g. </w:t>
            </w:r>
            <w:proofErr w:type="spellStart"/>
            <w:r w:rsidRPr="007C115F">
              <w:rPr>
                <w:rFonts w:ascii="Verdana" w:hAnsi="Verdana"/>
                <w:sz w:val="16"/>
                <w:szCs w:val="16"/>
                <w:lang w:val="en" w:eastAsia="cs-CZ"/>
              </w:rPr>
              <w:t>Programboard</w:t>
            </w:r>
            <w:proofErr w:type="spellEnd"/>
            <w:r w:rsidRPr="007C115F">
              <w:rPr>
                <w:rFonts w:ascii="Verdana" w:hAnsi="Verdana"/>
                <w:sz w:val="16"/>
                <w:szCs w:val="16"/>
                <w:lang w:val="en" w:eastAsia="cs-CZ"/>
              </w:rPr>
              <w:t xml:space="preserve"> with simple orientation and search. </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Medium-term horizon</w:t>
            </w:r>
          </w:p>
        </w:tc>
      </w:tr>
      <w:tr w:rsidR="007C115F" w:rsidRPr="007C115F" w:rsidTr="007C115F">
        <w:tc>
          <w:tcPr>
            <w:tcW w:w="200" w:type="pct"/>
            <w:tcBorders>
              <w:top w:val="nil"/>
              <w:left w:val="single" w:sz="8" w:space="0" w:color="D0EC9F"/>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21</w:t>
            </w:r>
          </w:p>
        </w:tc>
        <w:tc>
          <w:tcPr>
            <w:tcW w:w="2017"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b/>
                <w:bCs/>
                <w:sz w:val="16"/>
                <w:szCs w:val="16"/>
                <w:lang w:eastAsia="cs-CZ"/>
              </w:rPr>
              <w:t>The</w:t>
            </w:r>
            <w:r w:rsidR="00F26586" w:rsidRPr="00F26586">
              <w:rPr>
                <w:rFonts w:ascii="Verdana" w:eastAsia="Times New Roman" w:hAnsi="Verdana" w:cs="Calibri Light"/>
                <w:b/>
                <w:bCs/>
                <w:sz w:val="16"/>
                <w:szCs w:val="16"/>
                <w:lang w:eastAsia="cs-CZ"/>
              </w:rPr>
              <w:t xml:space="preserve"> </w:t>
            </w:r>
            <w:r w:rsidRPr="007C115F">
              <w:rPr>
                <w:rFonts w:ascii="Verdana" w:eastAsia="Times New Roman" w:hAnsi="Verdana" w:cs="Calibri Light"/>
                <w:sz w:val="16"/>
                <w:szCs w:val="16"/>
                <w:lang w:val="en" w:eastAsia="cs-CZ"/>
              </w:rPr>
              <w:t xml:space="preserve">language by which OP PIK support is </w:t>
            </w:r>
            <w:r w:rsidRPr="007C115F">
              <w:rPr>
                <w:rFonts w:ascii="Verdana" w:eastAsia="Times New Roman" w:hAnsi="Verdana" w:cs="Calibri Light"/>
                <w:b/>
                <w:bCs/>
                <w:sz w:val="16"/>
                <w:szCs w:val="16"/>
                <w:lang w:val="en" w:eastAsia="cs-CZ"/>
              </w:rPr>
              <w:t>communicated is not always user-friendly</w:t>
            </w:r>
            <w:r w:rsidRPr="007C115F">
              <w:rPr>
                <w:rFonts w:ascii="Verdana" w:eastAsia="Times New Roman" w:hAnsi="Verdana" w:cs="Calibri Light"/>
                <w:sz w:val="16"/>
                <w:szCs w:val="16"/>
                <w:lang w:val="en" w:eastAsia="cs-CZ"/>
              </w:rPr>
              <w:t xml:space="preserve">, it is complex for applicants, </w:t>
            </w:r>
            <w:proofErr w:type="gramStart"/>
            <w:r w:rsidRPr="007C115F">
              <w:rPr>
                <w:rFonts w:ascii="Verdana" w:eastAsia="Times New Roman" w:hAnsi="Verdana" w:cs="Calibri Light"/>
                <w:sz w:val="16"/>
                <w:szCs w:val="16"/>
                <w:lang w:val="en" w:eastAsia="cs-CZ"/>
              </w:rPr>
              <w:t>the</w:t>
            </w:r>
            <w:proofErr w:type="gramEnd"/>
            <w:r w:rsidRPr="007C115F">
              <w:rPr>
                <w:rFonts w:ascii="Verdana" w:eastAsia="Times New Roman" w:hAnsi="Verdana" w:cs="Calibri Light"/>
                <w:sz w:val="16"/>
                <w:szCs w:val="16"/>
                <w:lang w:val="en" w:eastAsia="cs-CZ"/>
              </w:rPr>
              <w:t xml:space="preserve"> wording is long and cluttered. This applies to the website, the wording of the calls and the methodological environment. </w:t>
            </w:r>
          </w:p>
        </w:tc>
        <w:tc>
          <w:tcPr>
            <w:tcW w:w="2069" w:type="pct"/>
            <w:tcBorders>
              <w:top w:val="nil"/>
              <w:left w:val="nil"/>
              <w:bottom w:val="single" w:sz="8" w:space="0" w:color="D9D9D9"/>
              <w:right w:val="single" w:sz="8" w:space="0" w:color="D0EC9F"/>
            </w:tcBorders>
            <w:tcMar>
              <w:top w:w="29" w:type="dxa"/>
              <w:left w:w="29" w:type="dxa"/>
              <w:bottom w:w="29" w:type="dxa"/>
              <w:right w:w="29" w:type="dxa"/>
            </w:tcMar>
            <w:hideMark/>
          </w:tcPr>
          <w:p w:rsidR="007C115F" w:rsidRPr="007C115F" w:rsidRDefault="007C115F" w:rsidP="00052026">
            <w:pPr>
              <w:spacing w:before="60" w:after="60" w:line="240" w:lineRule="auto"/>
              <w:ind w:left="224" w:right="134" w:hanging="180"/>
              <w:rPr>
                <w:rFonts w:ascii="Verdana" w:hAnsi="Verdana"/>
                <w:sz w:val="16"/>
                <w:szCs w:val="16"/>
                <w:lang w:val="cs-CZ" w:eastAsia="cs-CZ"/>
              </w:rPr>
            </w:pPr>
            <w:r w:rsidRPr="007C115F">
              <w:rPr>
                <w:rFonts w:ascii="Verdana" w:hAnsi="Verdana"/>
                <w:sz w:val="16"/>
                <w:szCs w:val="16"/>
                <w:lang w:eastAsia="cs-CZ"/>
              </w:rPr>
              <w:t>·  </w:t>
            </w:r>
            <w:r w:rsidRPr="007C115F">
              <w:rPr>
                <w:rFonts w:ascii="Verdana" w:hAnsi="Verdana"/>
                <w:sz w:val="16"/>
                <w:szCs w:val="16"/>
                <w:lang w:val="en" w:eastAsia="cs-CZ"/>
              </w:rPr>
              <w:t>Simplifying language, unifying terminology, not using technical and foreign words, shortening the content of messages, highlighting important information, changes, etc.</w:t>
            </w:r>
          </w:p>
        </w:tc>
        <w:tc>
          <w:tcPr>
            <w:tcW w:w="715" w:type="pct"/>
            <w:tcBorders>
              <w:top w:val="nil"/>
              <w:left w:val="nil"/>
              <w:bottom w:val="single" w:sz="8" w:space="0" w:color="D9D9D9"/>
              <w:right w:val="nil"/>
            </w:tcBorders>
            <w:tcMar>
              <w:top w:w="29" w:type="dxa"/>
              <w:left w:w="29" w:type="dxa"/>
              <w:bottom w:w="29" w:type="dxa"/>
              <w:right w:w="29" w:type="dxa"/>
            </w:tcMar>
            <w:hideMark/>
          </w:tcPr>
          <w:p w:rsidR="007C115F" w:rsidRPr="007C115F" w:rsidRDefault="007C115F" w:rsidP="007C115F">
            <w:pPr>
              <w:spacing w:before="60" w:after="60"/>
              <w:rPr>
                <w:rFonts w:ascii="Verdana" w:eastAsia="Times New Roman" w:hAnsi="Verdana" w:cs="Calibri Light"/>
                <w:sz w:val="16"/>
                <w:szCs w:val="16"/>
                <w:lang w:val="cs-CZ" w:eastAsia="cs-CZ"/>
              </w:rPr>
            </w:pPr>
            <w:r w:rsidRPr="007C115F">
              <w:rPr>
                <w:rFonts w:ascii="Verdana" w:eastAsia="Times New Roman" w:hAnsi="Verdana" w:cs="Calibri Light"/>
                <w:sz w:val="16"/>
                <w:szCs w:val="16"/>
                <w:lang w:val="en" w:eastAsia="cs-CZ"/>
              </w:rPr>
              <w:t>Short-term horizon</w:t>
            </w:r>
          </w:p>
        </w:tc>
      </w:tr>
    </w:tbl>
    <w:p w:rsidR="007C115F" w:rsidRPr="007C115F" w:rsidRDefault="007C115F" w:rsidP="007C115F">
      <w:pPr>
        <w:rPr>
          <w:rFonts w:ascii="Verdana" w:eastAsia="Times New Roman" w:hAnsi="Verdana" w:cs="Calibri Light"/>
          <w:sz w:val="18"/>
          <w:szCs w:val="18"/>
          <w:lang w:val="cs-CZ" w:eastAsia="cs-CZ"/>
        </w:rPr>
      </w:pPr>
      <w:r w:rsidRPr="007C115F">
        <w:rPr>
          <w:rFonts w:ascii="Verdana" w:eastAsia="Times New Roman" w:hAnsi="Verdana" w:cs="Calibri Light"/>
          <w:sz w:val="18"/>
          <w:szCs w:val="18"/>
          <w:lang w:eastAsia="cs-CZ"/>
        </w:rPr>
        <w:t> </w:t>
      </w:r>
    </w:p>
    <w:p w:rsidR="007C115F" w:rsidRPr="007C115F" w:rsidRDefault="007C115F" w:rsidP="007C115F">
      <w:pPr>
        <w:shd w:val="clear" w:color="auto" w:fill="E6E6E6"/>
        <w:spacing w:after="0" w:line="240" w:lineRule="auto"/>
        <w:rPr>
          <w:rFonts w:ascii="Verdana" w:eastAsia="Times New Roman" w:hAnsi="Verdana" w:cs="Arial"/>
          <w:vanish/>
          <w:color w:val="000000"/>
          <w:sz w:val="18"/>
          <w:szCs w:val="18"/>
          <w:lang w:val="cs-CZ" w:eastAsia="cs-CZ"/>
        </w:rPr>
      </w:pPr>
      <w:r w:rsidRPr="009F5680">
        <w:rPr>
          <w:rFonts w:ascii="Verdana" w:eastAsia="Times New Roman" w:hAnsi="Verdana" w:cs="Arial"/>
          <w:noProof/>
          <w:vanish/>
          <w:color w:val="00A3E0"/>
          <w:sz w:val="18"/>
          <w:szCs w:val="18"/>
          <w:bdr w:val="none" w:sz="0" w:space="0" w:color="auto" w:frame="1"/>
          <w:lang w:val="cs-CZ" w:eastAsia="cs-CZ"/>
        </w:rPr>
        <w:drawing>
          <wp:inline distT="0" distB="0" distL="0" distR="0">
            <wp:extent cx="516255" cy="180340"/>
            <wp:effectExtent l="0" t="0" r="0" b="0"/>
            <wp:docPr id="2" name="Picture 2" descr="https://ssl.microsofttranslator.com/static/26573678/img/tooltip_logo.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6573678/img/tooltip_logo.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 cy="180340"/>
                    </a:xfrm>
                    <a:prstGeom prst="rect">
                      <a:avLst/>
                    </a:prstGeom>
                    <a:noFill/>
                    <a:ln>
                      <a:noFill/>
                    </a:ln>
                  </pic:spPr>
                </pic:pic>
              </a:graphicData>
            </a:graphic>
          </wp:inline>
        </w:drawing>
      </w:r>
      <w:r w:rsidRPr="009F5680">
        <w:rPr>
          <w:rFonts w:ascii="Verdana" w:eastAsia="Times New Roman" w:hAnsi="Verdana" w:cs="Arial"/>
          <w:noProof/>
          <w:vanish/>
          <w:color w:val="000000"/>
          <w:sz w:val="18"/>
          <w:szCs w:val="18"/>
          <w:lang w:val="cs-CZ" w:eastAsia="cs-CZ"/>
        </w:rPr>
        <w:drawing>
          <wp:inline distT="0" distB="0" distL="0" distR="0">
            <wp:extent cx="74930" cy="74930"/>
            <wp:effectExtent l="0" t="0" r="1270" b="1270"/>
            <wp:docPr id="1" name="Picture 1" descr="https://ssl.microsofttranslator.com/static/2657367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6573678/img/tooltip_clos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p w:rsidR="007C115F" w:rsidRPr="007C115F" w:rsidRDefault="007C115F" w:rsidP="007C115F">
      <w:pPr>
        <w:shd w:val="clear" w:color="auto" w:fill="E6E6E6"/>
        <w:spacing w:after="120" w:line="240" w:lineRule="auto"/>
        <w:rPr>
          <w:rFonts w:ascii="Verdana" w:eastAsia="Times New Roman" w:hAnsi="Verdana" w:cs="Arial"/>
          <w:b/>
          <w:bCs/>
          <w:vanish/>
          <w:color w:val="000000"/>
          <w:sz w:val="18"/>
          <w:szCs w:val="18"/>
          <w:lang w:val="cs-CZ" w:eastAsia="cs-CZ"/>
        </w:rPr>
      </w:pPr>
      <w:r w:rsidRPr="007C115F">
        <w:rPr>
          <w:rFonts w:ascii="Verdana" w:eastAsia="Times New Roman" w:hAnsi="Verdana" w:cs="Arial"/>
          <w:b/>
          <w:bCs/>
          <w:vanish/>
          <w:color w:val="000000"/>
          <w:sz w:val="18"/>
          <w:szCs w:val="18"/>
          <w:lang w:val="cs-CZ" w:eastAsia="cs-CZ"/>
        </w:rPr>
        <w:t>Original</w:t>
      </w:r>
    </w:p>
    <w:p w:rsidR="007C115F" w:rsidRPr="007C115F" w:rsidRDefault="007C115F" w:rsidP="007C115F">
      <w:pPr>
        <w:shd w:val="clear" w:color="auto" w:fill="E6E6E6"/>
        <w:spacing w:after="0" w:line="240" w:lineRule="auto"/>
        <w:rPr>
          <w:rFonts w:ascii="Verdana" w:eastAsia="Times New Roman" w:hAnsi="Verdana" w:cs="Arial"/>
          <w:vanish/>
          <w:color w:val="000000"/>
          <w:sz w:val="18"/>
          <w:szCs w:val="18"/>
          <w:lang w:val="cs-CZ" w:eastAsia="cs-CZ"/>
        </w:rPr>
      </w:pPr>
      <w:r w:rsidRPr="007C115F">
        <w:rPr>
          <w:rFonts w:ascii="Verdana" w:eastAsia="Times New Roman" w:hAnsi="Verdana" w:cs="Arial"/>
          <w:vanish/>
          <w:color w:val="000000"/>
          <w:sz w:val="18"/>
          <w:szCs w:val="18"/>
          <w:lang w:val="cs-CZ" w:eastAsia="cs-CZ"/>
        </w:rPr>
        <w:t>Robotizace a automatizace procesů výpočtu sankcí.</w:t>
      </w:r>
    </w:p>
    <w:sectPr w:rsidR="007C115F" w:rsidRPr="007C115F" w:rsidSect="006D28EB">
      <w:footerReference w:type="default" r:id="rId16"/>
      <w:headerReference w:type="first" r:id="rId17"/>
      <w:footerReference w:type="first" r:id="rId18"/>
      <w:pgSz w:w="11906" w:h="16838" w:code="9"/>
      <w:pgMar w:top="1417" w:right="1417" w:bottom="1417" w:left="1417"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BA" w:rsidRDefault="000049BA" w:rsidP="00C702C7">
      <w:pPr>
        <w:spacing w:after="0" w:line="240" w:lineRule="auto"/>
      </w:pPr>
      <w:r>
        <w:separator/>
      </w:r>
    </w:p>
  </w:endnote>
  <w:endnote w:type="continuationSeparator" w:id="0">
    <w:p w:rsidR="000049BA" w:rsidRDefault="000049BA"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3544"/>
      <w:gridCol w:w="7002"/>
    </w:tblGrid>
    <w:tr w:rsidR="00B253A1" w:rsidRPr="00BE7C55" w:rsidTr="00BE7C55">
      <w:tc>
        <w:tcPr>
          <w:tcW w:w="3544" w:type="dxa"/>
          <w:shd w:val="clear" w:color="auto" w:fill="auto"/>
          <w:vAlign w:val="bottom"/>
        </w:tcPr>
        <w:p w:rsidR="00B253A1" w:rsidRPr="00BE7C55" w:rsidRDefault="00F23266" w:rsidP="00BC0047">
          <w:pPr>
            <w:pStyle w:val="Footer"/>
          </w:pPr>
          <w:r w:rsidRPr="00BE7C55">
            <w:fldChar w:fldCharType="begin"/>
          </w:r>
          <w:r w:rsidRPr="00BE7C55">
            <w:instrText xml:space="preserve"> IF </w:instrText>
          </w:r>
          <w:r w:rsidRPr="00BE7C55">
            <w:fldChar w:fldCharType="begin"/>
          </w:r>
          <w:r w:rsidRPr="00BE7C55">
            <w:instrText xml:space="preserve"> PAGE  \* Arabic  \* MERGEFORMAT </w:instrText>
          </w:r>
          <w:r w:rsidRPr="00BE7C55">
            <w:fldChar w:fldCharType="separate"/>
          </w:r>
          <w:r w:rsidR="0088030C">
            <w:rPr>
              <w:noProof/>
            </w:rPr>
            <w:instrText>5</w:instrText>
          </w:r>
          <w:r w:rsidRPr="00BE7C55">
            <w:fldChar w:fldCharType="end"/>
          </w:r>
          <w:r w:rsidRPr="00BE7C55">
            <w:instrText xml:space="preserve"> &lt; </w:instrText>
          </w:r>
          <w:r w:rsidR="00BC0047" w:rsidRPr="00BE7C55">
            <w:instrText>10</w:instrText>
          </w:r>
          <w:r w:rsidRPr="00BE7C55">
            <w:instrText xml:space="preserve"> </w:instrText>
          </w:r>
          <w:r w:rsidRPr="00BE7C55">
            <w:fldChar w:fldCharType="begin"/>
          </w:r>
          <w:r w:rsidRPr="00BE7C55">
            <w:instrText xml:space="preserve"> IF </w:instrText>
          </w:r>
          <w:r w:rsidRPr="00BE7C55">
            <w:fldChar w:fldCharType="begin"/>
          </w:r>
          <w:r w:rsidRPr="00BE7C55">
            <w:instrText xml:space="preserve"> PAGE  \* Arabic  \* MERGEFORMAT </w:instrText>
          </w:r>
          <w:r w:rsidRPr="00BE7C55">
            <w:fldChar w:fldCharType="separate"/>
          </w:r>
          <w:r w:rsidR="0088030C">
            <w:rPr>
              <w:noProof/>
            </w:rPr>
            <w:instrText>5</w:instrText>
          </w:r>
          <w:r w:rsidRPr="00BE7C55">
            <w:fldChar w:fldCharType="end"/>
          </w:r>
          <w:r w:rsidRPr="00BE7C55">
            <w:instrText xml:space="preserve"> &lt; "10" "0</w:instrText>
          </w:r>
          <w:r w:rsidRPr="00BE7C55">
            <w:fldChar w:fldCharType="begin"/>
          </w:r>
          <w:r w:rsidRPr="00BE7C55">
            <w:instrText xml:space="preserve"> PAGE  \* Arabic  \* MERGEFORMAT </w:instrText>
          </w:r>
          <w:r w:rsidRPr="00BE7C55">
            <w:fldChar w:fldCharType="separate"/>
          </w:r>
          <w:r w:rsidR="0088030C">
            <w:rPr>
              <w:noProof/>
            </w:rPr>
            <w:instrText>5</w:instrText>
          </w:r>
          <w:r w:rsidRPr="00BE7C55">
            <w:fldChar w:fldCharType="end"/>
          </w:r>
          <w:r w:rsidRPr="00BE7C55">
            <w:instrText xml:space="preserve">" \* MERGEFORMAT </w:instrText>
          </w:r>
          <w:r w:rsidRPr="00BE7C55">
            <w:fldChar w:fldCharType="separate"/>
          </w:r>
          <w:r w:rsidR="0088030C" w:rsidRPr="00BE7C55">
            <w:rPr>
              <w:noProof/>
            </w:rPr>
            <w:instrText>0</w:instrText>
          </w:r>
          <w:r w:rsidR="0088030C">
            <w:rPr>
              <w:noProof/>
            </w:rPr>
            <w:instrText>5</w:instrText>
          </w:r>
          <w:r w:rsidRPr="00BE7C55">
            <w:fldChar w:fldCharType="end"/>
          </w:r>
          <w:r w:rsidR="00BC0047" w:rsidRPr="00BE7C55">
            <w:instrText xml:space="preserve"> </w:instrText>
          </w:r>
          <w:r w:rsidR="00BC0047" w:rsidRPr="00BE7C55">
            <w:fldChar w:fldCharType="begin"/>
          </w:r>
          <w:r w:rsidR="00BC0047" w:rsidRPr="00BE7C55">
            <w:instrText xml:space="preserve"> PAGE  \* Arabic  \* MERGEFORMAT </w:instrText>
          </w:r>
          <w:r w:rsidR="00BC0047" w:rsidRPr="00BE7C55">
            <w:fldChar w:fldCharType="separate"/>
          </w:r>
          <w:r w:rsidR="006D28EB" w:rsidRPr="00BE7C55">
            <w:rPr>
              <w:noProof/>
            </w:rPr>
            <w:instrText>15</w:instrText>
          </w:r>
          <w:r w:rsidR="00BC0047" w:rsidRPr="00BE7C55">
            <w:fldChar w:fldCharType="end"/>
          </w:r>
          <w:r w:rsidRPr="00BE7C55">
            <w:instrText xml:space="preserve"> \* MERGEFORMAT </w:instrText>
          </w:r>
          <w:r w:rsidRPr="00BE7C55">
            <w:fldChar w:fldCharType="separate"/>
          </w:r>
          <w:r w:rsidR="0088030C" w:rsidRPr="00BE7C55">
            <w:rPr>
              <w:noProof/>
            </w:rPr>
            <w:t>0</w:t>
          </w:r>
          <w:r w:rsidR="0088030C">
            <w:rPr>
              <w:noProof/>
            </w:rPr>
            <w:t>5</w:t>
          </w:r>
          <w:r w:rsidRPr="00BE7C55">
            <w:fldChar w:fldCharType="end"/>
          </w:r>
        </w:p>
      </w:tc>
      <w:tc>
        <w:tcPr>
          <w:tcW w:w="7002" w:type="dxa"/>
          <w:shd w:val="clear" w:color="auto" w:fill="auto"/>
          <w:vAlign w:val="bottom"/>
        </w:tcPr>
        <w:p w:rsidR="00B253A1" w:rsidRPr="00BE7C55" w:rsidRDefault="00B253A1" w:rsidP="00BE7C55">
          <w:pPr>
            <w:pStyle w:val="Footer"/>
            <w:spacing w:line="180" w:lineRule="atLeast"/>
            <w:rPr>
              <w:sz w:val="14"/>
              <w:szCs w:val="14"/>
            </w:rPr>
          </w:pPr>
        </w:p>
      </w:tc>
    </w:tr>
  </w:tbl>
  <w:p w:rsidR="00F15F5C" w:rsidRPr="00904097" w:rsidRDefault="00F15F5C" w:rsidP="00904097">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97" w:rsidRDefault="00904097">
    <w:pPr>
      <w:pStyle w:val="Footer"/>
    </w:pPr>
  </w:p>
  <w:p w:rsidR="00B36B5C" w:rsidRDefault="00B36B5C">
    <w:pPr>
      <w:pStyle w:val="Footer"/>
    </w:pPr>
    <w:r>
      <w:fldChar w:fldCharType="begin"/>
    </w:r>
    <w:r>
      <w:instrText xml:space="preserve"> IF </w:instrText>
    </w:r>
    <w:r>
      <w:fldChar w:fldCharType="begin"/>
    </w:r>
    <w:r>
      <w:instrText xml:space="preserve"> PAGE  \* Arabic  \* MERGEFORMAT </w:instrText>
    </w:r>
    <w:r>
      <w:fldChar w:fldCharType="separate"/>
    </w:r>
    <w:r w:rsidR="0088030C">
      <w:rPr>
        <w:noProof/>
      </w:rPr>
      <w:instrText>1</w:instrText>
    </w:r>
    <w:r>
      <w:fldChar w:fldCharType="end"/>
    </w:r>
    <w:r>
      <w:instrText xml:space="preserve"> &lt; "10" "0</w:instrText>
    </w:r>
    <w:r>
      <w:fldChar w:fldCharType="begin"/>
    </w:r>
    <w:r>
      <w:instrText xml:space="preserve"> PAGE  \* Arabic  \* MERGEFORMAT </w:instrText>
    </w:r>
    <w:r>
      <w:fldChar w:fldCharType="separate"/>
    </w:r>
    <w:r w:rsidR="0088030C">
      <w:rPr>
        <w:noProof/>
      </w:rPr>
      <w:instrText>1</w:instrText>
    </w:r>
    <w:r>
      <w:fldChar w:fldCharType="end"/>
    </w:r>
    <w:r>
      <w:instrText xml:space="preserve">" \* MERGEFORMAT </w:instrText>
    </w:r>
    <w:r>
      <w:fldChar w:fldCharType="separate"/>
    </w:r>
    <w:r w:rsidR="0088030C">
      <w:rPr>
        <w:noProof/>
      </w:rPr>
      <w:t>01</w:t>
    </w:r>
    <w:r>
      <w:fldChar w:fldCharType="end"/>
    </w:r>
  </w:p>
  <w:p w:rsidR="00904097" w:rsidRPr="00904097" w:rsidRDefault="00904097" w:rsidP="00904097">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BA" w:rsidRDefault="000049BA" w:rsidP="00C702C7">
      <w:pPr>
        <w:spacing w:after="0" w:line="240" w:lineRule="auto"/>
      </w:pPr>
      <w:r>
        <w:separator/>
      </w:r>
    </w:p>
  </w:footnote>
  <w:footnote w:type="continuationSeparator" w:id="0">
    <w:p w:rsidR="000049BA" w:rsidRDefault="000049BA" w:rsidP="00C702C7">
      <w:pPr>
        <w:spacing w:after="0" w:line="240" w:lineRule="auto"/>
      </w:pPr>
      <w:r>
        <w:continuationSeparator/>
      </w:r>
    </w:p>
  </w:footnote>
  <w:footnote w:id="1">
    <w:p w:rsidR="007C115F" w:rsidRPr="007C115F" w:rsidRDefault="007C115F">
      <w:pPr>
        <w:pStyle w:val="FootnoteText"/>
        <w:rPr>
          <w:lang w:val="cs-CZ"/>
        </w:rPr>
      </w:pPr>
      <w:r>
        <w:rPr>
          <w:rStyle w:val="FootnoteReference"/>
        </w:rPr>
        <w:footnoteRef/>
      </w:r>
      <w:r>
        <w:t xml:space="preserve"> According </w:t>
      </w:r>
      <w:r w:rsidRPr="007C115F">
        <w:rPr>
          <w:rFonts w:eastAsia="Times New Roman" w:cs="Calibri Light"/>
          <w:szCs w:val="16"/>
          <w:lang w:val="en" w:eastAsia="cs-CZ"/>
        </w:rPr>
        <w:t xml:space="preserve">to the available </w:t>
      </w:r>
      <w:r w:rsidRPr="007C115F">
        <w:rPr>
          <w:rFonts w:eastAsia="Times New Roman" w:cs="Calibri Light"/>
          <w:szCs w:val="16"/>
          <w:lang w:eastAsia="cs-CZ"/>
        </w:rPr>
        <w:t>information, CBA will be fully voluntary in the next programming period</w:t>
      </w:r>
    </w:p>
  </w:footnote>
  <w:footnote w:id="2">
    <w:p w:rsidR="00DC1B07" w:rsidRPr="00DC1B07" w:rsidRDefault="00DC1B07">
      <w:pPr>
        <w:pStyle w:val="FootnoteText"/>
        <w:rPr>
          <w:lang w:val="cs-CZ"/>
        </w:rPr>
      </w:pPr>
      <w:r>
        <w:rPr>
          <w:rStyle w:val="FootnoteReference"/>
        </w:rPr>
        <w:footnoteRef/>
      </w:r>
      <w:r>
        <w:t xml:space="preserve"> </w:t>
      </w:r>
      <w:r w:rsidRPr="00052026">
        <w:t>Czech-Moravian Guarantee and Development Bank</w:t>
      </w:r>
    </w:p>
  </w:footnote>
  <w:footnote w:id="3">
    <w:p w:rsidR="00052026" w:rsidRPr="00052026" w:rsidRDefault="00052026">
      <w:pPr>
        <w:pStyle w:val="FootnoteText"/>
        <w:rPr>
          <w:lang w:val="cs-CZ"/>
        </w:rPr>
      </w:pPr>
      <w:r>
        <w:rPr>
          <w:rStyle w:val="FootnoteReference"/>
        </w:rPr>
        <w:footnoteRef/>
      </w:r>
      <w:r>
        <w:t xml:space="preserve"> </w:t>
      </w:r>
      <w:r w:rsidRPr="00052026">
        <w:t>Inspection planning coordination module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964" w:rsidRDefault="0088030C">
    <w:pPr>
      <w:pStyle w:val="Header"/>
    </w:pPr>
    <w:r>
      <w:rPr>
        <w:noProof/>
        <w:lang w:val="cs-CZ" w:eastAsia="cs-CZ"/>
      </w:rPr>
      <w:drawing>
        <wp:anchor distT="0" distB="0" distL="114300" distR="114300" simplePos="0" relativeHeight="251659264" behindDoc="1" locked="0" layoutInCell="1" allowOverlap="1">
          <wp:simplePos x="0" y="0"/>
          <wp:positionH relativeFrom="margin">
            <wp:align>right</wp:align>
          </wp:positionH>
          <wp:positionV relativeFrom="paragraph">
            <wp:posOffset>-124215</wp:posOffset>
          </wp:positionV>
          <wp:extent cx="800100" cy="390525"/>
          <wp:effectExtent l="0" t="0" r="0" b="9525"/>
          <wp:wrapTight wrapText="bothSides">
            <wp:wrapPolygon edited="0">
              <wp:start x="0" y="0"/>
              <wp:lineTo x="0" y="21073"/>
              <wp:lineTo x="21086" y="21073"/>
              <wp:lineTo x="210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390525"/>
                  </a:xfrm>
                  <a:prstGeom prst="rect">
                    <a:avLst/>
                  </a:prstGeom>
                </pic:spPr>
              </pic:pic>
            </a:graphicData>
          </a:graphic>
          <wp14:sizeRelH relativeFrom="margin">
            <wp14:pctWidth>0</wp14:pctWidth>
          </wp14:sizeRelH>
          <wp14:sizeRelV relativeFrom="margin">
            <wp14:pctHeight>0</wp14:pctHeight>
          </wp14:sizeRelV>
        </wp:anchor>
      </w:drawing>
    </w:r>
    <w:r w:rsidR="00FC4964" w:rsidRPr="00FC4964">
      <w:rPr>
        <w:noProof/>
        <w:lang w:val="cs-CZ"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-229529</wp:posOffset>
          </wp:positionV>
          <wp:extent cx="2035175" cy="581025"/>
          <wp:effectExtent l="0" t="0" r="3175" b="9525"/>
          <wp:wrapSquare wrapText="bothSides"/>
          <wp:docPr id="3" name="Picture 3" descr="C:\Users\frames\Downloads\Loga-povinné-publicity-pro-OP-PIK\RGB\JPG\EN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mes\Downloads\Loga-povinné-publicity-pro-OP-PIK\RGB\JPG\EN_RO_B_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51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CA288E"/>
    <w:multiLevelType w:val="multilevel"/>
    <w:tmpl w:val="F52899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E44017"/>
    <w:multiLevelType w:val="hybridMultilevel"/>
    <w:tmpl w:val="0254B5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290B39BC"/>
    <w:multiLevelType w:val="hybridMultilevel"/>
    <w:tmpl w:val="4D52D1C4"/>
    <w:lvl w:ilvl="0" w:tplc="B3B240F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11C64"/>
    <w:multiLevelType w:val="hybridMultilevel"/>
    <w:tmpl w:val="DF6E21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3"/>
  </w:num>
  <w:num w:numId="6">
    <w:abstractNumId w:val="19"/>
  </w:num>
  <w:num w:numId="7">
    <w:abstractNumId w:val="19"/>
    <w:lvlOverride w:ilvl="0">
      <w:startOverride w:val="1"/>
    </w:lvlOverride>
  </w:num>
  <w:num w:numId="8">
    <w:abstractNumId w:val="17"/>
  </w:num>
  <w:num w:numId="9">
    <w:abstractNumId w:val="18"/>
  </w:num>
  <w:num w:numId="10">
    <w:abstractNumId w:val="7"/>
  </w:num>
  <w:num w:numId="11">
    <w:abstractNumId w:val="10"/>
  </w:num>
  <w:num w:numId="12">
    <w:abstractNumId w:val="2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15"/>
  </w:num>
  <w:num w:numId="18">
    <w:abstractNumId w:val="6"/>
  </w:num>
  <w:num w:numId="19">
    <w:abstractNumId w:val="14"/>
  </w:num>
  <w:num w:numId="20">
    <w:abstractNumId w:val="4"/>
  </w:num>
  <w:num w:numId="21">
    <w:abstractNumId w:val="11"/>
  </w:num>
  <w:num w:numId="22">
    <w:abstractNumId w:val="8"/>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de-DE" w:vendorID="64" w:dllVersion="131078" w:nlCheck="1" w:checkStyle="0"/>
  <w:activeWritingStyle w:appName="MSWord" w:lang="en-US" w:vendorID="64" w:dllVersion="131078" w:nlCheck="1" w:checkStyle="1"/>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5F"/>
    <w:rsid w:val="000005FE"/>
    <w:rsid w:val="000049BA"/>
    <w:rsid w:val="000131A3"/>
    <w:rsid w:val="00014B89"/>
    <w:rsid w:val="000173B3"/>
    <w:rsid w:val="00020D44"/>
    <w:rsid w:val="00021A39"/>
    <w:rsid w:val="000248C0"/>
    <w:rsid w:val="00025E7D"/>
    <w:rsid w:val="00035DBA"/>
    <w:rsid w:val="00037C17"/>
    <w:rsid w:val="00041DB4"/>
    <w:rsid w:val="000429AC"/>
    <w:rsid w:val="00042B6A"/>
    <w:rsid w:val="00042B99"/>
    <w:rsid w:val="000516C4"/>
    <w:rsid w:val="000517C0"/>
    <w:rsid w:val="00052026"/>
    <w:rsid w:val="00061444"/>
    <w:rsid w:val="000637A6"/>
    <w:rsid w:val="00066BBA"/>
    <w:rsid w:val="00071509"/>
    <w:rsid w:val="000729C2"/>
    <w:rsid w:val="00083DD5"/>
    <w:rsid w:val="00092341"/>
    <w:rsid w:val="000A7F05"/>
    <w:rsid w:val="000B6C05"/>
    <w:rsid w:val="000C20BD"/>
    <w:rsid w:val="000C2B24"/>
    <w:rsid w:val="000C5EA5"/>
    <w:rsid w:val="000D1148"/>
    <w:rsid w:val="000D2DE0"/>
    <w:rsid w:val="000E2C94"/>
    <w:rsid w:val="000E4AA4"/>
    <w:rsid w:val="000F5C22"/>
    <w:rsid w:val="0010113D"/>
    <w:rsid w:val="0010462B"/>
    <w:rsid w:val="00111011"/>
    <w:rsid w:val="0012126B"/>
    <w:rsid w:val="00123AD3"/>
    <w:rsid w:val="001265CF"/>
    <w:rsid w:val="00130191"/>
    <w:rsid w:val="00135844"/>
    <w:rsid w:val="00136294"/>
    <w:rsid w:val="001457BC"/>
    <w:rsid w:val="00157BD7"/>
    <w:rsid w:val="00163881"/>
    <w:rsid w:val="001659E4"/>
    <w:rsid w:val="001708B9"/>
    <w:rsid w:val="0017280D"/>
    <w:rsid w:val="001757CE"/>
    <w:rsid w:val="00180BDA"/>
    <w:rsid w:val="0018108F"/>
    <w:rsid w:val="00186FC8"/>
    <w:rsid w:val="00192255"/>
    <w:rsid w:val="001975EF"/>
    <w:rsid w:val="0019765A"/>
    <w:rsid w:val="001A45CF"/>
    <w:rsid w:val="001B0F94"/>
    <w:rsid w:val="001B5C19"/>
    <w:rsid w:val="001D03A7"/>
    <w:rsid w:val="001E016B"/>
    <w:rsid w:val="001E7D3E"/>
    <w:rsid w:val="001F38BE"/>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4010"/>
    <w:rsid w:val="00253D2A"/>
    <w:rsid w:val="00255D53"/>
    <w:rsid w:val="002930B2"/>
    <w:rsid w:val="00294BBA"/>
    <w:rsid w:val="00294EDF"/>
    <w:rsid w:val="00295B52"/>
    <w:rsid w:val="00297214"/>
    <w:rsid w:val="002B2376"/>
    <w:rsid w:val="002B4054"/>
    <w:rsid w:val="002B4D02"/>
    <w:rsid w:val="002B6D2E"/>
    <w:rsid w:val="002C5FEA"/>
    <w:rsid w:val="002C690A"/>
    <w:rsid w:val="002C6F50"/>
    <w:rsid w:val="002D30FB"/>
    <w:rsid w:val="002D41F7"/>
    <w:rsid w:val="002E1C00"/>
    <w:rsid w:val="002E7099"/>
    <w:rsid w:val="002F2771"/>
    <w:rsid w:val="003067EA"/>
    <w:rsid w:val="003121C1"/>
    <w:rsid w:val="0032373B"/>
    <w:rsid w:val="00331D1F"/>
    <w:rsid w:val="00337680"/>
    <w:rsid w:val="00347ADB"/>
    <w:rsid w:val="00357E4F"/>
    <w:rsid w:val="00375EB8"/>
    <w:rsid w:val="00377AE4"/>
    <w:rsid w:val="003863C7"/>
    <w:rsid w:val="0039181B"/>
    <w:rsid w:val="003923FD"/>
    <w:rsid w:val="003A494E"/>
    <w:rsid w:val="003B3379"/>
    <w:rsid w:val="003B3C47"/>
    <w:rsid w:val="003B3F96"/>
    <w:rsid w:val="003B5DB8"/>
    <w:rsid w:val="003C12AF"/>
    <w:rsid w:val="003C4BE4"/>
    <w:rsid w:val="003C4DE4"/>
    <w:rsid w:val="003D1A80"/>
    <w:rsid w:val="003D304E"/>
    <w:rsid w:val="003E138D"/>
    <w:rsid w:val="003E1820"/>
    <w:rsid w:val="003E49BA"/>
    <w:rsid w:val="003F2224"/>
    <w:rsid w:val="00404297"/>
    <w:rsid w:val="00404762"/>
    <w:rsid w:val="004052BC"/>
    <w:rsid w:val="004066C3"/>
    <w:rsid w:val="00410A4A"/>
    <w:rsid w:val="00412EA0"/>
    <w:rsid w:val="004314E1"/>
    <w:rsid w:val="00432002"/>
    <w:rsid w:val="0044117C"/>
    <w:rsid w:val="0044558B"/>
    <w:rsid w:val="004509E3"/>
    <w:rsid w:val="00451AD9"/>
    <w:rsid w:val="00473614"/>
    <w:rsid w:val="004860A3"/>
    <w:rsid w:val="00486736"/>
    <w:rsid w:val="004A0DCC"/>
    <w:rsid w:val="004A6C6D"/>
    <w:rsid w:val="004C2616"/>
    <w:rsid w:val="004D159E"/>
    <w:rsid w:val="004D1F57"/>
    <w:rsid w:val="004D49FC"/>
    <w:rsid w:val="004F47B4"/>
    <w:rsid w:val="004F4A4B"/>
    <w:rsid w:val="00501EFF"/>
    <w:rsid w:val="00526863"/>
    <w:rsid w:val="005270F9"/>
    <w:rsid w:val="00542505"/>
    <w:rsid w:val="00543BA8"/>
    <w:rsid w:val="00544D24"/>
    <w:rsid w:val="00563C6F"/>
    <w:rsid w:val="00564F21"/>
    <w:rsid w:val="00573556"/>
    <w:rsid w:val="00573D2F"/>
    <w:rsid w:val="005843DE"/>
    <w:rsid w:val="00593BF7"/>
    <w:rsid w:val="005967D7"/>
    <w:rsid w:val="0059682F"/>
    <w:rsid w:val="005969FB"/>
    <w:rsid w:val="005B6B53"/>
    <w:rsid w:val="005D5512"/>
    <w:rsid w:val="005E3501"/>
    <w:rsid w:val="005E6A48"/>
    <w:rsid w:val="005F3D7B"/>
    <w:rsid w:val="005F525A"/>
    <w:rsid w:val="005F54F5"/>
    <w:rsid w:val="005F68FD"/>
    <w:rsid w:val="005F74C0"/>
    <w:rsid w:val="00605199"/>
    <w:rsid w:val="00624C5E"/>
    <w:rsid w:val="00626FD8"/>
    <w:rsid w:val="006464CD"/>
    <w:rsid w:val="00650D85"/>
    <w:rsid w:val="006528C9"/>
    <w:rsid w:val="006673E8"/>
    <w:rsid w:val="00671EC0"/>
    <w:rsid w:val="00676F48"/>
    <w:rsid w:val="0067770B"/>
    <w:rsid w:val="00686056"/>
    <w:rsid w:val="00691C32"/>
    <w:rsid w:val="006A473D"/>
    <w:rsid w:val="006B0513"/>
    <w:rsid w:val="006B16E0"/>
    <w:rsid w:val="006B24BB"/>
    <w:rsid w:val="006B30D1"/>
    <w:rsid w:val="006B4816"/>
    <w:rsid w:val="006B761D"/>
    <w:rsid w:val="006C5AD3"/>
    <w:rsid w:val="006C617F"/>
    <w:rsid w:val="006D28EB"/>
    <w:rsid w:val="006D6A17"/>
    <w:rsid w:val="00705766"/>
    <w:rsid w:val="007172D9"/>
    <w:rsid w:val="00720888"/>
    <w:rsid w:val="0072138D"/>
    <w:rsid w:val="0072746D"/>
    <w:rsid w:val="007312AA"/>
    <w:rsid w:val="007342AA"/>
    <w:rsid w:val="00734C1B"/>
    <w:rsid w:val="007460A4"/>
    <w:rsid w:val="00750D3B"/>
    <w:rsid w:val="007516F0"/>
    <w:rsid w:val="00753A99"/>
    <w:rsid w:val="007550AB"/>
    <w:rsid w:val="00755643"/>
    <w:rsid w:val="007604FB"/>
    <w:rsid w:val="007653DA"/>
    <w:rsid w:val="0076614E"/>
    <w:rsid w:val="00773725"/>
    <w:rsid w:val="00784EB7"/>
    <w:rsid w:val="0079305A"/>
    <w:rsid w:val="007A1421"/>
    <w:rsid w:val="007B29C4"/>
    <w:rsid w:val="007B2FB1"/>
    <w:rsid w:val="007C008A"/>
    <w:rsid w:val="007C0C20"/>
    <w:rsid w:val="007C115F"/>
    <w:rsid w:val="007C7944"/>
    <w:rsid w:val="007C7C55"/>
    <w:rsid w:val="007E03C0"/>
    <w:rsid w:val="007E2034"/>
    <w:rsid w:val="007E2836"/>
    <w:rsid w:val="007E568A"/>
    <w:rsid w:val="007F0D03"/>
    <w:rsid w:val="007F4828"/>
    <w:rsid w:val="008005C8"/>
    <w:rsid w:val="008006BE"/>
    <w:rsid w:val="00802289"/>
    <w:rsid w:val="0080397A"/>
    <w:rsid w:val="00807054"/>
    <w:rsid w:val="0080728A"/>
    <w:rsid w:val="00813DBC"/>
    <w:rsid w:val="00813F7A"/>
    <w:rsid w:val="00821F18"/>
    <w:rsid w:val="00822995"/>
    <w:rsid w:val="00822FC7"/>
    <w:rsid w:val="00825CB7"/>
    <w:rsid w:val="00855A9A"/>
    <w:rsid w:val="00856A0E"/>
    <w:rsid w:val="008631CE"/>
    <w:rsid w:val="0086443E"/>
    <w:rsid w:val="00872FD2"/>
    <w:rsid w:val="00873D35"/>
    <w:rsid w:val="00876869"/>
    <w:rsid w:val="0088030C"/>
    <w:rsid w:val="00894F9A"/>
    <w:rsid w:val="00896BD0"/>
    <w:rsid w:val="008B26FD"/>
    <w:rsid w:val="008B2E86"/>
    <w:rsid w:val="008C0EAA"/>
    <w:rsid w:val="008C5A91"/>
    <w:rsid w:val="008E2830"/>
    <w:rsid w:val="008E3008"/>
    <w:rsid w:val="008E7B8E"/>
    <w:rsid w:val="008E7ED3"/>
    <w:rsid w:val="008F31BA"/>
    <w:rsid w:val="00904097"/>
    <w:rsid w:val="009053F7"/>
    <w:rsid w:val="00905422"/>
    <w:rsid w:val="00930258"/>
    <w:rsid w:val="00930A39"/>
    <w:rsid w:val="009350F0"/>
    <w:rsid w:val="009419A4"/>
    <w:rsid w:val="00952D32"/>
    <w:rsid w:val="00957BA0"/>
    <w:rsid w:val="009756E0"/>
    <w:rsid w:val="00977BEA"/>
    <w:rsid w:val="00991538"/>
    <w:rsid w:val="0099372E"/>
    <w:rsid w:val="00994C96"/>
    <w:rsid w:val="00995104"/>
    <w:rsid w:val="009A0464"/>
    <w:rsid w:val="009A44A5"/>
    <w:rsid w:val="009B058D"/>
    <w:rsid w:val="009B139F"/>
    <w:rsid w:val="009B2D95"/>
    <w:rsid w:val="009B60B8"/>
    <w:rsid w:val="009C403B"/>
    <w:rsid w:val="009D3564"/>
    <w:rsid w:val="009D5174"/>
    <w:rsid w:val="009D57E3"/>
    <w:rsid w:val="009E006D"/>
    <w:rsid w:val="009E0A65"/>
    <w:rsid w:val="009E5122"/>
    <w:rsid w:val="009F5680"/>
    <w:rsid w:val="00A063EE"/>
    <w:rsid w:val="00A161A4"/>
    <w:rsid w:val="00A17957"/>
    <w:rsid w:val="00A22C63"/>
    <w:rsid w:val="00A32258"/>
    <w:rsid w:val="00A33333"/>
    <w:rsid w:val="00A37554"/>
    <w:rsid w:val="00A43B3E"/>
    <w:rsid w:val="00A659E1"/>
    <w:rsid w:val="00A7281A"/>
    <w:rsid w:val="00A80E26"/>
    <w:rsid w:val="00A85445"/>
    <w:rsid w:val="00A900CC"/>
    <w:rsid w:val="00A9095F"/>
    <w:rsid w:val="00A97EDE"/>
    <w:rsid w:val="00AA34E3"/>
    <w:rsid w:val="00AA4905"/>
    <w:rsid w:val="00AB32A9"/>
    <w:rsid w:val="00AB3DD5"/>
    <w:rsid w:val="00AC02AA"/>
    <w:rsid w:val="00AC1D94"/>
    <w:rsid w:val="00AC2081"/>
    <w:rsid w:val="00AD6475"/>
    <w:rsid w:val="00AE0FC7"/>
    <w:rsid w:val="00AE6C40"/>
    <w:rsid w:val="00AE710A"/>
    <w:rsid w:val="00B020E4"/>
    <w:rsid w:val="00B055B1"/>
    <w:rsid w:val="00B0660D"/>
    <w:rsid w:val="00B06697"/>
    <w:rsid w:val="00B176C3"/>
    <w:rsid w:val="00B20E03"/>
    <w:rsid w:val="00B253A1"/>
    <w:rsid w:val="00B262AB"/>
    <w:rsid w:val="00B33CB7"/>
    <w:rsid w:val="00B352FA"/>
    <w:rsid w:val="00B36B5C"/>
    <w:rsid w:val="00B36D31"/>
    <w:rsid w:val="00B43146"/>
    <w:rsid w:val="00B46969"/>
    <w:rsid w:val="00B47A1D"/>
    <w:rsid w:val="00B617CD"/>
    <w:rsid w:val="00B66FC9"/>
    <w:rsid w:val="00B76AF5"/>
    <w:rsid w:val="00B805E0"/>
    <w:rsid w:val="00B955FF"/>
    <w:rsid w:val="00B962CB"/>
    <w:rsid w:val="00BA2D8D"/>
    <w:rsid w:val="00BB4A7A"/>
    <w:rsid w:val="00BB4C36"/>
    <w:rsid w:val="00BB6CB3"/>
    <w:rsid w:val="00BC0047"/>
    <w:rsid w:val="00BC266F"/>
    <w:rsid w:val="00BE48D2"/>
    <w:rsid w:val="00BE77B1"/>
    <w:rsid w:val="00BE7C55"/>
    <w:rsid w:val="00BF017D"/>
    <w:rsid w:val="00BF67EE"/>
    <w:rsid w:val="00BF6F8B"/>
    <w:rsid w:val="00C04DCF"/>
    <w:rsid w:val="00C04F0F"/>
    <w:rsid w:val="00C06177"/>
    <w:rsid w:val="00C075EA"/>
    <w:rsid w:val="00C158DA"/>
    <w:rsid w:val="00C23990"/>
    <w:rsid w:val="00C24F79"/>
    <w:rsid w:val="00C25EC1"/>
    <w:rsid w:val="00C34C43"/>
    <w:rsid w:val="00C41BEB"/>
    <w:rsid w:val="00C46B46"/>
    <w:rsid w:val="00C50A26"/>
    <w:rsid w:val="00C61AC6"/>
    <w:rsid w:val="00C702C7"/>
    <w:rsid w:val="00C7429C"/>
    <w:rsid w:val="00C762EB"/>
    <w:rsid w:val="00C7670A"/>
    <w:rsid w:val="00C8703B"/>
    <w:rsid w:val="00CA4E63"/>
    <w:rsid w:val="00CA5B05"/>
    <w:rsid w:val="00CC2A1A"/>
    <w:rsid w:val="00CC5E8F"/>
    <w:rsid w:val="00CD5842"/>
    <w:rsid w:val="00CE1D9F"/>
    <w:rsid w:val="00CE7BF1"/>
    <w:rsid w:val="00CF3CA4"/>
    <w:rsid w:val="00CF546E"/>
    <w:rsid w:val="00CF7F7F"/>
    <w:rsid w:val="00D0023B"/>
    <w:rsid w:val="00D01239"/>
    <w:rsid w:val="00D236E8"/>
    <w:rsid w:val="00D27B73"/>
    <w:rsid w:val="00D329DF"/>
    <w:rsid w:val="00D33A2B"/>
    <w:rsid w:val="00D35C72"/>
    <w:rsid w:val="00D36E73"/>
    <w:rsid w:val="00D4280C"/>
    <w:rsid w:val="00D5297D"/>
    <w:rsid w:val="00D52A6A"/>
    <w:rsid w:val="00D61DFC"/>
    <w:rsid w:val="00D768FD"/>
    <w:rsid w:val="00D7732D"/>
    <w:rsid w:val="00D815D0"/>
    <w:rsid w:val="00DA1962"/>
    <w:rsid w:val="00DB0CB1"/>
    <w:rsid w:val="00DB5D79"/>
    <w:rsid w:val="00DC1B07"/>
    <w:rsid w:val="00DC4D91"/>
    <w:rsid w:val="00DC65D0"/>
    <w:rsid w:val="00DD5A1B"/>
    <w:rsid w:val="00DD715C"/>
    <w:rsid w:val="00DE18BC"/>
    <w:rsid w:val="00DF4B62"/>
    <w:rsid w:val="00E0517E"/>
    <w:rsid w:val="00E15DEF"/>
    <w:rsid w:val="00E15E9E"/>
    <w:rsid w:val="00E26113"/>
    <w:rsid w:val="00E266A4"/>
    <w:rsid w:val="00E35306"/>
    <w:rsid w:val="00E35847"/>
    <w:rsid w:val="00E36C7A"/>
    <w:rsid w:val="00E4362E"/>
    <w:rsid w:val="00E51605"/>
    <w:rsid w:val="00E54BEF"/>
    <w:rsid w:val="00E56993"/>
    <w:rsid w:val="00E56F4A"/>
    <w:rsid w:val="00E7797E"/>
    <w:rsid w:val="00E82807"/>
    <w:rsid w:val="00E87432"/>
    <w:rsid w:val="00E943B8"/>
    <w:rsid w:val="00E94C20"/>
    <w:rsid w:val="00EB209E"/>
    <w:rsid w:val="00EB5CD1"/>
    <w:rsid w:val="00EC6CC9"/>
    <w:rsid w:val="00ED0AD6"/>
    <w:rsid w:val="00ED5DBC"/>
    <w:rsid w:val="00EE16D4"/>
    <w:rsid w:val="00EE2C87"/>
    <w:rsid w:val="00EE61A2"/>
    <w:rsid w:val="00EF0925"/>
    <w:rsid w:val="00EF4086"/>
    <w:rsid w:val="00F045B9"/>
    <w:rsid w:val="00F1518C"/>
    <w:rsid w:val="00F15F5C"/>
    <w:rsid w:val="00F23266"/>
    <w:rsid w:val="00F26586"/>
    <w:rsid w:val="00F3081C"/>
    <w:rsid w:val="00F448EC"/>
    <w:rsid w:val="00F506EF"/>
    <w:rsid w:val="00F5140D"/>
    <w:rsid w:val="00F565A3"/>
    <w:rsid w:val="00F64334"/>
    <w:rsid w:val="00F7435C"/>
    <w:rsid w:val="00F9119D"/>
    <w:rsid w:val="00F94F3B"/>
    <w:rsid w:val="00F973D7"/>
    <w:rsid w:val="00FA6EC4"/>
    <w:rsid w:val="00FB0CB7"/>
    <w:rsid w:val="00FB25C1"/>
    <w:rsid w:val="00FB6C38"/>
    <w:rsid w:val="00FC2104"/>
    <w:rsid w:val="00FC2B0D"/>
    <w:rsid w:val="00FC3A87"/>
    <w:rsid w:val="00FC4964"/>
    <w:rsid w:val="00FC5C06"/>
    <w:rsid w:val="00FD505C"/>
    <w:rsid w:val="00FD5421"/>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3AD2"/>
  <w15:chartTrackingRefBased/>
  <w15:docId w15:val="{B0AD05CA-A159-42BD-9310-FE10AC5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8D"/>
    <w:pPr>
      <w:spacing w:after="240" w:line="240" w:lineRule="atLeast"/>
    </w:pPr>
    <w:rPr>
      <w:szCs w:val="22"/>
      <w:lang w:val="en-US" w:eastAsia="en-US"/>
    </w:rPr>
  </w:style>
  <w:style w:type="paragraph" w:styleId="Heading1">
    <w:name w:val="heading 1"/>
    <w:basedOn w:val="Normal"/>
    <w:next w:val="Normal"/>
    <w:link w:val="Heading1Char"/>
    <w:uiPriority w:val="9"/>
    <w:qFormat/>
    <w:rsid w:val="00BA2D8D"/>
    <w:pPr>
      <w:keepNext/>
      <w:keepLines/>
      <w:spacing w:after="0"/>
      <w:outlineLvl w:val="0"/>
    </w:pPr>
    <w:rPr>
      <w:rFonts w:ascii="Calibri" w:eastAsia="MingLiU" w:hAnsi="Calibri"/>
      <w:b/>
      <w:bCs/>
      <w:color w:val="00A3E0"/>
      <w:sz w:val="26"/>
      <w:szCs w:val="28"/>
    </w:rPr>
  </w:style>
  <w:style w:type="paragraph" w:styleId="Heading2">
    <w:name w:val="heading 2"/>
    <w:basedOn w:val="Heading3"/>
    <w:link w:val="Heading2Char"/>
    <w:autoRedefine/>
    <w:uiPriority w:val="9"/>
    <w:qFormat/>
    <w:rsid w:val="00410A4A"/>
    <w:pPr>
      <w:numPr>
        <w:numId w:val="22"/>
      </w:numPr>
      <w:spacing w:after="360"/>
      <w:ind w:hanging="360"/>
      <w:outlineLvl w:val="1"/>
    </w:pPr>
    <w:rPr>
      <w:rFonts w:ascii="Calibri Light" w:eastAsiaTheme="majorEastAsia" w:hAnsi="Calibri Light" w:cstheme="majorBidi"/>
      <w:b w:val="0"/>
      <w:bCs w:val="0"/>
      <w:color w:val="000000" w:themeColor="text1"/>
      <w:sz w:val="28"/>
      <w:szCs w:val="26"/>
      <w:lang w:val="cs-CZ" w:eastAsia="cs-CZ"/>
    </w:rPr>
  </w:style>
  <w:style w:type="paragraph" w:styleId="Heading3">
    <w:name w:val="heading 3"/>
    <w:basedOn w:val="Normal"/>
    <w:next w:val="Normal"/>
    <w:link w:val="Heading3Char"/>
    <w:uiPriority w:val="9"/>
    <w:qFormat/>
    <w:rsid w:val="00BA2D8D"/>
    <w:pPr>
      <w:keepNext/>
      <w:keepLines/>
      <w:spacing w:after="0"/>
      <w:outlineLvl w:val="2"/>
    </w:pPr>
    <w:rPr>
      <w:rFonts w:ascii="Calibri" w:eastAsia="MingLiU" w:hAnsi="Calibri"/>
      <w:b/>
      <w:bCs/>
      <w:color w:val="53565A"/>
      <w:sz w:val="26"/>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Calibri" w:eastAsia="MingLiU" w:hAnsi="Calibri"/>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2D8D"/>
    <w:rPr>
      <w:rFonts w:ascii="Calibri" w:eastAsia="MingLiU" w:hAnsi="Calibri" w:cs="Times New Roman"/>
      <w:b/>
      <w:bCs/>
      <w:color w:val="00A3E0"/>
      <w:sz w:val="26"/>
      <w:szCs w:val="28"/>
      <w:lang w:val="en-US"/>
    </w:rPr>
  </w:style>
  <w:style w:type="character" w:customStyle="1" w:styleId="Heading2Char">
    <w:name w:val="Heading 2 Char"/>
    <w:basedOn w:val="DefaultParagraphFont"/>
    <w:link w:val="Heading2"/>
    <w:uiPriority w:val="9"/>
    <w:rsid w:val="00410A4A"/>
    <w:rPr>
      <w:rFonts w:eastAsiaTheme="majorEastAsia" w:cstheme="majorBidi"/>
      <w:color w:val="000000" w:themeColor="text1"/>
      <w:sz w:val="28"/>
      <w:szCs w:val="26"/>
    </w:rPr>
  </w:style>
  <w:style w:type="table" w:styleId="TableGrid">
    <w:name w:val="Table Grid"/>
    <w:basedOn w:val="TableNormal"/>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pPr>
    <w:rPr>
      <w:b/>
      <w:sz w:val="14"/>
      <w:szCs w:val="22"/>
      <w:lang w:val="en-US" w:eastAsia="en-US"/>
    </w:rPr>
  </w:style>
  <w:style w:type="character" w:customStyle="1" w:styleId="HeaderChar">
    <w:name w:val="Header Char"/>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BA2D8D"/>
    <w:pPr>
      <w:numPr>
        <w:numId w:val="1"/>
      </w:numPr>
      <w:tabs>
        <w:tab w:val="clear" w:pos="360"/>
      </w:tabs>
      <w:spacing w:after="0"/>
      <w:ind w:left="284" w:hanging="284"/>
      <w:contextualSpacing/>
    </w:pPr>
    <w:rPr>
      <w:rFonts w:ascii="Calibri" w:hAnsi="Calibri"/>
    </w:rPr>
  </w:style>
  <w:style w:type="paragraph" w:styleId="ListBullet2">
    <w:name w:val="List Bullet 2"/>
    <w:basedOn w:val="Normal"/>
    <w:uiPriority w:val="99"/>
    <w:qFormat/>
    <w:rsid w:val="00BA2D8D"/>
    <w:pPr>
      <w:numPr>
        <w:numId w:val="2"/>
      </w:numPr>
      <w:ind w:left="568" w:hanging="284"/>
      <w:contextualSpacing/>
    </w:pPr>
    <w:rPr>
      <w:rFonts w:ascii="Calibri" w:hAnsi="Calibri"/>
    </w:rPr>
  </w:style>
  <w:style w:type="paragraph" w:styleId="ListNumber">
    <w:name w:val="List Number"/>
    <w:basedOn w:val="Normal"/>
    <w:uiPriority w:val="99"/>
    <w:qFormat/>
    <w:rsid w:val="00BA2D8D"/>
    <w:pPr>
      <w:numPr>
        <w:numId w:val="3"/>
      </w:numPr>
      <w:tabs>
        <w:tab w:val="clear" w:pos="360"/>
      </w:tabs>
      <w:spacing w:after="0"/>
      <w:ind w:left="284" w:hanging="284"/>
      <w:contextualSpacing/>
    </w:pPr>
    <w:rPr>
      <w:rFonts w:ascii="Calibri" w:hAnsi="Calibri"/>
    </w:rPr>
  </w:style>
  <w:style w:type="paragraph" w:styleId="ListNumber2">
    <w:name w:val="List Number 2"/>
    <w:basedOn w:val="Normal"/>
    <w:uiPriority w:val="99"/>
    <w:qFormat/>
    <w:rsid w:val="00BA2D8D"/>
    <w:pPr>
      <w:numPr>
        <w:numId w:val="4"/>
      </w:numPr>
      <w:ind w:left="568" w:hanging="284"/>
      <w:contextualSpacing/>
    </w:pPr>
    <w:rPr>
      <w:rFonts w:ascii="Calibri" w:hAnsi="Calibri"/>
    </w:rPr>
  </w:style>
  <w:style w:type="character" w:customStyle="1" w:styleId="Heading3Char">
    <w:name w:val="Heading 3 Char"/>
    <w:link w:val="Heading3"/>
    <w:uiPriority w:val="9"/>
    <w:rsid w:val="00BA2D8D"/>
    <w:rPr>
      <w:rFonts w:ascii="Calibri" w:eastAsia="MingLiU" w:hAnsi="Calibri" w:cs="Times New Roman"/>
      <w:b/>
      <w:bCs/>
      <w:color w:val="53565A"/>
      <w:sz w:val="26"/>
      <w:lang w:val="en-US"/>
    </w:rPr>
  </w:style>
  <w:style w:type="character" w:customStyle="1" w:styleId="Heading4Char">
    <w:name w:val="Heading 4 Char"/>
    <w:link w:val="Heading4"/>
    <w:uiPriority w:val="9"/>
    <w:semiHidden/>
    <w:rsid w:val="007550AB"/>
    <w:rPr>
      <w:rFonts w:ascii="Calibri" w:eastAsia="MingLiU" w:hAnsi="Calibri" w:cs="Times New Roman"/>
      <w:b/>
      <w:bCs/>
      <w:iCs/>
      <w:color w:val="000000"/>
      <w:sz w:val="18"/>
      <w:lang w:val="en-US"/>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link w:val="FootnoteText"/>
    <w:uiPriority w:val="99"/>
    <w:rsid w:val="007550AB"/>
    <w:rPr>
      <w:sz w:val="16"/>
      <w:szCs w:val="20"/>
      <w:lang w:val="en-US"/>
    </w:rPr>
  </w:style>
  <w:style w:type="paragraph" w:customStyle="1" w:styleId="Documenttitle">
    <w:name w:val="Document title"/>
    <w:next w:val="Documentsubtitle"/>
    <w:qFormat/>
    <w:rsid w:val="00C7670A"/>
    <w:pPr>
      <w:spacing w:line="440" w:lineRule="atLeast"/>
    </w:pPr>
    <w:rPr>
      <w:rFonts w:eastAsia="MingLiU"/>
      <w:bCs/>
      <w:color w:val="86BC25"/>
      <w:sz w:val="42"/>
      <w:szCs w:val="28"/>
      <w:lang w:val="en-GB" w:eastAsia="en-US"/>
    </w:rPr>
  </w:style>
  <w:style w:type="paragraph" w:customStyle="1" w:styleId="Subheading">
    <w:name w:val="Subheading"/>
    <w:basedOn w:val="Normal"/>
    <w:next w:val="Normal"/>
    <w:semiHidden/>
    <w:qFormat/>
    <w:rsid w:val="00D236E8"/>
    <w:pPr>
      <w:spacing w:after="0"/>
    </w:pPr>
    <w:rPr>
      <w:rFonts w:ascii="Calibri" w:eastAsia="MingLiU" w:hAnsi="Calibri"/>
      <w:b/>
      <w:bCs/>
      <w:iCs/>
      <w:color w:val="000000"/>
    </w:rPr>
  </w:style>
  <w:style w:type="character" w:styleId="FootnoteReference">
    <w:name w:val="footnote reference"/>
    <w:uiPriority w:val="99"/>
    <w:semiHidden/>
    <w:rsid w:val="00412EA0"/>
    <w:rPr>
      <w:vertAlign w:val="superscript"/>
    </w:rPr>
  </w:style>
  <w:style w:type="paragraph" w:customStyle="1" w:styleId="Sectionintro">
    <w:name w:val="Section intro"/>
    <w:basedOn w:val="Normal"/>
    <w:next w:val="Normal"/>
    <w:qFormat/>
    <w:rsid w:val="00BA2D8D"/>
    <w:pPr>
      <w:spacing w:line="360" w:lineRule="atLeast"/>
    </w:pPr>
    <w:rPr>
      <w:sz w:val="32"/>
    </w:rPr>
  </w:style>
  <w:style w:type="paragraph" w:customStyle="1" w:styleId="Documentdate">
    <w:name w:val="Document date"/>
    <w:qFormat/>
    <w:rsid w:val="00BA2D8D"/>
    <w:pPr>
      <w:spacing w:line="240" w:lineRule="atLeast"/>
    </w:pPr>
    <w:rPr>
      <w:sz w:val="32"/>
      <w:szCs w:val="22"/>
      <w:lang w:val="en-US" w:eastAsia="en-US"/>
    </w:rPr>
  </w:style>
  <w:style w:type="paragraph" w:customStyle="1" w:styleId="Sectiontitle">
    <w:name w:val="Section title"/>
    <w:basedOn w:val="Normal"/>
    <w:next w:val="Normal"/>
    <w:qFormat/>
    <w:rsid w:val="00BA2D8D"/>
    <w:pPr>
      <w:spacing w:after="480" w:line="720" w:lineRule="atLeast"/>
    </w:pPr>
    <w:rPr>
      <w:sz w:val="72"/>
    </w:rPr>
  </w:style>
  <w:style w:type="paragraph" w:customStyle="1" w:styleId="PulloutBlue">
    <w:name w:val="Pullout Blue"/>
    <w:basedOn w:val="Normal"/>
    <w:next w:val="Normal"/>
    <w:qFormat/>
    <w:rsid w:val="00BA2D8D"/>
    <w:pPr>
      <w:spacing w:line="360" w:lineRule="atLeast"/>
    </w:pPr>
    <w:rPr>
      <w:color w:val="00A3E0"/>
      <w:sz w:val="32"/>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A2D8D"/>
    <w:pPr>
      <w:keepNext/>
      <w:spacing w:line="240" w:lineRule="auto"/>
    </w:pPr>
    <w:rPr>
      <w:iCs/>
      <w:color w:val="53565A"/>
      <w:szCs w:val="18"/>
    </w:rPr>
  </w:style>
  <w:style w:type="character" w:styleId="Hyperlink">
    <w:name w:val="Hyperlink"/>
    <w:uiPriority w:val="99"/>
    <w:unhideWhenUsed/>
    <w:rsid w:val="00E94C20"/>
    <w:rPr>
      <w:color w:val="00A3E0"/>
      <w:u w:val="single"/>
    </w:rPr>
  </w:style>
  <w:style w:type="paragraph" w:customStyle="1" w:styleId="PulloutGreen">
    <w:name w:val="Pullout Green"/>
    <w:basedOn w:val="PulloutBlue"/>
    <w:next w:val="Normal"/>
    <w:qFormat/>
    <w:rsid w:val="00BA2D8D"/>
    <w:rPr>
      <w:color w:val="86BC25"/>
    </w:rPr>
  </w:style>
  <w:style w:type="paragraph" w:customStyle="1" w:styleId="QuotesourceBlue">
    <w:name w:val="Quote source Blue"/>
    <w:basedOn w:val="Normal"/>
    <w:next w:val="Normal"/>
    <w:qFormat/>
    <w:rsid w:val="00C24F79"/>
    <w:pPr>
      <w:spacing w:line="200" w:lineRule="atLeast"/>
      <w:contextualSpacing/>
    </w:pPr>
    <w:rPr>
      <w:rFonts w:ascii="Calibri" w:hAnsi="Calibri"/>
      <w:b/>
      <w:color w:val="00A3E0"/>
    </w:rPr>
  </w:style>
  <w:style w:type="paragraph" w:customStyle="1" w:styleId="QuotesourceGreen">
    <w:name w:val="Quote source Green"/>
    <w:basedOn w:val="QuotesourceBlue"/>
    <w:next w:val="Normal"/>
    <w:qFormat/>
    <w:rsid w:val="00C24F79"/>
    <w:rPr>
      <w:color w:val="86BC25"/>
    </w:rPr>
  </w:style>
  <w:style w:type="paragraph" w:customStyle="1" w:styleId="Paneltext">
    <w:name w:val="Panel text"/>
    <w:basedOn w:val="Normal"/>
    <w:qFormat/>
    <w:rsid w:val="00BA2D8D"/>
    <w:rPr>
      <w:color w:val="FFFFFF"/>
    </w:rPr>
  </w:style>
  <w:style w:type="paragraph" w:customStyle="1" w:styleId="Paneltitle">
    <w:name w:val="Panel title"/>
    <w:basedOn w:val="Paneltext"/>
    <w:next w:val="Paneltext"/>
    <w:qFormat/>
    <w:rsid w:val="00BA2D8D"/>
    <w:pPr>
      <w:spacing w:line="360" w:lineRule="atLeast"/>
    </w:pPr>
    <w:rPr>
      <w:rFonts w:ascii="Calibri" w:hAnsi="Calibri"/>
      <w:b/>
      <w:sz w:val="42"/>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BA2D8D"/>
    <w:pPr>
      <w:spacing w:after="120" w:line="440" w:lineRule="atLeast"/>
    </w:pPr>
    <w:rPr>
      <w:sz w:val="42"/>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BA2D8D"/>
    <w:pPr>
      <w:spacing w:after="0" w:line="720" w:lineRule="atLeast"/>
    </w:pPr>
    <w:rPr>
      <w:color w:val="FFFFFF"/>
      <w:sz w:val="72"/>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TableNormal"/>
    <w:uiPriority w:val="99"/>
    <w:rsid w:val="003B3379"/>
    <w:rPr>
      <w:sz w:val="17"/>
    </w:rPr>
    <w:tblPr>
      <w:tblBorders>
        <w:top w:val="single" w:sz="4" w:space="0" w:color="26890D"/>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26890D"/>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4D1F57"/>
    <w:rPr>
      <w:b/>
      <w:color w:val="26890D"/>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Heading2"/>
    <w:qFormat/>
    <w:rsid w:val="00B66FC9"/>
  </w:style>
  <w:style w:type="character" w:customStyle="1" w:styleId="ListParagraphChar">
    <w:name w:val="List Paragraph Char"/>
    <w:aliases w:val="A-Odrážky1 Char,Odstavec_muj Char,Nad Char,_Odstavec se seznamem Char,Odstavec_muj1 Char,Odstavec_muj2 Char,Odstavec_muj3 Char,Nad1 Char,Odstavec_muj4 Char,Nad2 Char,List Paragraph2 Char,Odstavec_muj5 Char,Odstavec_muj6 Char"/>
    <w:basedOn w:val="DefaultParagraphFont"/>
    <w:link w:val="ListParagraph"/>
    <w:rsid w:val="007C115F"/>
  </w:style>
  <w:style w:type="paragraph" w:styleId="ListParagraph">
    <w:name w:val="List Paragraph"/>
    <w:aliases w:val="A-Odrážky1,Odstavec_muj,Nad,_Odstavec se seznamem,Odstavec_muj1,Odstavec_muj2,Odstavec_muj3,Nad1,Odstavec_muj4,Nad2,List Paragraph2,Odstavec_muj5,Odstavec_muj6,Odstavec_muj7,Odstavec_muj8,Odstavec_muj9,List Paragraph1CxSpLast"/>
    <w:basedOn w:val="Normal"/>
    <w:link w:val="ListParagraphChar"/>
    <w:qFormat/>
    <w:rsid w:val="007C115F"/>
    <w:pPr>
      <w:ind w:left="720"/>
    </w:pPr>
    <w:rPr>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706367742">
      <w:bodyDiv w:val="1"/>
      <w:marLeft w:val="0"/>
      <w:marRight w:val="0"/>
      <w:marTop w:val="0"/>
      <w:marBottom w:val="0"/>
      <w:divBdr>
        <w:top w:val="none" w:sz="0" w:space="0" w:color="auto"/>
        <w:left w:val="none" w:sz="0" w:space="0" w:color="auto"/>
        <w:bottom w:val="none" w:sz="0" w:space="0" w:color="auto"/>
        <w:right w:val="none" w:sz="0" w:space="0" w:color="auto"/>
      </w:divBdr>
      <w:divsChild>
        <w:div w:id="1687906741">
          <w:marLeft w:val="0"/>
          <w:marRight w:val="0"/>
          <w:marTop w:val="0"/>
          <w:marBottom w:val="0"/>
          <w:divBdr>
            <w:top w:val="none" w:sz="0" w:space="0" w:color="auto"/>
            <w:left w:val="none" w:sz="0" w:space="0" w:color="auto"/>
            <w:bottom w:val="none" w:sz="0" w:space="0" w:color="auto"/>
            <w:right w:val="none" w:sz="0" w:space="0" w:color="auto"/>
          </w:divBdr>
          <w:divsChild>
            <w:div w:id="1440560888">
              <w:marLeft w:val="0"/>
              <w:marRight w:val="0"/>
              <w:marTop w:val="0"/>
              <w:marBottom w:val="0"/>
              <w:divBdr>
                <w:top w:val="none" w:sz="0" w:space="0" w:color="auto"/>
                <w:left w:val="none" w:sz="0" w:space="0" w:color="auto"/>
                <w:bottom w:val="none" w:sz="0" w:space="0" w:color="auto"/>
                <w:right w:val="none" w:sz="0" w:space="0" w:color="auto"/>
              </w:divBdr>
            </w:div>
            <w:div w:id="1737581064">
              <w:marLeft w:val="0"/>
              <w:marRight w:val="0"/>
              <w:marTop w:val="0"/>
              <w:marBottom w:val="0"/>
              <w:divBdr>
                <w:top w:val="none" w:sz="0" w:space="0" w:color="auto"/>
                <w:left w:val="none" w:sz="0" w:space="0" w:color="auto"/>
                <w:bottom w:val="none" w:sz="0" w:space="0" w:color="auto"/>
                <w:right w:val="none" w:sz="0" w:space="0" w:color="auto"/>
              </w:divBdr>
            </w:div>
          </w:divsChild>
        </w:div>
        <w:div w:id="1864174772">
          <w:marLeft w:val="0"/>
          <w:marRight w:val="0"/>
          <w:marTop w:val="0"/>
          <w:marBottom w:val="0"/>
          <w:divBdr>
            <w:top w:val="single" w:sz="12" w:space="0" w:color="D2D2D2"/>
            <w:left w:val="single" w:sz="12" w:space="0" w:color="D2D2D2"/>
            <w:bottom w:val="single" w:sz="12" w:space="0" w:color="D2D2D2"/>
            <w:right w:val="single" w:sz="12" w:space="0" w:color="D2D2D2"/>
          </w:divBdr>
          <w:divsChild>
            <w:div w:id="1605259227">
              <w:marLeft w:val="0"/>
              <w:marRight w:val="0"/>
              <w:marTop w:val="0"/>
              <w:marBottom w:val="0"/>
              <w:divBdr>
                <w:top w:val="none" w:sz="0" w:space="0" w:color="auto"/>
                <w:left w:val="none" w:sz="0" w:space="0" w:color="auto"/>
                <w:bottom w:val="none" w:sz="0" w:space="0" w:color="auto"/>
                <w:right w:val="none" w:sz="0" w:space="0" w:color="auto"/>
              </w:divBdr>
            </w:div>
            <w:div w:id="91208325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ng.com/translato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B13E97BD02549B9801EF1D08E31A8" ma:contentTypeVersion="12" ma:contentTypeDescription="Create a new document." ma:contentTypeScope="" ma:versionID="9e888581cc5a730c346e3fd12187e43d">
  <xsd:schema xmlns:xsd="http://www.w3.org/2001/XMLSchema" xmlns:xs="http://www.w3.org/2001/XMLSchema" xmlns:p="http://schemas.microsoft.com/office/2006/metadata/properties" xmlns:ns2="dda24b63-c002-46c2-b8a5-f2329012e845" xmlns:ns3="6f970924-b915-492e-bfdb-ebbb49cca1e0" targetNamespace="http://schemas.microsoft.com/office/2006/metadata/properties" ma:root="true" ma:fieldsID="d07b5ece4f3624a4416920edeba85730" ns2:_="" ns3:_="">
    <xsd:import namespace="dda24b63-c002-46c2-b8a5-f2329012e845"/>
    <xsd:import namespace="6f970924-b915-492e-bfdb-ebbb49cca1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24b63-c002-46c2-b8a5-f2329012e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70924-b915-492e-bfdb-ebbb49cca1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AF8A-A6AD-4D56-BE27-989F93CD5632}">
  <ds:schemaRefs>
    <ds:schemaRef ds:uri="http://schemas.microsoft.com/sharepoint/v3/contenttype/forms"/>
  </ds:schemaRefs>
</ds:datastoreItem>
</file>

<file path=customXml/itemProps2.xml><?xml version="1.0" encoding="utf-8"?>
<ds:datastoreItem xmlns:ds="http://schemas.openxmlformats.org/officeDocument/2006/customXml" ds:itemID="{919A1ECD-8381-4DBC-A65E-067EDCACD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24b63-c002-46c2-b8a5-f2329012e845"/>
    <ds:schemaRef ds:uri="6f970924-b915-492e-bfdb-ebbb49cca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9FB3B-864F-4F66-BCCE-75E78A4F8C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20B7B8-A7BF-4B07-AB7D-C6F7654F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1581</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Proposal_A4</vt:lpstr>
    </vt:vector>
  </TitlesOfParts>
  <Company>Deloitte Touche Tohmatsu Services, Inc.</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Rames, Filip</dc:creator>
  <cp:keywords/>
  <dc:description/>
  <cp:lastModifiedBy>Rames, Filip</cp:lastModifiedBy>
  <cp:revision>2</cp:revision>
  <cp:lastPrinted>2016-04-04T15:14:00Z</cp:lastPrinted>
  <dcterms:created xsi:type="dcterms:W3CDTF">2020-10-02T12:04:00Z</dcterms:created>
  <dcterms:modified xsi:type="dcterms:W3CDTF">2020-10-02T13:05:00Z</dcterms:modified>
</cp:coreProperties>
</file>