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rPr>
        <w:id w:val="2080625881"/>
        <w:docPartObj>
          <w:docPartGallery w:val="Cover Pages"/>
          <w:docPartUnique/>
        </w:docPartObj>
      </w:sdtPr>
      <w:sdtEndPr>
        <w:rPr>
          <w:sz w:val="6"/>
          <w:szCs w:val="6"/>
        </w:rPr>
      </w:sdtEndPr>
      <w:sdtContent>
        <w:tbl>
          <w:tblPr>
            <w:tblStyle w:val="TableGrid"/>
            <w:tblW w:w="9720" w:type="dxa"/>
            <w:tblLayout w:type="fixed"/>
            <w:tblLook w:val="04A0" w:firstRow="1" w:lastRow="0" w:firstColumn="1" w:lastColumn="0" w:noHBand="0" w:noVBand="1"/>
          </w:tblPr>
          <w:tblGrid>
            <w:gridCol w:w="9720"/>
          </w:tblGrid>
          <w:tr w:rsidR="00061444" w:rsidRPr="00880699" w14:paraId="56F28510" w14:textId="382AC8E5" w:rsidTr="1B8B314C">
            <w:trPr>
              <w:cnfStyle w:val="100000000000" w:firstRow="1" w:lastRow="0" w:firstColumn="0" w:lastColumn="0" w:oddVBand="0" w:evenVBand="0" w:oddHBand="0" w:evenHBand="0" w:firstRowFirstColumn="0" w:firstRowLastColumn="0" w:lastRowFirstColumn="0" w:lastRowLastColumn="0"/>
              <w:trHeight w:hRule="exact" w:val="9884"/>
            </w:trPr>
            <w:tc>
              <w:tcPr>
                <w:tcW w:w="9720" w:type="dxa"/>
                <w:vAlign w:val="center"/>
              </w:tcPr>
              <w:p w14:paraId="51842E56" w14:textId="609609F0" w:rsidR="00061444" w:rsidRPr="00880699" w:rsidRDefault="36DA7068" w:rsidP="005A6212">
                <w:pPr>
                  <w:rPr>
                    <w:rFonts w:asciiTheme="majorHAnsi" w:hAnsiTheme="majorHAnsi"/>
                  </w:rPr>
                </w:pPr>
                <w:r>
                  <w:rPr>
                    <w:noProof/>
                    <w:lang w:eastAsia="cs-CZ"/>
                  </w:rPr>
                  <w:drawing>
                    <wp:inline distT="0" distB="0" distL="0" distR="0" wp14:anchorId="03F9F8A5" wp14:editId="1AEA9888">
                      <wp:extent cx="5623560" cy="5623560"/>
                      <wp:effectExtent l="0" t="0" r="0" b="0"/>
                      <wp:docPr id="4" name="Picture 4" descr="C:\Users\frames\Downloads\shutterstock_451176577_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623560" cy="5623560"/>
                              </a:xfrm>
                              <a:prstGeom prst="rect">
                                <a:avLst/>
                              </a:prstGeom>
                            </pic:spPr>
                          </pic:pic>
                        </a:graphicData>
                      </a:graphic>
                    </wp:inline>
                  </w:drawing>
                </w:r>
              </w:p>
            </w:tc>
          </w:tr>
        </w:tbl>
        <w:p w14:paraId="30E79F44" w14:textId="77777777" w:rsidR="00061444" w:rsidRPr="00880699" w:rsidRDefault="00216B3B" w:rsidP="00B71517">
          <w:pPr>
            <w:spacing w:after="0" w:line="240" w:lineRule="auto"/>
            <w:jc w:val="both"/>
            <w:rPr>
              <w:rFonts w:asciiTheme="majorHAnsi" w:hAnsiTheme="majorHAnsi"/>
            </w:rPr>
          </w:pPr>
          <w:r w:rsidRPr="00880699">
            <w:rPr>
              <w:noProof/>
              <w:lang w:eastAsia="cs-CZ"/>
            </w:rPr>
            <w:drawing>
              <wp:anchor distT="0" distB="0" distL="114300" distR="114300" simplePos="0" relativeHeight="251671552" behindDoc="0" locked="0" layoutInCell="1" allowOverlap="1" wp14:anchorId="09260927" wp14:editId="7CBEC1E9">
                <wp:simplePos x="0" y="0"/>
                <wp:positionH relativeFrom="margin">
                  <wp:align>center</wp:align>
                </wp:positionH>
                <wp:positionV relativeFrom="paragraph">
                  <wp:posOffset>-7049297</wp:posOffset>
                </wp:positionV>
                <wp:extent cx="5832475" cy="685800"/>
                <wp:effectExtent l="0" t="0" r="0" b="0"/>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9">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444" w:rsidRPr="00880699">
            <w:rPr>
              <w:rFonts w:asciiTheme="majorHAnsi" w:hAnsiTheme="majorHAnsi"/>
              <w:noProof/>
              <w:lang w:eastAsia="cs-CZ"/>
            </w:rPr>
            <w:drawing>
              <wp:anchor distT="0" distB="0" distL="114300" distR="114300" simplePos="0" relativeHeight="251667456" behindDoc="0" locked="1" layoutInCell="1" allowOverlap="1" wp14:anchorId="2B5C833F" wp14:editId="1723C7E1">
                <wp:simplePos x="0" y="0"/>
                <wp:positionH relativeFrom="page">
                  <wp:posOffset>5332730</wp:posOffset>
                </wp:positionH>
                <wp:positionV relativeFrom="page">
                  <wp:posOffset>9533890</wp:posOffset>
                </wp:positionV>
                <wp:extent cx="1831975" cy="34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r w:rsidR="00061444" w:rsidRPr="00880699">
            <w:rPr>
              <w:rFonts w:asciiTheme="majorHAnsi" w:hAnsiTheme="majorHAnsi"/>
              <w:noProof/>
              <w:lang w:eastAsia="cs-CZ"/>
            </w:rPr>
            <mc:AlternateContent>
              <mc:Choice Requires="wps">
                <w:drawing>
                  <wp:anchor distT="0" distB="0" distL="114300" distR="114300" simplePos="0" relativeHeight="251666432" behindDoc="1" locked="1" layoutInCell="1" allowOverlap="1" wp14:anchorId="52B7BADC" wp14:editId="7656AEEC">
                    <wp:simplePos x="0" y="0"/>
                    <wp:positionH relativeFrom="page">
                      <wp:posOffset>0</wp:posOffset>
                    </wp:positionH>
                    <wp:positionV relativeFrom="page">
                      <wp:posOffset>184150</wp:posOffset>
                    </wp:positionV>
                    <wp:extent cx="7595870" cy="10403205"/>
                    <wp:effectExtent l="0" t="0" r="5080" b="0"/>
                    <wp:wrapNone/>
                    <wp:docPr id="8" name="Rectangle 8"/>
                    <wp:cNvGraphicFramePr/>
                    <a:graphic xmlns:a="http://schemas.openxmlformats.org/drawingml/2006/main">
                      <a:graphicData uri="http://schemas.microsoft.com/office/word/2010/wordprocessingShape">
                        <wps:wsp>
                          <wps:cNvSpPr/>
                          <wps:spPr>
                            <a:xfrm>
                              <a:off x="0" y="0"/>
                              <a:ext cx="7595870" cy="104032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5AC8B5">
                  <v:rect id="Rectangle 8" style="position:absolute;margin-left:0;margin-top:14.5pt;width:598.1pt;height:819.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white [3212]" stroked="f" strokeweight="2pt" w14:anchorId="1F1A3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">
                    <w10:wrap anchorx="page" anchory="page"/>
                    <w10:anchorlock/>
                  </v:rect>
                </w:pict>
              </mc:Fallback>
            </mc:AlternateContent>
          </w:r>
        </w:p>
        <w:tbl>
          <w:tblPr>
            <w:tblStyle w:val="TableGrid"/>
            <w:tblW w:w="9720" w:type="dxa"/>
            <w:tblLayout w:type="fixed"/>
            <w:tblLook w:val="04A0" w:firstRow="1" w:lastRow="0" w:firstColumn="1" w:lastColumn="0" w:noHBand="0" w:noVBand="1"/>
          </w:tblPr>
          <w:tblGrid>
            <w:gridCol w:w="9720"/>
          </w:tblGrid>
          <w:tr w:rsidR="00061444" w:rsidRPr="00880699" w14:paraId="105E7A5F" w14:textId="77777777" w:rsidTr="005A6212">
            <w:trPr>
              <w:cnfStyle w:val="100000000000" w:firstRow="1" w:lastRow="0" w:firstColumn="0" w:lastColumn="0" w:oddVBand="0" w:evenVBand="0" w:oddHBand="0" w:evenHBand="0" w:firstRowFirstColumn="0" w:firstRowLastColumn="0" w:lastRowFirstColumn="0" w:lastRowLastColumn="0"/>
              <w:trHeight w:hRule="exact" w:val="2835"/>
            </w:trPr>
            <w:tc>
              <w:tcPr>
                <w:tcW w:w="9720" w:type="dxa"/>
                <w:vAlign w:val="bottom"/>
              </w:tcPr>
              <w:p w14:paraId="40D5AF1F" w14:textId="021B7951" w:rsidR="00933261" w:rsidRPr="00880699" w:rsidRDefault="00933261" w:rsidP="005A6212">
                <w:pPr>
                  <w:pStyle w:val="Documenttitle"/>
                  <w:spacing w:line="240" w:lineRule="auto"/>
                  <w:rPr>
                    <w:lang w:val="cs-CZ"/>
                  </w:rPr>
                </w:pPr>
                <w:r w:rsidRPr="00880699">
                  <w:rPr>
                    <w:lang w:val="cs-CZ"/>
                  </w:rPr>
                  <w:t>Evaluace administrativních postupů implementační struktury OP PIK</w:t>
                </w:r>
              </w:p>
              <w:p w14:paraId="60AC13AC" w14:textId="2039DC2E" w:rsidR="002E114E" w:rsidRPr="00880699" w:rsidRDefault="00933261" w:rsidP="005A6212">
                <w:pPr>
                  <w:pStyle w:val="Documentsubtitle"/>
                  <w:spacing w:line="240" w:lineRule="auto"/>
                  <w:rPr>
                    <w:rFonts w:asciiTheme="majorHAnsi" w:hAnsiTheme="majorHAnsi"/>
                  </w:rPr>
                </w:pPr>
                <w:r w:rsidRPr="00880699">
                  <w:rPr>
                    <w:rFonts w:asciiTheme="majorHAnsi" w:hAnsiTheme="majorHAnsi"/>
                  </w:rPr>
                  <w:t xml:space="preserve">Česká republika - </w:t>
                </w:r>
                <w:r w:rsidR="002E114E" w:rsidRPr="00880699">
                  <w:rPr>
                    <w:rFonts w:asciiTheme="majorHAnsi" w:hAnsiTheme="majorHAnsi"/>
                  </w:rPr>
                  <w:t>M</w:t>
                </w:r>
                <w:r w:rsidRPr="00880699">
                  <w:rPr>
                    <w:rFonts w:asciiTheme="majorHAnsi" w:hAnsiTheme="majorHAnsi"/>
                  </w:rPr>
                  <w:t>inisterstvo průmyslu a obchodu</w:t>
                </w:r>
              </w:p>
              <w:p w14:paraId="66C08143" w14:textId="77777777" w:rsidR="00461B29" w:rsidRPr="00880699" w:rsidRDefault="00461B29" w:rsidP="00B71517">
                <w:pPr>
                  <w:pStyle w:val="Documentsubtitle"/>
                  <w:spacing w:line="240" w:lineRule="auto"/>
                  <w:jc w:val="both"/>
                  <w:rPr>
                    <w:rFonts w:asciiTheme="majorHAnsi" w:hAnsiTheme="majorHAnsi"/>
                  </w:rPr>
                </w:pPr>
              </w:p>
              <w:p w14:paraId="447B9E67" w14:textId="7F699B20" w:rsidR="002E114E" w:rsidRPr="00880699" w:rsidRDefault="00971AE7" w:rsidP="00B71517">
                <w:pPr>
                  <w:pStyle w:val="Documentsubtitle"/>
                  <w:spacing w:after="0" w:line="240" w:lineRule="auto"/>
                  <w:jc w:val="both"/>
                  <w:rPr>
                    <w:rFonts w:asciiTheme="majorHAnsi" w:hAnsiTheme="majorHAnsi"/>
                    <w:b/>
                  </w:rPr>
                </w:pPr>
                <w:r>
                  <w:rPr>
                    <w:rFonts w:asciiTheme="majorHAnsi" w:hAnsiTheme="majorHAnsi"/>
                    <w:b/>
                  </w:rPr>
                  <w:t>Závěrečná</w:t>
                </w:r>
                <w:r w:rsidR="002E114E" w:rsidRPr="00880699">
                  <w:rPr>
                    <w:rFonts w:asciiTheme="majorHAnsi" w:hAnsiTheme="majorHAnsi"/>
                    <w:b/>
                  </w:rPr>
                  <w:t xml:space="preserve"> zpráva projektu</w:t>
                </w:r>
              </w:p>
              <w:p w14:paraId="5578A4FE" w14:textId="2C923187" w:rsidR="00061444" w:rsidRPr="00880699" w:rsidRDefault="006C07A8" w:rsidP="00B71517">
                <w:pPr>
                  <w:pStyle w:val="Documentsubtitle"/>
                  <w:spacing w:line="240" w:lineRule="auto"/>
                  <w:jc w:val="both"/>
                  <w:rPr>
                    <w:rFonts w:asciiTheme="majorHAnsi" w:hAnsiTheme="majorHAnsi"/>
                    <w:sz w:val="18"/>
                    <w:szCs w:val="18"/>
                  </w:rPr>
                </w:pPr>
                <w:r>
                  <w:rPr>
                    <w:rFonts w:asciiTheme="majorHAnsi" w:hAnsiTheme="majorHAnsi"/>
                    <w:sz w:val="18"/>
                    <w:szCs w:val="18"/>
                  </w:rPr>
                  <w:t>Říjen</w:t>
                </w:r>
                <w:r w:rsidR="002335D2" w:rsidRPr="00880699">
                  <w:rPr>
                    <w:rFonts w:asciiTheme="majorHAnsi" w:hAnsiTheme="majorHAnsi"/>
                    <w:sz w:val="18"/>
                    <w:szCs w:val="18"/>
                  </w:rPr>
                  <w:t xml:space="preserve"> 2020</w:t>
                </w:r>
              </w:p>
            </w:tc>
          </w:tr>
        </w:tbl>
        <w:p w14:paraId="138936AD" w14:textId="77777777" w:rsidR="00061444" w:rsidRPr="00880699" w:rsidRDefault="00061444" w:rsidP="00B71517">
          <w:pPr>
            <w:spacing w:line="240" w:lineRule="auto"/>
            <w:jc w:val="both"/>
            <w:rPr>
              <w:rFonts w:asciiTheme="majorHAnsi" w:hAnsiTheme="majorHAnsi"/>
              <w:sz w:val="6"/>
              <w:szCs w:val="6"/>
            </w:rPr>
          </w:pPr>
          <w:r w:rsidRPr="00880699">
            <w:rPr>
              <w:rFonts w:asciiTheme="majorHAnsi" w:hAnsiTheme="majorHAnsi"/>
              <w:sz w:val="6"/>
              <w:szCs w:val="6"/>
            </w:rPr>
            <w:br w:type="page"/>
          </w:r>
        </w:p>
      </w:sdtContent>
    </w:sdt>
    <w:p w14:paraId="12034C1D" w14:textId="049BDF33" w:rsidR="00212852" w:rsidRPr="00880699" w:rsidRDefault="008962D0" w:rsidP="004E1F83">
      <w:pPr>
        <w:rPr>
          <w:sz w:val="60"/>
          <w:szCs w:val="60"/>
        </w:rPr>
      </w:pPr>
      <w:r w:rsidRPr="1B8B314C">
        <w:rPr>
          <w:sz w:val="60"/>
          <w:szCs w:val="60"/>
        </w:rPr>
        <w:lastRenderedPageBreak/>
        <w:t>Obsah</w:t>
      </w:r>
    </w:p>
    <w:p w14:paraId="238BB008" w14:textId="77777777" w:rsidR="00212852" w:rsidRPr="00880699" w:rsidRDefault="00212852" w:rsidP="00B71517">
      <w:pPr>
        <w:spacing w:line="240" w:lineRule="auto"/>
        <w:jc w:val="both"/>
        <w:rPr>
          <w:rFonts w:asciiTheme="majorHAnsi" w:hAnsiTheme="majorHAnsi"/>
        </w:rPr>
      </w:pPr>
    </w:p>
    <w:sdt>
      <w:sdtPr>
        <w:rPr>
          <w:rFonts w:asciiTheme="minorHAnsi" w:eastAsiaTheme="minorHAnsi" w:hAnsiTheme="minorHAnsi" w:cstheme="minorBidi"/>
          <w:b w:val="0"/>
          <w:bCs w:val="0"/>
          <w:color w:val="auto"/>
          <w:sz w:val="18"/>
          <w:szCs w:val="22"/>
          <w:lang w:eastAsia="en-US"/>
        </w:rPr>
        <w:id w:val="1550183392"/>
        <w:docPartObj>
          <w:docPartGallery w:val="Table of Contents"/>
          <w:docPartUnique/>
        </w:docPartObj>
      </w:sdtPr>
      <w:sdtContent>
        <w:p w14:paraId="40ECDEED" w14:textId="77777777" w:rsidR="00BC76FD" w:rsidRPr="00880699" w:rsidRDefault="00BC76FD" w:rsidP="00B71517">
          <w:pPr>
            <w:pStyle w:val="TOCHeading"/>
            <w:spacing w:line="240" w:lineRule="auto"/>
            <w:jc w:val="both"/>
          </w:pPr>
        </w:p>
        <w:p w14:paraId="681528BE" w14:textId="332118D4" w:rsidR="00E105D8" w:rsidRDefault="00BC76FD">
          <w:pPr>
            <w:pStyle w:val="TOC1"/>
            <w:rPr>
              <w:rFonts w:eastAsiaTheme="minorEastAsia"/>
              <w:noProof/>
              <w:sz w:val="22"/>
              <w:lang w:eastAsia="cs-CZ"/>
            </w:rPr>
          </w:pPr>
          <w:r w:rsidRPr="00880699">
            <w:fldChar w:fldCharType="begin"/>
          </w:r>
          <w:r w:rsidRPr="00880699">
            <w:instrText xml:space="preserve"> TOC \o "1-3" \h \z \u </w:instrText>
          </w:r>
          <w:r w:rsidRPr="00880699">
            <w:fldChar w:fldCharType="separate"/>
          </w:r>
          <w:hyperlink w:anchor="_Toc52532079" w:history="1">
            <w:r w:rsidR="00E105D8" w:rsidRPr="004520CC">
              <w:rPr>
                <w:rStyle w:val="Hyperlink"/>
                <w:noProof/>
              </w:rPr>
              <w:t>1</w:t>
            </w:r>
            <w:r w:rsidR="00E105D8">
              <w:rPr>
                <w:rFonts w:eastAsiaTheme="minorEastAsia"/>
                <w:noProof/>
                <w:sz w:val="22"/>
                <w:lang w:eastAsia="cs-CZ"/>
              </w:rPr>
              <w:tab/>
            </w:r>
            <w:r w:rsidR="00E105D8" w:rsidRPr="004520CC">
              <w:rPr>
                <w:rStyle w:val="Hyperlink"/>
                <w:noProof/>
              </w:rPr>
              <w:t>Seznam zkratek, tabulek  a obrázků</w:t>
            </w:r>
            <w:r w:rsidR="00E105D8">
              <w:rPr>
                <w:noProof/>
                <w:webHidden/>
              </w:rPr>
              <w:tab/>
            </w:r>
            <w:r w:rsidR="00E105D8">
              <w:rPr>
                <w:noProof/>
                <w:webHidden/>
              </w:rPr>
              <w:fldChar w:fldCharType="begin"/>
            </w:r>
            <w:r w:rsidR="00E105D8">
              <w:rPr>
                <w:noProof/>
                <w:webHidden/>
              </w:rPr>
              <w:instrText xml:space="preserve"> PAGEREF _Toc52532079 \h </w:instrText>
            </w:r>
            <w:r w:rsidR="00E105D8">
              <w:rPr>
                <w:noProof/>
                <w:webHidden/>
              </w:rPr>
            </w:r>
            <w:r w:rsidR="00E105D8">
              <w:rPr>
                <w:noProof/>
                <w:webHidden/>
              </w:rPr>
              <w:fldChar w:fldCharType="separate"/>
            </w:r>
            <w:r w:rsidR="00A65688">
              <w:rPr>
                <w:noProof/>
                <w:webHidden/>
              </w:rPr>
              <w:t>2</w:t>
            </w:r>
            <w:r w:rsidR="00E105D8">
              <w:rPr>
                <w:noProof/>
                <w:webHidden/>
              </w:rPr>
              <w:fldChar w:fldCharType="end"/>
            </w:r>
          </w:hyperlink>
        </w:p>
        <w:p w14:paraId="0EC8EDA3" w14:textId="116ED091" w:rsidR="00E105D8" w:rsidRDefault="00BB343F">
          <w:pPr>
            <w:pStyle w:val="TOC1"/>
            <w:rPr>
              <w:rFonts w:eastAsiaTheme="minorEastAsia"/>
              <w:noProof/>
              <w:sz w:val="22"/>
              <w:lang w:eastAsia="cs-CZ"/>
            </w:rPr>
          </w:pPr>
          <w:hyperlink w:anchor="_Toc52532080" w:history="1">
            <w:r w:rsidR="00E105D8" w:rsidRPr="004520CC">
              <w:rPr>
                <w:rStyle w:val="Hyperlink"/>
                <w:noProof/>
              </w:rPr>
              <w:t>2</w:t>
            </w:r>
            <w:r w:rsidR="00E105D8">
              <w:rPr>
                <w:rFonts w:eastAsiaTheme="minorEastAsia"/>
                <w:noProof/>
                <w:sz w:val="22"/>
                <w:lang w:eastAsia="cs-CZ"/>
              </w:rPr>
              <w:tab/>
            </w:r>
            <w:r w:rsidR="00E105D8" w:rsidRPr="004520CC">
              <w:rPr>
                <w:rStyle w:val="Hyperlink"/>
                <w:noProof/>
              </w:rPr>
              <w:t>Manažerské shrnutí</w:t>
            </w:r>
            <w:r w:rsidR="00E105D8">
              <w:rPr>
                <w:noProof/>
                <w:webHidden/>
              </w:rPr>
              <w:tab/>
            </w:r>
            <w:r w:rsidR="00E105D8">
              <w:rPr>
                <w:noProof/>
                <w:webHidden/>
              </w:rPr>
              <w:fldChar w:fldCharType="begin"/>
            </w:r>
            <w:r w:rsidR="00E105D8">
              <w:rPr>
                <w:noProof/>
                <w:webHidden/>
              </w:rPr>
              <w:instrText xml:space="preserve"> PAGEREF _Toc52532080 \h </w:instrText>
            </w:r>
            <w:r w:rsidR="00E105D8">
              <w:rPr>
                <w:noProof/>
                <w:webHidden/>
              </w:rPr>
            </w:r>
            <w:r w:rsidR="00E105D8">
              <w:rPr>
                <w:noProof/>
                <w:webHidden/>
              </w:rPr>
              <w:fldChar w:fldCharType="separate"/>
            </w:r>
            <w:r w:rsidR="00A65688">
              <w:rPr>
                <w:noProof/>
                <w:webHidden/>
              </w:rPr>
              <w:t>6</w:t>
            </w:r>
            <w:r w:rsidR="00E105D8">
              <w:rPr>
                <w:noProof/>
                <w:webHidden/>
              </w:rPr>
              <w:fldChar w:fldCharType="end"/>
            </w:r>
          </w:hyperlink>
        </w:p>
        <w:p w14:paraId="4D513186" w14:textId="443A5BAA" w:rsidR="00E105D8" w:rsidRDefault="00BB343F">
          <w:pPr>
            <w:pStyle w:val="TOC1"/>
            <w:rPr>
              <w:rFonts w:eastAsiaTheme="minorEastAsia"/>
              <w:noProof/>
              <w:sz w:val="22"/>
              <w:lang w:eastAsia="cs-CZ"/>
            </w:rPr>
          </w:pPr>
          <w:hyperlink w:anchor="_Toc52532081" w:history="1">
            <w:r w:rsidR="00E105D8" w:rsidRPr="004520CC">
              <w:rPr>
                <w:rStyle w:val="Hyperlink"/>
                <w:noProof/>
              </w:rPr>
              <w:t>3</w:t>
            </w:r>
            <w:r w:rsidR="00E105D8">
              <w:rPr>
                <w:rFonts w:eastAsiaTheme="minorEastAsia"/>
                <w:noProof/>
                <w:sz w:val="22"/>
                <w:lang w:eastAsia="cs-CZ"/>
              </w:rPr>
              <w:tab/>
            </w:r>
            <w:r w:rsidR="00E105D8" w:rsidRPr="004520CC">
              <w:rPr>
                <w:rStyle w:val="Hyperlink"/>
                <w:noProof/>
              </w:rPr>
              <w:t>Metodický postup</w:t>
            </w:r>
            <w:r w:rsidR="00E105D8">
              <w:rPr>
                <w:noProof/>
                <w:webHidden/>
              </w:rPr>
              <w:tab/>
            </w:r>
            <w:r w:rsidR="00E105D8">
              <w:rPr>
                <w:noProof/>
                <w:webHidden/>
              </w:rPr>
              <w:fldChar w:fldCharType="begin"/>
            </w:r>
            <w:r w:rsidR="00E105D8">
              <w:rPr>
                <w:noProof/>
                <w:webHidden/>
              </w:rPr>
              <w:instrText xml:space="preserve"> PAGEREF _Toc52532081 \h </w:instrText>
            </w:r>
            <w:r w:rsidR="00E105D8">
              <w:rPr>
                <w:noProof/>
                <w:webHidden/>
              </w:rPr>
            </w:r>
            <w:r w:rsidR="00E105D8">
              <w:rPr>
                <w:noProof/>
                <w:webHidden/>
              </w:rPr>
              <w:fldChar w:fldCharType="separate"/>
            </w:r>
            <w:r w:rsidR="00A65688">
              <w:rPr>
                <w:noProof/>
                <w:webHidden/>
              </w:rPr>
              <w:t>9</w:t>
            </w:r>
            <w:r w:rsidR="00E105D8">
              <w:rPr>
                <w:noProof/>
                <w:webHidden/>
              </w:rPr>
              <w:fldChar w:fldCharType="end"/>
            </w:r>
          </w:hyperlink>
        </w:p>
        <w:p w14:paraId="3EE5BB12" w14:textId="35B589FF" w:rsidR="00E105D8" w:rsidRDefault="00BB343F">
          <w:pPr>
            <w:pStyle w:val="TOC1"/>
            <w:rPr>
              <w:rFonts w:eastAsiaTheme="minorEastAsia"/>
              <w:noProof/>
              <w:sz w:val="22"/>
              <w:lang w:eastAsia="cs-CZ"/>
            </w:rPr>
          </w:pPr>
          <w:hyperlink w:anchor="_Toc52532082" w:history="1">
            <w:r w:rsidR="00E105D8" w:rsidRPr="004520CC">
              <w:rPr>
                <w:rStyle w:val="Hyperlink"/>
                <w:noProof/>
              </w:rPr>
              <w:t>4</w:t>
            </w:r>
            <w:r w:rsidR="00E105D8">
              <w:rPr>
                <w:rFonts w:eastAsiaTheme="minorEastAsia"/>
                <w:noProof/>
                <w:sz w:val="22"/>
                <w:lang w:eastAsia="cs-CZ"/>
              </w:rPr>
              <w:tab/>
            </w:r>
            <w:r w:rsidR="00E105D8" w:rsidRPr="004520CC">
              <w:rPr>
                <w:rStyle w:val="Hyperlink"/>
                <w:noProof/>
              </w:rPr>
              <w:t>Finální shrnutí identifikovaných nedostatků a relevantních doporučení</w:t>
            </w:r>
            <w:r w:rsidR="00E105D8">
              <w:rPr>
                <w:noProof/>
                <w:webHidden/>
              </w:rPr>
              <w:tab/>
            </w:r>
            <w:r w:rsidR="00E105D8">
              <w:rPr>
                <w:noProof/>
                <w:webHidden/>
              </w:rPr>
              <w:fldChar w:fldCharType="begin"/>
            </w:r>
            <w:r w:rsidR="00E105D8">
              <w:rPr>
                <w:noProof/>
                <w:webHidden/>
              </w:rPr>
              <w:instrText xml:space="preserve"> PAGEREF _Toc52532082 \h </w:instrText>
            </w:r>
            <w:r w:rsidR="00E105D8">
              <w:rPr>
                <w:noProof/>
                <w:webHidden/>
              </w:rPr>
            </w:r>
            <w:r w:rsidR="00E105D8">
              <w:rPr>
                <w:noProof/>
                <w:webHidden/>
              </w:rPr>
              <w:fldChar w:fldCharType="separate"/>
            </w:r>
            <w:r w:rsidR="00A65688">
              <w:rPr>
                <w:noProof/>
                <w:webHidden/>
              </w:rPr>
              <w:t>10</w:t>
            </w:r>
            <w:r w:rsidR="00E105D8">
              <w:rPr>
                <w:noProof/>
                <w:webHidden/>
              </w:rPr>
              <w:fldChar w:fldCharType="end"/>
            </w:r>
          </w:hyperlink>
        </w:p>
        <w:p w14:paraId="0E466FC4" w14:textId="75C5A883" w:rsidR="00E105D8" w:rsidRDefault="00BB343F">
          <w:pPr>
            <w:pStyle w:val="TOC1"/>
            <w:rPr>
              <w:rFonts w:eastAsiaTheme="minorEastAsia"/>
              <w:noProof/>
              <w:sz w:val="22"/>
              <w:lang w:eastAsia="cs-CZ"/>
            </w:rPr>
          </w:pPr>
          <w:hyperlink w:anchor="_Toc52532083" w:history="1">
            <w:r w:rsidR="00E105D8" w:rsidRPr="004520CC">
              <w:rPr>
                <w:rStyle w:val="Hyperlink"/>
                <w:noProof/>
              </w:rPr>
              <w:t>5</w:t>
            </w:r>
            <w:r w:rsidR="00E105D8">
              <w:rPr>
                <w:rFonts w:eastAsiaTheme="minorEastAsia"/>
                <w:noProof/>
                <w:sz w:val="22"/>
                <w:lang w:eastAsia="cs-CZ"/>
              </w:rPr>
              <w:tab/>
            </w:r>
            <w:r w:rsidR="00E105D8" w:rsidRPr="004520CC">
              <w:rPr>
                <w:rStyle w:val="Hyperlink"/>
                <w:noProof/>
              </w:rPr>
              <w:t>Zodpovězení evaluačních otázek</w:t>
            </w:r>
            <w:r w:rsidR="00E105D8">
              <w:rPr>
                <w:noProof/>
                <w:webHidden/>
              </w:rPr>
              <w:tab/>
            </w:r>
            <w:r w:rsidR="00E105D8">
              <w:rPr>
                <w:noProof/>
                <w:webHidden/>
              </w:rPr>
              <w:fldChar w:fldCharType="begin"/>
            </w:r>
            <w:r w:rsidR="00E105D8">
              <w:rPr>
                <w:noProof/>
                <w:webHidden/>
              </w:rPr>
              <w:instrText xml:space="preserve"> PAGEREF _Toc52532083 \h </w:instrText>
            </w:r>
            <w:r w:rsidR="00E105D8">
              <w:rPr>
                <w:noProof/>
                <w:webHidden/>
              </w:rPr>
            </w:r>
            <w:r w:rsidR="00E105D8">
              <w:rPr>
                <w:noProof/>
                <w:webHidden/>
              </w:rPr>
              <w:fldChar w:fldCharType="separate"/>
            </w:r>
            <w:r w:rsidR="00A65688">
              <w:rPr>
                <w:noProof/>
                <w:webHidden/>
              </w:rPr>
              <w:t>24</w:t>
            </w:r>
            <w:r w:rsidR="00E105D8">
              <w:rPr>
                <w:noProof/>
                <w:webHidden/>
              </w:rPr>
              <w:fldChar w:fldCharType="end"/>
            </w:r>
          </w:hyperlink>
        </w:p>
        <w:p w14:paraId="3F3A7DF5" w14:textId="09FF6FB0" w:rsidR="00E105D8" w:rsidRDefault="00BB343F">
          <w:pPr>
            <w:pStyle w:val="TOC2"/>
            <w:tabs>
              <w:tab w:val="left" w:pos="660"/>
              <w:tab w:val="right" w:pos="9736"/>
            </w:tabs>
            <w:rPr>
              <w:rFonts w:eastAsiaTheme="minorEastAsia"/>
              <w:noProof/>
              <w:sz w:val="22"/>
              <w:lang w:eastAsia="cs-CZ"/>
            </w:rPr>
          </w:pPr>
          <w:hyperlink w:anchor="_Toc52532084" w:history="1">
            <w:r w:rsidR="00E105D8" w:rsidRPr="004520CC">
              <w:rPr>
                <w:rStyle w:val="Hyperlink"/>
                <w:noProof/>
              </w:rPr>
              <w:t>5.1</w:t>
            </w:r>
            <w:r w:rsidR="00E105D8">
              <w:rPr>
                <w:rFonts w:eastAsiaTheme="minorEastAsia"/>
                <w:noProof/>
                <w:sz w:val="22"/>
                <w:lang w:eastAsia="cs-CZ"/>
              </w:rPr>
              <w:tab/>
            </w:r>
            <w:r w:rsidR="00E105D8" w:rsidRPr="004520CC">
              <w:rPr>
                <w:rStyle w:val="Hyperlink"/>
                <w:noProof/>
              </w:rPr>
              <w:t>Metodické prostředí</w:t>
            </w:r>
            <w:r w:rsidR="00E105D8">
              <w:rPr>
                <w:noProof/>
                <w:webHidden/>
              </w:rPr>
              <w:tab/>
            </w:r>
            <w:r w:rsidR="00E105D8">
              <w:rPr>
                <w:noProof/>
                <w:webHidden/>
              </w:rPr>
              <w:fldChar w:fldCharType="begin"/>
            </w:r>
            <w:r w:rsidR="00E105D8">
              <w:rPr>
                <w:noProof/>
                <w:webHidden/>
              </w:rPr>
              <w:instrText xml:space="preserve"> PAGEREF _Toc52532084 \h </w:instrText>
            </w:r>
            <w:r w:rsidR="00E105D8">
              <w:rPr>
                <w:noProof/>
                <w:webHidden/>
              </w:rPr>
            </w:r>
            <w:r w:rsidR="00E105D8">
              <w:rPr>
                <w:noProof/>
                <w:webHidden/>
              </w:rPr>
              <w:fldChar w:fldCharType="separate"/>
            </w:r>
            <w:r w:rsidR="00A65688">
              <w:rPr>
                <w:noProof/>
                <w:webHidden/>
              </w:rPr>
              <w:t>24</w:t>
            </w:r>
            <w:r w:rsidR="00E105D8">
              <w:rPr>
                <w:noProof/>
                <w:webHidden/>
              </w:rPr>
              <w:fldChar w:fldCharType="end"/>
            </w:r>
          </w:hyperlink>
        </w:p>
        <w:p w14:paraId="41FEEBFB" w14:textId="055C99C7" w:rsidR="00E105D8" w:rsidRDefault="00BB343F">
          <w:pPr>
            <w:pStyle w:val="TOC2"/>
            <w:tabs>
              <w:tab w:val="left" w:pos="660"/>
              <w:tab w:val="right" w:pos="9736"/>
            </w:tabs>
            <w:rPr>
              <w:rFonts w:eastAsiaTheme="minorEastAsia"/>
              <w:noProof/>
              <w:sz w:val="22"/>
              <w:lang w:eastAsia="cs-CZ"/>
            </w:rPr>
          </w:pPr>
          <w:hyperlink w:anchor="_Toc52532085" w:history="1">
            <w:r w:rsidR="00E105D8" w:rsidRPr="004520CC">
              <w:rPr>
                <w:rStyle w:val="Hyperlink"/>
                <w:noProof/>
              </w:rPr>
              <w:t>5.2</w:t>
            </w:r>
            <w:r w:rsidR="00E105D8">
              <w:rPr>
                <w:rFonts w:eastAsiaTheme="minorEastAsia"/>
                <w:noProof/>
                <w:sz w:val="22"/>
                <w:lang w:eastAsia="cs-CZ"/>
              </w:rPr>
              <w:tab/>
            </w:r>
            <w:r w:rsidR="00E105D8" w:rsidRPr="004520CC">
              <w:rPr>
                <w:rStyle w:val="Hyperlink"/>
                <w:noProof/>
              </w:rPr>
              <w:t>Implementace</w:t>
            </w:r>
            <w:r w:rsidR="00E105D8">
              <w:rPr>
                <w:noProof/>
                <w:webHidden/>
              </w:rPr>
              <w:tab/>
            </w:r>
            <w:r w:rsidR="00E105D8">
              <w:rPr>
                <w:noProof/>
                <w:webHidden/>
              </w:rPr>
              <w:fldChar w:fldCharType="begin"/>
            </w:r>
            <w:r w:rsidR="00E105D8">
              <w:rPr>
                <w:noProof/>
                <w:webHidden/>
              </w:rPr>
              <w:instrText xml:space="preserve"> PAGEREF _Toc52532085 \h </w:instrText>
            </w:r>
            <w:r w:rsidR="00E105D8">
              <w:rPr>
                <w:noProof/>
                <w:webHidden/>
              </w:rPr>
            </w:r>
            <w:r w:rsidR="00E105D8">
              <w:rPr>
                <w:noProof/>
                <w:webHidden/>
              </w:rPr>
              <w:fldChar w:fldCharType="separate"/>
            </w:r>
            <w:r w:rsidR="00A65688">
              <w:rPr>
                <w:noProof/>
                <w:webHidden/>
              </w:rPr>
              <w:t>27</w:t>
            </w:r>
            <w:r w:rsidR="00E105D8">
              <w:rPr>
                <w:noProof/>
                <w:webHidden/>
              </w:rPr>
              <w:fldChar w:fldCharType="end"/>
            </w:r>
          </w:hyperlink>
        </w:p>
        <w:p w14:paraId="6BAFDD10" w14:textId="030C68DB" w:rsidR="00E105D8" w:rsidRDefault="00BB343F">
          <w:pPr>
            <w:pStyle w:val="TOC2"/>
            <w:tabs>
              <w:tab w:val="left" w:pos="660"/>
              <w:tab w:val="right" w:pos="9736"/>
            </w:tabs>
            <w:rPr>
              <w:rFonts w:eastAsiaTheme="minorEastAsia"/>
              <w:noProof/>
              <w:sz w:val="22"/>
              <w:lang w:eastAsia="cs-CZ"/>
            </w:rPr>
          </w:pPr>
          <w:hyperlink w:anchor="_Toc52532086" w:history="1">
            <w:r w:rsidR="00E105D8" w:rsidRPr="004520CC">
              <w:rPr>
                <w:rStyle w:val="Hyperlink"/>
                <w:noProof/>
              </w:rPr>
              <w:t>5.3</w:t>
            </w:r>
            <w:r w:rsidR="00E105D8">
              <w:rPr>
                <w:rFonts w:eastAsiaTheme="minorEastAsia"/>
                <w:noProof/>
                <w:sz w:val="22"/>
                <w:lang w:eastAsia="cs-CZ"/>
              </w:rPr>
              <w:tab/>
            </w:r>
            <w:r w:rsidR="00E105D8" w:rsidRPr="004520CC">
              <w:rPr>
                <w:rStyle w:val="Hyperlink"/>
                <w:noProof/>
              </w:rPr>
              <w:t>Komunikace</w:t>
            </w:r>
            <w:r w:rsidR="00E105D8">
              <w:rPr>
                <w:noProof/>
                <w:webHidden/>
              </w:rPr>
              <w:tab/>
            </w:r>
            <w:r w:rsidR="00E105D8">
              <w:rPr>
                <w:noProof/>
                <w:webHidden/>
              </w:rPr>
              <w:fldChar w:fldCharType="begin"/>
            </w:r>
            <w:r w:rsidR="00E105D8">
              <w:rPr>
                <w:noProof/>
                <w:webHidden/>
              </w:rPr>
              <w:instrText xml:space="preserve"> PAGEREF _Toc52532086 \h </w:instrText>
            </w:r>
            <w:r w:rsidR="00E105D8">
              <w:rPr>
                <w:noProof/>
                <w:webHidden/>
              </w:rPr>
            </w:r>
            <w:r w:rsidR="00E105D8">
              <w:rPr>
                <w:noProof/>
                <w:webHidden/>
              </w:rPr>
              <w:fldChar w:fldCharType="separate"/>
            </w:r>
            <w:r w:rsidR="00A65688">
              <w:rPr>
                <w:noProof/>
                <w:webHidden/>
              </w:rPr>
              <w:t>32</w:t>
            </w:r>
            <w:r w:rsidR="00E105D8">
              <w:rPr>
                <w:noProof/>
                <w:webHidden/>
              </w:rPr>
              <w:fldChar w:fldCharType="end"/>
            </w:r>
          </w:hyperlink>
        </w:p>
        <w:p w14:paraId="54C0A9B2" w14:textId="5FEF9A0F" w:rsidR="00E105D8" w:rsidRDefault="00BB343F">
          <w:pPr>
            <w:pStyle w:val="TOC2"/>
            <w:tabs>
              <w:tab w:val="left" w:pos="660"/>
              <w:tab w:val="right" w:pos="9736"/>
            </w:tabs>
            <w:rPr>
              <w:rFonts w:eastAsiaTheme="minorEastAsia"/>
              <w:noProof/>
              <w:sz w:val="22"/>
              <w:lang w:eastAsia="cs-CZ"/>
            </w:rPr>
          </w:pPr>
          <w:hyperlink w:anchor="_Toc52532087" w:history="1">
            <w:r w:rsidR="00E105D8" w:rsidRPr="004520CC">
              <w:rPr>
                <w:rStyle w:val="Hyperlink"/>
                <w:noProof/>
              </w:rPr>
              <w:t>5.4</w:t>
            </w:r>
            <w:r w:rsidR="00E105D8">
              <w:rPr>
                <w:rFonts w:eastAsiaTheme="minorEastAsia"/>
                <w:noProof/>
                <w:sz w:val="22"/>
                <w:lang w:eastAsia="cs-CZ"/>
              </w:rPr>
              <w:tab/>
            </w:r>
            <w:r w:rsidR="00E105D8" w:rsidRPr="004520CC">
              <w:rPr>
                <w:rStyle w:val="Hyperlink"/>
                <w:noProof/>
              </w:rPr>
              <w:t>Kontroly a nesrovnalosti</w:t>
            </w:r>
            <w:r w:rsidR="00E105D8">
              <w:rPr>
                <w:noProof/>
                <w:webHidden/>
              </w:rPr>
              <w:tab/>
            </w:r>
            <w:r w:rsidR="00E105D8">
              <w:rPr>
                <w:noProof/>
                <w:webHidden/>
              </w:rPr>
              <w:fldChar w:fldCharType="begin"/>
            </w:r>
            <w:r w:rsidR="00E105D8">
              <w:rPr>
                <w:noProof/>
                <w:webHidden/>
              </w:rPr>
              <w:instrText xml:space="preserve"> PAGEREF _Toc52532087 \h </w:instrText>
            </w:r>
            <w:r w:rsidR="00E105D8">
              <w:rPr>
                <w:noProof/>
                <w:webHidden/>
              </w:rPr>
            </w:r>
            <w:r w:rsidR="00E105D8">
              <w:rPr>
                <w:noProof/>
                <w:webHidden/>
              </w:rPr>
              <w:fldChar w:fldCharType="separate"/>
            </w:r>
            <w:r w:rsidR="00A65688">
              <w:rPr>
                <w:noProof/>
                <w:webHidden/>
              </w:rPr>
              <w:t>35</w:t>
            </w:r>
            <w:r w:rsidR="00E105D8">
              <w:rPr>
                <w:noProof/>
                <w:webHidden/>
              </w:rPr>
              <w:fldChar w:fldCharType="end"/>
            </w:r>
          </w:hyperlink>
        </w:p>
        <w:p w14:paraId="7E3AE74E" w14:textId="4ADCAA66" w:rsidR="00E105D8" w:rsidRDefault="00BB343F">
          <w:pPr>
            <w:pStyle w:val="TOC1"/>
            <w:rPr>
              <w:rFonts w:eastAsiaTheme="minorEastAsia"/>
              <w:noProof/>
              <w:sz w:val="22"/>
              <w:lang w:eastAsia="cs-CZ"/>
            </w:rPr>
          </w:pPr>
          <w:hyperlink w:anchor="_Toc52532088" w:history="1">
            <w:r w:rsidR="00E105D8" w:rsidRPr="004520CC">
              <w:rPr>
                <w:rStyle w:val="Hyperlink"/>
                <w:noProof/>
              </w:rPr>
              <w:t>6</w:t>
            </w:r>
            <w:r w:rsidR="00E105D8">
              <w:rPr>
                <w:rFonts w:eastAsiaTheme="minorEastAsia"/>
                <w:noProof/>
                <w:sz w:val="22"/>
                <w:lang w:eastAsia="cs-CZ"/>
              </w:rPr>
              <w:tab/>
            </w:r>
            <w:r w:rsidR="00E105D8" w:rsidRPr="004520CC">
              <w:rPr>
                <w:rStyle w:val="Hyperlink"/>
                <w:noProof/>
              </w:rPr>
              <w:t>Karty optimalizačních opatření</w:t>
            </w:r>
            <w:r w:rsidR="00E105D8">
              <w:rPr>
                <w:noProof/>
                <w:webHidden/>
              </w:rPr>
              <w:tab/>
            </w:r>
            <w:r w:rsidR="00E105D8">
              <w:rPr>
                <w:noProof/>
                <w:webHidden/>
              </w:rPr>
              <w:fldChar w:fldCharType="begin"/>
            </w:r>
            <w:r w:rsidR="00E105D8">
              <w:rPr>
                <w:noProof/>
                <w:webHidden/>
              </w:rPr>
              <w:instrText xml:space="preserve"> PAGEREF _Toc52532088 \h </w:instrText>
            </w:r>
            <w:r w:rsidR="00E105D8">
              <w:rPr>
                <w:noProof/>
                <w:webHidden/>
              </w:rPr>
            </w:r>
            <w:r w:rsidR="00E105D8">
              <w:rPr>
                <w:noProof/>
                <w:webHidden/>
              </w:rPr>
              <w:fldChar w:fldCharType="separate"/>
            </w:r>
            <w:r w:rsidR="00A65688">
              <w:rPr>
                <w:noProof/>
                <w:webHidden/>
              </w:rPr>
              <w:t>38</w:t>
            </w:r>
            <w:r w:rsidR="00E105D8">
              <w:rPr>
                <w:noProof/>
                <w:webHidden/>
              </w:rPr>
              <w:fldChar w:fldCharType="end"/>
            </w:r>
          </w:hyperlink>
        </w:p>
        <w:p w14:paraId="34C88CC7" w14:textId="2A3C5F96" w:rsidR="00E105D8" w:rsidRDefault="00BB343F">
          <w:pPr>
            <w:pStyle w:val="TOC2"/>
            <w:tabs>
              <w:tab w:val="left" w:pos="660"/>
              <w:tab w:val="right" w:pos="9736"/>
            </w:tabs>
            <w:rPr>
              <w:rFonts w:eastAsiaTheme="minorEastAsia"/>
              <w:noProof/>
              <w:sz w:val="22"/>
              <w:lang w:eastAsia="cs-CZ"/>
            </w:rPr>
          </w:pPr>
          <w:hyperlink w:anchor="_Toc52532089" w:history="1">
            <w:r w:rsidR="00E105D8" w:rsidRPr="004520CC">
              <w:rPr>
                <w:rStyle w:val="Hyperlink"/>
                <w:noProof/>
              </w:rPr>
              <w:t>6.1</w:t>
            </w:r>
            <w:r w:rsidR="00E105D8">
              <w:rPr>
                <w:rFonts w:eastAsiaTheme="minorEastAsia"/>
                <w:noProof/>
                <w:sz w:val="22"/>
                <w:lang w:eastAsia="cs-CZ"/>
              </w:rPr>
              <w:tab/>
            </w:r>
            <w:r w:rsidR="00E105D8" w:rsidRPr="004520CC">
              <w:rPr>
                <w:rStyle w:val="Hyperlink"/>
                <w:noProof/>
              </w:rPr>
              <w:t>Optimalizační opatření č. 1: Evidence podnětů metodických změn</w:t>
            </w:r>
            <w:r w:rsidR="00E105D8">
              <w:rPr>
                <w:noProof/>
                <w:webHidden/>
              </w:rPr>
              <w:tab/>
            </w:r>
            <w:r w:rsidR="00E105D8">
              <w:rPr>
                <w:noProof/>
                <w:webHidden/>
              </w:rPr>
              <w:fldChar w:fldCharType="begin"/>
            </w:r>
            <w:r w:rsidR="00E105D8">
              <w:rPr>
                <w:noProof/>
                <w:webHidden/>
              </w:rPr>
              <w:instrText xml:space="preserve"> PAGEREF _Toc52532089 \h </w:instrText>
            </w:r>
            <w:r w:rsidR="00E105D8">
              <w:rPr>
                <w:noProof/>
                <w:webHidden/>
              </w:rPr>
            </w:r>
            <w:r w:rsidR="00E105D8">
              <w:rPr>
                <w:noProof/>
                <w:webHidden/>
              </w:rPr>
              <w:fldChar w:fldCharType="separate"/>
            </w:r>
            <w:r w:rsidR="00A65688">
              <w:rPr>
                <w:noProof/>
                <w:webHidden/>
              </w:rPr>
              <w:t>38</w:t>
            </w:r>
            <w:r w:rsidR="00E105D8">
              <w:rPr>
                <w:noProof/>
                <w:webHidden/>
              </w:rPr>
              <w:fldChar w:fldCharType="end"/>
            </w:r>
          </w:hyperlink>
        </w:p>
        <w:p w14:paraId="0CCD886F" w14:textId="4FF10092" w:rsidR="00E105D8" w:rsidRDefault="00BB343F">
          <w:pPr>
            <w:pStyle w:val="TOC2"/>
            <w:tabs>
              <w:tab w:val="left" w:pos="660"/>
              <w:tab w:val="right" w:pos="9736"/>
            </w:tabs>
            <w:rPr>
              <w:rFonts w:eastAsiaTheme="minorEastAsia"/>
              <w:noProof/>
              <w:sz w:val="22"/>
              <w:lang w:eastAsia="cs-CZ"/>
            </w:rPr>
          </w:pPr>
          <w:hyperlink w:anchor="_Toc52532090" w:history="1">
            <w:r w:rsidR="00E105D8" w:rsidRPr="004520CC">
              <w:rPr>
                <w:rStyle w:val="Hyperlink"/>
                <w:noProof/>
              </w:rPr>
              <w:t>6.2</w:t>
            </w:r>
            <w:r w:rsidR="00E105D8">
              <w:rPr>
                <w:rFonts w:eastAsiaTheme="minorEastAsia"/>
                <w:noProof/>
                <w:sz w:val="22"/>
                <w:lang w:eastAsia="cs-CZ"/>
              </w:rPr>
              <w:tab/>
            </w:r>
            <w:r w:rsidR="00E105D8" w:rsidRPr="004520CC">
              <w:rPr>
                <w:rStyle w:val="Hyperlink"/>
                <w:noProof/>
              </w:rPr>
              <w:t>Optimalizační opatření č. 2: Automatická robotizace procesu výpočtu směsných poměrů</w:t>
            </w:r>
            <w:r w:rsidR="00E105D8">
              <w:rPr>
                <w:noProof/>
                <w:webHidden/>
              </w:rPr>
              <w:tab/>
            </w:r>
            <w:r w:rsidR="00E105D8">
              <w:rPr>
                <w:noProof/>
                <w:webHidden/>
              </w:rPr>
              <w:fldChar w:fldCharType="begin"/>
            </w:r>
            <w:r w:rsidR="00E105D8">
              <w:rPr>
                <w:noProof/>
                <w:webHidden/>
              </w:rPr>
              <w:instrText xml:space="preserve"> PAGEREF _Toc52532090 \h </w:instrText>
            </w:r>
            <w:r w:rsidR="00E105D8">
              <w:rPr>
                <w:noProof/>
                <w:webHidden/>
              </w:rPr>
            </w:r>
            <w:r w:rsidR="00E105D8">
              <w:rPr>
                <w:noProof/>
                <w:webHidden/>
              </w:rPr>
              <w:fldChar w:fldCharType="separate"/>
            </w:r>
            <w:r w:rsidR="00A65688">
              <w:rPr>
                <w:noProof/>
                <w:webHidden/>
              </w:rPr>
              <w:t>40</w:t>
            </w:r>
            <w:r w:rsidR="00E105D8">
              <w:rPr>
                <w:noProof/>
                <w:webHidden/>
              </w:rPr>
              <w:fldChar w:fldCharType="end"/>
            </w:r>
          </w:hyperlink>
        </w:p>
        <w:p w14:paraId="43F7D182" w14:textId="5042142B" w:rsidR="00E105D8" w:rsidRDefault="00BB343F">
          <w:pPr>
            <w:pStyle w:val="TOC2"/>
            <w:tabs>
              <w:tab w:val="left" w:pos="660"/>
              <w:tab w:val="right" w:pos="9736"/>
            </w:tabs>
            <w:rPr>
              <w:rFonts w:eastAsiaTheme="minorEastAsia"/>
              <w:noProof/>
              <w:sz w:val="22"/>
              <w:lang w:eastAsia="cs-CZ"/>
            </w:rPr>
          </w:pPr>
          <w:hyperlink w:anchor="_Toc52532091" w:history="1">
            <w:r w:rsidR="00E105D8" w:rsidRPr="004520CC">
              <w:rPr>
                <w:rStyle w:val="Hyperlink"/>
                <w:noProof/>
              </w:rPr>
              <w:t>6.3</w:t>
            </w:r>
            <w:r w:rsidR="00E105D8">
              <w:rPr>
                <w:rFonts w:eastAsiaTheme="minorEastAsia"/>
                <w:noProof/>
                <w:sz w:val="22"/>
                <w:lang w:eastAsia="cs-CZ"/>
              </w:rPr>
              <w:tab/>
            </w:r>
            <w:r w:rsidR="00E105D8" w:rsidRPr="004520CC">
              <w:rPr>
                <w:rStyle w:val="Hyperlink"/>
                <w:noProof/>
              </w:rPr>
              <w:t>Optimalizační opatření č. 3: Úprava podmínek výběrových řízení na dodavatele</w:t>
            </w:r>
            <w:r w:rsidR="00E105D8">
              <w:rPr>
                <w:noProof/>
                <w:webHidden/>
              </w:rPr>
              <w:tab/>
            </w:r>
            <w:r w:rsidR="00E105D8">
              <w:rPr>
                <w:noProof/>
                <w:webHidden/>
              </w:rPr>
              <w:fldChar w:fldCharType="begin"/>
            </w:r>
            <w:r w:rsidR="00E105D8">
              <w:rPr>
                <w:noProof/>
                <w:webHidden/>
              </w:rPr>
              <w:instrText xml:space="preserve"> PAGEREF _Toc52532091 \h </w:instrText>
            </w:r>
            <w:r w:rsidR="00E105D8">
              <w:rPr>
                <w:noProof/>
                <w:webHidden/>
              </w:rPr>
            </w:r>
            <w:r w:rsidR="00E105D8">
              <w:rPr>
                <w:noProof/>
                <w:webHidden/>
              </w:rPr>
              <w:fldChar w:fldCharType="separate"/>
            </w:r>
            <w:r w:rsidR="00A65688">
              <w:rPr>
                <w:noProof/>
                <w:webHidden/>
              </w:rPr>
              <w:t>42</w:t>
            </w:r>
            <w:r w:rsidR="00E105D8">
              <w:rPr>
                <w:noProof/>
                <w:webHidden/>
              </w:rPr>
              <w:fldChar w:fldCharType="end"/>
            </w:r>
          </w:hyperlink>
        </w:p>
        <w:p w14:paraId="152D3122" w14:textId="06C5F518" w:rsidR="00E105D8" w:rsidRDefault="00BB343F">
          <w:pPr>
            <w:pStyle w:val="TOC2"/>
            <w:tabs>
              <w:tab w:val="left" w:pos="660"/>
              <w:tab w:val="right" w:pos="9736"/>
            </w:tabs>
            <w:rPr>
              <w:rFonts w:eastAsiaTheme="minorEastAsia"/>
              <w:noProof/>
              <w:sz w:val="22"/>
              <w:lang w:eastAsia="cs-CZ"/>
            </w:rPr>
          </w:pPr>
          <w:hyperlink w:anchor="_Toc52532092" w:history="1">
            <w:r w:rsidR="00E105D8" w:rsidRPr="004520CC">
              <w:rPr>
                <w:rStyle w:val="Hyperlink"/>
                <w:noProof/>
              </w:rPr>
              <w:t>6.4</w:t>
            </w:r>
            <w:r w:rsidR="00E105D8">
              <w:rPr>
                <w:rFonts w:eastAsiaTheme="minorEastAsia"/>
                <w:noProof/>
                <w:sz w:val="22"/>
                <w:lang w:eastAsia="cs-CZ"/>
              </w:rPr>
              <w:tab/>
            </w:r>
            <w:r w:rsidR="00E105D8" w:rsidRPr="004520CC">
              <w:rPr>
                <w:rStyle w:val="Hyperlink"/>
                <w:noProof/>
              </w:rPr>
              <w:t>Optimalizační opatření č. 4: Úprava podmínek kontrol na místě a administrace nesrovnalostí</w:t>
            </w:r>
            <w:r w:rsidR="00E105D8">
              <w:rPr>
                <w:noProof/>
                <w:webHidden/>
              </w:rPr>
              <w:tab/>
            </w:r>
            <w:r w:rsidR="00E105D8">
              <w:rPr>
                <w:noProof/>
                <w:webHidden/>
              </w:rPr>
              <w:fldChar w:fldCharType="begin"/>
            </w:r>
            <w:r w:rsidR="00E105D8">
              <w:rPr>
                <w:noProof/>
                <w:webHidden/>
              </w:rPr>
              <w:instrText xml:space="preserve"> PAGEREF _Toc52532092 \h </w:instrText>
            </w:r>
            <w:r w:rsidR="00E105D8">
              <w:rPr>
                <w:noProof/>
                <w:webHidden/>
              </w:rPr>
            </w:r>
            <w:r w:rsidR="00E105D8">
              <w:rPr>
                <w:noProof/>
                <w:webHidden/>
              </w:rPr>
              <w:fldChar w:fldCharType="separate"/>
            </w:r>
            <w:r w:rsidR="00A65688">
              <w:rPr>
                <w:noProof/>
                <w:webHidden/>
              </w:rPr>
              <w:t>45</w:t>
            </w:r>
            <w:r w:rsidR="00E105D8">
              <w:rPr>
                <w:noProof/>
                <w:webHidden/>
              </w:rPr>
              <w:fldChar w:fldCharType="end"/>
            </w:r>
          </w:hyperlink>
        </w:p>
        <w:p w14:paraId="01C2B514" w14:textId="1F2E7679" w:rsidR="00E105D8" w:rsidRDefault="00BB343F">
          <w:pPr>
            <w:pStyle w:val="TOC2"/>
            <w:tabs>
              <w:tab w:val="left" w:pos="660"/>
              <w:tab w:val="right" w:pos="9736"/>
            </w:tabs>
            <w:rPr>
              <w:rFonts w:eastAsiaTheme="minorEastAsia"/>
              <w:noProof/>
              <w:sz w:val="22"/>
              <w:lang w:eastAsia="cs-CZ"/>
            </w:rPr>
          </w:pPr>
          <w:hyperlink w:anchor="_Toc52532093" w:history="1">
            <w:r w:rsidR="00E105D8" w:rsidRPr="004520CC">
              <w:rPr>
                <w:rStyle w:val="Hyperlink"/>
                <w:noProof/>
              </w:rPr>
              <w:t>6.5</w:t>
            </w:r>
            <w:r w:rsidR="00E105D8">
              <w:rPr>
                <w:rFonts w:eastAsiaTheme="minorEastAsia"/>
                <w:noProof/>
                <w:sz w:val="22"/>
                <w:lang w:eastAsia="cs-CZ"/>
              </w:rPr>
              <w:tab/>
            </w:r>
            <w:r w:rsidR="00E105D8" w:rsidRPr="004520CC">
              <w:rPr>
                <w:rStyle w:val="Hyperlink"/>
                <w:noProof/>
              </w:rPr>
              <w:t>Optimalizační opatření č. 5: Zjednodušené hodnocení žádostí</w:t>
            </w:r>
            <w:r w:rsidR="00E105D8">
              <w:rPr>
                <w:noProof/>
                <w:webHidden/>
              </w:rPr>
              <w:tab/>
            </w:r>
            <w:r w:rsidR="00E105D8">
              <w:rPr>
                <w:noProof/>
                <w:webHidden/>
              </w:rPr>
              <w:fldChar w:fldCharType="begin"/>
            </w:r>
            <w:r w:rsidR="00E105D8">
              <w:rPr>
                <w:noProof/>
                <w:webHidden/>
              </w:rPr>
              <w:instrText xml:space="preserve"> PAGEREF _Toc52532093 \h </w:instrText>
            </w:r>
            <w:r w:rsidR="00E105D8">
              <w:rPr>
                <w:noProof/>
                <w:webHidden/>
              </w:rPr>
            </w:r>
            <w:r w:rsidR="00E105D8">
              <w:rPr>
                <w:noProof/>
                <w:webHidden/>
              </w:rPr>
              <w:fldChar w:fldCharType="separate"/>
            </w:r>
            <w:r w:rsidR="00A65688">
              <w:rPr>
                <w:noProof/>
                <w:webHidden/>
              </w:rPr>
              <w:t>50</w:t>
            </w:r>
            <w:r w:rsidR="00E105D8">
              <w:rPr>
                <w:noProof/>
                <w:webHidden/>
              </w:rPr>
              <w:fldChar w:fldCharType="end"/>
            </w:r>
          </w:hyperlink>
        </w:p>
        <w:p w14:paraId="25A97DEF" w14:textId="5FC04A5E" w:rsidR="00E105D8" w:rsidRDefault="00BB343F">
          <w:pPr>
            <w:pStyle w:val="TOC2"/>
            <w:tabs>
              <w:tab w:val="left" w:pos="660"/>
              <w:tab w:val="right" w:pos="9736"/>
            </w:tabs>
            <w:rPr>
              <w:rFonts w:eastAsiaTheme="minorEastAsia"/>
              <w:noProof/>
              <w:sz w:val="22"/>
              <w:lang w:eastAsia="cs-CZ"/>
            </w:rPr>
          </w:pPr>
          <w:hyperlink w:anchor="_Toc52532094" w:history="1">
            <w:r w:rsidR="00E105D8" w:rsidRPr="004520CC">
              <w:rPr>
                <w:rStyle w:val="Hyperlink"/>
                <w:noProof/>
              </w:rPr>
              <w:t>6.6</w:t>
            </w:r>
            <w:r w:rsidR="00E105D8">
              <w:rPr>
                <w:rFonts w:eastAsiaTheme="minorEastAsia"/>
                <w:noProof/>
                <w:sz w:val="22"/>
                <w:lang w:eastAsia="cs-CZ"/>
              </w:rPr>
              <w:tab/>
            </w:r>
            <w:r w:rsidR="00E105D8" w:rsidRPr="004520CC">
              <w:rPr>
                <w:rStyle w:val="Hyperlink"/>
                <w:noProof/>
              </w:rPr>
              <w:t>Optimalizační opatření č. 6: Navýšení limitů Cost Benefit Analýzy</w:t>
            </w:r>
            <w:r w:rsidR="00E105D8">
              <w:rPr>
                <w:noProof/>
                <w:webHidden/>
              </w:rPr>
              <w:tab/>
            </w:r>
            <w:r w:rsidR="00E105D8">
              <w:rPr>
                <w:noProof/>
                <w:webHidden/>
              </w:rPr>
              <w:fldChar w:fldCharType="begin"/>
            </w:r>
            <w:r w:rsidR="00E105D8">
              <w:rPr>
                <w:noProof/>
                <w:webHidden/>
              </w:rPr>
              <w:instrText xml:space="preserve"> PAGEREF _Toc52532094 \h </w:instrText>
            </w:r>
            <w:r w:rsidR="00E105D8">
              <w:rPr>
                <w:noProof/>
                <w:webHidden/>
              </w:rPr>
            </w:r>
            <w:r w:rsidR="00E105D8">
              <w:rPr>
                <w:noProof/>
                <w:webHidden/>
              </w:rPr>
              <w:fldChar w:fldCharType="separate"/>
            </w:r>
            <w:r w:rsidR="00A65688">
              <w:rPr>
                <w:noProof/>
                <w:webHidden/>
              </w:rPr>
              <w:t>52</w:t>
            </w:r>
            <w:r w:rsidR="00E105D8">
              <w:rPr>
                <w:noProof/>
                <w:webHidden/>
              </w:rPr>
              <w:fldChar w:fldCharType="end"/>
            </w:r>
          </w:hyperlink>
        </w:p>
        <w:p w14:paraId="7251001B" w14:textId="51814102" w:rsidR="00E105D8" w:rsidRDefault="00BB343F">
          <w:pPr>
            <w:pStyle w:val="TOC1"/>
            <w:rPr>
              <w:rFonts w:eastAsiaTheme="minorEastAsia"/>
              <w:noProof/>
              <w:sz w:val="22"/>
              <w:lang w:eastAsia="cs-CZ"/>
            </w:rPr>
          </w:pPr>
          <w:hyperlink w:anchor="_Toc52532095" w:history="1">
            <w:r w:rsidR="00E105D8" w:rsidRPr="004520CC">
              <w:rPr>
                <w:rStyle w:val="Hyperlink"/>
                <w:noProof/>
              </w:rPr>
              <w:t>7</w:t>
            </w:r>
            <w:r w:rsidR="00E105D8">
              <w:rPr>
                <w:rFonts w:eastAsiaTheme="minorEastAsia"/>
                <w:noProof/>
                <w:sz w:val="22"/>
                <w:lang w:eastAsia="cs-CZ"/>
              </w:rPr>
              <w:tab/>
            </w:r>
            <w:r w:rsidR="00E105D8" w:rsidRPr="004520CC">
              <w:rPr>
                <w:rStyle w:val="Hyperlink"/>
                <w:noProof/>
              </w:rPr>
              <w:t>Přílohy</w:t>
            </w:r>
            <w:r w:rsidR="00E105D8">
              <w:rPr>
                <w:noProof/>
                <w:webHidden/>
              </w:rPr>
              <w:tab/>
            </w:r>
            <w:r w:rsidR="00E105D8">
              <w:rPr>
                <w:noProof/>
                <w:webHidden/>
              </w:rPr>
              <w:fldChar w:fldCharType="begin"/>
            </w:r>
            <w:r w:rsidR="00E105D8">
              <w:rPr>
                <w:noProof/>
                <w:webHidden/>
              </w:rPr>
              <w:instrText xml:space="preserve"> PAGEREF _Toc52532095 \h </w:instrText>
            </w:r>
            <w:r w:rsidR="00E105D8">
              <w:rPr>
                <w:noProof/>
                <w:webHidden/>
              </w:rPr>
            </w:r>
            <w:r w:rsidR="00E105D8">
              <w:rPr>
                <w:noProof/>
                <w:webHidden/>
              </w:rPr>
              <w:fldChar w:fldCharType="separate"/>
            </w:r>
            <w:r w:rsidR="00A65688">
              <w:rPr>
                <w:noProof/>
                <w:webHidden/>
              </w:rPr>
              <w:t>54</w:t>
            </w:r>
            <w:r w:rsidR="00E105D8">
              <w:rPr>
                <w:noProof/>
                <w:webHidden/>
              </w:rPr>
              <w:fldChar w:fldCharType="end"/>
            </w:r>
          </w:hyperlink>
        </w:p>
        <w:p w14:paraId="287E0B30" w14:textId="4DB2DB96" w:rsidR="00E105D8" w:rsidRDefault="00BB343F">
          <w:pPr>
            <w:pStyle w:val="TOC1"/>
            <w:rPr>
              <w:rFonts w:eastAsiaTheme="minorEastAsia"/>
              <w:noProof/>
              <w:sz w:val="22"/>
              <w:lang w:eastAsia="cs-CZ"/>
            </w:rPr>
          </w:pPr>
          <w:hyperlink w:anchor="_Toc52532096" w:history="1">
            <w:r w:rsidR="00E105D8" w:rsidRPr="004520CC">
              <w:rPr>
                <w:rStyle w:val="Hyperlink"/>
                <w:noProof/>
              </w:rPr>
              <w:t>Příloha 1: Seznam respondentů hloubkových rozhovorů, dotazníkového šetření a expertního panelu</w:t>
            </w:r>
            <w:r w:rsidR="00E105D8">
              <w:rPr>
                <w:noProof/>
                <w:webHidden/>
              </w:rPr>
              <w:tab/>
            </w:r>
            <w:r w:rsidR="00E105D8">
              <w:rPr>
                <w:noProof/>
                <w:webHidden/>
              </w:rPr>
              <w:fldChar w:fldCharType="begin"/>
            </w:r>
            <w:r w:rsidR="00E105D8">
              <w:rPr>
                <w:noProof/>
                <w:webHidden/>
              </w:rPr>
              <w:instrText xml:space="preserve"> PAGEREF _Toc52532096 \h </w:instrText>
            </w:r>
            <w:r w:rsidR="00E105D8">
              <w:rPr>
                <w:noProof/>
                <w:webHidden/>
              </w:rPr>
            </w:r>
            <w:r w:rsidR="00E105D8">
              <w:rPr>
                <w:noProof/>
                <w:webHidden/>
              </w:rPr>
              <w:fldChar w:fldCharType="separate"/>
            </w:r>
            <w:r w:rsidR="00A65688">
              <w:rPr>
                <w:noProof/>
                <w:webHidden/>
              </w:rPr>
              <w:t>55</w:t>
            </w:r>
            <w:r w:rsidR="00E105D8">
              <w:rPr>
                <w:noProof/>
                <w:webHidden/>
              </w:rPr>
              <w:fldChar w:fldCharType="end"/>
            </w:r>
          </w:hyperlink>
        </w:p>
        <w:p w14:paraId="06800230" w14:textId="2AA3219A" w:rsidR="00E105D8" w:rsidRDefault="00BB343F">
          <w:pPr>
            <w:pStyle w:val="TOC1"/>
            <w:rPr>
              <w:rFonts w:eastAsiaTheme="minorEastAsia"/>
              <w:noProof/>
              <w:sz w:val="22"/>
              <w:lang w:eastAsia="cs-CZ"/>
            </w:rPr>
          </w:pPr>
          <w:hyperlink w:anchor="_Toc52532097" w:history="1">
            <w:r w:rsidR="00E105D8" w:rsidRPr="004520CC">
              <w:rPr>
                <w:rStyle w:val="Hyperlink"/>
                <w:noProof/>
              </w:rPr>
              <w:t>Příloha 2: Přehled nejčastějších pochybení u příjemců podpory</w:t>
            </w:r>
            <w:r w:rsidR="00E105D8">
              <w:rPr>
                <w:noProof/>
                <w:webHidden/>
              </w:rPr>
              <w:tab/>
            </w:r>
            <w:r w:rsidR="00E105D8">
              <w:rPr>
                <w:noProof/>
                <w:webHidden/>
              </w:rPr>
              <w:fldChar w:fldCharType="begin"/>
            </w:r>
            <w:r w:rsidR="00E105D8">
              <w:rPr>
                <w:noProof/>
                <w:webHidden/>
              </w:rPr>
              <w:instrText xml:space="preserve"> PAGEREF _Toc52532097 \h </w:instrText>
            </w:r>
            <w:r w:rsidR="00E105D8">
              <w:rPr>
                <w:noProof/>
                <w:webHidden/>
              </w:rPr>
            </w:r>
            <w:r w:rsidR="00E105D8">
              <w:rPr>
                <w:noProof/>
                <w:webHidden/>
              </w:rPr>
              <w:fldChar w:fldCharType="separate"/>
            </w:r>
            <w:r w:rsidR="00A65688">
              <w:rPr>
                <w:noProof/>
                <w:webHidden/>
              </w:rPr>
              <w:t>57</w:t>
            </w:r>
            <w:r w:rsidR="00E105D8">
              <w:rPr>
                <w:noProof/>
                <w:webHidden/>
              </w:rPr>
              <w:fldChar w:fldCharType="end"/>
            </w:r>
          </w:hyperlink>
        </w:p>
        <w:p w14:paraId="77E0A56E" w14:textId="4FD02CA1" w:rsidR="00E105D8" w:rsidRDefault="00BB343F">
          <w:pPr>
            <w:pStyle w:val="TOC1"/>
            <w:rPr>
              <w:rFonts w:eastAsiaTheme="minorEastAsia"/>
              <w:noProof/>
              <w:sz w:val="22"/>
              <w:lang w:eastAsia="cs-CZ"/>
            </w:rPr>
          </w:pPr>
          <w:hyperlink w:anchor="_Toc52532098" w:history="1">
            <w:r w:rsidR="00E105D8" w:rsidRPr="004520CC">
              <w:rPr>
                <w:rStyle w:val="Hyperlink"/>
                <w:noProof/>
              </w:rPr>
              <w:t>Příloha 3: Přehled procesů s potenciálem využití RPA</w:t>
            </w:r>
            <w:r w:rsidR="00E105D8">
              <w:rPr>
                <w:noProof/>
                <w:webHidden/>
              </w:rPr>
              <w:tab/>
            </w:r>
            <w:r w:rsidR="00E105D8">
              <w:rPr>
                <w:noProof/>
                <w:webHidden/>
              </w:rPr>
              <w:fldChar w:fldCharType="begin"/>
            </w:r>
            <w:r w:rsidR="00E105D8">
              <w:rPr>
                <w:noProof/>
                <w:webHidden/>
              </w:rPr>
              <w:instrText xml:space="preserve"> PAGEREF _Toc52532098 \h </w:instrText>
            </w:r>
            <w:r w:rsidR="00E105D8">
              <w:rPr>
                <w:noProof/>
                <w:webHidden/>
              </w:rPr>
            </w:r>
            <w:r w:rsidR="00E105D8">
              <w:rPr>
                <w:noProof/>
                <w:webHidden/>
              </w:rPr>
              <w:fldChar w:fldCharType="separate"/>
            </w:r>
            <w:r w:rsidR="00A65688">
              <w:rPr>
                <w:noProof/>
                <w:webHidden/>
              </w:rPr>
              <w:t>59</w:t>
            </w:r>
            <w:r w:rsidR="00E105D8">
              <w:rPr>
                <w:noProof/>
                <w:webHidden/>
              </w:rPr>
              <w:fldChar w:fldCharType="end"/>
            </w:r>
          </w:hyperlink>
        </w:p>
        <w:p w14:paraId="20F026C0" w14:textId="047DC5AD" w:rsidR="00BC76FD" w:rsidRPr="00880699" w:rsidRDefault="00BC76FD" w:rsidP="00B71517">
          <w:pPr>
            <w:spacing w:line="240" w:lineRule="auto"/>
            <w:jc w:val="both"/>
          </w:pPr>
          <w:r w:rsidRPr="00880699">
            <w:rPr>
              <w:b/>
              <w:bCs/>
            </w:rPr>
            <w:fldChar w:fldCharType="end"/>
          </w:r>
        </w:p>
      </w:sdtContent>
    </w:sdt>
    <w:p w14:paraId="380B5038" w14:textId="77777777" w:rsidR="000B6C05" w:rsidRPr="00880699" w:rsidRDefault="000B6C05" w:rsidP="00B71517">
      <w:pPr>
        <w:spacing w:line="240" w:lineRule="auto"/>
        <w:jc w:val="both"/>
        <w:rPr>
          <w:rFonts w:asciiTheme="majorHAnsi" w:hAnsiTheme="majorHAnsi"/>
        </w:rPr>
      </w:pPr>
    </w:p>
    <w:p w14:paraId="25113E3A" w14:textId="77777777" w:rsidR="005E3501" w:rsidRPr="00880699" w:rsidRDefault="005E3501" w:rsidP="00B71517">
      <w:pPr>
        <w:spacing w:line="240" w:lineRule="auto"/>
        <w:jc w:val="both"/>
        <w:rPr>
          <w:rFonts w:asciiTheme="majorHAnsi" w:hAnsiTheme="majorHAnsi"/>
        </w:rPr>
        <w:sectPr w:rsidR="005E3501" w:rsidRPr="00880699" w:rsidSect="00EA547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080" w:bottom="1440" w:left="1080" w:header="680" w:footer="397" w:gutter="0"/>
          <w:pgNumType w:start="0"/>
          <w:cols w:space="284"/>
          <w:titlePg/>
          <w:docGrid w:linePitch="360"/>
        </w:sectPr>
      </w:pPr>
    </w:p>
    <w:p w14:paraId="218CEE4B" w14:textId="77777777" w:rsidR="00212852" w:rsidRPr="00880699" w:rsidRDefault="00933261" w:rsidP="001A224B">
      <w:pPr>
        <w:pStyle w:val="Heading1"/>
        <w:spacing w:after="240" w:line="240" w:lineRule="auto"/>
      </w:pPr>
      <w:bookmarkStart w:id="0" w:name="_Toc23859663"/>
      <w:bookmarkStart w:id="1" w:name="_Toc52532079"/>
      <w:r w:rsidRPr="00880699">
        <w:lastRenderedPageBreak/>
        <w:t>Seznam zkratek</w:t>
      </w:r>
      <w:bookmarkEnd w:id="0"/>
      <w:r w:rsidR="00AC4A07" w:rsidRPr="00880699">
        <w:t xml:space="preserve">, tabulek </w:t>
      </w:r>
      <w:r w:rsidR="00AC4A07" w:rsidRPr="00880699">
        <w:br/>
        <w:t>a obrázků</w:t>
      </w:r>
      <w:bookmarkEnd w:id="1"/>
    </w:p>
    <w:p w14:paraId="481AD5AF" w14:textId="728956C8" w:rsidR="00982DD8" w:rsidRDefault="00982DD8" w:rsidP="00982DD8">
      <w:pPr>
        <w:pStyle w:val="Caption"/>
      </w:pPr>
      <w:bookmarkStart w:id="2" w:name="_Toc52532099"/>
      <w:r>
        <w:t xml:space="preserve">Tabulka </w:t>
      </w:r>
      <w:r>
        <w:fldChar w:fldCharType="begin"/>
      </w:r>
      <w:r>
        <w:instrText xml:space="preserve"> SEQ Tabulka \* ARABIC </w:instrText>
      </w:r>
      <w:r>
        <w:fldChar w:fldCharType="separate"/>
      </w:r>
      <w:r w:rsidR="008E1911">
        <w:rPr>
          <w:noProof/>
        </w:rPr>
        <w:t>1</w:t>
      </w:r>
      <w:r>
        <w:fldChar w:fldCharType="end"/>
      </w:r>
      <w:r>
        <w:t xml:space="preserve"> Seznam zkratek</w:t>
      </w:r>
      <w:bookmarkEnd w:id="2"/>
    </w:p>
    <w:tbl>
      <w:tblPr>
        <w:tblStyle w:val="Deloittetable"/>
        <w:tblW w:w="5000" w:type="pct"/>
        <w:tblLook w:val="04A0" w:firstRow="1" w:lastRow="0" w:firstColumn="1" w:lastColumn="0" w:noHBand="0" w:noVBand="1"/>
      </w:tblPr>
      <w:tblGrid>
        <w:gridCol w:w="2249"/>
        <w:gridCol w:w="7497"/>
      </w:tblGrid>
      <w:tr w:rsidR="0063494D" w:rsidRPr="00880699" w14:paraId="39A82F98" w14:textId="77777777" w:rsidTr="00003E78">
        <w:trPr>
          <w:cnfStyle w:val="100000000000" w:firstRow="1" w:lastRow="0" w:firstColumn="0" w:lastColumn="0" w:oddVBand="0" w:evenVBand="0" w:oddHBand="0" w:evenHBand="0" w:firstRowFirstColumn="0" w:firstRowLastColumn="0" w:lastRowFirstColumn="0" w:lastRowLastColumn="0"/>
          <w:trHeight w:val="308"/>
          <w:tblHeader/>
        </w:trPr>
        <w:tc>
          <w:tcPr>
            <w:tcW w:w="1154" w:type="pct"/>
          </w:tcPr>
          <w:p w14:paraId="7AD6BF53" w14:textId="77777777" w:rsidR="0063494D" w:rsidRPr="00880699" w:rsidRDefault="0063494D" w:rsidP="006545BF">
            <w:pPr>
              <w:spacing w:before="40" w:after="40"/>
            </w:pPr>
            <w:bookmarkStart w:id="3" w:name="_Toc409611349"/>
            <w:r w:rsidRPr="00880699">
              <w:t>Pojem</w:t>
            </w:r>
          </w:p>
        </w:tc>
        <w:tc>
          <w:tcPr>
            <w:tcW w:w="3846" w:type="pct"/>
          </w:tcPr>
          <w:p w14:paraId="1B76DA7A" w14:textId="77777777" w:rsidR="0063494D" w:rsidRPr="00880699" w:rsidRDefault="0063494D" w:rsidP="006545BF">
            <w:pPr>
              <w:spacing w:before="40" w:after="40"/>
            </w:pPr>
            <w:r w:rsidRPr="00880699">
              <w:t>Definice</w:t>
            </w:r>
          </w:p>
        </w:tc>
      </w:tr>
      <w:tr w:rsidR="00C32602" w:rsidRPr="00880699" w14:paraId="69E14335" w14:textId="77777777" w:rsidTr="00003E78">
        <w:tc>
          <w:tcPr>
            <w:tcW w:w="1154" w:type="pct"/>
          </w:tcPr>
          <w:p w14:paraId="7D2B5048" w14:textId="0040E8C6" w:rsidR="00C32602" w:rsidRPr="00880699" w:rsidRDefault="00C32602" w:rsidP="006545BF">
            <w:r>
              <w:t>AdO</w:t>
            </w:r>
          </w:p>
        </w:tc>
        <w:tc>
          <w:tcPr>
            <w:tcW w:w="3846" w:type="pct"/>
          </w:tcPr>
          <w:p w14:paraId="01B3CD8D" w14:textId="4B1B15B5" w:rsidR="00C32602" w:rsidRPr="00880699" w:rsidRDefault="00C32602" w:rsidP="006545BF">
            <w:pPr>
              <w:jc w:val="both"/>
            </w:pPr>
            <w:r>
              <w:t>Administrativní ověření</w:t>
            </w:r>
          </w:p>
        </w:tc>
      </w:tr>
      <w:tr w:rsidR="0063494D" w:rsidRPr="00880699" w14:paraId="78890573" w14:textId="77777777" w:rsidTr="00003E78">
        <w:tc>
          <w:tcPr>
            <w:tcW w:w="1154" w:type="pct"/>
          </w:tcPr>
          <w:p w14:paraId="0436B9AE" w14:textId="77777777" w:rsidR="0063494D" w:rsidRPr="00880699" w:rsidRDefault="0063494D" w:rsidP="006545BF">
            <w:r w:rsidRPr="00880699">
              <w:t>API</w:t>
            </w:r>
          </w:p>
        </w:tc>
        <w:tc>
          <w:tcPr>
            <w:tcW w:w="3846" w:type="pct"/>
          </w:tcPr>
          <w:p w14:paraId="427E0B6C" w14:textId="77777777" w:rsidR="0063494D" w:rsidRPr="00880699" w:rsidRDefault="0063494D" w:rsidP="006545BF">
            <w:pPr>
              <w:jc w:val="both"/>
            </w:pPr>
            <w:r w:rsidRPr="00880699">
              <w:t>Agentura pro podnikání a inovace</w:t>
            </w:r>
          </w:p>
        </w:tc>
      </w:tr>
      <w:tr w:rsidR="001B1B84" w:rsidRPr="00880699" w14:paraId="6E3A220E" w14:textId="77777777" w:rsidTr="00003E78">
        <w:tc>
          <w:tcPr>
            <w:tcW w:w="1154" w:type="pct"/>
          </w:tcPr>
          <w:p w14:paraId="25FBAF81" w14:textId="45B68FA1" w:rsidR="001B1B84" w:rsidRPr="00880699" w:rsidRDefault="001B1B84" w:rsidP="006545BF">
            <w:r>
              <w:t>CBA</w:t>
            </w:r>
          </w:p>
        </w:tc>
        <w:tc>
          <w:tcPr>
            <w:tcW w:w="3846" w:type="pct"/>
          </w:tcPr>
          <w:p w14:paraId="4388B2A4" w14:textId="30C627CC" w:rsidR="001B1B84" w:rsidRPr="00880699" w:rsidRDefault="001B1B84" w:rsidP="006545BF">
            <w:pPr>
              <w:jc w:val="both"/>
            </w:pPr>
            <w:r>
              <w:t>Cost benefit analýza</w:t>
            </w:r>
          </w:p>
        </w:tc>
      </w:tr>
      <w:tr w:rsidR="0063494D" w:rsidRPr="00880699" w14:paraId="576624BE" w14:textId="77777777" w:rsidTr="00003E78">
        <w:tc>
          <w:tcPr>
            <w:tcW w:w="1154" w:type="pct"/>
          </w:tcPr>
          <w:p w14:paraId="3BA2F71A" w14:textId="77777777" w:rsidR="0063494D" w:rsidRPr="00880699" w:rsidRDefault="0063494D" w:rsidP="006545BF">
            <w:r w:rsidRPr="00880699">
              <w:t>CSSF</w:t>
            </w:r>
          </w:p>
        </w:tc>
        <w:tc>
          <w:tcPr>
            <w:tcW w:w="3846" w:type="pct"/>
          </w:tcPr>
          <w:p w14:paraId="75EE70B1" w14:textId="77777777" w:rsidR="0063494D" w:rsidRPr="00880699" w:rsidRDefault="0063494D" w:rsidP="006545BF">
            <w:pPr>
              <w:jc w:val="both"/>
            </w:pPr>
            <w:r w:rsidRPr="00880699">
              <w:t>Centrální systém strukturálních fondů</w:t>
            </w:r>
          </w:p>
        </w:tc>
      </w:tr>
      <w:tr w:rsidR="000421F0" w:rsidRPr="00880699" w14:paraId="5FDED31A" w14:textId="77777777" w:rsidTr="00003E78">
        <w:tc>
          <w:tcPr>
            <w:tcW w:w="1154" w:type="pct"/>
          </w:tcPr>
          <w:p w14:paraId="7E42CDFA" w14:textId="3A04F096" w:rsidR="000421F0" w:rsidRPr="00880699" w:rsidRDefault="000421F0" w:rsidP="006545BF">
            <w:r>
              <w:t>CZV</w:t>
            </w:r>
          </w:p>
        </w:tc>
        <w:tc>
          <w:tcPr>
            <w:tcW w:w="3846" w:type="pct"/>
          </w:tcPr>
          <w:p w14:paraId="63E4E981" w14:textId="69101354" w:rsidR="000421F0" w:rsidRPr="00880699" w:rsidRDefault="000421F0" w:rsidP="006545BF">
            <w:pPr>
              <w:jc w:val="both"/>
            </w:pPr>
            <w:r>
              <w:t>Celkové způsobilé výdaje</w:t>
            </w:r>
          </w:p>
        </w:tc>
      </w:tr>
      <w:tr w:rsidR="0063494D" w:rsidRPr="00880699" w14:paraId="2CFAA7D9" w14:textId="77777777" w:rsidTr="00003E78">
        <w:tc>
          <w:tcPr>
            <w:tcW w:w="1154" w:type="pct"/>
          </w:tcPr>
          <w:p w14:paraId="049C8357" w14:textId="77777777" w:rsidR="0063494D" w:rsidRPr="00880699" w:rsidRDefault="0063494D" w:rsidP="006545BF">
            <w:r w:rsidRPr="00880699">
              <w:t>ČMZRB</w:t>
            </w:r>
          </w:p>
        </w:tc>
        <w:tc>
          <w:tcPr>
            <w:tcW w:w="3846" w:type="pct"/>
          </w:tcPr>
          <w:p w14:paraId="03674CD1" w14:textId="77777777" w:rsidR="0063494D" w:rsidRPr="00880699" w:rsidRDefault="0063494D" w:rsidP="006545BF">
            <w:pPr>
              <w:jc w:val="both"/>
            </w:pPr>
            <w:r w:rsidRPr="00880699">
              <w:t>Českomoravská záruční a rozvojová banka</w:t>
            </w:r>
          </w:p>
        </w:tc>
      </w:tr>
      <w:tr w:rsidR="0063494D" w:rsidRPr="00880699" w14:paraId="7CB2CC0C" w14:textId="77777777" w:rsidTr="00003E78">
        <w:tc>
          <w:tcPr>
            <w:tcW w:w="1154" w:type="pct"/>
          </w:tcPr>
          <w:p w14:paraId="2705F2F8" w14:textId="77777777" w:rsidR="0063494D" w:rsidRPr="00880699" w:rsidRDefault="0063494D" w:rsidP="006545BF">
            <w:r w:rsidRPr="00880699">
              <w:t>Deloitte nebo Dodavatel</w:t>
            </w:r>
          </w:p>
        </w:tc>
        <w:tc>
          <w:tcPr>
            <w:tcW w:w="3846" w:type="pct"/>
          </w:tcPr>
          <w:p w14:paraId="2A46E458" w14:textId="77777777" w:rsidR="0063494D" w:rsidRPr="00880699" w:rsidRDefault="0063494D" w:rsidP="006545BF">
            <w:pPr>
              <w:jc w:val="both"/>
            </w:pPr>
            <w:r w:rsidRPr="00880699">
              <w:t>Deloitte Advisory s.r.o.</w:t>
            </w:r>
          </w:p>
        </w:tc>
      </w:tr>
      <w:tr w:rsidR="0063494D" w:rsidRPr="00880699" w14:paraId="7AEEE888" w14:textId="77777777" w:rsidTr="00003E78">
        <w:tc>
          <w:tcPr>
            <w:tcW w:w="1154" w:type="pct"/>
          </w:tcPr>
          <w:p w14:paraId="724ADE85" w14:textId="77777777" w:rsidR="0063494D" w:rsidRPr="00880699" w:rsidRDefault="0063494D" w:rsidP="006545BF">
            <w:r w:rsidRPr="00880699">
              <w:t>DŠ</w:t>
            </w:r>
          </w:p>
        </w:tc>
        <w:tc>
          <w:tcPr>
            <w:tcW w:w="3846" w:type="pct"/>
          </w:tcPr>
          <w:p w14:paraId="3D477F64" w14:textId="77777777" w:rsidR="0063494D" w:rsidRPr="00880699" w:rsidRDefault="0063494D" w:rsidP="006545BF">
            <w:pPr>
              <w:jc w:val="both"/>
            </w:pPr>
            <w:r w:rsidRPr="00880699">
              <w:t>Dotazníkové šetření</w:t>
            </w:r>
          </w:p>
        </w:tc>
      </w:tr>
      <w:tr w:rsidR="0063494D" w:rsidRPr="00880699" w14:paraId="75C5246C" w14:textId="77777777" w:rsidTr="00003E78">
        <w:tc>
          <w:tcPr>
            <w:tcW w:w="1154" w:type="pct"/>
          </w:tcPr>
          <w:p w14:paraId="3A5B9501" w14:textId="77777777" w:rsidR="0063494D" w:rsidRPr="00880699" w:rsidRDefault="0063494D" w:rsidP="006545BF">
            <w:r w:rsidRPr="00880699">
              <w:t>EDS</w:t>
            </w:r>
          </w:p>
        </w:tc>
        <w:tc>
          <w:tcPr>
            <w:tcW w:w="3846" w:type="pct"/>
          </w:tcPr>
          <w:p w14:paraId="66701AE8" w14:textId="77777777" w:rsidR="0063494D" w:rsidRPr="00880699" w:rsidRDefault="0063494D" w:rsidP="006545BF">
            <w:pPr>
              <w:jc w:val="both"/>
            </w:pPr>
            <w:r w:rsidRPr="00880699">
              <w:t>Evidenční dotační systém</w:t>
            </w:r>
          </w:p>
        </w:tc>
      </w:tr>
      <w:tr w:rsidR="0063494D" w:rsidRPr="00880699" w14:paraId="52F78B06" w14:textId="77777777" w:rsidTr="00003E78">
        <w:tc>
          <w:tcPr>
            <w:tcW w:w="1154" w:type="pct"/>
          </w:tcPr>
          <w:p w14:paraId="271343E3" w14:textId="77777777" w:rsidR="0063494D" w:rsidRPr="00880699" w:rsidRDefault="0063494D" w:rsidP="006545BF">
            <w:r w:rsidRPr="00880699">
              <w:t>EIF</w:t>
            </w:r>
          </w:p>
        </w:tc>
        <w:tc>
          <w:tcPr>
            <w:tcW w:w="3846" w:type="pct"/>
          </w:tcPr>
          <w:p w14:paraId="292030A9" w14:textId="77777777" w:rsidR="0063494D" w:rsidRPr="00880699" w:rsidRDefault="0063494D" w:rsidP="006545BF">
            <w:pPr>
              <w:jc w:val="both"/>
            </w:pPr>
            <w:r w:rsidRPr="00880699">
              <w:t>Evropský investiční fond</w:t>
            </w:r>
          </w:p>
        </w:tc>
      </w:tr>
      <w:tr w:rsidR="0063494D" w:rsidRPr="00880699" w14:paraId="2EDE0CA7" w14:textId="77777777" w:rsidTr="00003E78">
        <w:tc>
          <w:tcPr>
            <w:tcW w:w="1154" w:type="pct"/>
          </w:tcPr>
          <w:p w14:paraId="7D9D57E4" w14:textId="77777777" w:rsidR="0063494D" w:rsidRPr="00880699" w:rsidRDefault="0063494D" w:rsidP="006545BF">
            <w:r w:rsidRPr="00880699">
              <w:t>EK</w:t>
            </w:r>
          </w:p>
        </w:tc>
        <w:tc>
          <w:tcPr>
            <w:tcW w:w="3846" w:type="pct"/>
          </w:tcPr>
          <w:p w14:paraId="1841C98E" w14:textId="77777777" w:rsidR="0063494D" w:rsidRPr="00880699" w:rsidRDefault="0063494D" w:rsidP="006545BF">
            <w:pPr>
              <w:jc w:val="both"/>
            </w:pPr>
            <w:r w:rsidRPr="00880699">
              <w:t>Evropská Komise</w:t>
            </w:r>
          </w:p>
        </w:tc>
      </w:tr>
      <w:tr w:rsidR="00606A56" w:rsidRPr="00880699" w14:paraId="0DCFE9F9" w14:textId="77777777" w:rsidTr="00003E78">
        <w:tc>
          <w:tcPr>
            <w:tcW w:w="1154" w:type="pct"/>
          </w:tcPr>
          <w:p w14:paraId="1E48E601" w14:textId="24F8863F" w:rsidR="00606A56" w:rsidRPr="00880699" w:rsidRDefault="00606A56" w:rsidP="006545BF">
            <w:r>
              <w:t>EO</w:t>
            </w:r>
          </w:p>
        </w:tc>
        <w:tc>
          <w:tcPr>
            <w:tcW w:w="3846" w:type="pct"/>
          </w:tcPr>
          <w:p w14:paraId="6DAC80A3" w14:textId="57561E80" w:rsidR="00606A56" w:rsidRPr="00880699" w:rsidRDefault="00606A56" w:rsidP="006545BF">
            <w:pPr>
              <w:jc w:val="both"/>
            </w:pPr>
            <w:r>
              <w:t>Evaluační otázka</w:t>
            </w:r>
          </w:p>
        </w:tc>
      </w:tr>
      <w:tr w:rsidR="0063494D" w:rsidRPr="00880699" w14:paraId="27D45DFB" w14:textId="77777777" w:rsidTr="00003E78">
        <w:tc>
          <w:tcPr>
            <w:tcW w:w="1154" w:type="pct"/>
          </w:tcPr>
          <w:p w14:paraId="179821C3" w14:textId="77777777" w:rsidR="0063494D" w:rsidRPr="00880699" w:rsidRDefault="0063494D" w:rsidP="006545BF">
            <w:r w:rsidRPr="00880699">
              <w:t>EP</w:t>
            </w:r>
          </w:p>
        </w:tc>
        <w:tc>
          <w:tcPr>
            <w:tcW w:w="3846" w:type="pct"/>
          </w:tcPr>
          <w:p w14:paraId="4253E711" w14:textId="77777777" w:rsidR="0063494D" w:rsidRPr="00880699" w:rsidRDefault="0063494D" w:rsidP="006545BF">
            <w:pPr>
              <w:jc w:val="both"/>
            </w:pPr>
            <w:r w:rsidRPr="00880699">
              <w:t>Expertní panel</w:t>
            </w:r>
          </w:p>
        </w:tc>
      </w:tr>
      <w:tr w:rsidR="0063494D" w:rsidRPr="00880699" w14:paraId="2D7C23C2" w14:textId="77777777" w:rsidTr="00003E78">
        <w:tc>
          <w:tcPr>
            <w:tcW w:w="1154" w:type="pct"/>
          </w:tcPr>
          <w:p w14:paraId="192621C1" w14:textId="77777777" w:rsidR="0063494D" w:rsidRPr="00880699" w:rsidRDefault="0063494D" w:rsidP="006545BF">
            <w:r w:rsidRPr="00880699">
              <w:t>ESIF</w:t>
            </w:r>
          </w:p>
        </w:tc>
        <w:tc>
          <w:tcPr>
            <w:tcW w:w="3846" w:type="pct"/>
          </w:tcPr>
          <w:p w14:paraId="66E9AC19" w14:textId="77777777" w:rsidR="0063494D" w:rsidRPr="00880699" w:rsidRDefault="0063494D" w:rsidP="006545BF">
            <w:pPr>
              <w:jc w:val="both"/>
            </w:pPr>
            <w:r w:rsidRPr="00880699">
              <w:t>Evropské strukturální a investiční fondy</w:t>
            </w:r>
          </w:p>
        </w:tc>
      </w:tr>
      <w:tr w:rsidR="0063494D" w:rsidRPr="00880699" w14:paraId="057C0C5C" w14:textId="77777777" w:rsidTr="00003E78">
        <w:tc>
          <w:tcPr>
            <w:tcW w:w="1154" w:type="pct"/>
          </w:tcPr>
          <w:p w14:paraId="0E7499CE" w14:textId="77777777" w:rsidR="0063494D" w:rsidRPr="00880699" w:rsidRDefault="0063494D" w:rsidP="006545BF">
            <w:r w:rsidRPr="00880699">
              <w:t>EU</w:t>
            </w:r>
          </w:p>
        </w:tc>
        <w:tc>
          <w:tcPr>
            <w:tcW w:w="3846" w:type="pct"/>
          </w:tcPr>
          <w:p w14:paraId="2A3D1C86" w14:textId="77777777" w:rsidR="0063494D" w:rsidRPr="00880699" w:rsidRDefault="0063494D" w:rsidP="006545BF">
            <w:pPr>
              <w:jc w:val="both"/>
            </w:pPr>
            <w:r w:rsidRPr="00880699">
              <w:t>Evropská unie</w:t>
            </w:r>
          </w:p>
        </w:tc>
      </w:tr>
      <w:tr w:rsidR="00D96655" w:rsidRPr="00880699" w14:paraId="0A2A9FF4" w14:textId="77777777" w:rsidTr="00003E78">
        <w:tc>
          <w:tcPr>
            <w:tcW w:w="1154" w:type="pct"/>
          </w:tcPr>
          <w:p w14:paraId="025D14FF" w14:textId="118AABDE" w:rsidR="00D96655" w:rsidRPr="00880699" w:rsidRDefault="00D96655" w:rsidP="006545BF">
            <w:r>
              <w:t>EV</w:t>
            </w:r>
          </w:p>
        </w:tc>
        <w:tc>
          <w:tcPr>
            <w:tcW w:w="3846" w:type="pct"/>
          </w:tcPr>
          <w:p w14:paraId="47FB2E43" w14:textId="7F118238" w:rsidR="00D96655" w:rsidRPr="00880699" w:rsidRDefault="00D96655" w:rsidP="006545BF">
            <w:pPr>
              <w:jc w:val="both"/>
            </w:pPr>
            <w:r>
              <w:t>Experimentální vývoj</w:t>
            </w:r>
          </w:p>
        </w:tc>
      </w:tr>
      <w:tr w:rsidR="0063494D" w:rsidRPr="00880699" w14:paraId="0E9971E1" w14:textId="77777777" w:rsidTr="00003E78">
        <w:tc>
          <w:tcPr>
            <w:tcW w:w="1154" w:type="pct"/>
          </w:tcPr>
          <w:p w14:paraId="02F2EA6F" w14:textId="77777777" w:rsidR="0063494D" w:rsidRPr="00880699" w:rsidRDefault="0063494D" w:rsidP="006545BF">
            <w:r w:rsidRPr="00880699">
              <w:t>FF</w:t>
            </w:r>
          </w:p>
        </w:tc>
        <w:tc>
          <w:tcPr>
            <w:tcW w:w="3846" w:type="pct"/>
          </w:tcPr>
          <w:p w14:paraId="3C1862F7" w14:textId="77777777" w:rsidR="0063494D" w:rsidRPr="00880699" w:rsidRDefault="0063494D" w:rsidP="006545BF">
            <w:pPr>
              <w:jc w:val="both"/>
            </w:pPr>
            <w:r w:rsidRPr="00880699">
              <w:t>Fond fondů</w:t>
            </w:r>
          </w:p>
        </w:tc>
      </w:tr>
      <w:tr w:rsidR="0063494D" w:rsidRPr="00880699" w14:paraId="2DB5CE7A" w14:textId="77777777" w:rsidTr="00003E78">
        <w:tc>
          <w:tcPr>
            <w:tcW w:w="1154" w:type="pct"/>
          </w:tcPr>
          <w:p w14:paraId="2FB28E8B" w14:textId="77777777" w:rsidR="0063494D" w:rsidRPr="00880699" w:rsidRDefault="0063494D" w:rsidP="006545BF">
            <w:r w:rsidRPr="00880699">
              <w:t>FN</w:t>
            </w:r>
          </w:p>
        </w:tc>
        <w:tc>
          <w:tcPr>
            <w:tcW w:w="3846" w:type="pct"/>
          </w:tcPr>
          <w:p w14:paraId="7013411C" w14:textId="77777777" w:rsidR="0063494D" w:rsidRPr="00880699" w:rsidRDefault="0063494D" w:rsidP="006545BF">
            <w:pPr>
              <w:jc w:val="both"/>
            </w:pPr>
            <w:r w:rsidRPr="00880699">
              <w:t>Finanční nástroj/e</w:t>
            </w:r>
          </w:p>
        </w:tc>
      </w:tr>
      <w:tr w:rsidR="0063494D" w:rsidRPr="00880699" w14:paraId="778FEFEE" w14:textId="77777777" w:rsidTr="00003E78">
        <w:tc>
          <w:tcPr>
            <w:tcW w:w="1154" w:type="pct"/>
          </w:tcPr>
          <w:p w14:paraId="32BEE92D" w14:textId="77777777" w:rsidR="0063494D" w:rsidRPr="00880699" w:rsidRDefault="0063494D" w:rsidP="006545BF">
            <w:r w:rsidRPr="00880699">
              <w:t>FS</w:t>
            </w:r>
          </w:p>
        </w:tc>
        <w:tc>
          <w:tcPr>
            <w:tcW w:w="3846" w:type="pct"/>
          </w:tcPr>
          <w:p w14:paraId="6104286E" w14:textId="77777777" w:rsidR="0063494D" w:rsidRPr="00880699" w:rsidRDefault="0063494D" w:rsidP="006545BF">
            <w:pPr>
              <w:jc w:val="both"/>
            </w:pPr>
            <w:r w:rsidRPr="00880699">
              <w:t>Fokusní skupina</w:t>
            </w:r>
          </w:p>
        </w:tc>
      </w:tr>
      <w:tr w:rsidR="006E0A21" w:rsidRPr="00880699" w14:paraId="19097FF5" w14:textId="77777777" w:rsidTr="00003E78">
        <w:tc>
          <w:tcPr>
            <w:tcW w:w="1154" w:type="pct"/>
          </w:tcPr>
          <w:p w14:paraId="72170F9A" w14:textId="5C3A795E" w:rsidR="006E0A21" w:rsidRPr="00880699" w:rsidRDefault="006E0A21" w:rsidP="006545BF">
            <w:r>
              <w:t>FTE</w:t>
            </w:r>
          </w:p>
        </w:tc>
        <w:tc>
          <w:tcPr>
            <w:tcW w:w="3846" w:type="pct"/>
          </w:tcPr>
          <w:p w14:paraId="79BE6A86" w14:textId="10362B7A" w:rsidR="006E0A21" w:rsidRPr="00880699" w:rsidRDefault="006E0A21" w:rsidP="006545BF">
            <w:pPr>
              <w:jc w:val="both"/>
            </w:pPr>
            <w:r w:rsidRPr="006E0A21">
              <w:t>Full-time equivalent (Ekvivalent plného pracovního úvazku)</w:t>
            </w:r>
          </w:p>
        </w:tc>
      </w:tr>
      <w:tr w:rsidR="0063494D" w:rsidRPr="00880699" w14:paraId="1B5F89AD" w14:textId="77777777" w:rsidTr="00003E78">
        <w:tc>
          <w:tcPr>
            <w:tcW w:w="1154" w:type="pct"/>
          </w:tcPr>
          <w:p w14:paraId="67F473D8" w14:textId="77777777" w:rsidR="0063494D" w:rsidRPr="00880699" w:rsidRDefault="0063494D" w:rsidP="006545BF">
            <w:r w:rsidRPr="00880699">
              <w:t>GBER</w:t>
            </w:r>
          </w:p>
        </w:tc>
        <w:tc>
          <w:tcPr>
            <w:tcW w:w="3846" w:type="pct"/>
          </w:tcPr>
          <w:p w14:paraId="280D2560" w14:textId="77777777" w:rsidR="0063494D" w:rsidRPr="00880699" w:rsidRDefault="0063494D" w:rsidP="006545BF">
            <w:pPr>
              <w:jc w:val="both"/>
            </w:pPr>
            <w:r w:rsidRPr="00880699">
              <w:t>Obecné nařízení o blokových výjimkách</w:t>
            </w:r>
          </w:p>
        </w:tc>
      </w:tr>
      <w:tr w:rsidR="0063494D" w:rsidRPr="00880699" w14:paraId="2E34E6A5" w14:textId="77777777" w:rsidTr="00003E78">
        <w:tc>
          <w:tcPr>
            <w:tcW w:w="1154" w:type="pct"/>
          </w:tcPr>
          <w:p w14:paraId="3B31755C" w14:textId="77777777" w:rsidR="0063494D" w:rsidRPr="00880699" w:rsidRDefault="0063494D" w:rsidP="006545BF">
            <w:r w:rsidRPr="00880699">
              <w:t>IDOK</w:t>
            </w:r>
          </w:p>
        </w:tc>
        <w:tc>
          <w:tcPr>
            <w:tcW w:w="3846" w:type="pct"/>
          </w:tcPr>
          <w:p w14:paraId="73701725" w14:textId="77777777" w:rsidR="0063494D" w:rsidRPr="00880699" w:rsidRDefault="0063494D" w:rsidP="006545BF">
            <w:pPr>
              <w:jc w:val="both"/>
            </w:pPr>
            <w:r w:rsidRPr="00880699">
              <w:t>Informační systém ČMZRB</w:t>
            </w:r>
          </w:p>
        </w:tc>
      </w:tr>
      <w:tr w:rsidR="0063494D" w:rsidRPr="00880699" w14:paraId="55AC0EB6" w14:textId="77777777" w:rsidTr="00003E78">
        <w:tc>
          <w:tcPr>
            <w:tcW w:w="1154" w:type="pct"/>
          </w:tcPr>
          <w:p w14:paraId="3E8119B0" w14:textId="77777777" w:rsidR="0063494D" w:rsidRPr="00880699" w:rsidRDefault="0063494D" w:rsidP="006545BF">
            <w:r w:rsidRPr="00880699">
              <w:t>IHR</w:t>
            </w:r>
          </w:p>
        </w:tc>
        <w:tc>
          <w:tcPr>
            <w:tcW w:w="3846" w:type="pct"/>
          </w:tcPr>
          <w:p w14:paraId="79C3554B" w14:textId="77777777" w:rsidR="0063494D" w:rsidRPr="00880699" w:rsidRDefault="0063494D" w:rsidP="006545BF">
            <w:pPr>
              <w:jc w:val="both"/>
            </w:pPr>
            <w:r w:rsidRPr="00880699">
              <w:t xml:space="preserve">Individuální hloubkové rozhovory </w:t>
            </w:r>
          </w:p>
        </w:tc>
      </w:tr>
      <w:tr w:rsidR="0063494D" w:rsidRPr="00880699" w14:paraId="30C94B28" w14:textId="77777777" w:rsidTr="00003E78">
        <w:tc>
          <w:tcPr>
            <w:tcW w:w="1154" w:type="pct"/>
          </w:tcPr>
          <w:p w14:paraId="44BD4EAF" w14:textId="77777777" w:rsidR="0063494D" w:rsidRPr="00880699" w:rsidRDefault="002C5EB1" w:rsidP="006545BF">
            <w:r w:rsidRPr="00880699">
              <w:t>IS</w:t>
            </w:r>
          </w:p>
        </w:tc>
        <w:tc>
          <w:tcPr>
            <w:tcW w:w="3846" w:type="pct"/>
          </w:tcPr>
          <w:p w14:paraId="2D805F00" w14:textId="77777777" w:rsidR="0063494D" w:rsidRPr="00880699" w:rsidRDefault="002C5EB1" w:rsidP="006545BF">
            <w:pPr>
              <w:jc w:val="both"/>
            </w:pPr>
            <w:r w:rsidRPr="00880699">
              <w:t>Implementační struktura</w:t>
            </w:r>
          </w:p>
        </w:tc>
      </w:tr>
      <w:tr w:rsidR="002C5EB1" w:rsidRPr="00880699" w14:paraId="297F13F3" w14:textId="77777777" w:rsidTr="00003E78">
        <w:tc>
          <w:tcPr>
            <w:tcW w:w="1154" w:type="pct"/>
          </w:tcPr>
          <w:p w14:paraId="3555144D" w14:textId="77777777" w:rsidR="002C5EB1" w:rsidRPr="00880699" w:rsidRDefault="002C5EB1" w:rsidP="006545BF">
            <w:r w:rsidRPr="00880699">
              <w:t>IS KP14+</w:t>
            </w:r>
          </w:p>
        </w:tc>
        <w:tc>
          <w:tcPr>
            <w:tcW w:w="3846" w:type="pct"/>
          </w:tcPr>
          <w:p w14:paraId="1BF88E7D" w14:textId="77777777" w:rsidR="002C5EB1" w:rsidRPr="00880699" w:rsidRDefault="002C5EB1" w:rsidP="006545BF">
            <w:pPr>
              <w:jc w:val="both"/>
            </w:pPr>
            <w:r w:rsidRPr="00880699">
              <w:t xml:space="preserve">Informační systém konečného příjemce </w:t>
            </w:r>
          </w:p>
        </w:tc>
      </w:tr>
      <w:tr w:rsidR="00606A56" w:rsidRPr="00880699" w14:paraId="54AE1958" w14:textId="77777777" w:rsidTr="00003E78">
        <w:tc>
          <w:tcPr>
            <w:tcW w:w="1154" w:type="pct"/>
          </w:tcPr>
          <w:p w14:paraId="5B2B5DC8" w14:textId="71683AFA" w:rsidR="00606A56" w:rsidRPr="00880699" w:rsidRDefault="00606A56" w:rsidP="006545BF">
            <w:r>
              <w:t>ISOP</w:t>
            </w:r>
          </w:p>
        </w:tc>
        <w:tc>
          <w:tcPr>
            <w:tcW w:w="3846" w:type="pct"/>
          </w:tcPr>
          <w:p w14:paraId="29B9B6FF" w14:textId="19C25732" w:rsidR="00606A56" w:rsidRPr="00880699" w:rsidRDefault="00606A56" w:rsidP="006545BF">
            <w:pPr>
              <w:jc w:val="both"/>
            </w:pPr>
            <w:r>
              <w:t>Informační systém operačního programu</w:t>
            </w:r>
          </w:p>
        </w:tc>
      </w:tr>
      <w:tr w:rsidR="002C5EB1" w:rsidRPr="00880699" w14:paraId="237DA4CB" w14:textId="77777777" w:rsidTr="00003E78">
        <w:tc>
          <w:tcPr>
            <w:tcW w:w="1154" w:type="pct"/>
          </w:tcPr>
          <w:p w14:paraId="0B2D1025" w14:textId="77777777" w:rsidR="002C5EB1" w:rsidRPr="00880699" w:rsidRDefault="002C5EB1" w:rsidP="006545BF">
            <w:r w:rsidRPr="00880699">
              <w:t>JMP</w:t>
            </w:r>
          </w:p>
        </w:tc>
        <w:tc>
          <w:tcPr>
            <w:tcW w:w="3846" w:type="pct"/>
          </w:tcPr>
          <w:p w14:paraId="5AD11E20" w14:textId="77777777" w:rsidR="002C5EB1" w:rsidRPr="00880699" w:rsidRDefault="002C5EB1" w:rsidP="006545BF">
            <w:pPr>
              <w:jc w:val="both"/>
            </w:pPr>
            <w:r w:rsidRPr="00880699">
              <w:t>Jednotné metodické prostředí</w:t>
            </w:r>
          </w:p>
        </w:tc>
      </w:tr>
      <w:tr w:rsidR="00C758BE" w:rsidRPr="00880699" w14:paraId="7B672087" w14:textId="77777777" w:rsidTr="00003E78">
        <w:tc>
          <w:tcPr>
            <w:tcW w:w="1154" w:type="pct"/>
          </w:tcPr>
          <w:p w14:paraId="7568EE6B" w14:textId="50EA389D" w:rsidR="00C758BE" w:rsidRPr="00880699" w:rsidRDefault="00C758BE" w:rsidP="00C758BE">
            <w:r>
              <w:t>KaN</w:t>
            </w:r>
          </w:p>
        </w:tc>
        <w:tc>
          <w:tcPr>
            <w:tcW w:w="3846" w:type="pct"/>
          </w:tcPr>
          <w:p w14:paraId="558F7422" w14:textId="448AAC96" w:rsidR="00C758BE" w:rsidRPr="00880699" w:rsidRDefault="00C758BE" w:rsidP="00C758BE">
            <w:pPr>
              <w:jc w:val="both"/>
            </w:pPr>
            <w:r>
              <w:t>Kontroly a nesrovnalosti</w:t>
            </w:r>
          </w:p>
        </w:tc>
      </w:tr>
      <w:tr w:rsidR="00192D25" w:rsidRPr="00880699" w14:paraId="692AB7B4" w14:textId="77777777" w:rsidTr="00003E78">
        <w:tc>
          <w:tcPr>
            <w:tcW w:w="1154" w:type="pct"/>
          </w:tcPr>
          <w:p w14:paraId="6620379E" w14:textId="0EFCA542" w:rsidR="00192D25" w:rsidRDefault="00192D25" w:rsidP="00C758BE">
            <w:r>
              <w:t>KL</w:t>
            </w:r>
          </w:p>
        </w:tc>
        <w:tc>
          <w:tcPr>
            <w:tcW w:w="3846" w:type="pct"/>
          </w:tcPr>
          <w:p w14:paraId="7D02A2C1" w14:textId="14D7E957" w:rsidR="00192D25" w:rsidRDefault="00192D25" w:rsidP="00C758BE">
            <w:pPr>
              <w:jc w:val="both"/>
            </w:pPr>
            <w:r>
              <w:t>Kontrolní list</w:t>
            </w:r>
          </w:p>
        </w:tc>
      </w:tr>
      <w:tr w:rsidR="00C758BE" w:rsidRPr="00880699" w14:paraId="599812A4" w14:textId="77777777" w:rsidTr="00003E78">
        <w:tc>
          <w:tcPr>
            <w:tcW w:w="1154" w:type="pct"/>
          </w:tcPr>
          <w:p w14:paraId="3E13CB1F" w14:textId="170BD042" w:rsidR="00C758BE" w:rsidRPr="00880699" w:rsidRDefault="00C758BE" w:rsidP="00C758BE">
            <w:r>
              <w:t>KnM</w:t>
            </w:r>
          </w:p>
        </w:tc>
        <w:tc>
          <w:tcPr>
            <w:tcW w:w="3846" w:type="pct"/>
          </w:tcPr>
          <w:p w14:paraId="1864442C" w14:textId="3B413EAE" w:rsidR="00C758BE" w:rsidRPr="00880699" w:rsidRDefault="00C758BE" w:rsidP="00C758BE">
            <w:pPr>
              <w:jc w:val="both"/>
            </w:pPr>
            <w:r>
              <w:t>Kontroly na místě</w:t>
            </w:r>
          </w:p>
        </w:tc>
      </w:tr>
      <w:tr w:rsidR="00C758BE" w:rsidRPr="00880699" w14:paraId="7E6CD175" w14:textId="77777777" w:rsidTr="00003E78">
        <w:tc>
          <w:tcPr>
            <w:tcW w:w="1154" w:type="pct"/>
          </w:tcPr>
          <w:p w14:paraId="2627BA31" w14:textId="77777777" w:rsidR="00C758BE" w:rsidRPr="00880699" w:rsidRDefault="00C758BE" w:rsidP="00C758BE">
            <w:r w:rsidRPr="00880699">
              <w:t>MD</w:t>
            </w:r>
          </w:p>
        </w:tc>
        <w:tc>
          <w:tcPr>
            <w:tcW w:w="3846" w:type="pct"/>
          </w:tcPr>
          <w:p w14:paraId="5D1EB75A" w14:textId="77777777" w:rsidR="00C758BE" w:rsidRPr="00880699" w:rsidRDefault="00C758BE" w:rsidP="00C758BE">
            <w:pPr>
              <w:jc w:val="both"/>
            </w:pPr>
            <w:r w:rsidRPr="00880699">
              <w:t>Metodický dopis</w:t>
            </w:r>
          </w:p>
        </w:tc>
      </w:tr>
      <w:tr w:rsidR="00C758BE" w:rsidRPr="00880699" w14:paraId="6EA1EAF1" w14:textId="77777777" w:rsidTr="00003E78">
        <w:tc>
          <w:tcPr>
            <w:tcW w:w="1154" w:type="pct"/>
          </w:tcPr>
          <w:p w14:paraId="2FAC6692" w14:textId="77777777" w:rsidR="00C758BE" w:rsidRPr="00880699" w:rsidRDefault="00C758BE" w:rsidP="00C758BE">
            <w:r w:rsidRPr="00880699">
              <w:t>MDFN</w:t>
            </w:r>
          </w:p>
        </w:tc>
        <w:tc>
          <w:tcPr>
            <w:tcW w:w="3846" w:type="pct"/>
          </w:tcPr>
          <w:p w14:paraId="03E7CCA1" w14:textId="77777777" w:rsidR="00C758BE" w:rsidRPr="00880699" w:rsidRDefault="00C758BE" w:rsidP="00C758BE">
            <w:pPr>
              <w:jc w:val="both"/>
            </w:pPr>
            <w:r w:rsidRPr="00880699">
              <w:t>Metodické doporučení pro implementaci finančních nástrojů v programovém období 2014 - 2020</w:t>
            </w:r>
          </w:p>
        </w:tc>
      </w:tr>
      <w:tr w:rsidR="00C758BE" w:rsidRPr="00880699" w14:paraId="0E711AAB" w14:textId="77777777" w:rsidTr="00003E78">
        <w:tc>
          <w:tcPr>
            <w:tcW w:w="1154" w:type="pct"/>
          </w:tcPr>
          <w:p w14:paraId="5D8E3B20" w14:textId="3325774E" w:rsidR="00C758BE" w:rsidRPr="00880699" w:rsidRDefault="00C758BE" w:rsidP="00C758BE">
            <w:r>
              <w:lastRenderedPageBreak/>
              <w:t>MKPK</w:t>
            </w:r>
          </w:p>
        </w:tc>
        <w:tc>
          <w:tcPr>
            <w:tcW w:w="3846" w:type="pct"/>
          </w:tcPr>
          <w:p w14:paraId="347F306A" w14:textId="782FCFDF" w:rsidR="00C758BE" w:rsidRPr="00880699" w:rsidRDefault="00C758BE" w:rsidP="00C758BE">
            <w:pPr>
              <w:jc w:val="both"/>
            </w:pPr>
            <w:r>
              <w:t>Modul</w:t>
            </w:r>
            <w:r w:rsidRPr="00467077">
              <w:t xml:space="preserve"> koordinace plánování kontrol</w:t>
            </w:r>
          </w:p>
        </w:tc>
      </w:tr>
      <w:tr w:rsidR="00C758BE" w:rsidRPr="00880699" w14:paraId="026EC5B7" w14:textId="77777777" w:rsidTr="00003E78">
        <w:tc>
          <w:tcPr>
            <w:tcW w:w="1154" w:type="pct"/>
          </w:tcPr>
          <w:p w14:paraId="54BF1111" w14:textId="77777777" w:rsidR="00C758BE" w:rsidRPr="00880699" w:rsidRDefault="00C758BE" w:rsidP="00C758BE">
            <w:r w:rsidRPr="00880699">
              <w:t>MFCR</w:t>
            </w:r>
          </w:p>
        </w:tc>
        <w:tc>
          <w:tcPr>
            <w:tcW w:w="3846" w:type="pct"/>
          </w:tcPr>
          <w:p w14:paraId="40FE9A35" w14:textId="77777777" w:rsidR="00C758BE" w:rsidRPr="00880699" w:rsidRDefault="00C758BE" w:rsidP="00C758BE">
            <w:pPr>
              <w:jc w:val="both"/>
            </w:pPr>
            <w:r w:rsidRPr="00880699">
              <w:t>Ministerstvo financí ČR</w:t>
            </w:r>
          </w:p>
        </w:tc>
      </w:tr>
      <w:tr w:rsidR="00C758BE" w:rsidRPr="00880699" w14:paraId="5C21CB77" w14:textId="77777777" w:rsidTr="00003E78">
        <w:tc>
          <w:tcPr>
            <w:tcW w:w="1154" w:type="pct"/>
          </w:tcPr>
          <w:p w14:paraId="6EA3A484" w14:textId="77777777" w:rsidR="00C758BE" w:rsidRPr="00880699" w:rsidRDefault="00C758BE" w:rsidP="00C758BE">
            <w:r w:rsidRPr="00880699">
              <w:t>MIP</w:t>
            </w:r>
          </w:p>
        </w:tc>
        <w:tc>
          <w:tcPr>
            <w:tcW w:w="3846" w:type="pct"/>
          </w:tcPr>
          <w:p w14:paraId="16EB4E26" w14:textId="77777777" w:rsidR="00C758BE" w:rsidRPr="00880699" w:rsidRDefault="00C758BE" w:rsidP="00C758BE">
            <w:pPr>
              <w:jc w:val="both"/>
            </w:pPr>
            <w:r w:rsidRPr="00880699">
              <w:t>Manuál interních postupů (API)</w:t>
            </w:r>
          </w:p>
        </w:tc>
      </w:tr>
      <w:tr w:rsidR="00C758BE" w:rsidRPr="00880699" w14:paraId="01E1CFCF" w14:textId="77777777" w:rsidTr="00003E78">
        <w:tc>
          <w:tcPr>
            <w:tcW w:w="1154" w:type="pct"/>
          </w:tcPr>
          <w:p w14:paraId="17876EE6" w14:textId="77777777" w:rsidR="00C758BE" w:rsidRPr="00880699" w:rsidRDefault="00C758BE" w:rsidP="00C758BE">
            <w:r w:rsidRPr="00880699">
              <w:t>MMR</w:t>
            </w:r>
          </w:p>
        </w:tc>
        <w:tc>
          <w:tcPr>
            <w:tcW w:w="3846" w:type="pct"/>
          </w:tcPr>
          <w:p w14:paraId="41B618CA" w14:textId="77777777" w:rsidR="00C758BE" w:rsidRPr="00880699" w:rsidRDefault="00C758BE" w:rsidP="00C758BE">
            <w:pPr>
              <w:jc w:val="both"/>
            </w:pPr>
            <w:r w:rsidRPr="00880699">
              <w:t>Ministerstvo pro místní rozvoj</w:t>
            </w:r>
          </w:p>
        </w:tc>
      </w:tr>
      <w:tr w:rsidR="00C758BE" w:rsidRPr="00880699" w14:paraId="19330AA5" w14:textId="77777777" w:rsidTr="00003E78">
        <w:tc>
          <w:tcPr>
            <w:tcW w:w="1154" w:type="pct"/>
          </w:tcPr>
          <w:p w14:paraId="4EEDE42E" w14:textId="77777777" w:rsidR="00C758BE" w:rsidRPr="00880699" w:rsidRDefault="00C758BE" w:rsidP="00C758BE">
            <w:r w:rsidRPr="00880699">
              <w:t>MP</w:t>
            </w:r>
          </w:p>
        </w:tc>
        <w:tc>
          <w:tcPr>
            <w:tcW w:w="3846" w:type="pct"/>
          </w:tcPr>
          <w:p w14:paraId="1757AA75" w14:textId="77777777" w:rsidR="00C758BE" w:rsidRPr="00880699" w:rsidRDefault="00C758BE" w:rsidP="00C758BE">
            <w:pPr>
              <w:jc w:val="both"/>
            </w:pPr>
            <w:r w:rsidRPr="00880699">
              <w:t>Metodický pokyn</w:t>
            </w:r>
          </w:p>
        </w:tc>
      </w:tr>
      <w:tr w:rsidR="00C758BE" w:rsidRPr="00880699" w14:paraId="71DA3BC4" w14:textId="77777777" w:rsidTr="00003E78">
        <w:tc>
          <w:tcPr>
            <w:tcW w:w="1154" w:type="pct"/>
          </w:tcPr>
          <w:p w14:paraId="562C2200" w14:textId="77777777" w:rsidR="00C758BE" w:rsidRPr="00880699" w:rsidRDefault="00C758BE" w:rsidP="00C758BE">
            <w:r w:rsidRPr="00880699">
              <w:t>MPFT</w:t>
            </w:r>
          </w:p>
        </w:tc>
        <w:tc>
          <w:tcPr>
            <w:tcW w:w="3846" w:type="pct"/>
          </w:tcPr>
          <w:p w14:paraId="76212D78" w14:textId="77777777" w:rsidR="00C758BE" w:rsidRPr="00880699" w:rsidRDefault="00C758BE" w:rsidP="00C758BE">
            <w:pPr>
              <w:jc w:val="both"/>
            </w:pPr>
            <w:r w:rsidRPr="00880699">
              <w:t>Metodický pokyn finančních toků programů spolufinancovaných z Evropských strukturálních fondů, Fondu soudržnosti a Evropského námořního a rybářského fondu na programové období 2014 - 2020</w:t>
            </w:r>
          </w:p>
        </w:tc>
      </w:tr>
      <w:tr w:rsidR="00C758BE" w:rsidRPr="00880699" w14:paraId="368CE99F" w14:textId="77777777" w:rsidTr="00003E78">
        <w:tc>
          <w:tcPr>
            <w:tcW w:w="1154" w:type="pct"/>
          </w:tcPr>
          <w:p w14:paraId="5C33D30D" w14:textId="77777777" w:rsidR="00C758BE" w:rsidRPr="00880699" w:rsidRDefault="00C758BE" w:rsidP="00C758BE">
            <w:pPr>
              <w:keepNext/>
            </w:pPr>
            <w:r w:rsidRPr="00880699">
              <w:t>MPO nebo Zadavatel</w:t>
            </w:r>
          </w:p>
        </w:tc>
        <w:tc>
          <w:tcPr>
            <w:tcW w:w="3846" w:type="pct"/>
          </w:tcPr>
          <w:p w14:paraId="4B347582" w14:textId="77777777" w:rsidR="00C758BE" w:rsidRPr="00880699" w:rsidRDefault="00C758BE" w:rsidP="00C758BE">
            <w:pPr>
              <w:keepNext/>
              <w:jc w:val="both"/>
            </w:pPr>
            <w:r w:rsidRPr="00880699">
              <w:t>Ministerstvo průmyslu a obchodu ČR</w:t>
            </w:r>
          </w:p>
        </w:tc>
      </w:tr>
      <w:tr w:rsidR="00C758BE" w:rsidRPr="00880699" w14:paraId="06FB76DC" w14:textId="77777777" w:rsidTr="00003E78">
        <w:tc>
          <w:tcPr>
            <w:tcW w:w="1154" w:type="pct"/>
          </w:tcPr>
          <w:p w14:paraId="56EB5A18" w14:textId="77777777" w:rsidR="00C758BE" w:rsidRPr="00880699" w:rsidRDefault="00C758BE" w:rsidP="00C758BE">
            <w:r w:rsidRPr="00880699">
              <w:t>MP ŘVHP</w:t>
            </w:r>
          </w:p>
        </w:tc>
        <w:tc>
          <w:tcPr>
            <w:tcW w:w="3846" w:type="pct"/>
          </w:tcPr>
          <w:p w14:paraId="1DEC22B0" w14:textId="77777777" w:rsidR="00C758BE" w:rsidRPr="00880699" w:rsidRDefault="00C758BE" w:rsidP="00C758BE">
            <w:pPr>
              <w:jc w:val="both"/>
            </w:pPr>
            <w:r w:rsidRPr="00880699">
              <w:t>Metodický pokyn pro řízení výzev, hodnocení a výběr projektů v programovém období 2014-2020</w:t>
            </w:r>
          </w:p>
        </w:tc>
      </w:tr>
      <w:tr w:rsidR="00C758BE" w:rsidRPr="00880699" w14:paraId="2C7EA84C" w14:textId="77777777" w:rsidTr="00003E78">
        <w:tc>
          <w:tcPr>
            <w:tcW w:w="1154" w:type="pct"/>
          </w:tcPr>
          <w:p w14:paraId="780B7CE2" w14:textId="77777777" w:rsidR="00C758BE" w:rsidRPr="00880699" w:rsidRDefault="00C758BE" w:rsidP="00C758BE">
            <w:r w:rsidRPr="00880699">
              <w:t>MPVK</w:t>
            </w:r>
          </w:p>
        </w:tc>
        <w:tc>
          <w:tcPr>
            <w:tcW w:w="3846" w:type="pct"/>
          </w:tcPr>
          <w:p w14:paraId="6BC2D552" w14:textId="77777777" w:rsidR="00C758BE" w:rsidRPr="00880699" w:rsidRDefault="00C758BE" w:rsidP="00C758BE">
            <w:pPr>
              <w:jc w:val="both"/>
            </w:pPr>
            <w:r w:rsidRPr="00880699">
              <w:t xml:space="preserve">Metodický pokyn pro výkon kontrol (v odpovědnosti řídících orgánů při implementaci ESIF pro 2014-2020) </w:t>
            </w:r>
          </w:p>
        </w:tc>
      </w:tr>
      <w:tr w:rsidR="00C758BE" w:rsidRPr="00880699" w14:paraId="4FF9AED8" w14:textId="77777777" w:rsidTr="00003E78">
        <w:tc>
          <w:tcPr>
            <w:tcW w:w="1154" w:type="pct"/>
          </w:tcPr>
          <w:p w14:paraId="7A7FF0EA" w14:textId="5F843039" w:rsidR="00C758BE" w:rsidRPr="00880699" w:rsidRDefault="00C758BE" w:rsidP="00C758BE">
            <w:r>
              <w:t>MS</w:t>
            </w:r>
          </w:p>
        </w:tc>
        <w:tc>
          <w:tcPr>
            <w:tcW w:w="3846" w:type="pct"/>
          </w:tcPr>
          <w:p w14:paraId="194A3C58" w14:textId="65FB7689" w:rsidR="00C758BE" w:rsidRPr="00880699" w:rsidRDefault="00C758BE" w:rsidP="00C758BE">
            <w:pPr>
              <w:jc w:val="both"/>
            </w:pPr>
            <w:r>
              <w:t>Monitorovací systém</w:t>
            </w:r>
          </w:p>
        </w:tc>
      </w:tr>
      <w:tr w:rsidR="00C758BE" w:rsidRPr="00880699" w14:paraId="79222526" w14:textId="77777777" w:rsidTr="00003E78">
        <w:tc>
          <w:tcPr>
            <w:tcW w:w="1154" w:type="pct"/>
          </w:tcPr>
          <w:p w14:paraId="120B28AE" w14:textId="26F3DB9D" w:rsidR="00C758BE" w:rsidRPr="00880699" w:rsidRDefault="00C758BE" w:rsidP="00C758BE">
            <w:r w:rsidRPr="00880699">
              <w:t>MS2014+</w:t>
            </w:r>
          </w:p>
        </w:tc>
        <w:tc>
          <w:tcPr>
            <w:tcW w:w="3846" w:type="pct"/>
          </w:tcPr>
          <w:p w14:paraId="5124501C" w14:textId="77777777" w:rsidR="00C758BE" w:rsidRPr="00880699" w:rsidRDefault="00C758BE" w:rsidP="00C758BE">
            <w:pPr>
              <w:jc w:val="both"/>
            </w:pPr>
            <w:r w:rsidRPr="00880699">
              <w:t>Monitorovací systém ESIF pro programové období 2014 - 2020</w:t>
            </w:r>
          </w:p>
        </w:tc>
      </w:tr>
      <w:tr w:rsidR="00C758BE" w:rsidRPr="00880699" w14:paraId="26915866" w14:textId="77777777" w:rsidTr="00003E78">
        <w:tc>
          <w:tcPr>
            <w:tcW w:w="1154" w:type="pct"/>
          </w:tcPr>
          <w:p w14:paraId="2DF820FC" w14:textId="77777777" w:rsidR="00C758BE" w:rsidRPr="00880699" w:rsidRDefault="00C758BE" w:rsidP="00C758BE">
            <w:r w:rsidRPr="00880699">
              <w:t>MSP</w:t>
            </w:r>
          </w:p>
        </w:tc>
        <w:tc>
          <w:tcPr>
            <w:tcW w:w="3846" w:type="pct"/>
          </w:tcPr>
          <w:p w14:paraId="231638E4" w14:textId="77777777" w:rsidR="00C758BE" w:rsidRPr="00880699" w:rsidRDefault="00C758BE" w:rsidP="00C758BE">
            <w:pPr>
              <w:jc w:val="both"/>
            </w:pPr>
            <w:r w:rsidRPr="00880699">
              <w:t>Malý a střední podnik</w:t>
            </w:r>
          </w:p>
        </w:tc>
      </w:tr>
      <w:tr w:rsidR="00C758BE" w:rsidRPr="00880699" w14:paraId="505CC762" w14:textId="77777777" w:rsidTr="00003E78">
        <w:tc>
          <w:tcPr>
            <w:tcW w:w="1154" w:type="pct"/>
          </w:tcPr>
          <w:p w14:paraId="30F9052A" w14:textId="77777777" w:rsidR="00C758BE" w:rsidRPr="00880699" w:rsidRDefault="00C758BE" w:rsidP="00C758BE">
            <w:r w:rsidRPr="00880699">
              <w:t>NOK - MMR</w:t>
            </w:r>
          </w:p>
        </w:tc>
        <w:tc>
          <w:tcPr>
            <w:tcW w:w="3846" w:type="pct"/>
          </w:tcPr>
          <w:p w14:paraId="5C47FA5E" w14:textId="77777777" w:rsidR="00C758BE" w:rsidRPr="00880699" w:rsidRDefault="00C758BE" w:rsidP="00C758BE">
            <w:pPr>
              <w:jc w:val="both"/>
            </w:pPr>
            <w:r w:rsidRPr="00880699">
              <w:t>Národní orgán pro koordinaci při Ministerstvu pro místní rozvoj ČR</w:t>
            </w:r>
          </w:p>
        </w:tc>
      </w:tr>
      <w:tr w:rsidR="00C758BE" w:rsidRPr="00880699" w14:paraId="0C883C25" w14:textId="77777777" w:rsidTr="00003E78">
        <w:tc>
          <w:tcPr>
            <w:tcW w:w="1154" w:type="pct"/>
          </w:tcPr>
          <w:p w14:paraId="1259CF46" w14:textId="77777777" w:rsidR="00C758BE" w:rsidRPr="00880699" w:rsidRDefault="00C758BE" w:rsidP="00C758BE">
            <w:r w:rsidRPr="00880699">
              <w:t>NKÚ</w:t>
            </w:r>
          </w:p>
        </w:tc>
        <w:tc>
          <w:tcPr>
            <w:tcW w:w="3846" w:type="pct"/>
          </w:tcPr>
          <w:p w14:paraId="1A716DA6" w14:textId="77777777" w:rsidR="00C758BE" w:rsidRPr="00880699" w:rsidRDefault="00C758BE" w:rsidP="00C758BE">
            <w:pPr>
              <w:jc w:val="both"/>
            </w:pPr>
            <w:r w:rsidRPr="00880699">
              <w:t>Nejvyšší kontrolní úřad</w:t>
            </w:r>
          </w:p>
        </w:tc>
      </w:tr>
      <w:tr w:rsidR="006E0A21" w:rsidRPr="00880699" w14:paraId="4589E78D" w14:textId="77777777" w:rsidTr="00003E78">
        <w:tc>
          <w:tcPr>
            <w:tcW w:w="1154" w:type="pct"/>
          </w:tcPr>
          <w:p w14:paraId="73545A14" w14:textId="213B63A1" w:rsidR="006E0A21" w:rsidRPr="00880699" w:rsidRDefault="006E0A21" w:rsidP="00C758BE">
            <w:r>
              <w:t>OFS</w:t>
            </w:r>
          </w:p>
        </w:tc>
        <w:tc>
          <w:tcPr>
            <w:tcW w:w="3846" w:type="pct"/>
          </w:tcPr>
          <w:p w14:paraId="06109752" w14:textId="2D2AF7D7" w:rsidR="006E0A21" w:rsidRPr="00880699" w:rsidRDefault="006E0A21" w:rsidP="00C758BE">
            <w:pPr>
              <w:jc w:val="both"/>
            </w:pPr>
            <w:r w:rsidRPr="006E0A21">
              <w:t>Orgán finanční správy České republiky ve smyslu zákona č. 456/2011 Sb., o finanční správě České republiky</w:t>
            </w:r>
          </w:p>
        </w:tc>
      </w:tr>
      <w:tr w:rsidR="00606A56" w:rsidRPr="00880699" w14:paraId="36C47BC3" w14:textId="77777777" w:rsidTr="00003E78">
        <w:tc>
          <w:tcPr>
            <w:tcW w:w="1154" w:type="pct"/>
          </w:tcPr>
          <w:p w14:paraId="71DA9AD0" w14:textId="16A8B78E" w:rsidR="00606A56" w:rsidRPr="00880699" w:rsidRDefault="00606A56" w:rsidP="00C758BE">
            <w:r>
              <w:t>OKIA</w:t>
            </w:r>
          </w:p>
        </w:tc>
        <w:tc>
          <w:tcPr>
            <w:tcW w:w="3846" w:type="pct"/>
          </w:tcPr>
          <w:p w14:paraId="6A721CB7" w14:textId="03B58BA2" w:rsidR="00606A56" w:rsidRPr="00880699" w:rsidRDefault="00606A56" w:rsidP="00C758BE">
            <w:pPr>
              <w:jc w:val="both"/>
            </w:pPr>
            <w:r>
              <w:t>Odbor kontroly interního auditu</w:t>
            </w:r>
          </w:p>
        </w:tc>
      </w:tr>
      <w:tr w:rsidR="00C758BE" w:rsidRPr="00880699" w14:paraId="64C69512" w14:textId="77777777" w:rsidTr="00003E78">
        <w:tc>
          <w:tcPr>
            <w:tcW w:w="1154" w:type="pct"/>
          </w:tcPr>
          <w:p w14:paraId="61780BD1" w14:textId="77777777" w:rsidR="00C758BE" w:rsidRPr="00880699" w:rsidRDefault="00C758BE" w:rsidP="00C758BE">
            <w:r w:rsidRPr="00880699">
              <w:t>OM OP PIK</w:t>
            </w:r>
          </w:p>
        </w:tc>
        <w:tc>
          <w:tcPr>
            <w:tcW w:w="3846" w:type="pct"/>
          </w:tcPr>
          <w:p w14:paraId="556A297D" w14:textId="77777777" w:rsidR="00C758BE" w:rsidRPr="00880699" w:rsidRDefault="00C758BE" w:rsidP="00C758BE">
            <w:pPr>
              <w:jc w:val="both"/>
            </w:pPr>
            <w:r w:rsidRPr="00880699">
              <w:t>Operační manuál OP PIK</w:t>
            </w:r>
          </w:p>
        </w:tc>
      </w:tr>
      <w:tr w:rsidR="00C758BE" w:rsidRPr="00880699" w14:paraId="3D07C771" w14:textId="77777777" w:rsidTr="00003E78">
        <w:tc>
          <w:tcPr>
            <w:tcW w:w="1154" w:type="pct"/>
          </w:tcPr>
          <w:p w14:paraId="3151CCA0" w14:textId="77777777" w:rsidR="00C758BE" w:rsidRPr="00880699" w:rsidRDefault="00C758BE" w:rsidP="00C758BE">
            <w:r w:rsidRPr="00880699">
              <w:t>ON</w:t>
            </w:r>
          </w:p>
        </w:tc>
        <w:tc>
          <w:tcPr>
            <w:tcW w:w="3846" w:type="pct"/>
          </w:tcPr>
          <w:p w14:paraId="2A23DDFC" w14:textId="77777777" w:rsidR="00C758BE" w:rsidRPr="00880699" w:rsidRDefault="00C758BE" w:rsidP="00C758BE">
            <w:pPr>
              <w:jc w:val="both"/>
            </w:pPr>
            <w:r w:rsidRPr="00880699">
              <w:t>Obecné nařízení</w:t>
            </w:r>
          </w:p>
        </w:tc>
      </w:tr>
      <w:tr w:rsidR="006E0A21" w:rsidRPr="00880699" w14:paraId="26680EDD" w14:textId="77777777" w:rsidTr="00003E78">
        <w:tc>
          <w:tcPr>
            <w:tcW w:w="1154" w:type="pct"/>
          </w:tcPr>
          <w:p w14:paraId="19791A86" w14:textId="63AB0AD0" w:rsidR="006E0A21" w:rsidRPr="00880699" w:rsidRDefault="006E0A21" w:rsidP="00C758BE">
            <w:r>
              <w:t>OP TAK</w:t>
            </w:r>
          </w:p>
        </w:tc>
        <w:tc>
          <w:tcPr>
            <w:tcW w:w="3846" w:type="pct"/>
          </w:tcPr>
          <w:p w14:paraId="55FB57E7" w14:textId="0DA3E7E3" w:rsidR="006E0A21" w:rsidRPr="00880699" w:rsidRDefault="006E0A21" w:rsidP="006E0A21">
            <w:pPr>
              <w:jc w:val="both"/>
            </w:pPr>
            <w:r>
              <w:t>Operační program Technologie a Aplikace pro konkurenceschopnost</w:t>
            </w:r>
          </w:p>
        </w:tc>
      </w:tr>
      <w:tr w:rsidR="00C758BE" w:rsidRPr="00880699" w14:paraId="68CDAFCA" w14:textId="77777777" w:rsidTr="00003E78">
        <w:tc>
          <w:tcPr>
            <w:tcW w:w="1154" w:type="pct"/>
          </w:tcPr>
          <w:p w14:paraId="6E7B0B0C" w14:textId="77777777" w:rsidR="00C758BE" w:rsidRPr="00880699" w:rsidRDefault="00C758BE" w:rsidP="00C758BE">
            <w:r w:rsidRPr="00880699">
              <w:t>OP PIK</w:t>
            </w:r>
          </w:p>
        </w:tc>
        <w:tc>
          <w:tcPr>
            <w:tcW w:w="3846" w:type="pct"/>
          </w:tcPr>
          <w:p w14:paraId="0163B2C4" w14:textId="77777777" w:rsidR="00C758BE" w:rsidRPr="00880699" w:rsidRDefault="00C758BE" w:rsidP="00C758BE">
            <w:pPr>
              <w:jc w:val="both"/>
            </w:pPr>
            <w:r w:rsidRPr="00880699">
              <w:t>Operační program Podnikání a inovace pro konkurenceschopnost</w:t>
            </w:r>
          </w:p>
        </w:tc>
      </w:tr>
      <w:tr w:rsidR="006E0A21" w:rsidRPr="00880699" w14:paraId="56D8FED9" w14:textId="77777777" w:rsidTr="00003E78">
        <w:tc>
          <w:tcPr>
            <w:tcW w:w="1154" w:type="pct"/>
          </w:tcPr>
          <w:p w14:paraId="563C0A6F" w14:textId="2F3938F2" w:rsidR="006E0A21" w:rsidRPr="00880699" w:rsidRDefault="006E0A21" w:rsidP="00C758BE">
            <w:r>
              <w:t>PCO</w:t>
            </w:r>
          </w:p>
        </w:tc>
        <w:tc>
          <w:tcPr>
            <w:tcW w:w="3846" w:type="pct"/>
          </w:tcPr>
          <w:p w14:paraId="58693311" w14:textId="05B3C014" w:rsidR="006E0A21" w:rsidRPr="00880699" w:rsidRDefault="006E0A21" w:rsidP="00C758BE">
            <w:pPr>
              <w:jc w:val="both"/>
            </w:pPr>
            <w:r>
              <w:t>Platební a certifikační orgán</w:t>
            </w:r>
          </w:p>
        </w:tc>
      </w:tr>
      <w:tr w:rsidR="00C758BE" w:rsidRPr="00880699" w14:paraId="1375C457" w14:textId="77777777" w:rsidTr="00003E78">
        <w:tc>
          <w:tcPr>
            <w:tcW w:w="1154" w:type="pct"/>
          </w:tcPr>
          <w:p w14:paraId="35DDC721" w14:textId="77777777" w:rsidR="00C758BE" w:rsidRPr="00880699" w:rsidRDefault="00C758BE" w:rsidP="00C758BE">
            <w:r w:rsidRPr="00880699">
              <w:t>PM</w:t>
            </w:r>
          </w:p>
        </w:tc>
        <w:tc>
          <w:tcPr>
            <w:tcW w:w="3846" w:type="pct"/>
          </w:tcPr>
          <w:p w14:paraId="182D0DC4" w14:textId="77777777" w:rsidR="00C758BE" w:rsidRPr="00880699" w:rsidRDefault="00C758BE" w:rsidP="00C758BE">
            <w:pPr>
              <w:jc w:val="both"/>
            </w:pPr>
            <w:r w:rsidRPr="00880699">
              <w:t>Projektový manažer API</w:t>
            </w:r>
          </w:p>
        </w:tc>
      </w:tr>
      <w:tr w:rsidR="00C758BE" w:rsidRPr="00880699" w14:paraId="03CD7222" w14:textId="77777777" w:rsidTr="00003E78">
        <w:tc>
          <w:tcPr>
            <w:tcW w:w="1154" w:type="pct"/>
          </w:tcPr>
          <w:p w14:paraId="27F9F08F" w14:textId="77777777" w:rsidR="00C758BE" w:rsidRPr="00880699" w:rsidRDefault="00C758BE" w:rsidP="00C758BE">
            <w:r w:rsidRPr="00880699">
              <w:t>PO1, 2, 3, 4</w:t>
            </w:r>
          </w:p>
        </w:tc>
        <w:tc>
          <w:tcPr>
            <w:tcW w:w="3846" w:type="pct"/>
          </w:tcPr>
          <w:p w14:paraId="3A8E6535" w14:textId="77777777" w:rsidR="00C758BE" w:rsidRPr="00880699" w:rsidRDefault="00C758BE" w:rsidP="00C758BE">
            <w:pPr>
              <w:jc w:val="both"/>
            </w:pPr>
            <w:r w:rsidRPr="00880699">
              <w:t>Prioritní osa 1, 2, 3, 4</w:t>
            </w:r>
          </w:p>
        </w:tc>
      </w:tr>
      <w:tr w:rsidR="00C758BE" w:rsidRPr="00880699" w14:paraId="755BCA49" w14:textId="77777777" w:rsidTr="00003E78">
        <w:tc>
          <w:tcPr>
            <w:tcW w:w="1154" w:type="pct"/>
          </w:tcPr>
          <w:p w14:paraId="53BFE90F" w14:textId="4B0C500D" w:rsidR="00C758BE" w:rsidRPr="00880699" w:rsidRDefault="00C758BE" w:rsidP="00C758BE">
            <w:r>
              <w:t>PoC</w:t>
            </w:r>
          </w:p>
        </w:tc>
        <w:tc>
          <w:tcPr>
            <w:tcW w:w="3846" w:type="pct"/>
          </w:tcPr>
          <w:p w14:paraId="045CC0C4" w14:textId="632B675D" w:rsidR="00C758BE" w:rsidRPr="00880699" w:rsidRDefault="00C758BE" w:rsidP="00C758BE">
            <w:pPr>
              <w:jc w:val="both"/>
            </w:pPr>
            <w:r>
              <w:t>Proof of Concept</w:t>
            </w:r>
          </w:p>
        </w:tc>
      </w:tr>
      <w:tr w:rsidR="0092513A" w:rsidRPr="00880699" w14:paraId="7F27245F" w14:textId="77777777" w:rsidTr="00003E78">
        <w:tc>
          <w:tcPr>
            <w:tcW w:w="1154" w:type="pct"/>
          </w:tcPr>
          <w:p w14:paraId="524FD74A" w14:textId="38597390" w:rsidR="0092513A" w:rsidRDefault="0092513A" w:rsidP="00C758BE">
            <w:r>
              <w:t>PP</w:t>
            </w:r>
          </w:p>
        </w:tc>
        <w:tc>
          <w:tcPr>
            <w:tcW w:w="3846" w:type="pct"/>
          </w:tcPr>
          <w:p w14:paraId="5C032173" w14:textId="6C211109" w:rsidR="0092513A" w:rsidRDefault="0092513A" w:rsidP="00C758BE">
            <w:pPr>
              <w:jc w:val="both"/>
            </w:pPr>
            <w:r>
              <w:t>Program podpory</w:t>
            </w:r>
          </w:p>
        </w:tc>
      </w:tr>
      <w:tr w:rsidR="00C758BE" w:rsidRPr="00880699" w14:paraId="2345BD1A" w14:textId="77777777" w:rsidTr="00003E78">
        <w:tc>
          <w:tcPr>
            <w:tcW w:w="1154" w:type="pct"/>
          </w:tcPr>
          <w:p w14:paraId="7BA02796" w14:textId="77777777" w:rsidR="00C758BE" w:rsidRPr="00880699" w:rsidRDefault="00C758BE" w:rsidP="00C758BE">
            <w:r w:rsidRPr="00880699">
              <w:t>PpVD</w:t>
            </w:r>
          </w:p>
        </w:tc>
        <w:tc>
          <w:tcPr>
            <w:tcW w:w="3846" w:type="pct"/>
          </w:tcPr>
          <w:p w14:paraId="4A1BB042" w14:textId="77777777" w:rsidR="00C758BE" w:rsidRPr="00880699" w:rsidRDefault="00C758BE" w:rsidP="00C758BE">
            <w:pPr>
              <w:jc w:val="both"/>
            </w:pPr>
            <w:r w:rsidRPr="00880699">
              <w:t>Pravidla pro výběr dodavatele</w:t>
            </w:r>
          </w:p>
        </w:tc>
      </w:tr>
      <w:tr w:rsidR="00606A56" w:rsidRPr="00880699" w14:paraId="70E06F9B" w14:textId="77777777" w:rsidTr="00003E78">
        <w:tc>
          <w:tcPr>
            <w:tcW w:w="1154" w:type="pct"/>
          </w:tcPr>
          <w:p w14:paraId="38F40021" w14:textId="1B000810" w:rsidR="00606A56" w:rsidRPr="00880699" w:rsidRDefault="00606A56" w:rsidP="00C758BE">
            <w:r>
              <w:t>PRK</w:t>
            </w:r>
          </w:p>
        </w:tc>
        <w:tc>
          <w:tcPr>
            <w:tcW w:w="3846" w:type="pct"/>
          </w:tcPr>
          <w:p w14:paraId="03B5CF5A" w14:textId="115003A1" w:rsidR="00606A56" w:rsidRPr="00880699" w:rsidRDefault="00606A56" w:rsidP="00C758BE">
            <w:pPr>
              <w:jc w:val="both"/>
            </w:pPr>
            <w:r>
              <w:t>Porušení rozpočtové kázně</w:t>
            </w:r>
          </w:p>
        </w:tc>
      </w:tr>
      <w:tr w:rsidR="00C758BE" w:rsidRPr="00880699" w14:paraId="34EF6002" w14:textId="77777777" w:rsidTr="00003E78">
        <w:tc>
          <w:tcPr>
            <w:tcW w:w="1154" w:type="pct"/>
          </w:tcPr>
          <w:p w14:paraId="4B53222C" w14:textId="67FFB5A2" w:rsidR="00C758BE" w:rsidRDefault="00C758BE" w:rsidP="00C758BE">
            <w:r>
              <w:t>PV</w:t>
            </w:r>
          </w:p>
        </w:tc>
        <w:tc>
          <w:tcPr>
            <w:tcW w:w="3846" w:type="pct"/>
          </w:tcPr>
          <w:p w14:paraId="4F52C228" w14:textId="57E7FB64" w:rsidR="00C758BE" w:rsidRDefault="00C758BE" w:rsidP="00C758BE">
            <w:pPr>
              <w:jc w:val="both"/>
            </w:pPr>
            <w:r>
              <w:t>Průmyslový výzkum</w:t>
            </w:r>
          </w:p>
        </w:tc>
      </w:tr>
      <w:tr w:rsidR="00C758BE" w:rsidRPr="00880699" w14:paraId="5E05281F" w14:textId="77777777" w:rsidTr="00003E78">
        <w:tc>
          <w:tcPr>
            <w:tcW w:w="1154" w:type="pct"/>
          </w:tcPr>
          <w:p w14:paraId="1D6ECA99" w14:textId="0BEB1BB5" w:rsidR="00C758BE" w:rsidRDefault="00C758BE" w:rsidP="00C758BE">
            <w:r>
              <w:t>RK</w:t>
            </w:r>
          </w:p>
        </w:tc>
        <w:tc>
          <w:tcPr>
            <w:tcW w:w="3846" w:type="pct"/>
          </w:tcPr>
          <w:p w14:paraId="3E5F030F" w14:textId="774AF8DA" w:rsidR="00C758BE" w:rsidRDefault="00C758BE" w:rsidP="00C758BE">
            <w:pPr>
              <w:jc w:val="both"/>
            </w:pPr>
            <w:r>
              <w:t>Referent kontroly</w:t>
            </w:r>
          </w:p>
        </w:tc>
      </w:tr>
      <w:tr w:rsidR="00C758BE" w:rsidRPr="00880699" w14:paraId="7ED2B465" w14:textId="77777777" w:rsidTr="00003E78">
        <w:tc>
          <w:tcPr>
            <w:tcW w:w="1154" w:type="pct"/>
          </w:tcPr>
          <w:p w14:paraId="132B690A" w14:textId="3955F7B4" w:rsidR="00C758BE" w:rsidRPr="00880699" w:rsidRDefault="00C758BE" w:rsidP="00C758BE">
            <w:r w:rsidRPr="00880699">
              <w:t>RoPD</w:t>
            </w:r>
          </w:p>
        </w:tc>
        <w:tc>
          <w:tcPr>
            <w:tcW w:w="3846" w:type="pct"/>
          </w:tcPr>
          <w:p w14:paraId="03696EF7" w14:textId="320C7880" w:rsidR="00C758BE" w:rsidRPr="00880699" w:rsidRDefault="00C758BE" w:rsidP="00C758BE">
            <w:pPr>
              <w:jc w:val="both"/>
            </w:pPr>
            <w:r w:rsidRPr="00880699">
              <w:t>Rozhodnutí o poskytnutí dotace</w:t>
            </w:r>
          </w:p>
        </w:tc>
      </w:tr>
      <w:tr w:rsidR="00C758BE" w:rsidRPr="00880699" w14:paraId="0F3B4A22" w14:textId="77777777" w:rsidTr="00003E78">
        <w:tc>
          <w:tcPr>
            <w:tcW w:w="1154" w:type="pct"/>
          </w:tcPr>
          <w:p w14:paraId="7C2E7626" w14:textId="287D0DCA" w:rsidR="00C758BE" w:rsidRDefault="00C758BE" w:rsidP="00C758BE">
            <w:r>
              <w:t>RPA</w:t>
            </w:r>
          </w:p>
        </w:tc>
        <w:tc>
          <w:tcPr>
            <w:tcW w:w="3846" w:type="pct"/>
          </w:tcPr>
          <w:p w14:paraId="1D77927B" w14:textId="2EC32428" w:rsidR="00C758BE" w:rsidRDefault="00C758BE" w:rsidP="00C758BE">
            <w:pPr>
              <w:jc w:val="both"/>
            </w:pPr>
            <w:r>
              <w:t>Robotická automatizace procesů (Robotic Process Automation)</w:t>
            </w:r>
          </w:p>
        </w:tc>
      </w:tr>
      <w:tr w:rsidR="00C758BE" w:rsidRPr="00880699" w14:paraId="28F8F151" w14:textId="77777777" w:rsidTr="00003E78">
        <w:tc>
          <w:tcPr>
            <w:tcW w:w="1154" w:type="pct"/>
          </w:tcPr>
          <w:p w14:paraId="77F1EC99" w14:textId="77777777" w:rsidR="00C758BE" w:rsidRPr="00880699" w:rsidRDefault="00C758BE" w:rsidP="00C758BE">
            <w:r w:rsidRPr="00880699">
              <w:t>ŘO</w:t>
            </w:r>
          </w:p>
        </w:tc>
        <w:tc>
          <w:tcPr>
            <w:tcW w:w="3846" w:type="pct"/>
          </w:tcPr>
          <w:p w14:paraId="170EAC69" w14:textId="77777777" w:rsidR="00C758BE" w:rsidRPr="00880699" w:rsidRDefault="00C758BE" w:rsidP="00C758BE">
            <w:pPr>
              <w:jc w:val="both"/>
            </w:pPr>
            <w:r w:rsidRPr="00880699">
              <w:t>Řídící orgán</w:t>
            </w:r>
          </w:p>
        </w:tc>
      </w:tr>
      <w:tr w:rsidR="006E0A21" w:rsidRPr="00880699" w14:paraId="7C3BDBE8" w14:textId="77777777" w:rsidTr="00003E78">
        <w:tc>
          <w:tcPr>
            <w:tcW w:w="1154" w:type="pct"/>
          </w:tcPr>
          <w:p w14:paraId="73536FA3" w14:textId="1F63D4EC" w:rsidR="006E0A21" w:rsidRPr="00880699" w:rsidRDefault="006E0A21" w:rsidP="00C758BE">
            <w:r>
              <w:t>ŘOK</w:t>
            </w:r>
          </w:p>
        </w:tc>
        <w:tc>
          <w:tcPr>
            <w:tcW w:w="3846" w:type="pct"/>
          </w:tcPr>
          <w:p w14:paraId="62EEBFAB" w14:textId="770C2419" w:rsidR="006E0A21" w:rsidRPr="00880699" w:rsidRDefault="006E0A21" w:rsidP="00C758BE">
            <w:pPr>
              <w:jc w:val="both"/>
            </w:pPr>
            <w:r>
              <w:t>Ředitel odboru kontroly</w:t>
            </w:r>
          </w:p>
        </w:tc>
      </w:tr>
      <w:tr w:rsidR="00C758BE" w:rsidRPr="00880699" w14:paraId="3DD2DD31" w14:textId="77777777" w:rsidTr="00003E78">
        <w:tc>
          <w:tcPr>
            <w:tcW w:w="1154" w:type="pct"/>
          </w:tcPr>
          <w:p w14:paraId="714E7A9A" w14:textId="77777777" w:rsidR="00C758BE" w:rsidRPr="00880699" w:rsidRDefault="00C758BE" w:rsidP="00C758BE">
            <w:r w:rsidRPr="00880699">
              <w:t>SFN</w:t>
            </w:r>
          </w:p>
        </w:tc>
        <w:tc>
          <w:tcPr>
            <w:tcW w:w="3846" w:type="pct"/>
          </w:tcPr>
          <w:p w14:paraId="6AC25F67" w14:textId="77777777" w:rsidR="00C758BE" w:rsidRPr="00880699" w:rsidRDefault="00C758BE" w:rsidP="00C758BE">
            <w:pPr>
              <w:jc w:val="both"/>
            </w:pPr>
            <w:r w:rsidRPr="00880699">
              <w:t>Správce finančních nástrojů</w:t>
            </w:r>
          </w:p>
        </w:tc>
      </w:tr>
      <w:tr w:rsidR="00192D25" w:rsidRPr="00880699" w14:paraId="6569B1F6" w14:textId="77777777" w:rsidTr="00003E78">
        <w:tc>
          <w:tcPr>
            <w:tcW w:w="1154" w:type="pct"/>
          </w:tcPr>
          <w:p w14:paraId="564CDDA3" w14:textId="1A2C9E45" w:rsidR="00192D25" w:rsidRPr="00880699" w:rsidRDefault="00192D25" w:rsidP="00C758BE">
            <w:r>
              <w:t>SMVS</w:t>
            </w:r>
          </w:p>
        </w:tc>
        <w:tc>
          <w:tcPr>
            <w:tcW w:w="3846" w:type="pct"/>
          </w:tcPr>
          <w:p w14:paraId="5DDF9526" w14:textId="70E1E535" w:rsidR="00192D25" w:rsidRPr="00880699" w:rsidRDefault="00192D25" w:rsidP="00C758BE">
            <w:pPr>
              <w:jc w:val="both"/>
            </w:pPr>
            <w:r>
              <w:t>Správa majetku ve vlastnictví státu</w:t>
            </w:r>
          </w:p>
        </w:tc>
      </w:tr>
      <w:tr w:rsidR="00C758BE" w:rsidRPr="00880699" w14:paraId="16A396B8" w14:textId="77777777" w:rsidTr="00003E78">
        <w:tc>
          <w:tcPr>
            <w:tcW w:w="1154" w:type="pct"/>
          </w:tcPr>
          <w:p w14:paraId="5D7C746B" w14:textId="77777777" w:rsidR="00C758BE" w:rsidRPr="00880699" w:rsidRDefault="00C758BE" w:rsidP="00C758BE">
            <w:r w:rsidRPr="00880699">
              <w:lastRenderedPageBreak/>
              <w:t>VaV</w:t>
            </w:r>
          </w:p>
        </w:tc>
        <w:tc>
          <w:tcPr>
            <w:tcW w:w="3846" w:type="pct"/>
          </w:tcPr>
          <w:p w14:paraId="0A8B21FD" w14:textId="77777777" w:rsidR="00C758BE" w:rsidRPr="00880699" w:rsidRDefault="00C758BE" w:rsidP="00C758BE">
            <w:pPr>
              <w:jc w:val="both"/>
            </w:pPr>
            <w:r w:rsidRPr="00880699">
              <w:t>Věda a výzkum</w:t>
            </w:r>
          </w:p>
        </w:tc>
      </w:tr>
      <w:tr w:rsidR="00C758BE" w:rsidRPr="00880699" w14:paraId="59FA3D99" w14:textId="77777777" w:rsidTr="00003E78">
        <w:tc>
          <w:tcPr>
            <w:tcW w:w="1154" w:type="pct"/>
          </w:tcPr>
          <w:p w14:paraId="1CD9BFFA" w14:textId="77777777" w:rsidR="00C758BE" w:rsidRPr="00880699" w:rsidRDefault="00C758BE" w:rsidP="00C758BE">
            <w:r w:rsidRPr="00880699">
              <w:t>VaVaI</w:t>
            </w:r>
          </w:p>
        </w:tc>
        <w:tc>
          <w:tcPr>
            <w:tcW w:w="3846" w:type="pct"/>
          </w:tcPr>
          <w:p w14:paraId="68A696F6" w14:textId="77777777" w:rsidR="00C758BE" w:rsidRPr="00880699" w:rsidRDefault="00C758BE" w:rsidP="00C758BE">
            <w:pPr>
              <w:jc w:val="both"/>
            </w:pPr>
            <w:r w:rsidRPr="00880699">
              <w:t>Věda, výzkum, inovace</w:t>
            </w:r>
          </w:p>
        </w:tc>
      </w:tr>
      <w:tr w:rsidR="00C758BE" w:rsidRPr="00880699" w14:paraId="59B3C46B" w14:textId="77777777" w:rsidTr="00003E78">
        <w:tc>
          <w:tcPr>
            <w:tcW w:w="1154" w:type="pct"/>
          </w:tcPr>
          <w:p w14:paraId="7019F570" w14:textId="77777777" w:rsidR="00C758BE" w:rsidRPr="00880699" w:rsidRDefault="00C758BE" w:rsidP="00C758BE">
            <w:r w:rsidRPr="00880699">
              <w:t>VGM</w:t>
            </w:r>
          </w:p>
        </w:tc>
        <w:tc>
          <w:tcPr>
            <w:tcW w:w="3846" w:type="pct"/>
          </w:tcPr>
          <w:p w14:paraId="2EE9C83E" w14:textId="77777777" w:rsidR="00C758BE" w:rsidRPr="00880699" w:rsidRDefault="00C758BE" w:rsidP="00C758BE">
            <w:pPr>
              <w:jc w:val="both"/>
            </w:pPr>
            <w:r w:rsidRPr="00880699">
              <w:t>Vanguard Method</w:t>
            </w:r>
          </w:p>
        </w:tc>
      </w:tr>
      <w:tr w:rsidR="00C758BE" w:rsidRPr="00880699" w14:paraId="7D66ABEB" w14:textId="77777777" w:rsidTr="00003E78">
        <w:tc>
          <w:tcPr>
            <w:tcW w:w="1154" w:type="pct"/>
          </w:tcPr>
          <w:p w14:paraId="60832B2A" w14:textId="77777777" w:rsidR="00C758BE" w:rsidRPr="00880699" w:rsidRDefault="00C758BE" w:rsidP="00C758BE">
            <w:r w:rsidRPr="00880699">
              <w:t>VŘ</w:t>
            </w:r>
          </w:p>
        </w:tc>
        <w:tc>
          <w:tcPr>
            <w:tcW w:w="3846" w:type="pct"/>
          </w:tcPr>
          <w:p w14:paraId="231BD27C" w14:textId="77777777" w:rsidR="00C758BE" w:rsidRPr="00880699" w:rsidRDefault="00C758BE" w:rsidP="00C758BE">
            <w:pPr>
              <w:jc w:val="both"/>
            </w:pPr>
            <w:r w:rsidRPr="00880699">
              <w:t>Výběrové řízení</w:t>
            </w:r>
          </w:p>
        </w:tc>
      </w:tr>
      <w:tr w:rsidR="00C758BE" w:rsidRPr="00880699" w14:paraId="5629DCD3" w14:textId="77777777" w:rsidTr="00003E78">
        <w:tc>
          <w:tcPr>
            <w:tcW w:w="1154" w:type="pct"/>
          </w:tcPr>
          <w:p w14:paraId="66DE6482" w14:textId="77777777" w:rsidR="00C758BE" w:rsidRPr="00880699" w:rsidRDefault="00C758BE" w:rsidP="00C758BE">
            <w:r w:rsidRPr="00880699">
              <w:t>VZ</w:t>
            </w:r>
          </w:p>
        </w:tc>
        <w:tc>
          <w:tcPr>
            <w:tcW w:w="3846" w:type="pct"/>
          </w:tcPr>
          <w:p w14:paraId="7CC2BF17" w14:textId="77777777" w:rsidR="00C758BE" w:rsidRPr="00880699" w:rsidRDefault="00C758BE" w:rsidP="00C758BE">
            <w:pPr>
              <w:jc w:val="both"/>
            </w:pPr>
            <w:r w:rsidRPr="00880699">
              <w:t>Vstupní zpráva</w:t>
            </w:r>
          </w:p>
        </w:tc>
      </w:tr>
      <w:tr w:rsidR="00C758BE" w:rsidRPr="00880699" w14:paraId="2C9D8310" w14:textId="77777777" w:rsidTr="00003E78">
        <w:tc>
          <w:tcPr>
            <w:tcW w:w="1154" w:type="pct"/>
          </w:tcPr>
          <w:p w14:paraId="1F097414" w14:textId="77777777" w:rsidR="00C758BE" w:rsidRPr="00880699" w:rsidRDefault="00C758BE" w:rsidP="00C758BE">
            <w:r w:rsidRPr="00880699">
              <w:t>ZoR</w:t>
            </w:r>
          </w:p>
        </w:tc>
        <w:tc>
          <w:tcPr>
            <w:tcW w:w="3846" w:type="pct"/>
          </w:tcPr>
          <w:p w14:paraId="48B6EC8C" w14:textId="77777777" w:rsidR="00C758BE" w:rsidRPr="00880699" w:rsidRDefault="00C758BE" w:rsidP="00C758BE">
            <w:pPr>
              <w:jc w:val="both"/>
            </w:pPr>
            <w:r w:rsidRPr="00880699">
              <w:t>Zpráva o realizaci</w:t>
            </w:r>
          </w:p>
        </w:tc>
      </w:tr>
      <w:tr w:rsidR="00C758BE" w:rsidRPr="00880699" w14:paraId="1FA5E58E" w14:textId="77777777" w:rsidTr="00003E78">
        <w:tc>
          <w:tcPr>
            <w:tcW w:w="1154" w:type="pct"/>
          </w:tcPr>
          <w:p w14:paraId="49DF5916" w14:textId="77777777" w:rsidR="00C758BE" w:rsidRPr="00880699" w:rsidRDefault="00C758BE" w:rsidP="00C758BE">
            <w:r w:rsidRPr="00880699">
              <w:t>ZoU</w:t>
            </w:r>
          </w:p>
        </w:tc>
        <w:tc>
          <w:tcPr>
            <w:tcW w:w="3846" w:type="pct"/>
          </w:tcPr>
          <w:p w14:paraId="18696DCC" w14:textId="77777777" w:rsidR="00C758BE" w:rsidRPr="00880699" w:rsidRDefault="00C758BE" w:rsidP="00C758BE">
            <w:pPr>
              <w:jc w:val="both"/>
            </w:pPr>
            <w:r w:rsidRPr="00880699">
              <w:t>Zpráva o udržitelnosti</w:t>
            </w:r>
          </w:p>
        </w:tc>
      </w:tr>
      <w:tr w:rsidR="00C758BE" w:rsidRPr="00880699" w14:paraId="58F414F5" w14:textId="77777777" w:rsidTr="00003E78">
        <w:tc>
          <w:tcPr>
            <w:tcW w:w="1154" w:type="pct"/>
          </w:tcPr>
          <w:p w14:paraId="2E425750" w14:textId="41F1A88F" w:rsidR="00C758BE" w:rsidRPr="00880699" w:rsidRDefault="00C758BE" w:rsidP="00C758BE">
            <w:r w:rsidRPr="00880699">
              <w:t>ZS</w:t>
            </w:r>
          </w:p>
        </w:tc>
        <w:tc>
          <w:tcPr>
            <w:tcW w:w="3846" w:type="pct"/>
          </w:tcPr>
          <w:p w14:paraId="421C7653" w14:textId="6EDC4D17" w:rsidR="00C758BE" w:rsidRPr="00880699" w:rsidRDefault="00C758BE" w:rsidP="00C758BE">
            <w:pPr>
              <w:jc w:val="both"/>
            </w:pPr>
            <w:r w:rsidRPr="00880699">
              <w:t>Zprostředkující subjekt</w:t>
            </w:r>
          </w:p>
        </w:tc>
      </w:tr>
      <w:tr w:rsidR="00C758BE" w:rsidRPr="00880699" w14:paraId="3377137B" w14:textId="77777777" w:rsidTr="00003E78">
        <w:tc>
          <w:tcPr>
            <w:tcW w:w="1154" w:type="pct"/>
          </w:tcPr>
          <w:p w14:paraId="77D190FA" w14:textId="647366A8" w:rsidR="00C758BE" w:rsidRPr="00880699" w:rsidRDefault="00C758BE" w:rsidP="00C758BE">
            <w:r w:rsidRPr="00880699">
              <w:t>ZZoR</w:t>
            </w:r>
          </w:p>
        </w:tc>
        <w:tc>
          <w:tcPr>
            <w:tcW w:w="3846" w:type="pct"/>
          </w:tcPr>
          <w:p w14:paraId="3DB3BD6F" w14:textId="3A36347E" w:rsidR="00C758BE" w:rsidRPr="00880699" w:rsidRDefault="00C758BE" w:rsidP="00C758BE">
            <w:pPr>
              <w:jc w:val="both"/>
            </w:pPr>
            <w:r w:rsidRPr="00880699">
              <w:t>Závěrečná zpráva o realizaci</w:t>
            </w:r>
          </w:p>
        </w:tc>
      </w:tr>
      <w:tr w:rsidR="00C758BE" w:rsidRPr="00880699" w14:paraId="312B5766" w14:textId="77777777" w:rsidTr="00003E78">
        <w:tc>
          <w:tcPr>
            <w:tcW w:w="1154" w:type="pct"/>
          </w:tcPr>
          <w:p w14:paraId="64719F57" w14:textId="60449487" w:rsidR="00C758BE" w:rsidRPr="00880699" w:rsidRDefault="00C758BE" w:rsidP="00C758BE">
            <w:r>
              <w:t>ZzVZ</w:t>
            </w:r>
          </w:p>
        </w:tc>
        <w:tc>
          <w:tcPr>
            <w:tcW w:w="3846" w:type="pct"/>
          </w:tcPr>
          <w:p w14:paraId="75FACA2F" w14:textId="27C63DBA" w:rsidR="00C758BE" w:rsidRPr="00880699" w:rsidRDefault="00C758BE" w:rsidP="00C758BE">
            <w:pPr>
              <w:jc w:val="both"/>
            </w:pPr>
            <w:r>
              <w:t>Zákon o zadávání veřejných zakázek</w:t>
            </w:r>
          </w:p>
        </w:tc>
      </w:tr>
      <w:tr w:rsidR="00C758BE" w:rsidRPr="00880699" w14:paraId="3AAAE763" w14:textId="77777777" w:rsidTr="00003E78">
        <w:tc>
          <w:tcPr>
            <w:tcW w:w="1154" w:type="pct"/>
          </w:tcPr>
          <w:p w14:paraId="3A644623" w14:textId="77777777" w:rsidR="00C758BE" w:rsidRPr="00880699" w:rsidRDefault="00C758BE" w:rsidP="00C758BE">
            <w:r w:rsidRPr="00880699">
              <w:t>ZZoU</w:t>
            </w:r>
          </w:p>
        </w:tc>
        <w:tc>
          <w:tcPr>
            <w:tcW w:w="3846" w:type="pct"/>
          </w:tcPr>
          <w:p w14:paraId="33E3867B" w14:textId="77777777" w:rsidR="00C758BE" w:rsidRPr="00880699" w:rsidRDefault="00C758BE" w:rsidP="00C758BE">
            <w:pPr>
              <w:jc w:val="both"/>
            </w:pPr>
            <w:r w:rsidRPr="00880699">
              <w:t>Závěrečná zpráva o udržitelnosti</w:t>
            </w:r>
          </w:p>
        </w:tc>
      </w:tr>
      <w:tr w:rsidR="00C758BE" w:rsidRPr="00880699" w14:paraId="27AAE69D" w14:textId="77777777" w:rsidTr="00003E78">
        <w:tc>
          <w:tcPr>
            <w:tcW w:w="1154" w:type="pct"/>
          </w:tcPr>
          <w:p w14:paraId="06E7C30E" w14:textId="679F5604" w:rsidR="00C758BE" w:rsidRPr="00880699" w:rsidRDefault="00C758BE" w:rsidP="00C758BE">
            <w:r>
              <w:t>ZŽoPl</w:t>
            </w:r>
          </w:p>
        </w:tc>
        <w:tc>
          <w:tcPr>
            <w:tcW w:w="3846" w:type="pct"/>
          </w:tcPr>
          <w:p w14:paraId="0432B087" w14:textId="5D383961" w:rsidR="00C758BE" w:rsidRPr="00880699" w:rsidRDefault="00C758BE" w:rsidP="00C758BE">
            <w:pPr>
              <w:jc w:val="both"/>
            </w:pPr>
            <w:r>
              <w:t>Závěrečná žádost o platbu</w:t>
            </w:r>
          </w:p>
        </w:tc>
      </w:tr>
      <w:tr w:rsidR="00C758BE" w:rsidRPr="00880699" w14:paraId="6A577342" w14:textId="77777777" w:rsidTr="00003E78">
        <w:tc>
          <w:tcPr>
            <w:tcW w:w="1154" w:type="pct"/>
          </w:tcPr>
          <w:p w14:paraId="497B9E7A" w14:textId="77777777" w:rsidR="00C758BE" w:rsidRPr="00880699" w:rsidRDefault="00C758BE" w:rsidP="00C758BE">
            <w:r w:rsidRPr="00880699">
              <w:t>ŽaP</w:t>
            </w:r>
          </w:p>
        </w:tc>
        <w:tc>
          <w:tcPr>
            <w:tcW w:w="3846" w:type="pct"/>
          </w:tcPr>
          <w:p w14:paraId="267B7C2C" w14:textId="77777777" w:rsidR="00C758BE" w:rsidRPr="00880699" w:rsidRDefault="00C758BE" w:rsidP="00C758BE">
            <w:pPr>
              <w:jc w:val="both"/>
            </w:pPr>
            <w:r w:rsidRPr="00880699">
              <w:t>Žadatelé a Příjemci</w:t>
            </w:r>
          </w:p>
        </w:tc>
      </w:tr>
      <w:tr w:rsidR="00C758BE" w:rsidRPr="00880699" w14:paraId="0C105C22" w14:textId="77777777" w:rsidTr="00003E78">
        <w:tc>
          <w:tcPr>
            <w:tcW w:w="1154" w:type="pct"/>
          </w:tcPr>
          <w:p w14:paraId="37ED8B8F" w14:textId="40935452" w:rsidR="00C758BE" w:rsidRPr="00880699" w:rsidRDefault="00C758BE" w:rsidP="00C758BE">
            <w:r>
              <w:t>ŽoPl</w:t>
            </w:r>
          </w:p>
        </w:tc>
        <w:tc>
          <w:tcPr>
            <w:tcW w:w="3846" w:type="pct"/>
          </w:tcPr>
          <w:p w14:paraId="2F0FCBF6" w14:textId="77777777" w:rsidR="00C758BE" w:rsidRPr="00880699" w:rsidRDefault="00C758BE" w:rsidP="00C758BE">
            <w:pPr>
              <w:jc w:val="both"/>
            </w:pPr>
            <w:r w:rsidRPr="00880699">
              <w:t>Žádost o platbu</w:t>
            </w:r>
          </w:p>
        </w:tc>
      </w:tr>
    </w:tbl>
    <w:p w14:paraId="5CCAEC12" w14:textId="35EE9800" w:rsidR="000E5FC1" w:rsidRPr="00880699" w:rsidRDefault="005B62B3" w:rsidP="000421F0">
      <w:pPr>
        <w:spacing w:line="240" w:lineRule="auto"/>
        <w:jc w:val="both"/>
      </w:pPr>
      <w:r w:rsidRPr="00880699">
        <w:br w:type="page"/>
      </w:r>
      <w:r w:rsidR="000E5FC1" w:rsidRPr="00880699">
        <w:lastRenderedPageBreak/>
        <w:t>Seznam tabulek</w:t>
      </w:r>
    </w:p>
    <w:p w14:paraId="6591B917" w14:textId="6A8CAE4D" w:rsidR="00E105D8" w:rsidRDefault="00011DA7">
      <w:pPr>
        <w:pStyle w:val="TableofFigures"/>
        <w:tabs>
          <w:tab w:val="right" w:leader="dot" w:pos="9736"/>
        </w:tabs>
        <w:rPr>
          <w:rFonts w:eastAsiaTheme="minorEastAsia"/>
          <w:noProof/>
          <w:sz w:val="22"/>
          <w:lang w:eastAsia="cs-CZ"/>
        </w:rPr>
      </w:pPr>
      <w:r w:rsidRPr="00880699">
        <w:rPr>
          <w:rFonts w:asciiTheme="majorHAnsi" w:hAnsiTheme="majorHAnsi"/>
          <w:highlight w:val="yellow"/>
        </w:rPr>
        <w:fldChar w:fldCharType="begin"/>
      </w:r>
      <w:r w:rsidRPr="00880699">
        <w:rPr>
          <w:rFonts w:asciiTheme="majorHAnsi" w:hAnsiTheme="majorHAnsi"/>
          <w:highlight w:val="yellow"/>
        </w:rPr>
        <w:instrText xml:space="preserve"> TOC \h \z \c "Tabulka" </w:instrText>
      </w:r>
      <w:r w:rsidRPr="00880699">
        <w:rPr>
          <w:rFonts w:asciiTheme="majorHAnsi" w:hAnsiTheme="majorHAnsi"/>
          <w:highlight w:val="yellow"/>
        </w:rPr>
        <w:fldChar w:fldCharType="separate"/>
      </w:r>
      <w:hyperlink w:anchor="_Toc52532099" w:history="1">
        <w:r w:rsidR="00E105D8" w:rsidRPr="00FC30D0">
          <w:rPr>
            <w:rStyle w:val="Hyperlink"/>
            <w:noProof/>
          </w:rPr>
          <w:t>Tabulka 1 Seznam zkratek</w:t>
        </w:r>
        <w:r w:rsidR="00E105D8">
          <w:rPr>
            <w:noProof/>
            <w:webHidden/>
          </w:rPr>
          <w:tab/>
        </w:r>
        <w:r w:rsidR="00E105D8">
          <w:rPr>
            <w:noProof/>
            <w:webHidden/>
          </w:rPr>
          <w:fldChar w:fldCharType="begin"/>
        </w:r>
        <w:r w:rsidR="00E105D8">
          <w:rPr>
            <w:noProof/>
            <w:webHidden/>
          </w:rPr>
          <w:instrText xml:space="preserve"> PAGEREF _Toc52532099 \h </w:instrText>
        </w:r>
        <w:r w:rsidR="00E105D8">
          <w:rPr>
            <w:noProof/>
            <w:webHidden/>
          </w:rPr>
        </w:r>
        <w:r w:rsidR="00E105D8">
          <w:rPr>
            <w:noProof/>
            <w:webHidden/>
          </w:rPr>
          <w:fldChar w:fldCharType="separate"/>
        </w:r>
        <w:r w:rsidR="00A65688">
          <w:rPr>
            <w:noProof/>
            <w:webHidden/>
          </w:rPr>
          <w:t>2</w:t>
        </w:r>
        <w:r w:rsidR="00E105D8">
          <w:rPr>
            <w:noProof/>
            <w:webHidden/>
          </w:rPr>
          <w:fldChar w:fldCharType="end"/>
        </w:r>
      </w:hyperlink>
    </w:p>
    <w:p w14:paraId="2276889D" w14:textId="19FA3ABE" w:rsidR="00E105D8" w:rsidRDefault="00BB343F">
      <w:pPr>
        <w:pStyle w:val="TableofFigures"/>
        <w:tabs>
          <w:tab w:val="right" w:leader="dot" w:pos="9736"/>
        </w:tabs>
        <w:rPr>
          <w:rFonts w:eastAsiaTheme="minorEastAsia"/>
          <w:noProof/>
          <w:sz w:val="22"/>
          <w:lang w:eastAsia="cs-CZ"/>
        </w:rPr>
      </w:pPr>
      <w:hyperlink w:anchor="_Toc52532100" w:history="1">
        <w:r w:rsidR="00E105D8" w:rsidRPr="00FC30D0">
          <w:rPr>
            <w:rStyle w:val="Hyperlink"/>
            <w:noProof/>
          </w:rPr>
          <w:t>Tabulka 2 Hlavní zjištění a odpovídající doporučení k úpravě administrativních postupů OP PIK</w:t>
        </w:r>
        <w:r w:rsidR="00E105D8">
          <w:rPr>
            <w:noProof/>
            <w:webHidden/>
          </w:rPr>
          <w:tab/>
        </w:r>
        <w:r w:rsidR="00E105D8">
          <w:rPr>
            <w:noProof/>
            <w:webHidden/>
          </w:rPr>
          <w:fldChar w:fldCharType="begin"/>
        </w:r>
        <w:r w:rsidR="00E105D8">
          <w:rPr>
            <w:noProof/>
            <w:webHidden/>
          </w:rPr>
          <w:instrText xml:space="preserve"> PAGEREF _Toc52532100 \h </w:instrText>
        </w:r>
        <w:r w:rsidR="00E105D8">
          <w:rPr>
            <w:noProof/>
            <w:webHidden/>
          </w:rPr>
        </w:r>
        <w:r w:rsidR="00E105D8">
          <w:rPr>
            <w:noProof/>
            <w:webHidden/>
          </w:rPr>
          <w:fldChar w:fldCharType="separate"/>
        </w:r>
        <w:r w:rsidR="00A65688">
          <w:rPr>
            <w:noProof/>
            <w:webHidden/>
          </w:rPr>
          <w:t>6</w:t>
        </w:r>
        <w:r w:rsidR="00E105D8">
          <w:rPr>
            <w:noProof/>
            <w:webHidden/>
          </w:rPr>
          <w:fldChar w:fldCharType="end"/>
        </w:r>
      </w:hyperlink>
    </w:p>
    <w:p w14:paraId="3863C009" w14:textId="016CFA13" w:rsidR="00E105D8" w:rsidRDefault="00BB343F">
      <w:pPr>
        <w:pStyle w:val="TableofFigures"/>
        <w:tabs>
          <w:tab w:val="right" w:leader="dot" w:pos="9736"/>
        </w:tabs>
        <w:rPr>
          <w:rFonts w:eastAsiaTheme="minorEastAsia"/>
          <w:noProof/>
          <w:sz w:val="22"/>
          <w:lang w:eastAsia="cs-CZ"/>
        </w:rPr>
      </w:pPr>
      <w:hyperlink w:anchor="_Toc52532101" w:history="1">
        <w:r w:rsidR="00E105D8" w:rsidRPr="00FC30D0">
          <w:rPr>
            <w:rStyle w:val="Hyperlink"/>
            <w:noProof/>
          </w:rPr>
          <w:t>Tabulka 3 Finální shrnutí zjištěných nedostatků a návrhy opatření</w:t>
        </w:r>
        <w:r w:rsidR="00E105D8">
          <w:rPr>
            <w:noProof/>
            <w:webHidden/>
          </w:rPr>
          <w:tab/>
        </w:r>
        <w:r w:rsidR="00E105D8">
          <w:rPr>
            <w:noProof/>
            <w:webHidden/>
          </w:rPr>
          <w:fldChar w:fldCharType="begin"/>
        </w:r>
        <w:r w:rsidR="00E105D8">
          <w:rPr>
            <w:noProof/>
            <w:webHidden/>
          </w:rPr>
          <w:instrText xml:space="preserve"> PAGEREF _Toc52532101 \h </w:instrText>
        </w:r>
        <w:r w:rsidR="00E105D8">
          <w:rPr>
            <w:noProof/>
            <w:webHidden/>
          </w:rPr>
        </w:r>
        <w:r w:rsidR="00E105D8">
          <w:rPr>
            <w:noProof/>
            <w:webHidden/>
          </w:rPr>
          <w:fldChar w:fldCharType="separate"/>
        </w:r>
        <w:r w:rsidR="00A65688">
          <w:rPr>
            <w:noProof/>
            <w:webHidden/>
          </w:rPr>
          <w:t>11</w:t>
        </w:r>
        <w:r w:rsidR="00E105D8">
          <w:rPr>
            <w:noProof/>
            <w:webHidden/>
          </w:rPr>
          <w:fldChar w:fldCharType="end"/>
        </w:r>
      </w:hyperlink>
    </w:p>
    <w:p w14:paraId="65CADA4E" w14:textId="457F019D" w:rsidR="00E105D8" w:rsidRDefault="00BB343F">
      <w:pPr>
        <w:pStyle w:val="TableofFigures"/>
        <w:tabs>
          <w:tab w:val="right" w:leader="dot" w:pos="9736"/>
        </w:tabs>
        <w:rPr>
          <w:rFonts w:eastAsiaTheme="minorEastAsia"/>
          <w:noProof/>
          <w:sz w:val="22"/>
          <w:lang w:eastAsia="cs-CZ"/>
        </w:rPr>
      </w:pPr>
      <w:hyperlink w:anchor="_Toc52532102" w:history="1">
        <w:r w:rsidR="00E105D8" w:rsidRPr="00FC30D0">
          <w:rPr>
            <w:rStyle w:val="Hyperlink"/>
            <w:noProof/>
          </w:rPr>
          <w:t>Tabulka 4 Odpovědi k evaluačním otázkám k metodickému prostředí OP PIK</w:t>
        </w:r>
        <w:r w:rsidR="00E105D8">
          <w:rPr>
            <w:noProof/>
            <w:webHidden/>
          </w:rPr>
          <w:tab/>
        </w:r>
        <w:r w:rsidR="00E105D8">
          <w:rPr>
            <w:noProof/>
            <w:webHidden/>
          </w:rPr>
          <w:fldChar w:fldCharType="begin"/>
        </w:r>
        <w:r w:rsidR="00E105D8">
          <w:rPr>
            <w:noProof/>
            <w:webHidden/>
          </w:rPr>
          <w:instrText xml:space="preserve"> PAGEREF _Toc52532102 \h </w:instrText>
        </w:r>
        <w:r w:rsidR="00E105D8">
          <w:rPr>
            <w:noProof/>
            <w:webHidden/>
          </w:rPr>
        </w:r>
        <w:r w:rsidR="00E105D8">
          <w:rPr>
            <w:noProof/>
            <w:webHidden/>
          </w:rPr>
          <w:fldChar w:fldCharType="separate"/>
        </w:r>
        <w:r w:rsidR="00A65688">
          <w:rPr>
            <w:noProof/>
            <w:webHidden/>
          </w:rPr>
          <w:t>24</w:t>
        </w:r>
        <w:r w:rsidR="00E105D8">
          <w:rPr>
            <w:noProof/>
            <w:webHidden/>
          </w:rPr>
          <w:fldChar w:fldCharType="end"/>
        </w:r>
      </w:hyperlink>
    </w:p>
    <w:p w14:paraId="3225D5A7" w14:textId="406DC1BC" w:rsidR="00E105D8" w:rsidRDefault="00BB343F">
      <w:pPr>
        <w:pStyle w:val="TableofFigures"/>
        <w:tabs>
          <w:tab w:val="right" w:leader="dot" w:pos="9736"/>
        </w:tabs>
        <w:rPr>
          <w:rFonts w:eastAsiaTheme="minorEastAsia"/>
          <w:noProof/>
          <w:sz w:val="22"/>
          <w:lang w:eastAsia="cs-CZ"/>
        </w:rPr>
      </w:pPr>
      <w:hyperlink w:anchor="_Toc52532103" w:history="1">
        <w:r w:rsidR="00E105D8" w:rsidRPr="00FC30D0">
          <w:rPr>
            <w:rStyle w:val="Hyperlink"/>
            <w:noProof/>
          </w:rPr>
          <w:t>Tabulka 5 Odpovědi k evaluačním otázkám k implementaci OP PIK</w:t>
        </w:r>
        <w:r w:rsidR="00E105D8">
          <w:rPr>
            <w:noProof/>
            <w:webHidden/>
          </w:rPr>
          <w:tab/>
        </w:r>
        <w:r w:rsidR="00E105D8">
          <w:rPr>
            <w:noProof/>
            <w:webHidden/>
          </w:rPr>
          <w:fldChar w:fldCharType="begin"/>
        </w:r>
        <w:r w:rsidR="00E105D8">
          <w:rPr>
            <w:noProof/>
            <w:webHidden/>
          </w:rPr>
          <w:instrText xml:space="preserve"> PAGEREF _Toc52532103 \h </w:instrText>
        </w:r>
        <w:r w:rsidR="00E105D8">
          <w:rPr>
            <w:noProof/>
            <w:webHidden/>
          </w:rPr>
        </w:r>
        <w:r w:rsidR="00E105D8">
          <w:rPr>
            <w:noProof/>
            <w:webHidden/>
          </w:rPr>
          <w:fldChar w:fldCharType="separate"/>
        </w:r>
        <w:r w:rsidR="00A65688">
          <w:rPr>
            <w:noProof/>
            <w:webHidden/>
          </w:rPr>
          <w:t>27</w:t>
        </w:r>
        <w:r w:rsidR="00E105D8">
          <w:rPr>
            <w:noProof/>
            <w:webHidden/>
          </w:rPr>
          <w:fldChar w:fldCharType="end"/>
        </w:r>
      </w:hyperlink>
    </w:p>
    <w:p w14:paraId="7082300C" w14:textId="7A9D9D3B" w:rsidR="00E105D8" w:rsidRDefault="00BB343F">
      <w:pPr>
        <w:pStyle w:val="TableofFigures"/>
        <w:tabs>
          <w:tab w:val="right" w:leader="dot" w:pos="9736"/>
        </w:tabs>
        <w:rPr>
          <w:rFonts w:eastAsiaTheme="minorEastAsia"/>
          <w:noProof/>
          <w:sz w:val="22"/>
          <w:lang w:eastAsia="cs-CZ"/>
        </w:rPr>
      </w:pPr>
      <w:hyperlink w:anchor="_Toc52532104" w:history="1">
        <w:r w:rsidR="00E105D8" w:rsidRPr="00FC30D0">
          <w:rPr>
            <w:rStyle w:val="Hyperlink"/>
            <w:noProof/>
          </w:rPr>
          <w:t>Tabulka 6 Odpovědi na evaluační otázky ke komunikaci OP PIK</w:t>
        </w:r>
        <w:r w:rsidR="00E105D8">
          <w:rPr>
            <w:noProof/>
            <w:webHidden/>
          </w:rPr>
          <w:tab/>
        </w:r>
        <w:r w:rsidR="00E105D8">
          <w:rPr>
            <w:noProof/>
            <w:webHidden/>
          </w:rPr>
          <w:fldChar w:fldCharType="begin"/>
        </w:r>
        <w:r w:rsidR="00E105D8">
          <w:rPr>
            <w:noProof/>
            <w:webHidden/>
          </w:rPr>
          <w:instrText xml:space="preserve"> PAGEREF _Toc52532104 \h </w:instrText>
        </w:r>
        <w:r w:rsidR="00E105D8">
          <w:rPr>
            <w:noProof/>
            <w:webHidden/>
          </w:rPr>
        </w:r>
        <w:r w:rsidR="00E105D8">
          <w:rPr>
            <w:noProof/>
            <w:webHidden/>
          </w:rPr>
          <w:fldChar w:fldCharType="separate"/>
        </w:r>
        <w:r w:rsidR="00A65688">
          <w:rPr>
            <w:noProof/>
            <w:webHidden/>
          </w:rPr>
          <w:t>33</w:t>
        </w:r>
        <w:r w:rsidR="00E105D8">
          <w:rPr>
            <w:noProof/>
            <w:webHidden/>
          </w:rPr>
          <w:fldChar w:fldCharType="end"/>
        </w:r>
      </w:hyperlink>
    </w:p>
    <w:p w14:paraId="4D7A2808" w14:textId="5E198D2E" w:rsidR="00E105D8" w:rsidRDefault="00BB343F">
      <w:pPr>
        <w:pStyle w:val="TableofFigures"/>
        <w:tabs>
          <w:tab w:val="right" w:leader="dot" w:pos="9736"/>
        </w:tabs>
        <w:rPr>
          <w:rFonts w:eastAsiaTheme="minorEastAsia"/>
          <w:noProof/>
          <w:sz w:val="22"/>
          <w:lang w:eastAsia="cs-CZ"/>
        </w:rPr>
      </w:pPr>
      <w:hyperlink w:anchor="_Toc52532105" w:history="1">
        <w:r w:rsidR="00E105D8" w:rsidRPr="00FC30D0">
          <w:rPr>
            <w:rStyle w:val="Hyperlink"/>
            <w:noProof/>
          </w:rPr>
          <w:t>Tabulka 7 Odpovědi na evaluační otázky z oblasti kontrol a nesrovnalostí</w:t>
        </w:r>
        <w:r w:rsidR="00E105D8">
          <w:rPr>
            <w:noProof/>
            <w:webHidden/>
          </w:rPr>
          <w:tab/>
        </w:r>
        <w:r w:rsidR="00E105D8">
          <w:rPr>
            <w:noProof/>
            <w:webHidden/>
          </w:rPr>
          <w:fldChar w:fldCharType="begin"/>
        </w:r>
        <w:r w:rsidR="00E105D8">
          <w:rPr>
            <w:noProof/>
            <w:webHidden/>
          </w:rPr>
          <w:instrText xml:space="preserve"> PAGEREF _Toc52532105 \h </w:instrText>
        </w:r>
        <w:r w:rsidR="00E105D8">
          <w:rPr>
            <w:noProof/>
            <w:webHidden/>
          </w:rPr>
        </w:r>
        <w:r w:rsidR="00E105D8">
          <w:rPr>
            <w:noProof/>
            <w:webHidden/>
          </w:rPr>
          <w:fldChar w:fldCharType="separate"/>
        </w:r>
        <w:r w:rsidR="00A65688">
          <w:rPr>
            <w:noProof/>
            <w:webHidden/>
          </w:rPr>
          <w:t>35</w:t>
        </w:r>
        <w:r w:rsidR="00E105D8">
          <w:rPr>
            <w:noProof/>
            <w:webHidden/>
          </w:rPr>
          <w:fldChar w:fldCharType="end"/>
        </w:r>
      </w:hyperlink>
    </w:p>
    <w:p w14:paraId="625E957E" w14:textId="7277F0F4" w:rsidR="00E105D8" w:rsidRDefault="00BB343F">
      <w:pPr>
        <w:pStyle w:val="TableofFigures"/>
        <w:tabs>
          <w:tab w:val="right" w:leader="dot" w:pos="9736"/>
        </w:tabs>
        <w:rPr>
          <w:rFonts w:eastAsiaTheme="minorEastAsia"/>
          <w:noProof/>
          <w:sz w:val="22"/>
          <w:lang w:eastAsia="cs-CZ"/>
        </w:rPr>
      </w:pPr>
      <w:hyperlink w:anchor="_Toc52532106" w:history="1">
        <w:r w:rsidR="00E105D8" w:rsidRPr="00FC30D0">
          <w:rPr>
            <w:rStyle w:val="Hyperlink"/>
            <w:noProof/>
          </w:rPr>
          <w:t>Tabulka 8 Optimalizační opatření č. 1: Evidence podnětů metodických změn</w:t>
        </w:r>
        <w:r w:rsidR="00E105D8">
          <w:rPr>
            <w:noProof/>
            <w:webHidden/>
          </w:rPr>
          <w:tab/>
        </w:r>
        <w:r w:rsidR="00E105D8">
          <w:rPr>
            <w:noProof/>
            <w:webHidden/>
          </w:rPr>
          <w:fldChar w:fldCharType="begin"/>
        </w:r>
        <w:r w:rsidR="00E105D8">
          <w:rPr>
            <w:noProof/>
            <w:webHidden/>
          </w:rPr>
          <w:instrText xml:space="preserve"> PAGEREF _Toc52532106 \h </w:instrText>
        </w:r>
        <w:r w:rsidR="00E105D8">
          <w:rPr>
            <w:noProof/>
            <w:webHidden/>
          </w:rPr>
        </w:r>
        <w:r w:rsidR="00E105D8">
          <w:rPr>
            <w:noProof/>
            <w:webHidden/>
          </w:rPr>
          <w:fldChar w:fldCharType="separate"/>
        </w:r>
        <w:r w:rsidR="00A65688">
          <w:rPr>
            <w:noProof/>
            <w:webHidden/>
          </w:rPr>
          <w:t>38</w:t>
        </w:r>
        <w:r w:rsidR="00E105D8">
          <w:rPr>
            <w:noProof/>
            <w:webHidden/>
          </w:rPr>
          <w:fldChar w:fldCharType="end"/>
        </w:r>
      </w:hyperlink>
    </w:p>
    <w:p w14:paraId="6199F3C3" w14:textId="3D0DF45F" w:rsidR="00E105D8" w:rsidRDefault="00BB343F">
      <w:pPr>
        <w:pStyle w:val="TableofFigures"/>
        <w:tabs>
          <w:tab w:val="right" w:leader="dot" w:pos="9736"/>
        </w:tabs>
        <w:rPr>
          <w:rFonts w:eastAsiaTheme="minorEastAsia"/>
          <w:noProof/>
          <w:sz w:val="22"/>
          <w:lang w:eastAsia="cs-CZ"/>
        </w:rPr>
      </w:pPr>
      <w:hyperlink w:anchor="_Toc52532107" w:history="1">
        <w:r w:rsidR="00E105D8" w:rsidRPr="00FC30D0">
          <w:rPr>
            <w:rStyle w:val="Hyperlink"/>
            <w:noProof/>
          </w:rPr>
          <w:t>Tabulka 9 Optimalizační opatření č. 2: Automatická robotizace procesu výpočtu směsných poměrů</w:t>
        </w:r>
        <w:r w:rsidR="00E105D8">
          <w:rPr>
            <w:noProof/>
            <w:webHidden/>
          </w:rPr>
          <w:tab/>
        </w:r>
        <w:r w:rsidR="00E105D8">
          <w:rPr>
            <w:noProof/>
            <w:webHidden/>
          </w:rPr>
          <w:fldChar w:fldCharType="begin"/>
        </w:r>
        <w:r w:rsidR="00E105D8">
          <w:rPr>
            <w:noProof/>
            <w:webHidden/>
          </w:rPr>
          <w:instrText xml:space="preserve"> PAGEREF _Toc52532107 \h </w:instrText>
        </w:r>
        <w:r w:rsidR="00E105D8">
          <w:rPr>
            <w:noProof/>
            <w:webHidden/>
          </w:rPr>
        </w:r>
        <w:r w:rsidR="00E105D8">
          <w:rPr>
            <w:noProof/>
            <w:webHidden/>
          </w:rPr>
          <w:fldChar w:fldCharType="separate"/>
        </w:r>
        <w:r w:rsidR="00A65688">
          <w:rPr>
            <w:noProof/>
            <w:webHidden/>
          </w:rPr>
          <w:t>40</w:t>
        </w:r>
        <w:r w:rsidR="00E105D8">
          <w:rPr>
            <w:noProof/>
            <w:webHidden/>
          </w:rPr>
          <w:fldChar w:fldCharType="end"/>
        </w:r>
      </w:hyperlink>
    </w:p>
    <w:p w14:paraId="6A297CBE" w14:textId="29754774" w:rsidR="00E105D8" w:rsidRDefault="00BB343F">
      <w:pPr>
        <w:pStyle w:val="TableofFigures"/>
        <w:tabs>
          <w:tab w:val="right" w:leader="dot" w:pos="9736"/>
        </w:tabs>
        <w:rPr>
          <w:rFonts w:eastAsiaTheme="minorEastAsia"/>
          <w:noProof/>
          <w:sz w:val="22"/>
          <w:lang w:eastAsia="cs-CZ"/>
        </w:rPr>
      </w:pPr>
      <w:hyperlink w:anchor="_Toc52532108" w:history="1">
        <w:r w:rsidR="00E105D8" w:rsidRPr="00FC30D0">
          <w:rPr>
            <w:rStyle w:val="Hyperlink"/>
            <w:noProof/>
          </w:rPr>
          <w:t>Tabulka 10 Optimalizační opatření č. 3: Úprava podmínek výběrových řízení na dodavatele</w:t>
        </w:r>
        <w:r w:rsidR="00E105D8">
          <w:rPr>
            <w:noProof/>
            <w:webHidden/>
          </w:rPr>
          <w:tab/>
        </w:r>
        <w:r w:rsidR="00E105D8">
          <w:rPr>
            <w:noProof/>
            <w:webHidden/>
          </w:rPr>
          <w:fldChar w:fldCharType="begin"/>
        </w:r>
        <w:r w:rsidR="00E105D8">
          <w:rPr>
            <w:noProof/>
            <w:webHidden/>
          </w:rPr>
          <w:instrText xml:space="preserve"> PAGEREF _Toc52532108 \h </w:instrText>
        </w:r>
        <w:r w:rsidR="00E105D8">
          <w:rPr>
            <w:noProof/>
            <w:webHidden/>
          </w:rPr>
        </w:r>
        <w:r w:rsidR="00E105D8">
          <w:rPr>
            <w:noProof/>
            <w:webHidden/>
          </w:rPr>
          <w:fldChar w:fldCharType="separate"/>
        </w:r>
        <w:r w:rsidR="00A65688">
          <w:rPr>
            <w:noProof/>
            <w:webHidden/>
          </w:rPr>
          <w:t>43</w:t>
        </w:r>
        <w:r w:rsidR="00E105D8">
          <w:rPr>
            <w:noProof/>
            <w:webHidden/>
          </w:rPr>
          <w:fldChar w:fldCharType="end"/>
        </w:r>
      </w:hyperlink>
    </w:p>
    <w:p w14:paraId="54A37D5B" w14:textId="6EF6A17F" w:rsidR="00E105D8" w:rsidRDefault="00BB343F">
      <w:pPr>
        <w:pStyle w:val="TableofFigures"/>
        <w:tabs>
          <w:tab w:val="right" w:leader="dot" w:pos="9736"/>
        </w:tabs>
        <w:rPr>
          <w:rFonts w:eastAsiaTheme="minorEastAsia"/>
          <w:noProof/>
          <w:sz w:val="22"/>
          <w:lang w:eastAsia="cs-CZ"/>
        </w:rPr>
      </w:pPr>
      <w:hyperlink w:anchor="_Toc52532109" w:history="1">
        <w:r w:rsidR="00E105D8" w:rsidRPr="00FC30D0">
          <w:rPr>
            <w:rStyle w:val="Hyperlink"/>
            <w:noProof/>
          </w:rPr>
          <w:t>Tabulka 11 Optimalizační opatření č. 4: Úprava podmínek kontrol na místě a administrace nesrovnalostí</w:t>
        </w:r>
        <w:r w:rsidR="00E105D8">
          <w:rPr>
            <w:noProof/>
            <w:webHidden/>
          </w:rPr>
          <w:tab/>
        </w:r>
        <w:r w:rsidR="00E105D8">
          <w:rPr>
            <w:noProof/>
            <w:webHidden/>
          </w:rPr>
          <w:fldChar w:fldCharType="begin"/>
        </w:r>
        <w:r w:rsidR="00E105D8">
          <w:rPr>
            <w:noProof/>
            <w:webHidden/>
          </w:rPr>
          <w:instrText xml:space="preserve"> PAGEREF _Toc52532109 \h </w:instrText>
        </w:r>
        <w:r w:rsidR="00E105D8">
          <w:rPr>
            <w:noProof/>
            <w:webHidden/>
          </w:rPr>
        </w:r>
        <w:r w:rsidR="00E105D8">
          <w:rPr>
            <w:noProof/>
            <w:webHidden/>
          </w:rPr>
          <w:fldChar w:fldCharType="separate"/>
        </w:r>
        <w:r w:rsidR="00A65688">
          <w:rPr>
            <w:noProof/>
            <w:webHidden/>
          </w:rPr>
          <w:t>46</w:t>
        </w:r>
        <w:r w:rsidR="00E105D8">
          <w:rPr>
            <w:noProof/>
            <w:webHidden/>
          </w:rPr>
          <w:fldChar w:fldCharType="end"/>
        </w:r>
      </w:hyperlink>
    </w:p>
    <w:p w14:paraId="1F0D0153" w14:textId="06E928F2" w:rsidR="00E105D8" w:rsidRDefault="00BB343F">
      <w:pPr>
        <w:pStyle w:val="TableofFigures"/>
        <w:tabs>
          <w:tab w:val="right" w:leader="dot" w:pos="9736"/>
        </w:tabs>
        <w:rPr>
          <w:rFonts w:eastAsiaTheme="minorEastAsia"/>
          <w:noProof/>
          <w:sz w:val="22"/>
          <w:lang w:eastAsia="cs-CZ"/>
        </w:rPr>
      </w:pPr>
      <w:hyperlink w:anchor="_Toc52532110" w:history="1">
        <w:r w:rsidR="00E105D8" w:rsidRPr="00FC30D0">
          <w:rPr>
            <w:rStyle w:val="Hyperlink"/>
            <w:noProof/>
          </w:rPr>
          <w:t>Tabulka 12 Optimalizační opatření č. 5: Zjednodušené hodnocení žádostí</w:t>
        </w:r>
        <w:r w:rsidR="00E105D8">
          <w:rPr>
            <w:noProof/>
            <w:webHidden/>
          </w:rPr>
          <w:tab/>
        </w:r>
        <w:r w:rsidR="00E105D8">
          <w:rPr>
            <w:noProof/>
            <w:webHidden/>
          </w:rPr>
          <w:fldChar w:fldCharType="begin"/>
        </w:r>
        <w:r w:rsidR="00E105D8">
          <w:rPr>
            <w:noProof/>
            <w:webHidden/>
          </w:rPr>
          <w:instrText xml:space="preserve"> PAGEREF _Toc52532110 \h </w:instrText>
        </w:r>
        <w:r w:rsidR="00E105D8">
          <w:rPr>
            <w:noProof/>
            <w:webHidden/>
          </w:rPr>
        </w:r>
        <w:r w:rsidR="00E105D8">
          <w:rPr>
            <w:noProof/>
            <w:webHidden/>
          </w:rPr>
          <w:fldChar w:fldCharType="separate"/>
        </w:r>
        <w:r w:rsidR="00A65688">
          <w:rPr>
            <w:noProof/>
            <w:webHidden/>
          </w:rPr>
          <w:t>50</w:t>
        </w:r>
        <w:r w:rsidR="00E105D8">
          <w:rPr>
            <w:noProof/>
            <w:webHidden/>
          </w:rPr>
          <w:fldChar w:fldCharType="end"/>
        </w:r>
      </w:hyperlink>
    </w:p>
    <w:p w14:paraId="50F88AE4" w14:textId="58AD482A" w:rsidR="00E105D8" w:rsidRDefault="00BB343F">
      <w:pPr>
        <w:pStyle w:val="TableofFigures"/>
        <w:tabs>
          <w:tab w:val="right" w:leader="dot" w:pos="9736"/>
        </w:tabs>
        <w:rPr>
          <w:rFonts w:eastAsiaTheme="minorEastAsia"/>
          <w:noProof/>
          <w:sz w:val="22"/>
          <w:lang w:eastAsia="cs-CZ"/>
        </w:rPr>
      </w:pPr>
      <w:hyperlink w:anchor="_Toc52532111" w:history="1">
        <w:r w:rsidR="00E105D8" w:rsidRPr="00FC30D0">
          <w:rPr>
            <w:rStyle w:val="Hyperlink"/>
            <w:noProof/>
          </w:rPr>
          <w:t>Tabulka 13 Optimalizační opatření č. 6: Navýšení limitů CBA</w:t>
        </w:r>
        <w:r w:rsidR="00E105D8">
          <w:rPr>
            <w:noProof/>
            <w:webHidden/>
          </w:rPr>
          <w:tab/>
        </w:r>
        <w:r w:rsidR="00E105D8">
          <w:rPr>
            <w:noProof/>
            <w:webHidden/>
          </w:rPr>
          <w:fldChar w:fldCharType="begin"/>
        </w:r>
        <w:r w:rsidR="00E105D8">
          <w:rPr>
            <w:noProof/>
            <w:webHidden/>
          </w:rPr>
          <w:instrText xml:space="preserve"> PAGEREF _Toc52532111 \h </w:instrText>
        </w:r>
        <w:r w:rsidR="00E105D8">
          <w:rPr>
            <w:noProof/>
            <w:webHidden/>
          </w:rPr>
        </w:r>
        <w:r w:rsidR="00E105D8">
          <w:rPr>
            <w:noProof/>
            <w:webHidden/>
          </w:rPr>
          <w:fldChar w:fldCharType="separate"/>
        </w:r>
        <w:r w:rsidR="00A65688">
          <w:rPr>
            <w:noProof/>
            <w:webHidden/>
          </w:rPr>
          <w:t>52</w:t>
        </w:r>
        <w:r w:rsidR="00E105D8">
          <w:rPr>
            <w:noProof/>
            <w:webHidden/>
          </w:rPr>
          <w:fldChar w:fldCharType="end"/>
        </w:r>
      </w:hyperlink>
    </w:p>
    <w:p w14:paraId="69F54071" w14:textId="4C46665F" w:rsidR="00E105D8" w:rsidRDefault="00BB343F">
      <w:pPr>
        <w:pStyle w:val="TableofFigures"/>
        <w:tabs>
          <w:tab w:val="right" w:leader="dot" w:pos="9736"/>
        </w:tabs>
        <w:rPr>
          <w:rFonts w:eastAsiaTheme="minorEastAsia"/>
          <w:noProof/>
          <w:sz w:val="22"/>
          <w:lang w:eastAsia="cs-CZ"/>
        </w:rPr>
      </w:pPr>
      <w:hyperlink w:anchor="_Toc52532112" w:history="1">
        <w:r w:rsidR="00E105D8" w:rsidRPr="00FC30D0">
          <w:rPr>
            <w:rStyle w:val="Hyperlink"/>
            <w:noProof/>
          </w:rPr>
          <w:t>Tabulka 14 Respondenti dotazníkového šetření a hloubkových rozhovorů</w:t>
        </w:r>
        <w:r w:rsidR="00E105D8">
          <w:rPr>
            <w:noProof/>
            <w:webHidden/>
          </w:rPr>
          <w:tab/>
        </w:r>
        <w:r w:rsidR="00E105D8">
          <w:rPr>
            <w:noProof/>
            <w:webHidden/>
          </w:rPr>
          <w:fldChar w:fldCharType="begin"/>
        </w:r>
        <w:r w:rsidR="00E105D8">
          <w:rPr>
            <w:noProof/>
            <w:webHidden/>
          </w:rPr>
          <w:instrText xml:space="preserve"> PAGEREF _Toc52532112 \h </w:instrText>
        </w:r>
        <w:r w:rsidR="00E105D8">
          <w:rPr>
            <w:noProof/>
            <w:webHidden/>
          </w:rPr>
        </w:r>
        <w:r w:rsidR="00E105D8">
          <w:rPr>
            <w:noProof/>
            <w:webHidden/>
          </w:rPr>
          <w:fldChar w:fldCharType="separate"/>
        </w:r>
        <w:r w:rsidR="00A65688">
          <w:rPr>
            <w:noProof/>
            <w:webHidden/>
          </w:rPr>
          <w:t>55</w:t>
        </w:r>
        <w:r w:rsidR="00E105D8">
          <w:rPr>
            <w:noProof/>
            <w:webHidden/>
          </w:rPr>
          <w:fldChar w:fldCharType="end"/>
        </w:r>
      </w:hyperlink>
    </w:p>
    <w:p w14:paraId="00B6134F" w14:textId="003627CB" w:rsidR="00E105D8" w:rsidRDefault="00BB343F">
      <w:pPr>
        <w:pStyle w:val="TableofFigures"/>
        <w:tabs>
          <w:tab w:val="right" w:leader="dot" w:pos="9736"/>
        </w:tabs>
        <w:rPr>
          <w:rFonts w:eastAsiaTheme="minorEastAsia"/>
          <w:noProof/>
          <w:sz w:val="22"/>
          <w:lang w:eastAsia="cs-CZ"/>
        </w:rPr>
      </w:pPr>
      <w:hyperlink w:anchor="_Toc52532113" w:history="1">
        <w:r w:rsidR="00E105D8" w:rsidRPr="00FC30D0">
          <w:rPr>
            <w:rStyle w:val="Hyperlink"/>
            <w:noProof/>
          </w:rPr>
          <w:t>Tabulka 15 Přehled zjištěných pochybení a nedostatků příjemců podpory při realizaci projektů</w:t>
        </w:r>
        <w:r w:rsidR="00E105D8">
          <w:rPr>
            <w:noProof/>
            <w:webHidden/>
          </w:rPr>
          <w:tab/>
        </w:r>
        <w:r w:rsidR="00E105D8">
          <w:rPr>
            <w:noProof/>
            <w:webHidden/>
          </w:rPr>
          <w:fldChar w:fldCharType="begin"/>
        </w:r>
        <w:r w:rsidR="00E105D8">
          <w:rPr>
            <w:noProof/>
            <w:webHidden/>
          </w:rPr>
          <w:instrText xml:space="preserve"> PAGEREF _Toc52532113 \h </w:instrText>
        </w:r>
        <w:r w:rsidR="00E105D8">
          <w:rPr>
            <w:noProof/>
            <w:webHidden/>
          </w:rPr>
        </w:r>
        <w:r w:rsidR="00E105D8">
          <w:rPr>
            <w:noProof/>
            <w:webHidden/>
          </w:rPr>
          <w:fldChar w:fldCharType="separate"/>
        </w:r>
        <w:r w:rsidR="00A65688">
          <w:rPr>
            <w:noProof/>
            <w:webHidden/>
          </w:rPr>
          <w:t>57</w:t>
        </w:r>
        <w:r w:rsidR="00E105D8">
          <w:rPr>
            <w:noProof/>
            <w:webHidden/>
          </w:rPr>
          <w:fldChar w:fldCharType="end"/>
        </w:r>
      </w:hyperlink>
    </w:p>
    <w:p w14:paraId="640F7286" w14:textId="7D705B1A" w:rsidR="00E105D8" w:rsidRDefault="00BB343F">
      <w:pPr>
        <w:pStyle w:val="TableofFigures"/>
        <w:tabs>
          <w:tab w:val="right" w:leader="dot" w:pos="9736"/>
        </w:tabs>
        <w:rPr>
          <w:rFonts w:eastAsiaTheme="minorEastAsia"/>
          <w:noProof/>
          <w:sz w:val="22"/>
          <w:lang w:eastAsia="cs-CZ"/>
        </w:rPr>
      </w:pPr>
      <w:hyperlink w:anchor="_Toc52532114" w:history="1">
        <w:r w:rsidR="00E105D8" w:rsidRPr="00FC30D0">
          <w:rPr>
            <w:rStyle w:val="Hyperlink"/>
            <w:noProof/>
          </w:rPr>
          <w:t>Tabulka 16 Přehled procesů s potenciálem využití RPA</w:t>
        </w:r>
        <w:r w:rsidR="00E105D8">
          <w:rPr>
            <w:noProof/>
            <w:webHidden/>
          </w:rPr>
          <w:tab/>
        </w:r>
        <w:r w:rsidR="00E105D8">
          <w:rPr>
            <w:noProof/>
            <w:webHidden/>
          </w:rPr>
          <w:fldChar w:fldCharType="begin"/>
        </w:r>
        <w:r w:rsidR="00E105D8">
          <w:rPr>
            <w:noProof/>
            <w:webHidden/>
          </w:rPr>
          <w:instrText xml:space="preserve"> PAGEREF _Toc52532114 \h </w:instrText>
        </w:r>
        <w:r w:rsidR="00E105D8">
          <w:rPr>
            <w:noProof/>
            <w:webHidden/>
          </w:rPr>
        </w:r>
        <w:r w:rsidR="00E105D8">
          <w:rPr>
            <w:noProof/>
            <w:webHidden/>
          </w:rPr>
          <w:fldChar w:fldCharType="separate"/>
        </w:r>
        <w:r w:rsidR="00A65688">
          <w:rPr>
            <w:noProof/>
            <w:webHidden/>
          </w:rPr>
          <w:t>59</w:t>
        </w:r>
        <w:r w:rsidR="00E105D8">
          <w:rPr>
            <w:noProof/>
            <w:webHidden/>
          </w:rPr>
          <w:fldChar w:fldCharType="end"/>
        </w:r>
      </w:hyperlink>
    </w:p>
    <w:p w14:paraId="460393BE" w14:textId="0F37AA6C" w:rsidR="002E114E" w:rsidRPr="00880699" w:rsidRDefault="00011DA7" w:rsidP="00B71517">
      <w:pPr>
        <w:spacing w:line="240" w:lineRule="auto"/>
        <w:jc w:val="both"/>
        <w:rPr>
          <w:rFonts w:asciiTheme="majorHAnsi" w:hAnsiTheme="majorHAnsi"/>
          <w:highlight w:val="yellow"/>
        </w:rPr>
      </w:pPr>
      <w:r w:rsidRPr="00880699">
        <w:rPr>
          <w:rFonts w:asciiTheme="majorHAnsi" w:hAnsiTheme="majorHAnsi"/>
          <w:highlight w:val="yellow"/>
        </w:rPr>
        <w:fldChar w:fldCharType="end"/>
      </w:r>
      <w:r w:rsidR="002E114E" w:rsidRPr="00880699">
        <w:rPr>
          <w:rFonts w:asciiTheme="majorHAnsi" w:hAnsiTheme="majorHAnsi"/>
          <w:highlight w:val="yellow"/>
        </w:rPr>
        <w:br w:type="page"/>
      </w:r>
    </w:p>
    <w:p w14:paraId="4D68F135" w14:textId="0B67303D" w:rsidR="001D1E13" w:rsidRDefault="001D1E13" w:rsidP="00791621">
      <w:pPr>
        <w:pStyle w:val="Heading1"/>
        <w:spacing w:after="240" w:line="240" w:lineRule="auto"/>
        <w:jc w:val="both"/>
      </w:pPr>
      <w:bookmarkStart w:id="4" w:name="_Toc52532080"/>
      <w:bookmarkStart w:id="5" w:name="_Toc23859664"/>
      <w:r>
        <w:lastRenderedPageBreak/>
        <w:t>Manažerské shrnutí</w:t>
      </w:r>
      <w:bookmarkEnd w:id="4"/>
    </w:p>
    <w:p w14:paraId="65C55417" w14:textId="1BB236CE" w:rsidR="006F38F1" w:rsidRDefault="00B36119" w:rsidP="00B36119">
      <w:pPr>
        <w:spacing w:after="120" w:line="240" w:lineRule="auto"/>
        <w:jc w:val="both"/>
      </w:pPr>
      <w:r w:rsidRPr="00880699">
        <w:t xml:space="preserve">Předkládaná </w:t>
      </w:r>
      <w:r w:rsidR="006F38F1">
        <w:t>Závěrečná zpráva shrnuje</w:t>
      </w:r>
      <w:r w:rsidRPr="00880699">
        <w:t xml:space="preserve"> zjištění analýzy realizované v rámci projektu „</w:t>
      </w:r>
      <w:r w:rsidRPr="00880699">
        <w:rPr>
          <w:b/>
        </w:rPr>
        <w:t>Evaluace administrativních postupů implementační struktury OP PIK</w:t>
      </w:r>
      <w:r w:rsidRPr="00880699">
        <w:t xml:space="preserve">“ (dále také „Projekt“) zpracovávaného pro Ministerstvo průmyslu a obchodu (dále také „MPO“ nebo „Zadavatel“). </w:t>
      </w:r>
      <w:r w:rsidR="006F38F1">
        <w:t>Cílem Evaluace bylo identifikovat nedostatky v procesech administrace OP PIK a navrhnout odpovídající řešení tak, aby mohlo dojít k urychlení administrace podpory a certifikace finančních prostředků.</w:t>
      </w:r>
    </w:p>
    <w:p w14:paraId="2D3C1D3C" w14:textId="539C34FE" w:rsidR="00B36119" w:rsidRPr="00880699" w:rsidRDefault="006F38F1" w:rsidP="00B36119">
      <w:pPr>
        <w:spacing w:after="120" w:line="240" w:lineRule="auto"/>
        <w:jc w:val="both"/>
      </w:pPr>
      <w:r>
        <w:t>Předkládaná z</w:t>
      </w:r>
      <w:r w:rsidR="00B36119">
        <w:t xml:space="preserve">práva </w:t>
      </w:r>
      <w:r w:rsidR="00CA1385">
        <w:t xml:space="preserve">obsahuje hlavní zjištění o </w:t>
      </w:r>
      <w:r>
        <w:t xml:space="preserve">identifikovaných </w:t>
      </w:r>
      <w:r w:rsidR="00CA1385">
        <w:t xml:space="preserve">nedostatcích procesů spojených s administrací podpory OP PIK </w:t>
      </w:r>
      <w:r w:rsidR="00A01FB4">
        <w:t xml:space="preserve">jak </w:t>
      </w:r>
      <w:r w:rsidR="00CA1385">
        <w:t>ze strany implementační struktury</w:t>
      </w:r>
      <w:r w:rsidR="00A01FB4">
        <w:t>, tak ze strany</w:t>
      </w:r>
      <w:r w:rsidR="00CA1385">
        <w:t xml:space="preserve"> žadatelů/příjemců. </w:t>
      </w:r>
      <w:r>
        <w:t>K těmto nedostatkům následně navrhuje opatření k jejich eliminaci. Uvedená zjištění jsou syntézou poznatků získaných triangulací vybraných evaluačních metod</w:t>
      </w:r>
      <w:r w:rsidR="00804B43">
        <w:t xml:space="preserve"> ve všech fázích Evaluace</w:t>
      </w:r>
      <w:r>
        <w:t>, které j</w:t>
      </w:r>
      <w:r w:rsidR="00A01FB4">
        <w:t>sou blíže popsány v kapitole 3. Závěrečná zpráva přináší i odpovědi na evaluační otázky z oblastí metodického prostředí, implementace, komunikace a kontrol a nesrovnalostí. V neposlední řadě obsahuje Záv</w:t>
      </w:r>
      <w:r w:rsidR="004227EE">
        <w:t>ěrečná zpráva detailní analýzu šesti</w:t>
      </w:r>
      <w:r w:rsidR="00A01FB4">
        <w:t xml:space="preserve"> optimalizačních opatření, jak byly vybrány účastníky expertního panelu. </w:t>
      </w:r>
    </w:p>
    <w:p w14:paraId="7C42B031" w14:textId="23B321F3" w:rsidR="00770F2D" w:rsidRPr="0064240C" w:rsidRDefault="0064240C">
      <w:pPr>
        <w:rPr>
          <w:b/>
        </w:rPr>
      </w:pPr>
      <w:r w:rsidRPr="0064240C">
        <w:rPr>
          <w:b/>
        </w:rPr>
        <w:t xml:space="preserve">Přehled </w:t>
      </w:r>
      <w:r w:rsidR="009F252C">
        <w:rPr>
          <w:b/>
        </w:rPr>
        <w:t xml:space="preserve">klíčových </w:t>
      </w:r>
      <w:r w:rsidRPr="0064240C">
        <w:rPr>
          <w:b/>
        </w:rPr>
        <w:t>zjištěn</w:t>
      </w:r>
      <w:r w:rsidR="009F252C">
        <w:rPr>
          <w:b/>
        </w:rPr>
        <w:t xml:space="preserve">í </w:t>
      </w:r>
      <w:r w:rsidRPr="0064240C">
        <w:rPr>
          <w:b/>
        </w:rPr>
        <w:t>a odpovídající návrhy řešení</w:t>
      </w:r>
    </w:p>
    <w:p w14:paraId="086F261F" w14:textId="4316D410" w:rsidR="008E1911" w:rsidRDefault="00770F2D" w:rsidP="00C61330">
      <w:pPr>
        <w:jc w:val="both"/>
      </w:pPr>
      <w:r>
        <w:t xml:space="preserve">Následující tabulka předkládá seznam </w:t>
      </w:r>
      <w:r w:rsidR="008E1911">
        <w:t xml:space="preserve">nejdůležitějších </w:t>
      </w:r>
      <w:r>
        <w:t xml:space="preserve">zjištěných nedostatků, a k nim navrhuje adekvátní řešení s optimálním časovým horizontem. </w:t>
      </w:r>
      <w:r w:rsidR="00825645">
        <w:t xml:space="preserve">Pro zachování komplexnosti Zpracovatel ponechal i vybraná doporučení, která nejsou přímo v gesci MPO, nicméně mohou posloužit jako argument při nastavování administrace operačních programů v dalším programovém období. </w:t>
      </w:r>
    </w:p>
    <w:p w14:paraId="4EB50AAC" w14:textId="69FC1B47" w:rsidR="0064240C" w:rsidRDefault="00E83073">
      <w:r>
        <w:t>Za</w:t>
      </w:r>
      <w:r w:rsidR="00770F2D">
        <w:t xml:space="preserve"> další rozpracování </w:t>
      </w:r>
      <w:r w:rsidR="008021DB">
        <w:t xml:space="preserve">doporučených </w:t>
      </w:r>
      <w:r w:rsidR="00770F2D">
        <w:t>řešení by měly být zodpovědné pracovní s</w:t>
      </w:r>
      <w:r w:rsidR="0064240C">
        <w:t>kupiny, které za tímto účelem Zpraco</w:t>
      </w:r>
      <w:r w:rsidR="00770F2D">
        <w:t xml:space="preserve">vatel navrhuje </w:t>
      </w:r>
      <w:r>
        <w:t xml:space="preserve">ŘO </w:t>
      </w:r>
      <w:r w:rsidR="0064240C">
        <w:t>zřídit a sice:</w:t>
      </w:r>
    </w:p>
    <w:p w14:paraId="10EA2A2D" w14:textId="5F79F651" w:rsidR="0064240C" w:rsidRDefault="0064240C" w:rsidP="00A84E03">
      <w:pPr>
        <w:pStyle w:val="ListParagraph"/>
        <w:numPr>
          <w:ilvl w:val="0"/>
          <w:numId w:val="33"/>
        </w:numPr>
      </w:pPr>
      <w:r>
        <w:t>PS k metodickému prostředí;</w:t>
      </w:r>
    </w:p>
    <w:p w14:paraId="14FAE152" w14:textId="69DB7D83" w:rsidR="0064240C" w:rsidRDefault="0064240C" w:rsidP="00A84E03">
      <w:pPr>
        <w:pStyle w:val="ListParagraph"/>
        <w:numPr>
          <w:ilvl w:val="0"/>
          <w:numId w:val="33"/>
        </w:numPr>
      </w:pPr>
      <w:r>
        <w:t>PS k implementaci;</w:t>
      </w:r>
    </w:p>
    <w:p w14:paraId="52A4CCCB" w14:textId="157694A5" w:rsidR="00B35E32" w:rsidRDefault="0064240C" w:rsidP="00EF3B47">
      <w:pPr>
        <w:pStyle w:val="ListParagraph"/>
        <w:numPr>
          <w:ilvl w:val="0"/>
          <w:numId w:val="33"/>
        </w:numPr>
      </w:pPr>
      <w:r>
        <w:t>PS k informačním systémům, aut</w:t>
      </w:r>
      <w:r w:rsidR="008E1911">
        <w:t>omatizaci a robotizaci</w:t>
      </w:r>
      <w:r w:rsidR="004E1F83">
        <w:t>.</w:t>
      </w:r>
    </w:p>
    <w:p w14:paraId="3E348D3C" w14:textId="4899C5CB" w:rsidR="008021DB" w:rsidRDefault="001F030B" w:rsidP="008021DB">
      <w:r>
        <w:t xml:space="preserve">Kompletní seznam zjištění s doporučeními, včetně vymezení gesce MPO a návrhu rozdělení do pracovních skupin jsou uvedena v tabulce v kapitole 4. </w:t>
      </w:r>
    </w:p>
    <w:p w14:paraId="2DA5D70A" w14:textId="13473DC7" w:rsidR="008E1911" w:rsidRDefault="008E1911" w:rsidP="008E1911">
      <w:pPr>
        <w:pStyle w:val="Caption"/>
      </w:pPr>
      <w:bookmarkStart w:id="6" w:name="_Toc52532100"/>
      <w:r>
        <w:t xml:space="preserve">Tabulka </w:t>
      </w:r>
      <w:r>
        <w:fldChar w:fldCharType="begin"/>
      </w:r>
      <w:r>
        <w:instrText xml:space="preserve"> SEQ Tabulka \* ARABIC </w:instrText>
      </w:r>
      <w:r>
        <w:fldChar w:fldCharType="separate"/>
      </w:r>
      <w:r>
        <w:rPr>
          <w:noProof/>
        </w:rPr>
        <w:t>2</w:t>
      </w:r>
      <w:r>
        <w:fldChar w:fldCharType="end"/>
      </w:r>
      <w:r>
        <w:t xml:space="preserve"> Hlavní zjištění a odpovídající doporučení k úpravě administrativních postupů OP PIK</w:t>
      </w:r>
      <w:bookmarkEnd w:id="6"/>
    </w:p>
    <w:tbl>
      <w:tblPr>
        <w:tblStyle w:val="Deloittetable1"/>
        <w:tblW w:w="5000" w:type="pct"/>
        <w:tblBorders>
          <w:top w:val="single" w:sz="24" w:space="0" w:color="86BC25"/>
          <w:insideV w:val="single" w:sz="4" w:space="0" w:color="D0EC9F" w:themeColor="accent1" w:themeTint="66"/>
        </w:tblBorders>
        <w:tblCellMar>
          <w:top w:w="29" w:type="dxa"/>
          <w:left w:w="29" w:type="dxa"/>
          <w:bottom w:w="29" w:type="dxa"/>
          <w:right w:w="29" w:type="dxa"/>
        </w:tblCellMar>
        <w:tblLook w:val="04A0" w:firstRow="1" w:lastRow="0" w:firstColumn="1" w:lastColumn="0" w:noHBand="0" w:noVBand="1"/>
      </w:tblPr>
      <w:tblGrid>
        <w:gridCol w:w="284"/>
        <w:gridCol w:w="3965"/>
        <w:gridCol w:w="4064"/>
        <w:gridCol w:w="1428"/>
      </w:tblGrid>
      <w:tr w:rsidR="008E1911" w:rsidRPr="006255A6" w14:paraId="5BDDEDC6" w14:textId="77777777" w:rsidTr="1B8B314C">
        <w:trPr>
          <w:cnfStyle w:val="100000000000" w:firstRow="1" w:lastRow="0" w:firstColumn="0" w:lastColumn="0" w:oddVBand="0" w:evenVBand="0" w:oddHBand="0" w:evenHBand="0" w:firstRowFirstColumn="0" w:firstRowLastColumn="0" w:lastRowFirstColumn="0" w:lastRowLastColumn="0"/>
          <w:tblHeader/>
        </w:trPr>
        <w:tc>
          <w:tcPr>
            <w:tcW w:w="146" w:type="pct"/>
            <w:tcBorders>
              <w:left w:val="single" w:sz="4" w:space="0" w:color="D0EC9F" w:themeColor="accent1" w:themeTint="66"/>
              <w:bottom w:val="single" w:sz="6" w:space="0" w:color="D9D9D9" w:themeColor="background1" w:themeShade="D9"/>
              <w:right w:val="single" w:sz="4" w:space="0" w:color="D0EC9F" w:themeColor="accent1" w:themeTint="66"/>
            </w:tcBorders>
          </w:tcPr>
          <w:p w14:paraId="4146B415"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Č.</w:t>
            </w:r>
          </w:p>
        </w:tc>
        <w:tc>
          <w:tcPr>
            <w:tcW w:w="2035" w:type="pct"/>
            <w:tcBorders>
              <w:left w:val="single" w:sz="4" w:space="0" w:color="D0EC9F" w:themeColor="accent1" w:themeTint="66"/>
              <w:bottom w:val="single" w:sz="6" w:space="0" w:color="D9D9D9" w:themeColor="background1" w:themeShade="D9"/>
              <w:right w:val="single" w:sz="4" w:space="0" w:color="D0EC9F" w:themeColor="accent1" w:themeTint="66"/>
            </w:tcBorders>
            <w:hideMark/>
          </w:tcPr>
          <w:p w14:paraId="507769B0"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Identifikovaný nedostatek</w:t>
            </w:r>
          </w:p>
        </w:tc>
        <w:tc>
          <w:tcPr>
            <w:tcW w:w="2086" w:type="pct"/>
            <w:tcBorders>
              <w:left w:val="single" w:sz="4" w:space="0" w:color="D0EC9F" w:themeColor="accent1" w:themeTint="66"/>
              <w:bottom w:val="single" w:sz="6" w:space="0" w:color="D9D9D9" w:themeColor="background1" w:themeShade="D9"/>
              <w:right w:val="single" w:sz="4" w:space="0" w:color="D0EC9F" w:themeColor="accent1" w:themeTint="66"/>
            </w:tcBorders>
            <w:hideMark/>
          </w:tcPr>
          <w:p w14:paraId="101E5989" w14:textId="77777777" w:rsidR="008E1911" w:rsidRPr="006255A6" w:rsidRDefault="008E1911" w:rsidP="00EF3B47">
            <w:pPr>
              <w:spacing w:before="60" w:after="60"/>
              <w:ind w:right="134"/>
              <w:rPr>
                <w:rFonts w:asciiTheme="minorHAnsi" w:hAnsiTheme="minorHAnsi"/>
                <w:sz w:val="16"/>
                <w:szCs w:val="16"/>
              </w:rPr>
            </w:pPr>
            <w:r w:rsidRPr="006255A6">
              <w:rPr>
                <w:rFonts w:asciiTheme="minorHAnsi" w:hAnsiTheme="minorHAnsi"/>
                <w:sz w:val="16"/>
                <w:szCs w:val="16"/>
              </w:rPr>
              <w:t xml:space="preserve">  Návrh řešení</w:t>
            </w:r>
          </w:p>
        </w:tc>
        <w:tc>
          <w:tcPr>
            <w:tcW w:w="733" w:type="pct"/>
            <w:tcBorders>
              <w:left w:val="single" w:sz="4" w:space="0" w:color="D0EC9F" w:themeColor="accent1" w:themeTint="66"/>
              <w:bottom w:val="single" w:sz="6" w:space="0" w:color="D9D9D9" w:themeColor="background1" w:themeShade="D9"/>
              <w:right w:val="nil"/>
            </w:tcBorders>
            <w:hideMark/>
          </w:tcPr>
          <w:p w14:paraId="775D9304"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Časový harmonogram</w:t>
            </w:r>
          </w:p>
        </w:tc>
      </w:tr>
      <w:tr w:rsidR="008E1911" w:rsidRPr="006255A6" w14:paraId="2BA5F5D4"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6BF79F5E" w14:textId="77777777" w:rsidR="008E1911" w:rsidRPr="006255A6" w:rsidRDefault="008E1911" w:rsidP="00EF3B47">
            <w:pPr>
              <w:spacing w:before="60" w:after="60"/>
              <w:rPr>
                <w:rFonts w:asciiTheme="minorHAnsi" w:hAnsiTheme="minorHAnsi"/>
                <w:sz w:val="16"/>
                <w:szCs w:val="16"/>
              </w:rPr>
            </w:pPr>
          </w:p>
        </w:tc>
        <w:tc>
          <w:tcPr>
            <w:tcW w:w="4854" w:type="pct"/>
            <w:gridSpan w:val="3"/>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15A9BC35"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b/>
                <w:sz w:val="16"/>
                <w:szCs w:val="16"/>
              </w:rPr>
              <w:t>Informační systémy</w:t>
            </w:r>
          </w:p>
        </w:tc>
      </w:tr>
      <w:tr w:rsidR="008E1911" w:rsidRPr="006255A6" w14:paraId="13CC593A"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8D47ED0" w14:textId="77777777" w:rsidR="008E1911" w:rsidRPr="006255A6" w:rsidRDefault="008E1911" w:rsidP="00EF3B47">
            <w:pPr>
              <w:spacing w:before="60" w:after="60"/>
              <w:rPr>
                <w:rFonts w:asciiTheme="minorHAnsi" w:hAnsiTheme="minorHAnsi"/>
                <w:sz w:val="16"/>
                <w:szCs w:val="16"/>
                <w:lang w:val="en-US"/>
              </w:rPr>
            </w:pPr>
            <w:r w:rsidRPr="006255A6">
              <w:rPr>
                <w:rFonts w:asciiTheme="minorHAnsi" w:hAnsiTheme="minorHAnsi"/>
                <w:sz w:val="16"/>
                <w:szCs w:val="16"/>
              </w:rPr>
              <w:t>1</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2B11BF44" w14:textId="161C65A3" w:rsidR="008E1911" w:rsidRPr="006255A6" w:rsidRDefault="008E1911" w:rsidP="00EF3B47">
            <w:pPr>
              <w:spacing w:before="60" w:after="60"/>
              <w:rPr>
                <w:rFonts w:asciiTheme="minorHAnsi" w:hAnsiTheme="minorHAnsi"/>
                <w:sz w:val="16"/>
                <w:szCs w:val="16"/>
              </w:rPr>
            </w:pPr>
            <w:r w:rsidRPr="006255A6">
              <w:rPr>
                <w:rFonts w:asciiTheme="minorHAnsi" w:hAnsiTheme="minorHAnsi"/>
                <w:b/>
                <w:sz w:val="16"/>
                <w:szCs w:val="16"/>
              </w:rPr>
              <w:t xml:space="preserve">Nedostatečná funkcionalita vyžadující manuální zpracovávání dat. </w:t>
            </w:r>
            <w:r w:rsidRPr="006255A6">
              <w:rPr>
                <w:rFonts w:asciiTheme="minorHAnsi" w:hAnsiTheme="minorHAnsi"/>
                <w:sz w:val="16"/>
                <w:szCs w:val="16"/>
              </w:rPr>
              <w:t>Např.:</w:t>
            </w:r>
          </w:p>
          <w:p w14:paraId="62E3550A" w14:textId="2AB03ADC" w:rsidR="008E1911" w:rsidRPr="006255A6" w:rsidRDefault="008E1911" w:rsidP="008E1911">
            <w:pPr>
              <w:numPr>
                <w:ilvl w:val="0"/>
                <w:numId w:val="30"/>
              </w:numPr>
              <w:spacing w:before="60" w:after="60"/>
              <w:ind w:left="259" w:hanging="180"/>
              <w:contextualSpacing/>
              <w:rPr>
                <w:rFonts w:asciiTheme="minorHAnsi" w:hAnsiTheme="minorHAnsi"/>
                <w:sz w:val="16"/>
                <w:szCs w:val="16"/>
              </w:rPr>
            </w:pPr>
            <w:r w:rsidRPr="006255A6">
              <w:rPr>
                <w:rFonts w:asciiTheme="minorHAnsi" w:hAnsiTheme="minorHAnsi"/>
                <w:sz w:val="16"/>
                <w:szCs w:val="16"/>
              </w:rPr>
              <w:t xml:space="preserve">KL k RoPD, KL k žádostem o změnu </w:t>
            </w:r>
          </w:p>
          <w:p w14:paraId="46424975" w14:textId="2F6D5678" w:rsidR="008E1911" w:rsidRPr="006255A6" w:rsidRDefault="008E1911" w:rsidP="008E1911">
            <w:pPr>
              <w:numPr>
                <w:ilvl w:val="0"/>
                <w:numId w:val="30"/>
              </w:numPr>
              <w:spacing w:before="60" w:after="60"/>
              <w:ind w:left="259" w:hanging="180"/>
              <w:contextualSpacing/>
              <w:rPr>
                <w:rFonts w:asciiTheme="minorHAnsi" w:hAnsiTheme="minorHAnsi"/>
                <w:sz w:val="16"/>
                <w:szCs w:val="16"/>
              </w:rPr>
            </w:pPr>
            <w:r w:rsidRPr="006255A6">
              <w:rPr>
                <w:rFonts w:asciiTheme="minorHAnsi" w:hAnsiTheme="minorHAnsi"/>
                <w:sz w:val="16"/>
                <w:szCs w:val="16"/>
              </w:rPr>
              <w:t xml:space="preserve">Dodatky k </w:t>
            </w:r>
            <w:r w:rsidR="00C240DA" w:rsidRPr="006255A6">
              <w:rPr>
                <w:rFonts w:asciiTheme="minorHAnsi" w:hAnsiTheme="minorHAnsi"/>
                <w:sz w:val="16"/>
                <w:szCs w:val="16"/>
              </w:rPr>
              <w:t>RoPD</w:t>
            </w:r>
          </w:p>
          <w:p w14:paraId="7808EBC3" w14:textId="293BCD19" w:rsidR="008E1911" w:rsidRPr="006255A6" w:rsidRDefault="008E1911" w:rsidP="008E1911">
            <w:pPr>
              <w:numPr>
                <w:ilvl w:val="0"/>
                <w:numId w:val="30"/>
              </w:numPr>
              <w:spacing w:before="60" w:after="60"/>
              <w:ind w:left="259" w:hanging="180"/>
              <w:contextualSpacing/>
              <w:rPr>
                <w:rFonts w:asciiTheme="minorHAnsi" w:hAnsiTheme="minorHAnsi"/>
                <w:sz w:val="16"/>
                <w:szCs w:val="16"/>
              </w:rPr>
            </w:pPr>
            <w:r w:rsidRPr="006255A6">
              <w:rPr>
                <w:rFonts w:asciiTheme="minorHAnsi" w:hAnsiTheme="minorHAnsi"/>
                <w:sz w:val="16"/>
                <w:szCs w:val="16"/>
              </w:rPr>
              <w:t xml:space="preserve">Podklady pro výběrovou komisi </w:t>
            </w:r>
          </w:p>
          <w:p w14:paraId="09498504" w14:textId="7637F2D3" w:rsidR="008E1911" w:rsidRPr="006255A6" w:rsidRDefault="008E1911" w:rsidP="008E1911">
            <w:pPr>
              <w:numPr>
                <w:ilvl w:val="0"/>
                <w:numId w:val="30"/>
              </w:numPr>
              <w:spacing w:before="60" w:after="60"/>
              <w:ind w:left="259" w:hanging="180"/>
              <w:contextualSpacing/>
              <w:rPr>
                <w:rFonts w:asciiTheme="minorHAnsi" w:hAnsiTheme="minorHAnsi"/>
                <w:sz w:val="16"/>
                <w:szCs w:val="16"/>
              </w:rPr>
            </w:pPr>
            <w:r w:rsidRPr="006255A6">
              <w:rPr>
                <w:rFonts w:asciiTheme="minorHAnsi" w:hAnsiTheme="minorHAnsi"/>
                <w:sz w:val="16"/>
                <w:szCs w:val="16"/>
              </w:rPr>
              <w:t>Nedostatek šablon</w:t>
            </w:r>
          </w:p>
          <w:p w14:paraId="64809097" w14:textId="4404329F" w:rsidR="008E1911" w:rsidRPr="006255A6" w:rsidRDefault="00E83073" w:rsidP="008E1911">
            <w:pPr>
              <w:numPr>
                <w:ilvl w:val="0"/>
                <w:numId w:val="30"/>
              </w:numPr>
              <w:spacing w:before="60" w:after="60"/>
              <w:ind w:left="259" w:hanging="180"/>
              <w:contextualSpacing/>
              <w:rPr>
                <w:rFonts w:asciiTheme="minorHAnsi" w:hAnsiTheme="minorHAnsi"/>
                <w:sz w:val="16"/>
                <w:szCs w:val="16"/>
              </w:rPr>
            </w:pPr>
            <w:r w:rsidRPr="006255A6">
              <w:rPr>
                <w:rFonts w:asciiTheme="minorHAnsi" w:hAnsiTheme="minorHAnsi"/>
                <w:sz w:val="16"/>
                <w:szCs w:val="16"/>
              </w:rPr>
              <w:t>Notifikace příjemce nejsou dostatečně efektivní, jsou zasílány pouze formou depeší do ISKP2014+</w:t>
            </w:r>
          </w:p>
          <w:p w14:paraId="3337DC27" w14:textId="7016D0EE" w:rsidR="008E1911" w:rsidRPr="006255A6" w:rsidRDefault="008E1911" w:rsidP="008E1911">
            <w:pPr>
              <w:numPr>
                <w:ilvl w:val="0"/>
                <w:numId w:val="30"/>
              </w:numPr>
              <w:spacing w:before="60" w:after="60"/>
              <w:ind w:left="259" w:hanging="180"/>
              <w:contextualSpacing/>
              <w:rPr>
                <w:rFonts w:asciiTheme="minorHAnsi" w:hAnsiTheme="minorHAnsi"/>
                <w:sz w:val="16"/>
                <w:szCs w:val="16"/>
              </w:rPr>
            </w:pPr>
            <w:r w:rsidRPr="006255A6">
              <w:rPr>
                <w:rFonts w:asciiTheme="minorHAnsi" w:hAnsiTheme="minorHAnsi"/>
                <w:sz w:val="16"/>
                <w:szCs w:val="16"/>
              </w:rPr>
              <w:t xml:space="preserve">Administrativní ověření </w:t>
            </w:r>
          </w:p>
          <w:p w14:paraId="0105A235" w14:textId="3C5BB698" w:rsidR="008E1911" w:rsidRPr="006255A6" w:rsidRDefault="008E1911" w:rsidP="008E1911">
            <w:pPr>
              <w:numPr>
                <w:ilvl w:val="0"/>
                <w:numId w:val="30"/>
              </w:numPr>
              <w:spacing w:before="60" w:after="60"/>
              <w:ind w:left="259" w:hanging="180"/>
              <w:contextualSpacing/>
              <w:rPr>
                <w:rFonts w:asciiTheme="minorHAnsi" w:hAnsiTheme="minorHAnsi"/>
                <w:sz w:val="16"/>
                <w:szCs w:val="16"/>
              </w:rPr>
            </w:pPr>
            <w:r w:rsidRPr="006255A6">
              <w:rPr>
                <w:rFonts w:asciiTheme="minorHAnsi" w:hAnsiTheme="minorHAnsi"/>
                <w:sz w:val="16"/>
                <w:szCs w:val="16"/>
              </w:rPr>
              <w:t xml:space="preserve">Generování seznamů, sestav, statistik </w:t>
            </w:r>
          </w:p>
          <w:p w14:paraId="502C7D28" w14:textId="2578BF6F" w:rsidR="008E1911" w:rsidRPr="006255A6" w:rsidRDefault="008E1911" w:rsidP="008E1911">
            <w:pPr>
              <w:numPr>
                <w:ilvl w:val="0"/>
                <w:numId w:val="30"/>
              </w:numPr>
              <w:spacing w:before="60" w:after="60"/>
              <w:ind w:left="259" w:hanging="180"/>
              <w:contextualSpacing/>
              <w:rPr>
                <w:rFonts w:asciiTheme="minorHAnsi" w:hAnsiTheme="minorHAnsi"/>
                <w:sz w:val="16"/>
                <w:szCs w:val="16"/>
              </w:rPr>
            </w:pPr>
            <w:r w:rsidRPr="006255A6">
              <w:rPr>
                <w:rFonts w:asciiTheme="minorHAnsi" w:hAnsiTheme="minorHAnsi"/>
                <w:sz w:val="16"/>
                <w:szCs w:val="16"/>
              </w:rPr>
              <w:t>Výpočet směsných poměrů</w:t>
            </w:r>
          </w:p>
          <w:p w14:paraId="55CA4052" w14:textId="6541B41A" w:rsidR="008E1911" w:rsidRPr="006255A6" w:rsidRDefault="008E1911" w:rsidP="008E1911">
            <w:pPr>
              <w:numPr>
                <w:ilvl w:val="0"/>
                <w:numId w:val="30"/>
              </w:numPr>
              <w:spacing w:before="60" w:after="60"/>
              <w:ind w:left="259" w:hanging="180"/>
              <w:contextualSpacing/>
              <w:rPr>
                <w:rFonts w:asciiTheme="minorHAnsi" w:hAnsiTheme="minorHAnsi"/>
                <w:b/>
                <w:sz w:val="16"/>
                <w:szCs w:val="16"/>
              </w:rPr>
            </w:pPr>
            <w:r w:rsidRPr="006255A6">
              <w:rPr>
                <w:rFonts w:asciiTheme="minorHAnsi" w:hAnsiTheme="minorHAnsi"/>
                <w:sz w:val="16"/>
                <w:szCs w:val="16"/>
              </w:rPr>
              <w:t xml:space="preserve">Kontrola </w:t>
            </w:r>
            <w:r w:rsidR="00825645" w:rsidRPr="006255A6">
              <w:rPr>
                <w:rFonts w:asciiTheme="minorHAnsi" w:hAnsiTheme="minorHAnsi"/>
                <w:sz w:val="16"/>
                <w:szCs w:val="16"/>
              </w:rPr>
              <w:t>ŽoPl</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B127875"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Detailní analýza absentujících funkcionalit MS2014+ a ISKP14+ a vytvoření seznamu požadavků na nový monitorovací systém.</w:t>
            </w:r>
          </w:p>
          <w:p w14:paraId="3AF3ACA7" w14:textId="25344C35" w:rsidR="00346878" w:rsidRPr="006255A6" w:rsidRDefault="00346878" w:rsidP="00346878">
            <w:pPr>
              <w:spacing w:before="60" w:after="60"/>
              <w:ind w:left="44" w:right="134"/>
              <w:rPr>
                <w:rFonts w:asciiTheme="minorHAnsi" w:hAnsiTheme="minorHAnsi"/>
                <w:sz w:val="16"/>
                <w:szCs w:val="16"/>
                <w:u w:val="single"/>
              </w:rPr>
            </w:pPr>
            <w:r w:rsidRPr="006255A6">
              <w:rPr>
                <w:rFonts w:asciiTheme="minorHAnsi" w:hAnsiTheme="minorHAnsi"/>
                <w:sz w:val="16"/>
                <w:szCs w:val="16"/>
                <w:u w:val="single"/>
              </w:rPr>
              <w:t>Rozvojové požadavky na systém MS2014+</w:t>
            </w:r>
            <w:r w:rsidR="00C33B8B" w:rsidRPr="006255A6">
              <w:rPr>
                <w:rFonts w:asciiTheme="minorHAnsi" w:hAnsiTheme="minorHAnsi"/>
                <w:sz w:val="16"/>
                <w:szCs w:val="16"/>
                <w:u w:val="single"/>
              </w:rPr>
              <w:t xml:space="preserve"> vyplývající z této analýzy</w:t>
            </w:r>
            <w:r w:rsidRPr="006255A6">
              <w:rPr>
                <w:rFonts w:asciiTheme="minorHAnsi" w:hAnsiTheme="minorHAnsi"/>
                <w:sz w:val="16"/>
                <w:szCs w:val="16"/>
                <w:u w:val="single"/>
              </w:rPr>
              <w:t>:</w:t>
            </w:r>
          </w:p>
          <w:p w14:paraId="1EA40536" w14:textId="05F8F5A0" w:rsidR="008E1911" w:rsidRPr="006255A6" w:rsidRDefault="008E1911" w:rsidP="008E1911">
            <w:pPr>
              <w:pStyle w:val="ListParagraph"/>
              <w:numPr>
                <w:ilvl w:val="0"/>
                <w:numId w:val="31"/>
              </w:numPr>
              <w:spacing w:before="60" w:after="60"/>
              <w:ind w:left="224" w:right="134" w:hanging="180"/>
              <w:rPr>
                <w:rFonts w:asciiTheme="minorHAnsi" w:hAnsiTheme="minorHAnsi"/>
                <w:b/>
                <w:sz w:val="16"/>
                <w:szCs w:val="16"/>
              </w:rPr>
            </w:pPr>
            <w:r w:rsidRPr="006255A6">
              <w:rPr>
                <w:rFonts w:asciiTheme="minorHAnsi" w:hAnsiTheme="minorHAnsi"/>
                <w:b/>
                <w:sz w:val="16"/>
                <w:szCs w:val="16"/>
              </w:rPr>
              <w:t>Zrušení záložky „Administrativního ověření“.</w:t>
            </w:r>
          </w:p>
          <w:p w14:paraId="1568A0E4"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Automatické předvyplňování a překopírovávání údajů</w:t>
            </w:r>
            <w:r w:rsidRPr="006255A6">
              <w:rPr>
                <w:rFonts w:asciiTheme="minorHAnsi" w:hAnsiTheme="minorHAnsi"/>
                <w:sz w:val="16"/>
                <w:szCs w:val="16"/>
              </w:rPr>
              <w:t xml:space="preserve"> v systému MS (např. NACE, NUT, datum podpisu RoPD, odůvodnění sankce).</w:t>
            </w:r>
          </w:p>
          <w:p w14:paraId="69F10E1D"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Automatické generování předvyplněných dokumentů, KL.</w:t>
            </w:r>
          </w:p>
          <w:p w14:paraId="5FB74CB8"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Zefektivnění přechodu stavu</w:t>
            </w:r>
            <w:r w:rsidRPr="006255A6">
              <w:rPr>
                <w:rFonts w:asciiTheme="minorHAnsi" w:hAnsiTheme="minorHAnsi"/>
                <w:sz w:val="16"/>
                <w:szCs w:val="16"/>
              </w:rPr>
              <w:t xml:space="preserve"> v MS2014+ navázané na konkrétní úkon, např. provázání generování detailu plateb na přechod stavu. </w:t>
            </w:r>
          </w:p>
          <w:p w14:paraId="1607150C"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 xml:space="preserve">Zefektivnění výběru adresátů (místo zaklikávání jednotlivých adresátů dát možnost „všem“) a automatizace odesílatele u depeších. </w:t>
            </w:r>
          </w:p>
          <w:p w14:paraId="28BF3DE9" w14:textId="28F3C0E4"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lastRenderedPageBreak/>
              <w:t>Efektivnější tvorba statistik a export sestav z MS2014+.</w:t>
            </w:r>
          </w:p>
          <w:p w14:paraId="2A3BC03F" w14:textId="782049F2" w:rsidR="00346878" w:rsidRPr="006255A6" w:rsidRDefault="00346878" w:rsidP="00346878">
            <w:pPr>
              <w:spacing w:before="60" w:after="60"/>
              <w:ind w:right="134"/>
              <w:rPr>
                <w:rFonts w:asciiTheme="minorHAnsi" w:hAnsiTheme="minorHAnsi"/>
                <w:sz w:val="16"/>
                <w:szCs w:val="16"/>
                <w:u w:val="single"/>
              </w:rPr>
            </w:pPr>
            <w:r w:rsidRPr="006255A6">
              <w:rPr>
                <w:rFonts w:asciiTheme="minorHAnsi" w:hAnsiTheme="minorHAnsi"/>
                <w:sz w:val="16"/>
                <w:szCs w:val="16"/>
                <w:u w:val="single"/>
              </w:rPr>
              <w:t>Rozvoj mimo systém MS2014+:</w:t>
            </w:r>
          </w:p>
          <w:p w14:paraId="4BB6D13C" w14:textId="26FDA9BE" w:rsidR="008E1911" w:rsidRPr="006255A6" w:rsidRDefault="008E1911" w:rsidP="008E1911">
            <w:pPr>
              <w:pStyle w:val="ListParagraph"/>
              <w:numPr>
                <w:ilvl w:val="0"/>
                <w:numId w:val="31"/>
              </w:numPr>
              <w:spacing w:before="60" w:after="60"/>
              <w:ind w:left="224" w:right="134" w:hanging="180"/>
              <w:rPr>
                <w:rFonts w:asciiTheme="minorHAnsi" w:hAnsiTheme="minorHAnsi"/>
                <w:b/>
                <w:sz w:val="16"/>
                <w:szCs w:val="16"/>
              </w:rPr>
            </w:pPr>
            <w:r w:rsidRPr="006255A6">
              <w:rPr>
                <w:rFonts w:asciiTheme="minorHAnsi" w:hAnsiTheme="minorHAnsi"/>
                <w:b/>
                <w:sz w:val="16"/>
                <w:szCs w:val="16"/>
              </w:rPr>
              <w:t xml:space="preserve">Aplikace </w:t>
            </w:r>
            <w:r w:rsidR="00346878" w:rsidRPr="006255A6">
              <w:rPr>
                <w:rFonts w:asciiTheme="minorHAnsi" w:hAnsiTheme="minorHAnsi"/>
                <w:b/>
                <w:sz w:val="16"/>
                <w:szCs w:val="16"/>
              </w:rPr>
              <w:t>robotické automatizace procesů (RPA)</w:t>
            </w:r>
            <w:r w:rsidRPr="006255A6">
              <w:rPr>
                <w:rFonts w:asciiTheme="minorHAnsi" w:hAnsiTheme="minorHAnsi"/>
                <w:b/>
                <w:sz w:val="16"/>
                <w:szCs w:val="16"/>
              </w:rPr>
              <w:t xml:space="preserve"> na vybrané procesy</w:t>
            </w:r>
            <w:r w:rsidR="009D194A" w:rsidRPr="006255A6">
              <w:rPr>
                <w:rFonts w:asciiTheme="minorHAnsi" w:hAnsiTheme="minorHAnsi"/>
                <w:b/>
                <w:sz w:val="16"/>
                <w:szCs w:val="16"/>
              </w:rPr>
              <w:t>.</w:t>
            </w:r>
          </w:p>
          <w:p w14:paraId="3F85D07A" w14:textId="2D80ED68" w:rsidR="008E1911" w:rsidRPr="006255A6" w:rsidRDefault="00346878" w:rsidP="007E56FE">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RPA na ověřování dat v</w:t>
            </w:r>
            <w:r w:rsidR="009D194A" w:rsidRPr="006255A6">
              <w:rPr>
                <w:rFonts w:asciiTheme="minorHAnsi" w:hAnsiTheme="minorHAnsi"/>
                <w:b/>
                <w:sz w:val="16"/>
                <w:szCs w:val="16"/>
              </w:rPr>
              <w:t> </w:t>
            </w:r>
            <w:r w:rsidR="008E1911" w:rsidRPr="006255A6">
              <w:rPr>
                <w:rFonts w:asciiTheme="minorHAnsi" w:hAnsiTheme="minorHAnsi"/>
                <w:b/>
                <w:sz w:val="16"/>
                <w:szCs w:val="16"/>
              </w:rPr>
              <w:t>centrální</w:t>
            </w:r>
            <w:r w:rsidRPr="006255A6">
              <w:rPr>
                <w:rFonts w:asciiTheme="minorHAnsi" w:hAnsiTheme="minorHAnsi"/>
                <w:b/>
                <w:sz w:val="16"/>
                <w:szCs w:val="16"/>
              </w:rPr>
              <w:t>ch</w:t>
            </w:r>
            <w:r w:rsidR="008E1911" w:rsidRPr="006255A6">
              <w:rPr>
                <w:rFonts w:asciiTheme="minorHAnsi" w:hAnsiTheme="minorHAnsi"/>
                <w:b/>
                <w:sz w:val="16"/>
                <w:szCs w:val="16"/>
              </w:rPr>
              <w:t xml:space="preserve"> registr</w:t>
            </w:r>
            <w:r w:rsidRPr="006255A6">
              <w:rPr>
                <w:rFonts w:asciiTheme="minorHAnsi" w:hAnsiTheme="minorHAnsi"/>
                <w:b/>
                <w:sz w:val="16"/>
                <w:szCs w:val="16"/>
              </w:rPr>
              <w:t>ech</w:t>
            </w:r>
            <w:r w:rsidR="009D194A" w:rsidRPr="006255A6">
              <w:rPr>
                <w:rFonts w:asciiTheme="minorHAnsi" w:hAnsiTheme="minorHAnsi"/>
                <w:sz w:val="16"/>
                <w:szCs w:val="16"/>
              </w:rPr>
              <w:t>.</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0B9B9E75"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lastRenderedPageBreak/>
              <w:t>Krátkodobý horizont pro aplikaci RPA</w:t>
            </w:r>
          </w:p>
          <w:p w14:paraId="6C1AA294" w14:textId="77777777" w:rsidR="008E1911" w:rsidRPr="006255A6" w:rsidRDefault="008E1911" w:rsidP="00EF3B47">
            <w:pPr>
              <w:spacing w:before="60" w:after="60"/>
              <w:rPr>
                <w:rFonts w:asciiTheme="minorHAnsi" w:hAnsiTheme="minorHAnsi"/>
                <w:sz w:val="16"/>
                <w:szCs w:val="16"/>
              </w:rPr>
            </w:pPr>
          </w:p>
          <w:p w14:paraId="54DBEAD2"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Příští programové období pro nastavení nového MS</w:t>
            </w:r>
          </w:p>
        </w:tc>
      </w:tr>
      <w:tr w:rsidR="008E1911" w:rsidRPr="006255A6" w14:paraId="1E5CF609"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2187BEDE" w14:textId="77777777" w:rsidR="008E1911" w:rsidRPr="006255A6" w:rsidRDefault="008E1911" w:rsidP="00EF3B47">
            <w:pPr>
              <w:spacing w:before="60" w:after="60"/>
              <w:rPr>
                <w:rFonts w:asciiTheme="minorHAnsi" w:hAnsiTheme="minorHAnsi"/>
                <w:sz w:val="16"/>
                <w:szCs w:val="16"/>
              </w:rPr>
            </w:pPr>
          </w:p>
        </w:tc>
        <w:tc>
          <w:tcPr>
            <w:tcW w:w="4854" w:type="pct"/>
            <w:gridSpan w:val="3"/>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6FB21859"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b/>
                <w:sz w:val="16"/>
                <w:szCs w:val="16"/>
              </w:rPr>
              <w:t>Metodické prostředí</w:t>
            </w:r>
          </w:p>
        </w:tc>
      </w:tr>
      <w:tr w:rsidR="008E1911" w:rsidRPr="006255A6" w14:paraId="5C3A6336"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F5779BA"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2</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9E5D932" w14:textId="64BC6042" w:rsidR="008E1911" w:rsidRPr="006255A6" w:rsidRDefault="008E1911" w:rsidP="009A7493">
            <w:pPr>
              <w:spacing w:before="60" w:after="60"/>
              <w:rPr>
                <w:rFonts w:asciiTheme="minorHAnsi" w:hAnsiTheme="minorHAnsi"/>
                <w:b/>
                <w:sz w:val="16"/>
                <w:szCs w:val="16"/>
              </w:rPr>
            </w:pPr>
            <w:r w:rsidRPr="006255A6">
              <w:rPr>
                <w:rFonts w:asciiTheme="minorHAnsi" w:hAnsiTheme="minorHAnsi"/>
                <w:b/>
                <w:sz w:val="16"/>
                <w:szCs w:val="16"/>
              </w:rPr>
              <w:t xml:space="preserve">Měnící se výklad pravidel ze strany ZS/ŘO v průběhu realizace podpořeného projektu, respektive absence závazných vyjádření a sjednocených pravidel. </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1CA1A1F" w14:textId="1E71FF05" w:rsidR="008E1911" w:rsidRPr="006255A6" w:rsidRDefault="008E1911" w:rsidP="007E56FE">
            <w:pPr>
              <w:pStyle w:val="ListParagraph"/>
              <w:numPr>
                <w:ilvl w:val="0"/>
                <w:numId w:val="31"/>
              </w:numPr>
              <w:spacing w:before="60" w:after="60"/>
              <w:ind w:left="224" w:hanging="180"/>
              <w:rPr>
                <w:rFonts w:asciiTheme="minorHAnsi" w:hAnsiTheme="minorHAnsi"/>
                <w:sz w:val="16"/>
                <w:szCs w:val="16"/>
              </w:rPr>
            </w:pPr>
            <w:r w:rsidRPr="006255A6">
              <w:rPr>
                <w:rFonts w:asciiTheme="minorHAnsi" w:hAnsiTheme="minorHAnsi"/>
                <w:b/>
                <w:sz w:val="16"/>
                <w:szCs w:val="16"/>
              </w:rPr>
              <w:t xml:space="preserve">Zavést závazný charakter rozhodnutí, stanovisek ZS/ŘO (např. k VŘ, podnikatelskému záměru), který nelze zpětně měnit. </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5158F1A0"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Krátkodobý horizont</w:t>
            </w:r>
          </w:p>
        </w:tc>
      </w:tr>
      <w:tr w:rsidR="008E1911" w:rsidRPr="006255A6" w14:paraId="59B72260"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99D88EF" w14:textId="1651317E" w:rsidR="008E1911" w:rsidRPr="006255A6" w:rsidRDefault="002B3DD3" w:rsidP="00EF3B47">
            <w:pPr>
              <w:spacing w:before="60" w:after="60"/>
              <w:rPr>
                <w:rFonts w:asciiTheme="minorHAnsi" w:hAnsiTheme="minorHAnsi"/>
                <w:sz w:val="16"/>
                <w:szCs w:val="16"/>
              </w:rPr>
            </w:pPr>
            <w:r w:rsidRPr="006255A6">
              <w:rPr>
                <w:rFonts w:asciiTheme="minorHAnsi" w:hAnsiTheme="minorHAnsi"/>
                <w:sz w:val="16"/>
                <w:szCs w:val="16"/>
              </w:rPr>
              <w:t>3</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B9AFE82" w14:textId="2FC19313" w:rsidR="008E1911" w:rsidRPr="006255A6" w:rsidRDefault="008E1911" w:rsidP="007E56FE">
            <w:pPr>
              <w:spacing w:before="60" w:after="60"/>
              <w:rPr>
                <w:rFonts w:asciiTheme="minorHAnsi" w:hAnsiTheme="minorHAnsi"/>
                <w:sz w:val="16"/>
                <w:szCs w:val="16"/>
              </w:rPr>
            </w:pPr>
            <w:r w:rsidRPr="006255A6">
              <w:rPr>
                <w:rFonts w:asciiTheme="minorHAnsi" w:hAnsiTheme="minorHAnsi"/>
                <w:b/>
                <w:sz w:val="16"/>
                <w:szCs w:val="16"/>
              </w:rPr>
              <w:t>Složitost metodického prostředí</w:t>
            </w:r>
            <w:r w:rsidRPr="006255A6">
              <w:rPr>
                <w:rFonts w:asciiTheme="minorHAnsi" w:hAnsiTheme="minorHAnsi"/>
                <w:sz w:val="16"/>
                <w:szCs w:val="16"/>
              </w:rPr>
              <w:t xml:space="preserve"> </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4229839" w14:textId="6DC78B79" w:rsidR="008E1911" w:rsidRPr="006255A6" w:rsidRDefault="008E1911" w:rsidP="007E56FE">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 xml:space="preserve">Zavedení evidence podnětů </w:t>
            </w:r>
            <w:r w:rsidRPr="006255A6">
              <w:rPr>
                <w:rFonts w:asciiTheme="minorHAnsi" w:hAnsiTheme="minorHAnsi"/>
                <w:sz w:val="16"/>
                <w:szCs w:val="16"/>
              </w:rPr>
              <w:t>za účelem sledování a prioritizace metodických změn</w:t>
            </w:r>
            <w:r w:rsidR="008A362D" w:rsidRPr="006255A6">
              <w:rPr>
                <w:rFonts w:asciiTheme="minorHAnsi" w:hAnsiTheme="minorHAnsi"/>
                <w:sz w:val="16"/>
                <w:szCs w:val="16"/>
              </w:rPr>
              <w:t>.</w:t>
            </w:r>
            <w:r w:rsidRPr="006255A6">
              <w:rPr>
                <w:rFonts w:asciiTheme="minorHAnsi" w:hAnsiTheme="minorHAnsi"/>
                <w:sz w:val="16"/>
                <w:szCs w:val="16"/>
              </w:rPr>
              <w:t xml:space="preserve"> </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0E3671C4" w14:textId="77777777" w:rsidR="008E1911" w:rsidRPr="006255A6" w:rsidRDefault="008E1911" w:rsidP="00EF3B47">
            <w:pPr>
              <w:spacing w:before="60" w:after="60"/>
              <w:rPr>
                <w:rFonts w:asciiTheme="minorHAnsi" w:hAnsiTheme="minorHAnsi"/>
                <w:sz w:val="16"/>
                <w:szCs w:val="16"/>
              </w:rPr>
            </w:pPr>
          </w:p>
        </w:tc>
      </w:tr>
      <w:tr w:rsidR="008E1911" w:rsidRPr="006255A6" w14:paraId="62A6114C" w14:textId="77777777" w:rsidTr="1B8B314C">
        <w:trPr>
          <w:trHeight w:val="312"/>
        </w:trPr>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61AEA33A" w14:textId="77777777" w:rsidR="008E1911" w:rsidRPr="006255A6" w:rsidRDefault="008E1911" w:rsidP="00EF3B47">
            <w:pPr>
              <w:spacing w:before="60" w:after="60"/>
              <w:rPr>
                <w:rFonts w:asciiTheme="minorHAnsi" w:hAnsiTheme="minorHAnsi"/>
                <w:sz w:val="16"/>
                <w:szCs w:val="16"/>
              </w:rPr>
            </w:pPr>
          </w:p>
        </w:tc>
        <w:tc>
          <w:tcPr>
            <w:tcW w:w="4854" w:type="pct"/>
            <w:gridSpan w:val="3"/>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03B8C68F"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b/>
                <w:sz w:val="16"/>
                <w:szCs w:val="16"/>
              </w:rPr>
              <w:t>Implementace</w:t>
            </w:r>
          </w:p>
        </w:tc>
      </w:tr>
      <w:tr w:rsidR="008E1911" w:rsidRPr="006255A6" w14:paraId="61C09E10" w14:textId="77777777" w:rsidTr="1B8B314C">
        <w:trPr>
          <w:trHeight w:val="1580"/>
        </w:trPr>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7F2770A" w14:textId="1B3E9DA4" w:rsidR="008E1911" w:rsidRPr="006255A6" w:rsidRDefault="002B3DD3" w:rsidP="00EF3B47">
            <w:pPr>
              <w:spacing w:before="60" w:after="60"/>
              <w:rPr>
                <w:rFonts w:asciiTheme="minorHAnsi" w:hAnsiTheme="minorHAnsi"/>
                <w:sz w:val="16"/>
                <w:szCs w:val="16"/>
              </w:rPr>
            </w:pPr>
            <w:r w:rsidRPr="006255A6">
              <w:rPr>
                <w:rFonts w:asciiTheme="minorHAnsi" w:hAnsiTheme="minorHAnsi"/>
                <w:sz w:val="16"/>
                <w:szCs w:val="16"/>
              </w:rPr>
              <w:t>4</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4BCD79B9" w14:textId="42A5EA34" w:rsidR="008E1911" w:rsidRPr="006255A6" w:rsidRDefault="008E1911" w:rsidP="00266628">
            <w:pPr>
              <w:spacing w:before="60" w:after="60"/>
              <w:rPr>
                <w:rFonts w:asciiTheme="minorHAnsi" w:hAnsiTheme="minorHAnsi"/>
                <w:sz w:val="16"/>
                <w:szCs w:val="16"/>
              </w:rPr>
            </w:pPr>
            <w:r w:rsidRPr="006255A6">
              <w:rPr>
                <w:rFonts w:asciiTheme="minorHAnsi" w:hAnsiTheme="minorHAnsi"/>
                <w:b/>
                <w:sz w:val="16"/>
                <w:szCs w:val="16"/>
              </w:rPr>
              <w:t>Délka hodnocení</w:t>
            </w:r>
            <w:r w:rsidRPr="006255A6">
              <w:rPr>
                <w:rFonts w:asciiTheme="minorHAnsi" w:hAnsiTheme="minorHAnsi"/>
                <w:sz w:val="16"/>
                <w:szCs w:val="16"/>
              </w:rPr>
              <w:t xml:space="preserve"> a schvalování projektů vede k častým změnám v</w:t>
            </w:r>
            <w:r w:rsidR="00B04647" w:rsidRPr="006255A6">
              <w:rPr>
                <w:rFonts w:asciiTheme="minorHAnsi" w:hAnsiTheme="minorHAnsi"/>
                <w:sz w:val="16"/>
                <w:szCs w:val="16"/>
              </w:rPr>
              <w:t> žádostech o podporu</w:t>
            </w:r>
            <w:r w:rsidRPr="006255A6">
              <w:rPr>
                <w:rFonts w:asciiTheme="minorHAnsi" w:hAnsiTheme="minorHAnsi"/>
                <w:sz w:val="16"/>
                <w:szCs w:val="16"/>
              </w:rPr>
              <w:t xml:space="preserve"> i podpořených projektech a následné administrativní zátěži.</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4C385CD" w14:textId="6B65D5D3"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Zavedení plně systému zpětného proplácení projektů</w:t>
            </w:r>
            <w:r w:rsidR="008A362D" w:rsidRPr="006255A6">
              <w:rPr>
                <w:rFonts w:asciiTheme="minorHAnsi" w:hAnsiTheme="minorHAnsi"/>
                <w:b/>
                <w:sz w:val="16"/>
                <w:szCs w:val="16"/>
              </w:rPr>
              <w:t>.</w:t>
            </w:r>
          </w:p>
          <w:p w14:paraId="7BF0C9E8" w14:textId="3CC8FB5C"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Využití RPA ve formálním hodnocení</w:t>
            </w:r>
            <w:r w:rsidRPr="006255A6">
              <w:rPr>
                <w:rFonts w:asciiTheme="minorHAnsi" w:hAnsiTheme="minorHAnsi"/>
                <w:sz w:val="16"/>
                <w:szCs w:val="16"/>
              </w:rPr>
              <w:t xml:space="preserve"> </w:t>
            </w:r>
          </w:p>
          <w:p w14:paraId="5F7ED193" w14:textId="69AB5DD1"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 xml:space="preserve">Umožnění </w:t>
            </w:r>
            <w:r w:rsidR="002C615B">
              <w:rPr>
                <w:rFonts w:asciiTheme="minorHAnsi" w:hAnsiTheme="minorHAnsi"/>
                <w:b/>
                <w:sz w:val="16"/>
                <w:szCs w:val="16"/>
              </w:rPr>
              <w:t xml:space="preserve">PM </w:t>
            </w:r>
            <w:r w:rsidRPr="006255A6">
              <w:rPr>
                <w:rFonts w:asciiTheme="minorHAnsi" w:hAnsiTheme="minorHAnsi"/>
                <w:b/>
                <w:sz w:val="16"/>
                <w:szCs w:val="16"/>
              </w:rPr>
              <w:t xml:space="preserve">provádění </w:t>
            </w:r>
            <w:r w:rsidR="002C615B">
              <w:rPr>
                <w:rFonts w:asciiTheme="minorHAnsi" w:hAnsiTheme="minorHAnsi"/>
                <w:b/>
                <w:sz w:val="16"/>
                <w:szCs w:val="16"/>
              </w:rPr>
              <w:t xml:space="preserve">oprav </w:t>
            </w:r>
            <w:r w:rsidRPr="006255A6">
              <w:rPr>
                <w:rFonts w:asciiTheme="minorHAnsi" w:hAnsiTheme="minorHAnsi"/>
                <w:b/>
                <w:sz w:val="16"/>
                <w:szCs w:val="16"/>
              </w:rPr>
              <w:t>zjevně napravitelných chyb</w:t>
            </w:r>
            <w:r w:rsidR="002C615B">
              <w:rPr>
                <w:rFonts w:asciiTheme="minorHAnsi" w:hAnsiTheme="minorHAnsi"/>
                <w:b/>
                <w:sz w:val="16"/>
                <w:szCs w:val="16"/>
              </w:rPr>
              <w:t xml:space="preserve"> v žádostech o podporu</w:t>
            </w:r>
            <w:r w:rsidR="008A362D" w:rsidRPr="006255A6">
              <w:rPr>
                <w:rFonts w:asciiTheme="minorHAnsi" w:hAnsiTheme="minorHAnsi"/>
                <w:b/>
                <w:sz w:val="16"/>
                <w:szCs w:val="16"/>
              </w:rPr>
              <w:t>.</w:t>
            </w:r>
            <w:r w:rsidRPr="006255A6">
              <w:rPr>
                <w:rFonts w:asciiTheme="minorHAnsi" w:hAnsiTheme="minorHAnsi"/>
                <w:sz w:val="16"/>
                <w:szCs w:val="16"/>
              </w:rPr>
              <w:t xml:space="preserve"> </w:t>
            </w:r>
          </w:p>
          <w:p w14:paraId="1F3ADDD4" w14:textId="4149F824" w:rsidR="008E1911" w:rsidRPr="006255A6" w:rsidRDefault="007E56FE" w:rsidP="00E105D8">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Častější z</w:t>
            </w:r>
            <w:r w:rsidR="008E1911" w:rsidRPr="006255A6">
              <w:rPr>
                <w:rFonts w:asciiTheme="minorHAnsi" w:hAnsiTheme="minorHAnsi"/>
                <w:b/>
                <w:sz w:val="16"/>
                <w:szCs w:val="16"/>
              </w:rPr>
              <w:t>avedení zjednodušeného hodnocení</w:t>
            </w:r>
            <w:r w:rsidR="008A362D" w:rsidRPr="006255A6">
              <w:rPr>
                <w:rFonts w:asciiTheme="minorHAnsi" w:hAnsiTheme="minorHAnsi"/>
                <w:b/>
                <w:sz w:val="16"/>
                <w:szCs w:val="16"/>
              </w:rPr>
              <w:t>.</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305CD74C"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Krátkodobý horizont</w:t>
            </w:r>
          </w:p>
          <w:p w14:paraId="74BC4ACF" w14:textId="77777777" w:rsidR="008E1911" w:rsidRPr="006255A6" w:rsidRDefault="008E1911" w:rsidP="00EF3B47">
            <w:pPr>
              <w:spacing w:before="60" w:after="60"/>
              <w:rPr>
                <w:rFonts w:asciiTheme="minorHAnsi" w:hAnsiTheme="minorHAnsi"/>
                <w:sz w:val="16"/>
                <w:szCs w:val="16"/>
              </w:rPr>
            </w:pPr>
          </w:p>
          <w:p w14:paraId="768EDCFC"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Příští programové období</w:t>
            </w:r>
          </w:p>
        </w:tc>
      </w:tr>
      <w:tr w:rsidR="008E1911" w:rsidRPr="006255A6" w14:paraId="76045F9C"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6755073" w14:textId="4DC14635" w:rsidR="008E1911" w:rsidRPr="006255A6" w:rsidRDefault="002B3DD3" w:rsidP="00EF3B47">
            <w:pPr>
              <w:spacing w:before="60" w:after="60"/>
              <w:rPr>
                <w:rFonts w:asciiTheme="minorHAnsi" w:hAnsiTheme="minorHAnsi"/>
                <w:sz w:val="16"/>
                <w:szCs w:val="16"/>
              </w:rPr>
            </w:pPr>
            <w:r w:rsidRPr="006255A6">
              <w:rPr>
                <w:rFonts w:asciiTheme="minorHAnsi" w:hAnsiTheme="minorHAnsi"/>
                <w:sz w:val="16"/>
                <w:szCs w:val="16"/>
              </w:rPr>
              <w:t>5</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D9C2E75" w14:textId="00CC0CC6" w:rsidR="008E1911" w:rsidRPr="006255A6" w:rsidRDefault="008E1911" w:rsidP="007C0598">
            <w:pPr>
              <w:spacing w:before="60" w:after="60"/>
              <w:rPr>
                <w:rFonts w:asciiTheme="minorHAnsi" w:hAnsiTheme="minorHAnsi"/>
                <w:sz w:val="16"/>
                <w:szCs w:val="16"/>
              </w:rPr>
            </w:pPr>
            <w:r w:rsidRPr="006255A6">
              <w:rPr>
                <w:rFonts w:asciiTheme="minorHAnsi" w:hAnsiTheme="minorHAnsi"/>
                <w:b/>
                <w:sz w:val="16"/>
                <w:szCs w:val="16"/>
              </w:rPr>
              <w:t>Cost benefit analýza je nadbytečným procesem s minimální přidanou hodnotou pro další hodnocení a podporu projektů</w:t>
            </w:r>
            <w:r w:rsidRPr="006255A6">
              <w:rPr>
                <w:rFonts w:asciiTheme="minorHAnsi" w:hAnsiTheme="minorHAnsi"/>
                <w:sz w:val="16"/>
                <w:szCs w:val="16"/>
              </w:rPr>
              <w:t xml:space="preserve">. </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BAF20D0" w14:textId="5823F8E0" w:rsidR="008E1911" w:rsidRPr="006255A6" w:rsidRDefault="008E1911" w:rsidP="008E1911">
            <w:pPr>
              <w:pStyle w:val="ListParagraph"/>
              <w:numPr>
                <w:ilvl w:val="0"/>
                <w:numId w:val="31"/>
              </w:numPr>
              <w:spacing w:before="60" w:after="60"/>
              <w:ind w:left="224" w:right="134" w:hanging="180"/>
              <w:rPr>
                <w:rFonts w:asciiTheme="minorHAnsi" w:hAnsiTheme="minorHAnsi"/>
                <w:b/>
                <w:sz w:val="16"/>
                <w:szCs w:val="16"/>
              </w:rPr>
            </w:pPr>
            <w:r w:rsidRPr="006255A6">
              <w:rPr>
                <w:rFonts w:asciiTheme="minorHAnsi" w:hAnsiTheme="minorHAnsi"/>
                <w:b/>
                <w:sz w:val="16"/>
                <w:szCs w:val="16"/>
              </w:rPr>
              <w:t>Zrušení CBA</w:t>
            </w:r>
            <w:r w:rsidR="001E5651" w:rsidRPr="006255A6">
              <w:rPr>
                <w:rFonts w:asciiTheme="minorHAnsi" w:hAnsiTheme="minorHAnsi"/>
                <w:b/>
                <w:sz w:val="16"/>
                <w:szCs w:val="16"/>
              </w:rPr>
              <w:t xml:space="preserve"> u projektů s CZV do 1 mil. EUR</w:t>
            </w:r>
            <w:r w:rsidR="00825645" w:rsidRPr="006255A6">
              <w:rPr>
                <w:rFonts w:asciiTheme="minorHAnsi" w:hAnsiTheme="minorHAnsi"/>
                <w:b/>
                <w:sz w:val="16"/>
                <w:szCs w:val="16"/>
              </w:rPr>
              <w:t>.</w:t>
            </w:r>
            <w:r w:rsidR="00A92F37" w:rsidRPr="006255A6">
              <w:rPr>
                <w:rStyle w:val="FootnoteReference"/>
                <w:rFonts w:asciiTheme="minorHAnsi" w:hAnsiTheme="minorHAnsi"/>
                <w:b/>
                <w:sz w:val="16"/>
                <w:szCs w:val="16"/>
              </w:rPr>
              <w:footnoteReference w:id="1"/>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788A8B06"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Krátkodobý horizont</w:t>
            </w:r>
          </w:p>
        </w:tc>
      </w:tr>
      <w:tr w:rsidR="008E1911" w:rsidRPr="006255A6" w14:paraId="20A4AA65"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20D4DC62" w14:textId="2F12A8F9" w:rsidR="008E1911" w:rsidRPr="006255A6" w:rsidRDefault="002B3DD3" w:rsidP="00EF3B47">
            <w:pPr>
              <w:spacing w:before="60" w:after="60"/>
              <w:rPr>
                <w:rFonts w:asciiTheme="minorHAnsi" w:hAnsiTheme="minorHAnsi"/>
                <w:sz w:val="16"/>
                <w:szCs w:val="16"/>
              </w:rPr>
            </w:pPr>
            <w:r w:rsidRPr="006255A6">
              <w:rPr>
                <w:rFonts w:asciiTheme="minorHAnsi" w:hAnsiTheme="minorHAnsi"/>
                <w:sz w:val="16"/>
                <w:szCs w:val="16"/>
              </w:rPr>
              <w:t>6</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273C497" w14:textId="39B3FFDB" w:rsidR="008E1911" w:rsidRPr="006255A6" w:rsidRDefault="008E1911" w:rsidP="005F09DD">
            <w:pPr>
              <w:spacing w:before="60" w:after="60"/>
              <w:rPr>
                <w:rFonts w:asciiTheme="minorHAnsi" w:hAnsiTheme="minorHAnsi"/>
                <w:sz w:val="16"/>
                <w:szCs w:val="16"/>
              </w:rPr>
            </w:pPr>
            <w:r w:rsidRPr="006255A6">
              <w:rPr>
                <w:rFonts w:asciiTheme="minorHAnsi" w:hAnsiTheme="minorHAnsi"/>
                <w:b/>
                <w:sz w:val="16"/>
                <w:szCs w:val="16"/>
              </w:rPr>
              <w:t>Neefektivně nastavená pravidla pro výběrová řízení.</w:t>
            </w:r>
            <w:r w:rsidRPr="006255A6">
              <w:rPr>
                <w:rFonts w:asciiTheme="minorHAnsi" w:hAnsiTheme="minorHAnsi"/>
                <w:sz w:val="16"/>
                <w:szCs w:val="16"/>
              </w:rPr>
              <w:t xml:space="preserve"> </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E49A7E0"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 xml:space="preserve">Navýšení finančních limitů </w:t>
            </w:r>
            <w:r w:rsidRPr="006255A6">
              <w:rPr>
                <w:rFonts w:asciiTheme="minorHAnsi" w:hAnsiTheme="minorHAnsi"/>
                <w:sz w:val="16"/>
                <w:szCs w:val="16"/>
              </w:rPr>
              <w:t xml:space="preserve">pro povinnost postupovat při výběru dodavatele dle PpVD na 5 mil. Kč a v případě zákona o ZVZ na 2 mil. Kč. </w:t>
            </w:r>
          </w:p>
          <w:p w14:paraId="0C3D14BA" w14:textId="52A952E7" w:rsidR="008E1911" w:rsidRPr="006255A6" w:rsidRDefault="008E1911" w:rsidP="00E105D8">
            <w:pPr>
              <w:pStyle w:val="ListParagraph"/>
              <w:numPr>
                <w:ilvl w:val="0"/>
                <w:numId w:val="31"/>
              </w:numPr>
              <w:spacing w:before="60" w:after="60"/>
              <w:ind w:left="224" w:right="134" w:hanging="180"/>
              <w:rPr>
                <w:rFonts w:asciiTheme="minorHAnsi" w:hAnsiTheme="minorHAnsi"/>
                <w:b/>
                <w:sz w:val="16"/>
                <w:szCs w:val="16"/>
              </w:rPr>
            </w:pPr>
            <w:r w:rsidRPr="006255A6">
              <w:rPr>
                <w:rFonts w:asciiTheme="minorHAnsi" w:hAnsiTheme="minorHAnsi"/>
                <w:b/>
                <w:sz w:val="16"/>
                <w:szCs w:val="16"/>
              </w:rPr>
              <w:t>Změna Pravidel pro výběr dodavatele</w:t>
            </w:r>
            <w:r w:rsidR="008A362D" w:rsidRPr="006255A6">
              <w:rPr>
                <w:rFonts w:asciiTheme="minorHAnsi" w:hAnsiTheme="minorHAnsi"/>
                <w:b/>
                <w:sz w:val="16"/>
                <w:szCs w:val="16"/>
              </w:rPr>
              <w:t>.</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1E50DB52"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Střednědobý horizont</w:t>
            </w:r>
          </w:p>
          <w:p w14:paraId="1EFA91A9"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w:t>
            </w:r>
          </w:p>
          <w:p w14:paraId="0DB2D511"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Příští programové období</w:t>
            </w:r>
          </w:p>
        </w:tc>
      </w:tr>
      <w:tr w:rsidR="008E1911" w:rsidRPr="006255A6" w14:paraId="29BB082D"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829A786" w14:textId="44DE3ADD" w:rsidR="008E1911" w:rsidRPr="006255A6" w:rsidRDefault="002B3DD3" w:rsidP="00EF3B47">
            <w:pPr>
              <w:spacing w:before="60" w:after="60"/>
              <w:rPr>
                <w:rFonts w:asciiTheme="minorHAnsi" w:hAnsiTheme="minorHAnsi"/>
                <w:sz w:val="16"/>
                <w:szCs w:val="16"/>
              </w:rPr>
            </w:pPr>
            <w:r w:rsidRPr="006255A6">
              <w:rPr>
                <w:rFonts w:asciiTheme="minorHAnsi" w:hAnsiTheme="minorHAnsi"/>
                <w:sz w:val="16"/>
                <w:szCs w:val="16"/>
              </w:rPr>
              <w:t>7</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10CC0C9" w14:textId="37525A41" w:rsidR="008E1911" w:rsidRPr="006255A6" w:rsidRDefault="008E1911" w:rsidP="007C0598">
            <w:pPr>
              <w:spacing w:before="60" w:after="60"/>
              <w:rPr>
                <w:rFonts w:asciiTheme="minorHAnsi" w:hAnsiTheme="minorHAnsi"/>
                <w:sz w:val="16"/>
                <w:szCs w:val="16"/>
              </w:rPr>
            </w:pPr>
            <w:r w:rsidRPr="006255A6">
              <w:rPr>
                <w:rFonts w:asciiTheme="minorHAnsi" w:hAnsiTheme="minorHAnsi"/>
                <w:b/>
                <w:sz w:val="16"/>
                <w:szCs w:val="16"/>
              </w:rPr>
              <w:t>Realizace změnového řízení na ZS vede k dalšímu zatížení jeho pracovníků a nedodržování lhůt</w:t>
            </w:r>
            <w:r w:rsidRPr="006255A6">
              <w:rPr>
                <w:rFonts w:asciiTheme="minorHAnsi" w:hAnsiTheme="minorHAnsi"/>
                <w:sz w:val="16"/>
                <w:szCs w:val="16"/>
              </w:rPr>
              <w:t xml:space="preserve">. </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14C913A" w14:textId="77777777" w:rsidR="008E1911" w:rsidRPr="006255A6" w:rsidRDefault="008E1911" w:rsidP="008E1911">
            <w:pPr>
              <w:pStyle w:val="ListParagraph"/>
              <w:numPr>
                <w:ilvl w:val="0"/>
                <w:numId w:val="31"/>
              </w:numPr>
              <w:spacing w:before="60" w:after="60"/>
              <w:ind w:left="217" w:right="134" w:hanging="180"/>
              <w:rPr>
                <w:rFonts w:asciiTheme="minorHAnsi" w:hAnsiTheme="minorHAnsi"/>
                <w:b/>
                <w:sz w:val="16"/>
                <w:szCs w:val="16"/>
              </w:rPr>
            </w:pPr>
            <w:r w:rsidRPr="006255A6">
              <w:rPr>
                <w:rFonts w:asciiTheme="minorHAnsi" w:hAnsiTheme="minorHAnsi"/>
                <w:b/>
                <w:sz w:val="16"/>
                <w:szCs w:val="16"/>
              </w:rPr>
              <w:t xml:space="preserve">Převedení/sdílení agendy </w:t>
            </w:r>
            <w:r w:rsidRPr="006255A6">
              <w:rPr>
                <w:rFonts w:asciiTheme="minorHAnsi" w:hAnsiTheme="minorHAnsi"/>
                <w:sz w:val="16"/>
                <w:szCs w:val="16"/>
              </w:rPr>
              <w:t>změnových řízení z API na ŘO.</w:t>
            </w:r>
          </w:p>
          <w:p w14:paraId="716C0601" w14:textId="55EA5D85" w:rsidR="008E1911" w:rsidRPr="006255A6" w:rsidRDefault="008E1911" w:rsidP="00C417D8">
            <w:pPr>
              <w:pStyle w:val="ListParagraph"/>
              <w:numPr>
                <w:ilvl w:val="0"/>
                <w:numId w:val="31"/>
              </w:numPr>
              <w:spacing w:before="60" w:after="60"/>
              <w:ind w:left="217" w:right="134" w:hanging="180"/>
              <w:rPr>
                <w:rFonts w:asciiTheme="minorHAnsi" w:hAnsiTheme="minorHAnsi"/>
                <w:sz w:val="16"/>
                <w:szCs w:val="16"/>
              </w:rPr>
            </w:pPr>
            <w:r w:rsidRPr="006255A6">
              <w:rPr>
                <w:rFonts w:asciiTheme="minorHAnsi" w:hAnsiTheme="minorHAnsi"/>
                <w:b/>
                <w:sz w:val="16"/>
                <w:szCs w:val="16"/>
              </w:rPr>
              <w:t>Umožnění automatického schvalování/oznamování změn v rozpočtu nepřesahující XY % celkového rozpočtu</w:t>
            </w:r>
            <w:r w:rsidR="008A362D" w:rsidRPr="006255A6">
              <w:rPr>
                <w:rFonts w:asciiTheme="minorHAnsi" w:hAnsiTheme="minorHAnsi"/>
                <w:b/>
                <w:sz w:val="16"/>
                <w:szCs w:val="16"/>
              </w:rPr>
              <w:t xml:space="preserve"> nebo dílčích změn projektu bez změn výsledků a účelu podpory.</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582F4D73"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Krátkodobý horizont</w:t>
            </w:r>
          </w:p>
        </w:tc>
      </w:tr>
      <w:tr w:rsidR="008E1911" w:rsidRPr="006255A6" w14:paraId="068587F8"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07356032" w14:textId="7E1AB548" w:rsidR="008E1911" w:rsidRPr="006255A6" w:rsidRDefault="002B3DD3" w:rsidP="00EF3B47">
            <w:pPr>
              <w:spacing w:before="60" w:after="60"/>
              <w:rPr>
                <w:rFonts w:asciiTheme="minorHAnsi" w:hAnsiTheme="minorHAnsi"/>
                <w:sz w:val="16"/>
                <w:szCs w:val="16"/>
              </w:rPr>
            </w:pPr>
            <w:r w:rsidRPr="006255A6">
              <w:rPr>
                <w:rFonts w:asciiTheme="minorHAnsi" w:hAnsiTheme="minorHAnsi"/>
                <w:sz w:val="16"/>
                <w:szCs w:val="16"/>
              </w:rPr>
              <w:t>8</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25B81A55"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 xml:space="preserve">Kontrola statusu MSP je </w:t>
            </w:r>
            <w:r w:rsidRPr="006255A6">
              <w:rPr>
                <w:rFonts w:asciiTheme="minorHAnsi" w:hAnsiTheme="minorHAnsi"/>
                <w:b/>
                <w:sz w:val="16"/>
                <w:szCs w:val="16"/>
              </w:rPr>
              <w:t>časově i kapacitně náročná</w:t>
            </w:r>
            <w:r w:rsidRPr="006255A6">
              <w:rPr>
                <w:rFonts w:asciiTheme="minorHAnsi" w:hAnsiTheme="minorHAnsi"/>
                <w:sz w:val="16"/>
                <w:szCs w:val="16"/>
              </w:rPr>
              <w:t xml:space="preserve">, vede k nedodržování lhůt, rozdílným pojetím u různě seniorních projektových manažerů ZS. </w:t>
            </w:r>
          </w:p>
          <w:p w14:paraId="22D70340" w14:textId="40290793" w:rsidR="008E1911" w:rsidRPr="006255A6" w:rsidRDefault="008E1911" w:rsidP="00EF3B47">
            <w:pPr>
              <w:spacing w:before="60" w:after="60"/>
              <w:rPr>
                <w:rFonts w:asciiTheme="minorHAnsi" w:hAnsiTheme="minorHAnsi"/>
                <w:sz w:val="16"/>
                <w:szCs w:val="16"/>
              </w:rPr>
            </w:pP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DA475F5" w14:textId="77777777" w:rsidR="008E1911" w:rsidRPr="006255A6" w:rsidRDefault="008E1911" w:rsidP="008E1911">
            <w:pPr>
              <w:pStyle w:val="ListParagraph"/>
              <w:numPr>
                <w:ilvl w:val="0"/>
                <w:numId w:val="31"/>
              </w:numPr>
              <w:spacing w:before="60" w:after="60"/>
              <w:ind w:left="217" w:right="134" w:hanging="180"/>
              <w:rPr>
                <w:rFonts w:asciiTheme="minorHAnsi" w:hAnsiTheme="minorHAnsi"/>
                <w:b/>
                <w:sz w:val="16"/>
                <w:szCs w:val="16"/>
              </w:rPr>
            </w:pPr>
            <w:r w:rsidRPr="006255A6">
              <w:rPr>
                <w:rFonts w:asciiTheme="minorHAnsi" w:hAnsiTheme="minorHAnsi"/>
                <w:b/>
                <w:sz w:val="16"/>
                <w:szCs w:val="16"/>
              </w:rPr>
              <w:t xml:space="preserve">Outsourcing </w:t>
            </w:r>
            <w:r w:rsidRPr="006255A6">
              <w:rPr>
                <w:rFonts w:asciiTheme="minorHAnsi" w:hAnsiTheme="minorHAnsi"/>
                <w:sz w:val="16"/>
                <w:szCs w:val="16"/>
              </w:rPr>
              <w:t>posuzování statusu MSP na externí dodavatele.</w:t>
            </w:r>
            <w:r w:rsidRPr="006255A6">
              <w:rPr>
                <w:rFonts w:asciiTheme="minorHAnsi" w:hAnsiTheme="minorHAnsi"/>
                <w:b/>
                <w:sz w:val="16"/>
                <w:szCs w:val="16"/>
              </w:rPr>
              <w:t xml:space="preserve"> </w:t>
            </w:r>
          </w:p>
          <w:p w14:paraId="194E0B54" w14:textId="77777777" w:rsidR="008E1911" w:rsidRPr="006255A6" w:rsidRDefault="008E1911" w:rsidP="008E1911">
            <w:pPr>
              <w:pStyle w:val="ListParagraph"/>
              <w:numPr>
                <w:ilvl w:val="0"/>
                <w:numId w:val="31"/>
              </w:numPr>
              <w:spacing w:before="60" w:after="60"/>
              <w:ind w:left="217" w:right="134" w:hanging="180"/>
              <w:rPr>
                <w:rFonts w:asciiTheme="minorHAnsi" w:hAnsiTheme="minorHAnsi"/>
                <w:b/>
                <w:sz w:val="16"/>
                <w:szCs w:val="16"/>
              </w:rPr>
            </w:pPr>
            <w:r w:rsidRPr="006255A6">
              <w:rPr>
                <w:rFonts w:asciiTheme="minorHAnsi" w:hAnsiTheme="minorHAnsi"/>
                <w:b/>
                <w:sz w:val="16"/>
                <w:szCs w:val="16"/>
              </w:rPr>
              <w:t>Vytvoření samostatného oddělení API/ŘO k určování statusu MSP.</w:t>
            </w:r>
          </w:p>
          <w:p w14:paraId="62154864" w14:textId="77777777" w:rsidR="008E1911" w:rsidRPr="006255A6" w:rsidRDefault="008E1911" w:rsidP="008E1911">
            <w:pPr>
              <w:pStyle w:val="ListParagraph"/>
              <w:numPr>
                <w:ilvl w:val="0"/>
                <w:numId w:val="31"/>
              </w:numPr>
              <w:spacing w:before="60" w:after="60"/>
              <w:ind w:left="217" w:right="134" w:hanging="180"/>
              <w:rPr>
                <w:rFonts w:asciiTheme="minorHAnsi" w:hAnsiTheme="minorHAnsi"/>
                <w:sz w:val="16"/>
                <w:szCs w:val="16"/>
              </w:rPr>
            </w:pPr>
            <w:r w:rsidRPr="006255A6">
              <w:rPr>
                <w:rFonts w:asciiTheme="minorHAnsi" w:hAnsiTheme="minorHAnsi"/>
                <w:b/>
                <w:sz w:val="16"/>
                <w:szCs w:val="16"/>
              </w:rPr>
              <w:t>Aplikace modelu kontroly statusu MSP jaký využívá ČMZRB.</w:t>
            </w:r>
          </w:p>
          <w:p w14:paraId="65870AFA" w14:textId="77777777" w:rsidR="008E1911" w:rsidRPr="006255A6" w:rsidRDefault="008E1911" w:rsidP="008E1911">
            <w:pPr>
              <w:pStyle w:val="ListParagraph"/>
              <w:numPr>
                <w:ilvl w:val="0"/>
                <w:numId w:val="31"/>
              </w:numPr>
              <w:spacing w:before="60" w:after="60"/>
              <w:ind w:left="217" w:right="134" w:hanging="180"/>
              <w:rPr>
                <w:rFonts w:asciiTheme="minorHAnsi" w:hAnsiTheme="minorHAnsi"/>
                <w:sz w:val="16"/>
                <w:szCs w:val="16"/>
              </w:rPr>
            </w:pPr>
            <w:r w:rsidRPr="006255A6">
              <w:rPr>
                <w:rFonts w:asciiTheme="minorHAnsi" w:hAnsiTheme="minorHAnsi"/>
                <w:b/>
                <w:sz w:val="16"/>
                <w:szCs w:val="16"/>
              </w:rPr>
              <w:t xml:space="preserve">Využití RPA pro vybrané části procesu </w:t>
            </w:r>
            <w:r w:rsidRPr="006255A6">
              <w:rPr>
                <w:rFonts w:asciiTheme="minorHAnsi" w:hAnsiTheme="minorHAnsi"/>
                <w:sz w:val="16"/>
                <w:szCs w:val="16"/>
              </w:rPr>
              <w:t>(např. ověřování údajů v rejstřících, určování statutu podniku v obtížích).</w:t>
            </w:r>
          </w:p>
          <w:p w14:paraId="08BD132F" w14:textId="77777777" w:rsidR="008E1911" w:rsidRPr="006255A6" w:rsidRDefault="008E1911" w:rsidP="00EF3B47">
            <w:pPr>
              <w:pStyle w:val="ListParagraph"/>
              <w:spacing w:before="60" w:after="60"/>
              <w:ind w:left="442" w:right="134"/>
              <w:rPr>
                <w:rFonts w:asciiTheme="minorHAnsi" w:hAnsiTheme="minorHAnsi"/>
                <w:sz w:val="16"/>
                <w:szCs w:val="16"/>
              </w:rPr>
            </w:pP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589596F0"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Krátkodobý horizont</w:t>
            </w:r>
          </w:p>
          <w:p w14:paraId="7DCC5D1C" w14:textId="77777777" w:rsidR="008E1911" w:rsidRPr="006255A6" w:rsidRDefault="008E1911" w:rsidP="00EF3B47">
            <w:pPr>
              <w:spacing w:before="60" w:after="60"/>
              <w:rPr>
                <w:rFonts w:asciiTheme="minorHAnsi" w:hAnsiTheme="minorHAnsi"/>
                <w:sz w:val="16"/>
                <w:szCs w:val="16"/>
              </w:rPr>
            </w:pPr>
          </w:p>
          <w:p w14:paraId="241CF8E7"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Střednědobý horizont</w:t>
            </w:r>
          </w:p>
        </w:tc>
      </w:tr>
      <w:tr w:rsidR="008A362D" w:rsidRPr="006255A6" w14:paraId="195F4C4D"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8BDEECF" w14:textId="1561373E" w:rsidR="008A362D" w:rsidRPr="006255A6" w:rsidRDefault="008A362D" w:rsidP="00EF3B47">
            <w:pPr>
              <w:spacing w:before="60" w:after="60"/>
              <w:rPr>
                <w:rFonts w:asciiTheme="minorHAnsi" w:hAnsiTheme="minorHAnsi"/>
                <w:sz w:val="16"/>
                <w:szCs w:val="16"/>
              </w:rPr>
            </w:pPr>
            <w:r w:rsidRPr="006255A6">
              <w:rPr>
                <w:rFonts w:asciiTheme="minorHAnsi" w:hAnsiTheme="minorHAnsi"/>
                <w:sz w:val="16"/>
                <w:szCs w:val="16"/>
              </w:rPr>
              <w:t>9</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597F57CF" w14:textId="6FB0EC4A" w:rsidR="008A362D" w:rsidRPr="006255A6" w:rsidRDefault="008A362D" w:rsidP="00EF3B47">
            <w:pPr>
              <w:spacing w:before="60" w:after="60"/>
              <w:rPr>
                <w:rFonts w:asciiTheme="minorHAnsi" w:hAnsiTheme="minorHAnsi"/>
                <w:b/>
                <w:sz w:val="16"/>
                <w:szCs w:val="16"/>
              </w:rPr>
            </w:pPr>
            <w:r w:rsidRPr="006255A6">
              <w:rPr>
                <w:rFonts w:asciiTheme="minorHAnsi" w:hAnsiTheme="minorHAnsi"/>
                <w:b/>
                <w:sz w:val="16"/>
                <w:szCs w:val="16"/>
              </w:rPr>
              <w:t>Délka a složitost schvalování ŽoPl</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4C4EA359" w14:textId="77777777" w:rsidR="008A362D" w:rsidRPr="00DF586E" w:rsidRDefault="008A362D" w:rsidP="008E1911">
            <w:pPr>
              <w:pStyle w:val="ListParagraph"/>
              <w:numPr>
                <w:ilvl w:val="0"/>
                <w:numId w:val="31"/>
              </w:numPr>
              <w:spacing w:before="60" w:after="60"/>
              <w:ind w:left="217" w:right="134" w:hanging="180"/>
              <w:rPr>
                <w:rFonts w:asciiTheme="minorHAnsi" w:hAnsiTheme="minorHAnsi"/>
                <w:b/>
                <w:sz w:val="16"/>
                <w:szCs w:val="16"/>
              </w:rPr>
            </w:pPr>
            <w:r w:rsidRPr="006255A6">
              <w:rPr>
                <w:rFonts w:asciiTheme="minorHAnsi" w:hAnsiTheme="minorHAnsi"/>
                <w:b/>
                <w:sz w:val="16"/>
                <w:szCs w:val="16"/>
              </w:rPr>
              <w:t xml:space="preserve">Širší uplatnění zjednodušeného vykazování nákladů </w:t>
            </w:r>
            <w:r w:rsidRPr="006255A6">
              <w:rPr>
                <w:rFonts w:asciiTheme="minorHAnsi" w:hAnsiTheme="minorHAnsi"/>
                <w:sz w:val="16"/>
                <w:szCs w:val="16"/>
              </w:rPr>
              <w:t xml:space="preserve">(např. paušální </w:t>
            </w:r>
            <w:r w:rsidRPr="006255A6">
              <w:rPr>
                <w:rFonts w:asciiTheme="minorHAnsi" w:hAnsiTheme="minorHAnsi"/>
                <w:sz w:val="16"/>
                <w:szCs w:val="16"/>
              </w:rPr>
              <w:lastRenderedPageBreak/>
              <w:t>podpora mzdových nákladů; parametrická podpora)</w:t>
            </w:r>
            <w:r w:rsidR="009D194A" w:rsidRPr="006255A6">
              <w:rPr>
                <w:rFonts w:asciiTheme="minorHAnsi" w:hAnsiTheme="minorHAnsi"/>
                <w:sz w:val="16"/>
                <w:szCs w:val="16"/>
              </w:rPr>
              <w:t>.</w:t>
            </w:r>
          </w:p>
          <w:p w14:paraId="05588D86" w14:textId="525CEFE5" w:rsidR="00DF586E" w:rsidRPr="006255A6" w:rsidRDefault="00DF586E" w:rsidP="008E1911">
            <w:pPr>
              <w:pStyle w:val="ListParagraph"/>
              <w:numPr>
                <w:ilvl w:val="0"/>
                <w:numId w:val="31"/>
              </w:numPr>
              <w:spacing w:before="60" w:after="60"/>
              <w:ind w:left="217" w:right="134" w:hanging="180"/>
              <w:rPr>
                <w:rFonts w:asciiTheme="minorHAnsi" w:hAnsiTheme="minorHAnsi"/>
                <w:b/>
                <w:sz w:val="16"/>
                <w:szCs w:val="16"/>
              </w:rPr>
            </w:pPr>
            <w:r>
              <w:rPr>
                <w:rFonts w:asciiTheme="minorHAnsi" w:hAnsiTheme="minorHAnsi"/>
                <w:b/>
                <w:sz w:val="16"/>
                <w:szCs w:val="16"/>
              </w:rPr>
              <w:t>Využití RPA a umělé inteligence.</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313A01AE" w14:textId="37449BDC" w:rsidR="008A362D" w:rsidRPr="006255A6" w:rsidRDefault="008A362D" w:rsidP="00EF3B47">
            <w:pPr>
              <w:spacing w:before="60" w:after="60"/>
              <w:rPr>
                <w:rFonts w:asciiTheme="minorHAnsi" w:hAnsiTheme="minorHAnsi"/>
                <w:sz w:val="16"/>
                <w:szCs w:val="16"/>
              </w:rPr>
            </w:pPr>
            <w:r w:rsidRPr="006255A6">
              <w:rPr>
                <w:rFonts w:asciiTheme="minorHAnsi" w:hAnsiTheme="minorHAnsi"/>
                <w:sz w:val="16"/>
                <w:szCs w:val="16"/>
              </w:rPr>
              <w:lastRenderedPageBreak/>
              <w:t>Středněd</w:t>
            </w:r>
            <w:r w:rsidR="00A65688">
              <w:rPr>
                <w:rFonts w:asciiTheme="minorHAnsi" w:hAnsiTheme="minorHAnsi"/>
                <w:sz w:val="16"/>
                <w:szCs w:val="16"/>
              </w:rPr>
              <w:t>o</w:t>
            </w:r>
            <w:r w:rsidRPr="006255A6">
              <w:rPr>
                <w:rFonts w:asciiTheme="minorHAnsi" w:hAnsiTheme="minorHAnsi"/>
                <w:sz w:val="16"/>
                <w:szCs w:val="16"/>
              </w:rPr>
              <w:t>bý horizont</w:t>
            </w:r>
          </w:p>
        </w:tc>
      </w:tr>
      <w:tr w:rsidR="008E1911" w:rsidRPr="006255A6" w14:paraId="1227B9DA"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EB71E99" w14:textId="0513D486" w:rsidR="008E1911" w:rsidRPr="006255A6" w:rsidRDefault="008A362D" w:rsidP="00EF3B47">
            <w:pPr>
              <w:spacing w:before="60" w:after="60"/>
              <w:rPr>
                <w:rFonts w:asciiTheme="minorHAnsi" w:hAnsiTheme="minorHAnsi"/>
                <w:sz w:val="16"/>
                <w:szCs w:val="16"/>
              </w:rPr>
            </w:pPr>
            <w:r w:rsidRPr="006255A6">
              <w:rPr>
                <w:rFonts w:asciiTheme="minorHAnsi" w:hAnsiTheme="minorHAnsi"/>
                <w:sz w:val="16"/>
                <w:szCs w:val="16"/>
              </w:rPr>
              <w:t>10</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21DD6C8" w14:textId="55BF7373" w:rsidR="008E1911" w:rsidRPr="006255A6" w:rsidRDefault="008E1911" w:rsidP="007C0598">
            <w:pPr>
              <w:spacing w:before="60" w:after="60"/>
              <w:rPr>
                <w:rFonts w:asciiTheme="minorHAnsi" w:hAnsiTheme="minorHAnsi"/>
                <w:sz w:val="16"/>
                <w:szCs w:val="16"/>
              </w:rPr>
            </w:pPr>
            <w:r w:rsidRPr="006255A6">
              <w:rPr>
                <w:rFonts w:asciiTheme="minorHAnsi" w:hAnsiTheme="minorHAnsi"/>
                <w:b/>
                <w:sz w:val="16"/>
                <w:szCs w:val="16"/>
              </w:rPr>
              <w:t>Výzvy a jejich přílohy jsou příliš rozsáhlé, složité a nepřehledné pro žadatele</w:t>
            </w:r>
            <w:r w:rsidRPr="006255A6">
              <w:rPr>
                <w:rFonts w:asciiTheme="minorHAnsi" w:hAnsiTheme="minorHAnsi"/>
                <w:sz w:val="16"/>
                <w:szCs w:val="16"/>
              </w:rPr>
              <w:t xml:space="preserve">. </w:t>
            </w:r>
          </w:p>
        </w:tc>
        <w:tc>
          <w:tcPr>
            <w:tcW w:w="2086"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5DC59297"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Revize znění výzev, počtu povinných příloh</w:t>
            </w:r>
            <w:r w:rsidRPr="006255A6">
              <w:rPr>
                <w:rFonts w:asciiTheme="minorHAnsi" w:hAnsiTheme="minorHAnsi"/>
                <w:sz w:val="16"/>
                <w:szCs w:val="16"/>
              </w:rPr>
              <w:t>. Důsledná kontrola souladu výzev a Pravidel pro příjemce.</w:t>
            </w:r>
          </w:p>
          <w:p w14:paraId="6CF20BD5" w14:textId="26E5D2B9" w:rsidR="008E1911" w:rsidRPr="006255A6" w:rsidRDefault="008E1911" w:rsidP="00A55CF6">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Zjednodušení jazyka</w:t>
            </w:r>
            <w:r w:rsidRPr="006255A6">
              <w:rPr>
                <w:rFonts w:asciiTheme="minorHAnsi" w:hAnsiTheme="minorHAnsi"/>
                <w:sz w:val="16"/>
                <w:szCs w:val="16"/>
              </w:rPr>
              <w:t xml:space="preserve"> (omezení používání odborných výrazů, sjednocení terminologie) a zefektivnění komunikace změn ve znění výzev, v pravidlech pro příjemce apod. jejich grafickým zvýrazněním nebo předřazením.</w:t>
            </w:r>
          </w:p>
        </w:tc>
        <w:tc>
          <w:tcPr>
            <w:tcW w:w="733"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1CBCCD96"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Krátkodobý horizont</w:t>
            </w:r>
          </w:p>
        </w:tc>
      </w:tr>
      <w:tr w:rsidR="008E1911" w:rsidRPr="006255A6" w14:paraId="30A0FD64" w14:textId="77777777" w:rsidTr="00E105D8">
        <w:trPr>
          <w:trHeight w:val="1090"/>
        </w:trPr>
        <w:tc>
          <w:tcPr>
            <w:tcW w:w="146" w:type="pct"/>
            <w:tcBorders>
              <w:top w:val="single" w:sz="6" w:space="0" w:color="D9D9D9" w:themeColor="background1" w:themeShade="D9"/>
              <w:left w:val="single" w:sz="4" w:space="0" w:color="D0EC9F" w:themeColor="accent1" w:themeTint="66"/>
              <w:right w:val="single" w:sz="4" w:space="0" w:color="D0EC9F" w:themeColor="accent1" w:themeTint="66"/>
            </w:tcBorders>
          </w:tcPr>
          <w:p w14:paraId="1911A92E" w14:textId="60D54127" w:rsidR="008E1911" w:rsidRPr="006255A6" w:rsidRDefault="008E1911" w:rsidP="002B3DD3">
            <w:pPr>
              <w:spacing w:before="60" w:after="60"/>
              <w:rPr>
                <w:rFonts w:asciiTheme="minorHAnsi" w:hAnsiTheme="minorHAnsi"/>
                <w:sz w:val="16"/>
                <w:szCs w:val="16"/>
              </w:rPr>
            </w:pPr>
            <w:r w:rsidRPr="006255A6">
              <w:rPr>
                <w:rFonts w:asciiTheme="minorHAnsi" w:hAnsiTheme="minorHAnsi"/>
                <w:sz w:val="16"/>
                <w:szCs w:val="16"/>
              </w:rPr>
              <w:t>1</w:t>
            </w:r>
            <w:r w:rsidR="008A362D" w:rsidRPr="006255A6">
              <w:rPr>
                <w:rFonts w:asciiTheme="minorHAnsi" w:hAnsiTheme="minorHAnsi"/>
                <w:sz w:val="16"/>
                <w:szCs w:val="16"/>
              </w:rPr>
              <w:t>1</w:t>
            </w:r>
          </w:p>
        </w:tc>
        <w:tc>
          <w:tcPr>
            <w:tcW w:w="2035" w:type="pct"/>
            <w:tcBorders>
              <w:top w:val="single" w:sz="6" w:space="0" w:color="D9D9D9" w:themeColor="background1" w:themeShade="D9"/>
              <w:left w:val="single" w:sz="4" w:space="0" w:color="D0EC9F" w:themeColor="accent1" w:themeTint="66"/>
              <w:right w:val="single" w:sz="4" w:space="0" w:color="D0EC9F" w:themeColor="accent1" w:themeTint="66"/>
            </w:tcBorders>
            <w:hideMark/>
          </w:tcPr>
          <w:p w14:paraId="5593FA0A"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 xml:space="preserve">Od žadatelů jsou </w:t>
            </w:r>
            <w:r w:rsidRPr="006255A6">
              <w:rPr>
                <w:rFonts w:asciiTheme="minorHAnsi" w:hAnsiTheme="minorHAnsi"/>
                <w:b/>
                <w:sz w:val="16"/>
                <w:szCs w:val="16"/>
              </w:rPr>
              <w:t>požadovány dokumenty, popř. informace, které nejsou pro hodnocení projektu důležité</w:t>
            </w:r>
            <w:r w:rsidRPr="006255A6">
              <w:rPr>
                <w:rFonts w:asciiTheme="minorHAnsi" w:hAnsiTheme="minorHAnsi"/>
                <w:sz w:val="16"/>
                <w:szCs w:val="16"/>
              </w:rPr>
              <w:t xml:space="preserve"> nebo jsou v žádosti uváděny duplicitně. </w:t>
            </w:r>
          </w:p>
          <w:p w14:paraId="28EC318B" w14:textId="4C775DC1" w:rsidR="008E1911" w:rsidRPr="006255A6" w:rsidRDefault="008E1911" w:rsidP="00EF3B47">
            <w:pPr>
              <w:spacing w:before="60" w:after="60"/>
              <w:rPr>
                <w:rFonts w:asciiTheme="minorHAnsi" w:hAnsiTheme="minorHAnsi"/>
                <w:sz w:val="16"/>
                <w:szCs w:val="16"/>
              </w:rPr>
            </w:pPr>
          </w:p>
        </w:tc>
        <w:tc>
          <w:tcPr>
            <w:tcW w:w="2086" w:type="pct"/>
            <w:vMerge/>
            <w:vAlign w:val="center"/>
            <w:hideMark/>
          </w:tcPr>
          <w:p w14:paraId="08356828" w14:textId="77777777" w:rsidR="008E1911" w:rsidRPr="006255A6" w:rsidRDefault="008E1911" w:rsidP="00EF3B47">
            <w:pPr>
              <w:spacing w:before="60" w:after="60"/>
              <w:rPr>
                <w:rFonts w:asciiTheme="minorHAnsi" w:hAnsiTheme="minorHAnsi"/>
                <w:sz w:val="16"/>
                <w:szCs w:val="16"/>
              </w:rPr>
            </w:pPr>
          </w:p>
        </w:tc>
        <w:tc>
          <w:tcPr>
            <w:tcW w:w="733" w:type="pct"/>
            <w:vMerge/>
            <w:vAlign w:val="center"/>
            <w:hideMark/>
          </w:tcPr>
          <w:p w14:paraId="03E98507" w14:textId="77777777" w:rsidR="008E1911" w:rsidRPr="006255A6" w:rsidRDefault="008E1911" w:rsidP="00EF3B47">
            <w:pPr>
              <w:spacing w:before="60" w:after="60"/>
              <w:rPr>
                <w:rFonts w:asciiTheme="minorHAnsi" w:hAnsiTheme="minorHAnsi"/>
                <w:sz w:val="16"/>
                <w:szCs w:val="16"/>
              </w:rPr>
            </w:pPr>
          </w:p>
        </w:tc>
      </w:tr>
      <w:tr w:rsidR="008E1911" w:rsidRPr="006255A6" w14:paraId="2DD91FD4" w14:textId="77777777" w:rsidTr="1B8B314C">
        <w:trPr>
          <w:trHeight w:val="249"/>
        </w:trPr>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3E077C1B" w14:textId="77777777" w:rsidR="008E1911" w:rsidRPr="006255A6" w:rsidRDefault="008E1911" w:rsidP="00EF3B47">
            <w:pPr>
              <w:spacing w:before="60" w:after="60"/>
              <w:rPr>
                <w:rFonts w:asciiTheme="minorHAnsi" w:hAnsiTheme="minorHAnsi"/>
                <w:sz w:val="16"/>
                <w:szCs w:val="16"/>
              </w:rPr>
            </w:pPr>
          </w:p>
        </w:tc>
        <w:tc>
          <w:tcPr>
            <w:tcW w:w="4854" w:type="pct"/>
            <w:gridSpan w:val="3"/>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4030DE9E"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b/>
                <w:sz w:val="16"/>
                <w:szCs w:val="16"/>
              </w:rPr>
              <w:t>Kontroly a nesrovnalosti (KaN)</w:t>
            </w:r>
          </w:p>
        </w:tc>
      </w:tr>
      <w:tr w:rsidR="008E1911" w:rsidRPr="006255A6" w14:paraId="1E7E5662" w14:textId="77777777" w:rsidTr="00E105D8">
        <w:trPr>
          <w:trHeight w:val="730"/>
        </w:trPr>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DA6C5FA" w14:textId="399DF112"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1</w:t>
            </w:r>
            <w:r w:rsidR="008A362D" w:rsidRPr="006255A6">
              <w:rPr>
                <w:rFonts w:asciiTheme="minorHAnsi" w:hAnsiTheme="minorHAnsi"/>
                <w:sz w:val="16"/>
                <w:szCs w:val="16"/>
              </w:rPr>
              <w:t>2</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B84F131" w14:textId="68FCD08E" w:rsidR="008E1911" w:rsidRPr="006255A6" w:rsidRDefault="008E1911" w:rsidP="00E105D8">
            <w:pPr>
              <w:spacing w:before="60" w:after="60"/>
              <w:rPr>
                <w:rFonts w:asciiTheme="minorHAnsi" w:hAnsiTheme="minorHAnsi"/>
                <w:sz w:val="16"/>
                <w:szCs w:val="16"/>
              </w:rPr>
            </w:pPr>
            <w:r w:rsidRPr="006255A6">
              <w:rPr>
                <w:rFonts w:asciiTheme="minorHAnsi" w:hAnsiTheme="minorHAnsi"/>
                <w:b/>
                <w:sz w:val="16"/>
                <w:szCs w:val="16"/>
              </w:rPr>
              <w:t>Procesy KaN jsou spojeny s nadbytečnými manuálními úkony.</w:t>
            </w:r>
            <w:r w:rsidRPr="006255A6">
              <w:rPr>
                <w:rFonts w:asciiTheme="minorHAnsi" w:hAnsiTheme="minorHAnsi"/>
                <w:sz w:val="16"/>
                <w:szCs w:val="16"/>
              </w:rPr>
              <w:t xml:space="preserve"> </w:t>
            </w:r>
          </w:p>
        </w:tc>
        <w:tc>
          <w:tcPr>
            <w:tcW w:w="2086"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625C502" w14:textId="1F2E05D9"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b/>
                <w:sz w:val="16"/>
                <w:szCs w:val="16"/>
              </w:rPr>
              <w:t xml:space="preserve">Odvázání KnM od </w:t>
            </w:r>
            <w:r w:rsidR="00825645" w:rsidRPr="006255A6">
              <w:rPr>
                <w:rFonts w:asciiTheme="minorHAnsi" w:hAnsiTheme="minorHAnsi"/>
                <w:b/>
                <w:sz w:val="16"/>
                <w:szCs w:val="16"/>
              </w:rPr>
              <w:t>ŽoPl</w:t>
            </w:r>
            <w:r w:rsidRPr="006255A6">
              <w:rPr>
                <w:rFonts w:asciiTheme="minorHAnsi" w:hAnsiTheme="minorHAnsi"/>
                <w:sz w:val="16"/>
                <w:szCs w:val="16"/>
              </w:rPr>
              <w:t>.</w:t>
            </w:r>
          </w:p>
          <w:p w14:paraId="3203C042"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Zavedení povinné účasti zadavatele požadavku na KnM ze strany ZS.</w:t>
            </w:r>
          </w:p>
          <w:p w14:paraId="54F37858"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b/>
                <w:sz w:val="16"/>
                <w:szCs w:val="16"/>
              </w:rPr>
            </w:pPr>
            <w:r w:rsidRPr="006255A6">
              <w:rPr>
                <w:rFonts w:asciiTheme="minorHAnsi" w:hAnsiTheme="minorHAnsi"/>
                <w:b/>
                <w:sz w:val="16"/>
                <w:szCs w:val="16"/>
              </w:rPr>
              <w:t>Svěření výkonu KnM externímu dodavateli.</w:t>
            </w:r>
          </w:p>
          <w:p w14:paraId="1B5CB60A"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Zrušení nebo automatizace sestav do MKPK.</w:t>
            </w:r>
          </w:p>
          <w:p w14:paraId="4EC070F4"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b/>
                <w:sz w:val="16"/>
                <w:szCs w:val="16"/>
              </w:rPr>
            </w:pPr>
            <w:r w:rsidRPr="006255A6">
              <w:rPr>
                <w:rFonts w:asciiTheme="minorHAnsi" w:hAnsiTheme="minorHAnsi"/>
                <w:b/>
                <w:sz w:val="16"/>
                <w:szCs w:val="16"/>
              </w:rPr>
              <w:t>Vyjmutí povinnosti kontroly statusu MSP z KnM.</w:t>
            </w:r>
          </w:p>
          <w:p w14:paraId="47BA19E1"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 xml:space="preserve">Vyjmutí kontroly mzdových nákladů z KnM. / </w:t>
            </w:r>
            <w:r w:rsidRPr="006255A6">
              <w:rPr>
                <w:rFonts w:asciiTheme="minorHAnsi" w:hAnsiTheme="minorHAnsi"/>
                <w:b/>
                <w:sz w:val="16"/>
                <w:szCs w:val="16"/>
              </w:rPr>
              <w:t>Zavedení paušálního financování mzdových nákladů</w:t>
            </w:r>
            <w:r w:rsidRPr="006255A6">
              <w:rPr>
                <w:rFonts w:asciiTheme="minorHAnsi" w:hAnsiTheme="minorHAnsi"/>
                <w:sz w:val="16"/>
                <w:szCs w:val="16"/>
              </w:rPr>
              <w:t>.</w:t>
            </w:r>
          </w:p>
          <w:p w14:paraId="497FB364"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Zrušení automatického posílání KnM na nezahájené projekty a automatické zahájení procesu odnětí dotace.</w:t>
            </w:r>
          </w:p>
        </w:tc>
        <w:tc>
          <w:tcPr>
            <w:tcW w:w="733"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4311D753"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Krátkodobý horizont</w:t>
            </w:r>
          </w:p>
        </w:tc>
      </w:tr>
      <w:tr w:rsidR="008E1911" w:rsidRPr="006255A6" w14:paraId="43D5D92E"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FC4AF29" w14:textId="4D1F0142"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1</w:t>
            </w:r>
            <w:r w:rsidR="008A362D" w:rsidRPr="006255A6">
              <w:rPr>
                <w:rFonts w:asciiTheme="minorHAnsi" w:hAnsiTheme="minorHAnsi"/>
                <w:sz w:val="16"/>
                <w:szCs w:val="16"/>
              </w:rPr>
              <w:t>3</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780B59F" w14:textId="080CAA0C" w:rsidR="008E1911" w:rsidRPr="006255A6" w:rsidRDefault="008E1911" w:rsidP="00771D4B">
            <w:pPr>
              <w:spacing w:before="60" w:after="60"/>
              <w:rPr>
                <w:rFonts w:asciiTheme="minorHAnsi" w:hAnsiTheme="minorHAnsi"/>
                <w:sz w:val="16"/>
                <w:szCs w:val="16"/>
              </w:rPr>
            </w:pPr>
            <w:r w:rsidRPr="006255A6">
              <w:rPr>
                <w:rFonts w:asciiTheme="minorHAnsi" w:hAnsiTheme="minorHAnsi"/>
                <w:b/>
                <w:sz w:val="16"/>
                <w:szCs w:val="16"/>
              </w:rPr>
              <w:t>Ověřování statusu MSP</w:t>
            </w:r>
            <w:r w:rsidRPr="006255A6">
              <w:rPr>
                <w:rFonts w:asciiTheme="minorHAnsi" w:hAnsiTheme="minorHAnsi"/>
                <w:sz w:val="16"/>
                <w:szCs w:val="16"/>
              </w:rPr>
              <w:t xml:space="preserve"> v rámci kontroly na místě je </w:t>
            </w:r>
            <w:r w:rsidRPr="006255A6">
              <w:rPr>
                <w:rFonts w:asciiTheme="minorHAnsi" w:hAnsiTheme="minorHAnsi"/>
                <w:b/>
                <w:sz w:val="16"/>
                <w:szCs w:val="16"/>
              </w:rPr>
              <w:t>časově nejnáročnější činnost s nízkou přidanou hodnotou</w:t>
            </w:r>
            <w:r w:rsidRPr="006255A6">
              <w:rPr>
                <w:rFonts w:asciiTheme="minorHAnsi" w:hAnsiTheme="minorHAnsi"/>
                <w:sz w:val="16"/>
                <w:szCs w:val="16"/>
              </w:rPr>
              <w:t xml:space="preserve">. </w:t>
            </w:r>
          </w:p>
        </w:tc>
        <w:tc>
          <w:tcPr>
            <w:tcW w:w="2086" w:type="pct"/>
            <w:vMerge/>
            <w:vAlign w:val="center"/>
            <w:hideMark/>
          </w:tcPr>
          <w:p w14:paraId="4FC48D2C" w14:textId="77777777" w:rsidR="008E1911" w:rsidRPr="006255A6" w:rsidRDefault="008E1911" w:rsidP="00EF3B47">
            <w:pPr>
              <w:spacing w:before="60" w:after="60"/>
              <w:rPr>
                <w:rFonts w:asciiTheme="minorHAnsi" w:hAnsiTheme="minorHAnsi"/>
                <w:b/>
                <w:sz w:val="16"/>
                <w:szCs w:val="16"/>
              </w:rPr>
            </w:pPr>
          </w:p>
        </w:tc>
        <w:tc>
          <w:tcPr>
            <w:tcW w:w="733" w:type="pct"/>
            <w:vMerge/>
            <w:vAlign w:val="center"/>
            <w:hideMark/>
          </w:tcPr>
          <w:p w14:paraId="4268A6DA" w14:textId="77777777" w:rsidR="008E1911" w:rsidRPr="006255A6" w:rsidRDefault="008E1911" w:rsidP="00EF3B47">
            <w:pPr>
              <w:spacing w:before="60" w:after="60"/>
              <w:rPr>
                <w:rFonts w:asciiTheme="minorHAnsi" w:hAnsiTheme="minorHAnsi"/>
                <w:sz w:val="16"/>
                <w:szCs w:val="16"/>
              </w:rPr>
            </w:pPr>
          </w:p>
        </w:tc>
      </w:tr>
      <w:tr w:rsidR="008E1911" w:rsidRPr="006255A6" w14:paraId="0970C88F"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DF98755" w14:textId="186818C9"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1</w:t>
            </w:r>
            <w:r w:rsidR="008A362D" w:rsidRPr="006255A6">
              <w:rPr>
                <w:rFonts w:asciiTheme="minorHAnsi" w:hAnsiTheme="minorHAnsi"/>
                <w:sz w:val="16"/>
                <w:szCs w:val="16"/>
              </w:rPr>
              <w:t>4</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8C9CEF9" w14:textId="6C8BA372" w:rsidR="008E1911" w:rsidRPr="006255A6" w:rsidRDefault="008E1911" w:rsidP="00771D4B">
            <w:pPr>
              <w:spacing w:before="60" w:after="60"/>
              <w:rPr>
                <w:rFonts w:asciiTheme="minorHAnsi" w:hAnsiTheme="minorHAnsi"/>
                <w:sz w:val="16"/>
                <w:szCs w:val="16"/>
              </w:rPr>
            </w:pPr>
            <w:r w:rsidRPr="006255A6">
              <w:rPr>
                <w:rFonts w:asciiTheme="minorHAnsi" w:hAnsiTheme="minorHAnsi"/>
                <w:b/>
                <w:sz w:val="16"/>
                <w:szCs w:val="16"/>
              </w:rPr>
              <w:t>Kontrola mzdových nákladů</w:t>
            </w:r>
            <w:r w:rsidR="00771D4B" w:rsidRPr="006255A6">
              <w:rPr>
                <w:rFonts w:asciiTheme="minorHAnsi" w:hAnsiTheme="minorHAnsi"/>
                <w:sz w:val="16"/>
                <w:szCs w:val="16"/>
              </w:rPr>
              <w:t xml:space="preserve"> </w:t>
            </w:r>
            <w:r w:rsidR="00771D4B" w:rsidRPr="006255A6">
              <w:rPr>
                <w:rFonts w:asciiTheme="minorHAnsi" w:hAnsiTheme="minorHAnsi"/>
                <w:b/>
                <w:sz w:val="16"/>
                <w:szCs w:val="16"/>
              </w:rPr>
              <w:t xml:space="preserve">je </w:t>
            </w:r>
            <w:r w:rsidRPr="006255A6">
              <w:rPr>
                <w:rFonts w:asciiTheme="minorHAnsi" w:hAnsiTheme="minorHAnsi"/>
                <w:b/>
                <w:sz w:val="16"/>
                <w:szCs w:val="16"/>
              </w:rPr>
              <w:t>časově náročná a zpomaluje celý proces</w:t>
            </w:r>
            <w:r w:rsidRPr="006255A6">
              <w:rPr>
                <w:rFonts w:asciiTheme="minorHAnsi" w:hAnsiTheme="minorHAnsi"/>
                <w:sz w:val="16"/>
                <w:szCs w:val="16"/>
              </w:rPr>
              <w:t xml:space="preserve"> kontrol.</w:t>
            </w:r>
          </w:p>
        </w:tc>
        <w:tc>
          <w:tcPr>
            <w:tcW w:w="2086" w:type="pct"/>
            <w:vMerge/>
            <w:vAlign w:val="center"/>
            <w:hideMark/>
          </w:tcPr>
          <w:p w14:paraId="2116137B" w14:textId="77777777" w:rsidR="008E1911" w:rsidRPr="006255A6" w:rsidRDefault="008E1911" w:rsidP="00EF3B47">
            <w:pPr>
              <w:spacing w:before="60" w:after="60"/>
              <w:rPr>
                <w:rFonts w:asciiTheme="minorHAnsi" w:hAnsiTheme="minorHAnsi"/>
                <w:b/>
                <w:sz w:val="16"/>
                <w:szCs w:val="16"/>
              </w:rPr>
            </w:pPr>
          </w:p>
        </w:tc>
        <w:tc>
          <w:tcPr>
            <w:tcW w:w="733" w:type="pct"/>
            <w:vMerge/>
            <w:vAlign w:val="center"/>
            <w:hideMark/>
          </w:tcPr>
          <w:p w14:paraId="66F6142C" w14:textId="77777777" w:rsidR="008E1911" w:rsidRPr="006255A6" w:rsidRDefault="008E1911" w:rsidP="00EF3B47">
            <w:pPr>
              <w:spacing w:before="60" w:after="60"/>
              <w:rPr>
                <w:rFonts w:asciiTheme="minorHAnsi" w:hAnsiTheme="minorHAnsi"/>
                <w:sz w:val="16"/>
                <w:szCs w:val="16"/>
              </w:rPr>
            </w:pPr>
          </w:p>
        </w:tc>
      </w:tr>
      <w:tr w:rsidR="008E1911" w:rsidRPr="006255A6" w14:paraId="3C8853B2"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46CAD0FE" w14:textId="55FCCB41"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1</w:t>
            </w:r>
            <w:r w:rsidR="008A362D" w:rsidRPr="006255A6">
              <w:rPr>
                <w:rFonts w:asciiTheme="minorHAnsi" w:hAnsiTheme="minorHAnsi"/>
                <w:sz w:val="16"/>
                <w:szCs w:val="16"/>
              </w:rPr>
              <w:t>5</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DC07F35" w14:textId="46FA0719" w:rsidR="008E1911" w:rsidRPr="006255A6" w:rsidRDefault="008E1911" w:rsidP="00771D4B">
            <w:pPr>
              <w:spacing w:before="60" w:after="60"/>
              <w:rPr>
                <w:rFonts w:asciiTheme="minorHAnsi" w:hAnsiTheme="minorHAnsi"/>
                <w:sz w:val="16"/>
                <w:szCs w:val="16"/>
              </w:rPr>
            </w:pPr>
            <w:r w:rsidRPr="006255A6">
              <w:rPr>
                <w:rFonts w:asciiTheme="minorHAnsi" w:hAnsiTheme="minorHAnsi"/>
                <w:b/>
                <w:sz w:val="16"/>
                <w:szCs w:val="16"/>
              </w:rPr>
              <w:t>Kontroly na místě jsou prováděny i v případě "mrtvých projektů"</w:t>
            </w:r>
            <w:r w:rsidR="006151AF">
              <w:rPr>
                <w:rFonts w:asciiTheme="minorHAnsi" w:hAnsiTheme="minorHAnsi"/>
                <w:b/>
                <w:sz w:val="16"/>
                <w:szCs w:val="16"/>
              </w:rPr>
              <w:t>.</w:t>
            </w:r>
          </w:p>
        </w:tc>
        <w:tc>
          <w:tcPr>
            <w:tcW w:w="2086" w:type="pct"/>
            <w:vMerge/>
            <w:vAlign w:val="center"/>
            <w:hideMark/>
          </w:tcPr>
          <w:p w14:paraId="0CDCF36B" w14:textId="77777777" w:rsidR="008E1911" w:rsidRPr="006255A6" w:rsidRDefault="008E1911" w:rsidP="00EF3B47">
            <w:pPr>
              <w:spacing w:before="60" w:after="60"/>
              <w:rPr>
                <w:rFonts w:asciiTheme="minorHAnsi" w:hAnsiTheme="minorHAnsi"/>
                <w:b/>
                <w:sz w:val="16"/>
                <w:szCs w:val="16"/>
              </w:rPr>
            </w:pPr>
          </w:p>
        </w:tc>
        <w:tc>
          <w:tcPr>
            <w:tcW w:w="733" w:type="pct"/>
            <w:vMerge/>
            <w:vAlign w:val="center"/>
            <w:hideMark/>
          </w:tcPr>
          <w:p w14:paraId="1372F75D" w14:textId="77777777" w:rsidR="008E1911" w:rsidRPr="006255A6" w:rsidRDefault="008E1911" w:rsidP="00EF3B47">
            <w:pPr>
              <w:spacing w:before="60" w:after="60"/>
              <w:rPr>
                <w:rFonts w:asciiTheme="minorHAnsi" w:hAnsiTheme="minorHAnsi"/>
                <w:sz w:val="16"/>
                <w:szCs w:val="16"/>
              </w:rPr>
            </w:pPr>
          </w:p>
        </w:tc>
      </w:tr>
      <w:tr w:rsidR="008E1911" w:rsidRPr="006255A6" w14:paraId="08E136F0"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E6667B0" w14:textId="5369ED1F" w:rsidR="008E1911" w:rsidRPr="006255A6" w:rsidRDefault="002B3DD3" w:rsidP="00EF3B47">
            <w:pPr>
              <w:spacing w:before="60" w:after="60"/>
              <w:rPr>
                <w:rFonts w:asciiTheme="minorHAnsi" w:hAnsiTheme="minorHAnsi"/>
                <w:sz w:val="16"/>
                <w:szCs w:val="16"/>
              </w:rPr>
            </w:pPr>
            <w:r w:rsidRPr="006255A6">
              <w:rPr>
                <w:rFonts w:asciiTheme="minorHAnsi" w:hAnsiTheme="minorHAnsi"/>
                <w:sz w:val="16"/>
                <w:szCs w:val="16"/>
              </w:rPr>
              <w:t>1</w:t>
            </w:r>
            <w:r w:rsidR="008A362D" w:rsidRPr="006255A6">
              <w:rPr>
                <w:rFonts w:asciiTheme="minorHAnsi" w:hAnsiTheme="minorHAnsi"/>
                <w:sz w:val="16"/>
                <w:szCs w:val="16"/>
              </w:rPr>
              <w:t>6</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9A4AE37"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b/>
                <w:sz w:val="16"/>
                <w:szCs w:val="16"/>
              </w:rPr>
              <w:t xml:space="preserve">Sankční systém u Závěrečných zpráv o udržitelnosti vede k velkému množství hlášených nesrovnalostí </w:t>
            </w:r>
            <w:r w:rsidRPr="006255A6">
              <w:rPr>
                <w:rFonts w:asciiTheme="minorHAnsi" w:hAnsiTheme="minorHAnsi"/>
                <w:sz w:val="16"/>
                <w:szCs w:val="16"/>
              </w:rPr>
              <w:t>v nevýznamné výši 0,01 % (v řádech tisíců korun) a administrativní zátěži implementační struktury.</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DBC67BE"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b/>
                <w:sz w:val="16"/>
                <w:szCs w:val="16"/>
              </w:rPr>
            </w:pPr>
            <w:r w:rsidRPr="006255A6">
              <w:rPr>
                <w:rFonts w:asciiTheme="minorHAnsi" w:hAnsiTheme="minorHAnsi"/>
                <w:b/>
                <w:sz w:val="16"/>
                <w:szCs w:val="16"/>
              </w:rPr>
              <w:t>Zrušení sankčního mechanismu za nepředložení zprávy o udržitelnosti.</w:t>
            </w:r>
          </w:p>
          <w:p w14:paraId="6FE4D636"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b/>
                <w:sz w:val="16"/>
                <w:szCs w:val="16"/>
              </w:rPr>
            </w:pPr>
            <w:r w:rsidRPr="006255A6">
              <w:rPr>
                <w:rFonts w:asciiTheme="minorHAnsi" w:hAnsiTheme="minorHAnsi"/>
                <w:b/>
                <w:sz w:val="16"/>
                <w:szCs w:val="16"/>
              </w:rPr>
              <w:t>Zavedení automatické notifikace příjemců o jejich informační povinnosti do jejich datové schránky.</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38FACEED"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Krátkodobý horizont</w:t>
            </w:r>
          </w:p>
        </w:tc>
      </w:tr>
      <w:tr w:rsidR="008E1911" w:rsidRPr="006255A6" w14:paraId="0517BE74"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43054AB0" w14:textId="122FC3AB" w:rsidR="008E1911" w:rsidRPr="006255A6" w:rsidRDefault="002B3DD3" w:rsidP="00EF3B47">
            <w:pPr>
              <w:spacing w:before="60" w:after="60"/>
              <w:rPr>
                <w:rFonts w:asciiTheme="minorHAnsi" w:hAnsiTheme="minorHAnsi"/>
                <w:sz w:val="16"/>
                <w:szCs w:val="16"/>
              </w:rPr>
            </w:pPr>
            <w:r w:rsidRPr="006255A6">
              <w:rPr>
                <w:rFonts w:asciiTheme="minorHAnsi" w:hAnsiTheme="minorHAnsi"/>
                <w:sz w:val="16"/>
                <w:szCs w:val="16"/>
              </w:rPr>
              <w:t>1</w:t>
            </w:r>
            <w:r w:rsidR="008A362D" w:rsidRPr="006255A6">
              <w:rPr>
                <w:rFonts w:asciiTheme="minorHAnsi" w:hAnsiTheme="minorHAnsi"/>
                <w:sz w:val="16"/>
                <w:szCs w:val="16"/>
              </w:rPr>
              <w:t>7</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D0F0FF0"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b/>
                <w:sz w:val="16"/>
                <w:szCs w:val="16"/>
              </w:rPr>
              <w:t>ZS nedostává zpětnou vazbu</w:t>
            </w:r>
            <w:r w:rsidRPr="006255A6">
              <w:rPr>
                <w:rFonts w:asciiTheme="minorHAnsi" w:hAnsiTheme="minorHAnsi"/>
                <w:sz w:val="16"/>
                <w:szCs w:val="16"/>
              </w:rPr>
              <w:t xml:space="preserve"> o dalším postupu v případě nahlášených nesrovnalostí.</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5E34767"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Posílání zpětné vazby ZS o procesu nesrovnalostí.</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7B36EC64"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Krátkodobý horizont</w:t>
            </w:r>
          </w:p>
        </w:tc>
      </w:tr>
      <w:tr w:rsidR="008E1911" w:rsidRPr="006255A6" w14:paraId="35A2D30A"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AF22102" w14:textId="2F3DC83D" w:rsidR="008E1911" w:rsidRPr="006255A6" w:rsidRDefault="002B3DD3" w:rsidP="00EF3B47">
            <w:pPr>
              <w:spacing w:before="60" w:after="60"/>
              <w:rPr>
                <w:rFonts w:asciiTheme="minorHAnsi" w:hAnsiTheme="minorHAnsi"/>
                <w:sz w:val="16"/>
                <w:szCs w:val="16"/>
              </w:rPr>
            </w:pPr>
            <w:r w:rsidRPr="006255A6">
              <w:rPr>
                <w:rFonts w:asciiTheme="minorHAnsi" w:hAnsiTheme="minorHAnsi"/>
                <w:sz w:val="16"/>
                <w:szCs w:val="16"/>
              </w:rPr>
              <w:t>1</w:t>
            </w:r>
            <w:r w:rsidR="008A362D" w:rsidRPr="006255A6">
              <w:rPr>
                <w:rFonts w:asciiTheme="minorHAnsi" w:hAnsiTheme="minorHAnsi"/>
                <w:sz w:val="16"/>
                <w:szCs w:val="16"/>
              </w:rPr>
              <w:t>8</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5E944C3" w14:textId="77777777" w:rsidR="008E1911" w:rsidRPr="006255A6" w:rsidRDefault="008E1911" w:rsidP="00EF3B47">
            <w:pPr>
              <w:spacing w:before="60" w:after="60"/>
              <w:rPr>
                <w:rFonts w:asciiTheme="minorHAnsi" w:hAnsiTheme="minorHAnsi"/>
                <w:b/>
                <w:sz w:val="16"/>
                <w:szCs w:val="16"/>
              </w:rPr>
            </w:pPr>
            <w:r w:rsidRPr="006255A6">
              <w:rPr>
                <w:rFonts w:asciiTheme="minorHAnsi" w:hAnsiTheme="minorHAnsi"/>
                <w:sz w:val="16"/>
                <w:szCs w:val="16"/>
              </w:rPr>
              <w:t xml:space="preserve">Dlouhá prodleva mezi uvalením a uplatněním </w:t>
            </w:r>
            <w:r w:rsidRPr="006255A6">
              <w:rPr>
                <w:rFonts w:asciiTheme="minorHAnsi" w:hAnsiTheme="minorHAnsi"/>
                <w:b/>
                <w:sz w:val="16"/>
                <w:szCs w:val="16"/>
              </w:rPr>
              <w:t>sankce</w:t>
            </w:r>
            <w:r w:rsidRPr="006255A6">
              <w:rPr>
                <w:rFonts w:asciiTheme="minorHAnsi" w:hAnsiTheme="minorHAnsi"/>
                <w:sz w:val="16"/>
                <w:szCs w:val="16"/>
              </w:rPr>
              <w:t xml:space="preserve"> vede zásahu do více účetních období.</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0FFAA35"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Robotizace a automatizace procesů výpočtu sankcí.</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7B318406" w14:textId="1055BD54" w:rsidR="008E1911" w:rsidRPr="006255A6" w:rsidRDefault="006151AF" w:rsidP="00EF3B47">
            <w:pPr>
              <w:spacing w:before="60" w:after="60"/>
              <w:rPr>
                <w:rFonts w:asciiTheme="minorHAnsi" w:hAnsiTheme="minorHAnsi"/>
                <w:sz w:val="16"/>
                <w:szCs w:val="16"/>
              </w:rPr>
            </w:pPr>
            <w:r w:rsidRPr="006255A6">
              <w:rPr>
                <w:rFonts w:asciiTheme="minorHAnsi" w:hAnsiTheme="minorHAnsi"/>
                <w:sz w:val="16"/>
                <w:szCs w:val="16"/>
              </w:rPr>
              <w:t>Střednědobý horizont</w:t>
            </w:r>
          </w:p>
        </w:tc>
      </w:tr>
      <w:tr w:rsidR="008E1911" w:rsidRPr="006255A6" w14:paraId="7188AF95"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42870006" w14:textId="20B1ADA4" w:rsidR="008E1911" w:rsidRPr="006255A6" w:rsidRDefault="002B3DD3" w:rsidP="00EF3B47">
            <w:pPr>
              <w:spacing w:before="60" w:after="60"/>
              <w:rPr>
                <w:rFonts w:asciiTheme="minorHAnsi" w:hAnsiTheme="minorHAnsi"/>
                <w:sz w:val="16"/>
                <w:szCs w:val="16"/>
              </w:rPr>
            </w:pPr>
            <w:r w:rsidRPr="006255A6">
              <w:rPr>
                <w:rFonts w:asciiTheme="minorHAnsi" w:hAnsiTheme="minorHAnsi"/>
                <w:sz w:val="16"/>
                <w:szCs w:val="16"/>
              </w:rPr>
              <w:t>1</w:t>
            </w:r>
            <w:r w:rsidR="008A362D" w:rsidRPr="006255A6">
              <w:rPr>
                <w:rFonts w:asciiTheme="minorHAnsi" w:hAnsiTheme="minorHAnsi"/>
                <w:sz w:val="16"/>
                <w:szCs w:val="16"/>
              </w:rPr>
              <w:t>9</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018B467"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b/>
                <w:sz w:val="16"/>
                <w:szCs w:val="16"/>
              </w:rPr>
              <w:t>Složitost krácení dotací</w:t>
            </w:r>
            <w:r w:rsidRPr="006255A6">
              <w:rPr>
                <w:rFonts w:asciiTheme="minorHAnsi" w:hAnsiTheme="minorHAnsi"/>
                <w:sz w:val="16"/>
                <w:szCs w:val="16"/>
              </w:rPr>
              <w:t xml:space="preserve"> dle §14 zákona č. 218/2000 Sb. Vliv krácení nezpůsobilých výdajů na vnitřní limity. </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ECDC588"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Robotizace, automatizace výpočtu krácení dotace.</w:t>
            </w:r>
          </w:p>
          <w:p w14:paraId="171FE4C0"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b/>
                <w:sz w:val="16"/>
                <w:szCs w:val="16"/>
              </w:rPr>
            </w:pPr>
            <w:r w:rsidRPr="006255A6">
              <w:rPr>
                <w:rFonts w:asciiTheme="minorHAnsi" w:hAnsiTheme="minorHAnsi"/>
                <w:b/>
                <w:sz w:val="16"/>
                <w:szCs w:val="16"/>
              </w:rPr>
              <w:t>Zavedení jednotné míry podpory.</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3D975445" w14:textId="4127B739" w:rsidR="008E1911" w:rsidRPr="006255A6" w:rsidRDefault="006151AF" w:rsidP="00EF3B47">
            <w:pPr>
              <w:spacing w:before="60" w:after="60"/>
              <w:rPr>
                <w:rFonts w:asciiTheme="minorHAnsi" w:hAnsiTheme="minorHAnsi"/>
                <w:sz w:val="16"/>
                <w:szCs w:val="16"/>
              </w:rPr>
            </w:pPr>
            <w:r w:rsidRPr="006255A6">
              <w:rPr>
                <w:rFonts w:asciiTheme="minorHAnsi" w:hAnsiTheme="minorHAnsi"/>
                <w:sz w:val="16"/>
                <w:szCs w:val="16"/>
              </w:rPr>
              <w:t>Střednědobý horizont</w:t>
            </w:r>
          </w:p>
        </w:tc>
      </w:tr>
      <w:tr w:rsidR="008E1911" w:rsidRPr="006255A6" w14:paraId="6C3EA59A"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23C4E323" w14:textId="77777777" w:rsidR="008E1911" w:rsidRPr="006255A6" w:rsidRDefault="008E1911" w:rsidP="00EF3B47">
            <w:pPr>
              <w:spacing w:before="60" w:after="60"/>
              <w:rPr>
                <w:rFonts w:asciiTheme="minorHAnsi" w:hAnsiTheme="minorHAnsi"/>
                <w:sz w:val="16"/>
                <w:szCs w:val="16"/>
              </w:rPr>
            </w:pPr>
          </w:p>
        </w:tc>
        <w:tc>
          <w:tcPr>
            <w:tcW w:w="4854" w:type="pct"/>
            <w:gridSpan w:val="3"/>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534A80DE"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b/>
                <w:sz w:val="16"/>
                <w:szCs w:val="16"/>
              </w:rPr>
              <w:t>Komunikace</w:t>
            </w:r>
          </w:p>
        </w:tc>
      </w:tr>
      <w:tr w:rsidR="008E1911" w:rsidRPr="006255A6" w14:paraId="44FB387F"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3A6406CC" w14:textId="6EC76371" w:rsidR="008E1911" w:rsidRPr="006255A6" w:rsidRDefault="008A362D" w:rsidP="00EF3B47">
            <w:pPr>
              <w:spacing w:before="60" w:after="60"/>
              <w:rPr>
                <w:rFonts w:asciiTheme="minorHAnsi" w:hAnsiTheme="minorHAnsi"/>
                <w:sz w:val="16"/>
                <w:szCs w:val="16"/>
              </w:rPr>
            </w:pPr>
            <w:r w:rsidRPr="006255A6">
              <w:rPr>
                <w:rFonts w:asciiTheme="minorHAnsi" w:hAnsiTheme="minorHAnsi"/>
                <w:sz w:val="16"/>
                <w:szCs w:val="16"/>
              </w:rPr>
              <w:t>20</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A6591B5" w14:textId="5A74A4A1" w:rsidR="008E1911" w:rsidRPr="006255A6" w:rsidRDefault="008E1911" w:rsidP="007119B0">
            <w:pPr>
              <w:spacing w:before="60" w:after="60"/>
              <w:rPr>
                <w:rFonts w:asciiTheme="minorHAnsi" w:hAnsiTheme="minorHAnsi"/>
                <w:sz w:val="16"/>
                <w:szCs w:val="16"/>
              </w:rPr>
            </w:pPr>
            <w:r w:rsidRPr="006255A6">
              <w:rPr>
                <w:rFonts w:asciiTheme="minorHAnsi" w:hAnsiTheme="minorHAnsi"/>
                <w:b/>
                <w:sz w:val="16"/>
                <w:szCs w:val="16"/>
              </w:rPr>
              <w:t>Nedostatečně nastavené procesy komunikace a absence platforem komunikace uvnitř implementační struktury OP PIK</w:t>
            </w:r>
            <w:r w:rsidR="006151AF">
              <w:rPr>
                <w:rFonts w:asciiTheme="minorHAnsi" w:hAnsiTheme="minorHAnsi"/>
                <w:sz w:val="16"/>
                <w:szCs w:val="16"/>
              </w:rPr>
              <w:t>.</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15939F2E"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Zavedení komunikačních mechanismů v rámci IS OP PIK (platforma sdílení informací nad rámec sekčních porad) např. s využitím platformy Programboard pro sdílení informací.</w:t>
            </w:r>
          </w:p>
          <w:p w14:paraId="5B4E53B1" w14:textId="0F33A75D"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 xml:space="preserve">Zavést cílený sběr a sdílení příkladů dobré a špatné praxe, opět s využitím jedné </w:t>
            </w:r>
            <w:r w:rsidR="002A6997" w:rsidRPr="006255A6">
              <w:rPr>
                <w:rFonts w:asciiTheme="minorHAnsi" w:hAnsiTheme="minorHAnsi"/>
                <w:sz w:val="16"/>
                <w:szCs w:val="16"/>
              </w:rPr>
              <w:t>platformy</w:t>
            </w:r>
            <w:r w:rsidRPr="006255A6">
              <w:rPr>
                <w:rFonts w:asciiTheme="minorHAnsi" w:hAnsiTheme="minorHAnsi"/>
                <w:sz w:val="16"/>
                <w:szCs w:val="16"/>
              </w:rPr>
              <w:t xml:space="preserve">, např. Programboard s jednoduchou orientací a vyhledáváním. </w:t>
            </w:r>
          </w:p>
        </w:tc>
        <w:tc>
          <w:tcPr>
            <w:tcW w:w="733" w:type="pct"/>
            <w:tcBorders>
              <w:top w:val="single" w:sz="6" w:space="0" w:color="D9D9D9" w:themeColor="background1" w:themeShade="D9"/>
              <w:left w:val="single" w:sz="4" w:space="0" w:color="D0EC9F" w:themeColor="accent1" w:themeTint="66"/>
              <w:right w:val="nil"/>
            </w:tcBorders>
            <w:hideMark/>
          </w:tcPr>
          <w:p w14:paraId="66ED9F0A"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Střednědobý horizont</w:t>
            </w:r>
          </w:p>
        </w:tc>
      </w:tr>
      <w:tr w:rsidR="008E1911" w:rsidRPr="006255A6" w14:paraId="69A855EC" w14:textId="77777777" w:rsidTr="1B8B314C">
        <w:tc>
          <w:tcPr>
            <w:tcW w:w="14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4B32F42" w14:textId="13730AA5"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2</w:t>
            </w:r>
            <w:r w:rsidR="008A362D" w:rsidRPr="006255A6">
              <w:rPr>
                <w:rFonts w:asciiTheme="minorHAnsi" w:hAnsiTheme="minorHAnsi"/>
                <w:sz w:val="16"/>
                <w:szCs w:val="16"/>
              </w:rPr>
              <w:t>1</w:t>
            </w:r>
          </w:p>
        </w:tc>
        <w:tc>
          <w:tcPr>
            <w:tcW w:w="2035"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1928EFFD" w14:textId="3F6C0A3F" w:rsidR="008E1911" w:rsidRPr="006255A6" w:rsidRDefault="008E1911" w:rsidP="00037C71">
            <w:pPr>
              <w:spacing w:before="60" w:after="60"/>
              <w:rPr>
                <w:rFonts w:asciiTheme="minorHAnsi" w:hAnsiTheme="minorHAnsi"/>
                <w:b/>
                <w:bCs/>
                <w:sz w:val="16"/>
                <w:szCs w:val="16"/>
              </w:rPr>
            </w:pPr>
            <w:r w:rsidRPr="006255A6">
              <w:rPr>
                <w:rFonts w:asciiTheme="minorHAnsi" w:hAnsiTheme="minorHAnsi"/>
                <w:b/>
                <w:bCs/>
                <w:sz w:val="16"/>
                <w:szCs w:val="16"/>
              </w:rPr>
              <w:t>Jazyk</w:t>
            </w:r>
            <w:r w:rsidRPr="006255A6">
              <w:rPr>
                <w:rFonts w:asciiTheme="minorHAnsi" w:hAnsiTheme="minorHAnsi"/>
                <w:sz w:val="16"/>
                <w:szCs w:val="16"/>
              </w:rPr>
              <w:t xml:space="preserve">, kterým je podpora OP PIK </w:t>
            </w:r>
            <w:r w:rsidRPr="006255A6">
              <w:rPr>
                <w:rFonts w:asciiTheme="minorHAnsi" w:hAnsiTheme="minorHAnsi"/>
                <w:b/>
                <w:bCs/>
                <w:sz w:val="16"/>
                <w:szCs w:val="16"/>
              </w:rPr>
              <w:t>komunikována</w:t>
            </w:r>
            <w:r w:rsidR="028DE019" w:rsidRPr="006255A6">
              <w:rPr>
                <w:rFonts w:asciiTheme="minorHAnsi" w:hAnsiTheme="minorHAnsi"/>
                <w:b/>
                <w:bCs/>
                <w:sz w:val="16"/>
                <w:szCs w:val="16"/>
              </w:rPr>
              <w:t>,</w:t>
            </w:r>
            <w:r w:rsidRPr="006255A6">
              <w:rPr>
                <w:rFonts w:asciiTheme="minorHAnsi" w:hAnsiTheme="minorHAnsi"/>
                <w:b/>
                <w:bCs/>
                <w:sz w:val="16"/>
                <w:szCs w:val="16"/>
              </w:rPr>
              <w:t xml:space="preserve"> není </w:t>
            </w:r>
            <w:r w:rsidR="007119B0" w:rsidRPr="006255A6">
              <w:rPr>
                <w:rFonts w:asciiTheme="minorHAnsi" w:hAnsiTheme="minorHAnsi"/>
                <w:b/>
                <w:bCs/>
                <w:sz w:val="16"/>
                <w:szCs w:val="16"/>
              </w:rPr>
              <w:t xml:space="preserve">vždy </w:t>
            </w:r>
            <w:r w:rsidRPr="006255A6">
              <w:rPr>
                <w:rFonts w:asciiTheme="minorHAnsi" w:hAnsiTheme="minorHAnsi"/>
                <w:b/>
                <w:bCs/>
                <w:sz w:val="16"/>
                <w:szCs w:val="16"/>
              </w:rPr>
              <w:t>uživatelsky přívětivý</w:t>
            </w:r>
            <w:r w:rsidRPr="006255A6">
              <w:rPr>
                <w:rFonts w:asciiTheme="minorHAnsi" w:hAnsiTheme="minorHAnsi"/>
                <w:sz w:val="16"/>
                <w:szCs w:val="16"/>
              </w:rPr>
              <w:t>, je pro žadatele složitý, formulace</w:t>
            </w:r>
            <w:r w:rsidR="028DE019" w:rsidRPr="006255A6">
              <w:rPr>
                <w:rFonts w:asciiTheme="minorHAnsi" w:hAnsiTheme="minorHAnsi"/>
                <w:sz w:val="16"/>
                <w:szCs w:val="16"/>
              </w:rPr>
              <w:t xml:space="preserve"> jsou</w:t>
            </w:r>
            <w:r w:rsidRPr="006255A6">
              <w:rPr>
                <w:rFonts w:asciiTheme="minorHAnsi" w:hAnsiTheme="minorHAnsi"/>
                <w:sz w:val="16"/>
                <w:szCs w:val="16"/>
              </w:rPr>
              <w:t xml:space="preserve"> dlouhé a nepřehledné. To se týká webových stránek, znění výzev</w:t>
            </w:r>
            <w:r w:rsidR="00037C71" w:rsidRPr="006255A6">
              <w:rPr>
                <w:rFonts w:asciiTheme="minorHAnsi" w:hAnsiTheme="minorHAnsi"/>
                <w:sz w:val="16"/>
                <w:szCs w:val="16"/>
              </w:rPr>
              <w:t xml:space="preserve"> a metodického prostředí. </w:t>
            </w:r>
          </w:p>
        </w:tc>
        <w:tc>
          <w:tcPr>
            <w:tcW w:w="2086"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28B7DDF" w14:textId="77777777" w:rsidR="008E1911" w:rsidRPr="006255A6" w:rsidRDefault="008E1911" w:rsidP="008E1911">
            <w:pPr>
              <w:pStyle w:val="ListParagraph"/>
              <w:numPr>
                <w:ilvl w:val="0"/>
                <w:numId w:val="31"/>
              </w:numPr>
              <w:spacing w:before="60" w:after="60"/>
              <w:ind w:left="224" w:right="134" w:hanging="180"/>
              <w:rPr>
                <w:rFonts w:asciiTheme="minorHAnsi" w:hAnsiTheme="minorHAnsi"/>
                <w:sz w:val="16"/>
                <w:szCs w:val="16"/>
              </w:rPr>
            </w:pPr>
            <w:r w:rsidRPr="006255A6">
              <w:rPr>
                <w:rFonts w:asciiTheme="minorHAnsi" w:hAnsiTheme="minorHAnsi"/>
                <w:sz w:val="16"/>
                <w:szCs w:val="16"/>
              </w:rPr>
              <w:t>Zjednodušení jazyka, sjednocení terminologie, nepoužívání odborných a cizích slov, zkrácení obsahu sdělení, zvýraznění důležitých informací, změn apod.</w:t>
            </w:r>
          </w:p>
        </w:tc>
        <w:tc>
          <w:tcPr>
            <w:tcW w:w="733"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4C68C05C" w14:textId="77777777" w:rsidR="008E1911" w:rsidRPr="006255A6" w:rsidRDefault="008E1911" w:rsidP="00EF3B47">
            <w:pPr>
              <w:spacing w:before="60" w:after="60"/>
              <w:rPr>
                <w:rFonts w:asciiTheme="minorHAnsi" w:hAnsiTheme="minorHAnsi"/>
                <w:sz w:val="16"/>
                <w:szCs w:val="16"/>
              </w:rPr>
            </w:pPr>
            <w:r w:rsidRPr="006255A6">
              <w:rPr>
                <w:rFonts w:asciiTheme="minorHAnsi" w:hAnsiTheme="minorHAnsi"/>
                <w:sz w:val="16"/>
                <w:szCs w:val="16"/>
              </w:rPr>
              <w:t>Krátkodobý horizont</w:t>
            </w:r>
          </w:p>
        </w:tc>
      </w:tr>
    </w:tbl>
    <w:p w14:paraId="282DB5ED" w14:textId="77777777" w:rsidR="008E1911" w:rsidRDefault="008E1911" w:rsidP="001D1E13">
      <w:pPr>
        <w:sectPr w:rsidR="008E1911" w:rsidSect="008E1911">
          <w:pgSz w:w="11906" w:h="16838" w:code="9"/>
          <w:pgMar w:top="1440" w:right="1080" w:bottom="1440" w:left="1080" w:header="677" w:footer="562" w:gutter="0"/>
          <w:cols w:space="284"/>
          <w:titlePg/>
          <w:docGrid w:linePitch="360"/>
        </w:sectPr>
      </w:pPr>
    </w:p>
    <w:p w14:paraId="1247C0AF" w14:textId="07BBF907" w:rsidR="002E114E" w:rsidRPr="00880699" w:rsidRDefault="00B36119" w:rsidP="00791621">
      <w:pPr>
        <w:pStyle w:val="Heading1"/>
        <w:spacing w:after="240" w:line="240" w:lineRule="auto"/>
        <w:jc w:val="both"/>
      </w:pPr>
      <w:bookmarkStart w:id="7" w:name="_Toc52532081"/>
      <w:bookmarkEnd w:id="5"/>
      <w:r>
        <w:lastRenderedPageBreak/>
        <w:t>Metodický postup</w:t>
      </w:r>
      <w:bookmarkEnd w:id="7"/>
    </w:p>
    <w:p w14:paraId="280ECCA0" w14:textId="4276397E" w:rsidR="001A00E1" w:rsidRPr="00880699" w:rsidRDefault="00A95801" w:rsidP="00A95801">
      <w:pPr>
        <w:spacing w:before="120" w:after="0" w:line="240" w:lineRule="auto"/>
        <w:jc w:val="both"/>
      </w:pPr>
      <w:r>
        <w:t xml:space="preserve">Předkládaná Závěrečná zpráva obsahuje syntézu analýzy dat získanou triangulací evaluačních metod. Závěrečná zpráva staví na zjištěních uvedených v Průběžné zprávě, které rozšiřuje o další zjištění získaných v rámci hloubkových rozhovorů od zástupců příjemců podpory. Závěrečná zpráva dále přináší odpovědi na stanovené evaluační otázky ze zadávací dokumentace a vypracovává 6 Karet optimalizačních opatření, k nedostatkům vybraným expertním panelem 28. května 2020. </w:t>
      </w:r>
    </w:p>
    <w:p w14:paraId="194E3F17" w14:textId="77777777" w:rsidR="00B807D4" w:rsidRDefault="00B807D4" w:rsidP="00B71517">
      <w:pPr>
        <w:spacing w:after="120" w:line="240" w:lineRule="auto"/>
        <w:jc w:val="both"/>
      </w:pPr>
    </w:p>
    <w:p w14:paraId="7B8C9A38" w14:textId="0922DB93" w:rsidR="00743C3E" w:rsidRPr="00880699" w:rsidRDefault="00743C3E" w:rsidP="00B71517">
      <w:pPr>
        <w:spacing w:after="120" w:line="240" w:lineRule="auto"/>
        <w:jc w:val="both"/>
      </w:pPr>
      <w:r w:rsidRPr="00880699">
        <w:t xml:space="preserve">Průběžná zpráva obsahuje </w:t>
      </w:r>
      <w:r w:rsidR="00C55E2B" w:rsidRPr="00880699">
        <w:t xml:space="preserve">relevantní zjištění z </w:t>
      </w:r>
      <w:r w:rsidRPr="00880699">
        <w:t>analýzy sekundárních zdrojů dat, dotazníkového šetření</w:t>
      </w:r>
      <w:r w:rsidR="008E0173" w:rsidRPr="00880699">
        <w:t xml:space="preserve"> (dále také „DŠ“)</w:t>
      </w:r>
      <w:r w:rsidRPr="00880699">
        <w:t xml:space="preserve"> mezi respondenty z řad implementační struktury a hloubkových rozhovorů s pracovníky implementační struktury.</w:t>
      </w:r>
      <w:r w:rsidR="00C55E2B" w:rsidRPr="00880699">
        <w:rPr>
          <w:rStyle w:val="FootnoteReference"/>
        </w:rPr>
        <w:footnoteReference w:id="2"/>
      </w:r>
      <w:r w:rsidRPr="00880699">
        <w:t xml:space="preserve"> </w:t>
      </w:r>
    </w:p>
    <w:p w14:paraId="5C0562AF" w14:textId="7DD53B9A" w:rsidR="00A56CAF" w:rsidRPr="00880699" w:rsidRDefault="002A7D85" w:rsidP="00B71517">
      <w:pPr>
        <w:spacing w:after="120" w:line="240" w:lineRule="auto"/>
        <w:jc w:val="both"/>
      </w:pPr>
      <w:r>
        <w:t>Zpracovatel</w:t>
      </w:r>
      <w:r w:rsidR="00A56CAF" w:rsidRPr="00880699">
        <w:t xml:space="preserve"> při realizaci zakázky postupoval následujícím způsobem:</w:t>
      </w:r>
    </w:p>
    <w:p w14:paraId="55A7B5A8" w14:textId="5DE207F7" w:rsidR="00A56CAF" w:rsidRPr="00880699" w:rsidRDefault="00A56CAF" w:rsidP="00B71517">
      <w:pPr>
        <w:pStyle w:val="ListParagraph"/>
        <w:numPr>
          <w:ilvl w:val="0"/>
          <w:numId w:val="9"/>
        </w:numPr>
        <w:spacing w:before="120" w:after="0" w:line="240" w:lineRule="auto"/>
        <w:contextualSpacing w:val="0"/>
        <w:jc w:val="both"/>
      </w:pPr>
      <w:r w:rsidRPr="00880699">
        <w:t>V první fázi druhé etapy došlo k </w:t>
      </w:r>
      <w:r w:rsidRPr="00880699">
        <w:rPr>
          <w:b/>
        </w:rPr>
        <w:t>analýze sekundárních zdrojů dat</w:t>
      </w:r>
      <w:r w:rsidRPr="00880699">
        <w:t xml:space="preserve"> zaslaných Zadavatelem a to pro</w:t>
      </w:r>
      <w:r w:rsidR="00116C99" w:rsidRPr="00880699">
        <w:t> </w:t>
      </w:r>
      <w:r w:rsidRPr="00880699">
        <w:t>jednotlivé složky implementační struktury. Dodavatel z dostupných dokumentů, manuálů a</w:t>
      </w:r>
      <w:r w:rsidR="00116C99" w:rsidRPr="00880699">
        <w:t> </w:t>
      </w:r>
      <w:r w:rsidRPr="00880699">
        <w:t>metodik abstrahoval procesy a postupy spojené s administrací podpory OP PIK s přímou a</w:t>
      </w:r>
      <w:r w:rsidR="00C61330">
        <w:t> </w:t>
      </w:r>
      <w:r w:rsidRPr="00880699">
        <w:t>nepřímou vazbou na administraci projektů. Pro každý proces identifikoval příslušné právní předpisy, metodiky a</w:t>
      </w:r>
      <w:r w:rsidR="00116C99" w:rsidRPr="00880699">
        <w:t> </w:t>
      </w:r>
      <w:r w:rsidRPr="00880699">
        <w:t>závazné normy, ze kterých tyto postupy vyplývají. Zároveň identifikoval nadřazené dokumenty a</w:t>
      </w:r>
      <w:r w:rsidR="00116C99" w:rsidRPr="00880699">
        <w:t> </w:t>
      </w:r>
      <w:r w:rsidRPr="00880699">
        <w:t>pravidla, které dále tyto procesy ovlivňují. Zároveň také identifikoval jednotlivé pozice v implementační struktuře, které jsou za realizaci daných procesů primárně zodpovědné</w:t>
      </w:r>
      <w:r w:rsidR="00116C99" w:rsidRPr="00880699">
        <w:t>,</w:t>
      </w:r>
      <w:r w:rsidRPr="00880699">
        <w:t xml:space="preserve"> a jejich případný nesoulad. </w:t>
      </w:r>
    </w:p>
    <w:p w14:paraId="1DF0BEF5" w14:textId="13DCED02" w:rsidR="00A56CAF" w:rsidRPr="00880699" w:rsidRDefault="00A56CAF" w:rsidP="00B71517">
      <w:pPr>
        <w:pStyle w:val="ListParagraph"/>
        <w:numPr>
          <w:ilvl w:val="0"/>
          <w:numId w:val="9"/>
        </w:numPr>
        <w:spacing w:before="120" w:after="0" w:line="240" w:lineRule="auto"/>
        <w:contextualSpacing w:val="0"/>
        <w:jc w:val="both"/>
      </w:pPr>
      <w:r w:rsidRPr="00880699">
        <w:t xml:space="preserve">V druhé fázi Dodavatel </w:t>
      </w:r>
      <w:r w:rsidRPr="00880699">
        <w:rPr>
          <w:b/>
        </w:rPr>
        <w:t>analýzou dostupných dokumentů</w:t>
      </w:r>
      <w:r w:rsidRPr="00880699">
        <w:t xml:space="preserve"> také předběžně identifikoval soulad či nesoulad výkonu procesů a postupů s jejich metodickým nastavením. Souběžně došlo k </w:t>
      </w:r>
      <w:r w:rsidRPr="00880699">
        <w:rPr>
          <w:b/>
        </w:rPr>
        <w:t xml:space="preserve">realizaci </w:t>
      </w:r>
      <w:r w:rsidR="00AC0B01" w:rsidRPr="00880699">
        <w:rPr>
          <w:b/>
        </w:rPr>
        <w:t>d</w:t>
      </w:r>
      <w:r w:rsidRPr="00880699">
        <w:rPr>
          <w:b/>
        </w:rPr>
        <w:t>otazníkového šetření mezi pracovníky implementační struktury</w:t>
      </w:r>
      <w:r w:rsidRPr="00880699">
        <w:t>. Okruhy otázek k oblastem metodického prostředí, implementaci podpory, komunikaci a ke kontrolám a</w:t>
      </w:r>
      <w:r w:rsidR="003369FB" w:rsidRPr="00880699">
        <w:t> </w:t>
      </w:r>
      <w:r w:rsidRPr="00880699">
        <w:t xml:space="preserve">procesům nesrovnalostí byly validovány se Zadavatelem a rozeslány dne 6. 12. 2019 </w:t>
      </w:r>
      <w:r w:rsidR="002A7CD5" w:rsidRPr="00880699">
        <w:t xml:space="preserve">na </w:t>
      </w:r>
      <w:r w:rsidRPr="00880699">
        <w:t>390 pracovníků</w:t>
      </w:r>
      <w:r w:rsidR="00AC0B01" w:rsidRPr="00880699">
        <w:t xml:space="preserve"> ŘO, ZS a SFN</w:t>
      </w:r>
      <w:r w:rsidR="002E316C" w:rsidRPr="00880699">
        <w:rPr>
          <w:rStyle w:val="FootnoteReference"/>
        </w:rPr>
        <w:footnoteReference w:id="3"/>
      </w:r>
      <w:r w:rsidRPr="00880699">
        <w:t>.</w:t>
      </w:r>
      <w:r w:rsidR="002A7CD5" w:rsidRPr="00880699">
        <w:t xml:space="preserve"> </w:t>
      </w:r>
      <w:r w:rsidR="00883080" w:rsidRPr="00880699">
        <w:t xml:space="preserve">V DŠ odpovědělo </w:t>
      </w:r>
      <w:r w:rsidR="002A7CD5" w:rsidRPr="00880699">
        <w:t xml:space="preserve">31 % </w:t>
      </w:r>
      <w:r w:rsidR="00883080" w:rsidRPr="00880699">
        <w:t xml:space="preserve">oslovených respondentů. Tuto </w:t>
      </w:r>
      <w:r w:rsidR="002A7CD5" w:rsidRPr="00880699">
        <w:t xml:space="preserve">návratnost </w:t>
      </w:r>
      <w:r w:rsidR="00883080" w:rsidRPr="00880699">
        <w:t>lze považovat za dostatečně</w:t>
      </w:r>
      <w:r w:rsidR="002A7CD5" w:rsidRPr="00880699">
        <w:t xml:space="preserve"> reprezentativní. </w:t>
      </w:r>
    </w:p>
    <w:p w14:paraId="37DA7713" w14:textId="044072AE" w:rsidR="00A56CAF" w:rsidRPr="00880699" w:rsidRDefault="00A56CAF" w:rsidP="00B71517">
      <w:pPr>
        <w:pStyle w:val="ListParagraph"/>
        <w:numPr>
          <w:ilvl w:val="0"/>
          <w:numId w:val="9"/>
        </w:numPr>
        <w:spacing w:before="120" w:after="0" w:line="240" w:lineRule="auto"/>
        <w:contextualSpacing w:val="0"/>
        <w:jc w:val="both"/>
      </w:pPr>
      <w:r w:rsidRPr="00880699">
        <w:t xml:space="preserve">Ve třetí fázi proběhla </w:t>
      </w:r>
      <w:r w:rsidRPr="00880699">
        <w:rPr>
          <w:b/>
        </w:rPr>
        <w:t>realizace</w:t>
      </w:r>
      <w:r w:rsidR="00883080" w:rsidRPr="00880699">
        <w:rPr>
          <w:b/>
        </w:rPr>
        <w:t xml:space="preserve"> 24</w:t>
      </w:r>
      <w:r w:rsidRPr="00880699">
        <w:rPr>
          <w:b/>
        </w:rPr>
        <w:t xml:space="preserve"> </w:t>
      </w:r>
      <w:r w:rsidR="008E0173" w:rsidRPr="00880699">
        <w:rPr>
          <w:b/>
        </w:rPr>
        <w:t xml:space="preserve">individuálních </w:t>
      </w:r>
      <w:r w:rsidR="001979FE" w:rsidRPr="00880699">
        <w:rPr>
          <w:b/>
        </w:rPr>
        <w:t xml:space="preserve">a skupinových </w:t>
      </w:r>
      <w:r w:rsidRPr="00880699">
        <w:rPr>
          <w:b/>
        </w:rPr>
        <w:t xml:space="preserve">hloubkových rozhovorů s garanty </w:t>
      </w:r>
      <w:r w:rsidR="00AC0B01" w:rsidRPr="00880699">
        <w:rPr>
          <w:b/>
        </w:rPr>
        <w:t xml:space="preserve">procesů </w:t>
      </w:r>
      <w:r w:rsidRPr="00880699">
        <w:rPr>
          <w:b/>
        </w:rPr>
        <w:t>z řad implementační struktury</w:t>
      </w:r>
      <w:r w:rsidRPr="00880699">
        <w:t xml:space="preserve"> dle validovaných scénářů se Zadavatelem ze dne 16. 12. 2019. </w:t>
      </w:r>
      <w:r w:rsidR="001979FE" w:rsidRPr="00880699">
        <w:t>Rozhovory</w:t>
      </w:r>
      <w:r w:rsidRPr="00880699">
        <w:t xml:space="preserve"> prob</w:t>
      </w:r>
      <w:r w:rsidR="008E0173" w:rsidRPr="00880699">
        <w:t>íhaly</w:t>
      </w:r>
      <w:r w:rsidRPr="00880699">
        <w:t xml:space="preserve"> od 8. 1. do 23. 1. 2020</w:t>
      </w:r>
      <w:r w:rsidR="008E0173" w:rsidRPr="00880699">
        <w:t xml:space="preserve"> a</w:t>
      </w:r>
      <w:r w:rsidRPr="00880699">
        <w:t xml:space="preserve"> </w:t>
      </w:r>
      <w:r w:rsidR="008E0173" w:rsidRPr="00880699">
        <w:t>jejich p</w:t>
      </w:r>
      <w:r w:rsidRPr="00880699">
        <w:t>ředmětem bylo ověřit účel jednotlivých složek implementační struktury vůči jejich klíčovým klientům, ověřit soulad výkonu procesů s jejich metodickým nastavením a identifikovat kritické momenty procesů a postupů spojených s administrací podpory OP PIK v jednotlivých oblastech (metodické prostředí, implementace, komunikace, kontroly a</w:t>
      </w:r>
      <w:r w:rsidR="00CD01FD" w:rsidRPr="00880699">
        <w:t> </w:t>
      </w:r>
      <w:r w:rsidRPr="00880699">
        <w:t xml:space="preserve">nesrovnalosti). </w:t>
      </w:r>
    </w:p>
    <w:p w14:paraId="5316E4F9" w14:textId="2ED1F678" w:rsidR="00A56CAF" w:rsidRDefault="00415BCB" w:rsidP="00B71517">
      <w:pPr>
        <w:pStyle w:val="ListParagraph"/>
        <w:numPr>
          <w:ilvl w:val="0"/>
          <w:numId w:val="9"/>
        </w:numPr>
        <w:spacing w:before="120" w:after="0" w:line="240" w:lineRule="auto"/>
        <w:contextualSpacing w:val="0"/>
        <w:jc w:val="both"/>
      </w:pPr>
      <w:r>
        <w:t xml:space="preserve">Ve čtvrté fázi došlo k realizaci </w:t>
      </w:r>
      <w:r w:rsidRPr="003E6A11">
        <w:rPr>
          <w:b/>
        </w:rPr>
        <w:t>hloubkových rozhovorů s identifikovanými zástupci příjemců podpory</w:t>
      </w:r>
      <w:r>
        <w:t xml:space="preserve"> napříč programy podpory OP PIK. Mezi zástupce příjemců byl zahrnut i zástupce poradenské společnosti, který se aktivně podílel na přípravě a administraci </w:t>
      </w:r>
      <w:r w:rsidR="00B04647">
        <w:t>žádosti o podporu</w:t>
      </w:r>
      <w:r>
        <w:t xml:space="preserve">. </w:t>
      </w:r>
    </w:p>
    <w:p w14:paraId="7EEDAB83" w14:textId="7725E023" w:rsidR="00415BCB" w:rsidRPr="00880699" w:rsidRDefault="00C17788" w:rsidP="00B71517">
      <w:pPr>
        <w:pStyle w:val="ListParagraph"/>
        <w:numPr>
          <w:ilvl w:val="0"/>
          <w:numId w:val="9"/>
        </w:numPr>
        <w:spacing w:before="120" w:after="0" w:line="240" w:lineRule="auto"/>
        <w:contextualSpacing w:val="0"/>
        <w:jc w:val="both"/>
      </w:pPr>
      <w:r>
        <w:t xml:space="preserve">V následující fázi proběhl dne 28. května 2020 </w:t>
      </w:r>
      <w:r w:rsidRPr="003E6A11">
        <w:rPr>
          <w:b/>
        </w:rPr>
        <w:t>expertní panel se zástupci ŘO a ZS</w:t>
      </w:r>
      <w:r>
        <w:t>, na kterém byla diskutována zjištění, a došlo k užšímu výběru řešení pro hloubkovou analýzu</w:t>
      </w:r>
      <w:r w:rsidRPr="003E6A11">
        <w:rPr>
          <w:b/>
        </w:rPr>
        <w:t xml:space="preserve">. </w:t>
      </w:r>
      <w:r w:rsidR="00814617" w:rsidRPr="003E6A11">
        <w:rPr>
          <w:b/>
        </w:rPr>
        <w:t xml:space="preserve">Rozpracované návrhy optimalizačních opatření </w:t>
      </w:r>
      <w:r w:rsidRPr="003E6A11">
        <w:rPr>
          <w:b/>
        </w:rPr>
        <w:t>byly</w:t>
      </w:r>
      <w:r>
        <w:t xml:space="preserve"> </w:t>
      </w:r>
      <w:r w:rsidR="00814617" w:rsidRPr="003E6A11">
        <w:rPr>
          <w:b/>
        </w:rPr>
        <w:t>následně diskutovány</w:t>
      </w:r>
      <w:r w:rsidRPr="003E6A11">
        <w:rPr>
          <w:b/>
        </w:rPr>
        <w:t xml:space="preserve"> s garanty </w:t>
      </w:r>
      <w:r w:rsidR="00814617" w:rsidRPr="003E6A11">
        <w:rPr>
          <w:b/>
        </w:rPr>
        <w:t>procesů</w:t>
      </w:r>
      <w:r w:rsidR="00814617">
        <w:t xml:space="preserve"> kontrol a</w:t>
      </w:r>
      <w:r w:rsidR="00C61330">
        <w:t> </w:t>
      </w:r>
      <w:r w:rsidR="00814617">
        <w:t>nesrovnalostí na ŘO (29. června 2020), s garanty metodického prostředí ŘO a ZS dne 2. července 2020, se zástupcem ZS k </w:t>
      </w:r>
      <w:r w:rsidR="003E6A11">
        <w:t>problematice</w:t>
      </w:r>
      <w:r w:rsidR="00814617">
        <w:t xml:space="preserve"> robotické automatizace procesu výpočtu směsných poměrů dne 8. července 2020 a garanty PP Marketing k optimalizačnímu opatření na zjednodušené hodnocení žádostí. </w:t>
      </w:r>
      <w:r w:rsidR="003E6A11">
        <w:t xml:space="preserve">Příprava návrhů optimalizačních opatření byla následně telefonicky upřesňována dle potřeby. </w:t>
      </w:r>
      <w:r w:rsidR="00037C45">
        <w:t xml:space="preserve">Ve spolupráci s vedoucími pracovníky API došlo také ke sběru příkladů vlastních neoficiálních nástrojů využívaných pracovníky implementační struktury na podporu administrace OP PIK z důvodu nedostatečné funkcionality MS2014+. </w:t>
      </w:r>
    </w:p>
    <w:p w14:paraId="305B12D4" w14:textId="77777777" w:rsidR="00A56CAF" w:rsidRPr="00880699" w:rsidRDefault="00A56CAF" w:rsidP="00B71517">
      <w:pPr>
        <w:spacing w:after="120" w:line="240" w:lineRule="auto"/>
        <w:jc w:val="both"/>
      </w:pPr>
    </w:p>
    <w:p w14:paraId="5FA51971" w14:textId="77777777" w:rsidR="00925D02" w:rsidRPr="00880699" w:rsidRDefault="00925D02" w:rsidP="0017475C">
      <w:pPr>
        <w:pStyle w:val="Heading2"/>
        <w:sectPr w:rsidR="00925D02" w:rsidRPr="00880699" w:rsidSect="00B35E32">
          <w:pgSz w:w="11906" w:h="16838" w:code="9"/>
          <w:pgMar w:top="1440" w:right="1080" w:bottom="1440" w:left="1080" w:header="677" w:footer="562" w:gutter="0"/>
          <w:cols w:space="284"/>
          <w:titlePg/>
          <w:docGrid w:linePitch="360"/>
        </w:sectPr>
      </w:pPr>
    </w:p>
    <w:p w14:paraId="5BCDEA2D" w14:textId="03511483" w:rsidR="006968A8" w:rsidRPr="00880699" w:rsidRDefault="00EA5475" w:rsidP="00791621">
      <w:pPr>
        <w:pStyle w:val="Heading1"/>
        <w:spacing w:after="240" w:line="240" w:lineRule="auto"/>
      </w:pPr>
      <w:bookmarkStart w:id="8" w:name="_Toc52532082"/>
      <w:r>
        <w:lastRenderedPageBreak/>
        <w:t>Finální shrnutí identifikovaných nedostatků a relevantních doporučení</w:t>
      </w:r>
      <w:bookmarkEnd w:id="8"/>
    </w:p>
    <w:p w14:paraId="07738FE1" w14:textId="77777777" w:rsidR="004771E4" w:rsidRDefault="004771E4" w:rsidP="001F7E66">
      <w:pPr>
        <w:pStyle w:val="Bntext"/>
        <w:rPr>
          <w:rFonts w:asciiTheme="majorHAnsi" w:hAnsiTheme="majorHAnsi"/>
          <w:sz w:val="18"/>
          <w:szCs w:val="18"/>
        </w:rPr>
      </w:pPr>
    </w:p>
    <w:p w14:paraId="3023EBF2" w14:textId="173C3152" w:rsidR="004771E4" w:rsidRDefault="004771E4" w:rsidP="00ED31A7">
      <w:pPr>
        <w:spacing w:after="120" w:line="240" w:lineRule="auto"/>
        <w:jc w:val="both"/>
      </w:pPr>
      <w:r>
        <w:t xml:space="preserve">Následující kapitola představuje finální shrnutí identifikovaných zjištění </w:t>
      </w:r>
      <w:r w:rsidR="00D607C8">
        <w:t xml:space="preserve">systémových podmínek určujících výkonnost implementace OP PIK </w:t>
      </w:r>
      <w:r>
        <w:t>a k nim vztažených doporučení vyplývající ze zjištění v Průběžné zprávě rozšířených o zjištění z rozhovorů s příjemci podpory</w:t>
      </w:r>
      <w:r w:rsidR="003E6A11">
        <w:t xml:space="preserve">, diskuse expertního panelu a dalších navazujících </w:t>
      </w:r>
      <w:r>
        <w:t>rozhovor</w:t>
      </w:r>
      <w:r w:rsidR="003E6A11">
        <w:t xml:space="preserve">ů a jednání se relevantními pracovníky </w:t>
      </w:r>
      <w:r>
        <w:t xml:space="preserve">implementační struktury. </w:t>
      </w:r>
    </w:p>
    <w:p w14:paraId="46B11298" w14:textId="1580750F" w:rsidR="00AD179A" w:rsidRDefault="00AD179A" w:rsidP="00ED31A7">
      <w:pPr>
        <w:jc w:val="both"/>
      </w:pPr>
      <w:r>
        <w:t xml:space="preserve">Následující tabulka předkládá seznam zjištěných nedostatků, určuje ty, které jsou a které nejsou v gesci MPO a k nim navrhuje adekvátní řešení s optimálním časovým horizontem. Za další rozpracování </w:t>
      </w:r>
      <w:r w:rsidR="008A0D6C">
        <w:t>a</w:t>
      </w:r>
      <w:r w:rsidR="004E1F83">
        <w:t> </w:t>
      </w:r>
      <w:r w:rsidR="008A0D6C">
        <w:t xml:space="preserve">implementaci </w:t>
      </w:r>
      <w:r>
        <w:t xml:space="preserve">řešení by měly být zodpovědné pracovní skupiny, které za tímto účelem Zpracovatel navrhuje </w:t>
      </w:r>
      <w:r w:rsidR="008A0D6C">
        <w:t xml:space="preserve">ŘO </w:t>
      </w:r>
      <w:r>
        <w:t>zřídit a sice:</w:t>
      </w:r>
    </w:p>
    <w:p w14:paraId="12231D80" w14:textId="3E2BCEAB" w:rsidR="00AD179A" w:rsidRDefault="00AD179A" w:rsidP="00A84E03">
      <w:pPr>
        <w:pStyle w:val="ListParagraph"/>
        <w:numPr>
          <w:ilvl w:val="0"/>
          <w:numId w:val="36"/>
        </w:numPr>
        <w:spacing w:before="60" w:after="60"/>
      </w:pPr>
      <w:r>
        <w:t>PS k metodickému prostředí</w:t>
      </w:r>
    </w:p>
    <w:p w14:paraId="5A451F79" w14:textId="31A4471F" w:rsidR="00AD179A" w:rsidRDefault="00AD179A" w:rsidP="00A84E03">
      <w:pPr>
        <w:pStyle w:val="ListParagraph"/>
        <w:numPr>
          <w:ilvl w:val="0"/>
          <w:numId w:val="36"/>
        </w:numPr>
        <w:spacing w:before="60" w:after="60"/>
      </w:pPr>
      <w:r>
        <w:t>PS k implementaci</w:t>
      </w:r>
    </w:p>
    <w:p w14:paraId="0C88A6AE" w14:textId="0649314E" w:rsidR="00AD179A" w:rsidRDefault="00AD179A" w:rsidP="00A84E03">
      <w:pPr>
        <w:pStyle w:val="ListParagraph"/>
        <w:numPr>
          <w:ilvl w:val="0"/>
          <w:numId w:val="36"/>
        </w:numPr>
        <w:spacing w:before="60" w:after="60"/>
      </w:pPr>
      <w:r>
        <w:t>PS k informačním systémům, automatizaci a robotizaci procesů</w:t>
      </w:r>
    </w:p>
    <w:p w14:paraId="059DB04B" w14:textId="5647A5E9" w:rsidR="004962A7" w:rsidRPr="00880699" w:rsidRDefault="00B91A2C" w:rsidP="00AD179A">
      <w:pPr>
        <w:pStyle w:val="Bntext"/>
        <w:rPr>
          <w:rFonts w:asciiTheme="majorHAnsi" w:hAnsiTheme="majorHAnsi"/>
          <w:sz w:val="18"/>
          <w:szCs w:val="18"/>
        </w:rPr>
      </w:pPr>
      <w:r w:rsidRPr="00880699">
        <w:rPr>
          <w:rFonts w:asciiTheme="majorHAnsi" w:hAnsiTheme="majorHAnsi"/>
          <w:sz w:val="18"/>
          <w:szCs w:val="18"/>
        </w:rPr>
        <w:t>Identifikované nedostatky jsou kategorizovány do 4 základních oblastí dle zadávací dokumentace</w:t>
      </w:r>
      <w:r w:rsidR="00AD179A">
        <w:rPr>
          <w:rFonts w:asciiTheme="majorHAnsi" w:hAnsiTheme="majorHAnsi"/>
          <w:sz w:val="18"/>
          <w:szCs w:val="18"/>
        </w:rPr>
        <w:t>, které Zpracovatel rozšířil o dvě kategorie, do kterých soustředil důležitá a jinam nezařaditelná zjištění</w:t>
      </w:r>
      <w:r w:rsidRPr="00880699">
        <w:rPr>
          <w:rFonts w:asciiTheme="majorHAnsi" w:hAnsiTheme="majorHAnsi"/>
          <w:sz w:val="18"/>
          <w:szCs w:val="18"/>
        </w:rPr>
        <w:t>:</w:t>
      </w:r>
    </w:p>
    <w:p w14:paraId="454A8D10" w14:textId="0DC0E767" w:rsidR="00AD179A" w:rsidRPr="00AD179A" w:rsidRDefault="00AD179A" w:rsidP="00A84E03">
      <w:pPr>
        <w:pStyle w:val="Bntext"/>
        <w:numPr>
          <w:ilvl w:val="0"/>
          <w:numId w:val="17"/>
        </w:numPr>
        <w:spacing w:before="60" w:after="60"/>
        <w:rPr>
          <w:rFonts w:asciiTheme="majorHAnsi" w:hAnsiTheme="majorHAnsi"/>
          <w:b/>
          <w:sz w:val="18"/>
          <w:szCs w:val="18"/>
        </w:rPr>
      </w:pPr>
      <w:r w:rsidRPr="00AD179A">
        <w:rPr>
          <w:rFonts w:asciiTheme="majorHAnsi" w:hAnsiTheme="majorHAnsi"/>
          <w:b/>
          <w:sz w:val="18"/>
          <w:szCs w:val="18"/>
        </w:rPr>
        <w:t>Informační systémy</w:t>
      </w:r>
    </w:p>
    <w:p w14:paraId="3C7A06ED" w14:textId="0B8855C5" w:rsidR="00AD179A" w:rsidRPr="00AD179A" w:rsidRDefault="00AD179A" w:rsidP="00A84E03">
      <w:pPr>
        <w:pStyle w:val="Bntext"/>
        <w:numPr>
          <w:ilvl w:val="0"/>
          <w:numId w:val="17"/>
        </w:numPr>
        <w:spacing w:before="60" w:after="60"/>
        <w:rPr>
          <w:rFonts w:asciiTheme="majorHAnsi" w:hAnsiTheme="majorHAnsi"/>
          <w:b/>
          <w:sz w:val="18"/>
          <w:szCs w:val="18"/>
        </w:rPr>
      </w:pPr>
      <w:r w:rsidRPr="00AD179A">
        <w:rPr>
          <w:rFonts w:asciiTheme="majorHAnsi" w:hAnsiTheme="majorHAnsi"/>
          <w:b/>
          <w:sz w:val="18"/>
          <w:szCs w:val="18"/>
        </w:rPr>
        <w:t>Řízení OP PIK</w:t>
      </w:r>
    </w:p>
    <w:p w14:paraId="0D80EEF6" w14:textId="5AB74E7A" w:rsidR="00B91A2C" w:rsidRPr="00880699" w:rsidRDefault="00B91A2C" w:rsidP="00A84E03">
      <w:pPr>
        <w:pStyle w:val="Bntext"/>
        <w:numPr>
          <w:ilvl w:val="0"/>
          <w:numId w:val="17"/>
        </w:numPr>
        <w:spacing w:before="60" w:after="60"/>
        <w:rPr>
          <w:rFonts w:asciiTheme="majorHAnsi" w:hAnsiTheme="majorHAnsi"/>
          <w:sz w:val="18"/>
          <w:szCs w:val="18"/>
        </w:rPr>
      </w:pPr>
      <w:r w:rsidRPr="00880699">
        <w:rPr>
          <w:rFonts w:asciiTheme="majorHAnsi" w:hAnsiTheme="majorHAnsi"/>
          <w:sz w:val="18"/>
          <w:szCs w:val="18"/>
        </w:rPr>
        <w:t>Metodické prostředí</w:t>
      </w:r>
    </w:p>
    <w:p w14:paraId="265C124F" w14:textId="77777777" w:rsidR="00B91A2C" w:rsidRPr="00880699" w:rsidRDefault="00B91A2C" w:rsidP="00A84E03">
      <w:pPr>
        <w:pStyle w:val="Bntext"/>
        <w:numPr>
          <w:ilvl w:val="0"/>
          <w:numId w:val="17"/>
        </w:numPr>
        <w:spacing w:before="60" w:after="60"/>
        <w:rPr>
          <w:rFonts w:asciiTheme="majorHAnsi" w:hAnsiTheme="majorHAnsi"/>
          <w:sz w:val="18"/>
          <w:szCs w:val="18"/>
        </w:rPr>
      </w:pPr>
      <w:r w:rsidRPr="00880699">
        <w:rPr>
          <w:rFonts w:asciiTheme="majorHAnsi" w:hAnsiTheme="majorHAnsi"/>
          <w:sz w:val="18"/>
          <w:szCs w:val="18"/>
        </w:rPr>
        <w:t>Implementace</w:t>
      </w:r>
    </w:p>
    <w:p w14:paraId="35372A5B" w14:textId="77777777" w:rsidR="00B91A2C" w:rsidRPr="00880699" w:rsidRDefault="00B91A2C" w:rsidP="00A84E03">
      <w:pPr>
        <w:pStyle w:val="Bntext"/>
        <w:numPr>
          <w:ilvl w:val="0"/>
          <w:numId w:val="17"/>
        </w:numPr>
        <w:spacing w:before="60" w:after="60"/>
        <w:rPr>
          <w:rFonts w:asciiTheme="majorHAnsi" w:hAnsiTheme="majorHAnsi"/>
          <w:sz w:val="18"/>
          <w:szCs w:val="18"/>
        </w:rPr>
      </w:pPr>
      <w:r w:rsidRPr="00880699">
        <w:rPr>
          <w:rFonts w:asciiTheme="majorHAnsi" w:hAnsiTheme="majorHAnsi"/>
          <w:sz w:val="18"/>
          <w:szCs w:val="18"/>
        </w:rPr>
        <w:t>Kontroly a nesrovnalosti</w:t>
      </w:r>
    </w:p>
    <w:p w14:paraId="2060ADBE" w14:textId="77777777" w:rsidR="00B91A2C" w:rsidRPr="00880699" w:rsidRDefault="00B91A2C" w:rsidP="00A84E03">
      <w:pPr>
        <w:pStyle w:val="Bntext"/>
        <w:numPr>
          <w:ilvl w:val="0"/>
          <w:numId w:val="17"/>
        </w:numPr>
        <w:spacing w:before="60" w:after="60"/>
        <w:rPr>
          <w:rFonts w:asciiTheme="majorHAnsi" w:hAnsiTheme="majorHAnsi"/>
          <w:sz w:val="18"/>
          <w:szCs w:val="18"/>
        </w:rPr>
      </w:pPr>
      <w:r w:rsidRPr="00880699">
        <w:rPr>
          <w:rFonts w:asciiTheme="majorHAnsi" w:hAnsiTheme="majorHAnsi"/>
          <w:sz w:val="18"/>
          <w:szCs w:val="18"/>
        </w:rPr>
        <w:t>Komunikace</w:t>
      </w:r>
    </w:p>
    <w:p w14:paraId="041530D5" w14:textId="77777777" w:rsidR="001A00CB" w:rsidRPr="00880699" w:rsidRDefault="001A00CB" w:rsidP="00B71517">
      <w:pPr>
        <w:pStyle w:val="Bntext"/>
        <w:rPr>
          <w:rFonts w:asciiTheme="majorHAnsi" w:hAnsiTheme="majorHAnsi"/>
          <w:sz w:val="18"/>
          <w:szCs w:val="18"/>
        </w:rPr>
      </w:pPr>
    </w:p>
    <w:p w14:paraId="3296A246" w14:textId="77777777" w:rsidR="00791621" w:rsidRPr="00880699" w:rsidRDefault="00791621" w:rsidP="00B71517">
      <w:pPr>
        <w:pStyle w:val="Bntext"/>
        <w:rPr>
          <w:rFonts w:asciiTheme="majorHAnsi" w:hAnsiTheme="majorHAnsi"/>
          <w:sz w:val="18"/>
          <w:szCs w:val="18"/>
        </w:rPr>
      </w:pPr>
    </w:p>
    <w:p w14:paraId="25AD60F9" w14:textId="57B582B9" w:rsidR="004771E4" w:rsidRDefault="004771E4">
      <w:r>
        <w:br w:type="page"/>
      </w:r>
    </w:p>
    <w:p w14:paraId="0614C0DE" w14:textId="77777777" w:rsidR="004771E4" w:rsidRDefault="004771E4" w:rsidP="008A0191">
      <w:pPr>
        <w:ind w:right="90"/>
        <w:rPr>
          <w:b/>
          <w:color w:val="86BC25"/>
        </w:rPr>
        <w:sectPr w:rsidR="004771E4" w:rsidSect="00EA5475">
          <w:type w:val="continuous"/>
          <w:pgSz w:w="11906" w:h="16838" w:code="9"/>
          <w:pgMar w:top="1440" w:right="1080" w:bottom="1440" w:left="1080" w:header="680" w:footer="567" w:gutter="0"/>
          <w:cols w:space="284"/>
          <w:titlePg/>
          <w:docGrid w:linePitch="360"/>
        </w:sectPr>
      </w:pPr>
    </w:p>
    <w:p w14:paraId="4418DB4C" w14:textId="2D94FE18" w:rsidR="003609F4" w:rsidRDefault="003609F4" w:rsidP="003609F4">
      <w:pPr>
        <w:pStyle w:val="Caption"/>
      </w:pPr>
      <w:bookmarkStart w:id="9" w:name="_Toc52532101"/>
      <w:r>
        <w:lastRenderedPageBreak/>
        <w:t xml:space="preserve">Tabulka </w:t>
      </w:r>
      <w:r>
        <w:fldChar w:fldCharType="begin"/>
      </w:r>
      <w:r>
        <w:instrText xml:space="preserve"> SEQ Tabulka \* ARABIC </w:instrText>
      </w:r>
      <w:r>
        <w:fldChar w:fldCharType="separate"/>
      </w:r>
      <w:r w:rsidR="008E1911">
        <w:rPr>
          <w:noProof/>
        </w:rPr>
        <w:t>3</w:t>
      </w:r>
      <w:r>
        <w:fldChar w:fldCharType="end"/>
      </w:r>
      <w:r>
        <w:t xml:space="preserve"> Finální shrnutí zjištěných nedostatků a návrhy opatření</w:t>
      </w:r>
      <w:bookmarkEnd w:id="9"/>
    </w:p>
    <w:tbl>
      <w:tblPr>
        <w:tblStyle w:val="Deloittetable1"/>
        <w:tblW w:w="4900" w:type="pct"/>
        <w:tblBorders>
          <w:top w:val="single" w:sz="24" w:space="0" w:color="86BC25"/>
          <w:insideV w:val="single" w:sz="4" w:space="0" w:color="D0EC9F" w:themeColor="accent1" w:themeTint="66"/>
        </w:tblBorders>
        <w:tblCellMar>
          <w:top w:w="29" w:type="dxa"/>
          <w:bottom w:w="29" w:type="dxa"/>
        </w:tblCellMar>
        <w:tblLook w:val="04A0" w:firstRow="1" w:lastRow="0" w:firstColumn="1" w:lastColumn="0" w:noHBand="0" w:noVBand="1"/>
      </w:tblPr>
      <w:tblGrid>
        <w:gridCol w:w="1825"/>
        <w:gridCol w:w="4957"/>
        <w:gridCol w:w="1379"/>
        <w:gridCol w:w="4000"/>
        <w:gridCol w:w="1518"/>
      </w:tblGrid>
      <w:tr w:rsidR="004771E4" w:rsidRPr="000421F0" w14:paraId="6D902D93" w14:textId="77777777" w:rsidTr="004B3AE9">
        <w:trPr>
          <w:cnfStyle w:val="100000000000" w:firstRow="1" w:lastRow="0" w:firstColumn="0" w:lastColumn="0" w:oddVBand="0" w:evenVBand="0" w:oddHBand="0" w:evenHBand="0" w:firstRowFirstColumn="0" w:firstRowLastColumn="0" w:lastRowFirstColumn="0" w:lastRowLastColumn="0"/>
          <w:tblHeader/>
        </w:trPr>
        <w:tc>
          <w:tcPr>
            <w:tcW w:w="667" w:type="pct"/>
            <w:tcBorders>
              <w:left w:val="nil"/>
              <w:bottom w:val="single" w:sz="6" w:space="0" w:color="D9D9D9" w:themeColor="background1" w:themeShade="D9"/>
              <w:right w:val="single" w:sz="4" w:space="0" w:color="D0EC9F" w:themeColor="accent1" w:themeTint="66"/>
            </w:tcBorders>
            <w:hideMark/>
          </w:tcPr>
          <w:p w14:paraId="22F2AA57" w14:textId="1AA9FB27" w:rsidR="004771E4" w:rsidRPr="000421F0" w:rsidRDefault="004771E4" w:rsidP="00E105D8">
            <w:pPr>
              <w:spacing w:before="60" w:after="60"/>
              <w:ind w:right="90"/>
              <w:rPr>
                <w:sz w:val="16"/>
                <w:szCs w:val="16"/>
              </w:rPr>
            </w:pPr>
            <w:r w:rsidRPr="000421F0">
              <w:rPr>
                <w:sz w:val="16"/>
                <w:szCs w:val="16"/>
              </w:rPr>
              <w:t>Proces</w:t>
            </w:r>
          </w:p>
        </w:tc>
        <w:tc>
          <w:tcPr>
            <w:tcW w:w="1812" w:type="pct"/>
            <w:tcBorders>
              <w:left w:val="single" w:sz="4" w:space="0" w:color="D0EC9F" w:themeColor="accent1" w:themeTint="66"/>
              <w:bottom w:val="single" w:sz="6" w:space="0" w:color="D9D9D9" w:themeColor="background1" w:themeShade="D9"/>
              <w:right w:val="single" w:sz="4" w:space="0" w:color="D0EC9F" w:themeColor="accent1" w:themeTint="66"/>
            </w:tcBorders>
            <w:hideMark/>
          </w:tcPr>
          <w:p w14:paraId="527D9389" w14:textId="77777777" w:rsidR="004771E4" w:rsidRPr="000421F0" w:rsidRDefault="004771E4" w:rsidP="00E105D8">
            <w:pPr>
              <w:spacing w:before="60" w:after="60"/>
              <w:rPr>
                <w:sz w:val="16"/>
                <w:szCs w:val="16"/>
              </w:rPr>
            </w:pPr>
            <w:r w:rsidRPr="000421F0">
              <w:rPr>
                <w:sz w:val="16"/>
                <w:szCs w:val="16"/>
              </w:rPr>
              <w:t>Identifikovaný nedostatek</w:t>
            </w:r>
          </w:p>
        </w:tc>
        <w:tc>
          <w:tcPr>
            <w:tcW w:w="504" w:type="pct"/>
            <w:tcBorders>
              <w:left w:val="single" w:sz="4" w:space="0" w:color="D0EC9F" w:themeColor="accent1" w:themeTint="66"/>
              <w:bottom w:val="single" w:sz="6" w:space="0" w:color="D9D9D9" w:themeColor="background1" w:themeShade="D9"/>
              <w:right w:val="single" w:sz="4" w:space="0" w:color="D0EC9F" w:themeColor="accent1" w:themeTint="66"/>
            </w:tcBorders>
            <w:hideMark/>
          </w:tcPr>
          <w:p w14:paraId="3691D6FF" w14:textId="00D1848E" w:rsidR="004771E4" w:rsidRPr="000421F0" w:rsidRDefault="004771E4" w:rsidP="00E105D8">
            <w:pPr>
              <w:spacing w:before="60" w:after="60"/>
              <w:ind w:left="177" w:right="134"/>
              <w:jc w:val="center"/>
              <w:rPr>
                <w:sz w:val="16"/>
                <w:szCs w:val="16"/>
              </w:rPr>
            </w:pPr>
            <w:r w:rsidRPr="000421F0">
              <w:rPr>
                <w:sz w:val="16"/>
                <w:szCs w:val="16"/>
              </w:rPr>
              <w:t>Gesce ŘO</w:t>
            </w:r>
            <w:r w:rsidR="008A0D6C" w:rsidRPr="000421F0">
              <w:rPr>
                <w:sz w:val="16"/>
                <w:szCs w:val="16"/>
              </w:rPr>
              <w:t>, č. PS</w:t>
            </w:r>
          </w:p>
        </w:tc>
        <w:tc>
          <w:tcPr>
            <w:tcW w:w="1462" w:type="pct"/>
            <w:tcBorders>
              <w:left w:val="single" w:sz="4" w:space="0" w:color="D0EC9F" w:themeColor="accent1" w:themeTint="66"/>
              <w:bottom w:val="single" w:sz="6" w:space="0" w:color="D9D9D9" w:themeColor="background1" w:themeShade="D9"/>
              <w:right w:val="single" w:sz="4" w:space="0" w:color="D0EC9F" w:themeColor="accent1" w:themeTint="66"/>
            </w:tcBorders>
            <w:hideMark/>
          </w:tcPr>
          <w:p w14:paraId="13F1C184" w14:textId="77777777" w:rsidR="004771E4" w:rsidRPr="000421F0" w:rsidRDefault="004771E4" w:rsidP="00E105D8">
            <w:pPr>
              <w:spacing w:before="60" w:after="60"/>
              <w:ind w:right="134"/>
              <w:rPr>
                <w:sz w:val="16"/>
                <w:szCs w:val="16"/>
              </w:rPr>
            </w:pPr>
            <w:r w:rsidRPr="000421F0">
              <w:rPr>
                <w:sz w:val="16"/>
                <w:szCs w:val="16"/>
              </w:rPr>
              <w:t xml:space="preserve">  Návrh řešení</w:t>
            </w:r>
          </w:p>
        </w:tc>
        <w:tc>
          <w:tcPr>
            <w:tcW w:w="555" w:type="pct"/>
            <w:tcBorders>
              <w:left w:val="single" w:sz="4" w:space="0" w:color="D0EC9F" w:themeColor="accent1" w:themeTint="66"/>
              <w:bottom w:val="single" w:sz="6" w:space="0" w:color="D9D9D9" w:themeColor="background1" w:themeShade="D9"/>
              <w:right w:val="nil"/>
            </w:tcBorders>
            <w:hideMark/>
          </w:tcPr>
          <w:p w14:paraId="3C99A65E" w14:textId="77777777" w:rsidR="004771E4" w:rsidRPr="000421F0" w:rsidRDefault="004771E4" w:rsidP="00E105D8">
            <w:pPr>
              <w:spacing w:before="60" w:after="60"/>
              <w:rPr>
                <w:sz w:val="16"/>
                <w:szCs w:val="16"/>
              </w:rPr>
            </w:pPr>
            <w:r w:rsidRPr="000421F0">
              <w:rPr>
                <w:sz w:val="16"/>
                <w:szCs w:val="16"/>
              </w:rPr>
              <w:t>Časový harmonogram</w:t>
            </w:r>
          </w:p>
        </w:tc>
      </w:tr>
      <w:tr w:rsidR="004771E4" w:rsidRPr="000421F0" w14:paraId="2C3237EC" w14:textId="77777777" w:rsidTr="004B3AE9">
        <w:tc>
          <w:tcPr>
            <w:tcW w:w="2479" w:type="pct"/>
            <w:gridSpan w:val="2"/>
            <w:tcBorders>
              <w:top w:val="single" w:sz="6" w:space="0" w:color="D9D9D9" w:themeColor="background1" w:themeShade="D9"/>
              <w:left w:val="nil"/>
              <w:bottom w:val="single" w:sz="6" w:space="0" w:color="D9D9D9" w:themeColor="background1" w:themeShade="D9"/>
              <w:right w:val="single" w:sz="4" w:space="0" w:color="D0EC9F" w:themeColor="accent1" w:themeTint="66"/>
            </w:tcBorders>
            <w:shd w:val="clear" w:color="auto" w:fill="E7F5CF" w:themeFill="accent1" w:themeFillTint="33"/>
            <w:hideMark/>
          </w:tcPr>
          <w:p w14:paraId="4F3160E7" w14:textId="77777777" w:rsidR="004771E4" w:rsidRPr="000421F0" w:rsidRDefault="004771E4" w:rsidP="00E105D8">
            <w:pPr>
              <w:spacing w:before="60" w:after="60"/>
              <w:ind w:right="90"/>
              <w:rPr>
                <w:b/>
                <w:sz w:val="16"/>
                <w:szCs w:val="16"/>
              </w:rPr>
            </w:pPr>
            <w:r w:rsidRPr="000421F0">
              <w:rPr>
                <w:b/>
                <w:sz w:val="16"/>
                <w:szCs w:val="16"/>
              </w:rPr>
              <w:t>Informační systémy</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345F6B8A" w14:textId="77777777" w:rsidR="004771E4" w:rsidRPr="000421F0" w:rsidRDefault="004771E4" w:rsidP="00E105D8">
            <w:pPr>
              <w:spacing w:before="60" w:after="60"/>
              <w:ind w:left="177" w:right="134"/>
              <w:jc w:val="center"/>
              <w:rPr>
                <w:sz w:val="16"/>
                <w:szCs w:val="16"/>
              </w:rPr>
            </w:pP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4BAD5D02" w14:textId="77777777" w:rsidR="004771E4" w:rsidRPr="000421F0" w:rsidRDefault="004771E4" w:rsidP="00E105D8">
            <w:pPr>
              <w:pStyle w:val="ListParagraph"/>
              <w:spacing w:before="60" w:after="60"/>
              <w:ind w:right="134"/>
              <w:contextualSpacing w:val="0"/>
              <w:rPr>
                <w:sz w:val="16"/>
                <w:szCs w:val="16"/>
              </w:rPr>
            </w:pP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shd w:val="clear" w:color="auto" w:fill="E7F5CF" w:themeFill="accent1" w:themeFillTint="33"/>
          </w:tcPr>
          <w:p w14:paraId="54D5E154" w14:textId="77777777" w:rsidR="004771E4" w:rsidRPr="000421F0" w:rsidRDefault="004771E4" w:rsidP="00E105D8">
            <w:pPr>
              <w:spacing w:before="60" w:after="60"/>
              <w:ind w:right="90"/>
              <w:rPr>
                <w:b/>
                <w:sz w:val="16"/>
                <w:szCs w:val="16"/>
              </w:rPr>
            </w:pPr>
          </w:p>
        </w:tc>
      </w:tr>
      <w:tr w:rsidR="004771E4" w:rsidRPr="000421F0" w14:paraId="31B623CC"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1D981B7F" w14:textId="77777777" w:rsidR="004771E4" w:rsidRPr="000421F0" w:rsidRDefault="004771E4" w:rsidP="00E105D8">
            <w:pPr>
              <w:spacing w:before="60" w:after="60"/>
              <w:ind w:right="90"/>
              <w:rPr>
                <w:b/>
                <w:sz w:val="16"/>
                <w:szCs w:val="16"/>
              </w:rPr>
            </w:pPr>
            <w:r w:rsidRPr="000421F0">
              <w:rPr>
                <w:b/>
                <w:sz w:val="16"/>
                <w:szCs w:val="16"/>
              </w:rPr>
              <w:t>Nedostatečná funkcionalita, nepřehlednost, složitost a uživatelská nepřívětivost MS2014+ a ISKP14+</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F63AAE7" w14:textId="40F523ED" w:rsidR="004771E4" w:rsidRPr="000421F0" w:rsidRDefault="004771E4" w:rsidP="00E105D8">
            <w:pPr>
              <w:spacing w:before="60" w:after="60"/>
              <w:rPr>
                <w:sz w:val="16"/>
                <w:szCs w:val="16"/>
              </w:rPr>
            </w:pPr>
            <w:r w:rsidRPr="000421F0">
              <w:rPr>
                <w:b/>
                <w:sz w:val="16"/>
                <w:szCs w:val="16"/>
              </w:rPr>
              <w:t>Nedostatečná funkcionalita, nepřehlednost, složitost a uživatelská nepřívětivost MS2014+</w:t>
            </w:r>
            <w:r w:rsidRPr="000421F0">
              <w:rPr>
                <w:sz w:val="16"/>
                <w:szCs w:val="16"/>
              </w:rPr>
              <w:t xml:space="preserve"> a z toho vyplývající nadbytečné činnosti, které je nutné provádět mimo systém a následně vyšší chybovost (např. administrace VŘ, udělování sankcí, absence funkcionality pro směsné poměry, generování Dodatků, KL k vydání RoPD apod.).</w:t>
            </w:r>
          </w:p>
          <w:p w14:paraId="5DA062F7" w14:textId="77777777" w:rsidR="004771E4" w:rsidRPr="000421F0" w:rsidRDefault="004771E4" w:rsidP="00E105D8">
            <w:pPr>
              <w:spacing w:before="60" w:after="60"/>
              <w:rPr>
                <w:sz w:val="16"/>
                <w:szCs w:val="16"/>
              </w:rPr>
            </w:pPr>
            <w:r w:rsidRPr="000421F0">
              <w:rPr>
                <w:sz w:val="16"/>
                <w:szCs w:val="16"/>
              </w:rPr>
              <w:t xml:space="preserve"> </w:t>
            </w:r>
          </w:p>
          <w:p w14:paraId="6D019217" w14:textId="77777777" w:rsidR="004771E4" w:rsidRPr="000421F0" w:rsidRDefault="004771E4" w:rsidP="00E105D8">
            <w:pPr>
              <w:spacing w:before="60" w:after="60"/>
              <w:rPr>
                <w:sz w:val="16"/>
                <w:szCs w:val="16"/>
              </w:rPr>
            </w:pPr>
            <w:r w:rsidRPr="000421F0">
              <w:rPr>
                <w:b/>
                <w:sz w:val="16"/>
                <w:szCs w:val="16"/>
              </w:rPr>
              <w:t>Uživatelsky nepřívětivý systém ISKP14+.</w:t>
            </w:r>
            <w:r w:rsidRPr="000421F0">
              <w:rPr>
                <w:sz w:val="16"/>
                <w:szCs w:val="16"/>
              </w:rPr>
              <w:t xml:space="preserve"> Systém je nepřehledný, uživatelsky náročný, vynucuje si zbytečně mnoho klikání, překlikávání mezi počtem listů/záložek, časté změny podepisovacích komponentů, má nelogickou strukturu, je často nefunkční, příznačný dlouhým načítáním atd. Práce s ISKP14+ vyžaduje řadu nesystémových kroků, např. generování dokumentů na pozadí, následný podpis a skenování zpět do systému apod. </w:t>
            </w:r>
          </w:p>
          <w:p w14:paraId="704E7FED" w14:textId="77777777" w:rsidR="004771E4" w:rsidRPr="000421F0" w:rsidRDefault="004771E4" w:rsidP="00E105D8">
            <w:pPr>
              <w:spacing w:before="60" w:after="60"/>
              <w:rPr>
                <w:sz w:val="16"/>
                <w:szCs w:val="16"/>
              </w:rPr>
            </w:pPr>
          </w:p>
          <w:p w14:paraId="0E8EA5CE" w14:textId="1770037B" w:rsidR="004771E4" w:rsidRPr="000421F0" w:rsidRDefault="004771E4" w:rsidP="00E105D8">
            <w:pPr>
              <w:spacing w:before="60" w:after="60"/>
              <w:rPr>
                <w:sz w:val="16"/>
                <w:szCs w:val="16"/>
              </w:rPr>
            </w:pPr>
            <w:r w:rsidRPr="000421F0">
              <w:rPr>
                <w:sz w:val="16"/>
                <w:szCs w:val="16"/>
              </w:rPr>
              <w:t xml:space="preserve">Nadbytečné činnosti, které je nutné provádět manuálně, následně </w:t>
            </w:r>
            <w:r w:rsidR="00E2689C">
              <w:rPr>
                <w:sz w:val="16"/>
                <w:szCs w:val="16"/>
              </w:rPr>
              <w:t xml:space="preserve">způsobují </w:t>
            </w:r>
            <w:r w:rsidRPr="000421F0">
              <w:rPr>
                <w:sz w:val="16"/>
                <w:szCs w:val="16"/>
              </w:rPr>
              <w:t>vyšší chybovost (např. velmi složitá administrace VŘ - především udělování sankcí, absence funkcionality pro směsné poměry, generování Dodatků, záznamů v EDS, KL k vydání RoPD apod.).</w:t>
            </w:r>
          </w:p>
          <w:p w14:paraId="117B894F" w14:textId="77777777" w:rsidR="004771E4" w:rsidRPr="000421F0" w:rsidRDefault="004771E4" w:rsidP="00E105D8">
            <w:pPr>
              <w:spacing w:before="60" w:after="60"/>
              <w:rPr>
                <w:sz w:val="16"/>
                <w:szCs w:val="16"/>
              </w:rPr>
            </w:pPr>
            <w:r w:rsidRPr="000421F0">
              <w:rPr>
                <w:sz w:val="16"/>
                <w:szCs w:val="16"/>
              </w:rPr>
              <w:t xml:space="preserve">Příklady nedostatečné automatizace procesů: </w:t>
            </w:r>
          </w:p>
          <w:p w14:paraId="4B4F5B63" w14:textId="77777777" w:rsidR="004771E4" w:rsidRPr="000421F0" w:rsidRDefault="004771E4" w:rsidP="00E105D8">
            <w:pPr>
              <w:numPr>
                <w:ilvl w:val="0"/>
                <w:numId w:val="30"/>
              </w:numPr>
              <w:spacing w:before="60" w:after="60"/>
              <w:rPr>
                <w:sz w:val="16"/>
                <w:szCs w:val="16"/>
              </w:rPr>
            </w:pPr>
            <w:r w:rsidRPr="000421F0">
              <w:rPr>
                <w:b/>
                <w:sz w:val="16"/>
                <w:szCs w:val="16"/>
              </w:rPr>
              <w:t>KL k RoPD, KL k žádostem o změnu</w:t>
            </w:r>
            <w:r w:rsidRPr="000421F0">
              <w:rPr>
                <w:sz w:val="16"/>
                <w:szCs w:val="16"/>
              </w:rPr>
              <w:t xml:space="preserve"> – vyplňuje se ručně, po podpisu vedoucího se skenují a ukládají do dokumentů</w:t>
            </w:r>
          </w:p>
          <w:p w14:paraId="3E71CDF1" w14:textId="5D14250B" w:rsidR="004771E4" w:rsidRPr="000421F0" w:rsidRDefault="004771E4" w:rsidP="00E105D8">
            <w:pPr>
              <w:numPr>
                <w:ilvl w:val="0"/>
                <w:numId w:val="30"/>
              </w:numPr>
              <w:spacing w:before="60" w:after="60"/>
              <w:rPr>
                <w:sz w:val="16"/>
                <w:szCs w:val="16"/>
              </w:rPr>
            </w:pPr>
            <w:r w:rsidRPr="000421F0">
              <w:rPr>
                <w:b/>
                <w:sz w:val="16"/>
                <w:szCs w:val="16"/>
              </w:rPr>
              <w:t xml:space="preserve">Dodatky k </w:t>
            </w:r>
            <w:r w:rsidR="00C240DA">
              <w:rPr>
                <w:b/>
                <w:sz w:val="16"/>
                <w:szCs w:val="16"/>
              </w:rPr>
              <w:t>RoPD</w:t>
            </w:r>
            <w:r w:rsidRPr="000421F0">
              <w:rPr>
                <w:sz w:val="16"/>
                <w:szCs w:val="16"/>
              </w:rPr>
              <w:t xml:space="preserve"> – vygenerovaná šablona je nedostatečná a vyžaduje manuální korekce, následně se ukládá mimo systém MS2014+, předkládá k podpisu </w:t>
            </w:r>
            <w:r w:rsidR="00800E8F">
              <w:rPr>
                <w:sz w:val="16"/>
                <w:szCs w:val="16"/>
              </w:rPr>
              <w:t>řediteli odboru</w:t>
            </w:r>
            <w:r w:rsidR="00800E8F" w:rsidRPr="000421F0">
              <w:rPr>
                <w:sz w:val="16"/>
                <w:szCs w:val="16"/>
              </w:rPr>
              <w:t xml:space="preserve"> </w:t>
            </w:r>
            <w:r w:rsidRPr="000421F0">
              <w:rPr>
                <w:sz w:val="16"/>
                <w:szCs w:val="16"/>
              </w:rPr>
              <w:t xml:space="preserve">a následně se </w:t>
            </w:r>
            <w:r w:rsidR="00E2689C">
              <w:rPr>
                <w:sz w:val="16"/>
                <w:szCs w:val="16"/>
              </w:rPr>
              <w:t>o</w:t>
            </w:r>
            <w:r w:rsidRPr="000421F0">
              <w:rPr>
                <w:sz w:val="16"/>
                <w:szCs w:val="16"/>
              </w:rPr>
              <w:t>skenov</w:t>
            </w:r>
            <w:r w:rsidR="00E2689C">
              <w:rPr>
                <w:sz w:val="16"/>
                <w:szCs w:val="16"/>
              </w:rPr>
              <w:t>aná</w:t>
            </w:r>
            <w:r w:rsidRPr="000421F0">
              <w:rPr>
                <w:sz w:val="16"/>
                <w:szCs w:val="16"/>
              </w:rPr>
              <w:t xml:space="preserve"> kopie uloží do MS</w:t>
            </w:r>
          </w:p>
          <w:p w14:paraId="2EF65C63" w14:textId="77777777" w:rsidR="004771E4" w:rsidRPr="000421F0" w:rsidRDefault="004771E4" w:rsidP="00E105D8">
            <w:pPr>
              <w:numPr>
                <w:ilvl w:val="0"/>
                <w:numId w:val="30"/>
              </w:numPr>
              <w:spacing w:before="60" w:after="60"/>
              <w:rPr>
                <w:sz w:val="16"/>
                <w:szCs w:val="16"/>
              </w:rPr>
            </w:pPr>
            <w:r w:rsidRPr="000421F0">
              <w:rPr>
                <w:b/>
                <w:sz w:val="16"/>
                <w:szCs w:val="16"/>
              </w:rPr>
              <w:t>Podklady pro výběrovou komisi</w:t>
            </w:r>
            <w:r w:rsidRPr="000421F0">
              <w:rPr>
                <w:sz w:val="16"/>
                <w:szCs w:val="16"/>
              </w:rPr>
              <w:t xml:space="preserve"> na základě schváleného věcného hodnocení – nelze generovat automaticky ze systému MS, musí se připravovat manuálně</w:t>
            </w:r>
          </w:p>
          <w:p w14:paraId="3C430088" w14:textId="77777777" w:rsidR="004771E4" w:rsidRPr="000421F0" w:rsidRDefault="004771E4" w:rsidP="00E105D8">
            <w:pPr>
              <w:numPr>
                <w:ilvl w:val="0"/>
                <w:numId w:val="30"/>
              </w:numPr>
              <w:spacing w:before="60" w:after="60"/>
              <w:rPr>
                <w:sz w:val="16"/>
                <w:szCs w:val="16"/>
              </w:rPr>
            </w:pPr>
            <w:r w:rsidRPr="000421F0">
              <w:rPr>
                <w:b/>
                <w:sz w:val="16"/>
                <w:szCs w:val="16"/>
              </w:rPr>
              <w:t xml:space="preserve">Nedostatek šablon - </w:t>
            </w:r>
            <w:r w:rsidRPr="000421F0">
              <w:rPr>
                <w:sz w:val="16"/>
                <w:szCs w:val="16"/>
              </w:rPr>
              <w:t>např. pro vratky, zamítací dopisy, usnesení atd.</w:t>
            </w:r>
          </w:p>
          <w:p w14:paraId="71782E94" w14:textId="6EB61FD6" w:rsidR="004771E4" w:rsidRPr="000421F0" w:rsidRDefault="00044ADB" w:rsidP="00E105D8">
            <w:pPr>
              <w:numPr>
                <w:ilvl w:val="0"/>
                <w:numId w:val="30"/>
              </w:numPr>
              <w:spacing w:before="60" w:after="60"/>
              <w:rPr>
                <w:sz w:val="16"/>
                <w:szCs w:val="16"/>
              </w:rPr>
            </w:pPr>
            <w:r>
              <w:rPr>
                <w:b/>
                <w:sz w:val="16"/>
                <w:szCs w:val="16"/>
              </w:rPr>
              <w:t>Neefektivní</w:t>
            </w:r>
            <w:r w:rsidRPr="000421F0">
              <w:rPr>
                <w:b/>
                <w:sz w:val="16"/>
                <w:szCs w:val="16"/>
              </w:rPr>
              <w:t xml:space="preserve"> </w:t>
            </w:r>
            <w:r w:rsidR="004771E4" w:rsidRPr="000421F0">
              <w:rPr>
                <w:b/>
                <w:sz w:val="16"/>
                <w:szCs w:val="16"/>
              </w:rPr>
              <w:t>notifikace příjemce</w:t>
            </w:r>
            <w:r w:rsidR="004771E4" w:rsidRPr="000421F0">
              <w:rPr>
                <w:sz w:val="16"/>
                <w:szCs w:val="16"/>
              </w:rPr>
              <w:t xml:space="preserve"> (notifikace jsou odesílány </w:t>
            </w:r>
            <w:r>
              <w:rPr>
                <w:sz w:val="16"/>
                <w:szCs w:val="16"/>
              </w:rPr>
              <w:t>formou depeší v MS2014+</w:t>
            </w:r>
            <w:r w:rsidR="004771E4" w:rsidRPr="000421F0">
              <w:rPr>
                <w:sz w:val="16"/>
                <w:szCs w:val="16"/>
              </w:rPr>
              <w:t xml:space="preserve">), např. </w:t>
            </w:r>
            <w:r w:rsidR="004771E4" w:rsidRPr="000421F0">
              <w:rPr>
                <w:sz w:val="16"/>
                <w:szCs w:val="16"/>
              </w:rPr>
              <w:lastRenderedPageBreak/>
              <w:t xml:space="preserve">v případě předkládání zpráv o realizaci, udržitelnosti projektu. </w:t>
            </w:r>
            <w:r>
              <w:rPr>
                <w:sz w:val="16"/>
                <w:szCs w:val="16"/>
              </w:rPr>
              <w:t>Příjemce obdrží depeši v ISKP2014+</w:t>
            </w:r>
            <w:r w:rsidR="009B74E3">
              <w:rPr>
                <w:rStyle w:val="FootnoteReference"/>
                <w:sz w:val="16"/>
                <w:szCs w:val="16"/>
              </w:rPr>
              <w:footnoteReference w:id="4"/>
            </w:r>
            <w:r>
              <w:rPr>
                <w:sz w:val="16"/>
                <w:szCs w:val="16"/>
              </w:rPr>
              <w:t>, pokud má nastaveno přeposílání, může být přeposlána na zadané emailové adresy příjemce</w:t>
            </w:r>
            <w:r w:rsidR="002424B1">
              <w:rPr>
                <w:sz w:val="16"/>
                <w:szCs w:val="16"/>
              </w:rPr>
              <w:t xml:space="preserve"> v ISKP2014+</w:t>
            </w:r>
            <w:r>
              <w:rPr>
                <w:sz w:val="16"/>
                <w:szCs w:val="16"/>
              </w:rPr>
              <w:t xml:space="preserve">. Je však </w:t>
            </w:r>
            <w:r w:rsidR="009B74E3">
              <w:rPr>
                <w:sz w:val="16"/>
                <w:szCs w:val="16"/>
              </w:rPr>
              <w:t>možné</w:t>
            </w:r>
            <w:r>
              <w:rPr>
                <w:sz w:val="16"/>
                <w:szCs w:val="16"/>
              </w:rPr>
              <w:t xml:space="preserve">, že přeposílání není spolehlivé z pohledu </w:t>
            </w:r>
            <w:r w:rsidR="009B74E3">
              <w:rPr>
                <w:sz w:val="16"/>
                <w:szCs w:val="16"/>
              </w:rPr>
              <w:t>poštovních serverů</w:t>
            </w:r>
            <w:r>
              <w:rPr>
                <w:sz w:val="16"/>
                <w:szCs w:val="16"/>
              </w:rPr>
              <w:t xml:space="preserve"> </w:t>
            </w:r>
            <w:r w:rsidR="009B74E3">
              <w:rPr>
                <w:sz w:val="16"/>
                <w:szCs w:val="16"/>
              </w:rPr>
              <w:t>nebo</w:t>
            </w:r>
            <w:r>
              <w:rPr>
                <w:sz w:val="16"/>
                <w:szCs w:val="16"/>
              </w:rPr>
              <w:t xml:space="preserve"> neaktuálnosti emailových adres </w:t>
            </w:r>
            <w:r w:rsidR="009B74E3">
              <w:rPr>
                <w:sz w:val="16"/>
                <w:szCs w:val="16"/>
              </w:rPr>
              <w:t xml:space="preserve">příjemce. Ten se tak o depeši </w:t>
            </w:r>
            <w:r w:rsidR="00E92CF1">
              <w:rPr>
                <w:sz w:val="16"/>
                <w:szCs w:val="16"/>
              </w:rPr>
              <w:t>nemusí dovědět</w:t>
            </w:r>
            <w:r w:rsidR="00E92CF1">
              <w:rPr>
                <w:rStyle w:val="FootnoteReference"/>
                <w:sz w:val="16"/>
                <w:szCs w:val="16"/>
              </w:rPr>
              <w:footnoteReference w:id="5"/>
            </w:r>
            <w:r w:rsidR="009B74E3">
              <w:rPr>
                <w:sz w:val="16"/>
                <w:szCs w:val="16"/>
              </w:rPr>
              <w:t xml:space="preserve"> a může dojít k zanedbání</w:t>
            </w:r>
            <w:r w:rsidR="004771E4" w:rsidRPr="000421F0">
              <w:rPr>
                <w:sz w:val="16"/>
                <w:szCs w:val="16"/>
              </w:rPr>
              <w:t xml:space="preserve"> </w:t>
            </w:r>
            <w:r w:rsidR="00E92CF1">
              <w:rPr>
                <w:sz w:val="16"/>
                <w:szCs w:val="16"/>
              </w:rPr>
              <w:t xml:space="preserve">informační povinnosti, </w:t>
            </w:r>
            <w:r w:rsidR="004771E4" w:rsidRPr="000421F0">
              <w:rPr>
                <w:sz w:val="16"/>
                <w:szCs w:val="16"/>
              </w:rPr>
              <w:t>předkládání zpráv a následnému hlášení nesrovnalostí spojených s vysokou administrativní zátěží.</w:t>
            </w:r>
            <w:r w:rsidR="0076727F" w:rsidRPr="000421F0">
              <w:rPr>
                <w:sz w:val="16"/>
                <w:szCs w:val="16"/>
              </w:rPr>
              <w:t xml:space="preserve"> Notifikace by </w:t>
            </w:r>
            <w:r w:rsidR="009B74E3">
              <w:rPr>
                <w:sz w:val="16"/>
                <w:szCs w:val="16"/>
              </w:rPr>
              <w:t xml:space="preserve">tudíž </w:t>
            </w:r>
            <w:r w:rsidR="0076727F" w:rsidRPr="000421F0">
              <w:rPr>
                <w:sz w:val="16"/>
                <w:szCs w:val="16"/>
              </w:rPr>
              <w:t>měli být</w:t>
            </w:r>
            <w:r w:rsidR="009B74E3">
              <w:rPr>
                <w:sz w:val="16"/>
                <w:szCs w:val="16"/>
              </w:rPr>
              <w:t xml:space="preserve"> automaticky</w:t>
            </w:r>
            <w:r w:rsidR="0076727F" w:rsidRPr="000421F0">
              <w:rPr>
                <w:sz w:val="16"/>
                <w:szCs w:val="16"/>
              </w:rPr>
              <w:t xml:space="preserve"> rozesílány také do datové schránky příjemců.</w:t>
            </w:r>
          </w:p>
          <w:p w14:paraId="2A9FE76B" w14:textId="77777777" w:rsidR="004771E4" w:rsidRPr="000421F0" w:rsidRDefault="004771E4" w:rsidP="00E105D8">
            <w:pPr>
              <w:numPr>
                <w:ilvl w:val="0"/>
                <w:numId w:val="30"/>
              </w:numPr>
              <w:spacing w:before="60" w:after="60"/>
              <w:rPr>
                <w:sz w:val="16"/>
                <w:szCs w:val="16"/>
              </w:rPr>
            </w:pPr>
            <w:r w:rsidRPr="000421F0">
              <w:rPr>
                <w:b/>
                <w:sz w:val="16"/>
                <w:szCs w:val="16"/>
              </w:rPr>
              <w:t>Uchovávání auditní stopy</w:t>
            </w:r>
            <w:r w:rsidRPr="000421F0">
              <w:rPr>
                <w:sz w:val="16"/>
                <w:szCs w:val="16"/>
              </w:rPr>
              <w:t>, proto musí být řada úkonů realizována formou interních sdělení, které vedou k administrativní zátěži a časovým prodlevám (např. v případě překliku a následné opravy v systému MS2014+ pracovníkem implementační struktury).</w:t>
            </w:r>
          </w:p>
          <w:p w14:paraId="537DACE4" w14:textId="60285171" w:rsidR="004771E4" w:rsidRPr="000421F0" w:rsidRDefault="004771E4" w:rsidP="00E105D8">
            <w:pPr>
              <w:numPr>
                <w:ilvl w:val="0"/>
                <w:numId w:val="30"/>
              </w:numPr>
              <w:spacing w:before="60" w:after="60"/>
              <w:rPr>
                <w:b/>
                <w:sz w:val="16"/>
                <w:szCs w:val="16"/>
              </w:rPr>
            </w:pPr>
            <w:r w:rsidRPr="000421F0">
              <w:rPr>
                <w:b/>
                <w:sz w:val="16"/>
                <w:szCs w:val="16"/>
              </w:rPr>
              <w:t>Řada administrativně náročných úkonů bez přidané hodnoty</w:t>
            </w:r>
            <w:r w:rsidRPr="000421F0">
              <w:rPr>
                <w:sz w:val="16"/>
                <w:szCs w:val="16"/>
              </w:rPr>
              <w:t>, např. uvádění čísla projektu na</w:t>
            </w:r>
            <w:r w:rsidR="005508CE" w:rsidRPr="000421F0">
              <w:rPr>
                <w:sz w:val="16"/>
                <w:szCs w:val="16"/>
              </w:rPr>
              <w:t xml:space="preserve"> fakturách, číslování dokumentů, označování odesílatele depeše ve svém přihlášeném účtu, umožnění přechodu stavů </w:t>
            </w:r>
            <w:r w:rsidRPr="000421F0">
              <w:rPr>
                <w:sz w:val="16"/>
                <w:szCs w:val="16"/>
              </w:rPr>
              <w:t>apod.</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75E8970" w14:textId="77777777" w:rsidR="004771E4" w:rsidRPr="000421F0" w:rsidRDefault="004771E4" w:rsidP="00E105D8">
            <w:pPr>
              <w:spacing w:before="60" w:after="60" w:line="276" w:lineRule="auto"/>
              <w:ind w:left="177" w:right="134"/>
              <w:jc w:val="center"/>
              <w:rPr>
                <w:sz w:val="16"/>
                <w:szCs w:val="16"/>
              </w:rPr>
            </w:pPr>
            <w:r w:rsidRPr="000421F0">
              <w:rPr>
                <w:sz w:val="16"/>
                <w:szCs w:val="16"/>
              </w:rPr>
              <w:lastRenderedPageBreak/>
              <w:t>Ne</w:t>
            </w:r>
          </w:p>
          <w:p w14:paraId="20CB42AA" w14:textId="77777777" w:rsidR="004771E4" w:rsidRPr="000421F0" w:rsidRDefault="004771E4" w:rsidP="00E105D8">
            <w:pPr>
              <w:spacing w:before="60" w:after="60" w:line="276" w:lineRule="auto"/>
              <w:ind w:left="177" w:right="134"/>
              <w:jc w:val="center"/>
              <w:rPr>
                <w:sz w:val="16"/>
                <w:szCs w:val="16"/>
              </w:rPr>
            </w:pPr>
            <w:r w:rsidRPr="000421F0">
              <w:rPr>
                <w:sz w:val="16"/>
                <w:szCs w:val="16"/>
              </w:rPr>
              <w:t>2 (požadavek na MMR)</w:t>
            </w:r>
          </w:p>
          <w:p w14:paraId="30C93758" w14:textId="77777777" w:rsidR="004771E4" w:rsidRPr="000421F0" w:rsidRDefault="004771E4" w:rsidP="00E105D8">
            <w:pPr>
              <w:spacing w:before="60" w:after="60" w:line="276" w:lineRule="auto"/>
              <w:ind w:left="177" w:right="134"/>
              <w:jc w:val="center"/>
              <w:rPr>
                <w:sz w:val="16"/>
                <w:szCs w:val="16"/>
              </w:rPr>
            </w:pPr>
          </w:p>
          <w:p w14:paraId="325CFEAA" w14:textId="77777777" w:rsidR="004771E4" w:rsidRPr="000421F0" w:rsidRDefault="004771E4" w:rsidP="00E105D8">
            <w:pPr>
              <w:spacing w:before="60" w:after="60" w:line="276" w:lineRule="auto"/>
              <w:ind w:left="177" w:right="134"/>
              <w:jc w:val="center"/>
              <w:rPr>
                <w:sz w:val="16"/>
                <w:szCs w:val="16"/>
              </w:rPr>
            </w:pPr>
          </w:p>
          <w:p w14:paraId="34A2957A" w14:textId="77777777" w:rsidR="004771E4" w:rsidRPr="000421F0" w:rsidRDefault="004771E4" w:rsidP="00E105D8">
            <w:pPr>
              <w:spacing w:before="60" w:after="60" w:line="276" w:lineRule="auto"/>
              <w:ind w:left="177" w:right="134"/>
              <w:jc w:val="center"/>
              <w:rPr>
                <w:sz w:val="16"/>
                <w:szCs w:val="16"/>
              </w:rPr>
            </w:pP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C4D3B5E" w14:textId="77777777" w:rsidR="004771E4" w:rsidRPr="000421F0" w:rsidRDefault="004771E4" w:rsidP="00E105D8">
            <w:pPr>
              <w:pStyle w:val="ListParagraph"/>
              <w:numPr>
                <w:ilvl w:val="0"/>
                <w:numId w:val="31"/>
              </w:numPr>
              <w:spacing w:before="60" w:after="60" w:line="276" w:lineRule="auto"/>
              <w:ind w:left="442" w:right="134"/>
              <w:contextualSpacing w:val="0"/>
              <w:rPr>
                <w:b/>
                <w:bCs/>
                <w:sz w:val="16"/>
                <w:szCs w:val="16"/>
              </w:rPr>
            </w:pPr>
            <w:r w:rsidRPr="1B8B314C">
              <w:rPr>
                <w:b/>
                <w:bCs/>
                <w:sz w:val="16"/>
                <w:szCs w:val="16"/>
              </w:rPr>
              <w:t>Realizace detailní analýzy absentujících funkcionalit MS2014+ a ISKP14+.</w:t>
            </w:r>
          </w:p>
          <w:p w14:paraId="19EB5B05"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 xml:space="preserve">Poskytnutí všech identifikovaných nedostatků a funkcionalit jako podkladu pro návrh nového Monitorovacího systému. </w:t>
            </w:r>
          </w:p>
          <w:p w14:paraId="08A974AC"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Integrace do požadavků na nový systém.</w:t>
            </w:r>
          </w:p>
          <w:p w14:paraId="475ACBCC" w14:textId="29574EF2" w:rsidR="00FD5ACA" w:rsidRPr="000421F0" w:rsidRDefault="00FD5ACA"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Zrušení záložky „Administrativního ověření“</w:t>
            </w:r>
            <w:r w:rsidR="00B4000D">
              <w:rPr>
                <w:sz w:val="16"/>
                <w:szCs w:val="16"/>
              </w:rPr>
              <w:t xml:space="preserve"> a provazba záznamu přímo do karty projektu, KL.</w:t>
            </w:r>
          </w:p>
          <w:p w14:paraId="403CF5CB" w14:textId="3B0820FB" w:rsidR="0076727F" w:rsidRPr="000421F0" w:rsidRDefault="0076727F"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 xml:space="preserve">Automatické předvyplňování </w:t>
            </w:r>
            <w:r w:rsidR="00EC2260" w:rsidRPr="000421F0">
              <w:rPr>
                <w:sz w:val="16"/>
                <w:szCs w:val="16"/>
              </w:rPr>
              <w:t xml:space="preserve">a překopírovávání </w:t>
            </w:r>
            <w:r w:rsidRPr="000421F0">
              <w:rPr>
                <w:sz w:val="16"/>
                <w:szCs w:val="16"/>
              </w:rPr>
              <w:t>údajů v systému MS (např. NACE, NUT, datum podpisu RoPD</w:t>
            </w:r>
            <w:r w:rsidR="00EC2260" w:rsidRPr="000421F0">
              <w:rPr>
                <w:sz w:val="16"/>
                <w:szCs w:val="16"/>
              </w:rPr>
              <w:t>, odůvodnění sankce</w:t>
            </w:r>
            <w:r w:rsidRPr="000421F0">
              <w:rPr>
                <w:sz w:val="16"/>
                <w:szCs w:val="16"/>
              </w:rPr>
              <w:t>).</w:t>
            </w:r>
          </w:p>
          <w:p w14:paraId="3890A5AF" w14:textId="4CF9BB16" w:rsidR="00FE3E19" w:rsidRPr="000421F0" w:rsidRDefault="00FE3E19"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Zefektivnění přechodu stavu v MS2014+</w:t>
            </w:r>
            <w:r w:rsidR="00EC2260" w:rsidRPr="000421F0">
              <w:rPr>
                <w:sz w:val="16"/>
                <w:szCs w:val="16"/>
              </w:rPr>
              <w:t xml:space="preserve"> navázané na konkrétní úkon</w:t>
            </w:r>
            <w:r w:rsidRPr="000421F0">
              <w:rPr>
                <w:sz w:val="16"/>
                <w:szCs w:val="16"/>
              </w:rPr>
              <w:t>, např. provázání generování detailu plateb na přechod</w:t>
            </w:r>
            <w:r w:rsidR="00BB343F">
              <w:rPr>
                <w:sz w:val="16"/>
                <w:szCs w:val="16"/>
              </w:rPr>
              <w:t>ného</w:t>
            </w:r>
            <w:r w:rsidRPr="000421F0">
              <w:rPr>
                <w:sz w:val="16"/>
                <w:szCs w:val="16"/>
              </w:rPr>
              <w:t xml:space="preserve"> stavu. </w:t>
            </w:r>
          </w:p>
          <w:p w14:paraId="5DB2FE0D" w14:textId="55974AA9" w:rsidR="00FE3E19" w:rsidRPr="000421F0" w:rsidRDefault="00FE3E19"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Zefektivnění výběru adresátů (místo zaklikávání jednotlivých adresátů dát možnost „všem“) a aut</w:t>
            </w:r>
            <w:r w:rsidR="00BB343F">
              <w:rPr>
                <w:sz w:val="16"/>
                <w:szCs w:val="16"/>
              </w:rPr>
              <w:t>omatizace odesílatele u depeší</w:t>
            </w:r>
            <w:r w:rsidRPr="000421F0">
              <w:rPr>
                <w:sz w:val="16"/>
                <w:szCs w:val="16"/>
              </w:rPr>
              <w:t xml:space="preserve">. </w:t>
            </w:r>
          </w:p>
          <w:p w14:paraId="596C2368" w14:textId="77777777" w:rsidR="00EC2260" w:rsidRDefault="79CF72FD" w:rsidP="00E105D8">
            <w:pPr>
              <w:pStyle w:val="ListParagraph"/>
              <w:numPr>
                <w:ilvl w:val="0"/>
                <w:numId w:val="31"/>
              </w:numPr>
              <w:spacing w:before="60" w:after="60" w:line="276" w:lineRule="auto"/>
              <w:ind w:left="442" w:right="134"/>
              <w:contextualSpacing w:val="0"/>
              <w:rPr>
                <w:sz w:val="16"/>
                <w:szCs w:val="16"/>
              </w:rPr>
            </w:pPr>
            <w:r w:rsidRPr="1B8B314C">
              <w:rPr>
                <w:sz w:val="16"/>
                <w:szCs w:val="16"/>
              </w:rPr>
              <w:t xml:space="preserve">Efektivnější tvorba statistik a </w:t>
            </w:r>
            <w:r w:rsidR="204F2308" w:rsidRPr="1B8B314C">
              <w:rPr>
                <w:sz w:val="16"/>
                <w:szCs w:val="16"/>
              </w:rPr>
              <w:t xml:space="preserve">export </w:t>
            </w:r>
            <w:r w:rsidRPr="1B8B314C">
              <w:rPr>
                <w:sz w:val="16"/>
                <w:szCs w:val="16"/>
              </w:rPr>
              <w:t>sestav</w:t>
            </w:r>
            <w:r w:rsidR="204F2308" w:rsidRPr="1B8B314C">
              <w:rPr>
                <w:sz w:val="16"/>
                <w:szCs w:val="16"/>
              </w:rPr>
              <w:t xml:space="preserve"> z MS2014+</w:t>
            </w:r>
            <w:r w:rsidRPr="1B8B314C">
              <w:rPr>
                <w:sz w:val="16"/>
                <w:szCs w:val="16"/>
              </w:rPr>
              <w:t>.</w:t>
            </w:r>
            <w:r w:rsidR="000B2F58">
              <w:rPr>
                <w:sz w:val="16"/>
                <w:szCs w:val="16"/>
              </w:rPr>
              <w:t xml:space="preserve"> (Systém by měl umožňovat standardní tvorbu alespoň základních statistik </w:t>
            </w:r>
            <w:r w:rsidR="0059703A">
              <w:rPr>
                <w:sz w:val="16"/>
                <w:szCs w:val="16"/>
              </w:rPr>
              <w:t>každému pracovníkovi IS bez nutnosti předchozího školení. Systém by měl umožňovat případně i automaticky generované analýzy, statistiky formou tzv. „dashboardů“.)</w:t>
            </w:r>
          </w:p>
          <w:p w14:paraId="750F886F" w14:textId="4750F9D6" w:rsidR="009B74E3" w:rsidRPr="000421F0" w:rsidRDefault="009B74E3" w:rsidP="00E105D8">
            <w:pPr>
              <w:pStyle w:val="ListParagraph"/>
              <w:numPr>
                <w:ilvl w:val="0"/>
                <w:numId w:val="31"/>
              </w:numPr>
              <w:spacing w:before="60" w:after="60" w:line="276" w:lineRule="auto"/>
              <w:ind w:left="442" w:right="134"/>
              <w:contextualSpacing w:val="0"/>
              <w:rPr>
                <w:sz w:val="16"/>
                <w:szCs w:val="16"/>
              </w:rPr>
            </w:pPr>
            <w:r>
              <w:rPr>
                <w:sz w:val="16"/>
                <w:szCs w:val="16"/>
              </w:rPr>
              <w:t xml:space="preserve">Automatické zasílání notifikací do datových schránek příjemců. </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6FF1FE50" w14:textId="77777777" w:rsidR="004771E4" w:rsidRPr="000421F0" w:rsidRDefault="004771E4" w:rsidP="00E105D8">
            <w:pPr>
              <w:spacing w:before="60" w:after="60" w:line="276" w:lineRule="auto"/>
              <w:rPr>
                <w:sz w:val="16"/>
                <w:szCs w:val="16"/>
              </w:rPr>
            </w:pPr>
            <w:r w:rsidRPr="000421F0">
              <w:rPr>
                <w:sz w:val="16"/>
                <w:szCs w:val="16"/>
              </w:rPr>
              <w:t>Příští programové období</w:t>
            </w:r>
          </w:p>
        </w:tc>
      </w:tr>
      <w:tr w:rsidR="004771E4" w:rsidRPr="000421F0" w14:paraId="4747CEC9"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33880FC5" w14:textId="77777777" w:rsidR="004771E4" w:rsidRPr="000421F0" w:rsidRDefault="004771E4" w:rsidP="00E105D8">
            <w:pPr>
              <w:spacing w:before="60" w:after="60"/>
              <w:ind w:right="90"/>
              <w:rPr>
                <w:b/>
                <w:sz w:val="16"/>
                <w:szCs w:val="16"/>
              </w:rPr>
            </w:pPr>
            <w:r w:rsidRPr="000421F0">
              <w:rPr>
                <w:b/>
                <w:sz w:val="16"/>
                <w:szCs w:val="16"/>
              </w:rPr>
              <w:t>Nutnost manuálních úkonů</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5D1B70F" w14:textId="77777777" w:rsidR="004771E4" w:rsidRPr="000421F0" w:rsidRDefault="004771E4" w:rsidP="00E105D8">
            <w:pPr>
              <w:spacing w:before="60" w:after="60"/>
              <w:rPr>
                <w:sz w:val="16"/>
                <w:szCs w:val="16"/>
              </w:rPr>
            </w:pPr>
            <w:r w:rsidRPr="000421F0">
              <w:rPr>
                <w:b/>
                <w:sz w:val="16"/>
                <w:szCs w:val="16"/>
              </w:rPr>
              <w:t xml:space="preserve">Nedostatečná automatizace procesů a nutnost jejich manuálního zpracovávání, které vede k chybovosti a časovým prodlevám. </w:t>
            </w:r>
            <w:r w:rsidRPr="000421F0">
              <w:rPr>
                <w:sz w:val="16"/>
                <w:szCs w:val="16"/>
              </w:rPr>
              <w:t xml:space="preserve">Řada odborů a oddělení napříč IS vykonává řadu postupů manuálním zpracováváním dat ve vlastních excelových tabulkách. Tyto „nesystémové“ nástroje slouží k monitorování a řízení procesů od lidských zdrojů až po dílčí úkony typu počítání a kontroly směsných poměrů projektů.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596880A8" w14:textId="77777777" w:rsidR="004771E4" w:rsidRPr="000421F0" w:rsidRDefault="004771E4" w:rsidP="00E105D8">
            <w:pPr>
              <w:spacing w:before="60" w:after="60" w:line="276" w:lineRule="auto"/>
              <w:ind w:left="177" w:right="134"/>
              <w:jc w:val="center"/>
              <w:rPr>
                <w:sz w:val="16"/>
                <w:szCs w:val="16"/>
              </w:rPr>
            </w:pPr>
            <w:r w:rsidRPr="000421F0">
              <w:rPr>
                <w:sz w:val="16"/>
                <w:szCs w:val="16"/>
              </w:rPr>
              <w:t>Ano</w:t>
            </w:r>
          </w:p>
          <w:p w14:paraId="191C8E71" w14:textId="77777777" w:rsidR="004771E4" w:rsidRPr="000421F0" w:rsidRDefault="004771E4" w:rsidP="00E105D8">
            <w:pPr>
              <w:spacing w:before="60" w:after="60" w:line="276" w:lineRule="auto"/>
              <w:ind w:left="177" w:right="134"/>
              <w:jc w:val="center"/>
              <w:rPr>
                <w:sz w:val="16"/>
                <w:szCs w:val="16"/>
              </w:rPr>
            </w:pPr>
          </w:p>
          <w:p w14:paraId="77913D9E" w14:textId="77777777" w:rsidR="004771E4" w:rsidRPr="000421F0" w:rsidRDefault="004771E4" w:rsidP="00E105D8">
            <w:pPr>
              <w:spacing w:before="60" w:after="60" w:line="276" w:lineRule="auto"/>
              <w:ind w:left="177" w:right="134"/>
              <w:jc w:val="center"/>
              <w:rPr>
                <w:sz w:val="16"/>
                <w:szCs w:val="16"/>
              </w:rPr>
            </w:pPr>
            <w:r w:rsidRPr="000421F0">
              <w:rPr>
                <w:sz w:val="16"/>
                <w:szCs w:val="16"/>
              </w:rPr>
              <w:t>2</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19F5DBEC" w14:textId="5F274AAD"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 xml:space="preserve">Využití externích </w:t>
            </w:r>
            <w:r w:rsidRPr="000421F0">
              <w:rPr>
                <w:b/>
                <w:sz w:val="16"/>
                <w:szCs w:val="16"/>
              </w:rPr>
              <w:t>SW řešení pro automatizaci</w:t>
            </w:r>
            <w:r w:rsidRPr="000421F0">
              <w:rPr>
                <w:sz w:val="16"/>
                <w:szCs w:val="16"/>
              </w:rPr>
              <w:t xml:space="preserve"> vybraných procesů, např.  </w:t>
            </w:r>
            <w:r w:rsidR="00AE48CF">
              <w:rPr>
                <w:sz w:val="16"/>
                <w:szCs w:val="16"/>
              </w:rPr>
              <w:t>u</w:t>
            </w:r>
            <w:r w:rsidRPr="000421F0">
              <w:rPr>
                <w:sz w:val="16"/>
                <w:szCs w:val="16"/>
              </w:rPr>
              <w:t>rčování směsných poměrů.</w:t>
            </w:r>
          </w:p>
          <w:p w14:paraId="0802BA97"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Propojení s centrálními registry (Insolvenční rejstřík, Obchodní rejstřík, Katastr nemovitostí, portál eAgri).</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6BBCDBC4" w14:textId="0168BA73" w:rsidR="004771E4" w:rsidRPr="000421F0" w:rsidRDefault="004771E4" w:rsidP="00E105D8">
            <w:pPr>
              <w:spacing w:before="60" w:after="60" w:line="276" w:lineRule="auto"/>
              <w:rPr>
                <w:sz w:val="16"/>
                <w:szCs w:val="16"/>
              </w:rPr>
            </w:pPr>
            <w:r w:rsidRPr="000421F0">
              <w:rPr>
                <w:sz w:val="16"/>
                <w:szCs w:val="16"/>
              </w:rPr>
              <w:t>Krátko - střed</w:t>
            </w:r>
            <w:r w:rsidR="00AE48CF">
              <w:rPr>
                <w:sz w:val="16"/>
                <w:szCs w:val="16"/>
              </w:rPr>
              <w:t>n</w:t>
            </w:r>
            <w:r w:rsidRPr="000421F0">
              <w:rPr>
                <w:sz w:val="16"/>
                <w:szCs w:val="16"/>
              </w:rPr>
              <w:t>ědobý horizont</w:t>
            </w:r>
          </w:p>
        </w:tc>
      </w:tr>
      <w:tr w:rsidR="004771E4" w:rsidRPr="000421F0" w14:paraId="0F845213"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28D4D41B" w14:textId="77777777" w:rsidR="004771E4" w:rsidRPr="000421F0" w:rsidRDefault="004771E4" w:rsidP="00E105D8">
            <w:pPr>
              <w:spacing w:before="60" w:after="60"/>
              <w:ind w:right="90"/>
              <w:rPr>
                <w:b/>
                <w:sz w:val="16"/>
                <w:szCs w:val="16"/>
              </w:rPr>
            </w:pPr>
            <w:r w:rsidRPr="000421F0">
              <w:rPr>
                <w:b/>
                <w:sz w:val="16"/>
                <w:szCs w:val="16"/>
              </w:rPr>
              <w:t>Neinformovanost žadatelů o průběhu výběru projektů</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7D9D68B" w14:textId="29C57AF6" w:rsidR="004771E4" w:rsidRPr="000421F0" w:rsidRDefault="0029587A" w:rsidP="00E105D8">
            <w:pPr>
              <w:spacing w:before="60" w:after="60"/>
              <w:rPr>
                <w:b/>
                <w:sz w:val="16"/>
                <w:szCs w:val="16"/>
              </w:rPr>
            </w:pPr>
            <w:r>
              <w:rPr>
                <w:sz w:val="16"/>
                <w:szCs w:val="16"/>
              </w:rPr>
              <w:t xml:space="preserve">Žadatelé se necítí být dostatečně informováni o aktuálním stavu hodnocení jejich žádosti o podporu.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4B0857F4" w14:textId="77777777" w:rsidR="004771E4" w:rsidRPr="000421F0" w:rsidRDefault="004771E4" w:rsidP="00E105D8">
            <w:pPr>
              <w:spacing w:before="60" w:after="60"/>
              <w:ind w:left="177" w:right="134"/>
              <w:jc w:val="center"/>
              <w:rPr>
                <w:sz w:val="16"/>
                <w:szCs w:val="16"/>
              </w:rPr>
            </w:pPr>
            <w:r w:rsidRPr="000421F0">
              <w:rPr>
                <w:sz w:val="16"/>
                <w:szCs w:val="16"/>
              </w:rPr>
              <w:t>Ne</w:t>
            </w:r>
          </w:p>
          <w:p w14:paraId="1A231418" w14:textId="77777777" w:rsidR="004771E4" w:rsidRPr="000421F0" w:rsidRDefault="004771E4" w:rsidP="00E105D8">
            <w:pPr>
              <w:spacing w:before="60" w:after="60"/>
              <w:ind w:left="177" w:right="134"/>
              <w:jc w:val="center"/>
              <w:rPr>
                <w:sz w:val="16"/>
                <w:szCs w:val="16"/>
              </w:rPr>
            </w:pPr>
          </w:p>
          <w:p w14:paraId="4EC69823" w14:textId="77777777" w:rsidR="004771E4" w:rsidRPr="000421F0" w:rsidRDefault="004771E4" w:rsidP="00E105D8">
            <w:pPr>
              <w:spacing w:before="60" w:after="60" w:line="276" w:lineRule="auto"/>
              <w:ind w:left="177" w:right="134"/>
              <w:jc w:val="center"/>
              <w:rPr>
                <w:sz w:val="16"/>
                <w:szCs w:val="16"/>
              </w:rPr>
            </w:pPr>
            <w:r w:rsidRPr="000421F0">
              <w:rPr>
                <w:sz w:val="16"/>
                <w:szCs w:val="16"/>
              </w:rPr>
              <w:lastRenderedPageBreak/>
              <w:t>2 (požadavek na MMR)</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3C75221"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lastRenderedPageBreak/>
              <w:t xml:space="preserve">Umožnění žadatelům sledování fáze hodnocení žádosti a schvalování projektu </w:t>
            </w:r>
            <w:r w:rsidRPr="000421F0">
              <w:rPr>
                <w:sz w:val="16"/>
                <w:szCs w:val="16"/>
              </w:rPr>
              <w:lastRenderedPageBreak/>
              <w:t xml:space="preserve">v systému, včetně indikace lhůt a termínů. </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00A6868C" w14:textId="77777777" w:rsidR="004771E4" w:rsidRPr="000421F0" w:rsidRDefault="004771E4" w:rsidP="00E105D8">
            <w:pPr>
              <w:spacing w:before="60" w:after="60" w:line="276" w:lineRule="auto"/>
              <w:rPr>
                <w:sz w:val="16"/>
                <w:szCs w:val="16"/>
              </w:rPr>
            </w:pPr>
            <w:r w:rsidRPr="000421F0">
              <w:rPr>
                <w:sz w:val="16"/>
                <w:szCs w:val="16"/>
              </w:rPr>
              <w:lastRenderedPageBreak/>
              <w:t>Příští programové období</w:t>
            </w:r>
          </w:p>
        </w:tc>
      </w:tr>
      <w:tr w:rsidR="004771E4" w:rsidRPr="000421F0" w14:paraId="1120B487"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624D52A2" w14:textId="77777777" w:rsidR="004771E4" w:rsidRPr="000421F0" w:rsidRDefault="004771E4" w:rsidP="00E105D8">
            <w:pPr>
              <w:spacing w:before="60" w:after="60"/>
              <w:ind w:right="90"/>
              <w:rPr>
                <w:b/>
                <w:sz w:val="16"/>
                <w:szCs w:val="16"/>
              </w:rPr>
            </w:pPr>
            <w:r w:rsidRPr="000421F0">
              <w:rPr>
                <w:b/>
                <w:sz w:val="16"/>
                <w:szCs w:val="16"/>
              </w:rPr>
              <w:t>Omezený přístup PM do ISKP14+</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B67EAE1" w14:textId="77777777" w:rsidR="004771E4" w:rsidRPr="000421F0" w:rsidRDefault="004771E4" w:rsidP="00E105D8">
            <w:pPr>
              <w:spacing w:before="60" w:after="60"/>
              <w:rPr>
                <w:b/>
                <w:sz w:val="16"/>
                <w:szCs w:val="16"/>
              </w:rPr>
            </w:pPr>
            <w:r w:rsidRPr="000421F0">
              <w:rPr>
                <w:b/>
                <w:sz w:val="16"/>
                <w:szCs w:val="16"/>
              </w:rPr>
              <w:t>Pracovníci ZS nemají přístup k žádostem v ISKP14+</w:t>
            </w:r>
            <w:r w:rsidRPr="000421F0">
              <w:rPr>
                <w:sz w:val="16"/>
                <w:szCs w:val="16"/>
              </w:rPr>
              <w:t xml:space="preserve"> a nemohou tak efektivně radit žadatelům s opravami napravitelných chyb v systému. Prostředí ISKP14+ je významně odlišné od prostředí MS2014+.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CAA899C" w14:textId="77777777" w:rsidR="004771E4" w:rsidRPr="000421F0" w:rsidRDefault="004771E4" w:rsidP="00E105D8">
            <w:pPr>
              <w:spacing w:before="60" w:after="60"/>
              <w:ind w:left="177" w:right="134"/>
              <w:jc w:val="center"/>
              <w:rPr>
                <w:sz w:val="16"/>
                <w:szCs w:val="16"/>
              </w:rPr>
            </w:pPr>
            <w:r w:rsidRPr="000421F0">
              <w:rPr>
                <w:sz w:val="16"/>
                <w:szCs w:val="16"/>
              </w:rPr>
              <w:t>Ano</w:t>
            </w:r>
          </w:p>
          <w:p w14:paraId="656E17A3" w14:textId="77777777" w:rsidR="004771E4" w:rsidRPr="000421F0" w:rsidRDefault="004771E4" w:rsidP="00E105D8">
            <w:pPr>
              <w:spacing w:before="60" w:after="60"/>
              <w:ind w:left="177" w:right="134"/>
              <w:jc w:val="center"/>
              <w:rPr>
                <w:sz w:val="16"/>
                <w:szCs w:val="16"/>
              </w:rPr>
            </w:pPr>
          </w:p>
          <w:p w14:paraId="4B8DACB1" w14:textId="77777777" w:rsidR="004771E4" w:rsidRPr="000421F0" w:rsidRDefault="004771E4" w:rsidP="00E105D8">
            <w:pPr>
              <w:spacing w:before="60" w:after="60" w:line="276" w:lineRule="auto"/>
              <w:ind w:left="177" w:right="134"/>
              <w:jc w:val="center"/>
              <w:rPr>
                <w:sz w:val="16"/>
                <w:szCs w:val="16"/>
              </w:rPr>
            </w:pPr>
            <w:r w:rsidRPr="000421F0">
              <w:rPr>
                <w:sz w:val="16"/>
                <w:szCs w:val="16"/>
              </w:rPr>
              <w:t>2</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526F265"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 xml:space="preserve">Zpřístupnění ISKP14+ PM API. </w:t>
            </w:r>
          </w:p>
          <w:p w14:paraId="122DDC58" w14:textId="77777777" w:rsidR="004771E4" w:rsidRPr="000421F0" w:rsidRDefault="004771E4" w:rsidP="00E105D8">
            <w:pPr>
              <w:pStyle w:val="ListParagraph"/>
              <w:spacing w:before="60" w:after="60" w:line="276" w:lineRule="auto"/>
              <w:ind w:left="442" w:right="134"/>
              <w:contextualSpacing w:val="0"/>
              <w:rPr>
                <w:sz w:val="16"/>
                <w:szCs w:val="16"/>
              </w:rPr>
            </w:pP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046AD2AC" w14:textId="77777777" w:rsidR="004771E4" w:rsidRPr="000421F0" w:rsidRDefault="004771E4" w:rsidP="00E105D8">
            <w:pPr>
              <w:spacing w:before="60" w:after="60" w:line="276" w:lineRule="auto"/>
              <w:rPr>
                <w:sz w:val="16"/>
                <w:szCs w:val="16"/>
              </w:rPr>
            </w:pPr>
            <w:r w:rsidRPr="000421F0">
              <w:rPr>
                <w:sz w:val="16"/>
                <w:szCs w:val="16"/>
              </w:rPr>
              <w:t>Krátkodobý horizont</w:t>
            </w:r>
          </w:p>
        </w:tc>
      </w:tr>
      <w:tr w:rsidR="004771E4" w:rsidRPr="000421F0" w14:paraId="3F1BD18C" w14:textId="77777777" w:rsidTr="004B3AE9">
        <w:tc>
          <w:tcPr>
            <w:tcW w:w="5000" w:type="pct"/>
            <w:gridSpan w:val="5"/>
            <w:tcBorders>
              <w:top w:val="single" w:sz="6" w:space="0" w:color="D9D9D9" w:themeColor="background1" w:themeShade="D9"/>
              <w:left w:val="nil"/>
              <w:bottom w:val="single" w:sz="6" w:space="0" w:color="D9D9D9" w:themeColor="background1" w:themeShade="D9"/>
              <w:right w:val="nil"/>
            </w:tcBorders>
            <w:shd w:val="clear" w:color="auto" w:fill="E7F5CF" w:themeFill="accent1" w:themeFillTint="33"/>
            <w:hideMark/>
          </w:tcPr>
          <w:p w14:paraId="2EBA60AE" w14:textId="77777777" w:rsidR="004771E4" w:rsidRPr="000421F0" w:rsidRDefault="004771E4" w:rsidP="00E105D8">
            <w:pPr>
              <w:spacing w:before="60" w:after="60" w:line="276" w:lineRule="auto"/>
              <w:rPr>
                <w:sz w:val="16"/>
                <w:szCs w:val="16"/>
              </w:rPr>
            </w:pPr>
            <w:r w:rsidRPr="000421F0">
              <w:rPr>
                <w:b/>
                <w:sz w:val="16"/>
                <w:szCs w:val="16"/>
              </w:rPr>
              <w:t>Řízení OP PIK</w:t>
            </w:r>
          </w:p>
        </w:tc>
      </w:tr>
      <w:tr w:rsidR="004771E4" w:rsidRPr="000421F0" w14:paraId="4EAB89DC"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tcPr>
          <w:p w14:paraId="2942B5A3" w14:textId="77777777" w:rsidR="004771E4" w:rsidRPr="000421F0" w:rsidRDefault="004771E4" w:rsidP="00E105D8">
            <w:pPr>
              <w:spacing w:before="60" w:after="60"/>
              <w:ind w:right="9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7F3EF684" w14:textId="77777777" w:rsidR="004771E4" w:rsidRPr="000421F0" w:rsidRDefault="004771E4" w:rsidP="00E105D8">
            <w:pPr>
              <w:spacing w:before="60" w:after="60"/>
              <w:rPr>
                <w:sz w:val="16"/>
                <w:szCs w:val="16"/>
              </w:rPr>
            </w:pPr>
            <w:r w:rsidRPr="000421F0">
              <w:rPr>
                <w:b/>
                <w:sz w:val="16"/>
                <w:szCs w:val="16"/>
              </w:rPr>
              <w:t xml:space="preserve">Řídící procesy OP PIK podléhají ad hoc změnám vedení, bez předcházející analýzy dat a analýzy dopadu změn na implementační strukturu. </w:t>
            </w:r>
            <w:r w:rsidRPr="000421F0">
              <w:rPr>
                <w:sz w:val="16"/>
                <w:szCs w:val="16"/>
              </w:rPr>
              <w:t>Změny tohoto charakteru mohou být nesystémové a mohou vést k dalším nedostatkům v administraci OP PIK.</w:t>
            </w:r>
            <w:r w:rsidRPr="000421F0">
              <w:rPr>
                <w:b/>
                <w:sz w:val="16"/>
                <w:szCs w:val="16"/>
              </w:rPr>
              <w:t xml:space="preserve">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D843105" w14:textId="77777777" w:rsidR="004771E4" w:rsidRPr="000421F0" w:rsidRDefault="004771E4" w:rsidP="00E105D8">
            <w:pPr>
              <w:spacing w:before="60" w:after="60" w:line="276" w:lineRule="auto"/>
              <w:ind w:left="177" w:right="134"/>
              <w:jc w:val="center"/>
              <w:rPr>
                <w:sz w:val="16"/>
                <w:szCs w:val="16"/>
              </w:rPr>
            </w:pPr>
            <w:r w:rsidRPr="000421F0">
              <w:rPr>
                <w:sz w:val="16"/>
                <w:szCs w:val="16"/>
              </w:rPr>
              <w:t>Ano</w:t>
            </w:r>
          </w:p>
          <w:p w14:paraId="43596B73" w14:textId="77777777" w:rsidR="004771E4" w:rsidRPr="000421F0" w:rsidRDefault="004771E4" w:rsidP="00E105D8">
            <w:pPr>
              <w:spacing w:before="60" w:after="60" w:line="276" w:lineRule="auto"/>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87C046D" w14:textId="754574FC" w:rsidR="004771E4" w:rsidRPr="000421F0" w:rsidRDefault="00EF7E83" w:rsidP="00E105D8">
            <w:pPr>
              <w:pStyle w:val="ListParagraph"/>
              <w:numPr>
                <w:ilvl w:val="0"/>
                <w:numId w:val="31"/>
              </w:numPr>
              <w:spacing w:before="60" w:after="60" w:line="276" w:lineRule="auto"/>
              <w:ind w:left="480" w:right="134"/>
              <w:contextualSpacing w:val="0"/>
              <w:rPr>
                <w:sz w:val="16"/>
                <w:szCs w:val="16"/>
              </w:rPr>
            </w:pPr>
            <w:r w:rsidRPr="00EF7E83">
              <w:rPr>
                <w:sz w:val="16"/>
                <w:szCs w:val="16"/>
              </w:rPr>
              <w:t>Dodržování nastavených řídicích a schvalovacích procesů</w:t>
            </w:r>
            <w:r>
              <w:rPr>
                <w:sz w:val="16"/>
                <w:szCs w:val="16"/>
              </w:rPr>
              <w:t xml:space="preserve">. </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28C2A7C9" w14:textId="77777777" w:rsidR="004771E4" w:rsidRPr="000421F0" w:rsidRDefault="004771E4" w:rsidP="00E105D8">
            <w:pPr>
              <w:spacing w:before="60" w:after="60" w:line="276" w:lineRule="auto"/>
              <w:rPr>
                <w:sz w:val="16"/>
                <w:szCs w:val="16"/>
              </w:rPr>
            </w:pPr>
            <w:r w:rsidRPr="000421F0">
              <w:rPr>
                <w:sz w:val="16"/>
                <w:szCs w:val="16"/>
              </w:rPr>
              <w:t>Krátkodobý horizont</w:t>
            </w:r>
          </w:p>
        </w:tc>
      </w:tr>
      <w:tr w:rsidR="004771E4" w:rsidRPr="000421F0" w14:paraId="3E155FFA" w14:textId="77777777" w:rsidTr="004B3AE9">
        <w:trPr>
          <w:trHeight w:val="1800"/>
        </w:trPr>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tcPr>
          <w:p w14:paraId="25D48D79" w14:textId="77777777" w:rsidR="004771E4" w:rsidRPr="000421F0" w:rsidRDefault="004771E4" w:rsidP="00E105D8">
            <w:pPr>
              <w:spacing w:before="60" w:after="60"/>
              <w:ind w:right="9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644188C" w14:textId="77777777" w:rsidR="004771E4" w:rsidRPr="000421F0" w:rsidRDefault="004771E4" w:rsidP="00E105D8">
            <w:pPr>
              <w:spacing w:before="60" w:after="60"/>
              <w:rPr>
                <w:sz w:val="16"/>
                <w:szCs w:val="16"/>
              </w:rPr>
            </w:pPr>
            <w:r w:rsidRPr="000421F0">
              <w:rPr>
                <w:b/>
                <w:sz w:val="16"/>
                <w:szCs w:val="16"/>
              </w:rPr>
              <w:t>Vysoká fluktuace pracovníků implementační struktury a vysoké nároky na zaškolení nových pracovníků IS.</w:t>
            </w:r>
            <w:r w:rsidRPr="000421F0">
              <w:rPr>
                <w:sz w:val="16"/>
                <w:szCs w:val="16"/>
              </w:rPr>
              <w:t xml:space="preserve"> Noví pracovníci IS, zvláště u zprostředkujícího subjektu, jsou vystaveni velkému množství pravidel a předpisů, které si musí ve velmi rychlém čase osvojit a operacionalizovat. Kapacita vedoucích oddělení na poskytování potřebné podpory je zároveň omezená.</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D6E9889" w14:textId="77777777" w:rsidR="004771E4" w:rsidRPr="000421F0" w:rsidRDefault="004771E4" w:rsidP="00E105D8">
            <w:pPr>
              <w:spacing w:before="60" w:after="60" w:line="276" w:lineRule="auto"/>
              <w:ind w:left="177" w:right="134"/>
              <w:jc w:val="center"/>
              <w:rPr>
                <w:sz w:val="16"/>
                <w:szCs w:val="16"/>
              </w:rPr>
            </w:pPr>
            <w:r w:rsidRPr="000421F0">
              <w:rPr>
                <w:sz w:val="16"/>
                <w:szCs w:val="16"/>
              </w:rPr>
              <w:t>Ano</w:t>
            </w:r>
          </w:p>
          <w:p w14:paraId="76DEAC43" w14:textId="77777777" w:rsidR="004771E4" w:rsidRPr="000421F0" w:rsidRDefault="004771E4" w:rsidP="00E105D8">
            <w:pPr>
              <w:spacing w:before="60" w:after="60" w:line="276" w:lineRule="auto"/>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7838724"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b/>
                <w:sz w:val="16"/>
                <w:szCs w:val="16"/>
              </w:rPr>
              <w:t>HR poradenství, školení</w:t>
            </w:r>
            <w:r w:rsidRPr="000421F0">
              <w:rPr>
                <w:sz w:val="16"/>
                <w:szCs w:val="16"/>
              </w:rPr>
              <w:t xml:space="preserve"> v oblasti řízení lidských zdrojů, vytvoření </w:t>
            </w:r>
            <w:r w:rsidRPr="000421F0">
              <w:rPr>
                <w:b/>
                <w:sz w:val="16"/>
                <w:szCs w:val="16"/>
              </w:rPr>
              <w:t xml:space="preserve">strategie řízení lidských zdrojů. </w:t>
            </w:r>
          </w:p>
          <w:p w14:paraId="6BE45335"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b/>
                <w:sz w:val="16"/>
                <w:szCs w:val="16"/>
              </w:rPr>
              <w:t>Zefektivnění řízení lidských zdrojů na API</w:t>
            </w:r>
            <w:r w:rsidRPr="000421F0">
              <w:rPr>
                <w:sz w:val="16"/>
                <w:szCs w:val="16"/>
              </w:rPr>
              <w:t xml:space="preserve"> s cílem prevence fluktuace zaměstnanců (např. zlepšení pracovních podmínek, systém rotace, úprava benefitů a odměn, systémů motivace, dalšího rozvoje zaměstnanců apod.).</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3158FE02" w14:textId="77777777" w:rsidR="004771E4" w:rsidRPr="000421F0" w:rsidRDefault="004771E4" w:rsidP="00E105D8">
            <w:pPr>
              <w:spacing w:before="60" w:after="60" w:line="276" w:lineRule="auto"/>
              <w:rPr>
                <w:sz w:val="16"/>
                <w:szCs w:val="16"/>
              </w:rPr>
            </w:pPr>
            <w:r w:rsidRPr="000421F0">
              <w:rPr>
                <w:sz w:val="16"/>
                <w:szCs w:val="16"/>
              </w:rPr>
              <w:t>Střednědobý horizont</w:t>
            </w:r>
          </w:p>
        </w:tc>
      </w:tr>
      <w:tr w:rsidR="004771E4" w:rsidRPr="000421F0" w14:paraId="0EC73F9C"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tcPr>
          <w:p w14:paraId="550FDE13" w14:textId="77777777" w:rsidR="004771E4" w:rsidRPr="000421F0" w:rsidRDefault="004771E4" w:rsidP="00E105D8">
            <w:pPr>
              <w:spacing w:before="60" w:after="60"/>
              <w:ind w:right="90"/>
              <w:jc w:val="center"/>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CC75A17" w14:textId="77777777" w:rsidR="004771E4" w:rsidRPr="000421F0" w:rsidRDefault="004771E4" w:rsidP="00E105D8">
            <w:pPr>
              <w:spacing w:before="60" w:after="60"/>
              <w:rPr>
                <w:b/>
                <w:sz w:val="16"/>
                <w:szCs w:val="16"/>
              </w:rPr>
            </w:pPr>
            <w:r w:rsidRPr="000421F0">
              <w:rPr>
                <w:b/>
                <w:sz w:val="16"/>
                <w:szCs w:val="16"/>
              </w:rPr>
              <w:t xml:space="preserve">Délka administrace žádostí od formální kontroly po věcné hodnocení je nepřiměřeně dlouhá. </w:t>
            </w:r>
            <w:r w:rsidRPr="000421F0">
              <w:rPr>
                <w:sz w:val="16"/>
                <w:szCs w:val="16"/>
              </w:rPr>
              <w:t xml:space="preserve">Prodlevy vznikají v průběhu celého procesu, především pak u formálního hodnocení, kde žádosti dlouhou dobu „čekají“ na formální kontrolu. K prodlení dochází zpravidla z důvodů neefektivního načasování výzev (souběhu termínů výzev v krátkém časovém horizontu) a praxi žadatelů, kteří zasílají žádosti většinou až těsně před samotným koncem termínu výzvy.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6D8005E" w14:textId="77777777" w:rsidR="004771E4" w:rsidRPr="000421F0" w:rsidRDefault="004771E4" w:rsidP="00E105D8">
            <w:pPr>
              <w:spacing w:before="60" w:after="60"/>
              <w:ind w:left="177" w:right="134"/>
              <w:jc w:val="center"/>
              <w:rPr>
                <w:sz w:val="16"/>
                <w:szCs w:val="16"/>
              </w:rPr>
            </w:pPr>
            <w:r w:rsidRPr="000421F0">
              <w:rPr>
                <w:sz w:val="16"/>
                <w:szCs w:val="16"/>
              </w:rPr>
              <w:t>Ano</w:t>
            </w:r>
          </w:p>
          <w:p w14:paraId="0792F217" w14:textId="77777777" w:rsidR="004771E4" w:rsidRPr="000421F0" w:rsidRDefault="004771E4" w:rsidP="00E105D8">
            <w:pPr>
              <w:spacing w:before="60" w:after="60"/>
              <w:ind w:left="177" w:right="134"/>
              <w:jc w:val="center"/>
              <w:rPr>
                <w:sz w:val="16"/>
                <w:szCs w:val="16"/>
              </w:rPr>
            </w:pPr>
          </w:p>
          <w:p w14:paraId="2B5E0AF6" w14:textId="77777777" w:rsidR="004771E4" w:rsidRPr="000421F0" w:rsidRDefault="004771E4" w:rsidP="00E105D8">
            <w:pPr>
              <w:spacing w:before="60" w:after="60" w:line="276" w:lineRule="auto"/>
              <w:ind w:left="177" w:right="134"/>
              <w:jc w:val="center"/>
              <w:rPr>
                <w:sz w:val="16"/>
                <w:szCs w:val="16"/>
              </w:rPr>
            </w:pPr>
            <w:r w:rsidRPr="000421F0">
              <w:rPr>
                <w:sz w:val="16"/>
                <w:szCs w:val="16"/>
              </w:rPr>
              <w:t>2</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1D75875"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b/>
                <w:sz w:val="16"/>
                <w:szCs w:val="16"/>
              </w:rPr>
              <w:t>Outsourcing nebo robotizace formálního hodnocení.</w:t>
            </w:r>
          </w:p>
          <w:p w14:paraId="59557AA3" w14:textId="0162D58D"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 xml:space="preserve">Převedení nebo sdílení kontroly statusu MSP, </w:t>
            </w:r>
            <w:r w:rsidR="00825645" w:rsidRPr="000421F0">
              <w:rPr>
                <w:sz w:val="16"/>
                <w:szCs w:val="16"/>
              </w:rPr>
              <w:t>ŽoPl</w:t>
            </w:r>
            <w:r w:rsidRPr="000421F0">
              <w:rPr>
                <w:sz w:val="16"/>
                <w:szCs w:val="16"/>
              </w:rPr>
              <w:t xml:space="preserve"> s ŘO. </w:t>
            </w:r>
          </w:p>
          <w:p w14:paraId="4D695938" w14:textId="24FC254E" w:rsidR="0076727F" w:rsidRPr="000421F0" w:rsidRDefault="0076727F"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Příprava dokumentu s připomínkami přímo v MS2014+.</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5D909594" w14:textId="77777777" w:rsidR="004771E4" w:rsidRPr="000421F0" w:rsidRDefault="004771E4" w:rsidP="00E105D8">
            <w:pPr>
              <w:spacing w:before="60" w:after="60" w:line="276" w:lineRule="auto"/>
              <w:rPr>
                <w:sz w:val="16"/>
                <w:szCs w:val="16"/>
              </w:rPr>
            </w:pPr>
            <w:r w:rsidRPr="000421F0">
              <w:rPr>
                <w:sz w:val="16"/>
                <w:szCs w:val="16"/>
              </w:rPr>
              <w:t>Krátkodobý horizont</w:t>
            </w:r>
          </w:p>
        </w:tc>
      </w:tr>
      <w:tr w:rsidR="004771E4" w:rsidRPr="000421F0" w14:paraId="5BF8664F"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tcPr>
          <w:p w14:paraId="0CE00C48" w14:textId="77777777" w:rsidR="004771E4" w:rsidRPr="000421F0" w:rsidRDefault="004771E4" w:rsidP="00E105D8">
            <w:pPr>
              <w:spacing w:before="60" w:after="60"/>
              <w:ind w:right="90"/>
              <w:jc w:val="center"/>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A43DA03" w14:textId="77777777" w:rsidR="004771E4" w:rsidRPr="000421F0" w:rsidRDefault="004771E4" w:rsidP="00E105D8">
            <w:pPr>
              <w:spacing w:before="60" w:after="60"/>
              <w:rPr>
                <w:b/>
                <w:sz w:val="16"/>
                <w:szCs w:val="16"/>
              </w:rPr>
            </w:pPr>
            <w:r w:rsidRPr="000421F0">
              <w:rPr>
                <w:b/>
                <w:sz w:val="16"/>
                <w:szCs w:val="16"/>
              </w:rPr>
              <w:t>Chybí dostatečná personální kapacita pro poskytování metodické podpory</w:t>
            </w:r>
            <w:r w:rsidRPr="000421F0">
              <w:rPr>
                <w:sz w:val="16"/>
                <w:szCs w:val="16"/>
              </w:rPr>
              <w:t xml:space="preserve"> jak ze strany metodického oddělení ŘO/ZS (absence/zřídka konané semináře/školení ohledně metodických změn/aktualizací), tak ze strany MMR-NOK. Pracovníci IS se necítí být dostatečně informováni o důvodech metodických změn.</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80F4CE0" w14:textId="77777777" w:rsidR="004771E4" w:rsidRPr="000421F0" w:rsidRDefault="004771E4" w:rsidP="00E105D8">
            <w:pPr>
              <w:spacing w:before="60" w:after="60"/>
              <w:ind w:left="177" w:right="134"/>
              <w:jc w:val="center"/>
              <w:rPr>
                <w:sz w:val="16"/>
                <w:szCs w:val="16"/>
              </w:rPr>
            </w:pPr>
            <w:r w:rsidRPr="000421F0">
              <w:rPr>
                <w:sz w:val="16"/>
                <w:szCs w:val="16"/>
              </w:rPr>
              <w:t>Ano</w:t>
            </w:r>
          </w:p>
          <w:p w14:paraId="2E051886" w14:textId="77777777" w:rsidR="004771E4" w:rsidRPr="000421F0" w:rsidRDefault="004771E4" w:rsidP="00E105D8">
            <w:pPr>
              <w:spacing w:before="60" w:after="60"/>
              <w:ind w:left="177" w:right="134"/>
              <w:jc w:val="center"/>
              <w:rPr>
                <w:sz w:val="16"/>
                <w:szCs w:val="16"/>
              </w:rPr>
            </w:pPr>
          </w:p>
          <w:p w14:paraId="148A9CC8" w14:textId="77777777" w:rsidR="004771E4" w:rsidRPr="000421F0" w:rsidRDefault="004771E4" w:rsidP="00E105D8">
            <w:pPr>
              <w:spacing w:before="60" w:after="60"/>
              <w:ind w:left="177" w:right="134"/>
              <w:jc w:val="center"/>
              <w:rPr>
                <w:sz w:val="16"/>
                <w:szCs w:val="16"/>
              </w:rPr>
            </w:pPr>
          </w:p>
          <w:p w14:paraId="24AD5ECD" w14:textId="77777777" w:rsidR="004771E4" w:rsidRPr="000421F0" w:rsidRDefault="004771E4" w:rsidP="00E105D8">
            <w:pPr>
              <w:spacing w:before="60" w:after="60"/>
              <w:ind w:left="177" w:right="134"/>
              <w:jc w:val="center"/>
              <w:rPr>
                <w:sz w:val="16"/>
                <w:szCs w:val="16"/>
              </w:rPr>
            </w:pPr>
            <w:r w:rsidRPr="000421F0">
              <w:rPr>
                <w:sz w:val="16"/>
                <w:szCs w:val="16"/>
              </w:rPr>
              <w:t>vedení</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A1AB684" w14:textId="0AED99E5" w:rsidR="004771E4" w:rsidRPr="000421F0" w:rsidRDefault="004771E4" w:rsidP="00E105D8">
            <w:pPr>
              <w:pStyle w:val="ListParagraph"/>
              <w:numPr>
                <w:ilvl w:val="0"/>
                <w:numId w:val="31"/>
              </w:numPr>
              <w:spacing w:before="60" w:after="60" w:line="276" w:lineRule="auto"/>
              <w:ind w:left="442" w:right="134"/>
              <w:contextualSpacing w:val="0"/>
              <w:rPr>
                <w:b/>
                <w:bCs/>
                <w:sz w:val="16"/>
                <w:szCs w:val="16"/>
              </w:rPr>
            </w:pPr>
            <w:r w:rsidRPr="1B8B314C">
              <w:rPr>
                <w:sz w:val="16"/>
                <w:szCs w:val="16"/>
              </w:rPr>
              <w:t>Personální posílení Oddělení metodické a právní podpory</w:t>
            </w:r>
            <w:r w:rsidR="008D1FB2">
              <w:rPr>
                <w:sz w:val="16"/>
                <w:szCs w:val="16"/>
              </w:rPr>
              <w:t xml:space="preserve"> na ŘO</w:t>
            </w:r>
            <w:r w:rsidRPr="1B8B314C">
              <w:rPr>
                <w:sz w:val="16"/>
                <w:szCs w:val="16"/>
              </w:rPr>
              <w:t>.</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5DD8A9D6" w14:textId="77777777" w:rsidR="004771E4" w:rsidRPr="000421F0" w:rsidRDefault="004771E4" w:rsidP="00E105D8">
            <w:pPr>
              <w:spacing w:before="60" w:after="60" w:line="276" w:lineRule="auto"/>
              <w:rPr>
                <w:sz w:val="16"/>
                <w:szCs w:val="16"/>
              </w:rPr>
            </w:pPr>
            <w:r w:rsidRPr="000421F0">
              <w:rPr>
                <w:sz w:val="16"/>
                <w:szCs w:val="16"/>
              </w:rPr>
              <w:t>Krátkodobý horizont</w:t>
            </w:r>
          </w:p>
        </w:tc>
      </w:tr>
      <w:tr w:rsidR="004771E4" w:rsidRPr="000421F0" w14:paraId="7B89C5CF" w14:textId="77777777" w:rsidTr="004B3AE9">
        <w:tc>
          <w:tcPr>
            <w:tcW w:w="2479" w:type="pct"/>
            <w:gridSpan w:val="2"/>
            <w:tcBorders>
              <w:top w:val="single" w:sz="6" w:space="0" w:color="D9D9D9" w:themeColor="background1" w:themeShade="D9"/>
              <w:left w:val="nil"/>
              <w:bottom w:val="single" w:sz="6" w:space="0" w:color="D9D9D9" w:themeColor="background1" w:themeShade="D9"/>
              <w:right w:val="single" w:sz="4" w:space="0" w:color="D0EC9F" w:themeColor="accent1" w:themeTint="66"/>
            </w:tcBorders>
            <w:shd w:val="clear" w:color="auto" w:fill="E7F5CF" w:themeFill="accent1" w:themeFillTint="33"/>
            <w:hideMark/>
          </w:tcPr>
          <w:p w14:paraId="6379D04B" w14:textId="77777777" w:rsidR="004771E4" w:rsidRPr="000421F0" w:rsidRDefault="004771E4" w:rsidP="00E105D8">
            <w:pPr>
              <w:spacing w:before="60" w:after="60"/>
              <w:ind w:right="90"/>
              <w:rPr>
                <w:b/>
                <w:sz w:val="16"/>
                <w:szCs w:val="16"/>
              </w:rPr>
            </w:pPr>
            <w:r w:rsidRPr="000421F0">
              <w:rPr>
                <w:b/>
                <w:sz w:val="16"/>
                <w:szCs w:val="16"/>
              </w:rPr>
              <w:lastRenderedPageBreak/>
              <w:t>Metodické prostředí</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5338C727" w14:textId="77777777" w:rsidR="004771E4" w:rsidRPr="000421F0" w:rsidRDefault="004771E4" w:rsidP="00E105D8">
            <w:pPr>
              <w:spacing w:before="60" w:after="60"/>
              <w:ind w:left="177" w:right="134"/>
              <w:jc w:val="center"/>
              <w:rPr>
                <w:sz w:val="16"/>
                <w:szCs w:val="16"/>
              </w:rPr>
            </w:pP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443D1150" w14:textId="77777777" w:rsidR="004771E4" w:rsidRPr="000421F0" w:rsidRDefault="004771E4" w:rsidP="00E105D8">
            <w:pPr>
              <w:pStyle w:val="ListParagraph"/>
              <w:spacing w:before="60" w:after="60"/>
              <w:ind w:right="134"/>
              <w:contextualSpacing w:val="0"/>
              <w:rPr>
                <w:sz w:val="16"/>
                <w:szCs w:val="16"/>
              </w:rPr>
            </w:pP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shd w:val="clear" w:color="auto" w:fill="E7F5CF" w:themeFill="accent1" w:themeFillTint="33"/>
          </w:tcPr>
          <w:p w14:paraId="75CE0459" w14:textId="77777777" w:rsidR="004771E4" w:rsidRPr="000421F0" w:rsidRDefault="004771E4" w:rsidP="00E105D8">
            <w:pPr>
              <w:spacing w:before="60" w:after="60"/>
              <w:ind w:right="90"/>
              <w:rPr>
                <w:sz w:val="16"/>
                <w:szCs w:val="16"/>
              </w:rPr>
            </w:pPr>
          </w:p>
        </w:tc>
      </w:tr>
      <w:tr w:rsidR="004771E4" w:rsidRPr="000421F0" w14:paraId="2E749288" w14:textId="77777777" w:rsidTr="004B3AE9">
        <w:trPr>
          <w:trHeight w:val="1521"/>
        </w:trPr>
        <w:tc>
          <w:tcPr>
            <w:tcW w:w="667" w:type="pct"/>
            <w:vMerge w:val="restar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6F76A396" w14:textId="77777777" w:rsidR="004771E4" w:rsidRPr="000421F0" w:rsidRDefault="004771E4" w:rsidP="00E105D8">
            <w:pPr>
              <w:spacing w:before="60" w:after="60"/>
              <w:ind w:right="90"/>
              <w:rPr>
                <w:b/>
                <w:sz w:val="16"/>
                <w:szCs w:val="16"/>
              </w:rPr>
            </w:pPr>
            <w:r w:rsidRPr="000421F0">
              <w:rPr>
                <w:b/>
                <w:sz w:val="16"/>
                <w:szCs w:val="16"/>
              </w:rPr>
              <w:t>Průřezově</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56EA868" w14:textId="77777777" w:rsidR="004771E4" w:rsidRPr="000421F0" w:rsidRDefault="004771E4" w:rsidP="00E105D8">
            <w:pPr>
              <w:spacing w:before="60" w:after="60"/>
              <w:rPr>
                <w:b/>
                <w:sz w:val="16"/>
                <w:szCs w:val="16"/>
              </w:rPr>
            </w:pPr>
            <w:r w:rsidRPr="000421F0">
              <w:rPr>
                <w:b/>
                <w:sz w:val="16"/>
                <w:szCs w:val="16"/>
              </w:rPr>
              <w:t xml:space="preserve">Měnící se výklad pravidel ze strany ZS/ŘO v průběhu realizace podpořeného projektu, respektive absence závazných vyjádření a sjednocených pravidel. </w:t>
            </w:r>
            <w:r w:rsidRPr="000421F0">
              <w:rPr>
                <w:sz w:val="16"/>
                <w:szCs w:val="16"/>
              </w:rPr>
              <w:t>Stanoviska ZS /ŘO nejsou závazná, změna metodik nebo projektového manažera na API může vést k odlišnému i zpětnému výkladu pravidel, vytváření další administrativní zátěže pro příjemce a vede k riziku při úspěšné realizaci projektu.</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13F5B72" w14:textId="77777777" w:rsidR="004771E4" w:rsidRPr="000421F0" w:rsidRDefault="004771E4" w:rsidP="00E105D8">
            <w:pPr>
              <w:spacing w:before="60" w:after="60"/>
              <w:jc w:val="center"/>
              <w:rPr>
                <w:sz w:val="16"/>
                <w:szCs w:val="16"/>
              </w:rPr>
            </w:pPr>
            <w:r w:rsidRPr="000421F0">
              <w:rPr>
                <w:sz w:val="16"/>
                <w:szCs w:val="16"/>
              </w:rPr>
              <w:t>Ano</w:t>
            </w:r>
          </w:p>
          <w:p w14:paraId="26A41110" w14:textId="77777777" w:rsidR="004771E4" w:rsidRPr="000421F0" w:rsidRDefault="004771E4" w:rsidP="00E105D8">
            <w:pPr>
              <w:spacing w:before="60" w:after="60"/>
              <w:jc w:val="center"/>
              <w:rPr>
                <w:sz w:val="16"/>
                <w:szCs w:val="16"/>
              </w:rPr>
            </w:pPr>
          </w:p>
          <w:p w14:paraId="7F2F54F8" w14:textId="77777777" w:rsidR="004771E4" w:rsidRPr="000421F0" w:rsidRDefault="004771E4" w:rsidP="00E105D8">
            <w:pPr>
              <w:spacing w:before="60" w:after="60"/>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5DBBD35" w14:textId="77777777" w:rsidR="004771E4" w:rsidRPr="000421F0" w:rsidRDefault="004771E4" w:rsidP="00E105D8">
            <w:pPr>
              <w:pStyle w:val="ListParagraph"/>
              <w:numPr>
                <w:ilvl w:val="0"/>
                <w:numId w:val="31"/>
              </w:numPr>
              <w:spacing w:before="60" w:after="60" w:line="240" w:lineRule="atLeast"/>
              <w:ind w:left="442"/>
              <w:contextualSpacing w:val="0"/>
              <w:rPr>
                <w:b/>
                <w:sz w:val="16"/>
                <w:szCs w:val="16"/>
              </w:rPr>
            </w:pPr>
            <w:r w:rsidRPr="000421F0">
              <w:rPr>
                <w:b/>
                <w:sz w:val="16"/>
                <w:szCs w:val="16"/>
              </w:rPr>
              <w:t>Zajistit závazný charakter rozhodnutí, stanovisek ZS/ŘO (např. k VŘ, podnikatelskému záměru), který nelze zpětně měnit. Zodpovědnost za případné pochybení by měl nést ZS/ŘO, nikoli Příjemce, vyjma případů, kdy se jedná o podvodné jednání a porušování zákona.</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69F671B1" w14:textId="77777777" w:rsidR="004771E4" w:rsidRPr="000421F0" w:rsidRDefault="004771E4" w:rsidP="00E105D8">
            <w:pPr>
              <w:spacing w:before="60" w:after="60" w:line="276" w:lineRule="auto"/>
              <w:rPr>
                <w:sz w:val="16"/>
                <w:szCs w:val="16"/>
              </w:rPr>
            </w:pPr>
            <w:r w:rsidRPr="000421F0">
              <w:rPr>
                <w:sz w:val="16"/>
                <w:szCs w:val="16"/>
              </w:rPr>
              <w:t>Krátkodobý horizont</w:t>
            </w:r>
          </w:p>
        </w:tc>
      </w:tr>
      <w:tr w:rsidR="004771E4" w:rsidRPr="000421F0" w14:paraId="3CB94DFD" w14:textId="77777777" w:rsidTr="004B3AE9">
        <w:trPr>
          <w:trHeight w:val="936"/>
        </w:trPr>
        <w:tc>
          <w:tcPr>
            <w:tcW w:w="0" w:type="auto"/>
            <w:vMerge/>
            <w:vAlign w:val="center"/>
            <w:hideMark/>
          </w:tcPr>
          <w:p w14:paraId="49262F37"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8EE3994" w14:textId="77777777" w:rsidR="004771E4" w:rsidRPr="000421F0" w:rsidRDefault="004771E4" w:rsidP="00E105D8">
            <w:pPr>
              <w:spacing w:before="60" w:after="60"/>
              <w:rPr>
                <w:b/>
                <w:sz w:val="16"/>
                <w:szCs w:val="16"/>
              </w:rPr>
            </w:pPr>
            <w:r w:rsidRPr="000421F0">
              <w:rPr>
                <w:b/>
                <w:sz w:val="16"/>
                <w:szCs w:val="16"/>
              </w:rPr>
              <w:t xml:space="preserve">Nedostatečná flexibilita JMP pro potřeby OP PIK </w:t>
            </w:r>
            <w:r w:rsidRPr="000421F0">
              <w:rPr>
                <w:sz w:val="16"/>
                <w:szCs w:val="16"/>
              </w:rPr>
              <w:t xml:space="preserve">a jednotlivých programů podpory. Jednotné metodické prostředí, MS2014+ neposkytuje dostatečnou flexibilitu a není adaptivní na specifické potřeby implementační struktury i příjemců podpory OP PIK.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623D27C" w14:textId="77777777" w:rsidR="004771E4" w:rsidRPr="000421F0" w:rsidRDefault="004771E4" w:rsidP="00E105D8">
            <w:pPr>
              <w:spacing w:before="60" w:after="60" w:line="276" w:lineRule="auto"/>
              <w:ind w:left="177" w:right="134"/>
              <w:jc w:val="center"/>
              <w:rPr>
                <w:sz w:val="16"/>
                <w:szCs w:val="16"/>
              </w:rPr>
            </w:pPr>
            <w:r w:rsidRPr="000421F0">
              <w:rPr>
                <w:sz w:val="16"/>
                <w:szCs w:val="16"/>
              </w:rPr>
              <w:t>Ne</w:t>
            </w:r>
          </w:p>
          <w:p w14:paraId="674EB237" w14:textId="77777777" w:rsidR="004771E4" w:rsidRPr="000421F0" w:rsidRDefault="004771E4" w:rsidP="00E105D8">
            <w:pPr>
              <w:spacing w:before="60" w:after="60" w:line="276" w:lineRule="auto"/>
              <w:ind w:left="177" w:right="134"/>
              <w:jc w:val="center"/>
              <w:rPr>
                <w:sz w:val="16"/>
                <w:szCs w:val="16"/>
              </w:rPr>
            </w:pPr>
            <w:r w:rsidRPr="000421F0">
              <w:rPr>
                <w:sz w:val="16"/>
                <w:szCs w:val="16"/>
              </w:rPr>
              <w:t>1 (požadavek na MMR)</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117D9A5" w14:textId="309CB934"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Zavedení modularity MS2021+. Vytvoření společného základu pro ESIF s optimalizovanými moduly pro jednotlivé Operační programy.</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1B057DD6" w14:textId="77777777" w:rsidR="004771E4" w:rsidRPr="000421F0" w:rsidRDefault="004771E4" w:rsidP="00E105D8">
            <w:pPr>
              <w:spacing w:before="60" w:after="60" w:line="276" w:lineRule="auto"/>
              <w:rPr>
                <w:sz w:val="16"/>
                <w:szCs w:val="16"/>
              </w:rPr>
            </w:pPr>
            <w:r w:rsidRPr="000421F0">
              <w:rPr>
                <w:sz w:val="16"/>
                <w:szCs w:val="16"/>
              </w:rPr>
              <w:t>Příští programové období</w:t>
            </w:r>
          </w:p>
        </w:tc>
      </w:tr>
      <w:tr w:rsidR="004771E4" w:rsidRPr="000421F0" w14:paraId="10D4AFED" w14:textId="77777777" w:rsidTr="004B3AE9">
        <w:trPr>
          <w:trHeight w:val="576"/>
        </w:trPr>
        <w:tc>
          <w:tcPr>
            <w:tcW w:w="0" w:type="auto"/>
            <w:vMerge/>
            <w:vAlign w:val="center"/>
            <w:hideMark/>
          </w:tcPr>
          <w:p w14:paraId="2BF1B52F"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72C0907B" w14:textId="77777777" w:rsidR="004771E4" w:rsidRPr="000421F0" w:rsidRDefault="004771E4" w:rsidP="00E105D8">
            <w:pPr>
              <w:spacing w:before="60" w:after="60"/>
              <w:rPr>
                <w:b/>
                <w:sz w:val="16"/>
                <w:szCs w:val="16"/>
              </w:rPr>
            </w:pPr>
            <w:r w:rsidRPr="000421F0">
              <w:rPr>
                <w:b/>
                <w:sz w:val="16"/>
                <w:szCs w:val="16"/>
              </w:rPr>
              <w:t>Administrativní náročnost procesů</w:t>
            </w:r>
            <w:r w:rsidRPr="000421F0">
              <w:rPr>
                <w:sz w:val="16"/>
                <w:szCs w:val="16"/>
              </w:rPr>
              <w:t>, vyplňování vysokého počtu kontrolních listů, interních sdělení, depeší, záznamů a hlášení vede jak k prodlení v realizaci jednotlivých postupů, tak chybovosti pracovníků IS. Následně fyzická archivace části z nich.</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073B8AA" w14:textId="77777777" w:rsidR="004771E4" w:rsidRPr="000421F0" w:rsidRDefault="004771E4" w:rsidP="00E105D8">
            <w:pPr>
              <w:spacing w:before="60" w:after="60" w:line="276" w:lineRule="auto"/>
              <w:ind w:left="177" w:right="134"/>
              <w:jc w:val="center"/>
              <w:rPr>
                <w:sz w:val="16"/>
                <w:szCs w:val="16"/>
              </w:rPr>
            </w:pPr>
            <w:r w:rsidRPr="000421F0">
              <w:rPr>
                <w:sz w:val="16"/>
                <w:szCs w:val="16"/>
              </w:rPr>
              <w:t>Ano</w:t>
            </w:r>
          </w:p>
          <w:p w14:paraId="528046DF" w14:textId="77777777" w:rsidR="004771E4" w:rsidRPr="000421F0" w:rsidRDefault="004771E4" w:rsidP="00E105D8">
            <w:pPr>
              <w:spacing w:before="60" w:after="60" w:line="276" w:lineRule="auto"/>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1E2BAF2F"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Provedení auditní</w:t>
            </w:r>
            <w:r w:rsidRPr="000421F0">
              <w:rPr>
                <w:b/>
                <w:sz w:val="16"/>
                <w:szCs w:val="16"/>
              </w:rPr>
              <w:t xml:space="preserve"> analýzy</w:t>
            </w:r>
            <w:r w:rsidRPr="000421F0">
              <w:rPr>
                <w:sz w:val="16"/>
                <w:szCs w:val="16"/>
              </w:rPr>
              <w:t xml:space="preserve"> potřebnosti jednotlivých kontrolních listů, hlášení, sdělení, záznamů apod. </w:t>
            </w:r>
          </w:p>
          <w:p w14:paraId="0CEC4D35"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Zrušení povinnosti fyzické archivace KL a printscreenů kontroly názvu projektu před vydáním RoPD a žádostem o změnu.</w:t>
            </w:r>
            <w:r w:rsidRPr="000421F0">
              <w:rPr>
                <w:sz w:val="16"/>
                <w:szCs w:val="16"/>
                <w:vertAlign w:val="superscript"/>
              </w:rPr>
              <w:footnoteReference w:id="6"/>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605AA765" w14:textId="77777777" w:rsidR="004771E4" w:rsidRPr="000421F0" w:rsidRDefault="004771E4" w:rsidP="00E105D8">
            <w:pPr>
              <w:spacing w:before="60" w:after="60" w:line="276" w:lineRule="auto"/>
              <w:rPr>
                <w:sz w:val="16"/>
                <w:szCs w:val="16"/>
              </w:rPr>
            </w:pPr>
            <w:r w:rsidRPr="000421F0">
              <w:rPr>
                <w:sz w:val="16"/>
                <w:szCs w:val="16"/>
              </w:rPr>
              <w:t>Krátko - střednědobý horizont</w:t>
            </w:r>
          </w:p>
        </w:tc>
      </w:tr>
      <w:tr w:rsidR="004771E4" w:rsidRPr="000421F0" w14:paraId="2D9EBF16" w14:textId="77777777" w:rsidTr="004B3AE9">
        <w:tc>
          <w:tcPr>
            <w:tcW w:w="0" w:type="auto"/>
            <w:vMerge/>
            <w:vAlign w:val="center"/>
            <w:hideMark/>
          </w:tcPr>
          <w:p w14:paraId="4A6DCF98"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71C1D268" w14:textId="77777777" w:rsidR="004771E4" w:rsidRPr="000421F0" w:rsidRDefault="004771E4" w:rsidP="00E105D8">
            <w:pPr>
              <w:spacing w:before="60" w:after="60"/>
              <w:rPr>
                <w:sz w:val="16"/>
                <w:szCs w:val="16"/>
              </w:rPr>
            </w:pPr>
            <w:r w:rsidRPr="000421F0">
              <w:rPr>
                <w:b/>
                <w:sz w:val="16"/>
                <w:szCs w:val="16"/>
              </w:rPr>
              <w:t>Složitost metodického prostředí</w:t>
            </w:r>
            <w:r w:rsidRPr="000421F0">
              <w:rPr>
                <w:sz w:val="16"/>
                <w:szCs w:val="16"/>
              </w:rPr>
              <w:t xml:space="preserve"> z důvodů velkého počtu a rozsáhlosti metodických dokumentů, které mnohdy nejsou vzájemně provázány, jejich častých změn, nedostatečné komunikace změn a jejich nepřehlednosti. Pracovníci implementační struktury vnímají, že nejsou dostatečně informováni o metodických změnách, byť jsou změny komunikovány emailem v podobě rozesílaných MD, sdílením </w:t>
            </w:r>
            <w:r w:rsidRPr="000421F0">
              <w:rPr>
                <w:sz w:val="16"/>
                <w:szCs w:val="16"/>
              </w:rPr>
              <w:lastRenderedPageBreak/>
              <w:t>aktuální verze OM OP PIK na sdíleném disku i přes portál Programboard.</w:t>
            </w:r>
            <w:r w:rsidRPr="000421F0">
              <w:rPr>
                <w:sz w:val="16"/>
                <w:szCs w:val="16"/>
                <w:vertAlign w:val="superscript"/>
              </w:rPr>
              <w:footnoteReference w:id="7"/>
            </w:r>
            <w:r w:rsidRPr="000421F0">
              <w:rPr>
                <w:sz w:val="16"/>
                <w:szCs w:val="16"/>
              </w:rPr>
              <w:t xml:space="preserve">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33B1D7F8" w14:textId="77777777" w:rsidR="004771E4" w:rsidRPr="000421F0" w:rsidRDefault="004771E4" w:rsidP="00E105D8">
            <w:pPr>
              <w:spacing w:before="60" w:after="60" w:line="276" w:lineRule="auto"/>
              <w:ind w:right="134"/>
              <w:jc w:val="center"/>
              <w:rPr>
                <w:sz w:val="16"/>
                <w:szCs w:val="16"/>
              </w:rPr>
            </w:pPr>
            <w:r w:rsidRPr="000421F0">
              <w:rPr>
                <w:sz w:val="16"/>
                <w:szCs w:val="16"/>
              </w:rPr>
              <w:lastRenderedPageBreak/>
              <w:t>Částečně</w:t>
            </w:r>
          </w:p>
          <w:p w14:paraId="48B7060E" w14:textId="77777777" w:rsidR="004771E4" w:rsidRPr="000421F0" w:rsidRDefault="004771E4" w:rsidP="00E105D8">
            <w:pPr>
              <w:spacing w:before="60" w:after="60" w:line="276" w:lineRule="auto"/>
              <w:ind w:right="134"/>
              <w:jc w:val="center"/>
              <w:rPr>
                <w:sz w:val="16"/>
                <w:szCs w:val="16"/>
              </w:rPr>
            </w:pPr>
            <w:r w:rsidRPr="000421F0">
              <w:rPr>
                <w:sz w:val="16"/>
                <w:szCs w:val="16"/>
              </w:rPr>
              <w:t>1</w:t>
            </w:r>
          </w:p>
          <w:p w14:paraId="3070336F" w14:textId="77777777" w:rsidR="004771E4" w:rsidRPr="000421F0" w:rsidRDefault="004771E4" w:rsidP="00E105D8">
            <w:pPr>
              <w:spacing w:before="60" w:after="60" w:line="276" w:lineRule="auto"/>
              <w:ind w:right="134"/>
              <w:jc w:val="center"/>
              <w:rPr>
                <w:sz w:val="16"/>
                <w:szCs w:val="16"/>
              </w:rPr>
            </w:pPr>
          </w:p>
          <w:p w14:paraId="5B71F5D3" w14:textId="77777777" w:rsidR="004771E4" w:rsidRPr="000421F0" w:rsidRDefault="004771E4" w:rsidP="00E105D8">
            <w:pPr>
              <w:spacing w:before="60" w:after="60" w:line="276" w:lineRule="auto"/>
              <w:ind w:right="134"/>
              <w:jc w:val="center"/>
              <w:rPr>
                <w:sz w:val="16"/>
                <w:szCs w:val="16"/>
              </w:rPr>
            </w:pPr>
          </w:p>
        </w:tc>
        <w:tc>
          <w:tcPr>
            <w:tcW w:w="1462"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3DF08AF3" w14:textId="0AC9E632"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b/>
                <w:sz w:val="16"/>
                <w:szCs w:val="16"/>
              </w:rPr>
              <w:t>Vytvo</w:t>
            </w:r>
            <w:r w:rsidR="00ED31A7" w:rsidRPr="000421F0">
              <w:rPr>
                <w:b/>
                <w:sz w:val="16"/>
                <w:szCs w:val="16"/>
              </w:rPr>
              <w:t>ření pracovní skupiny k metodickému prostředí</w:t>
            </w:r>
            <w:r w:rsidR="0024270A">
              <w:rPr>
                <w:b/>
                <w:sz w:val="16"/>
                <w:szCs w:val="16"/>
              </w:rPr>
              <w:t>.</w:t>
            </w:r>
            <w:r w:rsidRPr="000421F0">
              <w:rPr>
                <w:sz w:val="16"/>
                <w:szCs w:val="16"/>
                <w:vertAlign w:val="superscript"/>
              </w:rPr>
              <w:footnoteReference w:id="8"/>
            </w:r>
          </w:p>
          <w:p w14:paraId="500F6A50"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b/>
                <w:sz w:val="16"/>
                <w:szCs w:val="16"/>
              </w:rPr>
              <w:t xml:space="preserve">Zavedení evidence podnětů </w:t>
            </w:r>
            <w:r w:rsidRPr="000421F0">
              <w:rPr>
                <w:sz w:val="16"/>
                <w:szCs w:val="16"/>
              </w:rPr>
              <w:t xml:space="preserve">za účelem sledování a prioritizace metodických změn </w:t>
            </w:r>
            <w:r w:rsidRPr="000421F0">
              <w:rPr>
                <w:sz w:val="16"/>
                <w:szCs w:val="16"/>
              </w:rPr>
              <w:lastRenderedPageBreak/>
              <w:t>(nastavení kritérií a hodnocení dopadu a důležitosti metodických změn) za účelem:</w:t>
            </w:r>
          </w:p>
          <w:p w14:paraId="7A6E5753" w14:textId="77777777" w:rsidR="004771E4" w:rsidRPr="000421F0" w:rsidRDefault="004771E4" w:rsidP="00E105D8">
            <w:pPr>
              <w:pStyle w:val="ListParagraph"/>
              <w:numPr>
                <w:ilvl w:val="0"/>
                <w:numId w:val="31"/>
              </w:numPr>
              <w:spacing w:before="60" w:after="60" w:line="276" w:lineRule="auto"/>
              <w:ind w:left="901" w:right="134"/>
              <w:contextualSpacing w:val="0"/>
              <w:rPr>
                <w:sz w:val="16"/>
                <w:szCs w:val="16"/>
              </w:rPr>
            </w:pPr>
            <w:r w:rsidRPr="000421F0">
              <w:rPr>
                <w:sz w:val="16"/>
                <w:szCs w:val="16"/>
              </w:rPr>
              <w:t>Prevence dalších změn</w:t>
            </w:r>
          </w:p>
          <w:p w14:paraId="76190A4D" w14:textId="77777777" w:rsidR="004771E4" w:rsidRPr="000421F0" w:rsidRDefault="004771E4" w:rsidP="00E105D8">
            <w:pPr>
              <w:pStyle w:val="ListParagraph"/>
              <w:numPr>
                <w:ilvl w:val="0"/>
                <w:numId w:val="31"/>
              </w:numPr>
              <w:spacing w:before="60" w:after="60" w:line="276" w:lineRule="auto"/>
              <w:ind w:left="901" w:right="134"/>
              <w:contextualSpacing w:val="0"/>
              <w:rPr>
                <w:sz w:val="16"/>
                <w:szCs w:val="16"/>
              </w:rPr>
            </w:pPr>
            <w:r w:rsidRPr="000421F0">
              <w:rPr>
                <w:sz w:val="16"/>
                <w:szCs w:val="16"/>
              </w:rPr>
              <w:t>Omezení četnosti změn</w:t>
            </w:r>
          </w:p>
          <w:p w14:paraId="39AD359E" w14:textId="77777777" w:rsidR="004771E4" w:rsidRPr="000421F0" w:rsidRDefault="004771E4" w:rsidP="00E105D8">
            <w:pPr>
              <w:pStyle w:val="ListParagraph"/>
              <w:numPr>
                <w:ilvl w:val="0"/>
                <w:numId w:val="31"/>
              </w:numPr>
              <w:spacing w:before="60" w:after="60" w:line="276" w:lineRule="auto"/>
              <w:ind w:left="901" w:right="134"/>
              <w:contextualSpacing w:val="0"/>
              <w:rPr>
                <w:sz w:val="16"/>
                <w:szCs w:val="16"/>
              </w:rPr>
            </w:pPr>
            <w:r w:rsidRPr="000421F0">
              <w:rPr>
                <w:sz w:val="16"/>
                <w:szCs w:val="16"/>
              </w:rPr>
              <w:t>Shlukování méně prioritních změn do čtvrtletních balíčků</w:t>
            </w:r>
          </w:p>
          <w:p w14:paraId="15A7734E"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b/>
                <w:sz w:val="16"/>
                <w:szCs w:val="16"/>
              </w:rPr>
              <w:t>Zavedení pevné frekvence metodických změn</w:t>
            </w:r>
            <w:r w:rsidRPr="000421F0">
              <w:rPr>
                <w:sz w:val="16"/>
                <w:szCs w:val="16"/>
              </w:rPr>
              <w:t xml:space="preserve"> /např. jednou měsíčně, jednou kvartálně). </w:t>
            </w:r>
          </w:p>
          <w:p w14:paraId="53FF23EB" w14:textId="77777777"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sz w:val="16"/>
                <w:szCs w:val="16"/>
              </w:rPr>
              <w:t>Propagace a školení na využívání programu Programboard.</w:t>
            </w:r>
          </w:p>
          <w:p w14:paraId="7E11CB21" w14:textId="7EF36149" w:rsidR="004771E4" w:rsidRPr="000421F0" w:rsidRDefault="004771E4" w:rsidP="00E105D8">
            <w:pPr>
              <w:pStyle w:val="ListParagraph"/>
              <w:numPr>
                <w:ilvl w:val="0"/>
                <w:numId w:val="31"/>
              </w:numPr>
              <w:spacing w:before="60" w:after="60" w:line="276" w:lineRule="auto"/>
              <w:ind w:left="442" w:right="134"/>
              <w:contextualSpacing w:val="0"/>
              <w:rPr>
                <w:sz w:val="16"/>
                <w:szCs w:val="16"/>
              </w:rPr>
            </w:pPr>
            <w:r w:rsidRPr="000421F0">
              <w:rPr>
                <w:b/>
                <w:sz w:val="16"/>
                <w:szCs w:val="16"/>
              </w:rPr>
              <w:t>Zefektivnění informování o metodických změnách</w:t>
            </w:r>
            <w:r w:rsidRPr="000421F0">
              <w:rPr>
                <w:sz w:val="16"/>
                <w:szCs w:val="16"/>
              </w:rPr>
              <w:t xml:space="preserve"> (do předmětu emailů uvádět předmět změny, do těla emailu popsat předmět změny, uvádět důvody změn)</w:t>
            </w:r>
            <w:r w:rsidR="0024270A">
              <w:rPr>
                <w:sz w:val="16"/>
                <w:szCs w:val="16"/>
              </w:rPr>
              <w:t>.</w:t>
            </w:r>
          </w:p>
        </w:tc>
        <w:tc>
          <w:tcPr>
            <w:tcW w:w="555"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0BAAAC40" w14:textId="77777777" w:rsidR="004771E4" w:rsidRPr="000421F0" w:rsidRDefault="004771E4" w:rsidP="00E105D8">
            <w:pPr>
              <w:spacing w:before="60" w:after="60" w:line="276" w:lineRule="auto"/>
              <w:rPr>
                <w:sz w:val="16"/>
                <w:szCs w:val="16"/>
              </w:rPr>
            </w:pPr>
            <w:r w:rsidRPr="000421F0">
              <w:rPr>
                <w:sz w:val="16"/>
                <w:szCs w:val="16"/>
              </w:rPr>
              <w:lastRenderedPageBreak/>
              <w:t>Krátkodobý horizont</w:t>
            </w:r>
          </w:p>
        </w:tc>
      </w:tr>
      <w:tr w:rsidR="004771E4" w:rsidRPr="000421F0" w14:paraId="772F2C5F" w14:textId="77777777" w:rsidTr="004B3AE9">
        <w:tc>
          <w:tcPr>
            <w:tcW w:w="0" w:type="auto"/>
            <w:vMerge/>
            <w:vAlign w:val="center"/>
            <w:hideMark/>
          </w:tcPr>
          <w:p w14:paraId="3E156C6F"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6EDB610" w14:textId="77777777" w:rsidR="004771E4" w:rsidRPr="000421F0" w:rsidRDefault="004771E4" w:rsidP="00E105D8">
            <w:pPr>
              <w:spacing w:before="60" w:after="60"/>
              <w:rPr>
                <w:b/>
                <w:sz w:val="16"/>
                <w:szCs w:val="16"/>
              </w:rPr>
            </w:pPr>
            <w:r w:rsidRPr="000421F0">
              <w:rPr>
                <w:b/>
                <w:sz w:val="16"/>
                <w:szCs w:val="16"/>
              </w:rPr>
              <w:t xml:space="preserve">Změny </w:t>
            </w:r>
            <w:r w:rsidRPr="000421F0">
              <w:rPr>
                <w:sz w:val="16"/>
                <w:szCs w:val="16"/>
              </w:rPr>
              <w:t>metodického prostředí</w:t>
            </w:r>
            <w:r w:rsidRPr="000421F0">
              <w:rPr>
                <w:b/>
                <w:sz w:val="16"/>
                <w:szCs w:val="16"/>
              </w:rPr>
              <w:t xml:space="preserve"> jsou aplikovány okamžitě </w:t>
            </w:r>
            <w:r w:rsidRPr="000421F0">
              <w:rPr>
                <w:sz w:val="16"/>
                <w:szCs w:val="16"/>
              </w:rPr>
              <w:t>po zjištění důvodu</w:t>
            </w:r>
            <w:r w:rsidRPr="000421F0">
              <w:rPr>
                <w:b/>
                <w:sz w:val="16"/>
                <w:szCs w:val="16"/>
              </w:rPr>
              <w:t xml:space="preserve"> bez kritického zhodnocení dopadu na implementační strukturu, bez prioritizace </w:t>
            </w:r>
            <w:r w:rsidRPr="000421F0">
              <w:rPr>
                <w:sz w:val="16"/>
                <w:szCs w:val="16"/>
              </w:rPr>
              <w:t xml:space="preserve">změn, </w:t>
            </w:r>
            <w:r w:rsidRPr="000421F0">
              <w:rPr>
                <w:b/>
                <w:sz w:val="16"/>
                <w:szCs w:val="16"/>
              </w:rPr>
              <w:t>bez nastavení frekvence změn</w:t>
            </w:r>
            <w:r w:rsidRPr="000421F0">
              <w:rPr>
                <w:sz w:val="16"/>
                <w:szCs w:val="16"/>
              </w:rPr>
              <w:t xml:space="preserve"> (např. jednou měsíčně, jednou za kvartál).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86E788C" w14:textId="77777777" w:rsidR="004771E4" w:rsidRPr="000421F0" w:rsidRDefault="004771E4" w:rsidP="00E105D8">
            <w:pPr>
              <w:spacing w:before="60" w:after="60"/>
              <w:ind w:left="177" w:right="134"/>
              <w:jc w:val="center"/>
              <w:rPr>
                <w:sz w:val="16"/>
                <w:szCs w:val="16"/>
              </w:rPr>
            </w:pPr>
            <w:r w:rsidRPr="000421F0">
              <w:rPr>
                <w:sz w:val="16"/>
                <w:szCs w:val="16"/>
              </w:rPr>
              <w:t>Ano</w:t>
            </w:r>
          </w:p>
          <w:p w14:paraId="411392E9" w14:textId="77777777" w:rsidR="004771E4" w:rsidRPr="000421F0" w:rsidRDefault="004771E4" w:rsidP="00E105D8">
            <w:pPr>
              <w:spacing w:before="60" w:after="60"/>
              <w:ind w:left="177" w:right="134"/>
              <w:jc w:val="center"/>
              <w:rPr>
                <w:sz w:val="16"/>
                <w:szCs w:val="16"/>
              </w:rPr>
            </w:pPr>
          </w:p>
          <w:p w14:paraId="26F7DED2" w14:textId="77777777" w:rsidR="004771E4" w:rsidRPr="000421F0" w:rsidRDefault="004771E4" w:rsidP="00E105D8">
            <w:pPr>
              <w:spacing w:before="60" w:after="60"/>
              <w:ind w:left="177" w:right="134"/>
              <w:jc w:val="center"/>
              <w:rPr>
                <w:sz w:val="16"/>
                <w:szCs w:val="16"/>
              </w:rPr>
            </w:pPr>
          </w:p>
          <w:p w14:paraId="0E2BE087"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0" w:type="auto"/>
            <w:vMerge/>
            <w:vAlign w:val="center"/>
            <w:hideMark/>
          </w:tcPr>
          <w:p w14:paraId="44516466" w14:textId="77777777" w:rsidR="004771E4" w:rsidRPr="000421F0" w:rsidRDefault="004771E4" w:rsidP="00E105D8">
            <w:pPr>
              <w:spacing w:before="60" w:after="60"/>
              <w:rPr>
                <w:sz w:val="16"/>
                <w:szCs w:val="16"/>
              </w:rPr>
            </w:pPr>
          </w:p>
        </w:tc>
        <w:tc>
          <w:tcPr>
            <w:tcW w:w="0" w:type="auto"/>
            <w:vMerge/>
            <w:vAlign w:val="center"/>
            <w:hideMark/>
          </w:tcPr>
          <w:p w14:paraId="0185703B" w14:textId="77777777" w:rsidR="004771E4" w:rsidRPr="000421F0" w:rsidRDefault="004771E4" w:rsidP="00E105D8">
            <w:pPr>
              <w:spacing w:before="60" w:after="60"/>
              <w:rPr>
                <w:sz w:val="16"/>
                <w:szCs w:val="16"/>
              </w:rPr>
            </w:pPr>
          </w:p>
        </w:tc>
      </w:tr>
      <w:tr w:rsidR="004771E4" w:rsidRPr="000421F0" w14:paraId="45520AB1" w14:textId="77777777" w:rsidTr="004B3AE9">
        <w:tc>
          <w:tcPr>
            <w:tcW w:w="0" w:type="auto"/>
            <w:vMerge/>
            <w:vAlign w:val="center"/>
            <w:hideMark/>
          </w:tcPr>
          <w:p w14:paraId="67C62768"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35202617" w14:textId="3B9FC954" w:rsidR="004771E4" w:rsidRPr="000421F0" w:rsidRDefault="004771E4" w:rsidP="00E105D8">
            <w:pPr>
              <w:spacing w:before="60" w:after="60"/>
              <w:rPr>
                <w:sz w:val="16"/>
                <w:szCs w:val="16"/>
              </w:rPr>
            </w:pPr>
            <w:r w:rsidRPr="000421F0">
              <w:rPr>
                <w:b/>
                <w:sz w:val="16"/>
                <w:szCs w:val="16"/>
              </w:rPr>
              <w:t>Nejednoznačný výklad metodik</w:t>
            </w:r>
            <w:r w:rsidRPr="000421F0">
              <w:rPr>
                <w:sz w:val="16"/>
                <w:szCs w:val="16"/>
              </w:rPr>
              <w:t xml:space="preserve">, resp. absence aktualizovaných jednotných postupů a podrobných návodek na jednotlivé procesy a úkony, vedoucí k individuálním přístupům pracovníků IS (např. nejasnost definice ekonomicko-personálního propojení, která by usnadnila kontrolu střetu zájmů u dodavatelů při kontrole </w:t>
            </w:r>
            <w:r w:rsidR="00825645" w:rsidRPr="000421F0">
              <w:rPr>
                <w:sz w:val="16"/>
                <w:szCs w:val="16"/>
              </w:rPr>
              <w:t>ŽoPl</w:t>
            </w:r>
            <w:r w:rsidRPr="000421F0">
              <w:rPr>
                <w:sz w:val="16"/>
                <w:szCs w:val="16"/>
              </w:rPr>
              <w:t xml:space="preserve"> nebo kontrole na místě, aplikace výkladu posuzování statusu MSP, spolků např. v případě svěřeneckých fondů apod.). Nejednoznačnost metodik OP PIK má ve valné části případů </w:t>
            </w:r>
            <w:r w:rsidRPr="000421F0">
              <w:rPr>
                <w:b/>
                <w:sz w:val="16"/>
                <w:szCs w:val="16"/>
              </w:rPr>
              <w:t>kořeny v nejednoznačnosti metodik na evropské nebo národní úrovni.</w:t>
            </w:r>
            <w:r w:rsidRPr="000421F0">
              <w:rPr>
                <w:sz w:val="16"/>
                <w:szCs w:val="16"/>
              </w:rPr>
              <w:t xml:space="preserve">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2D6209DD" w14:textId="77777777" w:rsidR="004771E4" w:rsidRPr="000421F0" w:rsidRDefault="004771E4" w:rsidP="00E105D8">
            <w:pPr>
              <w:spacing w:before="60" w:after="60"/>
              <w:ind w:left="177" w:right="134"/>
              <w:jc w:val="center"/>
              <w:rPr>
                <w:sz w:val="16"/>
                <w:szCs w:val="16"/>
              </w:rPr>
            </w:pPr>
            <w:r w:rsidRPr="000421F0">
              <w:rPr>
                <w:sz w:val="16"/>
                <w:szCs w:val="16"/>
              </w:rPr>
              <w:t>Částečně</w:t>
            </w:r>
          </w:p>
          <w:p w14:paraId="25211E08" w14:textId="77777777" w:rsidR="004771E4" w:rsidRPr="000421F0" w:rsidRDefault="004771E4" w:rsidP="00E105D8">
            <w:pPr>
              <w:spacing w:before="60" w:after="60"/>
              <w:ind w:left="177" w:right="134"/>
              <w:jc w:val="center"/>
              <w:rPr>
                <w:sz w:val="16"/>
                <w:szCs w:val="16"/>
              </w:rPr>
            </w:pPr>
          </w:p>
          <w:p w14:paraId="0289DBF9"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7DC8825F"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Aplikace stejné metody hodnocení statusu MSP jaký uplatňuje ČMZRB.</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103E6915" w14:textId="77777777" w:rsidR="004771E4" w:rsidRPr="000421F0" w:rsidRDefault="004771E4" w:rsidP="00E105D8">
            <w:pPr>
              <w:spacing w:before="60" w:after="60"/>
              <w:rPr>
                <w:sz w:val="16"/>
                <w:szCs w:val="16"/>
              </w:rPr>
            </w:pPr>
            <w:r w:rsidRPr="000421F0">
              <w:rPr>
                <w:sz w:val="16"/>
                <w:szCs w:val="16"/>
              </w:rPr>
              <w:t>Střednědobý horizont</w:t>
            </w:r>
          </w:p>
        </w:tc>
      </w:tr>
      <w:tr w:rsidR="004771E4" w:rsidRPr="000421F0" w14:paraId="16C26C59" w14:textId="77777777" w:rsidTr="004B3AE9">
        <w:trPr>
          <w:trHeight w:val="713"/>
        </w:trPr>
        <w:tc>
          <w:tcPr>
            <w:tcW w:w="0" w:type="auto"/>
            <w:vMerge/>
            <w:vAlign w:val="center"/>
            <w:hideMark/>
          </w:tcPr>
          <w:p w14:paraId="77710DC0"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7297CB4" w14:textId="77777777" w:rsidR="004771E4" w:rsidRPr="000421F0" w:rsidRDefault="004771E4" w:rsidP="00E105D8">
            <w:pPr>
              <w:spacing w:before="60" w:after="60"/>
              <w:rPr>
                <w:sz w:val="16"/>
                <w:szCs w:val="16"/>
              </w:rPr>
            </w:pPr>
            <w:r w:rsidRPr="000421F0">
              <w:rPr>
                <w:b/>
                <w:sz w:val="16"/>
                <w:szCs w:val="16"/>
              </w:rPr>
              <w:t>Existence řady „hluchých“ míst v metodickém prostředí</w:t>
            </w:r>
            <w:r w:rsidRPr="000421F0">
              <w:rPr>
                <w:sz w:val="16"/>
                <w:szCs w:val="16"/>
              </w:rPr>
              <w:t xml:space="preserve">, tj. oblastí vůbec nebo dostatečně upravených metodickými dokumenty (např. pravomocné odnětí dotace, realizace „vratek“, přístup k „podniku v obtížích“ apod.).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DA1EC45" w14:textId="77777777" w:rsidR="004771E4" w:rsidRPr="000421F0" w:rsidRDefault="004771E4" w:rsidP="00E105D8">
            <w:pPr>
              <w:spacing w:before="60" w:after="60"/>
              <w:ind w:left="177" w:right="134"/>
              <w:jc w:val="center"/>
              <w:rPr>
                <w:sz w:val="16"/>
                <w:szCs w:val="16"/>
              </w:rPr>
            </w:pPr>
            <w:r w:rsidRPr="000421F0">
              <w:rPr>
                <w:sz w:val="16"/>
                <w:szCs w:val="16"/>
              </w:rPr>
              <w:t>Ano</w:t>
            </w:r>
          </w:p>
          <w:p w14:paraId="67F1D59A" w14:textId="77777777" w:rsidR="004771E4" w:rsidRPr="000421F0" w:rsidRDefault="004771E4" w:rsidP="00E105D8">
            <w:pPr>
              <w:spacing w:before="60" w:after="60"/>
              <w:ind w:left="177" w:right="134"/>
              <w:jc w:val="center"/>
              <w:rPr>
                <w:sz w:val="16"/>
                <w:szCs w:val="16"/>
              </w:rPr>
            </w:pPr>
          </w:p>
          <w:p w14:paraId="439C5A2C"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5E3E547" w14:textId="77777777" w:rsidR="004771E4"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Pokrytí hluchých míst pracovní skupinou k metodice a doplnění jejich metodického výkladu.</w:t>
            </w:r>
          </w:p>
          <w:p w14:paraId="603C3308" w14:textId="259310B1" w:rsidR="009067B3" w:rsidRPr="000421F0" w:rsidRDefault="009067B3" w:rsidP="00E105D8">
            <w:pPr>
              <w:pStyle w:val="ListParagraph"/>
              <w:numPr>
                <w:ilvl w:val="0"/>
                <w:numId w:val="31"/>
              </w:numPr>
              <w:spacing w:before="60" w:after="60"/>
              <w:ind w:left="442" w:right="134"/>
              <w:contextualSpacing w:val="0"/>
              <w:rPr>
                <w:sz w:val="16"/>
                <w:szCs w:val="16"/>
              </w:rPr>
            </w:pPr>
            <w:r>
              <w:rPr>
                <w:sz w:val="16"/>
                <w:szCs w:val="16"/>
              </w:rPr>
              <w:t xml:space="preserve">Iniciovat pokrytí hluchých míst na národní legislativní a metodické úrovni (např. v případě výkladu podniku v obtížích). </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007EAD13" w14:textId="77777777" w:rsidR="004771E4" w:rsidRPr="000421F0" w:rsidRDefault="004771E4" w:rsidP="00E105D8">
            <w:pPr>
              <w:spacing w:before="60" w:after="60"/>
              <w:rPr>
                <w:sz w:val="16"/>
                <w:szCs w:val="16"/>
              </w:rPr>
            </w:pPr>
            <w:r w:rsidRPr="000421F0">
              <w:rPr>
                <w:sz w:val="16"/>
                <w:szCs w:val="16"/>
              </w:rPr>
              <w:t>Krátkodobý horizont</w:t>
            </w:r>
          </w:p>
        </w:tc>
      </w:tr>
      <w:tr w:rsidR="004771E4" w:rsidRPr="000421F0" w14:paraId="47594016" w14:textId="77777777" w:rsidTr="004B3AE9">
        <w:trPr>
          <w:trHeight w:val="713"/>
        </w:trPr>
        <w:tc>
          <w:tcPr>
            <w:tcW w:w="0" w:type="auto"/>
            <w:vMerge/>
            <w:vAlign w:val="center"/>
            <w:hideMark/>
          </w:tcPr>
          <w:p w14:paraId="3BC35FE2"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142465E" w14:textId="77777777" w:rsidR="004771E4" w:rsidRPr="000421F0" w:rsidRDefault="004771E4" w:rsidP="00E105D8">
            <w:pPr>
              <w:spacing w:before="60" w:after="60"/>
              <w:rPr>
                <w:b/>
                <w:sz w:val="16"/>
                <w:szCs w:val="16"/>
              </w:rPr>
            </w:pPr>
            <w:r w:rsidRPr="000421F0">
              <w:rPr>
                <w:b/>
                <w:sz w:val="16"/>
                <w:szCs w:val="16"/>
              </w:rPr>
              <w:t xml:space="preserve">Roztříštěnost pravidel a terminologie. </w:t>
            </w:r>
            <w:r w:rsidRPr="000421F0">
              <w:rPr>
                <w:sz w:val="16"/>
                <w:szCs w:val="16"/>
              </w:rPr>
              <w:t>Pravidla podpory i výklad terminologie (např. výzkum, transfer technologie apod.) se liší i v rámci MPO mezi OP PIK a Programem TREND nebo TAČR.</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6925D76" w14:textId="77777777" w:rsidR="004771E4" w:rsidRPr="000421F0" w:rsidRDefault="004771E4" w:rsidP="00E105D8">
            <w:pPr>
              <w:spacing w:before="60" w:after="60"/>
              <w:ind w:left="177" w:right="134"/>
              <w:jc w:val="center"/>
              <w:rPr>
                <w:sz w:val="16"/>
                <w:szCs w:val="16"/>
              </w:rPr>
            </w:pPr>
            <w:r w:rsidRPr="000421F0">
              <w:rPr>
                <w:sz w:val="16"/>
                <w:szCs w:val="16"/>
              </w:rPr>
              <w:t>Částečně</w:t>
            </w:r>
          </w:p>
          <w:p w14:paraId="6818657C" w14:textId="77777777" w:rsidR="004771E4" w:rsidRPr="000421F0" w:rsidRDefault="004771E4" w:rsidP="00E105D8">
            <w:pPr>
              <w:spacing w:before="60" w:after="60"/>
              <w:ind w:left="177" w:right="134"/>
              <w:jc w:val="center"/>
              <w:rPr>
                <w:sz w:val="16"/>
                <w:szCs w:val="16"/>
              </w:rPr>
            </w:pPr>
          </w:p>
          <w:p w14:paraId="0AFA3C5D"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CEA67FE" w14:textId="7BFB72F4" w:rsidR="004771E4" w:rsidRPr="000421F0" w:rsidRDefault="004771E4" w:rsidP="00E105D8">
            <w:pPr>
              <w:pStyle w:val="ListParagraph"/>
              <w:numPr>
                <w:ilvl w:val="0"/>
                <w:numId w:val="31"/>
              </w:numPr>
              <w:spacing w:before="60" w:after="60"/>
              <w:ind w:left="442" w:right="134"/>
              <w:contextualSpacing w:val="0"/>
              <w:rPr>
                <w:sz w:val="16"/>
                <w:szCs w:val="16"/>
              </w:rPr>
            </w:pPr>
            <w:r w:rsidRPr="1B8B314C">
              <w:rPr>
                <w:sz w:val="16"/>
                <w:szCs w:val="16"/>
              </w:rPr>
              <w:t>Sjednocení terminologie a pravidel napříč programy podpory u různých subjektů.</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07A45B8F" w14:textId="77777777" w:rsidR="004771E4" w:rsidRPr="000421F0" w:rsidRDefault="004771E4" w:rsidP="00E105D8">
            <w:pPr>
              <w:spacing w:before="60" w:after="60"/>
              <w:rPr>
                <w:sz w:val="16"/>
                <w:szCs w:val="16"/>
              </w:rPr>
            </w:pPr>
            <w:r w:rsidRPr="000421F0">
              <w:rPr>
                <w:sz w:val="16"/>
                <w:szCs w:val="16"/>
              </w:rPr>
              <w:t>Příští programové období</w:t>
            </w:r>
          </w:p>
        </w:tc>
      </w:tr>
      <w:tr w:rsidR="004771E4" w:rsidRPr="000421F0" w14:paraId="015BA418" w14:textId="77777777" w:rsidTr="004B3AE9">
        <w:tc>
          <w:tcPr>
            <w:tcW w:w="0" w:type="auto"/>
            <w:vMerge/>
            <w:vAlign w:val="center"/>
            <w:hideMark/>
          </w:tcPr>
          <w:p w14:paraId="45FC5C3E"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7D6B7E9A" w14:textId="4A4257B4" w:rsidR="004771E4" w:rsidRPr="000421F0" w:rsidRDefault="004771E4" w:rsidP="00E105D8">
            <w:pPr>
              <w:spacing w:before="60" w:after="60"/>
              <w:rPr>
                <w:sz w:val="16"/>
                <w:szCs w:val="16"/>
              </w:rPr>
            </w:pPr>
            <w:r w:rsidRPr="1B8B314C">
              <w:rPr>
                <w:sz w:val="16"/>
                <w:szCs w:val="16"/>
              </w:rPr>
              <w:t xml:space="preserve">Současné nastavení metodického prostředí OP PIK vede k výkonu </w:t>
            </w:r>
            <w:r w:rsidRPr="1B8B314C">
              <w:rPr>
                <w:b/>
                <w:bCs/>
                <w:sz w:val="16"/>
                <w:szCs w:val="16"/>
              </w:rPr>
              <w:t>nadbytečných a duplicitních procesů</w:t>
            </w:r>
            <w:r w:rsidRPr="1B8B314C">
              <w:rPr>
                <w:sz w:val="16"/>
                <w:szCs w:val="16"/>
              </w:rPr>
              <w:t xml:space="preserve"> (např. dvojí či dokonce trojí kontrola výběrových řízení, vícečetná kontrola MSP, CBA, </w:t>
            </w:r>
            <w:r w:rsidR="013ED342" w:rsidRPr="1B8B314C">
              <w:rPr>
                <w:sz w:val="16"/>
                <w:szCs w:val="16"/>
              </w:rPr>
              <w:t>obsahově identic</w:t>
            </w:r>
            <w:r w:rsidR="0323C1E2" w:rsidRPr="1B8B314C">
              <w:rPr>
                <w:sz w:val="16"/>
                <w:szCs w:val="16"/>
              </w:rPr>
              <w:t>k</w:t>
            </w:r>
            <w:r w:rsidR="013ED342" w:rsidRPr="1B8B314C">
              <w:rPr>
                <w:sz w:val="16"/>
                <w:szCs w:val="16"/>
              </w:rPr>
              <w:t>ý podnikatelský záměr se záložkami v MS2014+</w:t>
            </w:r>
            <w:r w:rsidRPr="1B8B314C">
              <w:rPr>
                <w:sz w:val="16"/>
                <w:szCs w:val="16"/>
              </w:rPr>
              <w:t xml:space="preserve">). </w:t>
            </w:r>
            <w:r w:rsidR="007F77F3">
              <w:rPr>
                <w:sz w:val="16"/>
                <w:szCs w:val="16"/>
              </w:rPr>
              <w:t xml:space="preserve">O nadbytečnosti některých procesů je přesvědčeno 43 % respondentů DŠ mezi pracovníky IS.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FE4D01C" w14:textId="77777777" w:rsidR="004771E4" w:rsidRPr="000421F0" w:rsidRDefault="004771E4" w:rsidP="00E105D8">
            <w:pPr>
              <w:spacing w:before="60" w:after="60"/>
              <w:ind w:left="177" w:right="134"/>
              <w:jc w:val="center"/>
              <w:rPr>
                <w:sz w:val="16"/>
                <w:szCs w:val="16"/>
              </w:rPr>
            </w:pPr>
            <w:r w:rsidRPr="000421F0">
              <w:rPr>
                <w:sz w:val="16"/>
                <w:szCs w:val="16"/>
              </w:rPr>
              <w:t>Ano</w:t>
            </w:r>
          </w:p>
          <w:p w14:paraId="281086E2" w14:textId="77777777" w:rsidR="004771E4" w:rsidRPr="000421F0" w:rsidRDefault="004771E4" w:rsidP="00E105D8">
            <w:pPr>
              <w:spacing w:before="60" w:after="60"/>
              <w:ind w:left="177" w:right="134"/>
              <w:jc w:val="center"/>
              <w:rPr>
                <w:sz w:val="16"/>
                <w:szCs w:val="16"/>
              </w:rPr>
            </w:pPr>
          </w:p>
          <w:p w14:paraId="1D13553C"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DFFA43F" w14:textId="77777777" w:rsidR="004771E4" w:rsidRPr="000421F0" w:rsidRDefault="004771E4" w:rsidP="00E105D8">
            <w:pPr>
              <w:pStyle w:val="ListParagraph"/>
              <w:numPr>
                <w:ilvl w:val="0"/>
                <w:numId w:val="31"/>
              </w:numPr>
              <w:spacing w:before="60" w:after="60"/>
              <w:ind w:left="442" w:right="134"/>
              <w:contextualSpacing w:val="0"/>
              <w:rPr>
                <w:b/>
                <w:sz w:val="16"/>
                <w:szCs w:val="16"/>
              </w:rPr>
            </w:pPr>
            <w:r w:rsidRPr="000421F0">
              <w:rPr>
                <w:b/>
                <w:sz w:val="16"/>
                <w:szCs w:val="16"/>
              </w:rPr>
              <w:t>Zavedení závaznosti stanovisek zprostředkujícího subjektu a přenosu zodpovědnosti.</w:t>
            </w:r>
          </w:p>
          <w:p w14:paraId="09B99D11" w14:textId="27DA32F1" w:rsidR="0071179F" w:rsidRPr="000421F0" w:rsidRDefault="0071179F" w:rsidP="00E105D8">
            <w:pPr>
              <w:pStyle w:val="ListParagraph"/>
              <w:numPr>
                <w:ilvl w:val="0"/>
                <w:numId w:val="31"/>
              </w:numPr>
              <w:spacing w:before="60" w:after="60"/>
              <w:ind w:left="435" w:right="134"/>
              <w:contextualSpacing w:val="0"/>
              <w:rPr>
                <w:b/>
                <w:sz w:val="16"/>
                <w:szCs w:val="16"/>
              </w:rPr>
            </w:pPr>
            <w:r w:rsidRPr="000421F0">
              <w:rPr>
                <w:sz w:val="16"/>
                <w:szCs w:val="16"/>
              </w:rPr>
              <w:t>Revize osnovy podnikatelského záměru s cílem zamezit duplicitnímu vyplňování informací, zaměřit se na důležité informace typu: činnost podniku, důvod pořízení dané technologie a naopak vypustit požadavky na popis: historie žadatele, socio-ekonomického rozboru místa realizace</w:t>
            </w:r>
            <w:r w:rsidR="0024270A">
              <w:rPr>
                <w:sz w:val="16"/>
                <w:szCs w:val="16"/>
              </w:rPr>
              <w:t>.</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30CB467B" w14:textId="77777777" w:rsidR="004771E4" w:rsidRPr="000421F0" w:rsidRDefault="004771E4" w:rsidP="00E105D8">
            <w:pPr>
              <w:spacing w:before="60" w:after="60"/>
              <w:rPr>
                <w:sz w:val="16"/>
                <w:szCs w:val="16"/>
              </w:rPr>
            </w:pPr>
            <w:r w:rsidRPr="000421F0">
              <w:rPr>
                <w:sz w:val="16"/>
                <w:szCs w:val="16"/>
              </w:rPr>
              <w:t>Krátkodobý horizont</w:t>
            </w:r>
          </w:p>
        </w:tc>
      </w:tr>
      <w:tr w:rsidR="004771E4" w:rsidRPr="000421F0" w14:paraId="5CAC5641" w14:textId="77777777" w:rsidTr="004B3AE9">
        <w:trPr>
          <w:trHeight w:val="1197"/>
        </w:trPr>
        <w:tc>
          <w:tcPr>
            <w:tcW w:w="0" w:type="auto"/>
            <w:vMerge/>
            <w:vAlign w:val="center"/>
            <w:hideMark/>
          </w:tcPr>
          <w:p w14:paraId="33B2E42B"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right w:val="single" w:sz="4" w:space="0" w:color="D0EC9F" w:themeColor="accent1" w:themeTint="66"/>
            </w:tcBorders>
            <w:hideMark/>
          </w:tcPr>
          <w:p w14:paraId="70E808FB" w14:textId="77777777" w:rsidR="004771E4" w:rsidRPr="000421F0" w:rsidRDefault="004771E4" w:rsidP="00E105D8">
            <w:pPr>
              <w:spacing w:before="60" w:after="60"/>
              <w:rPr>
                <w:sz w:val="16"/>
                <w:szCs w:val="16"/>
              </w:rPr>
            </w:pPr>
            <w:r w:rsidRPr="000421F0">
              <w:rPr>
                <w:sz w:val="16"/>
                <w:szCs w:val="16"/>
              </w:rPr>
              <w:t>Metodické prostředí nahrazuje nedostatečnou právní úpravu administrace ESI fondů v ČR formou Zákona o rozpočtových pravidlech č. 218/2000 Sb.  OM OP PIK tak v mnohých ohledech nahrazuje absenci komplexní legislativní úpravy čerpání a administrace evropských fondů.</w:t>
            </w:r>
          </w:p>
        </w:tc>
        <w:tc>
          <w:tcPr>
            <w:tcW w:w="504" w:type="pct"/>
            <w:tcBorders>
              <w:top w:val="single" w:sz="6" w:space="0" w:color="D9D9D9" w:themeColor="background1" w:themeShade="D9"/>
              <w:left w:val="single" w:sz="4" w:space="0" w:color="D0EC9F" w:themeColor="accent1" w:themeTint="66"/>
              <w:right w:val="single" w:sz="4" w:space="0" w:color="D0EC9F" w:themeColor="accent1" w:themeTint="66"/>
            </w:tcBorders>
          </w:tcPr>
          <w:p w14:paraId="10AD75D7" w14:textId="77777777" w:rsidR="004771E4" w:rsidRPr="000421F0" w:rsidRDefault="004771E4" w:rsidP="00E105D8">
            <w:pPr>
              <w:spacing w:before="60" w:after="60"/>
              <w:ind w:left="177" w:right="134"/>
              <w:jc w:val="center"/>
              <w:rPr>
                <w:sz w:val="16"/>
                <w:szCs w:val="16"/>
              </w:rPr>
            </w:pPr>
            <w:r w:rsidRPr="000421F0">
              <w:rPr>
                <w:sz w:val="16"/>
                <w:szCs w:val="16"/>
              </w:rPr>
              <w:t>Ne</w:t>
            </w:r>
          </w:p>
          <w:p w14:paraId="698E8382" w14:textId="77777777" w:rsidR="004771E4" w:rsidRPr="000421F0" w:rsidRDefault="004771E4" w:rsidP="00E105D8">
            <w:pPr>
              <w:spacing w:before="60" w:after="60"/>
              <w:ind w:left="177" w:right="134"/>
              <w:jc w:val="center"/>
              <w:rPr>
                <w:sz w:val="16"/>
                <w:szCs w:val="16"/>
              </w:rPr>
            </w:pPr>
          </w:p>
          <w:p w14:paraId="1B57FA3B" w14:textId="77777777" w:rsidR="004771E4" w:rsidRPr="000421F0" w:rsidRDefault="004771E4" w:rsidP="00E105D8">
            <w:pPr>
              <w:spacing w:before="60" w:after="60"/>
              <w:ind w:left="177" w:right="134"/>
              <w:jc w:val="center"/>
              <w:rPr>
                <w:sz w:val="16"/>
                <w:szCs w:val="16"/>
              </w:rPr>
            </w:pPr>
            <w:r w:rsidRPr="000421F0">
              <w:rPr>
                <w:sz w:val="16"/>
                <w:szCs w:val="16"/>
              </w:rPr>
              <w:t>1 (požadavek na MMR)</w:t>
            </w:r>
          </w:p>
        </w:tc>
        <w:tc>
          <w:tcPr>
            <w:tcW w:w="1462" w:type="pct"/>
            <w:tcBorders>
              <w:top w:val="single" w:sz="6" w:space="0" w:color="D9D9D9" w:themeColor="background1" w:themeShade="D9"/>
              <w:left w:val="single" w:sz="4" w:space="0" w:color="D0EC9F" w:themeColor="accent1" w:themeTint="66"/>
              <w:right w:val="single" w:sz="4" w:space="0" w:color="D0EC9F" w:themeColor="accent1" w:themeTint="66"/>
            </w:tcBorders>
            <w:hideMark/>
          </w:tcPr>
          <w:p w14:paraId="19276168"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Komplexní revize Zákona č. 218/2000 Sb.</w:t>
            </w:r>
          </w:p>
        </w:tc>
        <w:tc>
          <w:tcPr>
            <w:tcW w:w="555" w:type="pct"/>
            <w:tcBorders>
              <w:top w:val="single" w:sz="6" w:space="0" w:color="D9D9D9" w:themeColor="background1" w:themeShade="D9"/>
              <w:left w:val="single" w:sz="4" w:space="0" w:color="D0EC9F" w:themeColor="accent1" w:themeTint="66"/>
              <w:right w:val="nil"/>
            </w:tcBorders>
            <w:hideMark/>
          </w:tcPr>
          <w:p w14:paraId="16D0A08F" w14:textId="77777777" w:rsidR="004771E4" w:rsidRPr="000421F0" w:rsidRDefault="004771E4" w:rsidP="00E105D8">
            <w:pPr>
              <w:spacing w:before="60" w:after="60"/>
              <w:rPr>
                <w:sz w:val="16"/>
                <w:szCs w:val="16"/>
              </w:rPr>
            </w:pPr>
            <w:r w:rsidRPr="000421F0">
              <w:rPr>
                <w:sz w:val="16"/>
                <w:szCs w:val="16"/>
              </w:rPr>
              <w:t>Příští programové období</w:t>
            </w:r>
          </w:p>
        </w:tc>
      </w:tr>
      <w:tr w:rsidR="004771E4" w:rsidRPr="000421F0" w14:paraId="772B620F" w14:textId="77777777" w:rsidTr="004B3AE9">
        <w:tc>
          <w:tcPr>
            <w:tcW w:w="5000" w:type="pct"/>
            <w:gridSpan w:val="5"/>
            <w:tcBorders>
              <w:top w:val="single" w:sz="6" w:space="0" w:color="D9D9D9" w:themeColor="background1" w:themeShade="D9"/>
              <w:left w:val="nil"/>
              <w:bottom w:val="single" w:sz="6" w:space="0" w:color="D9D9D9" w:themeColor="background1" w:themeShade="D9"/>
              <w:right w:val="nil"/>
            </w:tcBorders>
            <w:shd w:val="clear" w:color="auto" w:fill="E7F5CF" w:themeFill="accent1" w:themeFillTint="33"/>
            <w:hideMark/>
          </w:tcPr>
          <w:p w14:paraId="5A75E051" w14:textId="77777777" w:rsidR="004771E4" w:rsidRPr="000421F0" w:rsidRDefault="004771E4" w:rsidP="00E105D8">
            <w:pPr>
              <w:spacing w:before="60" w:after="60"/>
              <w:rPr>
                <w:b/>
                <w:sz w:val="16"/>
                <w:szCs w:val="16"/>
              </w:rPr>
            </w:pPr>
            <w:r w:rsidRPr="000421F0">
              <w:rPr>
                <w:b/>
                <w:sz w:val="16"/>
                <w:szCs w:val="16"/>
              </w:rPr>
              <w:t>Implementace</w:t>
            </w:r>
          </w:p>
        </w:tc>
      </w:tr>
      <w:tr w:rsidR="004771E4" w:rsidRPr="000421F0" w14:paraId="30550FC4"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565DC319" w14:textId="77777777" w:rsidR="004771E4" w:rsidRPr="000421F0" w:rsidRDefault="004771E4" w:rsidP="00E105D8">
            <w:pPr>
              <w:spacing w:before="60" w:after="60"/>
              <w:ind w:right="90"/>
              <w:rPr>
                <w:b/>
                <w:sz w:val="16"/>
                <w:szCs w:val="16"/>
              </w:rPr>
            </w:pPr>
            <w:r w:rsidRPr="000421F0">
              <w:rPr>
                <w:b/>
                <w:sz w:val="16"/>
                <w:szCs w:val="16"/>
              </w:rPr>
              <w:t>Povinnost dokládání celkového financování projektu</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612746A" w14:textId="77777777" w:rsidR="004771E4" w:rsidRPr="000421F0" w:rsidRDefault="004771E4" w:rsidP="00E105D8">
            <w:pPr>
              <w:spacing w:before="60" w:after="60"/>
              <w:rPr>
                <w:sz w:val="16"/>
                <w:szCs w:val="16"/>
              </w:rPr>
            </w:pPr>
            <w:r w:rsidRPr="000421F0">
              <w:rPr>
                <w:sz w:val="16"/>
                <w:szCs w:val="16"/>
              </w:rPr>
              <w:t>V některých případech žadatelé počítají s financováním z vlastního zisku nebo zisku z (etapizovaného) projektu. Tyto příjmy nelze zahrnout mezi doklady o financování.</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D08FAA5" w14:textId="77777777" w:rsidR="004771E4" w:rsidRPr="000421F0" w:rsidRDefault="004771E4" w:rsidP="00E105D8">
            <w:pPr>
              <w:spacing w:before="60" w:after="60"/>
              <w:ind w:left="177" w:right="134"/>
              <w:jc w:val="center"/>
              <w:rPr>
                <w:sz w:val="16"/>
                <w:szCs w:val="16"/>
              </w:rPr>
            </w:pPr>
            <w:r w:rsidRPr="000421F0">
              <w:rPr>
                <w:sz w:val="16"/>
                <w:szCs w:val="16"/>
              </w:rPr>
              <w:t>Ano</w:t>
            </w:r>
          </w:p>
          <w:p w14:paraId="0C847A9D" w14:textId="77777777" w:rsidR="004771E4" w:rsidRPr="000421F0" w:rsidRDefault="004771E4" w:rsidP="00E105D8">
            <w:pPr>
              <w:spacing w:before="60" w:after="60"/>
              <w:ind w:left="177" w:right="134"/>
              <w:jc w:val="center"/>
              <w:rPr>
                <w:sz w:val="16"/>
                <w:szCs w:val="16"/>
              </w:rPr>
            </w:pPr>
          </w:p>
          <w:p w14:paraId="51609773" w14:textId="77777777" w:rsidR="004771E4" w:rsidRPr="000421F0" w:rsidRDefault="004771E4" w:rsidP="00E105D8">
            <w:pPr>
              <w:spacing w:before="60" w:after="60"/>
              <w:ind w:left="177" w:right="134"/>
              <w:jc w:val="center"/>
              <w:rPr>
                <w:sz w:val="16"/>
                <w:szCs w:val="16"/>
              </w:rPr>
            </w:pPr>
            <w:r w:rsidRPr="000421F0">
              <w:rPr>
                <w:sz w:val="16"/>
                <w:szCs w:val="16"/>
              </w:rPr>
              <w:t>1, 3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19EFC62"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b/>
                <w:sz w:val="16"/>
                <w:szCs w:val="16"/>
              </w:rPr>
              <w:t xml:space="preserve">Zahrnutí zisků z projektu do dokladů o předpokládaném financování projektů. </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4B44FAC4" w14:textId="77777777" w:rsidR="004771E4" w:rsidRPr="000421F0" w:rsidRDefault="004771E4" w:rsidP="00E105D8">
            <w:pPr>
              <w:spacing w:before="60" w:after="60"/>
              <w:rPr>
                <w:sz w:val="16"/>
                <w:szCs w:val="16"/>
              </w:rPr>
            </w:pPr>
            <w:r w:rsidRPr="000421F0">
              <w:rPr>
                <w:sz w:val="16"/>
                <w:szCs w:val="16"/>
              </w:rPr>
              <w:t>Krátkodobý horizont</w:t>
            </w:r>
          </w:p>
        </w:tc>
      </w:tr>
      <w:tr w:rsidR="004771E4" w:rsidRPr="000421F0" w14:paraId="1BE5E4D8"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4A4A99FC" w14:textId="77777777" w:rsidR="004771E4" w:rsidRPr="000421F0" w:rsidRDefault="004771E4" w:rsidP="00E105D8">
            <w:pPr>
              <w:spacing w:before="60" w:after="60"/>
              <w:ind w:right="90"/>
              <w:rPr>
                <w:b/>
                <w:sz w:val="16"/>
                <w:szCs w:val="16"/>
              </w:rPr>
            </w:pPr>
            <w:r w:rsidRPr="000421F0">
              <w:rPr>
                <w:b/>
                <w:sz w:val="16"/>
                <w:szCs w:val="16"/>
              </w:rPr>
              <w:t xml:space="preserve">Příjem </w:t>
            </w:r>
          </w:p>
          <w:p w14:paraId="2B0232D6" w14:textId="77777777" w:rsidR="004771E4" w:rsidRPr="000421F0" w:rsidRDefault="004771E4" w:rsidP="00E105D8">
            <w:pPr>
              <w:spacing w:before="60" w:after="60"/>
              <w:ind w:right="90"/>
              <w:rPr>
                <w:b/>
                <w:sz w:val="16"/>
                <w:szCs w:val="16"/>
              </w:rPr>
            </w:pPr>
            <w:r w:rsidRPr="000421F0">
              <w:rPr>
                <w:b/>
                <w:sz w:val="16"/>
                <w:szCs w:val="16"/>
              </w:rPr>
              <w:t>žádostí</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E6510DD" w14:textId="77777777" w:rsidR="004771E4" w:rsidRPr="000421F0" w:rsidRDefault="004771E4" w:rsidP="00E105D8">
            <w:pPr>
              <w:spacing w:before="60" w:after="60"/>
              <w:rPr>
                <w:sz w:val="16"/>
                <w:szCs w:val="16"/>
              </w:rPr>
            </w:pPr>
            <w:r w:rsidRPr="000421F0">
              <w:rPr>
                <w:sz w:val="16"/>
                <w:szCs w:val="16"/>
              </w:rPr>
              <w:t xml:space="preserve">Průběžné ani kolové výzvy nevedou k průběžnému příjmu žádostí, které mají žadatelé tendenci odesílat před koncem termínu výzvy. Přesto se průběžné výzvy jeví jako výhodnější.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644AEF2" w14:textId="77777777" w:rsidR="004771E4" w:rsidRPr="000421F0" w:rsidRDefault="004771E4" w:rsidP="00E105D8">
            <w:pPr>
              <w:spacing w:before="60" w:after="60"/>
              <w:ind w:left="177" w:right="134"/>
              <w:jc w:val="center"/>
              <w:rPr>
                <w:sz w:val="16"/>
                <w:szCs w:val="16"/>
              </w:rPr>
            </w:pPr>
            <w:r w:rsidRPr="000421F0">
              <w:rPr>
                <w:sz w:val="16"/>
                <w:szCs w:val="16"/>
              </w:rPr>
              <w:t>Ano</w:t>
            </w:r>
          </w:p>
          <w:p w14:paraId="23F870C1" w14:textId="77777777" w:rsidR="004771E4" w:rsidRPr="000421F0" w:rsidRDefault="004771E4" w:rsidP="00E105D8">
            <w:pPr>
              <w:spacing w:before="60" w:after="60"/>
              <w:ind w:left="177" w:right="134"/>
              <w:jc w:val="center"/>
              <w:rPr>
                <w:sz w:val="16"/>
                <w:szCs w:val="16"/>
              </w:rPr>
            </w:pPr>
            <w:r w:rsidRPr="000421F0">
              <w:rPr>
                <w:sz w:val="16"/>
                <w:szCs w:val="16"/>
              </w:rPr>
              <w:t>1, 3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D0A52BD"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 xml:space="preserve">Zavedení systému bonifikace včasně podaných žádostí. </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6014E018" w14:textId="77777777" w:rsidR="004771E4" w:rsidRPr="000421F0" w:rsidRDefault="004771E4" w:rsidP="00E105D8">
            <w:pPr>
              <w:spacing w:before="60" w:after="60"/>
              <w:rPr>
                <w:sz w:val="16"/>
                <w:szCs w:val="16"/>
              </w:rPr>
            </w:pPr>
            <w:r w:rsidRPr="000421F0">
              <w:rPr>
                <w:sz w:val="16"/>
                <w:szCs w:val="16"/>
              </w:rPr>
              <w:t>Krátkodobý horizont</w:t>
            </w:r>
          </w:p>
        </w:tc>
      </w:tr>
      <w:tr w:rsidR="004771E4" w:rsidRPr="000421F0" w14:paraId="0F9D39FE"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5D88EA10" w14:textId="77777777" w:rsidR="004771E4" w:rsidRPr="000421F0" w:rsidRDefault="004771E4" w:rsidP="00E105D8">
            <w:pPr>
              <w:spacing w:before="60" w:after="60"/>
              <w:ind w:right="90"/>
              <w:rPr>
                <w:b/>
                <w:sz w:val="16"/>
                <w:szCs w:val="16"/>
              </w:rPr>
            </w:pPr>
            <w:r w:rsidRPr="000421F0">
              <w:rPr>
                <w:b/>
                <w:sz w:val="16"/>
                <w:szCs w:val="16"/>
              </w:rPr>
              <w:t>Hodnocení žádostí</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8885F79" w14:textId="16471B8B" w:rsidR="004771E4" w:rsidRPr="000421F0" w:rsidRDefault="004771E4" w:rsidP="00E105D8">
            <w:pPr>
              <w:spacing w:before="60" w:after="60"/>
              <w:rPr>
                <w:sz w:val="16"/>
                <w:szCs w:val="16"/>
              </w:rPr>
            </w:pPr>
            <w:r w:rsidRPr="000421F0">
              <w:rPr>
                <w:b/>
                <w:sz w:val="16"/>
                <w:szCs w:val="16"/>
              </w:rPr>
              <w:t>Délka hodnocení</w:t>
            </w:r>
            <w:r w:rsidRPr="000421F0">
              <w:rPr>
                <w:sz w:val="16"/>
                <w:szCs w:val="16"/>
              </w:rPr>
              <w:t xml:space="preserve"> a schvalování projektů vede k častým změnám v </w:t>
            </w:r>
            <w:r w:rsidR="00B04647">
              <w:rPr>
                <w:sz w:val="16"/>
                <w:szCs w:val="16"/>
              </w:rPr>
              <w:t>žádostech o podporu</w:t>
            </w:r>
            <w:r w:rsidRPr="000421F0">
              <w:rPr>
                <w:sz w:val="16"/>
                <w:szCs w:val="16"/>
              </w:rPr>
              <w:t xml:space="preserve"> i podpořených projektech a následné administrativní zátěži.</w:t>
            </w:r>
          </w:p>
          <w:p w14:paraId="52C381DE" w14:textId="77777777" w:rsidR="004771E4" w:rsidRPr="000421F0" w:rsidRDefault="004771E4" w:rsidP="00E105D8">
            <w:pPr>
              <w:spacing w:before="60" w:after="60"/>
              <w:rPr>
                <w:b/>
                <w:sz w:val="16"/>
                <w:szCs w:val="16"/>
              </w:rPr>
            </w:pPr>
          </w:p>
          <w:p w14:paraId="315A047B" w14:textId="77777777" w:rsidR="004771E4" w:rsidRPr="000421F0" w:rsidRDefault="004771E4" w:rsidP="00E105D8">
            <w:pPr>
              <w:spacing w:before="60" w:after="60"/>
              <w:rPr>
                <w:sz w:val="16"/>
                <w:szCs w:val="16"/>
              </w:rPr>
            </w:pP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56AAC90" w14:textId="77777777" w:rsidR="004771E4" w:rsidRPr="000421F0" w:rsidRDefault="004771E4" w:rsidP="00E105D8">
            <w:pPr>
              <w:spacing w:before="60" w:after="60"/>
              <w:ind w:left="177" w:right="134"/>
              <w:jc w:val="center"/>
              <w:rPr>
                <w:sz w:val="16"/>
                <w:szCs w:val="16"/>
              </w:rPr>
            </w:pPr>
            <w:r w:rsidRPr="000421F0">
              <w:rPr>
                <w:sz w:val="16"/>
                <w:szCs w:val="16"/>
              </w:rPr>
              <w:t>Ano</w:t>
            </w:r>
          </w:p>
          <w:p w14:paraId="486AEDE6" w14:textId="77777777" w:rsidR="004771E4" w:rsidRPr="000421F0" w:rsidRDefault="004771E4" w:rsidP="00E105D8">
            <w:pPr>
              <w:spacing w:before="60" w:after="60"/>
              <w:ind w:left="177" w:right="134"/>
              <w:jc w:val="center"/>
              <w:rPr>
                <w:sz w:val="16"/>
                <w:szCs w:val="16"/>
              </w:rPr>
            </w:pPr>
          </w:p>
          <w:p w14:paraId="49356560" w14:textId="77777777" w:rsidR="004771E4" w:rsidRPr="000421F0" w:rsidRDefault="004771E4" w:rsidP="00E105D8">
            <w:pPr>
              <w:spacing w:before="60" w:after="60"/>
              <w:ind w:left="177" w:right="134"/>
              <w:jc w:val="center"/>
              <w:rPr>
                <w:sz w:val="16"/>
                <w:szCs w:val="16"/>
              </w:rPr>
            </w:pPr>
            <w:r w:rsidRPr="000421F0">
              <w:rPr>
                <w:sz w:val="16"/>
                <w:szCs w:val="16"/>
              </w:rPr>
              <w:t>1, 3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07EDF08"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b/>
                <w:sz w:val="16"/>
                <w:szCs w:val="16"/>
              </w:rPr>
              <w:t>Zavedení plně systému zpětného proplácení projektů na základě všech doložených podkladů jako v současné situaci bez nutnosti podávání žádostí a jejich schvalování před zahájením projektu.</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3E3EF080" w14:textId="77777777" w:rsidR="004771E4" w:rsidRPr="000421F0" w:rsidRDefault="004771E4" w:rsidP="00E105D8">
            <w:pPr>
              <w:spacing w:before="60" w:after="60"/>
              <w:rPr>
                <w:sz w:val="16"/>
                <w:szCs w:val="16"/>
              </w:rPr>
            </w:pPr>
            <w:r w:rsidRPr="000421F0">
              <w:rPr>
                <w:sz w:val="16"/>
                <w:szCs w:val="16"/>
              </w:rPr>
              <w:t>Příští programové období</w:t>
            </w:r>
          </w:p>
        </w:tc>
      </w:tr>
      <w:tr w:rsidR="004771E4" w:rsidRPr="000421F0" w14:paraId="1EAF5AB2"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1DC6706F" w14:textId="77777777" w:rsidR="004771E4" w:rsidRPr="000421F0" w:rsidRDefault="004771E4" w:rsidP="00E105D8">
            <w:pPr>
              <w:spacing w:before="60" w:after="60"/>
              <w:ind w:right="90"/>
              <w:rPr>
                <w:b/>
                <w:sz w:val="16"/>
                <w:szCs w:val="16"/>
              </w:rPr>
            </w:pPr>
            <w:r w:rsidRPr="000421F0">
              <w:rPr>
                <w:b/>
                <w:sz w:val="16"/>
                <w:szCs w:val="16"/>
              </w:rPr>
              <w:lastRenderedPageBreak/>
              <w:t>Vydání RoPD</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0D41DC6" w14:textId="77777777" w:rsidR="004771E4" w:rsidRPr="000421F0" w:rsidRDefault="004771E4" w:rsidP="00E105D8">
            <w:pPr>
              <w:spacing w:before="60" w:after="60"/>
              <w:rPr>
                <w:sz w:val="16"/>
                <w:szCs w:val="16"/>
              </w:rPr>
            </w:pPr>
            <w:r w:rsidRPr="000421F0">
              <w:rPr>
                <w:sz w:val="16"/>
                <w:szCs w:val="16"/>
              </w:rPr>
              <w:t xml:space="preserve">Povinnosti dané výzvou nejsou vždy zapracovány do Rozhodnutí nebo dostatečně vysvětleny.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448731C3" w14:textId="77777777" w:rsidR="004771E4" w:rsidRPr="000421F0" w:rsidRDefault="004771E4" w:rsidP="00E105D8">
            <w:pPr>
              <w:spacing w:before="60" w:after="60"/>
              <w:ind w:left="177" w:right="134"/>
              <w:jc w:val="center"/>
              <w:rPr>
                <w:sz w:val="16"/>
                <w:szCs w:val="16"/>
              </w:rPr>
            </w:pPr>
            <w:r w:rsidRPr="000421F0">
              <w:rPr>
                <w:sz w:val="16"/>
                <w:szCs w:val="16"/>
              </w:rPr>
              <w:t>Ano</w:t>
            </w:r>
          </w:p>
          <w:p w14:paraId="118CD0D9" w14:textId="77777777" w:rsidR="004771E4" w:rsidRPr="000421F0" w:rsidRDefault="004771E4" w:rsidP="00E105D8">
            <w:pPr>
              <w:spacing w:before="60" w:after="60"/>
              <w:ind w:left="177" w:right="134"/>
              <w:jc w:val="center"/>
              <w:rPr>
                <w:sz w:val="16"/>
                <w:szCs w:val="16"/>
              </w:rPr>
            </w:pPr>
          </w:p>
          <w:p w14:paraId="6234C17D" w14:textId="77777777" w:rsidR="004771E4" w:rsidRPr="000421F0" w:rsidRDefault="004771E4" w:rsidP="00E105D8">
            <w:pPr>
              <w:spacing w:before="60" w:after="60"/>
              <w:ind w:left="177" w:right="134"/>
              <w:jc w:val="center"/>
              <w:rPr>
                <w:sz w:val="16"/>
                <w:szCs w:val="16"/>
              </w:rPr>
            </w:pPr>
            <w:r w:rsidRPr="000421F0">
              <w:rPr>
                <w:sz w:val="16"/>
                <w:szCs w:val="16"/>
              </w:rPr>
              <w:t>1, 3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1CEFBC24" w14:textId="14C28263" w:rsidR="004771E4" w:rsidRPr="000421F0" w:rsidRDefault="00F93734" w:rsidP="00E105D8">
            <w:pPr>
              <w:pStyle w:val="ListParagraph"/>
              <w:numPr>
                <w:ilvl w:val="0"/>
                <w:numId w:val="31"/>
              </w:numPr>
              <w:spacing w:before="60" w:after="60"/>
              <w:ind w:left="442" w:right="134"/>
              <w:contextualSpacing w:val="0"/>
              <w:rPr>
                <w:sz w:val="16"/>
                <w:szCs w:val="16"/>
              </w:rPr>
            </w:pPr>
            <w:r>
              <w:rPr>
                <w:sz w:val="16"/>
                <w:szCs w:val="16"/>
              </w:rPr>
              <w:t>Další z</w:t>
            </w:r>
            <w:r w:rsidR="004771E4" w:rsidRPr="000421F0">
              <w:rPr>
                <w:sz w:val="16"/>
                <w:szCs w:val="16"/>
              </w:rPr>
              <w:t>jednoduš</w:t>
            </w:r>
            <w:r>
              <w:rPr>
                <w:sz w:val="16"/>
                <w:szCs w:val="16"/>
              </w:rPr>
              <w:t>ová</w:t>
            </w:r>
            <w:r w:rsidR="004771E4" w:rsidRPr="000421F0">
              <w:rPr>
                <w:sz w:val="16"/>
                <w:szCs w:val="16"/>
              </w:rPr>
              <w:t>ní RoPD, revize RoPD ve spolupráci s API a v konzultaci s vybranými příjemci dotace.</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341181DA" w14:textId="77777777" w:rsidR="004771E4" w:rsidRPr="000421F0" w:rsidRDefault="004771E4" w:rsidP="00E105D8">
            <w:pPr>
              <w:spacing w:before="60" w:after="60"/>
              <w:rPr>
                <w:sz w:val="16"/>
                <w:szCs w:val="16"/>
              </w:rPr>
            </w:pPr>
            <w:r w:rsidRPr="000421F0">
              <w:rPr>
                <w:sz w:val="16"/>
                <w:szCs w:val="16"/>
              </w:rPr>
              <w:t>Střednědobý horizont</w:t>
            </w:r>
          </w:p>
        </w:tc>
      </w:tr>
      <w:tr w:rsidR="004771E4" w:rsidRPr="000421F0" w14:paraId="0DA00BE7"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4837119D" w14:textId="77777777" w:rsidR="004771E4" w:rsidRPr="000421F0" w:rsidRDefault="004771E4" w:rsidP="00E105D8">
            <w:pPr>
              <w:spacing w:before="60" w:after="60"/>
              <w:ind w:right="90"/>
              <w:rPr>
                <w:b/>
                <w:sz w:val="16"/>
                <w:szCs w:val="16"/>
              </w:rPr>
            </w:pPr>
            <w:r w:rsidRPr="000421F0">
              <w:rPr>
                <w:b/>
                <w:sz w:val="16"/>
                <w:szCs w:val="16"/>
              </w:rPr>
              <w:t>Ekonomické hodnocení</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3ABA1A9" w14:textId="77777777" w:rsidR="004771E4" w:rsidRPr="000421F0" w:rsidRDefault="004771E4" w:rsidP="00E105D8">
            <w:pPr>
              <w:spacing w:before="60" w:after="60"/>
              <w:rPr>
                <w:sz w:val="16"/>
                <w:szCs w:val="16"/>
              </w:rPr>
            </w:pPr>
            <w:r w:rsidRPr="000421F0">
              <w:rPr>
                <w:sz w:val="16"/>
                <w:szCs w:val="16"/>
              </w:rPr>
              <w:t>Odtrženost hodnocení ratingu od věcného hodnocení neumožňuje zohlednění informací, které mohou být ve věcné části žádosti a mohou mít vliv na posuzování ekonomického hodnocení.</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A6579E7" w14:textId="77777777" w:rsidR="004771E4" w:rsidRPr="000421F0" w:rsidRDefault="004771E4" w:rsidP="00E105D8">
            <w:pPr>
              <w:spacing w:before="60" w:after="60"/>
              <w:ind w:left="177" w:right="134"/>
              <w:jc w:val="center"/>
              <w:rPr>
                <w:sz w:val="16"/>
                <w:szCs w:val="16"/>
              </w:rPr>
            </w:pPr>
            <w:r w:rsidRPr="000421F0">
              <w:rPr>
                <w:sz w:val="16"/>
                <w:szCs w:val="16"/>
              </w:rPr>
              <w:t>Ano</w:t>
            </w:r>
          </w:p>
          <w:p w14:paraId="520284E2" w14:textId="77777777" w:rsidR="004771E4" w:rsidRPr="000421F0" w:rsidRDefault="004771E4" w:rsidP="00E105D8">
            <w:pPr>
              <w:spacing w:before="60" w:after="60"/>
              <w:ind w:left="177" w:right="134"/>
              <w:jc w:val="center"/>
              <w:rPr>
                <w:sz w:val="16"/>
                <w:szCs w:val="16"/>
              </w:rPr>
            </w:pPr>
          </w:p>
          <w:p w14:paraId="45B0B681" w14:textId="77777777" w:rsidR="004771E4" w:rsidRPr="000421F0" w:rsidRDefault="004771E4" w:rsidP="00E105D8">
            <w:pPr>
              <w:spacing w:before="60" w:after="60"/>
              <w:ind w:left="177" w:right="134"/>
              <w:jc w:val="center"/>
              <w:rPr>
                <w:sz w:val="16"/>
                <w:szCs w:val="16"/>
              </w:rPr>
            </w:pPr>
            <w:r w:rsidRPr="000421F0">
              <w:rPr>
                <w:sz w:val="16"/>
                <w:szCs w:val="16"/>
              </w:rPr>
              <w:t>1, 3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7565BFD" w14:textId="6E0B41F9"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Robotizace ratingu nebo jeho přenos na PM</w:t>
            </w:r>
            <w:r w:rsidR="0024270A">
              <w:rPr>
                <w:sz w:val="16"/>
                <w:szCs w:val="16"/>
              </w:rPr>
              <w:t>.</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3713CCAE" w14:textId="77777777" w:rsidR="004771E4" w:rsidRPr="000421F0" w:rsidRDefault="004771E4" w:rsidP="00E105D8">
            <w:pPr>
              <w:spacing w:before="60" w:after="60"/>
              <w:rPr>
                <w:sz w:val="16"/>
                <w:szCs w:val="16"/>
              </w:rPr>
            </w:pPr>
            <w:r w:rsidRPr="000421F0">
              <w:rPr>
                <w:sz w:val="16"/>
                <w:szCs w:val="16"/>
              </w:rPr>
              <w:t>Krátkodobý horizont</w:t>
            </w:r>
          </w:p>
        </w:tc>
      </w:tr>
      <w:tr w:rsidR="004771E4" w:rsidRPr="000421F0" w14:paraId="00C2D554"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4FF5447B" w14:textId="77777777" w:rsidR="004771E4" w:rsidRPr="000421F0" w:rsidRDefault="004771E4" w:rsidP="00E105D8">
            <w:pPr>
              <w:spacing w:before="60" w:after="60"/>
              <w:ind w:right="90"/>
              <w:rPr>
                <w:b/>
                <w:sz w:val="16"/>
                <w:szCs w:val="16"/>
              </w:rPr>
            </w:pPr>
            <w:r w:rsidRPr="000421F0">
              <w:rPr>
                <w:b/>
                <w:sz w:val="16"/>
                <w:szCs w:val="16"/>
              </w:rPr>
              <w:t>Pravidla pro výběr dodavatele</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F50F8EE" w14:textId="77777777" w:rsidR="004771E4" w:rsidRPr="000421F0" w:rsidRDefault="004771E4" w:rsidP="00E105D8">
            <w:pPr>
              <w:spacing w:before="60" w:after="60"/>
              <w:rPr>
                <w:sz w:val="16"/>
                <w:szCs w:val="16"/>
              </w:rPr>
            </w:pPr>
            <w:r w:rsidRPr="000421F0">
              <w:rPr>
                <w:b/>
                <w:sz w:val="16"/>
                <w:szCs w:val="16"/>
              </w:rPr>
              <w:t>Neefektivně nastavená pravidla pro výběrová řízení.</w:t>
            </w:r>
            <w:r w:rsidRPr="000421F0">
              <w:rPr>
                <w:sz w:val="16"/>
                <w:szCs w:val="16"/>
              </w:rPr>
              <w:t xml:space="preserve"> Pravidla pro výběr dodavatele neumožňují prakticky jiné kritérium než je cena. Byť teoreticky tato možnost existuje, v praxi dochází ke zpochybňování jakýchkoli kritérií pro jejich potenciální diskriminační charakter. Hlavním kritériem pro výběr se tak stále stává cena.</w:t>
            </w:r>
          </w:p>
          <w:p w14:paraId="306A788F" w14:textId="77777777" w:rsidR="004771E4" w:rsidRPr="000421F0" w:rsidRDefault="004771E4" w:rsidP="00E105D8">
            <w:pPr>
              <w:spacing w:before="60" w:after="60"/>
              <w:rPr>
                <w:sz w:val="16"/>
                <w:szCs w:val="16"/>
              </w:rPr>
            </w:pPr>
            <w:r w:rsidRPr="000421F0">
              <w:rPr>
                <w:sz w:val="16"/>
                <w:szCs w:val="16"/>
              </w:rPr>
              <w:t xml:space="preserve">Současný systém nevede k nejúspornějším řešením. Firmy si dokáží vyjednat lepší podmínky, které jsou při 65 % spolufinancování v jejich vlastním zájmu. Jedná se o postupné uplatnění kombinace obálkové metody, elektronické aukce a last callu. Tato kombinace navazujících kroků vede ke snížení ceny o 15 až 20 %. </w:t>
            </w:r>
          </w:p>
          <w:p w14:paraId="7F9FE554" w14:textId="3E32FDDA" w:rsidR="004771E4" w:rsidRPr="000421F0" w:rsidRDefault="004771E4" w:rsidP="00E105D8">
            <w:pPr>
              <w:spacing w:before="60" w:after="60"/>
              <w:rPr>
                <w:sz w:val="16"/>
                <w:szCs w:val="16"/>
              </w:rPr>
            </w:pPr>
            <w:r w:rsidRPr="000421F0">
              <w:rPr>
                <w:sz w:val="16"/>
                <w:szCs w:val="16"/>
              </w:rPr>
              <w:t xml:space="preserve">Nastavení VŘ zároveň neposkytuje ochranu </w:t>
            </w:r>
            <w:r w:rsidR="008D1FB2">
              <w:rPr>
                <w:sz w:val="16"/>
                <w:szCs w:val="16"/>
              </w:rPr>
              <w:t>z</w:t>
            </w:r>
            <w:r w:rsidRPr="000421F0">
              <w:rPr>
                <w:sz w:val="16"/>
                <w:szCs w:val="16"/>
              </w:rPr>
              <w:t>adavateli a neumožňuje efektivní vypověz</w:t>
            </w:r>
            <w:bookmarkStart w:id="10" w:name="_GoBack"/>
            <w:bookmarkEnd w:id="10"/>
            <w:r w:rsidRPr="000421F0">
              <w:rPr>
                <w:sz w:val="16"/>
                <w:szCs w:val="16"/>
              </w:rPr>
              <w:t xml:space="preserve">ení smlouvy, aniž by hrozilo odejmutí dotace. Zadavatel tak </w:t>
            </w:r>
            <w:r w:rsidR="008D1FB2">
              <w:rPr>
                <w:sz w:val="16"/>
                <w:szCs w:val="16"/>
              </w:rPr>
              <w:t>může být</w:t>
            </w:r>
            <w:r w:rsidR="008D1FB2" w:rsidRPr="000421F0">
              <w:rPr>
                <w:sz w:val="16"/>
                <w:szCs w:val="16"/>
              </w:rPr>
              <w:t xml:space="preserve"> </w:t>
            </w:r>
            <w:r w:rsidRPr="000421F0">
              <w:rPr>
                <w:sz w:val="16"/>
                <w:szCs w:val="16"/>
              </w:rPr>
              <w:t>vydán napospas nepoctivým společnostem.</w:t>
            </w:r>
          </w:p>
          <w:p w14:paraId="342DD07C" w14:textId="0D01ED0A" w:rsidR="004771E4" w:rsidRPr="000421F0" w:rsidRDefault="004771E4" w:rsidP="00E105D8">
            <w:pPr>
              <w:spacing w:before="60" w:after="60"/>
              <w:rPr>
                <w:sz w:val="16"/>
                <w:szCs w:val="16"/>
              </w:rPr>
            </w:pP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5CA40062" w14:textId="77777777" w:rsidR="004771E4" w:rsidRPr="000421F0" w:rsidRDefault="004771E4" w:rsidP="00E105D8">
            <w:pPr>
              <w:spacing w:before="60" w:after="60"/>
              <w:ind w:left="177" w:right="134"/>
              <w:jc w:val="center"/>
              <w:rPr>
                <w:sz w:val="16"/>
                <w:szCs w:val="16"/>
              </w:rPr>
            </w:pPr>
            <w:r w:rsidRPr="000421F0">
              <w:rPr>
                <w:sz w:val="16"/>
                <w:szCs w:val="16"/>
              </w:rPr>
              <w:t>Ano</w:t>
            </w:r>
          </w:p>
          <w:p w14:paraId="1AAF998E" w14:textId="77777777" w:rsidR="004771E4" w:rsidRPr="000421F0" w:rsidRDefault="004771E4" w:rsidP="00E105D8">
            <w:pPr>
              <w:spacing w:before="60" w:after="60"/>
              <w:ind w:left="177" w:right="134"/>
              <w:jc w:val="center"/>
              <w:rPr>
                <w:sz w:val="16"/>
                <w:szCs w:val="16"/>
              </w:rPr>
            </w:pPr>
          </w:p>
          <w:p w14:paraId="5DA289EB" w14:textId="77777777" w:rsidR="004771E4" w:rsidRPr="000421F0" w:rsidRDefault="004771E4" w:rsidP="00E105D8">
            <w:pPr>
              <w:spacing w:before="60" w:after="60"/>
              <w:ind w:left="177" w:right="134"/>
              <w:jc w:val="center"/>
              <w:rPr>
                <w:sz w:val="16"/>
                <w:szCs w:val="16"/>
              </w:rPr>
            </w:pPr>
            <w:r w:rsidRPr="000421F0">
              <w:rPr>
                <w:sz w:val="16"/>
                <w:szCs w:val="16"/>
              </w:rPr>
              <w:t>1</w:t>
            </w:r>
          </w:p>
          <w:p w14:paraId="3F91D217" w14:textId="77777777" w:rsidR="004771E4" w:rsidRPr="000421F0" w:rsidRDefault="004771E4" w:rsidP="00E105D8">
            <w:pPr>
              <w:spacing w:before="60" w:after="60"/>
              <w:ind w:left="177" w:right="134"/>
              <w:jc w:val="center"/>
              <w:rPr>
                <w:sz w:val="16"/>
                <w:szCs w:val="16"/>
              </w:rPr>
            </w:pPr>
          </w:p>
          <w:p w14:paraId="58358E67" w14:textId="77777777" w:rsidR="004771E4" w:rsidRPr="000421F0" w:rsidRDefault="004771E4" w:rsidP="00E105D8">
            <w:pPr>
              <w:spacing w:before="60" w:after="60"/>
              <w:ind w:left="177" w:right="134"/>
              <w:jc w:val="center"/>
              <w:rPr>
                <w:sz w:val="16"/>
                <w:szCs w:val="16"/>
              </w:rPr>
            </w:pP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19A4DB4A" w14:textId="77777777" w:rsidR="004771E4" w:rsidRPr="000421F0" w:rsidRDefault="004771E4" w:rsidP="00E105D8">
            <w:pPr>
              <w:pStyle w:val="ListParagraph"/>
              <w:numPr>
                <w:ilvl w:val="0"/>
                <w:numId w:val="31"/>
              </w:numPr>
              <w:spacing w:before="60" w:after="60"/>
              <w:ind w:left="442" w:right="134"/>
              <w:contextualSpacing w:val="0"/>
              <w:rPr>
                <w:b/>
                <w:bCs/>
                <w:sz w:val="16"/>
                <w:szCs w:val="16"/>
              </w:rPr>
            </w:pPr>
            <w:r w:rsidRPr="1B8B314C">
              <w:rPr>
                <w:b/>
                <w:bCs/>
                <w:sz w:val="16"/>
                <w:szCs w:val="16"/>
              </w:rPr>
              <w:t xml:space="preserve">Navýšení finančních limitů pro povinnost postupovat při výběru dodavatele dle PpVD na 5 mil. Kč a v případě zákona o ZVZ na 2 mil. Kč. </w:t>
            </w:r>
          </w:p>
          <w:p w14:paraId="647D5F80" w14:textId="77777777" w:rsidR="004771E4" w:rsidRPr="000421F0" w:rsidRDefault="004771E4" w:rsidP="00E105D8">
            <w:pPr>
              <w:pStyle w:val="ListParagraph"/>
              <w:numPr>
                <w:ilvl w:val="0"/>
                <w:numId w:val="31"/>
              </w:numPr>
              <w:spacing w:before="60" w:after="60"/>
              <w:ind w:left="442" w:right="134"/>
              <w:contextualSpacing w:val="0"/>
              <w:rPr>
                <w:b/>
                <w:sz w:val="16"/>
                <w:szCs w:val="16"/>
              </w:rPr>
            </w:pPr>
            <w:r w:rsidRPr="000421F0">
              <w:rPr>
                <w:b/>
                <w:sz w:val="16"/>
                <w:szCs w:val="16"/>
              </w:rPr>
              <w:t>Změna Pravidel pro výběr dodavatele:</w:t>
            </w:r>
          </w:p>
          <w:p w14:paraId="38C5A57D" w14:textId="77777777" w:rsidR="004771E4" w:rsidRPr="000421F0" w:rsidRDefault="004771E4" w:rsidP="00E105D8">
            <w:pPr>
              <w:pStyle w:val="ListParagraph"/>
              <w:numPr>
                <w:ilvl w:val="0"/>
                <w:numId w:val="31"/>
              </w:numPr>
              <w:spacing w:before="60" w:after="60"/>
              <w:ind w:left="622" w:right="134"/>
              <w:contextualSpacing w:val="0"/>
              <w:rPr>
                <w:sz w:val="16"/>
                <w:szCs w:val="16"/>
              </w:rPr>
            </w:pPr>
            <w:r w:rsidRPr="000421F0">
              <w:rPr>
                <w:sz w:val="16"/>
                <w:szCs w:val="16"/>
              </w:rPr>
              <w:t>Sjednocení výkladu pravidel pro výběr dodavatele nezpochybňujících kritéria kvality.</w:t>
            </w:r>
          </w:p>
          <w:p w14:paraId="116A8D25" w14:textId="77777777" w:rsidR="004771E4" w:rsidRPr="000421F0" w:rsidRDefault="004771E4" w:rsidP="00E105D8">
            <w:pPr>
              <w:pStyle w:val="ListParagraph"/>
              <w:numPr>
                <w:ilvl w:val="0"/>
                <w:numId w:val="31"/>
              </w:numPr>
              <w:spacing w:before="60" w:after="60"/>
              <w:ind w:left="622" w:right="134"/>
              <w:contextualSpacing w:val="0"/>
              <w:rPr>
                <w:sz w:val="16"/>
                <w:szCs w:val="16"/>
              </w:rPr>
            </w:pPr>
            <w:r w:rsidRPr="000421F0">
              <w:rPr>
                <w:sz w:val="16"/>
                <w:szCs w:val="16"/>
              </w:rPr>
              <w:t xml:space="preserve">Povolení otevřených cenových jednání před vypsáním výběrových řízení, aniž by hrozilo obvinění z kartelových dohod nebo korupční jednání. </w:t>
            </w:r>
          </w:p>
          <w:p w14:paraId="3FB58B06" w14:textId="77777777" w:rsidR="004771E4" w:rsidRPr="000421F0" w:rsidRDefault="004771E4" w:rsidP="00E105D8">
            <w:pPr>
              <w:pStyle w:val="ListParagraph"/>
              <w:numPr>
                <w:ilvl w:val="0"/>
                <w:numId w:val="31"/>
              </w:numPr>
              <w:spacing w:before="60" w:after="60"/>
              <w:ind w:left="622" w:right="134"/>
              <w:contextualSpacing w:val="0"/>
              <w:rPr>
                <w:sz w:val="16"/>
                <w:szCs w:val="16"/>
              </w:rPr>
            </w:pPr>
            <w:r w:rsidRPr="000421F0">
              <w:rPr>
                <w:sz w:val="16"/>
                <w:szCs w:val="16"/>
              </w:rPr>
              <w:t>Umožnění dvoukolových výběrových řízení.</w:t>
            </w:r>
          </w:p>
          <w:p w14:paraId="32A34311" w14:textId="11C94B53" w:rsidR="004771E4" w:rsidRPr="000421F0" w:rsidRDefault="004771E4" w:rsidP="00E105D8">
            <w:pPr>
              <w:pStyle w:val="ListParagraph"/>
              <w:numPr>
                <w:ilvl w:val="0"/>
                <w:numId w:val="31"/>
              </w:numPr>
              <w:spacing w:before="60" w:after="60"/>
              <w:ind w:left="622" w:right="134"/>
              <w:contextualSpacing w:val="0"/>
              <w:rPr>
                <w:sz w:val="16"/>
                <w:szCs w:val="16"/>
              </w:rPr>
            </w:pPr>
            <w:r w:rsidRPr="000421F0">
              <w:rPr>
                <w:sz w:val="16"/>
                <w:szCs w:val="16"/>
              </w:rPr>
              <w:t xml:space="preserve">Umožnění metody last call, která je např. u nákupu strojů vhodnější než elektronická aukce. </w:t>
            </w:r>
          </w:p>
          <w:p w14:paraId="3C50AD81" w14:textId="77777777" w:rsidR="004771E4" w:rsidRPr="000421F0" w:rsidRDefault="004771E4" w:rsidP="00E105D8">
            <w:pPr>
              <w:pStyle w:val="ListParagraph"/>
              <w:numPr>
                <w:ilvl w:val="0"/>
                <w:numId w:val="31"/>
              </w:numPr>
              <w:spacing w:before="60" w:after="60"/>
              <w:ind w:left="622" w:right="134"/>
              <w:contextualSpacing w:val="0"/>
              <w:rPr>
                <w:b/>
                <w:sz w:val="16"/>
                <w:szCs w:val="16"/>
              </w:rPr>
            </w:pPr>
            <w:r w:rsidRPr="000421F0">
              <w:rPr>
                <w:sz w:val="16"/>
                <w:szCs w:val="16"/>
              </w:rPr>
              <w:t>Umožnění zohlednění podmínky účasti ve výběrových řízeních potvrzením o bezdlužnosti (krátkému prodlení) i vůči svým subdodavatelům.</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7E1D0EE4" w14:textId="77777777" w:rsidR="004771E4" w:rsidRPr="000421F0" w:rsidRDefault="004771E4" w:rsidP="00E105D8">
            <w:pPr>
              <w:spacing w:before="60" w:after="60"/>
              <w:rPr>
                <w:sz w:val="16"/>
                <w:szCs w:val="16"/>
              </w:rPr>
            </w:pPr>
            <w:r w:rsidRPr="000421F0">
              <w:rPr>
                <w:sz w:val="16"/>
                <w:szCs w:val="16"/>
              </w:rPr>
              <w:t>Střednědobý horizont</w:t>
            </w:r>
          </w:p>
          <w:p w14:paraId="3BD149A6" w14:textId="77777777" w:rsidR="004771E4" w:rsidRPr="000421F0" w:rsidRDefault="004771E4" w:rsidP="00E105D8">
            <w:pPr>
              <w:spacing w:before="60" w:after="60"/>
              <w:rPr>
                <w:sz w:val="16"/>
                <w:szCs w:val="16"/>
              </w:rPr>
            </w:pPr>
            <w:r w:rsidRPr="000421F0">
              <w:rPr>
                <w:sz w:val="16"/>
                <w:szCs w:val="16"/>
              </w:rPr>
              <w:t>/</w:t>
            </w:r>
          </w:p>
          <w:p w14:paraId="670332DA" w14:textId="77777777" w:rsidR="004771E4" w:rsidRPr="000421F0" w:rsidRDefault="004771E4" w:rsidP="00E105D8">
            <w:pPr>
              <w:spacing w:before="60" w:after="60"/>
              <w:rPr>
                <w:sz w:val="16"/>
                <w:szCs w:val="16"/>
              </w:rPr>
            </w:pPr>
            <w:r w:rsidRPr="000421F0">
              <w:rPr>
                <w:sz w:val="16"/>
                <w:szCs w:val="16"/>
              </w:rPr>
              <w:t>Příští programové období</w:t>
            </w:r>
          </w:p>
        </w:tc>
      </w:tr>
      <w:tr w:rsidR="004771E4" w:rsidRPr="000421F0" w14:paraId="70D7A3E6"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4D7E9BDB" w14:textId="77777777" w:rsidR="004771E4" w:rsidRPr="000421F0" w:rsidRDefault="004771E4" w:rsidP="00E105D8">
            <w:pPr>
              <w:spacing w:before="60" w:after="60"/>
              <w:ind w:right="90"/>
              <w:rPr>
                <w:b/>
                <w:sz w:val="16"/>
                <w:szCs w:val="16"/>
              </w:rPr>
            </w:pPr>
            <w:r w:rsidRPr="000421F0">
              <w:rPr>
                <w:b/>
                <w:sz w:val="16"/>
                <w:szCs w:val="16"/>
              </w:rPr>
              <w:t xml:space="preserve">Změnové </w:t>
            </w:r>
          </w:p>
          <w:p w14:paraId="0D2DFE13" w14:textId="77777777" w:rsidR="004771E4" w:rsidRPr="000421F0" w:rsidRDefault="004771E4" w:rsidP="00E105D8">
            <w:pPr>
              <w:spacing w:before="60" w:after="60"/>
              <w:ind w:right="90"/>
              <w:rPr>
                <w:b/>
                <w:sz w:val="16"/>
                <w:szCs w:val="16"/>
              </w:rPr>
            </w:pPr>
            <w:r w:rsidRPr="000421F0">
              <w:rPr>
                <w:b/>
                <w:sz w:val="16"/>
                <w:szCs w:val="16"/>
              </w:rPr>
              <w:t>řízení</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878D1DB" w14:textId="77777777" w:rsidR="004771E4" w:rsidRPr="000421F0" w:rsidRDefault="004771E4" w:rsidP="00E105D8">
            <w:pPr>
              <w:spacing w:before="60" w:after="60"/>
              <w:rPr>
                <w:sz w:val="16"/>
                <w:szCs w:val="16"/>
              </w:rPr>
            </w:pPr>
            <w:r w:rsidRPr="000421F0">
              <w:rPr>
                <w:sz w:val="16"/>
                <w:szCs w:val="16"/>
              </w:rPr>
              <w:t xml:space="preserve">Změnové řízení před vydáním RoPD probíhá na ZS, ale na schválení změn se podílí i ŘO. </w:t>
            </w:r>
            <w:r w:rsidRPr="000421F0">
              <w:rPr>
                <w:b/>
                <w:sz w:val="16"/>
                <w:szCs w:val="16"/>
              </w:rPr>
              <w:t>Realizace změnového řízení na ZS vede k dalšímu zatížení jeho pracovníků a nedodržování lhůt</w:t>
            </w:r>
            <w:r w:rsidRPr="000421F0">
              <w:rPr>
                <w:sz w:val="16"/>
                <w:szCs w:val="16"/>
              </w:rPr>
              <w:t xml:space="preserve">. K vysokému počtu změnových řízení dochází kvůli délce hodnocení žádostí (v průměru kolem 6 měsíců).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0E1785D2" w14:textId="77777777" w:rsidR="004771E4" w:rsidRPr="000421F0" w:rsidRDefault="004771E4" w:rsidP="00E105D8">
            <w:pPr>
              <w:spacing w:before="60" w:after="60"/>
              <w:ind w:left="177" w:right="134"/>
              <w:jc w:val="center"/>
              <w:rPr>
                <w:sz w:val="16"/>
                <w:szCs w:val="16"/>
              </w:rPr>
            </w:pPr>
            <w:r w:rsidRPr="000421F0">
              <w:rPr>
                <w:sz w:val="16"/>
                <w:szCs w:val="16"/>
              </w:rPr>
              <w:t>Ano</w:t>
            </w:r>
          </w:p>
          <w:p w14:paraId="377572CD" w14:textId="77777777" w:rsidR="004771E4" w:rsidRPr="000421F0" w:rsidRDefault="004771E4" w:rsidP="00E105D8">
            <w:pPr>
              <w:spacing w:before="60" w:after="60"/>
              <w:ind w:left="177" w:right="134"/>
              <w:jc w:val="center"/>
              <w:rPr>
                <w:sz w:val="16"/>
                <w:szCs w:val="16"/>
              </w:rPr>
            </w:pPr>
          </w:p>
          <w:p w14:paraId="2FC1EE14" w14:textId="77777777" w:rsidR="004771E4" w:rsidRPr="000421F0" w:rsidRDefault="004771E4" w:rsidP="00E105D8">
            <w:pPr>
              <w:spacing w:before="60" w:after="60"/>
              <w:ind w:left="177" w:right="134"/>
              <w:jc w:val="center"/>
              <w:rPr>
                <w:sz w:val="16"/>
                <w:szCs w:val="16"/>
              </w:rPr>
            </w:pPr>
            <w:r w:rsidRPr="000421F0">
              <w:rPr>
                <w:sz w:val="16"/>
                <w:szCs w:val="16"/>
              </w:rPr>
              <w:t>1, 3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DD7334F" w14:textId="77777777" w:rsidR="004771E4" w:rsidRPr="000421F0" w:rsidRDefault="004771E4" w:rsidP="00E105D8">
            <w:pPr>
              <w:pStyle w:val="ListParagraph"/>
              <w:numPr>
                <w:ilvl w:val="0"/>
                <w:numId w:val="31"/>
              </w:numPr>
              <w:spacing w:before="60" w:after="60"/>
              <w:ind w:left="442" w:right="134"/>
              <w:contextualSpacing w:val="0"/>
              <w:rPr>
                <w:b/>
                <w:sz w:val="16"/>
                <w:szCs w:val="16"/>
              </w:rPr>
            </w:pPr>
            <w:r w:rsidRPr="000421F0">
              <w:rPr>
                <w:b/>
                <w:sz w:val="16"/>
                <w:szCs w:val="16"/>
              </w:rPr>
              <w:t>Převedení agendy změnových řízení z API na ŘO.</w:t>
            </w:r>
          </w:p>
          <w:p w14:paraId="03D82077"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b/>
                <w:sz w:val="16"/>
                <w:szCs w:val="16"/>
              </w:rPr>
              <w:t xml:space="preserve">Umožnění automatického schvalování/oznamování změn v rozpočtu nepřesahující XY % celkového rozpočtu, jedná-li se o přesun v rámci kapitoly rozpočtu, či pokud se nejedná o změnu investičních nákladů. </w:t>
            </w:r>
            <w:r w:rsidRPr="000421F0">
              <w:rPr>
                <w:sz w:val="16"/>
                <w:szCs w:val="16"/>
              </w:rPr>
              <w:t>(de facto rozšíření spektra informativních změn)</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156222A4" w14:textId="77777777" w:rsidR="004771E4" w:rsidRPr="000421F0" w:rsidRDefault="004771E4" w:rsidP="00E105D8">
            <w:pPr>
              <w:spacing w:before="60" w:after="60"/>
              <w:rPr>
                <w:sz w:val="16"/>
                <w:szCs w:val="16"/>
              </w:rPr>
            </w:pPr>
            <w:r w:rsidRPr="000421F0">
              <w:rPr>
                <w:sz w:val="16"/>
                <w:szCs w:val="16"/>
              </w:rPr>
              <w:t>Krátkodobý horizont</w:t>
            </w:r>
          </w:p>
        </w:tc>
      </w:tr>
      <w:tr w:rsidR="004771E4" w:rsidRPr="000421F0" w14:paraId="7B6E32AF"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1BB7A2D9" w14:textId="77777777" w:rsidR="004771E4" w:rsidRPr="000421F0" w:rsidRDefault="004771E4" w:rsidP="00E105D8">
            <w:pPr>
              <w:spacing w:before="60" w:after="60"/>
              <w:ind w:right="90"/>
              <w:rPr>
                <w:b/>
                <w:sz w:val="16"/>
                <w:szCs w:val="16"/>
              </w:rPr>
            </w:pPr>
            <w:r w:rsidRPr="000421F0">
              <w:rPr>
                <w:b/>
                <w:sz w:val="16"/>
                <w:szCs w:val="16"/>
              </w:rPr>
              <w:lastRenderedPageBreak/>
              <w:t>Věcné hodnocení</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EEF0EB5" w14:textId="019510D9" w:rsidR="004771E4" w:rsidRPr="000421F0" w:rsidRDefault="004771E4" w:rsidP="00E105D8">
            <w:pPr>
              <w:spacing w:before="60" w:after="60"/>
              <w:rPr>
                <w:sz w:val="16"/>
                <w:szCs w:val="16"/>
              </w:rPr>
            </w:pPr>
            <w:r w:rsidRPr="000421F0">
              <w:rPr>
                <w:b/>
                <w:sz w:val="16"/>
                <w:szCs w:val="16"/>
              </w:rPr>
              <w:t>Nejasně a nedostatečně definovaná kritéria výběru</w:t>
            </w:r>
            <w:r w:rsidRPr="000421F0">
              <w:rPr>
                <w:sz w:val="16"/>
                <w:szCs w:val="16"/>
              </w:rPr>
              <w:t xml:space="preserve"> spolu s nedostatečným proškolením hodnotitelů</w:t>
            </w:r>
            <w:r w:rsidR="00643C80">
              <w:rPr>
                <w:sz w:val="16"/>
                <w:szCs w:val="16"/>
              </w:rPr>
              <w:t xml:space="preserve"> a jejich subjektivním</w:t>
            </w:r>
            <w:r w:rsidR="000A0D1F">
              <w:rPr>
                <w:sz w:val="16"/>
                <w:szCs w:val="16"/>
              </w:rPr>
              <w:t>i pohledy</w:t>
            </w:r>
            <w:r w:rsidR="00643C80">
              <w:rPr>
                <w:sz w:val="16"/>
                <w:szCs w:val="16"/>
              </w:rPr>
              <w:t xml:space="preserve"> </w:t>
            </w:r>
            <w:r w:rsidRPr="000421F0">
              <w:rPr>
                <w:sz w:val="16"/>
                <w:szCs w:val="16"/>
              </w:rPr>
              <w:t xml:space="preserve">se promítá do </w:t>
            </w:r>
            <w:r w:rsidRPr="000421F0">
              <w:rPr>
                <w:b/>
                <w:sz w:val="16"/>
                <w:szCs w:val="16"/>
              </w:rPr>
              <w:t>příliš odlišných hodnocení</w:t>
            </w:r>
            <w:r w:rsidRPr="000421F0">
              <w:rPr>
                <w:sz w:val="16"/>
                <w:szCs w:val="16"/>
              </w:rPr>
              <w:t>.</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4143894" w14:textId="77777777" w:rsidR="004771E4" w:rsidRPr="000421F0" w:rsidRDefault="004771E4" w:rsidP="00E105D8">
            <w:pPr>
              <w:spacing w:before="60" w:after="60"/>
              <w:ind w:left="177" w:right="134"/>
              <w:jc w:val="center"/>
              <w:rPr>
                <w:sz w:val="16"/>
                <w:szCs w:val="16"/>
              </w:rPr>
            </w:pPr>
            <w:r w:rsidRPr="000421F0">
              <w:rPr>
                <w:sz w:val="16"/>
                <w:szCs w:val="16"/>
              </w:rPr>
              <w:t>Ano</w:t>
            </w:r>
          </w:p>
          <w:p w14:paraId="76CB654C" w14:textId="77777777" w:rsidR="004771E4" w:rsidRPr="000421F0" w:rsidRDefault="004771E4" w:rsidP="00E105D8">
            <w:pPr>
              <w:spacing w:before="60" w:after="60"/>
              <w:ind w:left="177" w:right="134"/>
              <w:jc w:val="center"/>
              <w:rPr>
                <w:sz w:val="16"/>
                <w:szCs w:val="16"/>
              </w:rPr>
            </w:pPr>
          </w:p>
          <w:p w14:paraId="73FA0526" w14:textId="77777777" w:rsidR="004771E4" w:rsidRPr="000421F0" w:rsidRDefault="004771E4" w:rsidP="00E105D8">
            <w:pPr>
              <w:spacing w:before="60" w:after="60"/>
              <w:ind w:left="177" w:right="134"/>
              <w:jc w:val="center"/>
              <w:rPr>
                <w:sz w:val="16"/>
                <w:szCs w:val="16"/>
              </w:rPr>
            </w:pPr>
            <w:r w:rsidRPr="000421F0">
              <w:rPr>
                <w:sz w:val="16"/>
                <w:szCs w:val="16"/>
              </w:rPr>
              <w:t>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9A47C69"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Realizace pravidelných školení hodnotitelů.</w:t>
            </w:r>
          </w:p>
          <w:p w14:paraId="1645C0DB" w14:textId="19D7DBFA"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Sjednocení pravidel výkladu kritérií hodnocení</w:t>
            </w:r>
            <w:r w:rsidR="00BF4D3C">
              <w:rPr>
                <w:sz w:val="16"/>
                <w:szCs w:val="16"/>
              </w:rPr>
              <w:t xml:space="preserve"> na úrovni výzev a programů podpory</w:t>
            </w:r>
            <w:r w:rsidRPr="000421F0">
              <w:rPr>
                <w:sz w:val="16"/>
                <w:szCs w:val="16"/>
              </w:rPr>
              <w:t>.</w:t>
            </w:r>
            <w:r w:rsidR="00BF4D3C">
              <w:rPr>
                <w:rStyle w:val="FootnoteReference"/>
                <w:sz w:val="16"/>
                <w:szCs w:val="16"/>
              </w:rPr>
              <w:footnoteReference w:id="9"/>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0D045CF1" w14:textId="77777777" w:rsidR="004771E4" w:rsidRPr="000421F0" w:rsidRDefault="004771E4" w:rsidP="00E105D8">
            <w:pPr>
              <w:spacing w:before="60" w:after="60"/>
              <w:rPr>
                <w:sz w:val="16"/>
                <w:szCs w:val="16"/>
              </w:rPr>
            </w:pPr>
            <w:r w:rsidRPr="000421F0">
              <w:rPr>
                <w:sz w:val="16"/>
                <w:szCs w:val="16"/>
              </w:rPr>
              <w:t>Střednědobý horizont</w:t>
            </w:r>
          </w:p>
        </w:tc>
      </w:tr>
      <w:tr w:rsidR="000B2F58" w:rsidRPr="000421F0" w14:paraId="3AA0189D"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4D9B5910" w14:textId="77777777" w:rsidR="000B2F58" w:rsidRPr="000421F0" w:rsidRDefault="000B2F58" w:rsidP="00E105D8">
            <w:pPr>
              <w:spacing w:before="60" w:after="60"/>
              <w:ind w:right="90"/>
              <w:rPr>
                <w:b/>
                <w:sz w:val="16"/>
                <w:szCs w:val="16"/>
              </w:rPr>
            </w:pPr>
            <w:r w:rsidRPr="000421F0">
              <w:rPr>
                <w:b/>
                <w:sz w:val="16"/>
                <w:szCs w:val="16"/>
              </w:rPr>
              <w:t>Kontrola formálních náležitostí</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BB48D75" w14:textId="0AB257D4" w:rsidR="000B2F58" w:rsidRPr="000421F0" w:rsidRDefault="000B2F58" w:rsidP="00E105D8">
            <w:pPr>
              <w:spacing w:before="60" w:after="60"/>
              <w:rPr>
                <w:sz w:val="16"/>
                <w:szCs w:val="16"/>
              </w:rPr>
            </w:pPr>
            <w:r w:rsidRPr="000421F0">
              <w:rPr>
                <w:b/>
                <w:sz w:val="16"/>
                <w:szCs w:val="16"/>
              </w:rPr>
              <w:t>Metodika ani MS2014+ neumožňuje úpravy zjevně opravitelných chyb v žádostech v ISKP14+</w:t>
            </w:r>
            <w:r w:rsidRPr="000421F0">
              <w:rPr>
                <w:sz w:val="16"/>
                <w:szCs w:val="16"/>
              </w:rPr>
              <w:t>. Projektoví manažeři ZS musí zdlouhavě komunikovat se žadateli, často i neformálně, kvůli opravě překlepů.</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6A81EFF" w14:textId="77777777" w:rsidR="000B2F58" w:rsidRPr="000421F0" w:rsidRDefault="000B2F58" w:rsidP="00E105D8">
            <w:pPr>
              <w:spacing w:before="60" w:after="60"/>
              <w:ind w:left="177" w:right="134"/>
              <w:jc w:val="center"/>
              <w:rPr>
                <w:sz w:val="16"/>
                <w:szCs w:val="16"/>
              </w:rPr>
            </w:pPr>
            <w:r w:rsidRPr="000421F0">
              <w:rPr>
                <w:sz w:val="16"/>
                <w:szCs w:val="16"/>
              </w:rPr>
              <w:t>Ano</w:t>
            </w:r>
          </w:p>
          <w:p w14:paraId="6AB9E850" w14:textId="77777777" w:rsidR="000B2F58" w:rsidRPr="000421F0" w:rsidRDefault="000B2F58" w:rsidP="00E105D8">
            <w:pPr>
              <w:spacing w:before="60" w:after="60"/>
              <w:ind w:left="177" w:right="134"/>
              <w:jc w:val="center"/>
              <w:rPr>
                <w:sz w:val="16"/>
                <w:szCs w:val="16"/>
              </w:rPr>
            </w:pPr>
          </w:p>
          <w:p w14:paraId="38A3A8C2" w14:textId="76E01849" w:rsidR="000B2F58" w:rsidRPr="000421F0" w:rsidRDefault="000B2F58" w:rsidP="00E105D8">
            <w:pPr>
              <w:spacing w:before="60" w:after="60"/>
              <w:ind w:left="177" w:right="134"/>
              <w:jc w:val="center"/>
              <w:rPr>
                <w:sz w:val="16"/>
                <w:szCs w:val="16"/>
              </w:rPr>
            </w:pPr>
            <w:r w:rsidRPr="000421F0">
              <w:rPr>
                <w:sz w:val="16"/>
                <w:szCs w:val="16"/>
              </w:rPr>
              <w:t>2</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798DD97D" w14:textId="2CC459F5" w:rsidR="000B2F58" w:rsidRPr="000421F0" w:rsidRDefault="000B2F58" w:rsidP="00E105D8">
            <w:pPr>
              <w:pStyle w:val="ListParagraph"/>
              <w:numPr>
                <w:ilvl w:val="0"/>
                <w:numId w:val="31"/>
              </w:numPr>
              <w:spacing w:before="60" w:after="60"/>
              <w:ind w:left="442" w:right="134"/>
              <w:contextualSpacing w:val="0"/>
              <w:rPr>
                <w:sz w:val="16"/>
                <w:szCs w:val="16"/>
              </w:rPr>
            </w:pPr>
            <w:r w:rsidRPr="000421F0">
              <w:rPr>
                <w:sz w:val="16"/>
                <w:szCs w:val="16"/>
              </w:rPr>
              <w:t>Umožnění provádění zjevně napravitelných chyb (např. překlepů, prohozených obsahů) PM API.</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51DD8765" w14:textId="03BBD9C9" w:rsidR="000B2F58" w:rsidRPr="000421F0" w:rsidRDefault="000B2F58" w:rsidP="00E105D8">
            <w:pPr>
              <w:spacing w:before="60" w:after="60"/>
              <w:rPr>
                <w:sz w:val="16"/>
                <w:szCs w:val="16"/>
              </w:rPr>
            </w:pPr>
            <w:r w:rsidRPr="000421F0">
              <w:rPr>
                <w:sz w:val="16"/>
                <w:szCs w:val="16"/>
              </w:rPr>
              <w:t>Krátkodobý horizont</w:t>
            </w:r>
          </w:p>
        </w:tc>
      </w:tr>
      <w:tr w:rsidR="004771E4" w:rsidRPr="000421F0" w14:paraId="56D15F13" w14:textId="77777777" w:rsidTr="004B3AE9">
        <w:tc>
          <w:tcPr>
            <w:tcW w:w="667" w:type="pct"/>
            <w:vMerge w:val="restar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4429A008" w14:textId="77777777" w:rsidR="004771E4" w:rsidRPr="000421F0" w:rsidRDefault="004771E4" w:rsidP="00E105D8">
            <w:pPr>
              <w:spacing w:before="60" w:after="60"/>
              <w:ind w:right="90"/>
              <w:rPr>
                <w:b/>
                <w:sz w:val="16"/>
                <w:szCs w:val="16"/>
              </w:rPr>
            </w:pPr>
            <w:r w:rsidRPr="000421F0">
              <w:rPr>
                <w:b/>
                <w:sz w:val="16"/>
                <w:szCs w:val="16"/>
              </w:rPr>
              <w:t>Kontrola statusu MSP</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0BED1EBD" w14:textId="77777777" w:rsidR="004771E4" w:rsidRPr="000421F0" w:rsidRDefault="004771E4" w:rsidP="00E105D8">
            <w:pPr>
              <w:spacing w:before="60" w:after="60"/>
              <w:rPr>
                <w:sz w:val="16"/>
                <w:szCs w:val="16"/>
              </w:rPr>
            </w:pPr>
            <w:r w:rsidRPr="000421F0">
              <w:rPr>
                <w:sz w:val="16"/>
                <w:szCs w:val="16"/>
              </w:rPr>
              <w:t xml:space="preserve">Kontrola statusu MSP je </w:t>
            </w:r>
            <w:r w:rsidRPr="000421F0">
              <w:rPr>
                <w:b/>
                <w:sz w:val="16"/>
                <w:szCs w:val="16"/>
              </w:rPr>
              <w:t>časově i kapacitně náročná</w:t>
            </w:r>
            <w:r w:rsidRPr="000421F0">
              <w:rPr>
                <w:sz w:val="16"/>
                <w:szCs w:val="16"/>
              </w:rPr>
              <w:t xml:space="preserve">, vede k nedodržování lhůt, rozdílným pojetím u různě seniorních projektových manažerů ZS. </w:t>
            </w:r>
          </w:p>
          <w:p w14:paraId="22C0E53F" w14:textId="77777777" w:rsidR="004771E4" w:rsidRPr="000421F0" w:rsidRDefault="004771E4" w:rsidP="00E105D8">
            <w:pPr>
              <w:spacing w:before="60" w:after="60"/>
              <w:rPr>
                <w:sz w:val="16"/>
                <w:szCs w:val="16"/>
              </w:rPr>
            </w:pPr>
          </w:p>
          <w:p w14:paraId="5D275849" w14:textId="77777777" w:rsidR="004771E4" w:rsidRPr="000421F0" w:rsidRDefault="004771E4" w:rsidP="00E105D8">
            <w:pPr>
              <w:spacing w:before="60" w:after="60"/>
              <w:rPr>
                <w:sz w:val="16"/>
                <w:szCs w:val="16"/>
              </w:rPr>
            </w:pPr>
            <w:r w:rsidRPr="000421F0">
              <w:rPr>
                <w:sz w:val="16"/>
                <w:szCs w:val="16"/>
              </w:rPr>
              <w:t>Kontrola statusu MSP zatěžuje žadatele dokládáním dokumentů, které je pro žadatele obtížné doložit nebo nejsou relevantní pro žádost. (Např. daňové přiznání (bývalé/ho) manželky/a; doklady o počtu zaměstnanců z minulých let, doklady od mateřských partnerských společností, bývalých vlastníků apod.)</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4972BD6A" w14:textId="77777777" w:rsidR="004771E4" w:rsidRPr="000421F0" w:rsidRDefault="004771E4" w:rsidP="00E105D8">
            <w:pPr>
              <w:spacing w:before="60" w:after="60"/>
              <w:ind w:right="134"/>
              <w:jc w:val="center"/>
              <w:rPr>
                <w:sz w:val="16"/>
                <w:szCs w:val="16"/>
              </w:rPr>
            </w:pPr>
            <w:r w:rsidRPr="000421F0">
              <w:rPr>
                <w:sz w:val="16"/>
                <w:szCs w:val="16"/>
              </w:rPr>
              <w:t>Ano</w:t>
            </w:r>
          </w:p>
          <w:p w14:paraId="51D95DA1" w14:textId="77777777" w:rsidR="004771E4" w:rsidRPr="000421F0" w:rsidRDefault="004771E4" w:rsidP="00E105D8">
            <w:pPr>
              <w:spacing w:before="60" w:after="60"/>
              <w:ind w:right="134"/>
              <w:jc w:val="center"/>
              <w:rPr>
                <w:sz w:val="16"/>
                <w:szCs w:val="16"/>
              </w:rPr>
            </w:pPr>
          </w:p>
          <w:p w14:paraId="1AE9C654"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1462"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156A3A04" w14:textId="77777777" w:rsidR="004771E4" w:rsidRPr="000421F0" w:rsidRDefault="004771E4" w:rsidP="00E105D8">
            <w:pPr>
              <w:pStyle w:val="ListParagraph"/>
              <w:numPr>
                <w:ilvl w:val="0"/>
                <w:numId w:val="31"/>
              </w:numPr>
              <w:spacing w:before="60" w:after="60"/>
              <w:ind w:left="442" w:right="134"/>
              <w:contextualSpacing w:val="0"/>
              <w:rPr>
                <w:b/>
                <w:sz w:val="16"/>
                <w:szCs w:val="16"/>
              </w:rPr>
            </w:pPr>
            <w:r w:rsidRPr="000421F0">
              <w:rPr>
                <w:b/>
                <w:sz w:val="16"/>
                <w:szCs w:val="16"/>
              </w:rPr>
              <w:t xml:space="preserve">Outsourcing posuzování statusu MSP na externí dodavatele. </w:t>
            </w:r>
          </w:p>
          <w:p w14:paraId="27407975" w14:textId="77777777" w:rsidR="004771E4" w:rsidRPr="000421F0" w:rsidRDefault="004771E4" w:rsidP="00E105D8">
            <w:pPr>
              <w:pStyle w:val="ListParagraph"/>
              <w:numPr>
                <w:ilvl w:val="0"/>
                <w:numId w:val="31"/>
              </w:numPr>
              <w:spacing w:before="60" w:after="60"/>
              <w:ind w:left="442" w:right="134"/>
              <w:contextualSpacing w:val="0"/>
              <w:rPr>
                <w:b/>
                <w:sz w:val="16"/>
                <w:szCs w:val="16"/>
              </w:rPr>
            </w:pPr>
            <w:r w:rsidRPr="000421F0">
              <w:rPr>
                <w:b/>
                <w:sz w:val="16"/>
                <w:szCs w:val="16"/>
              </w:rPr>
              <w:t>Vytvoření samostatného oddělení API/ŘO k určování statusu MSP.</w:t>
            </w:r>
          </w:p>
          <w:p w14:paraId="6F803459"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b/>
                <w:sz w:val="16"/>
                <w:szCs w:val="16"/>
              </w:rPr>
              <w:t>Vytvoření sdílené meziresortní databáze statusu MSP.</w:t>
            </w:r>
          </w:p>
          <w:p w14:paraId="2465390A"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b/>
                <w:sz w:val="16"/>
                <w:szCs w:val="16"/>
              </w:rPr>
              <w:t>Aplikace modelu kontroly statusu MSP jaký využívá ČMZRB.</w:t>
            </w:r>
          </w:p>
          <w:p w14:paraId="5A49EE1A"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b/>
                <w:sz w:val="16"/>
                <w:szCs w:val="16"/>
              </w:rPr>
              <w:t>Přenos nebo sdílení agendy s ŘO.</w:t>
            </w:r>
          </w:p>
        </w:tc>
        <w:tc>
          <w:tcPr>
            <w:tcW w:w="555"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6140417F" w14:textId="77777777" w:rsidR="004771E4" w:rsidRPr="000421F0" w:rsidRDefault="004771E4" w:rsidP="00E105D8">
            <w:pPr>
              <w:spacing w:before="60" w:after="60"/>
              <w:rPr>
                <w:sz w:val="16"/>
                <w:szCs w:val="16"/>
              </w:rPr>
            </w:pPr>
            <w:r w:rsidRPr="000421F0">
              <w:rPr>
                <w:sz w:val="16"/>
                <w:szCs w:val="16"/>
              </w:rPr>
              <w:t>Krátkodobý horizont</w:t>
            </w:r>
          </w:p>
          <w:p w14:paraId="791D8E1C" w14:textId="77777777" w:rsidR="004771E4" w:rsidRPr="000421F0" w:rsidRDefault="004771E4" w:rsidP="00E105D8">
            <w:pPr>
              <w:spacing w:before="60" w:after="60"/>
              <w:rPr>
                <w:sz w:val="16"/>
                <w:szCs w:val="16"/>
              </w:rPr>
            </w:pPr>
          </w:p>
          <w:p w14:paraId="7DE1B45D" w14:textId="77777777" w:rsidR="004771E4" w:rsidRPr="000421F0" w:rsidRDefault="004771E4" w:rsidP="00E105D8">
            <w:pPr>
              <w:spacing w:before="60" w:after="60"/>
              <w:rPr>
                <w:sz w:val="16"/>
                <w:szCs w:val="16"/>
              </w:rPr>
            </w:pPr>
            <w:r w:rsidRPr="000421F0">
              <w:rPr>
                <w:sz w:val="16"/>
                <w:szCs w:val="16"/>
              </w:rPr>
              <w:t>Střednědobý horizont</w:t>
            </w:r>
          </w:p>
        </w:tc>
      </w:tr>
      <w:tr w:rsidR="004771E4" w:rsidRPr="000421F0" w14:paraId="5D47958A" w14:textId="77777777" w:rsidTr="004B3AE9">
        <w:tc>
          <w:tcPr>
            <w:tcW w:w="0" w:type="auto"/>
            <w:vMerge/>
            <w:vAlign w:val="center"/>
            <w:hideMark/>
          </w:tcPr>
          <w:p w14:paraId="39394F84"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6AC5F35" w14:textId="77777777" w:rsidR="004771E4" w:rsidRPr="000421F0" w:rsidRDefault="004771E4" w:rsidP="00E105D8">
            <w:pPr>
              <w:spacing w:before="60" w:after="60"/>
              <w:rPr>
                <w:sz w:val="16"/>
                <w:szCs w:val="16"/>
              </w:rPr>
            </w:pPr>
            <w:r w:rsidRPr="000421F0">
              <w:rPr>
                <w:sz w:val="16"/>
                <w:szCs w:val="16"/>
              </w:rPr>
              <w:t xml:space="preserve">I přes existenci sdílené databáze na provedené kontroly statusu MSP </w:t>
            </w:r>
            <w:r w:rsidRPr="000421F0">
              <w:rPr>
                <w:b/>
                <w:sz w:val="16"/>
                <w:szCs w:val="16"/>
              </w:rPr>
              <w:t>neexistuje zjednodušující návod</w:t>
            </w:r>
            <w:r w:rsidRPr="000421F0">
              <w:rPr>
                <w:sz w:val="16"/>
                <w:szCs w:val="16"/>
              </w:rPr>
              <w:t>, jak přistupovat ke kontrole MSP u subjektu ve stejném účetním období (např. dokládání podkladů v jednom účetním období).</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DCD4F70" w14:textId="77777777" w:rsidR="004771E4" w:rsidRPr="000421F0" w:rsidRDefault="004771E4" w:rsidP="00E105D8">
            <w:pPr>
              <w:spacing w:before="60" w:after="60"/>
              <w:ind w:left="177" w:right="134"/>
              <w:jc w:val="center"/>
              <w:rPr>
                <w:sz w:val="16"/>
                <w:szCs w:val="16"/>
              </w:rPr>
            </w:pPr>
            <w:r w:rsidRPr="000421F0">
              <w:rPr>
                <w:sz w:val="16"/>
                <w:szCs w:val="16"/>
              </w:rPr>
              <w:t>Ano</w:t>
            </w:r>
          </w:p>
          <w:p w14:paraId="486D7E10" w14:textId="77777777" w:rsidR="004771E4" w:rsidRPr="000421F0" w:rsidRDefault="004771E4" w:rsidP="00E105D8">
            <w:pPr>
              <w:spacing w:before="60" w:after="60"/>
              <w:ind w:left="177" w:right="134"/>
              <w:jc w:val="center"/>
              <w:rPr>
                <w:sz w:val="16"/>
                <w:szCs w:val="16"/>
              </w:rPr>
            </w:pPr>
          </w:p>
          <w:p w14:paraId="2B8A07C0"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0" w:type="auto"/>
            <w:vMerge/>
            <w:vAlign w:val="center"/>
            <w:hideMark/>
          </w:tcPr>
          <w:p w14:paraId="695825B7" w14:textId="77777777" w:rsidR="004771E4" w:rsidRPr="000421F0" w:rsidRDefault="004771E4" w:rsidP="00E105D8">
            <w:pPr>
              <w:spacing w:before="60" w:after="60"/>
              <w:rPr>
                <w:sz w:val="16"/>
                <w:szCs w:val="16"/>
              </w:rPr>
            </w:pPr>
          </w:p>
        </w:tc>
        <w:tc>
          <w:tcPr>
            <w:tcW w:w="0" w:type="auto"/>
            <w:vMerge/>
            <w:vAlign w:val="center"/>
            <w:hideMark/>
          </w:tcPr>
          <w:p w14:paraId="75ABDCEE" w14:textId="77777777" w:rsidR="004771E4" w:rsidRPr="000421F0" w:rsidRDefault="004771E4" w:rsidP="00E105D8">
            <w:pPr>
              <w:spacing w:before="60" w:after="60"/>
              <w:rPr>
                <w:sz w:val="16"/>
                <w:szCs w:val="16"/>
              </w:rPr>
            </w:pPr>
          </w:p>
        </w:tc>
      </w:tr>
      <w:tr w:rsidR="004771E4" w:rsidRPr="000421F0" w14:paraId="08D87E73" w14:textId="77777777" w:rsidTr="004B3AE9">
        <w:trPr>
          <w:trHeight w:val="963"/>
        </w:trPr>
        <w:tc>
          <w:tcPr>
            <w:tcW w:w="0" w:type="auto"/>
            <w:vMerge/>
            <w:vAlign w:val="center"/>
            <w:hideMark/>
          </w:tcPr>
          <w:p w14:paraId="1E40AB5F"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1FB25FE" w14:textId="77777777" w:rsidR="004771E4" w:rsidRPr="000421F0" w:rsidRDefault="004771E4" w:rsidP="00E105D8">
            <w:pPr>
              <w:spacing w:before="60" w:after="60"/>
              <w:rPr>
                <w:sz w:val="16"/>
                <w:szCs w:val="16"/>
              </w:rPr>
            </w:pPr>
            <w:r w:rsidRPr="000421F0">
              <w:rPr>
                <w:b/>
                <w:sz w:val="16"/>
                <w:szCs w:val="16"/>
              </w:rPr>
              <w:t>Zastaralost a částečná irelevantnost</w:t>
            </w:r>
            <w:r w:rsidRPr="000421F0">
              <w:rPr>
                <w:sz w:val="16"/>
                <w:szCs w:val="16"/>
              </w:rPr>
              <w:t xml:space="preserve"> (především ve vztahu k určování střetu zájmu) nástroje </w:t>
            </w:r>
            <w:r w:rsidRPr="000421F0">
              <w:rPr>
                <w:b/>
                <w:sz w:val="16"/>
                <w:szCs w:val="16"/>
              </w:rPr>
              <w:t>Arachne</w:t>
            </w:r>
            <w:r w:rsidRPr="000421F0">
              <w:rPr>
                <w:sz w:val="16"/>
                <w:szCs w:val="16"/>
              </w:rPr>
              <w:t xml:space="preserve"> pro určování statusu MSP.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0AED49E2" w14:textId="77777777" w:rsidR="004771E4" w:rsidRPr="000421F0" w:rsidRDefault="004771E4" w:rsidP="00E105D8">
            <w:pPr>
              <w:spacing w:before="60" w:after="60"/>
              <w:ind w:left="177" w:right="134"/>
              <w:jc w:val="center"/>
              <w:rPr>
                <w:sz w:val="16"/>
                <w:szCs w:val="16"/>
              </w:rPr>
            </w:pPr>
          </w:p>
          <w:p w14:paraId="4C3816F4" w14:textId="77777777" w:rsidR="004771E4" w:rsidRPr="000421F0" w:rsidRDefault="004771E4" w:rsidP="00E105D8">
            <w:pPr>
              <w:spacing w:before="60" w:after="60"/>
              <w:jc w:val="center"/>
              <w:rPr>
                <w:sz w:val="16"/>
                <w:szCs w:val="16"/>
              </w:rPr>
            </w:pPr>
            <w:r w:rsidRPr="000421F0">
              <w:rPr>
                <w:sz w:val="16"/>
                <w:szCs w:val="16"/>
              </w:rPr>
              <w:t>Ano</w:t>
            </w:r>
          </w:p>
          <w:p w14:paraId="1ED55CCB"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0" w:type="auto"/>
            <w:vMerge/>
            <w:vAlign w:val="center"/>
            <w:hideMark/>
          </w:tcPr>
          <w:p w14:paraId="7A559C87" w14:textId="77777777" w:rsidR="004771E4" w:rsidRPr="000421F0" w:rsidRDefault="004771E4" w:rsidP="00E105D8">
            <w:pPr>
              <w:spacing w:before="60" w:after="60"/>
              <w:rPr>
                <w:sz w:val="16"/>
                <w:szCs w:val="16"/>
              </w:rPr>
            </w:pPr>
          </w:p>
        </w:tc>
        <w:tc>
          <w:tcPr>
            <w:tcW w:w="0" w:type="auto"/>
            <w:vMerge/>
            <w:vAlign w:val="center"/>
            <w:hideMark/>
          </w:tcPr>
          <w:p w14:paraId="4162DD81" w14:textId="77777777" w:rsidR="004771E4" w:rsidRPr="000421F0" w:rsidRDefault="004771E4" w:rsidP="00E105D8">
            <w:pPr>
              <w:spacing w:before="60" w:after="60"/>
              <w:rPr>
                <w:sz w:val="16"/>
                <w:szCs w:val="16"/>
              </w:rPr>
            </w:pPr>
          </w:p>
        </w:tc>
      </w:tr>
      <w:tr w:rsidR="004771E4" w:rsidRPr="000421F0" w14:paraId="0E8D049B"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7477BA6C" w14:textId="77777777" w:rsidR="004771E4" w:rsidRPr="000421F0" w:rsidRDefault="004771E4" w:rsidP="00E105D8">
            <w:pPr>
              <w:spacing w:before="60" w:after="60"/>
              <w:ind w:right="90"/>
              <w:rPr>
                <w:b/>
                <w:sz w:val="16"/>
                <w:szCs w:val="16"/>
              </w:rPr>
            </w:pPr>
            <w:r w:rsidRPr="000421F0">
              <w:rPr>
                <w:b/>
                <w:sz w:val="16"/>
                <w:szCs w:val="16"/>
              </w:rPr>
              <w:t>Ekonomické hodnocení</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037A75D" w14:textId="77777777" w:rsidR="004771E4" w:rsidRPr="000421F0" w:rsidRDefault="004771E4" w:rsidP="00E105D8">
            <w:pPr>
              <w:spacing w:before="60" w:after="60"/>
              <w:rPr>
                <w:sz w:val="16"/>
                <w:szCs w:val="16"/>
              </w:rPr>
            </w:pPr>
            <w:r w:rsidRPr="000421F0">
              <w:rPr>
                <w:b/>
                <w:sz w:val="16"/>
                <w:szCs w:val="16"/>
              </w:rPr>
              <w:t>Cost benefit analýza je nadbytečným procesem s minimální přidanou hodnotou pro další hodnocení a podporu projektů</w:t>
            </w:r>
            <w:r w:rsidRPr="000421F0">
              <w:rPr>
                <w:sz w:val="16"/>
                <w:szCs w:val="16"/>
              </w:rPr>
              <w:t>. Žadatelé zadávají do ISKP14+ údaje tak, aby jim finanční realizovatelnost projektu vyšla v souladu s podmínkami, přičemž správnost těchto údajů nelze ověřit. Hodnocení se neprojevuje na věcném hodnocení ani u Výběrové komise a nebyla ani prokázána souvislost mezi hodnocením ratingu a úspěšností realizovaných projektů.</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21C6470" w14:textId="77777777" w:rsidR="004771E4" w:rsidRPr="003F2002" w:rsidRDefault="004771E4" w:rsidP="00E105D8">
            <w:pPr>
              <w:spacing w:before="60" w:after="60"/>
              <w:ind w:left="177" w:right="134"/>
              <w:jc w:val="center"/>
              <w:rPr>
                <w:sz w:val="16"/>
                <w:szCs w:val="16"/>
              </w:rPr>
            </w:pPr>
            <w:r w:rsidRPr="003F2002">
              <w:rPr>
                <w:sz w:val="16"/>
                <w:szCs w:val="16"/>
              </w:rPr>
              <w:t>Ano</w:t>
            </w:r>
          </w:p>
          <w:p w14:paraId="76460BBA" w14:textId="77777777" w:rsidR="004771E4" w:rsidRPr="003F2002" w:rsidRDefault="004771E4" w:rsidP="00E105D8">
            <w:pPr>
              <w:spacing w:before="60" w:after="60"/>
              <w:ind w:left="177" w:right="134"/>
              <w:jc w:val="center"/>
              <w:rPr>
                <w:sz w:val="16"/>
                <w:szCs w:val="16"/>
              </w:rPr>
            </w:pPr>
          </w:p>
          <w:p w14:paraId="783CE61D" w14:textId="77777777" w:rsidR="004771E4" w:rsidRPr="003F2002" w:rsidRDefault="004771E4" w:rsidP="00E105D8">
            <w:pPr>
              <w:spacing w:before="60" w:after="60"/>
              <w:ind w:left="177" w:right="134"/>
              <w:jc w:val="center"/>
              <w:rPr>
                <w:sz w:val="16"/>
                <w:szCs w:val="16"/>
              </w:rPr>
            </w:pPr>
            <w:r w:rsidRPr="003F2002">
              <w:rPr>
                <w:sz w:val="16"/>
                <w:szCs w:val="16"/>
              </w:rPr>
              <w:t>1, 3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354D700" w14:textId="021DB2EE"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Zrušení CBA</w:t>
            </w:r>
            <w:r w:rsidR="000421F0" w:rsidRPr="000421F0">
              <w:rPr>
                <w:sz w:val="16"/>
                <w:szCs w:val="16"/>
              </w:rPr>
              <w:t xml:space="preserve"> u projektů s CZV do 1 mil. EUR</w:t>
            </w:r>
            <w:r w:rsidRPr="000421F0">
              <w:rPr>
                <w:sz w:val="16"/>
                <w:szCs w:val="16"/>
              </w:rPr>
              <w:t>.</w:t>
            </w:r>
          </w:p>
          <w:p w14:paraId="78C90D90" w14:textId="01C755E3" w:rsidR="004771E4" w:rsidRPr="000421F0" w:rsidRDefault="004771E4" w:rsidP="00E105D8">
            <w:pPr>
              <w:spacing w:before="60" w:after="60"/>
              <w:ind w:left="82" w:right="134"/>
              <w:rPr>
                <w:sz w:val="16"/>
                <w:szCs w:val="16"/>
              </w:rPr>
            </w:pP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541A4319" w14:textId="77777777" w:rsidR="004771E4" w:rsidRPr="000421F0" w:rsidRDefault="004771E4" w:rsidP="00E105D8">
            <w:pPr>
              <w:spacing w:before="60" w:after="60"/>
              <w:rPr>
                <w:sz w:val="16"/>
                <w:szCs w:val="16"/>
              </w:rPr>
            </w:pPr>
            <w:r w:rsidRPr="000421F0">
              <w:rPr>
                <w:sz w:val="16"/>
                <w:szCs w:val="16"/>
              </w:rPr>
              <w:t>Krátkodobý horizont</w:t>
            </w:r>
          </w:p>
        </w:tc>
      </w:tr>
      <w:tr w:rsidR="004771E4" w:rsidRPr="000421F0" w14:paraId="1CDD5BD5"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52F65EB6" w14:textId="77777777" w:rsidR="004771E4" w:rsidRPr="000421F0" w:rsidRDefault="004771E4" w:rsidP="00E105D8">
            <w:pPr>
              <w:spacing w:before="60" w:after="60"/>
              <w:ind w:right="90"/>
              <w:rPr>
                <w:b/>
                <w:sz w:val="16"/>
                <w:szCs w:val="16"/>
              </w:rPr>
            </w:pPr>
            <w:r w:rsidRPr="000421F0">
              <w:rPr>
                <w:b/>
                <w:sz w:val="16"/>
                <w:szCs w:val="16"/>
              </w:rPr>
              <w:lastRenderedPageBreak/>
              <w:t>Kontrola Zpráv o realizaci</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09C52FE" w14:textId="15B7D4EC" w:rsidR="004771E4" w:rsidRPr="000421F0" w:rsidRDefault="004771E4" w:rsidP="00E105D8">
            <w:pPr>
              <w:spacing w:before="60" w:after="60"/>
              <w:rPr>
                <w:sz w:val="16"/>
                <w:szCs w:val="16"/>
              </w:rPr>
            </w:pPr>
            <w:r w:rsidRPr="000421F0">
              <w:rPr>
                <w:sz w:val="16"/>
                <w:szCs w:val="16"/>
              </w:rPr>
              <w:t xml:space="preserve">Samostatné </w:t>
            </w:r>
            <w:r w:rsidRPr="000421F0">
              <w:rPr>
                <w:b/>
                <w:sz w:val="16"/>
                <w:szCs w:val="16"/>
              </w:rPr>
              <w:t>Zprávy o realizaci nemají přidanou hodnotu a představují zbytnou administrativní zátěž</w:t>
            </w:r>
            <w:r w:rsidRPr="000421F0">
              <w:rPr>
                <w:sz w:val="16"/>
                <w:szCs w:val="16"/>
              </w:rPr>
              <w:t xml:space="preserve"> pro příjemce i implementační strukturu. Všechny potřebné informace jsou obsaženy již v </w:t>
            </w:r>
            <w:r w:rsidR="00825645" w:rsidRPr="000421F0">
              <w:rPr>
                <w:sz w:val="16"/>
                <w:szCs w:val="16"/>
              </w:rPr>
              <w:t>ŽoPl</w:t>
            </w:r>
            <w:r w:rsidRPr="000421F0">
              <w:rPr>
                <w:sz w:val="16"/>
                <w:szCs w:val="16"/>
              </w:rPr>
              <w:t xml:space="preserve">.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828C32D" w14:textId="77777777" w:rsidR="004771E4" w:rsidRPr="003F2002" w:rsidRDefault="004771E4" w:rsidP="00E105D8">
            <w:pPr>
              <w:spacing w:before="60" w:after="60"/>
              <w:ind w:left="177" w:right="134"/>
              <w:jc w:val="center"/>
              <w:rPr>
                <w:sz w:val="16"/>
                <w:szCs w:val="16"/>
              </w:rPr>
            </w:pPr>
            <w:r w:rsidRPr="003F2002">
              <w:rPr>
                <w:sz w:val="16"/>
                <w:szCs w:val="16"/>
              </w:rPr>
              <w:t>Částečně</w:t>
            </w:r>
          </w:p>
          <w:p w14:paraId="6ED45436" w14:textId="77777777" w:rsidR="004771E4" w:rsidRPr="003F2002" w:rsidRDefault="004771E4" w:rsidP="00E105D8">
            <w:pPr>
              <w:spacing w:before="60" w:after="60"/>
              <w:ind w:left="177" w:right="134"/>
              <w:jc w:val="center"/>
              <w:rPr>
                <w:sz w:val="16"/>
                <w:szCs w:val="16"/>
              </w:rPr>
            </w:pPr>
          </w:p>
          <w:p w14:paraId="62AF84AA" w14:textId="77777777" w:rsidR="004771E4" w:rsidRPr="003F2002" w:rsidRDefault="004771E4" w:rsidP="00E105D8">
            <w:pPr>
              <w:spacing w:before="60" w:after="60"/>
              <w:ind w:left="177" w:right="134"/>
              <w:jc w:val="center"/>
              <w:rPr>
                <w:sz w:val="16"/>
                <w:szCs w:val="16"/>
              </w:rPr>
            </w:pPr>
            <w:r w:rsidRPr="003F2002">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2816114" w14:textId="4E1868F7" w:rsidR="004771E4" w:rsidRPr="000421F0" w:rsidRDefault="00340BB3" w:rsidP="00E105D8">
            <w:pPr>
              <w:pStyle w:val="ListParagraph"/>
              <w:numPr>
                <w:ilvl w:val="0"/>
                <w:numId w:val="31"/>
              </w:numPr>
              <w:spacing w:before="60" w:after="60"/>
              <w:ind w:left="442" w:right="134"/>
              <w:contextualSpacing w:val="0"/>
              <w:rPr>
                <w:sz w:val="16"/>
                <w:szCs w:val="16"/>
              </w:rPr>
            </w:pPr>
            <w:r w:rsidRPr="000421F0">
              <w:rPr>
                <w:b/>
                <w:sz w:val="16"/>
                <w:szCs w:val="16"/>
              </w:rPr>
              <w:t>Zrušení ZoR při ponechání ŽoPl.</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3875DE49" w14:textId="77777777" w:rsidR="004771E4" w:rsidRPr="000421F0" w:rsidRDefault="004771E4" w:rsidP="00E105D8">
            <w:pPr>
              <w:spacing w:before="60" w:after="60"/>
              <w:rPr>
                <w:sz w:val="16"/>
                <w:szCs w:val="16"/>
              </w:rPr>
            </w:pPr>
            <w:r w:rsidRPr="000421F0">
              <w:rPr>
                <w:sz w:val="16"/>
                <w:szCs w:val="16"/>
              </w:rPr>
              <w:t>Krátkodobý horizont</w:t>
            </w:r>
          </w:p>
        </w:tc>
      </w:tr>
      <w:tr w:rsidR="00355033" w:rsidRPr="000421F0" w14:paraId="0F8968C7" w14:textId="77777777" w:rsidTr="004B3AE9">
        <w:trPr>
          <w:trHeight w:val="1047"/>
        </w:trPr>
        <w:tc>
          <w:tcPr>
            <w:tcW w:w="667" w:type="pct"/>
            <w:vMerge w:val="restart"/>
            <w:tcBorders>
              <w:top w:val="single" w:sz="6" w:space="0" w:color="D9D9D9" w:themeColor="background1" w:themeShade="D9"/>
              <w:left w:val="nil"/>
              <w:right w:val="single" w:sz="4" w:space="0" w:color="D0EC9F" w:themeColor="accent1" w:themeTint="66"/>
            </w:tcBorders>
            <w:hideMark/>
          </w:tcPr>
          <w:p w14:paraId="7318C587" w14:textId="374D82C8" w:rsidR="00355033" w:rsidRPr="000421F0" w:rsidRDefault="00355033" w:rsidP="00E105D8">
            <w:pPr>
              <w:spacing w:before="60" w:after="60"/>
              <w:ind w:right="90"/>
              <w:rPr>
                <w:b/>
                <w:sz w:val="16"/>
                <w:szCs w:val="16"/>
              </w:rPr>
            </w:pPr>
            <w:r w:rsidRPr="000421F0">
              <w:rPr>
                <w:b/>
                <w:sz w:val="16"/>
                <w:szCs w:val="16"/>
              </w:rPr>
              <w:t>Administrace ŽoPl</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7C9E9844" w14:textId="56EBE312" w:rsidR="00355033" w:rsidRDefault="00355033" w:rsidP="00E105D8">
            <w:pPr>
              <w:spacing w:before="60" w:after="60"/>
              <w:rPr>
                <w:sz w:val="16"/>
                <w:szCs w:val="16"/>
              </w:rPr>
            </w:pPr>
            <w:r w:rsidRPr="000421F0">
              <w:rPr>
                <w:sz w:val="16"/>
                <w:szCs w:val="16"/>
              </w:rPr>
              <w:t>Složitost</w:t>
            </w:r>
            <w:r>
              <w:rPr>
                <w:sz w:val="16"/>
                <w:szCs w:val="16"/>
              </w:rPr>
              <w:t>, nedostatečná automatizace</w:t>
            </w:r>
            <w:r w:rsidRPr="000421F0">
              <w:rPr>
                <w:sz w:val="16"/>
                <w:szCs w:val="16"/>
              </w:rPr>
              <w:t xml:space="preserve"> a nadbytečnost procesu zadávání údajů do modulu EDS. </w:t>
            </w:r>
          </w:p>
          <w:p w14:paraId="185ED35E" w14:textId="3273082D" w:rsidR="00355033" w:rsidRPr="000421F0" w:rsidRDefault="00355033" w:rsidP="00E105D8">
            <w:pPr>
              <w:spacing w:before="60" w:after="60"/>
              <w:rPr>
                <w:sz w:val="16"/>
                <w:szCs w:val="16"/>
              </w:rPr>
            </w:pPr>
          </w:p>
        </w:tc>
        <w:tc>
          <w:tcPr>
            <w:tcW w:w="504" w:type="pct"/>
            <w:vMerge w:val="restart"/>
            <w:tcBorders>
              <w:top w:val="single" w:sz="6" w:space="0" w:color="D9D9D9" w:themeColor="background1" w:themeShade="D9"/>
              <w:left w:val="single" w:sz="4" w:space="0" w:color="D0EC9F" w:themeColor="accent1" w:themeTint="66"/>
              <w:right w:val="single" w:sz="4" w:space="0" w:color="D0EC9F" w:themeColor="accent1" w:themeTint="66"/>
            </w:tcBorders>
          </w:tcPr>
          <w:p w14:paraId="08DF726D" w14:textId="77777777" w:rsidR="00355033" w:rsidRPr="000421F0" w:rsidRDefault="00355033" w:rsidP="00E105D8">
            <w:pPr>
              <w:spacing w:before="60" w:after="60"/>
              <w:ind w:left="177" w:right="134"/>
              <w:jc w:val="center"/>
              <w:rPr>
                <w:sz w:val="16"/>
                <w:szCs w:val="16"/>
              </w:rPr>
            </w:pPr>
            <w:r w:rsidRPr="000421F0">
              <w:rPr>
                <w:sz w:val="16"/>
                <w:szCs w:val="16"/>
              </w:rPr>
              <w:t>Ne</w:t>
            </w:r>
          </w:p>
          <w:p w14:paraId="7F3578B1" w14:textId="77777777" w:rsidR="00355033" w:rsidRPr="000421F0" w:rsidRDefault="00355033" w:rsidP="00E105D8">
            <w:pPr>
              <w:spacing w:before="60" w:after="60"/>
              <w:ind w:left="177" w:right="134"/>
              <w:jc w:val="center"/>
              <w:rPr>
                <w:sz w:val="16"/>
                <w:szCs w:val="16"/>
              </w:rPr>
            </w:pPr>
          </w:p>
          <w:p w14:paraId="416407E0" w14:textId="77777777" w:rsidR="00355033" w:rsidRPr="000421F0" w:rsidRDefault="00355033" w:rsidP="00E105D8">
            <w:pPr>
              <w:spacing w:before="60" w:after="60"/>
              <w:ind w:left="177" w:right="134"/>
              <w:jc w:val="center"/>
              <w:rPr>
                <w:sz w:val="16"/>
                <w:szCs w:val="16"/>
              </w:rPr>
            </w:pPr>
            <w:r w:rsidRPr="000421F0">
              <w:rPr>
                <w:sz w:val="16"/>
                <w:szCs w:val="16"/>
              </w:rPr>
              <w:t>1 (požadavek na MMR)</w:t>
            </w:r>
          </w:p>
        </w:tc>
        <w:tc>
          <w:tcPr>
            <w:tcW w:w="1462" w:type="pct"/>
            <w:vMerge w:val="restart"/>
            <w:tcBorders>
              <w:top w:val="single" w:sz="6" w:space="0" w:color="D9D9D9" w:themeColor="background1" w:themeShade="D9"/>
              <w:left w:val="single" w:sz="4" w:space="0" w:color="D0EC9F" w:themeColor="accent1" w:themeTint="66"/>
              <w:right w:val="single" w:sz="4" w:space="0" w:color="D0EC9F" w:themeColor="accent1" w:themeTint="66"/>
            </w:tcBorders>
            <w:hideMark/>
          </w:tcPr>
          <w:p w14:paraId="5F2EB7BE" w14:textId="77777777" w:rsidR="00355033" w:rsidRPr="000421F0" w:rsidRDefault="00355033" w:rsidP="00E105D8">
            <w:pPr>
              <w:pStyle w:val="ListParagraph"/>
              <w:numPr>
                <w:ilvl w:val="0"/>
                <w:numId w:val="31"/>
              </w:numPr>
              <w:spacing w:before="60" w:after="60"/>
              <w:ind w:left="442" w:right="134"/>
              <w:contextualSpacing w:val="0"/>
              <w:rPr>
                <w:sz w:val="16"/>
                <w:szCs w:val="16"/>
              </w:rPr>
            </w:pPr>
            <w:r w:rsidRPr="000421F0">
              <w:rPr>
                <w:sz w:val="16"/>
                <w:szCs w:val="16"/>
              </w:rPr>
              <w:t>Omezení povinnosti dokládat potvrzení pouze dojde-li ke změně.</w:t>
            </w:r>
          </w:p>
          <w:p w14:paraId="48CEF310" w14:textId="020D69A3" w:rsidR="00355033" w:rsidRPr="000421F0" w:rsidRDefault="00355033" w:rsidP="00E105D8">
            <w:pPr>
              <w:pStyle w:val="ListParagraph"/>
              <w:numPr>
                <w:ilvl w:val="0"/>
                <w:numId w:val="31"/>
              </w:numPr>
              <w:spacing w:before="60" w:after="60"/>
              <w:ind w:left="442" w:right="134"/>
              <w:contextualSpacing w:val="0"/>
              <w:rPr>
                <w:b/>
                <w:sz w:val="16"/>
                <w:szCs w:val="16"/>
              </w:rPr>
            </w:pPr>
            <w:r w:rsidRPr="000421F0">
              <w:rPr>
                <w:b/>
                <w:sz w:val="16"/>
                <w:szCs w:val="16"/>
              </w:rPr>
              <w:t xml:space="preserve">Širší uplatnění </w:t>
            </w:r>
            <w:r w:rsidR="009D194A">
              <w:rPr>
                <w:b/>
                <w:sz w:val="16"/>
                <w:szCs w:val="16"/>
              </w:rPr>
              <w:t xml:space="preserve">zjednodušených forem vykazování nákladů, např. uplatněním </w:t>
            </w:r>
            <w:r w:rsidRPr="000421F0">
              <w:rPr>
                <w:b/>
                <w:sz w:val="16"/>
                <w:szCs w:val="16"/>
              </w:rPr>
              <w:t>parametrické podpory</w:t>
            </w:r>
            <w:r w:rsidR="009D194A">
              <w:rPr>
                <w:b/>
                <w:sz w:val="16"/>
                <w:szCs w:val="16"/>
              </w:rPr>
              <w:t xml:space="preserve"> či paušální podpory mzdových nákladů.</w:t>
            </w:r>
          </w:p>
          <w:p w14:paraId="1500645E" w14:textId="77777777" w:rsidR="00355033" w:rsidRPr="000421F0" w:rsidRDefault="00355033" w:rsidP="00E105D8">
            <w:pPr>
              <w:pStyle w:val="ListParagraph"/>
              <w:numPr>
                <w:ilvl w:val="0"/>
                <w:numId w:val="31"/>
              </w:numPr>
              <w:spacing w:before="60" w:after="60"/>
              <w:ind w:left="442" w:right="134"/>
              <w:contextualSpacing w:val="0"/>
              <w:rPr>
                <w:sz w:val="16"/>
                <w:szCs w:val="16"/>
              </w:rPr>
            </w:pPr>
            <w:r w:rsidRPr="000421F0">
              <w:rPr>
                <w:b/>
                <w:sz w:val="16"/>
                <w:szCs w:val="16"/>
              </w:rPr>
              <w:t>Využití umělé inteligence pro zpracování dat účetních dokladů.</w:t>
            </w:r>
          </w:p>
          <w:p w14:paraId="1CB842F6" w14:textId="0DA75FA3" w:rsidR="00355033" w:rsidRPr="000421F0" w:rsidRDefault="00355033" w:rsidP="00E105D8">
            <w:pPr>
              <w:pStyle w:val="ListParagraph"/>
              <w:numPr>
                <w:ilvl w:val="0"/>
                <w:numId w:val="31"/>
              </w:numPr>
              <w:spacing w:before="60" w:after="60"/>
              <w:ind w:left="442" w:right="134"/>
              <w:contextualSpacing w:val="0"/>
              <w:rPr>
                <w:sz w:val="16"/>
                <w:szCs w:val="16"/>
              </w:rPr>
            </w:pPr>
            <w:r w:rsidRPr="000421F0">
              <w:rPr>
                <w:b/>
                <w:sz w:val="16"/>
                <w:szCs w:val="16"/>
              </w:rPr>
              <w:t>Automatická robotizace částí procesu kontroly ŽoPl, viz. optimal.</w:t>
            </w:r>
            <w:r w:rsidR="009D194A">
              <w:rPr>
                <w:b/>
                <w:sz w:val="16"/>
                <w:szCs w:val="16"/>
              </w:rPr>
              <w:t xml:space="preserve"> </w:t>
            </w:r>
            <w:r w:rsidRPr="000421F0">
              <w:rPr>
                <w:b/>
                <w:sz w:val="16"/>
                <w:szCs w:val="16"/>
              </w:rPr>
              <w:t>opatření č.2.</w:t>
            </w:r>
          </w:p>
          <w:p w14:paraId="358EF3AB" w14:textId="7E6E44BA" w:rsidR="00355033" w:rsidRPr="000421F0" w:rsidRDefault="00355033" w:rsidP="00E105D8">
            <w:pPr>
              <w:pStyle w:val="ListParagraph"/>
              <w:numPr>
                <w:ilvl w:val="0"/>
                <w:numId w:val="31"/>
              </w:numPr>
              <w:tabs>
                <w:tab w:val="left" w:pos="525"/>
              </w:tabs>
              <w:spacing w:before="60" w:after="60"/>
              <w:ind w:left="435" w:right="134"/>
              <w:contextualSpacing w:val="0"/>
              <w:rPr>
                <w:sz w:val="16"/>
                <w:szCs w:val="16"/>
              </w:rPr>
            </w:pPr>
            <w:r w:rsidRPr="1B8B314C">
              <w:rPr>
                <w:b/>
                <w:bCs/>
                <w:sz w:val="16"/>
                <w:szCs w:val="16"/>
              </w:rPr>
              <w:t>Automatizace dalších částí procesu, např.: přenos dat do SFC14+, Evaluační knihovny, i v opačném směru - např. údaje z účetních závěrek od finanční správy.</w:t>
            </w:r>
            <w:r w:rsidRPr="1B8B314C">
              <w:rPr>
                <w:rStyle w:val="FootnoteReference"/>
                <w:b/>
                <w:bCs/>
                <w:sz w:val="16"/>
                <w:szCs w:val="16"/>
              </w:rPr>
              <w:footnoteReference w:id="10"/>
            </w:r>
          </w:p>
        </w:tc>
        <w:tc>
          <w:tcPr>
            <w:tcW w:w="555" w:type="pct"/>
            <w:vMerge w:val="restart"/>
            <w:tcBorders>
              <w:top w:val="single" w:sz="6" w:space="0" w:color="D9D9D9" w:themeColor="background1" w:themeShade="D9"/>
              <w:left w:val="single" w:sz="4" w:space="0" w:color="D0EC9F" w:themeColor="accent1" w:themeTint="66"/>
              <w:right w:val="nil"/>
            </w:tcBorders>
            <w:hideMark/>
          </w:tcPr>
          <w:p w14:paraId="4826B20D" w14:textId="77777777" w:rsidR="00355033" w:rsidRPr="000421F0" w:rsidRDefault="00355033" w:rsidP="00E105D8">
            <w:pPr>
              <w:spacing w:before="60" w:after="60"/>
              <w:rPr>
                <w:sz w:val="16"/>
                <w:szCs w:val="16"/>
              </w:rPr>
            </w:pPr>
            <w:r w:rsidRPr="000421F0">
              <w:rPr>
                <w:sz w:val="16"/>
                <w:szCs w:val="16"/>
              </w:rPr>
              <w:t>Krátkodobý horizont</w:t>
            </w:r>
          </w:p>
        </w:tc>
      </w:tr>
      <w:tr w:rsidR="00355033" w:rsidRPr="000421F0" w14:paraId="616971D4" w14:textId="77777777" w:rsidTr="004B3AE9">
        <w:trPr>
          <w:trHeight w:val="1047"/>
        </w:trPr>
        <w:tc>
          <w:tcPr>
            <w:tcW w:w="667" w:type="pct"/>
            <w:vMerge/>
            <w:tcBorders>
              <w:left w:val="nil"/>
              <w:bottom w:val="single" w:sz="6" w:space="0" w:color="D9D9D9" w:themeColor="background1" w:themeShade="D9"/>
              <w:right w:val="single" w:sz="4" w:space="0" w:color="D0EC9F" w:themeColor="accent1" w:themeTint="66"/>
            </w:tcBorders>
          </w:tcPr>
          <w:p w14:paraId="2E42C35E" w14:textId="77777777" w:rsidR="00355033" w:rsidRPr="000421F0" w:rsidRDefault="00355033" w:rsidP="00E105D8">
            <w:pPr>
              <w:spacing w:before="60" w:after="60"/>
              <w:ind w:right="9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524DC783" w14:textId="148E85FE" w:rsidR="00355033" w:rsidRPr="000421F0" w:rsidRDefault="00355033" w:rsidP="00E105D8">
            <w:pPr>
              <w:spacing w:before="60" w:after="60"/>
              <w:rPr>
                <w:sz w:val="16"/>
                <w:szCs w:val="16"/>
              </w:rPr>
            </w:pPr>
            <w:r w:rsidRPr="000421F0">
              <w:rPr>
                <w:sz w:val="16"/>
                <w:szCs w:val="16"/>
              </w:rPr>
              <w:t>Při každé ŽoPl dokládá Příjemce potvrzení o bankovním účtu.</w:t>
            </w:r>
          </w:p>
        </w:tc>
        <w:tc>
          <w:tcPr>
            <w:tcW w:w="504" w:type="pct"/>
            <w:vMerge/>
            <w:tcBorders>
              <w:left w:val="single" w:sz="4" w:space="0" w:color="D0EC9F" w:themeColor="accent1" w:themeTint="66"/>
              <w:bottom w:val="single" w:sz="6" w:space="0" w:color="D9D9D9" w:themeColor="background1" w:themeShade="D9"/>
              <w:right w:val="single" w:sz="4" w:space="0" w:color="D0EC9F" w:themeColor="accent1" w:themeTint="66"/>
            </w:tcBorders>
          </w:tcPr>
          <w:p w14:paraId="0CEBC8AE" w14:textId="77777777" w:rsidR="00355033" w:rsidRPr="000421F0" w:rsidRDefault="00355033" w:rsidP="00E105D8">
            <w:pPr>
              <w:spacing w:before="60" w:after="60"/>
              <w:ind w:left="177" w:right="134"/>
              <w:jc w:val="center"/>
              <w:rPr>
                <w:sz w:val="16"/>
                <w:szCs w:val="16"/>
              </w:rPr>
            </w:pPr>
          </w:p>
        </w:tc>
        <w:tc>
          <w:tcPr>
            <w:tcW w:w="1462" w:type="pct"/>
            <w:vMerge/>
            <w:tcBorders>
              <w:left w:val="single" w:sz="4" w:space="0" w:color="D0EC9F" w:themeColor="accent1" w:themeTint="66"/>
              <w:bottom w:val="single" w:sz="6" w:space="0" w:color="D9D9D9" w:themeColor="background1" w:themeShade="D9"/>
              <w:right w:val="single" w:sz="4" w:space="0" w:color="D0EC9F" w:themeColor="accent1" w:themeTint="66"/>
            </w:tcBorders>
          </w:tcPr>
          <w:p w14:paraId="4C7E77C1" w14:textId="77777777" w:rsidR="00355033" w:rsidRPr="000421F0" w:rsidRDefault="00355033" w:rsidP="00E105D8">
            <w:pPr>
              <w:pStyle w:val="ListParagraph"/>
              <w:numPr>
                <w:ilvl w:val="0"/>
                <w:numId w:val="31"/>
              </w:numPr>
              <w:spacing w:before="60" w:after="60"/>
              <w:ind w:left="442" w:right="134"/>
              <w:contextualSpacing w:val="0"/>
              <w:rPr>
                <w:sz w:val="16"/>
                <w:szCs w:val="16"/>
              </w:rPr>
            </w:pPr>
          </w:p>
        </w:tc>
        <w:tc>
          <w:tcPr>
            <w:tcW w:w="555" w:type="pct"/>
            <w:vMerge/>
            <w:tcBorders>
              <w:left w:val="single" w:sz="4" w:space="0" w:color="D0EC9F" w:themeColor="accent1" w:themeTint="66"/>
              <w:bottom w:val="single" w:sz="6" w:space="0" w:color="D9D9D9" w:themeColor="background1" w:themeShade="D9"/>
              <w:right w:val="nil"/>
            </w:tcBorders>
          </w:tcPr>
          <w:p w14:paraId="2AC4F7F6" w14:textId="77777777" w:rsidR="00355033" w:rsidRPr="000421F0" w:rsidRDefault="00355033" w:rsidP="00E105D8">
            <w:pPr>
              <w:spacing w:before="60" w:after="60"/>
              <w:rPr>
                <w:sz w:val="16"/>
                <w:szCs w:val="16"/>
              </w:rPr>
            </w:pPr>
          </w:p>
        </w:tc>
      </w:tr>
      <w:tr w:rsidR="004771E4" w:rsidRPr="000421F0" w14:paraId="4F106188" w14:textId="77777777" w:rsidTr="004B3AE9">
        <w:tc>
          <w:tcPr>
            <w:tcW w:w="2479" w:type="pct"/>
            <w:gridSpan w:val="2"/>
            <w:tcBorders>
              <w:top w:val="single" w:sz="6" w:space="0" w:color="D9D9D9" w:themeColor="background1" w:themeShade="D9"/>
              <w:left w:val="nil"/>
              <w:bottom w:val="single" w:sz="6" w:space="0" w:color="D9D9D9" w:themeColor="background1" w:themeShade="D9"/>
              <w:right w:val="single" w:sz="4" w:space="0" w:color="D0EC9F" w:themeColor="accent1" w:themeTint="66"/>
            </w:tcBorders>
            <w:shd w:val="clear" w:color="auto" w:fill="E7F5CF" w:themeFill="accent1" w:themeFillTint="33"/>
            <w:hideMark/>
          </w:tcPr>
          <w:p w14:paraId="25855BC8" w14:textId="77777777" w:rsidR="004771E4" w:rsidRPr="000421F0" w:rsidRDefault="004771E4" w:rsidP="00E105D8">
            <w:pPr>
              <w:spacing w:before="60" w:after="60"/>
              <w:ind w:right="90"/>
              <w:rPr>
                <w:b/>
                <w:sz w:val="16"/>
                <w:szCs w:val="16"/>
              </w:rPr>
            </w:pPr>
            <w:r w:rsidRPr="000421F0">
              <w:rPr>
                <w:b/>
                <w:sz w:val="16"/>
                <w:szCs w:val="16"/>
              </w:rPr>
              <w:t>Výzvy a harmonogram</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081ED80F" w14:textId="77777777" w:rsidR="004771E4" w:rsidRPr="000421F0" w:rsidRDefault="004771E4" w:rsidP="00E105D8">
            <w:pPr>
              <w:spacing w:before="60" w:after="60"/>
              <w:ind w:left="177" w:right="134"/>
              <w:jc w:val="center"/>
              <w:rPr>
                <w:sz w:val="16"/>
                <w:szCs w:val="16"/>
              </w:rPr>
            </w:pP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2253671B" w14:textId="77777777" w:rsidR="004771E4" w:rsidRPr="000421F0" w:rsidRDefault="004771E4" w:rsidP="00E105D8">
            <w:pPr>
              <w:spacing w:before="60" w:after="60"/>
              <w:ind w:right="134"/>
              <w:rPr>
                <w:sz w:val="16"/>
                <w:szCs w:val="16"/>
              </w:rPr>
            </w:pP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shd w:val="clear" w:color="auto" w:fill="E7F5CF" w:themeFill="accent1" w:themeFillTint="33"/>
          </w:tcPr>
          <w:p w14:paraId="74A73E5D" w14:textId="77777777" w:rsidR="004771E4" w:rsidRPr="000421F0" w:rsidRDefault="004771E4" w:rsidP="00E105D8">
            <w:pPr>
              <w:spacing w:before="60" w:after="60"/>
              <w:ind w:right="90"/>
              <w:rPr>
                <w:sz w:val="16"/>
                <w:szCs w:val="16"/>
              </w:rPr>
            </w:pPr>
          </w:p>
        </w:tc>
      </w:tr>
      <w:tr w:rsidR="004771E4" w:rsidRPr="000421F0" w14:paraId="20F0901F" w14:textId="77777777" w:rsidTr="004B3AE9">
        <w:tc>
          <w:tcPr>
            <w:tcW w:w="667" w:type="pct"/>
            <w:vMerge w:val="restar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427A800A" w14:textId="77777777" w:rsidR="004771E4" w:rsidRPr="000421F0" w:rsidRDefault="004771E4" w:rsidP="00E105D8">
            <w:pPr>
              <w:spacing w:before="60" w:after="60"/>
              <w:ind w:right="90"/>
              <w:rPr>
                <w:b/>
                <w:sz w:val="16"/>
                <w:szCs w:val="16"/>
              </w:rPr>
            </w:pPr>
            <w:r w:rsidRPr="000421F0">
              <w:rPr>
                <w:b/>
                <w:sz w:val="16"/>
                <w:szCs w:val="16"/>
              </w:rPr>
              <w:t xml:space="preserve">Tvorba a schválení </w:t>
            </w:r>
          </w:p>
          <w:p w14:paraId="708ECD1B" w14:textId="77777777" w:rsidR="004771E4" w:rsidRPr="000421F0" w:rsidRDefault="004771E4" w:rsidP="00E105D8">
            <w:pPr>
              <w:spacing w:before="60" w:after="60"/>
              <w:ind w:right="90"/>
              <w:rPr>
                <w:b/>
                <w:sz w:val="16"/>
                <w:szCs w:val="16"/>
              </w:rPr>
            </w:pPr>
            <w:r w:rsidRPr="000421F0">
              <w:rPr>
                <w:b/>
                <w:sz w:val="16"/>
                <w:szCs w:val="16"/>
              </w:rPr>
              <w:t>výzvy</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15F7DF8" w14:textId="77777777" w:rsidR="004771E4" w:rsidRPr="000421F0" w:rsidRDefault="004771E4" w:rsidP="00E105D8">
            <w:pPr>
              <w:spacing w:before="60" w:after="60"/>
              <w:rPr>
                <w:sz w:val="16"/>
                <w:szCs w:val="16"/>
              </w:rPr>
            </w:pPr>
            <w:r w:rsidRPr="000421F0">
              <w:rPr>
                <w:b/>
                <w:sz w:val="16"/>
                <w:szCs w:val="16"/>
              </w:rPr>
              <w:t>Výzvy a jejich přílohy jsou příliš rozsáhlé, složité a nepřehledné pro žadatele</w:t>
            </w:r>
            <w:r w:rsidRPr="000421F0">
              <w:rPr>
                <w:sz w:val="16"/>
                <w:szCs w:val="16"/>
              </w:rPr>
              <w:t xml:space="preserve">. Vykazují </w:t>
            </w:r>
            <w:r w:rsidRPr="000421F0">
              <w:rPr>
                <w:b/>
                <w:sz w:val="16"/>
                <w:szCs w:val="16"/>
              </w:rPr>
              <w:t>nepřesnosti, rozdíly v textu výzvy a přílohách, kopírování nerelevantních částí z jiných výzev</w:t>
            </w:r>
            <w:r w:rsidRPr="000421F0">
              <w:rPr>
                <w:sz w:val="16"/>
                <w:szCs w:val="16"/>
              </w:rPr>
              <w:t>, výjimkou není nepřehledné a chybné formátování textu. Jednotná šablona neumožňuje efektivní adaptaci na potřeby konkrétních výzev.</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377061FE" w14:textId="77777777" w:rsidR="004771E4" w:rsidRPr="000421F0" w:rsidRDefault="004771E4" w:rsidP="00E105D8">
            <w:pPr>
              <w:spacing w:before="60" w:after="60"/>
              <w:ind w:left="177" w:right="134"/>
              <w:jc w:val="center"/>
              <w:rPr>
                <w:sz w:val="16"/>
                <w:szCs w:val="16"/>
              </w:rPr>
            </w:pPr>
            <w:r w:rsidRPr="000421F0">
              <w:rPr>
                <w:sz w:val="16"/>
                <w:szCs w:val="16"/>
              </w:rPr>
              <w:t>Ano</w:t>
            </w:r>
          </w:p>
          <w:p w14:paraId="6D6C3160" w14:textId="77777777" w:rsidR="004771E4" w:rsidRPr="000421F0" w:rsidRDefault="004771E4" w:rsidP="00E105D8">
            <w:pPr>
              <w:spacing w:before="60" w:after="60"/>
              <w:ind w:left="177" w:right="134"/>
              <w:jc w:val="center"/>
              <w:rPr>
                <w:sz w:val="16"/>
                <w:szCs w:val="16"/>
              </w:rPr>
            </w:pPr>
          </w:p>
          <w:p w14:paraId="6AAF237D" w14:textId="77777777" w:rsidR="004771E4" w:rsidRPr="000421F0" w:rsidRDefault="004771E4" w:rsidP="00E105D8">
            <w:pPr>
              <w:spacing w:before="60" w:after="60"/>
              <w:ind w:left="177" w:right="134"/>
              <w:jc w:val="center"/>
              <w:rPr>
                <w:sz w:val="16"/>
                <w:szCs w:val="16"/>
              </w:rPr>
            </w:pPr>
            <w:r w:rsidRPr="000421F0">
              <w:rPr>
                <w:sz w:val="16"/>
                <w:szCs w:val="16"/>
              </w:rPr>
              <w:t>1, 3</w:t>
            </w:r>
          </w:p>
        </w:tc>
        <w:tc>
          <w:tcPr>
            <w:tcW w:w="1462"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5BF156BD"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Revize znění výzev, počtu povinných příloh.</w:t>
            </w:r>
          </w:p>
          <w:p w14:paraId="549972D1"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Zjednodušení jazyka (omezení používání odborných výrazů, sjednocení terminologie) a zefektivnění komunikace změn ve znění výzev, v pravidlech pro příjemce apod. jejich grafickým zvýrazněním nebo předřazením.</w:t>
            </w:r>
          </w:p>
          <w:p w14:paraId="1DD693D2" w14:textId="243C10AA" w:rsidR="004771E4"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Vytvoření mechanismu konzultace chystaných formulací a změn s pracovní skupinou příjemců.</w:t>
            </w:r>
            <w:r w:rsidR="00667E43">
              <w:rPr>
                <w:sz w:val="16"/>
                <w:szCs w:val="16"/>
              </w:rPr>
              <w:t xml:space="preserve"> </w:t>
            </w:r>
            <w:r w:rsidRPr="000421F0">
              <w:rPr>
                <w:sz w:val="16"/>
                <w:szCs w:val="16"/>
              </w:rPr>
              <w:t xml:space="preserve">Zrušení požadavku na dokládání a posuzování vybraných náležitostí. </w:t>
            </w:r>
          </w:p>
          <w:p w14:paraId="2F581BCE" w14:textId="3F9586E1" w:rsidR="00490833" w:rsidRPr="000421F0" w:rsidRDefault="00490833" w:rsidP="00E105D8">
            <w:pPr>
              <w:pStyle w:val="ListParagraph"/>
              <w:numPr>
                <w:ilvl w:val="0"/>
                <w:numId w:val="31"/>
              </w:numPr>
              <w:spacing w:before="60" w:after="60"/>
              <w:ind w:left="442" w:right="134"/>
              <w:contextualSpacing w:val="0"/>
              <w:rPr>
                <w:sz w:val="16"/>
                <w:szCs w:val="16"/>
              </w:rPr>
            </w:pPr>
            <w:r>
              <w:rPr>
                <w:sz w:val="16"/>
                <w:szCs w:val="16"/>
              </w:rPr>
              <w:lastRenderedPageBreak/>
              <w:t xml:space="preserve">Revize osnovy Podnikatelského záměru, porovnání obsahu s vyplňovanými záložkami v ISKP2014+ s cílem omezení duplicit. </w:t>
            </w:r>
          </w:p>
          <w:p w14:paraId="4BF1953D" w14:textId="77777777" w:rsidR="004771E4" w:rsidRPr="000421F0" w:rsidRDefault="004771E4" w:rsidP="00E105D8">
            <w:pPr>
              <w:spacing w:before="60" w:after="60"/>
              <w:ind w:left="442" w:right="134"/>
              <w:rPr>
                <w:sz w:val="16"/>
                <w:szCs w:val="16"/>
              </w:rPr>
            </w:pPr>
          </w:p>
          <w:p w14:paraId="0DF7169C" w14:textId="77777777" w:rsidR="004771E4" w:rsidRPr="000421F0" w:rsidRDefault="004771E4" w:rsidP="00E105D8">
            <w:pPr>
              <w:spacing w:before="60" w:after="60"/>
              <w:ind w:left="442" w:right="134"/>
              <w:rPr>
                <w:sz w:val="16"/>
                <w:szCs w:val="16"/>
              </w:rPr>
            </w:pPr>
          </w:p>
        </w:tc>
        <w:tc>
          <w:tcPr>
            <w:tcW w:w="555"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5B2B2328" w14:textId="77777777" w:rsidR="004771E4" w:rsidRPr="000421F0" w:rsidRDefault="004771E4" w:rsidP="00E105D8">
            <w:pPr>
              <w:spacing w:before="60" w:after="60"/>
              <w:rPr>
                <w:sz w:val="16"/>
                <w:szCs w:val="16"/>
              </w:rPr>
            </w:pPr>
            <w:r w:rsidRPr="000421F0">
              <w:rPr>
                <w:sz w:val="16"/>
                <w:szCs w:val="16"/>
              </w:rPr>
              <w:lastRenderedPageBreak/>
              <w:t>Krátkodobý horizont</w:t>
            </w:r>
          </w:p>
        </w:tc>
      </w:tr>
      <w:tr w:rsidR="004771E4" w:rsidRPr="000421F0" w14:paraId="42449073" w14:textId="77777777" w:rsidTr="004B3AE9">
        <w:tc>
          <w:tcPr>
            <w:tcW w:w="0" w:type="auto"/>
            <w:vMerge/>
            <w:vAlign w:val="center"/>
            <w:hideMark/>
          </w:tcPr>
          <w:p w14:paraId="47D5BFE4"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E2F645E" w14:textId="1242841E" w:rsidR="004771E4" w:rsidRPr="000421F0" w:rsidRDefault="004771E4" w:rsidP="00E105D8">
            <w:pPr>
              <w:spacing w:before="60" w:after="60"/>
              <w:rPr>
                <w:sz w:val="16"/>
                <w:szCs w:val="16"/>
              </w:rPr>
            </w:pPr>
            <w:r w:rsidRPr="000421F0">
              <w:rPr>
                <w:sz w:val="16"/>
                <w:szCs w:val="16"/>
              </w:rPr>
              <w:t xml:space="preserve">Od žadatelů jsou </w:t>
            </w:r>
            <w:r w:rsidRPr="000421F0">
              <w:rPr>
                <w:b/>
                <w:sz w:val="16"/>
                <w:szCs w:val="16"/>
              </w:rPr>
              <w:t xml:space="preserve">požadovány dokumenty, popř. informace, které </w:t>
            </w:r>
            <w:r w:rsidR="00EF7E83">
              <w:rPr>
                <w:b/>
                <w:sz w:val="16"/>
                <w:szCs w:val="16"/>
              </w:rPr>
              <w:t xml:space="preserve">by </w:t>
            </w:r>
            <w:r w:rsidRPr="000421F0">
              <w:rPr>
                <w:b/>
                <w:sz w:val="16"/>
                <w:szCs w:val="16"/>
              </w:rPr>
              <w:t xml:space="preserve">si </w:t>
            </w:r>
            <w:r w:rsidR="00EF7E83">
              <w:rPr>
                <w:b/>
                <w:sz w:val="16"/>
                <w:szCs w:val="16"/>
              </w:rPr>
              <w:t>IS</w:t>
            </w:r>
            <w:r w:rsidR="00EF7E83" w:rsidRPr="000421F0">
              <w:rPr>
                <w:b/>
                <w:sz w:val="16"/>
                <w:szCs w:val="16"/>
              </w:rPr>
              <w:t xml:space="preserve"> </w:t>
            </w:r>
            <w:r w:rsidR="00EF7E83">
              <w:rPr>
                <w:b/>
                <w:sz w:val="16"/>
                <w:szCs w:val="16"/>
              </w:rPr>
              <w:t>měla být</w:t>
            </w:r>
            <w:r w:rsidR="00EF7E83" w:rsidRPr="000421F0">
              <w:rPr>
                <w:b/>
                <w:sz w:val="16"/>
                <w:szCs w:val="16"/>
              </w:rPr>
              <w:t xml:space="preserve"> </w:t>
            </w:r>
            <w:r w:rsidRPr="000421F0">
              <w:rPr>
                <w:b/>
                <w:sz w:val="16"/>
                <w:szCs w:val="16"/>
              </w:rPr>
              <w:t>schopn</w:t>
            </w:r>
            <w:r w:rsidR="00EF7E83">
              <w:rPr>
                <w:b/>
                <w:sz w:val="16"/>
                <w:szCs w:val="16"/>
              </w:rPr>
              <w:t>a</w:t>
            </w:r>
            <w:r w:rsidRPr="000421F0">
              <w:rPr>
                <w:b/>
                <w:sz w:val="16"/>
                <w:szCs w:val="16"/>
              </w:rPr>
              <w:t xml:space="preserve"> opatřit sam</w:t>
            </w:r>
            <w:r w:rsidR="00EF7E83">
              <w:rPr>
                <w:b/>
                <w:sz w:val="16"/>
                <w:szCs w:val="16"/>
              </w:rPr>
              <w:t>a</w:t>
            </w:r>
            <w:r w:rsidRPr="000421F0">
              <w:rPr>
                <w:b/>
                <w:sz w:val="16"/>
                <w:szCs w:val="16"/>
              </w:rPr>
              <w:t>, popř. které nejsou pro hodnocení projektu důležité</w:t>
            </w:r>
            <w:r w:rsidRPr="000421F0">
              <w:rPr>
                <w:sz w:val="16"/>
                <w:szCs w:val="16"/>
              </w:rPr>
              <w:t xml:space="preserve">. </w:t>
            </w:r>
          </w:p>
          <w:p w14:paraId="2B2A627C" w14:textId="77777777" w:rsidR="004771E4" w:rsidRPr="000421F0" w:rsidRDefault="004771E4" w:rsidP="00E105D8">
            <w:pPr>
              <w:spacing w:before="60" w:after="60"/>
              <w:rPr>
                <w:sz w:val="16"/>
                <w:szCs w:val="16"/>
              </w:rPr>
            </w:pPr>
            <w:r w:rsidRPr="000421F0">
              <w:rPr>
                <w:sz w:val="16"/>
                <w:szCs w:val="16"/>
              </w:rPr>
              <w:t xml:space="preserve">Jedná se např. o studii proveditelnosti/podnikatelský záměr (příloha žádosti), jejíž některé části (např. historie žadatele, socio-ekonomický rozbor místa realizace) jsou pro vyhodnocení projektu zcela zbytečné, popř. obsahují </w:t>
            </w:r>
            <w:r w:rsidRPr="000421F0">
              <w:rPr>
                <w:sz w:val="16"/>
                <w:szCs w:val="16"/>
              </w:rPr>
              <w:lastRenderedPageBreak/>
              <w:t>informace, které žadatel uvádí už jinde (např. v rámci popisu projektu v ISKP14+, na záložce Subjekty projektu, na záložce Horizontální principy, atp.).</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410FE19" w14:textId="77777777" w:rsidR="004771E4" w:rsidRPr="000421F0" w:rsidRDefault="004771E4" w:rsidP="00E105D8">
            <w:pPr>
              <w:spacing w:before="60" w:after="60"/>
              <w:ind w:left="177" w:right="134"/>
              <w:jc w:val="center"/>
              <w:rPr>
                <w:sz w:val="16"/>
                <w:szCs w:val="16"/>
              </w:rPr>
            </w:pPr>
            <w:r w:rsidRPr="000421F0">
              <w:rPr>
                <w:sz w:val="16"/>
                <w:szCs w:val="16"/>
              </w:rPr>
              <w:lastRenderedPageBreak/>
              <w:t>Ano</w:t>
            </w:r>
          </w:p>
          <w:p w14:paraId="6AF0D0C2" w14:textId="77777777" w:rsidR="004771E4" w:rsidRPr="000421F0" w:rsidRDefault="004771E4" w:rsidP="00E105D8">
            <w:pPr>
              <w:spacing w:before="60" w:after="60"/>
              <w:ind w:left="177" w:right="134"/>
              <w:jc w:val="center"/>
              <w:rPr>
                <w:sz w:val="16"/>
                <w:szCs w:val="16"/>
              </w:rPr>
            </w:pPr>
          </w:p>
          <w:p w14:paraId="33858DDA" w14:textId="77777777" w:rsidR="004771E4" w:rsidRPr="000421F0" w:rsidRDefault="004771E4" w:rsidP="00E105D8">
            <w:pPr>
              <w:spacing w:before="60" w:after="60"/>
              <w:ind w:left="177" w:right="134"/>
              <w:jc w:val="center"/>
              <w:rPr>
                <w:sz w:val="16"/>
                <w:szCs w:val="16"/>
              </w:rPr>
            </w:pPr>
          </w:p>
          <w:p w14:paraId="259FA2EA"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0" w:type="auto"/>
            <w:vMerge/>
            <w:vAlign w:val="center"/>
            <w:hideMark/>
          </w:tcPr>
          <w:p w14:paraId="78399FC1" w14:textId="77777777" w:rsidR="004771E4" w:rsidRPr="000421F0" w:rsidRDefault="004771E4" w:rsidP="00E105D8">
            <w:pPr>
              <w:spacing w:before="60" w:after="60"/>
              <w:rPr>
                <w:sz w:val="16"/>
                <w:szCs w:val="16"/>
              </w:rPr>
            </w:pPr>
          </w:p>
        </w:tc>
        <w:tc>
          <w:tcPr>
            <w:tcW w:w="0" w:type="auto"/>
            <w:vMerge/>
            <w:vAlign w:val="center"/>
            <w:hideMark/>
          </w:tcPr>
          <w:p w14:paraId="55B2AA85" w14:textId="77777777" w:rsidR="004771E4" w:rsidRPr="000421F0" w:rsidRDefault="004771E4" w:rsidP="00E105D8">
            <w:pPr>
              <w:spacing w:before="60" w:after="60"/>
              <w:rPr>
                <w:sz w:val="16"/>
                <w:szCs w:val="16"/>
              </w:rPr>
            </w:pPr>
          </w:p>
        </w:tc>
      </w:tr>
      <w:tr w:rsidR="004771E4" w:rsidRPr="000421F0" w14:paraId="4216D834" w14:textId="77777777" w:rsidTr="004B3AE9">
        <w:tc>
          <w:tcPr>
            <w:tcW w:w="0" w:type="auto"/>
            <w:vMerge/>
            <w:vAlign w:val="center"/>
            <w:hideMark/>
          </w:tcPr>
          <w:p w14:paraId="5B666757"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2974D1A" w14:textId="77777777" w:rsidR="004771E4" w:rsidRPr="000421F0" w:rsidRDefault="004771E4" w:rsidP="00E105D8">
            <w:pPr>
              <w:spacing w:before="60" w:after="60"/>
              <w:rPr>
                <w:sz w:val="16"/>
                <w:szCs w:val="16"/>
              </w:rPr>
            </w:pPr>
            <w:r w:rsidRPr="000421F0">
              <w:rPr>
                <w:b/>
                <w:sz w:val="16"/>
                <w:szCs w:val="16"/>
              </w:rPr>
              <w:t>Pracovní skupiny připravující znění výzvy nekontrolují obsah Pravidel pro žadatele a příjemce - zvláštní část</w:t>
            </w:r>
            <w:r w:rsidRPr="000421F0">
              <w:rPr>
                <w:sz w:val="16"/>
                <w:szCs w:val="16"/>
              </w:rPr>
              <w:t xml:space="preserve">. Může tak docházet k rozporům mezi zněním výzvy a informacím v těchto Pravidlech.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01757F6B" w14:textId="77777777" w:rsidR="004771E4" w:rsidRPr="000421F0" w:rsidRDefault="004771E4" w:rsidP="00E105D8">
            <w:pPr>
              <w:spacing w:before="60" w:after="60"/>
              <w:ind w:left="177" w:right="134"/>
              <w:jc w:val="center"/>
              <w:rPr>
                <w:sz w:val="16"/>
                <w:szCs w:val="16"/>
              </w:rPr>
            </w:pPr>
            <w:r w:rsidRPr="000421F0">
              <w:rPr>
                <w:sz w:val="16"/>
                <w:szCs w:val="16"/>
              </w:rPr>
              <w:t>Ano</w:t>
            </w:r>
          </w:p>
          <w:p w14:paraId="13A5DC5B" w14:textId="77777777" w:rsidR="004771E4" w:rsidRPr="000421F0" w:rsidRDefault="004771E4" w:rsidP="00E105D8">
            <w:pPr>
              <w:spacing w:before="60" w:after="60"/>
              <w:ind w:left="177" w:right="134"/>
              <w:jc w:val="center"/>
              <w:rPr>
                <w:sz w:val="16"/>
                <w:szCs w:val="16"/>
              </w:rPr>
            </w:pPr>
          </w:p>
          <w:p w14:paraId="5D03472C" w14:textId="77777777" w:rsidR="004771E4" w:rsidRPr="000421F0" w:rsidRDefault="004771E4" w:rsidP="00E105D8">
            <w:pPr>
              <w:spacing w:before="60" w:after="60"/>
              <w:ind w:left="177" w:right="134"/>
              <w:jc w:val="center"/>
              <w:rPr>
                <w:sz w:val="16"/>
                <w:szCs w:val="16"/>
              </w:rPr>
            </w:pPr>
            <w:r w:rsidRPr="000421F0">
              <w:rPr>
                <w:sz w:val="16"/>
                <w:szCs w:val="16"/>
              </w:rPr>
              <w:t>1, 3</w:t>
            </w:r>
          </w:p>
        </w:tc>
        <w:tc>
          <w:tcPr>
            <w:tcW w:w="0" w:type="auto"/>
            <w:vMerge/>
            <w:vAlign w:val="center"/>
            <w:hideMark/>
          </w:tcPr>
          <w:p w14:paraId="61CE51EF" w14:textId="77777777" w:rsidR="004771E4" w:rsidRPr="000421F0" w:rsidRDefault="004771E4" w:rsidP="00E105D8">
            <w:pPr>
              <w:spacing w:before="60" w:after="60"/>
              <w:rPr>
                <w:sz w:val="16"/>
                <w:szCs w:val="16"/>
              </w:rPr>
            </w:pPr>
          </w:p>
        </w:tc>
        <w:tc>
          <w:tcPr>
            <w:tcW w:w="0" w:type="auto"/>
            <w:vMerge/>
            <w:vAlign w:val="center"/>
            <w:hideMark/>
          </w:tcPr>
          <w:p w14:paraId="432A1FE8" w14:textId="77777777" w:rsidR="004771E4" w:rsidRPr="000421F0" w:rsidRDefault="004771E4" w:rsidP="00E105D8">
            <w:pPr>
              <w:spacing w:before="60" w:after="60"/>
              <w:rPr>
                <w:sz w:val="16"/>
                <w:szCs w:val="16"/>
              </w:rPr>
            </w:pPr>
          </w:p>
        </w:tc>
      </w:tr>
      <w:tr w:rsidR="004771E4" w:rsidRPr="000421F0" w14:paraId="04A76574" w14:textId="77777777" w:rsidTr="004B3AE9">
        <w:trPr>
          <w:trHeight w:val="730"/>
        </w:trPr>
        <w:tc>
          <w:tcPr>
            <w:tcW w:w="0" w:type="auto"/>
            <w:vMerge/>
            <w:vAlign w:val="center"/>
            <w:hideMark/>
          </w:tcPr>
          <w:p w14:paraId="01712354"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C64F839" w14:textId="329028EB" w:rsidR="004771E4" w:rsidRPr="000421F0" w:rsidRDefault="004771E4" w:rsidP="00E105D8">
            <w:pPr>
              <w:spacing w:before="60" w:after="60"/>
              <w:rPr>
                <w:sz w:val="16"/>
                <w:szCs w:val="16"/>
              </w:rPr>
            </w:pPr>
            <w:r w:rsidRPr="000421F0">
              <w:rPr>
                <w:b/>
                <w:sz w:val="16"/>
                <w:szCs w:val="16"/>
              </w:rPr>
              <w:t xml:space="preserve">Změny </w:t>
            </w:r>
            <w:r w:rsidRPr="000421F0">
              <w:rPr>
                <w:sz w:val="16"/>
                <w:szCs w:val="16"/>
              </w:rPr>
              <w:t xml:space="preserve">v po sobě jdoucích výzvách v rámci jednoho programu podpory </w:t>
            </w:r>
            <w:r w:rsidRPr="000421F0">
              <w:rPr>
                <w:b/>
                <w:sz w:val="16"/>
                <w:szCs w:val="16"/>
              </w:rPr>
              <w:t>nejsou dostatečně zvýrazněny</w:t>
            </w:r>
            <w:r w:rsidRPr="000421F0">
              <w:rPr>
                <w:sz w:val="16"/>
                <w:szCs w:val="16"/>
              </w:rPr>
              <w:t>, což následně</w:t>
            </w:r>
            <w:r w:rsidR="004B3AE9">
              <w:rPr>
                <w:sz w:val="16"/>
                <w:szCs w:val="16"/>
              </w:rPr>
              <w:t xml:space="preserve"> vede k chybovosti v žádostech.</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8939113" w14:textId="77777777" w:rsidR="004771E4" w:rsidRPr="000421F0" w:rsidRDefault="004771E4" w:rsidP="00E105D8">
            <w:pPr>
              <w:spacing w:before="60" w:after="60"/>
              <w:ind w:left="177" w:right="134"/>
              <w:jc w:val="center"/>
              <w:rPr>
                <w:sz w:val="16"/>
                <w:szCs w:val="16"/>
              </w:rPr>
            </w:pPr>
            <w:r w:rsidRPr="000421F0">
              <w:rPr>
                <w:sz w:val="16"/>
                <w:szCs w:val="16"/>
              </w:rPr>
              <w:t>Ano</w:t>
            </w:r>
          </w:p>
          <w:p w14:paraId="503180B6" w14:textId="77777777" w:rsidR="004771E4" w:rsidRPr="000421F0" w:rsidRDefault="004771E4" w:rsidP="00E105D8">
            <w:pPr>
              <w:spacing w:before="60" w:after="60"/>
              <w:ind w:left="177" w:right="134"/>
              <w:jc w:val="center"/>
              <w:rPr>
                <w:sz w:val="16"/>
                <w:szCs w:val="16"/>
              </w:rPr>
            </w:pPr>
          </w:p>
          <w:p w14:paraId="162394DF" w14:textId="77777777" w:rsidR="004771E4" w:rsidRPr="000421F0" w:rsidRDefault="004771E4" w:rsidP="00E105D8">
            <w:pPr>
              <w:spacing w:before="60" w:after="60"/>
              <w:ind w:left="177" w:right="134"/>
              <w:jc w:val="center"/>
              <w:rPr>
                <w:sz w:val="16"/>
                <w:szCs w:val="16"/>
              </w:rPr>
            </w:pPr>
            <w:r w:rsidRPr="000421F0">
              <w:rPr>
                <w:sz w:val="16"/>
                <w:szCs w:val="16"/>
              </w:rPr>
              <w:t>1, 3</w:t>
            </w:r>
          </w:p>
        </w:tc>
        <w:tc>
          <w:tcPr>
            <w:tcW w:w="0" w:type="auto"/>
            <w:vMerge/>
            <w:vAlign w:val="center"/>
            <w:hideMark/>
          </w:tcPr>
          <w:p w14:paraId="6E12DED0" w14:textId="77777777" w:rsidR="004771E4" w:rsidRPr="000421F0" w:rsidRDefault="004771E4" w:rsidP="00E105D8">
            <w:pPr>
              <w:spacing w:before="60" w:after="60"/>
              <w:rPr>
                <w:sz w:val="16"/>
                <w:szCs w:val="16"/>
              </w:rPr>
            </w:pPr>
          </w:p>
        </w:tc>
        <w:tc>
          <w:tcPr>
            <w:tcW w:w="0" w:type="auto"/>
            <w:vMerge/>
            <w:vAlign w:val="center"/>
            <w:hideMark/>
          </w:tcPr>
          <w:p w14:paraId="64FACD6B" w14:textId="77777777" w:rsidR="004771E4" w:rsidRPr="000421F0" w:rsidRDefault="004771E4" w:rsidP="00E105D8">
            <w:pPr>
              <w:spacing w:before="60" w:after="60"/>
              <w:rPr>
                <w:sz w:val="16"/>
                <w:szCs w:val="16"/>
              </w:rPr>
            </w:pPr>
          </w:p>
        </w:tc>
      </w:tr>
      <w:tr w:rsidR="004771E4" w:rsidRPr="000421F0" w14:paraId="6F0B7239"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24EBD5FB" w14:textId="77777777" w:rsidR="004771E4" w:rsidRPr="000421F0" w:rsidRDefault="004771E4" w:rsidP="00E105D8">
            <w:pPr>
              <w:spacing w:before="60" w:after="60"/>
              <w:ind w:right="90"/>
              <w:rPr>
                <w:b/>
                <w:sz w:val="16"/>
                <w:szCs w:val="16"/>
              </w:rPr>
            </w:pPr>
            <w:r w:rsidRPr="000421F0">
              <w:rPr>
                <w:b/>
                <w:sz w:val="16"/>
                <w:szCs w:val="16"/>
              </w:rPr>
              <w:t>Vyhlášení výzvy</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67CB290" w14:textId="64307925" w:rsidR="004771E4" w:rsidRPr="000421F0" w:rsidRDefault="004771E4" w:rsidP="00E105D8">
            <w:pPr>
              <w:spacing w:before="60" w:after="60"/>
              <w:rPr>
                <w:sz w:val="16"/>
                <w:szCs w:val="16"/>
              </w:rPr>
            </w:pPr>
            <w:r w:rsidRPr="000421F0">
              <w:rPr>
                <w:b/>
                <w:sz w:val="16"/>
                <w:szCs w:val="16"/>
              </w:rPr>
              <w:t>Nekoordinované nebo nevhodné načasování výzev</w:t>
            </w:r>
            <w:r w:rsidRPr="000421F0">
              <w:rPr>
                <w:sz w:val="16"/>
                <w:szCs w:val="16"/>
              </w:rPr>
              <w:t xml:space="preserve"> (vyhlašování ve stejném termínu, vyhlašování nových výzev před doběhnutím starých) způsobuje zahlcení projektových manažerů ZS kontrolou a hodnocením nových žádostí při realizaci běžné agendy (kontrola </w:t>
            </w:r>
            <w:r w:rsidR="00825645" w:rsidRPr="000421F0">
              <w:rPr>
                <w:sz w:val="16"/>
                <w:szCs w:val="16"/>
              </w:rPr>
              <w:t>ŽoPl</w:t>
            </w:r>
            <w:r w:rsidRPr="000421F0">
              <w:rPr>
                <w:sz w:val="16"/>
                <w:szCs w:val="16"/>
              </w:rPr>
              <w:t>, VŘ apod.) a následně vede ke zpožděním při formálním hodnocení žádostí. Připomínky ZS k harmonogramu výzev nejsou dostatečně reflektovány ŘO. Při souběhu více výzev dochází i k zahlcení žadatelů a poradenských společností což se odráží na kvalitě žádostí nebo termínu jejich podání.</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78DAF083" w14:textId="77777777" w:rsidR="004771E4" w:rsidRPr="003F2002" w:rsidRDefault="004771E4" w:rsidP="00E105D8">
            <w:pPr>
              <w:spacing w:before="60" w:after="60"/>
              <w:ind w:left="177" w:right="134"/>
              <w:jc w:val="center"/>
              <w:rPr>
                <w:sz w:val="16"/>
                <w:szCs w:val="16"/>
              </w:rPr>
            </w:pPr>
            <w:r w:rsidRPr="003F2002">
              <w:rPr>
                <w:sz w:val="16"/>
                <w:szCs w:val="16"/>
              </w:rPr>
              <w:t>Ano</w:t>
            </w:r>
          </w:p>
          <w:p w14:paraId="0249C642" w14:textId="77777777" w:rsidR="004771E4" w:rsidRPr="000421F0" w:rsidRDefault="004771E4" w:rsidP="00E105D8">
            <w:pPr>
              <w:spacing w:before="60" w:after="60"/>
              <w:ind w:left="177" w:right="134"/>
              <w:jc w:val="center"/>
              <w:rPr>
                <w:b/>
                <w:sz w:val="16"/>
                <w:szCs w:val="16"/>
              </w:rPr>
            </w:pPr>
          </w:p>
          <w:p w14:paraId="63477E68" w14:textId="77777777" w:rsidR="004771E4" w:rsidRPr="000421F0" w:rsidRDefault="004771E4" w:rsidP="00E105D8">
            <w:pPr>
              <w:spacing w:before="60" w:after="60"/>
              <w:ind w:left="177" w:right="134"/>
              <w:jc w:val="center"/>
              <w:rPr>
                <w:bCs/>
                <w:sz w:val="16"/>
                <w:szCs w:val="16"/>
              </w:rPr>
            </w:pPr>
            <w:r w:rsidRPr="000421F0">
              <w:rPr>
                <w:bCs/>
                <w:sz w:val="16"/>
                <w:szCs w:val="16"/>
              </w:rPr>
              <w:t>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7A285A1F" w14:textId="17D2727B" w:rsidR="00715D95" w:rsidRDefault="004771E4" w:rsidP="00E105D8">
            <w:pPr>
              <w:pStyle w:val="ListParagraph"/>
              <w:numPr>
                <w:ilvl w:val="0"/>
                <w:numId w:val="31"/>
              </w:numPr>
              <w:spacing w:before="60" w:after="60"/>
              <w:ind w:left="442" w:right="134"/>
              <w:contextualSpacing w:val="0"/>
              <w:rPr>
                <w:sz w:val="16"/>
                <w:szCs w:val="16"/>
              </w:rPr>
            </w:pPr>
            <w:r w:rsidRPr="1B8B314C">
              <w:rPr>
                <w:sz w:val="16"/>
                <w:szCs w:val="16"/>
              </w:rPr>
              <w:t>Při plánování výzev by měly být zohledněny návrhy ZS</w:t>
            </w:r>
            <w:r w:rsidR="00715D95">
              <w:rPr>
                <w:sz w:val="16"/>
                <w:szCs w:val="16"/>
              </w:rPr>
              <w:t>, případné</w:t>
            </w:r>
            <w:r w:rsidR="00715D95" w:rsidRPr="1B8B314C">
              <w:rPr>
                <w:sz w:val="16"/>
                <w:szCs w:val="16"/>
              </w:rPr>
              <w:t xml:space="preserve"> změny</w:t>
            </w:r>
            <w:r w:rsidR="00715D95">
              <w:rPr>
                <w:sz w:val="16"/>
                <w:szCs w:val="16"/>
              </w:rPr>
              <w:t xml:space="preserve"> by měly být</w:t>
            </w:r>
            <w:r w:rsidR="00715D95" w:rsidRPr="1B8B314C">
              <w:rPr>
                <w:sz w:val="16"/>
                <w:szCs w:val="16"/>
              </w:rPr>
              <w:t xml:space="preserve"> prováděny vždy po schválení pracovní skupinou a s min. půlročním předstihem</w:t>
            </w:r>
            <w:r w:rsidRPr="1B8B314C">
              <w:rPr>
                <w:sz w:val="16"/>
                <w:szCs w:val="16"/>
              </w:rPr>
              <w:t xml:space="preserve">. </w:t>
            </w:r>
          </w:p>
          <w:p w14:paraId="48C950F9" w14:textId="1754DFAA" w:rsidR="004771E4" w:rsidRPr="000421F0" w:rsidRDefault="004771E4" w:rsidP="00E105D8">
            <w:pPr>
              <w:pStyle w:val="ListParagraph"/>
              <w:numPr>
                <w:ilvl w:val="0"/>
                <w:numId w:val="31"/>
              </w:numPr>
              <w:spacing w:before="60" w:after="60"/>
              <w:ind w:left="442" w:right="134"/>
              <w:contextualSpacing w:val="0"/>
              <w:rPr>
                <w:sz w:val="16"/>
                <w:szCs w:val="16"/>
              </w:rPr>
            </w:pPr>
            <w:r w:rsidRPr="1B8B314C">
              <w:rPr>
                <w:sz w:val="16"/>
                <w:szCs w:val="16"/>
              </w:rPr>
              <w:t>Výzvy by měly být vypisovány s ročním předstihem</w:t>
            </w:r>
            <w:r w:rsidR="00715D95">
              <w:rPr>
                <w:sz w:val="16"/>
                <w:szCs w:val="16"/>
              </w:rPr>
              <w:t>.</w:t>
            </w:r>
            <w:r w:rsidRPr="1B8B314C">
              <w:rPr>
                <w:sz w:val="16"/>
                <w:szCs w:val="16"/>
              </w:rPr>
              <w:t xml:space="preserve"> </w:t>
            </w:r>
          </w:p>
          <w:p w14:paraId="6E342E3B" w14:textId="2B687337" w:rsidR="004771E4" w:rsidRPr="000421F0" w:rsidRDefault="004771E4" w:rsidP="00E105D8">
            <w:pPr>
              <w:pStyle w:val="ListParagraph"/>
              <w:numPr>
                <w:ilvl w:val="0"/>
                <w:numId w:val="31"/>
              </w:numPr>
              <w:spacing w:before="60" w:after="60"/>
              <w:ind w:left="442" w:right="134"/>
              <w:contextualSpacing w:val="0"/>
              <w:rPr>
                <w:b/>
                <w:bCs/>
                <w:sz w:val="16"/>
                <w:szCs w:val="16"/>
              </w:rPr>
            </w:pPr>
            <w:r w:rsidRPr="1B8B314C">
              <w:rPr>
                <w:b/>
                <w:bCs/>
                <w:sz w:val="16"/>
                <w:szCs w:val="16"/>
              </w:rPr>
              <w:t xml:space="preserve">Outsourcing nebo </w:t>
            </w:r>
            <w:r w:rsidR="49AB8283" w:rsidRPr="1B8B314C">
              <w:rPr>
                <w:b/>
                <w:bCs/>
                <w:sz w:val="16"/>
                <w:szCs w:val="16"/>
              </w:rPr>
              <w:t xml:space="preserve">automatická </w:t>
            </w:r>
            <w:r w:rsidRPr="1B8B314C">
              <w:rPr>
                <w:b/>
                <w:bCs/>
                <w:sz w:val="16"/>
                <w:szCs w:val="16"/>
              </w:rPr>
              <w:t>robotizace formálního hodnocení.</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62DE7C1A" w14:textId="77777777" w:rsidR="004771E4" w:rsidRPr="000421F0" w:rsidRDefault="004771E4" w:rsidP="00E105D8">
            <w:pPr>
              <w:spacing w:before="60" w:after="60"/>
              <w:rPr>
                <w:sz w:val="16"/>
                <w:szCs w:val="16"/>
              </w:rPr>
            </w:pPr>
            <w:r w:rsidRPr="000421F0">
              <w:rPr>
                <w:sz w:val="16"/>
                <w:szCs w:val="16"/>
              </w:rPr>
              <w:t>Krátkodobý / Střednědobý horizont</w:t>
            </w:r>
          </w:p>
          <w:p w14:paraId="0C4BD63A" w14:textId="77777777" w:rsidR="004771E4" w:rsidRPr="000421F0" w:rsidRDefault="004771E4" w:rsidP="00E105D8">
            <w:pPr>
              <w:spacing w:before="60" w:after="60"/>
              <w:rPr>
                <w:sz w:val="16"/>
                <w:szCs w:val="16"/>
              </w:rPr>
            </w:pPr>
          </w:p>
          <w:p w14:paraId="54662E4F" w14:textId="77777777" w:rsidR="004771E4" w:rsidRPr="000421F0" w:rsidRDefault="004771E4" w:rsidP="00E105D8">
            <w:pPr>
              <w:spacing w:before="60" w:after="60"/>
              <w:rPr>
                <w:sz w:val="16"/>
                <w:szCs w:val="16"/>
              </w:rPr>
            </w:pPr>
          </w:p>
        </w:tc>
      </w:tr>
      <w:tr w:rsidR="004771E4" w:rsidRPr="000421F0" w14:paraId="0D7D19DC"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2529F9A2" w14:textId="77777777" w:rsidR="004771E4" w:rsidRPr="000421F0" w:rsidRDefault="004771E4" w:rsidP="00E105D8">
            <w:pPr>
              <w:spacing w:before="60" w:after="60"/>
              <w:ind w:right="90"/>
              <w:rPr>
                <w:b/>
                <w:sz w:val="16"/>
                <w:szCs w:val="16"/>
              </w:rPr>
            </w:pPr>
            <w:r w:rsidRPr="000421F0">
              <w:rPr>
                <w:b/>
                <w:sz w:val="16"/>
                <w:szCs w:val="16"/>
              </w:rPr>
              <w:t>Nedodržování harmonogramu výzev</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65A7851" w14:textId="77777777" w:rsidR="004771E4" w:rsidRPr="000421F0" w:rsidRDefault="004771E4" w:rsidP="00E105D8">
            <w:pPr>
              <w:spacing w:before="60" w:after="60"/>
              <w:rPr>
                <w:b/>
                <w:sz w:val="16"/>
                <w:szCs w:val="16"/>
              </w:rPr>
            </w:pPr>
            <w:r w:rsidRPr="000421F0">
              <w:rPr>
                <w:sz w:val="16"/>
                <w:szCs w:val="16"/>
              </w:rPr>
              <w:t>Ke změnám harmonogramu dochází i po jeho vyhlášení. Žadatelé se nemohou dostatečně dopředu připravit na výzvy.</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7C6ABAB" w14:textId="77777777" w:rsidR="004771E4" w:rsidRPr="000421F0" w:rsidRDefault="004771E4" w:rsidP="00E105D8">
            <w:pPr>
              <w:spacing w:before="60" w:after="60"/>
              <w:ind w:left="177" w:right="134"/>
              <w:jc w:val="center"/>
              <w:rPr>
                <w:sz w:val="16"/>
                <w:szCs w:val="16"/>
              </w:rPr>
            </w:pPr>
            <w:r w:rsidRPr="000421F0">
              <w:rPr>
                <w:sz w:val="16"/>
                <w:szCs w:val="16"/>
              </w:rPr>
              <w:t>Ano</w:t>
            </w:r>
          </w:p>
          <w:p w14:paraId="4BB49CB5"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AECA092" w14:textId="77777777" w:rsidR="004771E4" w:rsidRPr="000421F0" w:rsidRDefault="004771E4" w:rsidP="00E105D8">
            <w:pPr>
              <w:pStyle w:val="ListParagraph"/>
              <w:numPr>
                <w:ilvl w:val="0"/>
                <w:numId w:val="31"/>
              </w:numPr>
              <w:spacing w:before="60" w:after="60"/>
              <w:ind w:left="442" w:right="134"/>
              <w:contextualSpacing w:val="0"/>
              <w:rPr>
                <w:b/>
                <w:sz w:val="16"/>
                <w:szCs w:val="16"/>
              </w:rPr>
            </w:pPr>
            <w:r w:rsidRPr="000421F0">
              <w:rPr>
                <w:b/>
                <w:sz w:val="16"/>
                <w:szCs w:val="16"/>
              </w:rPr>
              <w:t xml:space="preserve">Zrušení možnosti provádění obsahových změn ve výzvách v průběhu kalendářního roku. </w:t>
            </w:r>
          </w:p>
          <w:p w14:paraId="12D8F28F" w14:textId="77777777" w:rsidR="004771E4" w:rsidRPr="000421F0" w:rsidRDefault="004771E4" w:rsidP="00E105D8">
            <w:pPr>
              <w:pStyle w:val="ListParagraph"/>
              <w:numPr>
                <w:ilvl w:val="0"/>
                <w:numId w:val="31"/>
              </w:numPr>
              <w:spacing w:before="60" w:after="60"/>
              <w:ind w:left="442" w:right="134"/>
              <w:contextualSpacing w:val="0"/>
              <w:rPr>
                <w:b/>
                <w:sz w:val="16"/>
                <w:szCs w:val="16"/>
              </w:rPr>
            </w:pPr>
            <w:r w:rsidRPr="000421F0">
              <w:rPr>
                <w:sz w:val="16"/>
                <w:szCs w:val="16"/>
              </w:rPr>
              <w:t>Zveřejňování výzev minimálně 6 měsíců a ideálně rok či více před termínem podávání přihlášek.</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27DE129F" w14:textId="77777777" w:rsidR="004771E4" w:rsidRPr="000421F0" w:rsidRDefault="004771E4" w:rsidP="00E105D8">
            <w:pPr>
              <w:spacing w:before="60" w:after="60"/>
              <w:rPr>
                <w:sz w:val="16"/>
                <w:szCs w:val="16"/>
              </w:rPr>
            </w:pPr>
            <w:r w:rsidRPr="000421F0">
              <w:rPr>
                <w:sz w:val="16"/>
                <w:szCs w:val="16"/>
              </w:rPr>
              <w:t>Příští programové období</w:t>
            </w:r>
          </w:p>
        </w:tc>
      </w:tr>
      <w:tr w:rsidR="004771E4" w:rsidRPr="000421F0" w14:paraId="31779860"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1355B3F6" w14:textId="77777777" w:rsidR="004771E4" w:rsidRPr="000421F0" w:rsidRDefault="004771E4" w:rsidP="00E105D8">
            <w:pPr>
              <w:spacing w:before="60" w:after="60"/>
              <w:ind w:right="90"/>
              <w:rPr>
                <w:b/>
                <w:sz w:val="16"/>
                <w:szCs w:val="16"/>
              </w:rPr>
            </w:pPr>
            <w:r w:rsidRPr="000421F0">
              <w:rPr>
                <w:b/>
                <w:sz w:val="16"/>
                <w:szCs w:val="16"/>
              </w:rPr>
              <w:t>Nevhodná forma výzev</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9E5B032" w14:textId="77777777" w:rsidR="004771E4" w:rsidRPr="000421F0" w:rsidRDefault="004771E4" w:rsidP="00E105D8">
            <w:pPr>
              <w:spacing w:before="60" w:after="60"/>
              <w:rPr>
                <w:sz w:val="16"/>
                <w:szCs w:val="16"/>
              </w:rPr>
            </w:pPr>
            <w:r w:rsidRPr="000421F0">
              <w:rPr>
                <w:sz w:val="16"/>
                <w:szCs w:val="16"/>
              </w:rPr>
              <w:t>Kolové výzvy nemají schopnost reagovat na rychlé změny v poptávce a nabídce.</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5BA5411C" w14:textId="77777777" w:rsidR="004771E4" w:rsidRPr="000421F0" w:rsidRDefault="004771E4" w:rsidP="00E105D8">
            <w:pPr>
              <w:spacing w:before="60" w:after="60"/>
              <w:ind w:left="177" w:right="134"/>
              <w:jc w:val="center"/>
              <w:rPr>
                <w:sz w:val="16"/>
                <w:szCs w:val="16"/>
              </w:rPr>
            </w:pPr>
            <w:r w:rsidRPr="000421F0">
              <w:rPr>
                <w:sz w:val="16"/>
                <w:szCs w:val="16"/>
              </w:rPr>
              <w:t>Ano</w:t>
            </w:r>
          </w:p>
          <w:p w14:paraId="6DBFABEE" w14:textId="77777777" w:rsidR="004771E4" w:rsidRPr="000421F0" w:rsidRDefault="004771E4" w:rsidP="00E105D8">
            <w:pPr>
              <w:spacing w:before="60" w:after="60"/>
              <w:ind w:left="177" w:right="134"/>
              <w:jc w:val="center"/>
              <w:rPr>
                <w:sz w:val="16"/>
                <w:szCs w:val="16"/>
              </w:rPr>
            </w:pPr>
          </w:p>
          <w:p w14:paraId="6D33C4B7" w14:textId="77777777" w:rsidR="004771E4" w:rsidRPr="000421F0" w:rsidRDefault="004771E4" w:rsidP="00E105D8">
            <w:pPr>
              <w:spacing w:before="60" w:after="60"/>
              <w:ind w:left="177" w:right="134"/>
              <w:jc w:val="center"/>
              <w:rPr>
                <w:sz w:val="16"/>
                <w:szCs w:val="16"/>
              </w:rPr>
            </w:pPr>
            <w:r w:rsidRPr="000421F0">
              <w:rPr>
                <w:sz w:val="16"/>
                <w:szCs w:val="16"/>
              </w:rPr>
              <w:t>1, 3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760E990A" w14:textId="1CFA7429" w:rsidR="004771E4" w:rsidRPr="000421F0" w:rsidRDefault="000102EC" w:rsidP="00E105D8">
            <w:pPr>
              <w:pStyle w:val="ListParagraph"/>
              <w:numPr>
                <w:ilvl w:val="0"/>
                <w:numId w:val="31"/>
              </w:numPr>
              <w:spacing w:before="60" w:after="60"/>
              <w:ind w:left="442" w:right="134"/>
              <w:contextualSpacing w:val="0"/>
              <w:rPr>
                <w:sz w:val="16"/>
                <w:szCs w:val="16"/>
              </w:rPr>
            </w:pPr>
            <w:r w:rsidRPr="000421F0">
              <w:rPr>
                <w:sz w:val="16"/>
                <w:szCs w:val="16"/>
              </w:rPr>
              <w:t>Zavedení průběžných</w:t>
            </w:r>
            <w:r w:rsidR="004771E4" w:rsidRPr="000421F0">
              <w:rPr>
                <w:sz w:val="16"/>
                <w:szCs w:val="16"/>
              </w:rPr>
              <w:t xml:space="preserve"> výzev s jednodušší administrativou schopných operativnější reakce na urgentní potřeby žadatelů.</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2911F884" w14:textId="77777777" w:rsidR="004771E4" w:rsidRPr="000421F0" w:rsidRDefault="004771E4" w:rsidP="00E105D8">
            <w:pPr>
              <w:spacing w:before="60" w:after="60"/>
              <w:rPr>
                <w:sz w:val="16"/>
                <w:szCs w:val="16"/>
              </w:rPr>
            </w:pPr>
            <w:r w:rsidRPr="000421F0">
              <w:rPr>
                <w:sz w:val="16"/>
                <w:szCs w:val="16"/>
              </w:rPr>
              <w:t>Střednědobý horizont</w:t>
            </w:r>
          </w:p>
        </w:tc>
      </w:tr>
      <w:tr w:rsidR="004771E4" w:rsidRPr="000421F0" w14:paraId="467579AA" w14:textId="77777777" w:rsidTr="004B3AE9">
        <w:tc>
          <w:tcPr>
            <w:tcW w:w="2479" w:type="pct"/>
            <w:gridSpan w:val="2"/>
            <w:tcBorders>
              <w:top w:val="single" w:sz="6" w:space="0" w:color="D9D9D9" w:themeColor="background1" w:themeShade="D9"/>
              <w:left w:val="nil"/>
              <w:bottom w:val="single" w:sz="6" w:space="0" w:color="D9D9D9" w:themeColor="background1" w:themeShade="D9"/>
              <w:right w:val="single" w:sz="4" w:space="0" w:color="D0EC9F" w:themeColor="accent1" w:themeTint="66"/>
            </w:tcBorders>
            <w:shd w:val="clear" w:color="auto" w:fill="E7F5CF" w:themeFill="accent1" w:themeFillTint="33"/>
            <w:hideMark/>
          </w:tcPr>
          <w:p w14:paraId="541D6C19" w14:textId="77777777" w:rsidR="004771E4" w:rsidRPr="000421F0" w:rsidRDefault="004771E4" w:rsidP="00E105D8">
            <w:pPr>
              <w:spacing w:before="60" w:after="60"/>
              <w:ind w:right="90"/>
              <w:rPr>
                <w:sz w:val="16"/>
                <w:szCs w:val="16"/>
              </w:rPr>
            </w:pPr>
            <w:r w:rsidRPr="000421F0">
              <w:rPr>
                <w:b/>
                <w:sz w:val="16"/>
                <w:szCs w:val="16"/>
              </w:rPr>
              <w:t>Kontroly a nesrovnalosti (KaN)</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07C8D107" w14:textId="77777777" w:rsidR="004771E4" w:rsidRPr="000421F0" w:rsidRDefault="004771E4" w:rsidP="00E105D8">
            <w:pPr>
              <w:spacing w:before="60" w:after="60"/>
              <w:ind w:left="177" w:right="134"/>
              <w:jc w:val="center"/>
              <w:rPr>
                <w:sz w:val="16"/>
                <w:szCs w:val="16"/>
              </w:rPr>
            </w:pP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3E07BA22" w14:textId="77777777" w:rsidR="004771E4" w:rsidRPr="000421F0" w:rsidRDefault="004771E4" w:rsidP="00E105D8">
            <w:pPr>
              <w:spacing w:before="60" w:after="60"/>
              <w:ind w:right="134"/>
              <w:rPr>
                <w:sz w:val="16"/>
                <w:szCs w:val="16"/>
              </w:rPr>
            </w:pP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shd w:val="clear" w:color="auto" w:fill="E7F5CF" w:themeFill="accent1" w:themeFillTint="33"/>
          </w:tcPr>
          <w:p w14:paraId="497C73DB" w14:textId="77777777" w:rsidR="004771E4" w:rsidRPr="000421F0" w:rsidRDefault="004771E4" w:rsidP="00E105D8">
            <w:pPr>
              <w:spacing w:before="60" w:after="60"/>
              <w:ind w:right="90"/>
              <w:rPr>
                <w:sz w:val="16"/>
                <w:szCs w:val="16"/>
              </w:rPr>
            </w:pPr>
          </w:p>
        </w:tc>
      </w:tr>
      <w:tr w:rsidR="004771E4" w:rsidRPr="000421F0" w14:paraId="77EFBEAB" w14:textId="77777777" w:rsidTr="004B3AE9">
        <w:trPr>
          <w:trHeight w:val="1784"/>
        </w:trPr>
        <w:tc>
          <w:tcPr>
            <w:tcW w:w="667" w:type="pct"/>
            <w:vMerge w:val="restar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23C9582F" w14:textId="77777777" w:rsidR="004771E4" w:rsidRPr="000421F0" w:rsidRDefault="004771E4" w:rsidP="00E105D8">
            <w:pPr>
              <w:spacing w:before="60" w:after="60"/>
              <w:ind w:right="90"/>
              <w:rPr>
                <w:b/>
                <w:sz w:val="16"/>
                <w:szCs w:val="16"/>
              </w:rPr>
            </w:pPr>
            <w:r w:rsidRPr="000421F0">
              <w:rPr>
                <w:b/>
                <w:sz w:val="16"/>
                <w:szCs w:val="16"/>
              </w:rPr>
              <w:lastRenderedPageBreak/>
              <w:t>Kontroly na místě</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7E48CC5A" w14:textId="77777777" w:rsidR="004771E4" w:rsidRPr="000421F0" w:rsidRDefault="004771E4" w:rsidP="00E105D8">
            <w:pPr>
              <w:spacing w:before="60" w:after="60"/>
              <w:rPr>
                <w:sz w:val="16"/>
                <w:szCs w:val="16"/>
              </w:rPr>
            </w:pPr>
            <w:r w:rsidRPr="000421F0">
              <w:rPr>
                <w:b/>
                <w:sz w:val="16"/>
                <w:szCs w:val="16"/>
              </w:rPr>
              <w:t>Procesy KaN jsou spojeny s nadbytečnými manuálními úkony.</w:t>
            </w:r>
            <w:r w:rsidRPr="000421F0">
              <w:rPr>
                <w:sz w:val="16"/>
                <w:szCs w:val="16"/>
              </w:rPr>
              <w:t xml:space="preserve"> Jde např. o:</w:t>
            </w:r>
          </w:p>
          <w:p w14:paraId="49D48B43" w14:textId="699AC61F" w:rsidR="004771E4" w:rsidRPr="000421F0" w:rsidRDefault="004771E4" w:rsidP="00E105D8">
            <w:pPr>
              <w:numPr>
                <w:ilvl w:val="0"/>
                <w:numId w:val="32"/>
              </w:numPr>
              <w:spacing w:before="60" w:after="60"/>
              <w:rPr>
                <w:sz w:val="16"/>
                <w:szCs w:val="16"/>
              </w:rPr>
            </w:pPr>
            <w:r w:rsidRPr="000421F0">
              <w:rPr>
                <w:sz w:val="16"/>
                <w:szCs w:val="16"/>
              </w:rPr>
              <w:t xml:space="preserve">Generování seznamu projektů, které budou v daný měsíc/týden předkládat </w:t>
            </w:r>
            <w:r w:rsidR="00825645" w:rsidRPr="000421F0">
              <w:rPr>
                <w:sz w:val="16"/>
                <w:szCs w:val="16"/>
              </w:rPr>
              <w:t>ŽoPl</w:t>
            </w:r>
            <w:r w:rsidRPr="000421F0">
              <w:rPr>
                <w:sz w:val="16"/>
                <w:szCs w:val="16"/>
              </w:rPr>
              <w:t>, pracovníky ZS;</w:t>
            </w:r>
          </w:p>
          <w:p w14:paraId="79EF58D6" w14:textId="77777777" w:rsidR="004771E4" w:rsidRPr="000421F0" w:rsidRDefault="004771E4" w:rsidP="00E105D8">
            <w:pPr>
              <w:numPr>
                <w:ilvl w:val="0"/>
                <w:numId w:val="32"/>
              </w:numPr>
              <w:spacing w:before="60" w:after="60"/>
              <w:rPr>
                <w:sz w:val="16"/>
                <w:szCs w:val="16"/>
              </w:rPr>
            </w:pPr>
            <w:r w:rsidRPr="000421F0">
              <w:rPr>
                <w:sz w:val="16"/>
                <w:szCs w:val="16"/>
              </w:rPr>
              <w:t>Ruční přepisování seznamu kontrolovaných projektů do Informačního systému pro podporu provádění a vyhodnocování finančních kontrol, Modulu koordinace plánování kontrol (to vede to k chybovosti a neefektivnosti celého systému, navíc ŘO provádí kontroly bez ohledu na projekty vložené do tohoto systému).</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E2FFF3A" w14:textId="77777777" w:rsidR="004771E4" w:rsidRPr="000421F0" w:rsidRDefault="004771E4" w:rsidP="00E105D8">
            <w:pPr>
              <w:spacing w:before="60" w:after="60"/>
              <w:ind w:left="177" w:right="134"/>
              <w:jc w:val="center"/>
              <w:rPr>
                <w:sz w:val="16"/>
                <w:szCs w:val="16"/>
              </w:rPr>
            </w:pPr>
            <w:r w:rsidRPr="000421F0">
              <w:rPr>
                <w:sz w:val="16"/>
                <w:szCs w:val="16"/>
              </w:rPr>
              <w:t>Ano</w:t>
            </w:r>
          </w:p>
          <w:p w14:paraId="425F4D14" w14:textId="77777777" w:rsidR="004771E4" w:rsidRPr="000421F0" w:rsidRDefault="004771E4" w:rsidP="00E105D8">
            <w:pPr>
              <w:spacing w:before="60" w:after="60"/>
              <w:ind w:left="177" w:right="134"/>
              <w:jc w:val="center"/>
              <w:rPr>
                <w:sz w:val="16"/>
                <w:szCs w:val="16"/>
              </w:rPr>
            </w:pPr>
          </w:p>
          <w:p w14:paraId="5D1CDF97" w14:textId="77777777" w:rsidR="004771E4" w:rsidRPr="000421F0" w:rsidRDefault="004771E4" w:rsidP="00E105D8">
            <w:pPr>
              <w:spacing w:before="60" w:after="60"/>
              <w:ind w:left="177" w:right="134"/>
              <w:jc w:val="center"/>
              <w:rPr>
                <w:sz w:val="16"/>
                <w:szCs w:val="16"/>
              </w:rPr>
            </w:pPr>
            <w:r w:rsidRPr="000421F0">
              <w:rPr>
                <w:sz w:val="16"/>
                <w:szCs w:val="16"/>
              </w:rPr>
              <w:t>2</w:t>
            </w:r>
          </w:p>
        </w:tc>
        <w:tc>
          <w:tcPr>
            <w:tcW w:w="1462"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7BA9034"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Zrušení nebo automatizace sestav do MKPK.</w:t>
            </w:r>
          </w:p>
          <w:p w14:paraId="0B3AE765"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Vyjmutí povinnosti kontroly statusu MSP z KnM.</w:t>
            </w:r>
          </w:p>
          <w:p w14:paraId="6DCBD29F"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 xml:space="preserve">Vyjmutí kontroly mzdových nákladů z KnM. </w:t>
            </w:r>
          </w:p>
          <w:p w14:paraId="3F5C2229" w14:textId="77777777" w:rsidR="004771E4" w:rsidRPr="000421F0" w:rsidRDefault="004771E4" w:rsidP="00E105D8">
            <w:pPr>
              <w:pStyle w:val="ListParagraph"/>
              <w:numPr>
                <w:ilvl w:val="0"/>
                <w:numId w:val="31"/>
              </w:numPr>
              <w:spacing w:before="60" w:after="60"/>
              <w:ind w:left="442" w:right="134"/>
              <w:contextualSpacing w:val="0"/>
              <w:rPr>
                <w:b/>
                <w:sz w:val="16"/>
                <w:szCs w:val="16"/>
              </w:rPr>
            </w:pPr>
            <w:r w:rsidRPr="000421F0">
              <w:rPr>
                <w:b/>
                <w:sz w:val="16"/>
                <w:szCs w:val="16"/>
              </w:rPr>
              <w:t>Zavedení paušálního financování mzdových nákladů.</w:t>
            </w:r>
          </w:p>
          <w:p w14:paraId="4C97573C" w14:textId="77777777" w:rsidR="004771E4" w:rsidRPr="000421F0" w:rsidRDefault="004771E4" w:rsidP="00E105D8">
            <w:pPr>
              <w:pStyle w:val="ListParagraph"/>
              <w:numPr>
                <w:ilvl w:val="0"/>
                <w:numId w:val="31"/>
              </w:numPr>
              <w:spacing w:before="60" w:after="60"/>
              <w:ind w:left="442" w:right="134"/>
              <w:contextualSpacing w:val="0"/>
              <w:rPr>
                <w:b/>
                <w:sz w:val="16"/>
                <w:szCs w:val="16"/>
              </w:rPr>
            </w:pPr>
            <w:r w:rsidRPr="000421F0">
              <w:rPr>
                <w:b/>
                <w:sz w:val="16"/>
                <w:szCs w:val="16"/>
              </w:rPr>
              <w:t>Zrušení automatického posílání KnM na nezahájené projekty a automatické zahájení procesu odnětí dotace.</w:t>
            </w:r>
          </w:p>
        </w:tc>
        <w:tc>
          <w:tcPr>
            <w:tcW w:w="555"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64FA788E" w14:textId="77777777" w:rsidR="004771E4" w:rsidRPr="000421F0" w:rsidRDefault="004771E4" w:rsidP="00E105D8">
            <w:pPr>
              <w:spacing w:before="60" w:after="60"/>
              <w:rPr>
                <w:sz w:val="16"/>
                <w:szCs w:val="16"/>
              </w:rPr>
            </w:pPr>
            <w:r w:rsidRPr="000421F0">
              <w:rPr>
                <w:sz w:val="16"/>
                <w:szCs w:val="16"/>
              </w:rPr>
              <w:t>Krátkodobý horizont</w:t>
            </w:r>
          </w:p>
        </w:tc>
      </w:tr>
      <w:tr w:rsidR="004771E4" w:rsidRPr="000421F0" w14:paraId="73910FB1" w14:textId="77777777" w:rsidTr="004B3AE9">
        <w:tc>
          <w:tcPr>
            <w:tcW w:w="0" w:type="auto"/>
            <w:vMerge/>
            <w:vAlign w:val="center"/>
            <w:hideMark/>
          </w:tcPr>
          <w:p w14:paraId="43729338"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1D8690CE" w14:textId="0CE15D12" w:rsidR="004771E4" w:rsidRPr="000421F0" w:rsidRDefault="004771E4" w:rsidP="00E105D8">
            <w:pPr>
              <w:spacing w:before="60" w:after="60"/>
              <w:rPr>
                <w:sz w:val="16"/>
                <w:szCs w:val="16"/>
              </w:rPr>
            </w:pPr>
            <w:r w:rsidRPr="000421F0">
              <w:rPr>
                <w:b/>
                <w:sz w:val="16"/>
                <w:szCs w:val="16"/>
              </w:rPr>
              <w:t>Ověřování statusu MSP</w:t>
            </w:r>
            <w:r w:rsidRPr="000421F0">
              <w:rPr>
                <w:sz w:val="16"/>
                <w:szCs w:val="16"/>
              </w:rPr>
              <w:t xml:space="preserve"> v rámci kontroly na místě je </w:t>
            </w:r>
            <w:r w:rsidRPr="000421F0">
              <w:rPr>
                <w:b/>
                <w:sz w:val="16"/>
                <w:szCs w:val="16"/>
              </w:rPr>
              <w:t>časově nejnáročnější činnost s nízkou přidanou hodnotou</w:t>
            </w:r>
            <w:r w:rsidRPr="000421F0">
              <w:rPr>
                <w:sz w:val="16"/>
                <w:szCs w:val="16"/>
              </w:rPr>
              <w:t xml:space="preserve">. </w:t>
            </w:r>
            <w:r w:rsidR="00467077">
              <w:rPr>
                <w:sz w:val="16"/>
                <w:szCs w:val="16"/>
              </w:rPr>
              <w:t xml:space="preserve">(Jedná se o třetí kontrolu MSP, 1. kontrola je před vydáním RoPD, druhá po vydání RoPD.) </w:t>
            </w:r>
            <w:r w:rsidRPr="000421F0">
              <w:rPr>
                <w:sz w:val="16"/>
                <w:szCs w:val="16"/>
              </w:rPr>
              <w:t xml:space="preserve">Zpomaluje celý proces kontroly, která navíc probíhá již potřetí ke dni vydání RoPD, a vede často k nedodržování termínů pro proplacení </w:t>
            </w:r>
            <w:r w:rsidR="00825645" w:rsidRPr="000421F0">
              <w:rPr>
                <w:sz w:val="16"/>
                <w:szCs w:val="16"/>
              </w:rPr>
              <w:t>ŽoPl</w:t>
            </w:r>
            <w:r w:rsidRPr="000421F0">
              <w:rPr>
                <w:sz w:val="16"/>
                <w:szCs w:val="16"/>
              </w:rPr>
              <w:t>.</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4E6DF0EC" w14:textId="77777777" w:rsidR="004771E4" w:rsidRPr="000421F0" w:rsidRDefault="004771E4" w:rsidP="00E105D8">
            <w:pPr>
              <w:spacing w:before="60" w:after="60"/>
              <w:ind w:left="177" w:right="134"/>
              <w:jc w:val="center"/>
              <w:rPr>
                <w:sz w:val="16"/>
                <w:szCs w:val="16"/>
              </w:rPr>
            </w:pPr>
            <w:r w:rsidRPr="000421F0">
              <w:rPr>
                <w:sz w:val="16"/>
                <w:szCs w:val="16"/>
              </w:rPr>
              <w:t>Ano</w:t>
            </w:r>
          </w:p>
          <w:p w14:paraId="6AC06F83" w14:textId="77777777" w:rsidR="004771E4" w:rsidRPr="000421F0" w:rsidRDefault="004771E4" w:rsidP="00E105D8">
            <w:pPr>
              <w:spacing w:before="60" w:after="60"/>
              <w:ind w:left="177" w:right="134"/>
              <w:jc w:val="center"/>
              <w:rPr>
                <w:sz w:val="16"/>
                <w:szCs w:val="16"/>
              </w:rPr>
            </w:pPr>
          </w:p>
          <w:p w14:paraId="7382F65D" w14:textId="77777777" w:rsidR="004771E4" w:rsidRPr="000421F0" w:rsidRDefault="004771E4" w:rsidP="00E105D8">
            <w:pPr>
              <w:spacing w:before="60" w:after="60"/>
              <w:ind w:left="177" w:right="134"/>
              <w:jc w:val="center"/>
              <w:rPr>
                <w:sz w:val="16"/>
                <w:szCs w:val="16"/>
              </w:rPr>
            </w:pPr>
            <w:r w:rsidRPr="000421F0">
              <w:rPr>
                <w:sz w:val="16"/>
                <w:szCs w:val="16"/>
              </w:rPr>
              <w:t>3</w:t>
            </w:r>
          </w:p>
        </w:tc>
        <w:tc>
          <w:tcPr>
            <w:tcW w:w="0" w:type="auto"/>
            <w:vMerge/>
            <w:vAlign w:val="center"/>
            <w:hideMark/>
          </w:tcPr>
          <w:p w14:paraId="02323EB5" w14:textId="77777777" w:rsidR="004771E4" w:rsidRPr="000421F0" w:rsidRDefault="004771E4" w:rsidP="00E105D8">
            <w:pPr>
              <w:spacing w:before="60" w:after="60"/>
              <w:rPr>
                <w:b/>
                <w:sz w:val="16"/>
                <w:szCs w:val="16"/>
              </w:rPr>
            </w:pPr>
          </w:p>
        </w:tc>
        <w:tc>
          <w:tcPr>
            <w:tcW w:w="0" w:type="auto"/>
            <w:vMerge/>
            <w:vAlign w:val="center"/>
            <w:hideMark/>
          </w:tcPr>
          <w:p w14:paraId="5C9C4F0A" w14:textId="77777777" w:rsidR="004771E4" w:rsidRPr="000421F0" w:rsidRDefault="004771E4" w:rsidP="00E105D8">
            <w:pPr>
              <w:spacing w:before="60" w:after="60"/>
              <w:rPr>
                <w:sz w:val="16"/>
                <w:szCs w:val="16"/>
              </w:rPr>
            </w:pPr>
          </w:p>
        </w:tc>
      </w:tr>
      <w:tr w:rsidR="004771E4" w:rsidRPr="000421F0" w14:paraId="1741AD39" w14:textId="77777777" w:rsidTr="004B3AE9">
        <w:tc>
          <w:tcPr>
            <w:tcW w:w="0" w:type="auto"/>
            <w:vMerge/>
            <w:vAlign w:val="center"/>
            <w:hideMark/>
          </w:tcPr>
          <w:p w14:paraId="1F140113"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D79EE79" w14:textId="77777777" w:rsidR="004771E4" w:rsidRPr="000421F0" w:rsidRDefault="004771E4" w:rsidP="00E105D8">
            <w:pPr>
              <w:spacing w:before="60" w:after="60"/>
              <w:rPr>
                <w:sz w:val="16"/>
                <w:szCs w:val="16"/>
              </w:rPr>
            </w:pPr>
            <w:r w:rsidRPr="000421F0">
              <w:rPr>
                <w:b/>
                <w:sz w:val="16"/>
                <w:szCs w:val="16"/>
              </w:rPr>
              <w:t>Kontrola mzdových nákladů</w:t>
            </w:r>
            <w:r w:rsidRPr="000421F0">
              <w:rPr>
                <w:sz w:val="16"/>
                <w:szCs w:val="16"/>
              </w:rPr>
              <w:t xml:space="preserve">, jejichž vykazování je poznamenáno velkou chybovostí příjemců podpory, je v rámci kontrol na místě </w:t>
            </w:r>
            <w:r w:rsidRPr="000421F0">
              <w:rPr>
                <w:b/>
                <w:sz w:val="16"/>
                <w:szCs w:val="16"/>
              </w:rPr>
              <w:t>časově náročná a zpomaluje celý proces</w:t>
            </w:r>
            <w:r w:rsidRPr="000421F0">
              <w:rPr>
                <w:sz w:val="16"/>
                <w:szCs w:val="16"/>
              </w:rPr>
              <w:t xml:space="preserve"> kontrol.</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29BE771E" w14:textId="77777777" w:rsidR="004771E4" w:rsidRPr="000421F0" w:rsidRDefault="004771E4" w:rsidP="00E105D8">
            <w:pPr>
              <w:spacing w:before="60" w:after="60"/>
              <w:ind w:left="177" w:right="134"/>
              <w:jc w:val="center"/>
              <w:rPr>
                <w:sz w:val="16"/>
                <w:szCs w:val="16"/>
              </w:rPr>
            </w:pPr>
            <w:r w:rsidRPr="000421F0">
              <w:rPr>
                <w:sz w:val="16"/>
                <w:szCs w:val="16"/>
              </w:rPr>
              <w:t>Ano</w:t>
            </w:r>
          </w:p>
          <w:p w14:paraId="0AEC879A" w14:textId="77777777" w:rsidR="004771E4" w:rsidRPr="000421F0" w:rsidRDefault="004771E4" w:rsidP="00E105D8">
            <w:pPr>
              <w:spacing w:before="60" w:after="60"/>
              <w:ind w:left="177" w:right="134"/>
              <w:jc w:val="center"/>
              <w:rPr>
                <w:sz w:val="16"/>
                <w:szCs w:val="16"/>
              </w:rPr>
            </w:pPr>
          </w:p>
          <w:p w14:paraId="2F1AE049" w14:textId="77777777" w:rsidR="004771E4" w:rsidRPr="000421F0" w:rsidRDefault="004771E4" w:rsidP="00E105D8">
            <w:pPr>
              <w:spacing w:before="60" w:after="60"/>
              <w:ind w:left="177" w:right="134"/>
              <w:jc w:val="center"/>
              <w:rPr>
                <w:sz w:val="16"/>
                <w:szCs w:val="16"/>
              </w:rPr>
            </w:pPr>
            <w:r w:rsidRPr="000421F0">
              <w:rPr>
                <w:sz w:val="16"/>
                <w:szCs w:val="16"/>
              </w:rPr>
              <w:t>3</w:t>
            </w:r>
          </w:p>
        </w:tc>
        <w:tc>
          <w:tcPr>
            <w:tcW w:w="0" w:type="auto"/>
            <w:vMerge/>
            <w:vAlign w:val="center"/>
            <w:hideMark/>
          </w:tcPr>
          <w:p w14:paraId="351B12FB" w14:textId="77777777" w:rsidR="004771E4" w:rsidRPr="000421F0" w:rsidRDefault="004771E4" w:rsidP="00E105D8">
            <w:pPr>
              <w:spacing w:before="60" w:after="60"/>
              <w:rPr>
                <w:b/>
                <w:sz w:val="16"/>
                <w:szCs w:val="16"/>
              </w:rPr>
            </w:pPr>
          </w:p>
        </w:tc>
        <w:tc>
          <w:tcPr>
            <w:tcW w:w="0" w:type="auto"/>
            <w:vMerge/>
            <w:vAlign w:val="center"/>
            <w:hideMark/>
          </w:tcPr>
          <w:p w14:paraId="6AB40571" w14:textId="77777777" w:rsidR="004771E4" w:rsidRPr="000421F0" w:rsidRDefault="004771E4" w:rsidP="00E105D8">
            <w:pPr>
              <w:spacing w:before="60" w:after="60"/>
              <w:rPr>
                <w:sz w:val="16"/>
                <w:szCs w:val="16"/>
              </w:rPr>
            </w:pPr>
          </w:p>
        </w:tc>
      </w:tr>
      <w:tr w:rsidR="004771E4" w:rsidRPr="000421F0" w14:paraId="7CA27178" w14:textId="77777777" w:rsidTr="004B3AE9">
        <w:tc>
          <w:tcPr>
            <w:tcW w:w="0" w:type="auto"/>
            <w:vMerge/>
            <w:vAlign w:val="center"/>
            <w:hideMark/>
          </w:tcPr>
          <w:p w14:paraId="4D9F3022"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F066CAE" w14:textId="696585E2" w:rsidR="004771E4" w:rsidRPr="000421F0" w:rsidRDefault="004771E4" w:rsidP="00E105D8">
            <w:pPr>
              <w:spacing w:before="60" w:after="60"/>
              <w:rPr>
                <w:sz w:val="16"/>
                <w:szCs w:val="16"/>
              </w:rPr>
            </w:pPr>
            <w:r w:rsidRPr="000421F0">
              <w:rPr>
                <w:b/>
                <w:sz w:val="16"/>
                <w:szCs w:val="16"/>
              </w:rPr>
              <w:t>Kontroly na místě jsou prováděny i v případě "mrtvých projektů"</w:t>
            </w:r>
            <w:r w:rsidRPr="000421F0">
              <w:rPr>
                <w:sz w:val="16"/>
                <w:szCs w:val="16"/>
              </w:rPr>
              <w:t xml:space="preserve">, kdy příjemce nekomunikuje a nepodal ani první </w:t>
            </w:r>
            <w:r w:rsidR="00825645" w:rsidRPr="000421F0">
              <w:rPr>
                <w:sz w:val="16"/>
                <w:szCs w:val="16"/>
              </w:rPr>
              <w:t>ŽoPl</w:t>
            </w:r>
            <w:r w:rsidRPr="000421F0">
              <w:rPr>
                <w:sz w:val="16"/>
                <w:szCs w:val="16"/>
              </w:rPr>
              <w:t>, a mohlo by se tedy přistoupit k procesu odnětí dotace, v rámci kterého může Příjemce své pochybení napravit.</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484315D" w14:textId="77777777" w:rsidR="004771E4" w:rsidRPr="000421F0" w:rsidRDefault="004771E4" w:rsidP="00E105D8">
            <w:pPr>
              <w:spacing w:before="60" w:after="60"/>
              <w:ind w:left="177" w:right="134"/>
              <w:jc w:val="center"/>
              <w:rPr>
                <w:sz w:val="16"/>
                <w:szCs w:val="16"/>
              </w:rPr>
            </w:pPr>
            <w:r w:rsidRPr="000421F0">
              <w:rPr>
                <w:sz w:val="16"/>
                <w:szCs w:val="16"/>
              </w:rPr>
              <w:t>Ano</w:t>
            </w:r>
          </w:p>
          <w:p w14:paraId="3E66BB31" w14:textId="77777777" w:rsidR="004771E4" w:rsidRPr="000421F0" w:rsidRDefault="004771E4" w:rsidP="00E105D8">
            <w:pPr>
              <w:spacing w:before="60" w:after="60"/>
              <w:ind w:left="177" w:right="134"/>
              <w:jc w:val="center"/>
              <w:rPr>
                <w:sz w:val="16"/>
                <w:szCs w:val="16"/>
              </w:rPr>
            </w:pPr>
          </w:p>
          <w:p w14:paraId="06280AB1" w14:textId="77777777" w:rsidR="004771E4" w:rsidRPr="000421F0" w:rsidRDefault="004771E4" w:rsidP="00E105D8">
            <w:pPr>
              <w:spacing w:before="60" w:after="60"/>
              <w:ind w:left="177" w:right="134"/>
              <w:jc w:val="center"/>
              <w:rPr>
                <w:sz w:val="16"/>
                <w:szCs w:val="16"/>
              </w:rPr>
            </w:pPr>
            <w:r w:rsidRPr="000421F0">
              <w:rPr>
                <w:sz w:val="16"/>
                <w:szCs w:val="16"/>
              </w:rPr>
              <w:t>3</w:t>
            </w:r>
          </w:p>
          <w:p w14:paraId="492ECB24" w14:textId="77777777" w:rsidR="004771E4" w:rsidRPr="000421F0" w:rsidRDefault="004771E4" w:rsidP="00E105D8">
            <w:pPr>
              <w:spacing w:before="60" w:after="60"/>
              <w:ind w:left="177" w:right="134"/>
              <w:jc w:val="center"/>
              <w:rPr>
                <w:sz w:val="16"/>
                <w:szCs w:val="16"/>
              </w:rPr>
            </w:pPr>
          </w:p>
        </w:tc>
        <w:tc>
          <w:tcPr>
            <w:tcW w:w="0" w:type="auto"/>
            <w:vMerge/>
            <w:vAlign w:val="center"/>
            <w:hideMark/>
          </w:tcPr>
          <w:p w14:paraId="23340FAD" w14:textId="77777777" w:rsidR="004771E4" w:rsidRPr="000421F0" w:rsidRDefault="004771E4" w:rsidP="00E105D8">
            <w:pPr>
              <w:spacing w:before="60" w:after="60"/>
              <w:rPr>
                <w:b/>
                <w:sz w:val="16"/>
                <w:szCs w:val="16"/>
              </w:rPr>
            </w:pPr>
          </w:p>
        </w:tc>
        <w:tc>
          <w:tcPr>
            <w:tcW w:w="0" w:type="auto"/>
            <w:vMerge/>
            <w:vAlign w:val="center"/>
            <w:hideMark/>
          </w:tcPr>
          <w:p w14:paraId="1F4A3365" w14:textId="77777777" w:rsidR="004771E4" w:rsidRPr="000421F0" w:rsidRDefault="004771E4" w:rsidP="00E105D8">
            <w:pPr>
              <w:spacing w:before="60" w:after="60"/>
              <w:rPr>
                <w:sz w:val="16"/>
                <w:szCs w:val="16"/>
              </w:rPr>
            </w:pPr>
          </w:p>
        </w:tc>
      </w:tr>
      <w:tr w:rsidR="004771E4" w:rsidRPr="000421F0" w14:paraId="20A23C97" w14:textId="77777777" w:rsidTr="004B3AE9">
        <w:tc>
          <w:tcPr>
            <w:tcW w:w="667" w:type="pct"/>
            <w:vMerge w:val="restar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7EE8093E" w14:textId="77777777" w:rsidR="004771E4" w:rsidRPr="000421F0" w:rsidRDefault="004771E4" w:rsidP="00E105D8">
            <w:pPr>
              <w:spacing w:before="60" w:after="60"/>
              <w:ind w:right="90"/>
              <w:rPr>
                <w:b/>
                <w:sz w:val="16"/>
                <w:szCs w:val="16"/>
              </w:rPr>
            </w:pPr>
            <w:r w:rsidRPr="000421F0">
              <w:rPr>
                <w:b/>
                <w:sz w:val="16"/>
                <w:szCs w:val="16"/>
              </w:rPr>
              <w:t>Poskytování součinnosti auditním kontrolám</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6B78B15" w14:textId="77777777" w:rsidR="004771E4" w:rsidRPr="000421F0" w:rsidRDefault="004771E4" w:rsidP="00E105D8">
            <w:pPr>
              <w:spacing w:before="60" w:after="60"/>
              <w:rPr>
                <w:sz w:val="16"/>
                <w:szCs w:val="16"/>
              </w:rPr>
            </w:pPr>
            <w:r w:rsidRPr="000421F0">
              <w:rPr>
                <w:b/>
                <w:sz w:val="16"/>
                <w:szCs w:val="16"/>
              </w:rPr>
              <w:t>Kontroly ŘO, ZS a auditních orgánů nejsou sjednoceny na úrovni míry detailu</w:t>
            </w:r>
            <w:r w:rsidRPr="000421F0">
              <w:rPr>
                <w:sz w:val="16"/>
                <w:szCs w:val="16"/>
              </w:rPr>
              <w:t>, a vedou tak nutně k výskytu nesrovnalostí v míře detailu, který ŘO v rámci administrace OP PIK nekontroluje.</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A5F6C55" w14:textId="77777777" w:rsidR="004771E4" w:rsidRPr="000421F0" w:rsidRDefault="004771E4" w:rsidP="00E105D8">
            <w:pPr>
              <w:spacing w:before="60" w:after="60"/>
              <w:ind w:left="177" w:right="134"/>
              <w:jc w:val="center"/>
              <w:rPr>
                <w:sz w:val="16"/>
                <w:szCs w:val="16"/>
              </w:rPr>
            </w:pPr>
            <w:r w:rsidRPr="000421F0">
              <w:rPr>
                <w:sz w:val="16"/>
                <w:szCs w:val="16"/>
              </w:rPr>
              <w:t>Ne</w:t>
            </w:r>
          </w:p>
          <w:p w14:paraId="69CBF28F" w14:textId="77777777" w:rsidR="004771E4" w:rsidRPr="000421F0" w:rsidRDefault="004771E4" w:rsidP="00E105D8">
            <w:pPr>
              <w:spacing w:before="60" w:after="60"/>
              <w:ind w:left="177" w:right="134"/>
              <w:jc w:val="center"/>
              <w:rPr>
                <w:sz w:val="16"/>
                <w:szCs w:val="16"/>
              </w:rPr>
            </w:pPr>
          </w:p>
          <w:p w14:paraId="5025578D" w14:textId="77777777" w:rsidR="004771E4" w:rsidRPr="000421F0" w:rsidRDefault="004771E4" w:rsidP="00E105D8">
            <w:pPr>
              <w:spacing w:before="60" w:after="60"/>
              <w:ind w:left="177" w:right="134"/>
              <w:jc w:val="center"/>
              <w:rPr>
                <w:sz w:val="16"/>
                <w:szCs w:val="16"/>
              </w:rPr>
            </w:pPr>
          </w:p>
        </w:tc>
        <w:tc>
          <w:tcPr>
            <w:tcW w:w="1462"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39CA2E0"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Zřízení meziresortní skupiny koordinace veřejné kontroly (auditů).</w:t>
            </w:r>
            <w:r w:rsidRPr="000421F0">
              <w:rPr>
                <w:sz w:val="16"/>
                <w:szCs w:val="16"/>
                <w:vertAlign w:val="superscript"/>
              </w:rPr>
              <w:footnoteReference w:id="11"/>
            </w:r>
            <w:r w:rsidRPr="000421F0">
              <w:rPr>
                <w:sz w:val="16"/>
                <w:szCs w:val="16"/>
              </w:rPr>
              <w:t xml:space="preserve"> </w:t>
            </w:r>
          </w:p>
          <w:p w14:paraId="6B213F5E"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Sjednocení metodik kontrol auditních orgánů.</w:t>
            </w:r>
          </w:p>
        </w:tc>
        <w:tc>
          <w:tcPr>
            <w:tcW w:w="555"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7588EABD" w14:textId="77777777" w:rsidR="004771E4" w:rsidRPr="000421F0" w:rsidRDefault="004771E4" w:rsidP="00E105D8">
            <w:pPr>
              <w:spacing w:before="60" w:after="60"/>
              <w:rPr>
                <w:sz w:val="16"/>
                <w:szCs w:val="16"/>
              </w:rPr>
            </w:pPr>
            <w:r w:rsidRPr="000421F0">
              <w:rPr>
                <w:sz w:val="16"/>
                <w:szCs w:val="16"/>
              </w:rPr>
              <w:t>Střednědobý horizont</w:t>
            </w:r>
          </w:p>
        </w:tc>
      </w:tr>
      <w:tr w:rsidR="004771E4" w:rsidRPr="000421F0" w14:paraId="1357BBAE" w14:textId="77777777" w:rsidTr="004B3AE9">
        <w:tc>
          <w:tcPr>
            <w:tcW w:w="0" w:type="auto"/>
            <w:vMerge/>
            <w:vAlign w:val="center"/>
            <w:hideMark/>
          </w:tcPr>
          <w:p w14:paraId="0AFB1DF0"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EB832B0" w14:textId="5AA6E6CC" w:rsidR="004771E4" w:rsidRPr="000421F0" w:rsidRDefault="004771E4" w:rsidP="00E105D8">
            <w:pPr>
              <w:spacing w:before="60" w:after="60"/>
              <w:rPr>
                <w:sz w:val="16"/>
                <w:szCs w:val="16"/>
              </w:rPr>
            </w:pPr>
            <w:r w:rsidRPr="000421F0">
              <w:rPr>
                <w:b/>
                <w:sz w:val="16"/>
                <w:szCs w:val="16"/>
              </w:rPr>
              <w:t>Kontroly na místě ŘO nebo auditní kontroly</w:t>
            </w:r>
            <w:r w:rsidRPr="000421F0">
              <w:rPr>
                <w:sz w:val="16"/>
                <w:szCs w:val="16"/>
              </w:rPr>
              <w:t xml:space="preserve"> projektů a jejich účetních dokladů </w:t>
            </w:r>
            <w:r w:rsidRPr="000421F0">
              <w:rPr>
                <w:b/>
                <w:sz w:val="16"/>
                <w:szCs w:val="16"/>
              </w:rPr>
              <w:t>nezohledňují případná přeúčtovávání výdajů příjemci podpory mezi jednotlivými kontrolami</w:t>
            </w:r>
            <w:r w:rsidRPr="000421F0">
              <w:rPr>
                <w:sz w:val="16"/>
                <w:szCs w:val="16"/>
              </w:rPr>
              <w:t xml:space="preserve">. Následně zjištěné chyby tudíž </w:t>
            </w:r>
            <w:r w:rsidRPr="000421F0">
              <w:rPr>
                <w:sz w:val="16"/>
                <w:szCs w:val="16"/>
              </w:rPr>
              <w:lastRenderedPageBreak/>
              <w:t xml:space="preserve">nemusí nutně vznikat chybnou kontrolou </w:t>
            </w:r>
            <w:r w:rsidR="00825645" w:rsidRPr="000421F0">
              <w:rPr>
                <w:sz w:val="16"/>
                <w:szCs w:val="16"/>
              </w:rPr>
              <w:t>ŽoPl</w:t>
            </w:r>
            <w:r w:rsidRPr="000421F0">
              <w:rPr>
                <w:sz w:val="16"/>
                <w:szCs w:val="16"/>
              </w:rPr>
              <w:t>, ale u příjemce v mezidobí.</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5B7D741C" w14:textId="77777777" w:rsidR="004771E4" w:rsidRPr="000421F0" w:rsidRDefault="004771E4" w:rsidP="00E105D8">
            <w:pPr>
              <w:spacing w:before="60" w:after="60"/>
              <w:ind w:left="177" w:right="134"/>
              <w:jc w:val="center"/>
              <w:rPr>
                <w:sz w:val="16"/>
                <w:szCs w:val="16"/>
              </w:rPr>
            </w:pPr>
            <w:r w:rsidRPr="000421F0">
              <w:rPr>
                <w:sz w:val="16"/>
                <w:szCs w:val="16"/>
              </w:rPr>
              <w:lastRenderedPageBreak/>
              <w:t>Ne</w:t>
            </w:r>
          </w:p>
          <w:p w14:paraId="76DC3EC5" w14:textId="77777777" w:rsidR="004771E4" w:rsidRPr="000421F0" w:rsidRDefault="004771E4" w:rsidP="00E105D8">
            <w:pPr>
              <w:spacing w:before="60" w:after="60"/>
              <w:ind w:left="177" w:right="134"/>
              <w:jc w:val="center"/>
              <w:rPr>
                <w:sz w:val="16"/>
                <w:szCs w:val="16"/>
              </w:rPr>
            </w:pPr>
          </w:p>
          <w:p w14:paraId="7A60FB48" w14:textId="77777777" w:rsidR="004771E4" w:rsidRPr="000421F0" w:rsidRDefault="004771E4" w:rsidP="00E105D8">
            <w:pPr>
              <w:spacing w:before="60" w:after="60"/>
              <w:ind w:left="177" w:right="134"/>
              <w:jc w:val="center"/>
              <w:rPr>
                <w:sz w:val="16"/>
                <w:szCs w:val="16"/>
              </w:rPr>
            </w:pPr>
          </w:p>
        </w:tc>
        <w:tc>
          <w:tcPr>
            <w:tcW w:w="0" w:type="auto"/>
            <w:vMerge/>
            <w:vAlign w:val="center"/>
            <w:hideMark/>
          </w:tcPr>
          <w:p w14:paraId="7594F2C3" w14:textId="77777777" w:rsidR="004771E4" w:rsidRPr="000421F0" w:rsidRDefault="004771E4" w:rsidP="00E105D8">
            <w:pPr>
              <w:spacing w:before="60" w:after="60"/>
              <w:rPr>
                <w:sz w:val="16"/>
                <w:szCs w:val="16"/>
              </w:rPr>
            </w:pPr>
          </w:p>
        </w:tc>
        <w:tc>
          <w:tcPr>
            <w:tcW w:w="0" w:type="auto"/>
            <w:vMerge/>
            <w:vAlign w:val="center"/>
            <w:hideMark/>
          </w:tcPr>
          <w:p w14:paraId="6E321B8C" w14:textId="77777777" w:rsidR="004771E4" w:rsidRPr="000421F0" w:rsidRDefault="004771E4" w:rsidP="00E105D8">
            <w:pPr>
              <w:spacing w:before="60" w:after="60"/>
              <w:rPr>
                <w:sz w:val="16"/>
                <w:szCs w:val="16"/>
              </w:rPr>
            </w:pPr>
          </w:p>
        </w:tc>
      </w:tr>
      <w:tr w:rsidR="004771E4" w:rsidRPr="000421F0" w14:paraId="5FB1AC3A" w14:textId="77777777" w:rsidTr="004B3AE9">
        <w:tc>
          <w:tcPr>
            <w:tcW w:w="667" w:type="pct"/>
            <w:vMerge w:val="restar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27C7B264" w14:textId="77777777" w:rsidR="004771E4" w:rsidRPr="000421F0" w:rsidRDefault="004771E4" w:rsidP="00E105D8">
            <w:pPr>
              <w:spacing w:before="60" w:after="60"/>
              <w:ind w:right="90"/>
              <w:rPr>
                <w:b/>
                <w:sz w:val="16"/>
                <w:szCs w:val="16"/>
              </w:rPr>
            </w:pPr>
            <w:r w:rsidRPr="000421F0">
              <w:rPr>
                <w:b/>
                <w:sz w:val="16"/>
                <w:szCs w:val="16"/>
              </w:rPr>
              <w:t>Proces nesrovnalostí</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313784D" w14:textId="77777777" w:rsidR="004771E4" w:rsidRPr="000421F0" w:rsidRDefault="004771E4" w:rsidP="00E105D8">
            <w:pPr>
              <w:spacing w:before="60" w:after="60"/>
              <w:rPr>
                <w:sz w:val="16"/>
                <w:szCs w:val="16"/>
              </w:rPr>
            </w:pPr>
            <w:r w:rsidRPr="000421F0">
              <w:rPr>
                <w:b/>
                <w:sz w:val="16"/>
                <w:szCs w:val="16"/>
              </w:rPr>
              <w:t xml:space="preserve">Sankční systém u Závěrečných zpráv o udržitelnosti vede k velkému množství hlášených nesrovnalostí </w:t>
            </w:r>
            <w:r w:rsidRPr="000421F0">
              <w:rPr>
                <w:sz w:val="16"/>
                <w:szCs w:val="16"/>
              </w:rPr>
              <w:t>v nevýznamné výši 0,01 % (v řádech tisíců korun) a administrativní zátěži implementační struktury.</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0CFAF0E0" w14:textId="77777777" w:rsidR="004771E4" w:rsidRPr="000421F0" w:rsidRDefault="004771E4" w:rsidP="00E105D8">
            <w:pPr>
              <w:spacing w:before="60" w:after="60"/>
              <w:ind w:left="177" w:right="134"/>
              <w:jc w:val="center"/>
              <w:rPr>
                <w:sz w:val="16"/>
                <w:szCs w:val="16"/>
              </w:rPr>
            </w:pPr>
            <w:r w:rsidRPr="000421F0">
              <w:rPr>
                <w:sz w:val="16"/>
                <w:szCs w:val="16"/>
              </w:rPr>
              <w:t>Ano</w:t>
            </w:r>
          </w:p>
          <w:p w14:paraId="11F77F1E" w14:textId="77777777" w:rsidR="004771E4" w:rsidRPr="000421F0" w:rsidRDefault="004771E4" w:rsidP="00E105D8">
            <w:pPr>
              <w:spacing w:before="60" w:after="60"/>
              <w:ind w:left="177" w:right="134"/>
              <w:jc w:val="center"/>
              <w:rPr>
                <w:sz w:val="16"/>
                <w:szCs w:val="16"/>
              </w:rPr>
            </w:pPr>
          </w:p>
          <w:p w14:paraId="5ED46F26" w14:textId="77777777" w:rsidR="004771E4" w:rsidRPr="000421F0" w:rsidRDefault="004771E4" w:rsidP="00E105D8">
            <w:pPr>
              <w:spacing w:before="60" w:after="60"/>
              <w:ind w:left="177" w:right="134"/>
              <w:jc w:val="center"/>
              <w:rPr>
                <w:sz w:val="16"/>
                <w:szCs w:val="16"/>
              </w:rPr>
            </w:pPr>
            <w:r w:rsidRPr="000421F0">
              <w:rPr>
                <w:sz w:val="16"/>
                <w:szCs w:val="16"/>
              </w:rPr>
              <w:t>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16B8E910"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 xml:space="preserve">Zvýšení finanční hranice pro hlášení nesrovnalostí. </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4ED1BFA3" w14:textId="77777777" w:rsidR="004771E4" w:rsidRPr="000421F0" w:rsidRDefault="004771E4" w:rsidP="00E105D8">
            <w:pPr>
              <w:spacing w:before="60" w:after="60"/>
              <w:rPr>
                <w:sz w:val="16"/>
                <w:szCs w:val="16"/>
              </w:rPr>
            </w:pPr>
            <w:r w:rsidRPr="000421F0">
              <w:rPr>
                <w:sz w:val="16"/>
                <w:szCs w:val="16"/>
              </w:rPr>
              <w:t>Krátkodobý horizont</w:t>
            </w:r>
          </w:p>
        </w:tc>
      </w:tr>
      <w:tr w:rsidR="004771E4" w:rsidRPr="000421F0" w14:paraId="4CC40953" w14:textId="77777777" w:rsidTr="004B3AE9">
        <w:tc>
          <w:tcPr>
            <w:tcW w:w="0" w:type="auto"/>
            <w:vMerge/>
            <w:vAlign w:val="center"/>
            <w:hideMark/>
          </w:tcPr>
          <w:p w14:paraId="3E290902"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74B66B2" w14:textId="77777777" w:rsidR="004771E4" w:rsidRPr="000421F0" w:rsidRDefault="004771E4" w:rsidP="00E105D8">
            <w:pPr>
              <w:spacing w:before="60" w:after="60"/>
              <w:rPr>
                <w:sz w:val="16"/>
                <w:szCs w:val="16"/>
              </w:rPr>
            </w:pPr>
            <w:r w:rsidRPr="000421F0">
              <w:rPr>
                <w:b/>
                <w:sz w:val="16"/>
                <w:szCs w:val="16"/>
              </w:rPr>
              <w:t>ZS nedostává zpětnou vazbu</w:t>
            </w:r>
            <w:r w:rsidRPr="000421F0">
              <w:rPr>
                <w:sz w:val="16"/>
                <w:szCs w:val="16"/>
              </w:rPr>
              <w:t xml:space="preserve"> o dalším postupu v případě nahlášených nesrovnalostí.</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2AF93C1" w14:textId="77777777" w:rsidR="004771E4" w:rsidRPr="000421F0" w:rsidRDefault="004771E4" w:rsidP="00E105D8">
            <w:pPr>
              <w:spacing w:before="60" w:after="60"/>
              <w:ind w:left="177" w:right="134"/>
              <w:jc w:val="center"/>
              <w:rPr>
                <w:sz w:val="16"/>
                <w:szCs w:val="16"/>
              </w:rPr>
            </w:pPr>
            <w:r w:rsidRPr="000421F0">
              <w:rPr>
                <w:sz w:val="16"/>
                <w:szCs w:val="16"/>
              </w:rPr>
              <w:t>Ano</w:t>
            </w:r>
          </w:p>
          <w:p w14:paraId="14C42BD5" w14:textId="77777777" w:rsidR="004771E4" w:rsidRPr="000421F0" w:rsidRDefault="004771E4" w:rsidP="00E105D8">
            <w:pPr>
              <w:spacing w:before="60" w:after="60"/>
              <w:ind w:left="177" w:right="134"/>
              <w:jc w:val="center"/>
              <w:rPr>
                <w:sz w:val="16"/>
                <w:szCs w:val="16"/>
              </w:rPr>
            </w:pPr>
            <w:r w:rsidRPr="000421F0">
              <w:rPr>
                <w:sz w:val="16"/>
                <w:szCs w:val="16"/>
              </w:rPr>
              <w:t>3</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44D24041" w14:textId="77777777" w:rsidR="004771E4" w:rsidRPr="000421F0" w:rsidRDefault="004771E4" w:rsidP="00E105D8">
            <w:pPr>
              <w:pStyle w:val="ListParagraph"/>
              <w:numPr>
                <w:ilvl w:val="0"/>
                <w:numId w:val="31"/>
              </w:numPr>
              <w:spacing w:before="60" w:after="60"/>
              <w:ind w:left="442" w:right="134"/>
              <w:contextualSpacing w:val="0"/>
              <w:rPr>
                <w:sz w:val="16"/>
                <w:szCs w:val="16"/>
              </w:rPr>
            </w:pPr>
            <w:r w:rsidRPr="000421F0">
              <w:rPr>
                <w:sz w:val="16"/>
                <w:szCs w:val="16"/>
              </w:rPr>
              <w:t>Posílání zpětné vazby ZS o procesu nesrovnalostí.</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hideMark/>
          </w:tcPr>
          <w:p w14:paraId="50F7C817" w14:textId="77777777" w:rsidR="004771E4" w:rsidRPr="000421F0" w:rsidRDefault="004771E4" w:rsidP="00E105D8">
            <w:pPr>
              <w:spacing w:before="60" w:after="60"/>
              <w:rPr>
                <w:sz w:val="16"/>
                <w:szCs w:val="16"/>
              </w:rPr>
            </w:pPr>
            <w:r w:rsidRPr="000421F0">
              <w:rPr>
                <w:sz w:val="16"/>
                <w:szCs w:val="16"/>
              </w:rPr>
              <w:t>Krátkodobý horizont</w:t>
            </w:r>
          </w:p>
        </w:tc>
      </w:tr>
      <w:tr w:rsidR="004771E4" w:rsidRPr="000421F0" w14:paraId="624A5998" w14:textId="77777777" w:rsidTr="004B3AE9">
        <w:tc>
          <w:tcPr>
            <w:tcW w:w="667" w:type="pct"/>
            <w:vMerge w:val="restar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17A68F5E" w14:textId="77777777" w:rsidR="004771E4" w:rsidRPr="000421F0" w:rsidRDefault="004771E4" w:rsidP="00E105D8">
            <w:pPr>
              <w:spacing w:before="60" w:after="60"/>
              <w:ind w:right="90"/>
              <w:rPr>
                <w:b/>
                <w:sz w:val="16"/>
                <w:szCs w:val="16"/>
              </w:rPr>
            </w:pPr>
            <w:r w:rsidRPr="000421F0">
              <w:rPr>
                <w:b/>
                <w:sz w:val="16"/>
                <w:szCs w:val="16"/>
              </w:rPr>
              <w:t>Sankce</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BD6D74C" w14:textId="77777777" w:rsidR="004771E4" w:rsidRPr="000421F0" w:rsidRDefault="004771E4" w:rsidP="00E105D8">
            <w:pPr>
              <w:spacing w:before="60" w:after="60"/>
              <w:rPr>
                <w:b/>
                <w:sz w:val="16"/>
                <w:szCs w:val="16"/>
              </w:rPr>
            </w:pPr>
            <w:r w:rsidRPr="000421F0">
              <w:rPr>
                <w:sz w:val="16"/>
                <w:szCs w:val="16"/>
              </w:rPr>
              <w:t>Dlouhá prodleva mezi uvalením a uplatněním sankce vede zásahu do více účetních období.</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2C0E69C2" w14:textId="77777777" w:rsidR="004771E4" w:rsidRPr="000421F0" w:rsidRDefault="004771E4" w:rsidP="00E105D8">
            <w:pPr>
              <w:spacing w:before="60" w:after="60"/>
              <w:ind w:left="177" w:right="134"/>
              <w:jc w:val="center"/>
              <w:rPr>
                <w:sz w:val="16"/>
                <w:szCs w:val="16"/>
              </w:rPr>
            </w:pPr>
            <w:r w:rsidRPr="000421F0">
              <w:rPr>
                <w:sz w:val="16"/>
                <w:szCs w:val="16"/>
              </w:rPr>
              <w:t>Ano/Ne</w:t>
            </w:r>
          </w:p>
          <w:p w14:paraId="3FFC07BA" w14:textId="77777777" w:rsidR="004771E4" w:rsidRPr="000421F0" w:rsidRDefault="004771E4" w:rsidP="00E105D8">
            <w:pPr>
              <w:spacing w:before="60" w:after="60"/>
              <w:ind w:left="177" w:right="134"/>
              <w:jc w:val="center"/>
              <w:rPr>
                <w:sz w:val="16"/>
                <w:szCs w:val="16"/>
              </w:rPr>
            </w:pPr>
          </w:p>
          <w:p w14:paraId="42C132A7"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08C10078" w14:textId="5BB36CA9" w:rsidR="004771E4" w:rsidRPr="000421F0" w:rsidRDefault="00C72C73" w:rsidP="00E105D8">
            <w:pPr>
              <w:pStyle w:val="ListParagraph"/>
              <w:numPr>
                <w:ilvl w:val="0"/>
                <w:numId w:val="31"/>
              </w:numPr>
              <w:spacing w:before="60" w:after="60"/>
              <w:ind w:left="442" w:right="134"/>
              <w:contextualSpacing w:val="0"/>
              <w:rPr>
                <w:sz w:val="16"/>
                <w:szCs w:val="16"/>
              </w:rPr>
            </w:pPr>
            <w:r w:rsidRPr="000421F0">
              <w:rPr>
                <w:sz w:val="16"/>
                <w:szCs w:val="16"/>
              </w:rPr>
              <w:t>Robotizace a automatizace procesů výpočtu sankcí</w:t>
            </w:r>
            <w:r w:rsidR="006C07A8">
              <w:rPr>
                <w:sz w:val="16"/>
                <w:szCs w:val="16"/>
              </w:rPr>
              <w:t>.</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6F3BC03A" w14:textId="77777777" w:rsidR="004771E4" w:rsidRPr="000421F0" w:rsidRDefault="004771E4" w:rsidP="00E105D8">
            <w:pPr>
              <w:spacing w:before="60" w:after="60"/>
              <w:rPr>
                <w:sz w:val="16"/>
                <w:szCs w:val="16"/>
              </w:rPr>
            </w:pPr>
          </w:p>
        </w:tc>
      </w:tr>
      <w:tr w:rsidR="004771E4" w:rsidRPr="000421F0" w14:paraId="259E6E6D" w14:textId="77777777" w:rsidTr="004B3AE9">
        <w:tc>
          <w:tcPr>
            <w:tcW w:w="0" w:type="auto"/>
            <w:vMerge/>
            <w:vAlign w:val="center"/>
            <w:hideMark/>
          </w:tcPr>
          <w:p w14:paraId="595C050B" w14:textId="77777777" w:rsidR="004771E4" w:rsidRPr="000421F0" w:rsidRDefault="004771E4"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A3A5542" w14:textId="77777777" w:rsidR="004771E4" w:rsidRPr="000421F0" w:rsidRDefault="004771E4" w:rsidP="00E105D8">
            <w:pPr>
              <w:spacing w:before="60" w:after="60"/>
              <w:rPr>
                <w:sz w:val="16"/>
                <w:szCs w:val="16"/>
              </w:rPr>
            </w:pPr>
            <w:r w:rsidRPr="000421F0">
              <w:rPr>
                <w:sz w:val="16"/>
                <w:szCs w:val="16"/>
              </w:rPr>
              <w:t>Nepřiměřenost vybraných sankcí, např. sankce za odeslání vratky na jiný účet, sankce za odeslání informace o VZ o den později subjektu, který VZ vyhrál apod.</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6AE58BC8" w14:textId="77777777" w:rsidR="004771E4" w:rsidRPr="000421F0" w:rsidRDefault="004771E4" w:rsidP="00E105D8">
            <w:pPr>
              <w:spacing w:before="60" w:after="60"/>
              <w:ind w:left="177" w:right="134"/>
              <w:jc w:val="center"/>
              <w:rPr>
                <w:sz w:val="16"/>
                <w:szCs w:val="16"/>
              </w:rPr>
            </w:pPr>
            <w:r w:rsidRPr="000421F0">
              <w:rPr>
                <w:sz w:val="16"/>
                <w:szCs w:val="16"/>
              </w:rPr>
              <w:t>Ano/Ne</w:t>
            </w:r>
          </w:p>
          <w:p w14:paraId="03306A73" w14:textId="77777777" w:rsidR="004771E4" w:rsidRPr="000421F0" w:rsidRDefault="004771E4" w:rsidP="00E105D8">
            <w:pPr>
              <w:spacing w:before="60" w:after="60"/>
              <w:ind w:left="177" w:right="134"/>
              <w:jc w:val="center"/>
              <w:rPr>
                <w:sz w:val="16"/>
                <w:szCs w:val="16"/>
              </w:rPr>
            </w:pPr>
          </w:p>
          <w:p w14:paraId="73707BBD"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D480A2F" w14:textId="7C9C873B" w:rsidR="004771E4" w:rsidRPr="000421F0" w:rsidRDefault="00FD5ACA" w:rsidP="00E105D8">
            <w:pPr>
              <w:pStyle w:val="ListParagraph"/>
              <w:numPr>
                <w:ilvl w:val="0"/>
                <w:numId w:val="31"/>
              </w:numPr>
              <w:spacing w:before="60" w:after="60"/>
              <w:ind w:left="442" w:right="134"/>
              <w:contextualSpacing w:val="0"/>
              <w:rPr>
                <w:sz w:val="16"/>
                <w:szCs w:val="16"/>
              </w:rPr>
            </w:pPr>
            <w:r w:rsidRPr="000421F0">
              <w:rPr>
                <w:sz w:val="16"/>
                <w:szCs w:val="16"/>
              </w:rPr>
              <w:t>Úprava podmínek pro výběr dodavatel dle návrhu optimalizačního opatření č. 3</w:t>
            </w:r>
            <w:r w:rsidR="006C07A8">
              <w:rPr>
                <w:sz w:val="16"/>
                <w:szCs w:val="16"/>
              </w:rPr>
              <w:t>.</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0FBB75AF" w14:textId="77777777" w:rsidR="004771E4" w:rsidRPr="000421F0" w:rsidRDefault="004771E4" w:rsidP="00E105D8">
            <w:pPr>
              <w:spacing w:before="60" w:after="60"/>
              <w:rPr>
                <w:sz w:val="16"/>
                <w:szCs w:val="16"/>
              </w:rPr>
            </w:pPr>
          </w:p>
        </w:tc>
      </w:tr>
      <w:tr w:rsidR="004771E4" w:rsidRPr="000421F0" w14:paraId="12DE6F98" w14:textId="77777777" w:rsidTr="004B3AE9">
        <w:tc>
          <w:tcPr>
            <w:tcW w:w="667" w:type="pct"/>
            <w:tcBorders>
              <w:top w:val="single" w:sz="6" w:space="0" w:color="D9D9D9" w:themeColor="background1" w:themeShade="D9"/>
              <w:left w:val="nil"/>
              <w:bottom w:val="single" w:sz="6" w:space="0" w:color="D9D9D9" w:themeColor="background1" w:themeShade="D9"/>
              <w:right w:val="single" w:sz="4" w:space="0" w:color="D0EC9F" w:themeColor="accent1" w:themeTint="66"/>
            </w:tcBorders>
            <w:hideMark/>
          </w:tcPr>
          <w:p w14:paraId="49FF19BF" w14:textId="77777777" w:rsidR="004771E4" w:rsidRPr="000421F0" w:rsidRDefault="004771E4" w:rsidP="00E105D8">
            <w:pPr>
              <w:spacing w:before="60" w:after="60"/>
              <w:ind w:right="90"/>
              <w:rPr>
                <w:b/>
                <w:sz w:val="16"/>
                <w:szCs w:val="16"/>
              </w:rPr>
            </w:pPr>
            <w:r w:rsidRPr="000421F0">
              <w:rPr>
                <w:b/>
                <w:sz w:val="16"/>
                <w:szCs w:val="16"/>
              </w:rPr>
              <w:t>Řízení o odnětí dotace</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A8B9F88" w14:textId="77777777" w:rsidR="004771E4" w:rsidRPr="000421F0" w:rsidRDefault="004771E4" w:rsidP="00E105D8">
            <w:pPr>
              <w:spacing w:before="60" w:after="60"/>
              <w:rPr>
                <w:sz w:val="16"/>
                <w:szCs w:val="16"/>
              </w:rPr>
            </w:pPr>
            <w:r w:rsidRPr="000421F0">
              <w:rPr>
                <w:b/>
                <w:sz w:val="16"/>
                <w:szCs w:val="16"/>
              </w:rPr>
              <w:t>Složitost krácení dotací</w:t>
            </w:r>
            <w:r w:rsidRPr="000421F0">
              <w:rPr>
                <w:sz w:val="16"/>
                <w:szCs w:val="16"/>
              </w:rPr>
              <w:t xml:space="preserve"> dle §14 zákona č. 218/2000 Sb. Vliv krácení nezpůsobilých výdajů na vnitřní limity.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39741ADE" w14:textId="77777777" w:rsidR="004771E4" w:rsidRPr="000421F0" w:rsidRDefault="004771E4" w:rsidP="00E105D8">
            <w:pPr>
              <w:spacing w:before="60" w:after="60"/>
              <w:ind w:left="177" w:right="134"/>
              <w:jc w:val="center"/>
              <w:rPr>
                <w:sz w:val="16"/>
                <w:szCs w:val="16"/>
              </w:rPr>
            </w:pPr>
            <w:r w:rsidRPr="000421F0">
              <w:rPr>
                <w:sz w:val="16"/>
                <w:szCs w:val="16"/>
              </w:rPr>
              <w:t>Ne</w:t>
            </w:r>
          </w:p>
          <w:p w14:paraId="36379728" w14:textId="77777777" w:rsidR="004771E4" w:rsidRPr="000421F0" w:rsidRDefault="004771E4" w:rsidP="00E105D8">
            <w:pPr>
              <w:spacing w:before="60" w:after="60"/>
              <w:ind w:left="177" w:right="134"/>
              <w:jc w:val="center"/>
              <w:rPr>
                <w:sz w:val="16"/>
                <w:szCs w:val="16"/>
              </w:rPr>
            </w:pPr>
          </w:p>
          <w:p w14:paraId="0DAEB193" w14:textId="77777777" w:rsidR="004771E4" w:rsidRPr="000421F0" w:rsidRDefault="004771E4" w:rsidP="00E105D8">
            <w:pPr>
              <w:spacing w:before="60" w:after="60"/>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D769627" w14:textId="7B431981" w:rsidR="004771E4" w:rsidRPr="000421F0" w:rsidRDefault="00FD5ACA" w:rsidP="00E105D8">
            <w:pPr>
              <w:pStyle w:val="ListParagraph"/>
              <w:numPr>
                <w:ilvl w:val="0"/>
                <w:numId w:val="31"/>
              </w:numPr>
              <w:spacing w:before="60" w:after="60"/>
              <w:ind w:left="442" w:right="134"/>
              <w:contextualSpacing w:val="0"/>
              <w:rPr>
                <w:sz w:val="16"/>
                <w:szCs w:val="16"/>
              </w:rPr>
            </w:pPr>
            <w:r w:rsidRPr="000421F0">
              <w:rPr>
                <w:sz w:val="16"/>
                <w:szCs w:val="16"/>
              </w:rPr>
              <w:t>Robotizace, automatizace výpočtu krácení dotace</w:t>
            </w:r>
            <w:r w:rsidR="006C07A8">
              <w:rPr>
                <w:sz w:val="16"/>
                <w:szCs w:val="16"/>
              </w:rPr>
              <w:t>.</w:t>
            </w:r>
          </w:p>
          <w:p w14:paraId="01DF184B" w14:textId="241EF03B" w:rsidR="00FD5ACA" w:rsidRPr="000421F0" w:rsidRDefault="00FD5ACA" w:rsidP="00E105D8">
            <w:pPr>
              <w:pStyle w:val="ListParagraph"/>
              <w:numPr>
                <w:ilvl w:val="0"/>
                <w:numId w:val="31"/>
              </w:numPr>
              <w:spacing w:before="60" w:after="60"/>
              <w:ind w:left="442" w:right="134"/>
              <w:contextualSpacing w:val="0"/>
              <w:rPr>
                <w:sz w:val="16"/>
                <w:szCs w:val="16"/>
              </w:rPr>
            </w:pPr>
            <w:r w:rsidRPr="000421F0">
              <w:rPr>
                <w:sz w:val="16"/>
                <w:szCs w:val="16"/>
              </w:rPr>
              <w:t>Zavedení jednotné míry podpory</w:t>
            </w:r>
            <w:r w:rsidR="006C07A8">
              <w:rPr>
                <w:sz w:val="16"/>
                <w:szCs w:val="16"/>
              </w:rPr>
              <w:t>.</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66B39816" w14:textId="77777777" w:rsidR="004771E4" w:rsidRPr="000421F0" w:rsidRDefault="004771E4" w:rsidP="00E105D8">
            <w:pPr>
              <w:spacing w:before="60" w:after="60"/>
              <w:rPr>
                <w:sz w:val="16"/>
                <w:szCs w:val="16"/>
              </w:rPr>
            </w:pPr>
          </w:p>
        </w:tc>
      </w:tr>
      <w:tr w:rsidR="004771E4" w:rsidRPr="000421F0" w14:paraId="65BBE031" w14:textId="77777777" w:rsidTr="004B3AE9">
        <w:tc>
          <w:tcPr>
            <w:tcW w:w="2479" w:type="pct"/>
            <w:gridSpan w:val="2"/>
            <w:tcBorders>
              <w:top w:val="single" w:sz="6" w:space="0" w:color="D9D9D9" w:themeColor="background1" w:themeShade="D9"/>
              <w:left w:val="nil"/>
              <w:bottom w:val="single" w:sz="6" w:space="0" w:color="D9D9D9" w:themeColor="background1" w:themeShade="D9"/>
              <w:right w:val="single" w:sz="4" w:space="0" w:color="D0EC9F" w:themeColor="accent1" w:themeTint="66"/>
            </w:tcBorders>
            <w:shd w:val="clear" w:color="auto" w:fill="E7F5CF" w:themeFill="accent1" w:themeFillTint="33"/>
            <w:hideMark/>
          </w:tcPr>
          <w:p w14:paraId="7A6BDE66" w14:textId="77777777" w:rsidR="004771E4" w:rsidRPr="000421F0" w:rsidRDefault="004771E4" w:rsidP="00E105D8">
            <w:pPr>
              <w:spacing w:before="60" w:after="60"/>
              <w:ind w:right="90"/>
              <w:rPr>
                <w:b/>
                <w:sz w:val="16"/>
                <w:szCs w:val="16"/>
              </w:rPr>
            </w:pPr>
            <w:r w:rsidRPr="000421F0">
              <w:rPr>
                <w:b/>
                <w:sz w:val="16"/>
                <w:szCs w:val="16"/>
              </w:rPr>
              <w:t>Komunikace</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173FFA80" w14:textId="77777777" w:rsidR="004771E4" w:rsidRPr="000421F0" w:rsidRDefault="004771E4" w:rsidP="00E105D8">
            <w:pPr>
              <w:spacing w:before="60" w:after="60"/>
              <w:ind w:left="177" w:right="134"/>
              <w:jc w:val="center"/>
              <w:rPr>
                <w:sz w:val="16"/>
                <w:szCs w:val="16"/>
              </w:rPr>
            </w:pP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shd w:val="clear" w:color="auto" w:fill="E7F5CF" w:themeFill="accent1" w:themeFillTint="33"/>
          </w:tcPr>
          <w:p w14:paraId="0C79B554" w14:textId="77777777" w:rsidR="004771E4" w:rsidRPr="000421F0" w:rsidRDefault="004771E4" w:rsidP="00E105D8">
            <w:pPr>
              <w:spacing w:before="60" w:after="60"/>
              <w:ind w:right="134"/>
              <w:rPr>
                <w:sz w:val="16"/>
                <w:szCs w:val="16"/>
              </w:rPr>
            </w:pP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shd w:val="clear" w:color="auto" w:fill="E7F5CF" w:themeFill="accent1" w:themeFillTint="33"/>
          </w:tcPr>
          <w:p w14:paraId="342E0D2A" w14:textId="77777777" w:rsidR="004771E4" w:rsidRPr="000421F0" w:rsidRDefault="004771E4" w:rsidP="00E105D8">
            <w:pPr>
              <w:spacing w:before="60" w:after="60"/>
              <w:ind w:right="90"/>
              <w:rPr>
                <w:sz w:val="16"/>
                <w:szCs w:val="16"/>
              </w:rPr>
            </w:pPr>
          </w:p>
        </w:tc>
      </w:tr>
      <w:tr w:rsidR="00402BA3" w:rsidRPr="000421F0" w14:paraId="1CD6EF65" w14:textId="77777777" w:rsidTr="004B3AE9">
        <w:tc>
          <w:tcPr>
            <w:tcW w:w="667" w:type="pct"/>
            <w:vMerge w:val="restart"/>
            <w:tcBorders>
              <w:top w:val="single" w:sz="6" w:space="0" w:color="D9D9D9" w:themeColor="background1" w:themeShade="D9"/>
              <w:left w:val="nil"/>
              <w:right w:val="single" w:sz="4" w:space="0" w:color="D0EC9F" w:themeColor="accent1" w:themeTint="66"/>
            </w:tcBorders>
            <w:hideMark/>
          </w:tcPr>
          <w:p w14:paraId="7394B321" w14:textId="77777777" w:rsidR="00402BA3" w:rsidRPr="000421F0" w:rsidRDefault="00402BA3" w:rsidP="00E105D8">
            <w:pPr>
              <w:spacing w:before="60" w:after="60"/>
              <w:ind w:right="90"/>
              <w:rPr>
                <w:b/>
                <w:sz w:val="16"/>
                <w:szCs w:val="16"/>
              </w:rPr>
            </w:pPr>
            <w:r w:rsidRPr="000421F0">
              <w:rPr>
                <w:b/>
                <w:sz w:val="16"/>
                <w:szCs w:val="16"/>
              </w:rPr>
              <w:t>Průřezově</w:t>
            </w: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2AA8F871" w14:textId="77777777" w:rsidR="00402BA3" w:rsidRPr="000421F0" w:rsidRDefault="00402BA3" w:rsidP="00E105D8">
            <w:pPr>
              <w:spacing w:before="60" w:after="60"/>
              <w:rPr>
                <w:sz w:val="16"/>
                <w:szCs w:val="16"/>
              </w:rPr>
            </w:pPr>
            <w:r w:rsidRPr="000421F0">
              <w:rPr>
                <w:b/>
                <w:sz w:val="16"/>
                <w:szCs w:val="16"/>
              </w:rPr>
              <w:t>Nedostatečně nastavené procesy komunikace a absence platforem komunikace uvnitř implementační struktury OP PIK</w:t>
            </w:r>
            <w:r w:rsidRPr="000421F0">
              <w:rPr>
                <w:sz w:val="16"/>
                <w:szCs w:val="16"/>
              </w:rPr>
              <w:t xml:space="preserve"> nad rámec sekčních porad vedou k nedostatečnému a zpožděnému přenosu informací uvnitř IS. Operativní komunikace se odehrává na individuální bázi mezi garanty programů podpory, projektovými manažery (vedoucími pracovníky API). Problémem je nezastupitelnost vybraných pracovníků v případě jejich nepřítomnosti, která může být pro systém v krátkodobém horizontu kritická.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2F4FDFD8" w14:textId="77777777" w:rsidR="00402BA3" w:rsidRPr="000421F0" w:rsidRDefault="00402BA3" w:rsidP="00E105D8">
            <w:pPr>
              <w:spacing w:before="60" w:after="60"/>
              <w:ind w:left="177" w:right="134"/>
              <w:jc w:val="center"/>
              <w:rPr>
                <w:sz w:val="16"/>
                <w:szCs w:val="16"/>
              </w:rPr>
            </w:pPr>
            <w:r w:rsidRPr="000421F0">
              <w:rPr>
                <w:sz w:val="16"/>
                <w:szCs w:val="16"/>
              </w:rPr>
              <w:t>Ano</w:t>
            </w:r>
          </w:p>
          <w:p w14:paraId="264B1E50" w14:textId="77777777" w:rsidR="00402BA3" w:rsidRPr="000421F0" w:rsidRDefault="00402BA3" w:rsidP="00E105D8">
            <w:pPr>
              <w:spacing w:before="60" w:after="60"/>
              <w:ind w:left="177" w:right="134"/>
              <w:jc w:val="center"/>
              <w:rPr>
                <w:sz w:val="16"/>
                <w:szCs w:val="16"/>
              </w:rPr>
            </w:pPr>
          </w:p>
          <w:p w14:paraId="2AD6A96C" w14:textId="77777777" w:rsidR="00402BA3" w:rsidRPr="000421F0" w:rsidRDefault="00402BA3" w:rsidP="00E105D8">
            <w:pPr>
              <w:spacing w:before="60" w:after="60"/>
              <w:ind w:left="177" w:right="134"/>
              <w:jc w:val="center"/>
              <w:rPr>
                <w:sz w:val="16"/>
                <w:szCs w:val="16"/>
              </w:rPr>
            </w:pPr>
            <w:r w:rsidRPr="000421F0">
              <w:rPr>
                <w:sz w:val="16"/>
                <w:szCs w:val="16"/>
              </w:rPr>
              <w:t>1</w:t>
            </w:r>
          </w:p>
        </w:tc>
        <w:tc>
          <w:tcPr>
            <w:tcW w:w="1462" w:type="pct"/>
            <w:vMerge w:val="restar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F9EEF5D" w14:textId="77777777" w:rsidR="00402BA3" w:rsidRPr="000421F0" w:rsidRDefault="00402BA3" w:rsidP="00E105D8">
            <w:pPr>
              <w:pStyle w:val="ListParagraph"/>
              <w:numPr>
                <w:ilvl w:val="0"/>
                <w:numId w:val="31"/>
              </w:numPr>
              <w:spacing w:before="60" w:after="60"/>
              <w:ind w:left="442" w:right="134"/>
              <w:contextualSpacing w:val="0"/>
              <w:rPr>
                <w:sz w:val="16"/>
                <w:szCs w:val="16"/>
              </w:rPr>
            </w:pPr>
            <w:r w:rsidRPr="000421F0">
              <w:rPr>
                <w:sz w:val="16"/>
                <w:szCs w:val="16"/>
              </w:rPr>
              <w:t>Zavedení komunikačních mechanismů v rámci IS OP PIK (platforma sdílení informací nad rámec sekčních porad) např. s využitím platformy Programboard pro sdílení informací.</w:t>
            </w:r>
          </w:p>
          <w:p w14:paraId="082E5D38" w14:textId="7FF927AB" w:rsidR="00402BA3" w:rsidRPr="000421F0" w:rsidRDefault="00402BA3" w:rsidP="00E105D8">
            <w:pPr>
              <w:pStyle w:val="ListParagraph"/>
              <w:numPr>
                <w:ilvl w:val="0"/>
                <w:numId w:val="31"/>
              </w:numPr>
              <w:spacing w:before="60" w:after="60"/>
              <w:ind w:left="442" w:right="134"/>
              <w:contextualSpacing w:val="0"/>
              <w:rPr>
                <w:sz w:val="16"/>
                <w:szCs w:val="16"/>
              </w:rPr>
            </w:pPr>
            <w:r w:rsidRPr="000421F0">
              <w:rPr>
                <w:sz w:val="16"/>
                <w:szCs w:val="16"/>
              </w:rPr>
              <w:t>Zavést cílený sběr a sdílení příkladů dobré a špatné praxe, opět s využitím jedné platf</w:t>
            </w:r>
            <w:r w:rsidR="0097369A">
              <w:rPr>
                <w:sz w:val="16"/>
                <w:szCs w:val="16"/>
              </w:rPr>
              <w:t>o</w:t>
            </w:r>
            <w:r w:rsidRPr="000421F0">
              <w:rPr>
                <w:sz w:val="16"/>
                <w:szCs w:val="16"/>
              </w:rPr>
              <w:t>r</w:t>
            </w:r>
            <w:r w:rsidR="0097369A">
              <w:rPr>
                <w:sz w:val="16"/>
                <w:szCs w:val="16"/>
              </w:rPr>
              <w:t>m</w:t>
            </w:r>
            <w:r w:rsidRPr="000421F0">
              <w:rPr>
                <w:sz w:val="16"/>
                <w:szCs w:val="16"/>
              </w:rPr>
              <w:t xml:space="preserve">y, např. Programboard s jednoduchou orientací a vyhledáváním. </w:t>
            </w:r>
          </w:p>
        </w:tc>
        <w:tc>
          <w:tcPr>
            <w:tcW w:w="555" w:type="pct"/>
            <w:vMerge w:val="restart"/>
            <w:tcBorders>
              <w:top w:val="single" w:sz="6" w:space="0" w:color="D9D9D9" w:themeColor="background1" w:themeShade="D9"/>
              <w:left w:val="single" w:sz="4" w:space="0" w:color="D0EC9F" w:themeColor="accent1" w:themeTint="66"/>
              <w:right w:val="nil"/>
            </w:tcBorders>
            <w:hideMark/>
          </w:tcPr>
          <w:p w14:paraId="75BADDAB" w14:textId="7DADBAB4" w:rsidR="00402BA3" w:rsidRPr="000421F0" w:rsidRDefault="00402BA3" w:rsidP="00E105D8">
            <w:pPr>
              <w:spacing w:before="60" w:after="60"/>
              <w:rPr>
                <w:sz w:val="16"/>
                <w:szCs w:val="16"/>
              </w:rPr>
            </w:pPr>
            <w:r w:rsidRPr="000421F0">
              <w:rPr>
                <w:sz w:val="16"/>
                <w:szCs w:val="16"/>
              </w:rPr>
              <w:t>Střednědobý horizont</w:t>
            </w:r>
          </w:p>
        </w:tc>
      </w:tr>
      <w:tr w:rsidR="00402BA3" w:rsidRPr="000421F0" w14:paraId="571DC522" w14:textId="77777777" w:rsidTr="004B3AE9">
        <w:tc>
          <w:tcPr>
            <w:tcW w:w="0" w:type="auto"/>
            <w:vMerge/>
            <w:vAlign w:val="center"/>
            <w:hideMark/>
          </w:tcPr>
          <w:p w14:paraId="7CAABC58" w14:textId="77777777" w:rsidR="00402BA3" w:rsidRPr="000421F0" w:rsidRDefault="00402BA3" w:rsidP="00E105D8">
            <w:pPr>
              <w:spacing w:before="60" w:after="60"/>
              <w:rPr>
                <w:b/>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3D088730" w14:textId="77777777" w:rsidR="00402BA3" w:rsidRPr="000421F0" w:rsidRDefault="00402BA3" w:rsidP="00E105D8">
            <w:pPr>
              <w:spacing w:before="60" w:after="60"/>
              <w:rPr>
                <w:sz w:val="16"/>
                <w:szCs w:val="16"/>
              </w:rPr>
            </w:pPr>
            <w:r w:rsidRPr="000421F0">
              <w:rPr>
                <w:b/>
                <w:sz w:val="16"/>
                <w:szCs w:val="16"/>
              </w:rPr>
              <w:t>Sdílení dobré a špatné praxe</w:t>
            </w:r>
            <w:r w:rsidRPr="000421F0">
              <w:rPr>
                <w:sz w:val="16"/>
                <w:szCs w:val="16"/>
              </w:rPr>
              <w:t xml:space="preserve"> v rámci implementační struktury je </w:t>
            </w:r>
            <w:r w:rsidRPr="000421F0">
              <w:rPr>
                <w:b/>
                <w:sz w:val="16"/>
                <w:szCs w:val="16"/>
              </w:rPr>
              <w:t>nedostatečné</w:t>
            </w:r>
            <w:r w:rsidRPr="000421F0">
              <w:rPr>
                <w:sz w:val="16"/>
                <w:szCs w:val="16"/>
              </w:rPr>
              <w:t>.</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0B3702CC" w14:textId="77777777" w:rsidR="00402BA3" w:rsidRPr="000421F0" w:rsidRDefault="00402BA3" w:rsidP="00E105D8">
            <w:pPr>
              <w:spacing w:before="60" w:after="60"/>
              <w:ind w:left="177" w:right="134"/>
              <w:jc w:val="center"/>
              <w:rPr>
                <w:sz w:val="16"/>
                <w:szCs w:val="16"/>
              </w:rPr>
            </w:pPr>
            <w:r w:rsidRPr="000421F0">
              <w:rPr>
                <w:sz w:val="16"/>
                <w:szCs w:val="16"/>
              </w:rPr>
              <w:t>Ano</w:t>
            </w:r>
          </w:p>
          <w:p w14:paraId="58731517" w14:textId="77777777" w:rsidR="00402BA3" w:rsidRPr="000421F0" w:rsidRDefault="00402BA3" w:rsidP="00E105D8">
            <w:pPr>
              <w:spacing w:before="60" w:after="60"/>
              <w:ind w:left="177" w:right="134"/>
              <w:jc w:val="center"/>
              <w:rPr>
                <w:sz w:val="16"/>
                <w:szCs w:val="16"/>
              </w:rPr>
            </w:pPr>
          </w:p>
          <w:p w14:paraId="51FCEA0C" w14:textId="77777777" w:rsidR="00402BA3" w:rsidRPr="000421F0" w:rsidRDefault="00402BA3" w:rsidP="00E105D8">
            <w:pPr>
              <w:spacing w:before="60" w:after="60"/>
              <w:ind w:left="177" w:right="134"/>
              <w:jc w:val="center"/>
              <w:rPr>
                <w:sz w:val="16"/>
                <w:szCs w:val="16"/>
              </w:rPr>
            </w:pPr>
            <w:r w:rsidRPr="000421F0">
              <w:rPr>
                <w:sz w:val="16"/>
                <w:szCs w:val="16"/>
              </w:rPr>
              <w:t>1</w:t>
            </w:r>
          </w:p>
        </w:tc>
        <w:tc>
          <w:tcPr>
            <w:tcW w:w="0" w:type="auto"/>
            <w:vMerge/>
            <w:vAlign w:val="center"/>
            <w:hideMark/>
          </w:tcPr>
          <w:p w14:paraId="6EABAE44" w14:textId="77777777" w:rsidR="00402BA3" w:rsidRPr="000421F0" w:rsidRDefault="00402BA3" w:rsidP="00E105D8">
            <w:pPr>
              <w:spacing w:before="60" w:after="60"/>
              <w:rPr>
                <w:sz w:val="16"/>
                <w:szCs w:val="16"/>
              </w:rPr>
            </w:pPr>
          </w:p>
        </w:tc>
        <w:tc>
          <w:tcPr>
            <w:tcW w:w="555" w:type="pct"/>
            <w:vMerge/>
          </w:tcPr>
          <w:p w14:paraId="4B4953B9" w14:textId="77777777" w:rsidR="00402BA3" w:rsidRPr="000421F0" w:rsidRDefault="00402BA3" w:rsidP="00E105D8">
            <w:pPr>
              <w:spacing w:before="60" w:after="60"/>
              <w:rPr>
                <w:sz w:val="16"/>
                <w:szCs w:val="16"/>
              </w:rPr>
            </w:pPr>
          </w:p>
        </w:tc>
      </w:tr>
      <w:tr w:rsidR="00402BA3" w:rsidRPr="000421F0" w14:paraId="26E1C3C3" w14:textId="77777777" w:rsidTr="004B3AE9">
        <w:tc>
          <w:tcPr>
            <w:tcW w:w="667" w:type="pct"/>
            <w:vMerge/>
          </w:tcPr>
          <w:p w14:paraId="612493D4" w14:textId="77777777" w:rsidR="00402BA3" w:rsidRPr="000421F0" w:rsidRDefault="00402BA3" w:rsidP="00E105D8">
            <w:pPr>
              <w:spacing w:before="60" w:after="60"/>
              <w:ind w:right="90"/>
              <w:rPr>
                <w:sz w:val="16"/>
                <w:szCs w:val="16"/>
              </w:rPr>
            </w:pPr>
          </w:p>
        </w:tc>
        <w:tc>
          <w:tcPr>
            <w:tcW w:w="181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5348234E" w14:textId="4F267F73" w:rsidR="00402BA3" w:rsidRPr="000421F0" w:rsidRDefault="7CA53A1F" w:rsidP="00E105D8">
            <w:pPr>
              <w:spacing w:before="60" w:after="60"/>
              <w:rPr>
                <w:b/>
                <w:bCs/>
                <w:sz w:val="16"/>
                <w:szCs w:val="16"/>
              </w:rPr>
            </w:pPr>
            <w:r w:rsidRPr="1B8B314C">
              <w:rPr>
                <w:sz w:val="16"/>
                <w:szCs w:val="16"/>
              </w:rPr>
              <w:t>Jazyk, kterým je podpora OP PIK komunikována</w:t>
            </w:r>
            <w:r w:rsidR="4D306F6C" w:rsidRPr="1B8B314C">
              <w:rPr>
                <w:sz w:val="16"/>
                <w:szCs w:val="16"/>
              </w:rPr>
              <w:t>,</w:t>
            </w:r>
            <w:r w:rsidRPr="1B8B314C">
              <w:rPr>
                <w:sz w:val="16"/>
                <w:szCs w:val="16"/>
              </w:rPr>
              <w:t xml:space="preserve"> není uživatelsky přívětivý, je pro žadatele složitý, formulace dlouhé a nepřehledné. To se týká webových stránek, znění výzev </w:t>
            </w:r>
            <w:r w:rsidR="00037C71">
              <w:rPr>
                <w:sz w:val="16"/>
                <w:szCs w:val="16"/>
              </w:rPr>
              <w:t xml:space="preserve">a metodického prostředí. </w:t>
            </w:r>
          </w:p>
        </w:tc>
        <w:tc>
          <w:tcPr>
            <w:tcW w:w="504"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tcPr>
          <w:p w14:paraId="117F3869" w14:textId="77777777" w:rsidR="00402BA3" w:rsidRPr="000421F0" w:rsidRDefault="00402BA3" w:rsidP="00E105D8">
            <w:pPr>
              <w:spacing w:before="60" w:after="60"/>
              <w:ind w:left="177" w:right="134"/>
              <w:jc w:val="center"/>
              <w:rPr>
                <w:sz w:val="16"/>
                <w:szCs w:val="16"/>
              </w:rPr>
            </w:pPr>
            <w:r w:rsidRPr="000421F0">
              <w:rPr>
                <w:sz w:val="16"/>
                <w:szCs w:val="16"/>
              </w:rPr>
              <w:t>Ano</w:t>
            </w:r>
          </w:p>
          <w:p w14:paraId="58A3DC26" w14:textId="77777777" w:rsidR="00402BA3" w:rsidRPr="000421F0" w:rsidRDefault="00402BA3" w:rsidP="00E105D8">
            <w:pPr>
              <w:spacing w:before="60" w:after="60"/>
              <w:ind w:left="177" w:right="134"/>
              <w:jc w:val="center"/>
              <w:rPr>
                <w:sz w:val="16"/>
                <w:szCs w:val="16"/>
              </w:rPr>
            </w:pPr>
          </w:p>
          <w:p w14:paraId="21418D00" w14:textId="77777777" w:rsidR="00402BA3" w:rsidRPr="000421F0" w:rsidRDefault="00402BA3" w:rsidP="00E105D8">
            <w:pPr>
              <w:spacing w:before="60" w:after="60"/>
              <w:ind w:left="177" w:right="134"/>
              <w:jc w:val="center"/>
              <w:rPr>
                <w:sz w:val="16"/>
                <w:szCs w:val="16"/>
              </w:rPr>
            </w:pPr>
            <w:r w:rsidRPr="000421F0">
              <w:rPr>
                <w:sz w:val="16"/>
                <w:szCs w:val="16"/>
              </w:rPr>
              <w:t>1</w:t>
            </w:r>
          </w:p>
        </w:tc>
        <w:tc>
          <w:tcPr>
            <w:tcW w:w="1462" w:type="pct"/>
            <w:tcBorders>
              <w:top w:val="single" w:sz="6" w:space="0" w:color="D9D9D9" w:themeColor="background1" w:themeShade="D9"/>
              <w:left w:val="single" w:sz="4" w:space="0" w:color="D0EC9F" w:themeColor="accent1" w:themeTint="66"/>
              <w:bottom w:val="single" w:sz="6" w:space="0" w:color="D9D9D9" w:themeColor="background1" w:themeShade="D9"/>
              <w:right w:val="single" w:sz="4" w:space="0" w:color="D0EC9F" w:themeColor="accent1" w:themeTint="66"/>
            </w:tcBorders>
            <w:hideMark/>
          </w:tcPr>
          <w:p w14:paraId="6ACB01C1" w14:textId="19A5BC2F" w:rsidR="00402BA3" w:rsidRPr="000421F0" w:rsidRDefault="00402BA3" w:rsidP="00E105D8">
            <w:pPr>
              <w:pStyle w:val="ListParagraph"/>
              <w:numPr>
                <w:ilvl w:val="0"/>
                <w:numId w:val="31"/>
              </w:numPr>
              <w:spacing w:before="60" w:after="60"/>
              <w:ind w:left="442" w:right="134"/>
              <w:contextualSpacing w:val="0"/>
              <w:rPr>
                <w:sz w:val="16"/>
                <w:szCs w:val="16"/>
              </w:rPr>
            </w:pPr>
            <w:r w:rsidRPr="000421F0">
              <w:rPr>
                <w:sz w:val="16"/>
                <w:szCs w:val="16"/>
              </w:rPr>
              <w:t xml:space="preserve">Zjednodušení jazyka, sjednocení terminologie, nepoužívání odborných a cizích slov, zkrácení obsahu sdělení, </w:t>
            </w:r>
            <w:r w:rsidRPr="000421F0">
              <w:rPr>
                <w:sz w:val="16"/>
                <w:szCs w:val="16"/>
              </w:rPr>
              <w:lastRenderedPageBreak/>
              <w:t>zvýraznění důležitých informací, změn apod.</w:t>
            </w:r>
          </w:p>
        </w:tc>
        <w:tc>
          <w:tcPr>
            <w:tcW w:w="555" w:type="pct"/>
            <w:tcBorders>
              <w:top w:val="single" w:sz="6" w:space="0" w:color="D9D9D9" w:themeColor="background1" w:themeShade="D9"/>
              <w:left w:val="single" w:sz="4" w:space="0" w:color="D0EC9F" w:themeColor="accent1" w:themeTint="66"/>
              <w:bottom w:val="single" w:sz="6" w:space="0" w:color="D9D9D9" w:themeColor="background1" w:themeShade="D9"/>
              <w:right w:val="nil"/>
            </w:tcBorders>
          </w:tcPr>
          <w:p w14:paraId="090F3144" w14:textId="15C28A9D" w:rsidR="00402BA3" w:rsidRPr="000421F0" w:rsidRDefault="00402BA3" w:rsidP="00E105D8">
            <w:pPr>
              <w:spacing w:before="60" w:after="60"/>
              <w:rPr>
                <w:sz w:val="16"/>
                <w:szCs w:val="16"/>
              </w:rPr>
            </w:pPr>
            <w:r w:rsidRPr="000421F0">
              <w:rPr>
                <w:sz w:val="16"/>
                <w:szCs w:val="16"/>
              </w:rPr>
              <w:lastRenderedPageBreak/>
              <w:t>Krátkodobý horizont</w:t>
            </w:r>
          </w:p>
        </w:tc>
      </w:tr>
    </w:tbl>
    <w:p w14:paraId="4BCB07C2" w14:textId="77777777" w:rsidR="004771E4" w:rsidRDefault="004771E4" w:rsidP="00B0670F">
      <w:pPr>
        <w:spacing w:line="240" w:lineRule="auto"/>
        <w:jc w:val="both"/>
        <w:sectPr w:rsidR="004771E4" w:rsidSect="004771E4">
          <w:type w:val="continuous"/>
          <w:pgSz w:w="16838" w:h="11906" w:orient="landscape" w:code="9"/>
          <w:pgMar w:top="1080" w:right="1440" w:bottom="1080" w:left="1440" w:header="677" w:footer="562" w:gutter="0"/>
          <w:cols w:space="284"/>
          <w:titlePg/>
          <w:docGrid w:linePitch="360"/>
        </w:sectPr>
      </w:pPr>
    </w:p>
    <w:p w14:paraId="086128AF" w14:textId="2D43318C" w:rsidR="00B76A6B" w:rsidRPr="00880699" w:rsidRDefault="00EA5475" w:rsidP="00791621">
      <w:pPr>
        <w:pStyle w:val="Heading1"/>
        <w:spacing w:after="240"/>
      </w:pPr>
      <w:bookmarkStart w:id="11" w:name="_Toc52532083"/>
      <w:r>
        <w:lastRenderedPageBreak/>
        <w:t>Zodpovězení evaluačních otázek</w:t>
      </w:r>
      <w:bookmarkEnd w:id="11"/>
    </w:p>
    <w:p w14:paraId="7E878168" w14:textId="75FAB875" w:rsidR="00E1494C" w:rsidRDefault="00EA5475" w:rsidP="00EA5475">
      <w:pPr>
        <w:overflowPunct w:val="0"/>
        <w:autoSpaceDE w:val="0"/>
        <w:autoSpaceDN w:val="0"/>
        <w:adjustRightInd w:val="0"/>
        <w:spacing w:before="60" w:after="60" w:line="240" w:lineRule="auto"/>
        <w:jc w:val="both"/>
        <w:textAlignment w:val="baseline"/>
        <w:rPr>
          <w:rFonts w:cstheme="minorHAnsi"/>
        </w:rPr>
      </w:pPr>
      <w:r>
        <w:rPr>
          <w:rFonts w:cstheme="minorHAnsi"/>
        </w:rPr>
        <w:t xml:space="preserve">Následující kapitola předkládá zodpovězení evaluačních otázek, jak byly definovány v zadávací dokumentaci. Odpovědi vychází z detailní analýzy dat a zjištění z Průběžné zprávy, expertního panelu, rozhovorů s příjemci podpory a dalších hloubkových rozhovorů s vybranými pracovníky implementační struktury. </w:t>
      </w:r>
    </w:p>
    <w:p w14:paraId="62E84E6C" w14:textId="3FF9ABBC" w:rsidR="002A7D85" w:rsidRPr="00EA5475" w:rsidRDefault="002A7D85" w:rsidP="002A7D85">
      <w:pPr>
        <w:pStyle w:val="Heading2"/>
      </w:pPr>
      <w:bookmarkStart w:id="12" w:name="_Toc52532084"/>
      <w:r>
        <w:t>Metodické prostředí</w:t>
      </w:r>
      <w:bookmarkEnd w:id="12"/>
    </w:p>
    <w:p w14:paraId="611BF0CE" w14:textId="2098D5C9" w:rsidR="006D59F6" w:rsidRPr="00E1494C" w:rsidRDefault="00E1494C" w:rsidP="00B0670F">
      <w:pPr>
        <w:jc w:val="both"/>
      </w:pPr>
      <w:r w:rsidRPr="00E1494C">
        <w:t>Následující tabu</w:t>
      </w:r>
      <w:r>
        <w:t>l</w:t>
      </w:r>
      <w:r w:rsidRPr="00E1494C">
        <w:t xml:space="preserve">ka shrnuje odpovědi na evaluační otázky k metodickému </w:t>
      </w:r>
      <w:r w:rsidR="002A7D85" w:rsidRPr="00E1494C">
        <w:t>prostředí</w:t>
      </w:r>
      <w:r w:rsidRPr="00E1494C">
        <w:t>.</w:t>
      </w:r>
    </w:p>
    <w:p w14:paraId="43751DF5" w14:textId="48560F2F" w:rsidR="00E1494C" w:rsidRDefault="00E1494C" w:rsidP="00E1494C">
      <w:pPr>
        <w:pStyle w:val="Caption"/>
      </w:pPr>
      <w:bookmarkStart w:id="13" w:name="_Toc52532102"/>
      <w:r>
        <w:t xml:space="preserve">Tabulka </w:t>
      </w:r>
      <w:r>
        <w:fldChar w:fldCharType="begin"/>
      </w:r>
      <w:r>
        <w:instrText xml:space="preserve"> SEQ Tabulka \* ARABIC </w:instrText>
      </w:r>
      <w:r>
        <w:fldChar w:fldCharType="separate"/>
      </w:r>
      <w:r w:rsidR="008E1911">
        <w:rPr>
          <w:noProof/>
        </w:rPr>
        <w:t>4</w:t>
      </w:r>
      <w:r>
        <w:fldChar w:fldCharType="end"/>
      </w:r>
      <w:r>
        <w:t xml:space="preserve"> Odpovědi k evaluačním otázkám k metodickému prostředí OP PIK</w:t>
      </w:r>
      <w:bookmarkEnd w:id="13"/>
    </w:p>
    <w:tbl>
      <w:tblPr>
        <w:tblStyle w:val="ListTable3-Accent1"/>
        <w:tblW w:w="5000" w:type="pct"/>
        <w:tblBorders>
          <w:insideH w:val="single" w:sz="4" w:space="0" w:color="86BC25" w:themeColor="accent1"/>
          <w:insideV w:val="single" w:sz="4" w:space="0" w:color="86BC25" w:themeColor="accent1"/>
        </w:tblBorders>
        <w:tblLayout w:type="fixed"/>
        <w:tblCellMar>
          <w:top w:w="29" w:type="dxa"/>
          <w:left w:w="29" w:type="dxa"/>
          <w:bottom w:w="29" w:type="dxa"/>
          <w:right w:w="29" w:type="dxa"/>
        </w:tblCellMar>
        <w:tblLook w:val="04A0" w:firstRow="1" w:lastRow="0" w:firstColumn="1" w:lastColumn="0" w:noHBand="0" w:noVBand="1"/>
      </w:tblPr>
      <w:tblGrid>
        <w:gridCol w:w="264"/>
        <w:gridCol w:w="2341"/>
        <w:gridCol w:w="7131"/>
      </w:tblGrid>
      <w:tr w:rsidR="00EA5475" w:rsidRPr="000421F0" w14:paraId="5CC9FB1B" w14:textId="77777777" w:rsidTr="1B8B314C">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136" w:type="pct"/>
            <w:noWrap/>
            <w:hideMark/>
          </w:tcPr>
          <w:p w14:paraId="4D60CA32" w14:textId="77777777" w:rsidR="00EA5475" w:rsidRPr="000421F0" w:rsidRDefault="00EA5475" w:rsidP="00E105D8">
            <w:pPr>
              <w:spacing w:before="60" w:after="60"/>
              <w:rPr>
                <w:rFonts w:asciiTheme="minorHAnsi" w:eastAsia="Times New Roman" w:hAnsiTheme="minorHAnsi"/>
                <w:sz w:val="16"/>
                <w:szCs w:val="16"/>
              </w:rPr>
            </w:pPr>
          </w:p>
        </w:tc>
        <w:tc>
          <w:tcPr>
            <w:tcW w:w="1202" w:type="pct"/>
            <w:noWrap/>
            <w:hideMark/>
          </w:tcPr>
          <w:p w14:paraId="1539ABFF" w14:textId="77777777" w:rsidR="00EA5475" w:rsidRPr="000421F0" w:rsidRDefault="00EA5475" w:rsidP="00E105D8">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sz w:val="16"/>
                <w:szCs w:val="16"/>
              </w:rPr>
              <w:t>Metodické prostředí</w:t>
            </w:r>
          </w:p>
        </w:tc>
        <w:tc>
          <w:tcPr>
            <w:tcW w:w="3662" w:type="pct"/>
            <w:noWrap/>
            <w:hideMark/>
          </w:tcPr>
          <w:p w14:paraId="60880238" w14:textId="77777777" w:rsidR="00EA5475" w:rsidRPr="000421F0" w:rsidRDefault="00EA5475" w:rsidP="00E105D8">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p>
        </w:tc>
      </w:tr>
      <w:tr w:rsidR="00EA5475" w:rsidRPr="000421F0" w14:paraId="2BF3A576" w14:textId="77777777" w:rsidTr="1B8B314C">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136" w:type="pct"/>
            <w:shd w:val="clear" w:color="auto" w:fill="E7F5CF" w:themeFill="accent1" w:themeFillTint="33"/>
            <w:noWrap/>
            <w:hideMark/>
          </w:tcPr>
          <w:p w14:paraId="4BB30FB4" w14:textId="77777777" w:rsidR="00EA5475" w:rsidRPr="000421F0" w:rsidRDefault="00EA5475" w:rsidP="00E105D8">
            <w:pPr>
              <w:spacing w:before="60" w:after="6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č.</w:t>
            </w:r>
          </w:p>
        </w:tc>
        <w:tc>
          <w:tcPr>
            <w:tcW w:w="1202" w:type="pct"/>
            <w:shd w:val="clear" w:color="auto" w:fill="E7F5CF" w:themeFill="accent1" w:themeFillTint="33"/>
            <w:noWrap/>
            <w:hideMark/>
          </w:tcPr>
          <w:p w14:paraId="2F6E3E83" w14:textId="77777777" w:rsidR="00EA5475" w:rsidRPr="000421F0" w:rsidRDefault="00EA5475" w:rsidP="00E105D8">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Evaluační otázka</w:t>
            </w:r>
          </w:p>
        </w:tc>
        <w:tc>
          <w:tcPr>
            <w:tcW w:w="3662" w:type="pct"/>
            <w:shd w:val="clear" w:color="auto" w:fill="E7F5CF" w:themeFill="accent1" w:themeFillTint="33"/>
            <w:noWrap/>
            <w:hideMark/>
          </w:tcPr>
          <w:p w14:paraId="3361046D" w14:textId="0CF18DFB" w:rsidR="00EA5475" w:rsidRPr="000421F0" w:rsidRDefault="00402BA3" w:rsidP="00E105D8">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Odpověď na EO</w:t>
            </w:r>
          </w:p>
        </w:tc>
      </w:tr>
      <w:tr w:rsidR="00EA5475" w:rsidRPr="000421F0" w14:paraId="1E8821C6" w14:textId="77777777" w:rsidTr="1B8B314C">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136" w:type="pct"/>
            <w:noWrap/>
            <w:hideMark/>
          </w:tcPr>
          <w:p w14:paraId="3D1F6DDE" w14:textId="77777777" w:rsidR="00EA5475" w:rsidRPr="000421F0" w:rsidRDefault="00EA5475" w:rsidP="00E105D8">
            <w:pPr>
              <w:spacing w:before="60" w:after="6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1</w:t>
            </w:r>
          </w:p>
        </w:tc>
        <w:tc>
          <w:tcPr>
            <w:tcW w:w="1202" w:type="pct"/>
            <w:noWrap/>
            <w:hideMark/>
          </w:tcPr>
          <w:p w14:paraId="79C6BADB"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Je metodické prostředí OP PIK trvalé, přehledné a uživatelsky přívětivé?</w:t>
            </w:r>
            <w:r w:rsidRPr="000421F0">
              <w:rPr>
                <w:rStyle w:val="FootnoteReference"/>
                <w:rFonts w:asciiTheme="minorHAnsi" w:eastAsia="Times New Roman" w:hAnsiTheme="minorHAnsi" w:cs="Calibri"/>
                <w:b/>
                <w:color w:val="000000"/>
                <w:sz w:val="16"/>
                <w:szCs w:val="16"/>
              </w:rPr>
              <w:footnoteReference w:id="12"/>
            </w:r>
            <w:r w:rsidRPr="000421F0">
              <w:rPr>
                <w:rFonts w:asciiTheme="minorHAnsi" w:eastAsia="Times New Roman" w:hAnsiTheme="minorHAnsi" w:cs="Calibri"/>
                <w:b/>
                <w:color w:val="000000"/>
                <w:sz w:val="16"/>
                <w:szCs w:val="16"/>
              </w:rPr>
              <w:t xml:space="preserve"> Jak žadatelé/příjemci vnímají metodické prostředí s ohledem na četnost prováděných změn pravidel OP PIK?</w:t>
            </w:r>
          </w:p>
        </w:tc>
        <w:tc>
          <w:tcPr>
            <w:tcW w:w="3662" w:type="pct"/>
            <w:noWrap/>
            <w:hideMark/>
          </w:tcPr>
          <w:p w14:paraId="68C5AFE4" w14:textId="545B0FAA" w:rsidR="00B85824"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 xml:space="preserve">Metodické prostředí je pracovníky IS </w:t>
            </w:r>
            <w:r w:rsidR="00B85824" w:rsidRPr="000421F0">
              <w:rPr>
                <w:rFonts w:asciiTheme="minorHAnsi" w:eastAsia="Times New Roman" w:hAnsiTheme="minorHAnsi" w:cs="Calibri"/>
                <w:sz w:val="16"/>
                <w:szCs w:val="16"/>
              </w:rPr>
              <w:t xml:space="preserve">stejně jako žadateli a příjemci </w:t>
            </w:r>
            <w:r w:rsidRPr="000421F0">
              <w:rPr>
                <w:rFonts w:asciiTheme="minorHAnsi" w:eastAsia="Times New Roman" w:hAnsiTheme="minorHAnsi" w:cs="Calibri"/>
                <w:sz w:val="16"/>
                <w:szCs w:val="16"/>
              </w:rPr>
              <w:t xml:space="preserve">hodnoceno </w:t>
            </w:r>
            <w:r w:rsidR="00A2398C">
              <w:rPr>
                <w:rFonts w:asciiTheme="minorHAnsi" w:eastAsia="Times New Roman" w:hAnsiTheme="minorHAnsi" w:cs="Calibri"/>
                <w:sz w:val="16"/>
                <w:szCs w:val="16"/>
              </w:rPr>
              <w:t xml:space="preserve">spíše </w:t>
            </w:r>
            <w:r w:rsidRPr="000421F0">
              <w:rPr>
                <w:rFonts w:asciiTheme="minorHAnsi" w:eastAsia="Times New Roman" w:hAnsiTheme="minorHAnsi" w:cs="Calibri"/>
                <w:sz w:val="16"/>
                <w:szCs w:val="16"/>
              </w:rPr>
              <w:t>jako příliš robustní, složité, nepřehledné a podléhající neustálým změnám</w:t>
            </w:r>
            <w:r w:rsidR="00B85824" w:rsidRPr="000421F0">
              <w:rPr>
                <w:rFonts w:asciiTheme="minorHAnsi" w:eastAsia="Times New Roman" w:hAnsiTheme="minorHAnsi" w:cs="Calibri"/>
                <w:sz w:val="16"/>
                <w:szCs w:val="16"/>
              </w:rPr>
              <w:t>.</w:t>
            </w:r>
            <w:r w:rsidR="001E13F4">
              <w:rPr>
                <w:rStyle w:val="FootnoteReference"/>
                <w:rFonts w:asciiTheme="minorHAnsi" w:eastAsia="Times New Roman" w:hAnsiTheme="minorHAnsi" w:cs="Calibri"/>
                <w:sz w:val="16"/>
                <w:szCs w:val="16"/>
              </w:rPr>
              <w:footnoteReference w:id="13"/>
            </w:r>
            <w:r w:rsidRPr="000421F0">
              <w:rPr>
                <w:rFonts w:asciiTheme="minorHAnsi" w:eastAsia="Times New Roman" w:hAnsiTheme="minorHAnsi" w:cs="Calibri"/>
                <w:sz w:val="16"/>
                <w:szCs w:val="16"/>
              </w:rPr>
              <w:t xml:space="preserve"> </w:t>
            </w:r>
            <w:r w:rsidR="00B85824" w:rsidRPr="000421F0">
              <w:rPr>
                <w:rFonts w:asciiTheme="minorHAnsi" w:eastAsia="Times New Roman" w:hAnsiTheme="minorHAnsi" w:cs="Calibri"/>
                <w:sz w:val="16"/>
                <w:szCs w:val="16"/>
              </w:rPr>
              <w:t xml:space="preserve">Často je metodickému prostředí vytýkána nejasnost definic, nedostatek aplikačních výkladů. </w:t>
            </w:r>
          </w:p>
          <w:p w14:paraId="4CC78A5D" w14:textId="77777777" w:rsidR="00B85824"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 xml:space="preserve">Složitost metodického prostředí je dána velkým počtem a rozsáhlostí metodických dokumentů, které mnohdy nejsou vzájemně provázány, jejich častými změnami, nedostatečnou komunikací změn a jejich nepřehledností. </w:t>
            </w:r>
          </w:p>
          <w:p w14:paraId="22DC720A" w14:textId="455C1B21"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Pracovníci implementační struktury vnímají, že nejsou dostatečně informováni o metodických změnách, byť jsou změny komunikovány emailem v podobě rozesílaných MD, sdílením aktuální verze OM OP PIK na sdíleném disku i přes portál Programboard. Tento pocit neinformovanosti však může pramenit i z vlastní rezignace</w:t>
            </w:r>
            <w:r w:rsidR="00B85824" w:rsidRPr="000421F0">
              <w:rPr>
                <w:rFonts w:asciiTheme="minorHAnsi" w:eastAsia="Times New Roman" w:hAnsiTheme="minorHAnsi" w:cs="Calibri"/>
                <w:sz w:val="16"/>
                <w:szCs w:val="16"/>
              </w:rPr>
              <w:t>.</w:t>
            </w:r>
            <w:r w:rsidRPr="000421F0">
              <w:rPr>
                <w:rFonts w:asciiTheme="minorHAnsi" w:eastAsia="Times New Roman" w:hAnsiTheme="minorHAnsi" w:cs="Calibri"/>
                <w:sz w:val="16"/>
                <w:szCs w:val="16"/>
              </w:rPr>
              <w:t xml:space="preserve"> </w:t>
            </w:r>
            <w:r w:rsidR="00B85824" w:rsidRPr="000421F0">
              <w:rPr>
                <w:rFonts w:asciiTheme="minorHAnsi" w:eastAsia="Times New Roman" w:hAnsiTheme="minorHAnsi" w:cs="Calibri"/>
                <w:sz w:val="16"/>
                <w:szCs w:val="16"/>
              </w:rPr>
              <w:t>Frekvence změn metodického prostředí mírně klesla z průměrných 6 změn/měsíc v roce 2019 na 4 změny/měsíc v roce 2020.</w:t>
            </w:r>
            <w:r w:rsidR="00B85824" w:rsidRPr="000421F0">
              <w:rPr>
                <w:rStyle w:val="FootnoteReference"/>
                <w:rFonts w:asciiTheme="minorHAnsi" w:eastAsia="Times New Roman" w:hAnsiTheme="minorHAnsi" w:cs="Calibri"/>
                <w:sz w:val="16"/>
                <w:szCs w:val="16"/>
              </w:rPr>
              <w:footnoteReference w:id="14"/>
            </w:r>
            <w:r w:rsidR="00B85824" w:rsidRPr="000421F0">
              <w:rPr>
                <w:rFonts w:asciiTheme="minorHAnsi" w:eastAsia="Times New Roman" w:hAnsiTheme="minorHAnsi" w:cs="Calibri"/>
                <w:sz w:val="16"/>
                <w:szCs w:val="16"/>
              </w:rPr>
              <w:t xml:space="preserve"> </w:t>
            </w:r>
            <w:r w:rsidRPr="000421F0">
              <w:rPr>
                <w:rFonts w:asciiTheme="minorHAnsi" w:eastAsia="Times New Roman" w:hAnsiTheme="minorHAnsi" w:cs="Calibri"/>
                <w:sz w:val="16"/>
                <w:szCs w:val="16"/>
              </w:rPr>
              <w:t xml:space="preserve">Změny metodického prostředí jsou aplikovány okamžitě po zjištění důvodu bez kritického zhodnocení dopadu na implementační strukturu, bez prioritizace změn, bez nastavení frekvence změn (např. jednou měsíčně, jednou za kvartál). </w:t>
            </w:r>
          </w:p>
          <w:p w14:paraId="7E0FAC3E" w14:textId="12F42D3B"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 xml:space="preserve">Obdobně hodnotí metodické prostředí i žadatelé a příjemci podpory. Pro jeho složitost, nepřehlednost a rozsáhlost často nejsou schopni zpracovávat </w:t>
            </w:r>
            <w:r w:rsidR="00B04647">
              <w:rPr>
                <w:rFonts w:asciiTheme="minorHAnsi" w:eastAsia="Times New Roman" w:hAnsiTheme="minorHAnsi" w:cs="Calibri"/>
                <w:sz w:val="16"/>
                <w:szCs w:val="16"/>
              </w:rPr>
              <w:t>žádosti o podporu</w:t>
            </w:r>
            <w:r w:rsidRPr="000421F0">
              <w:rPr>
                <w:rFonts w:asciiTheme="minorHAnsi" w:eastAsia="Times New Roman" w:hAnsiTheme="minorHAnsi" w:cs="Calibri"/>
                <w:sz w:val="16"/>
                <w:szCs w:val="16"/>
              </w:rPr>
              <w:t xml:space="preserve"> samostatně a odhadem</w:t>
            </w:r>
            <w:r w:rsidR="00A55CF6">
              <w:rPr>
                <w:rStyle w:val="FootnoteReference"/>
                <w:rFonts w:asciiTheme="minorHAnsi" w:eastAsia="Times New Roman" w:hAnsiTheme="minorHAnsi" w:cs="Calibri"/>
                <w:sz w:val="16"/>
                <w:szCs w:val="16"/>
              </w:rPr>
              <w:footnoteReference w:id="15"/>
            </w:r>
            <w:r w:rsidRPr="000421F0">
              <w:rPr>
                <w:rFonts w:asciiTheme="minorHAnsi" w:eastAsia="Times New Roman" w:hAnsiTheme="minorHAnsi" w:cs="Calibri"/>
                <w:sz w:val="16"/>
                <w:szCs w:val="16"/>
              </w:rPr>
              <w:t xml:space="preserve"> v 70 až 80 % případů jsou nuceni vyhledávat podporu poradenských společností, které se na přehled v metodickém prostředí specializují. Žadatelé i příjemci jsou nuceni orientovat se v dlouhé řadě </w:t>
            </w:r>
            <w:r w:rsidR="00FB20AA" w:rsidRPr="000421F0">
              <w:rPr>
                <w:rFonts w:asciiTheme="minorHAnsi" w:eastAsia="Times New Roman" w:hAnsiTheme="minorHAnsi" w:cs="Calibri"/>
                <w:sz w:val="16"/>
                <w:szCs w:val="16"/>
              </w:rPr>
              <w:t>metodických dokumentů, které nejsou součástí výzvy.</w:t>
            </w:r>
          </w:p>
          <w:p w14:paraId="3A4FB2B8"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Žadatelé negativně hodnotí změny metodického prostředí v průběhu výzev a nedostatečnou informovanost o změnách mezi stejnými výzvami v rámci jednoho programu podpory.</w:t>
            </w:r>
          </w:p>
        </w:tc>
      </w:tr>
      <w:tr w:rsidR="00EA5475" w:rsidRPr="000421F0" w14:paraId="58643443" w14:textId="77777777" w:rsidTr="1B8B314C">
        <w:trPr>
          <w:trHeight w:val="418"/>
        </w:trPr>
        <w:tc>
          <w:tcPr>
            <w:cnfStyle w:val="001000000000" w:firstRow="0" w:lastRow="0" w:firstColumn="1" w:lastColumn="0" w:oddVBand="0" w:evenVBand="0" w:oddHBand="0" w:evenHBand="0" w:firstRowFirstColumn="0" w:firstRowLastColumn="0" w:lastRowFirstColumn="0" w:lastRowLastColumn="0"/>
            <w:tcW w:w="136" w:type="pct"/>
            <w:noWrap/>
            <w:hideMark/>
          </w:tcPr>
          <w:p w14:paraId="6784761B" w14:textId="77777777" w:rsidR="00EA5475" w:rsidRPr="000421F0" w:rsidRDefault="00EA5475" w:rsidP="00E105D8">
            <w:pPr>
              <w:spacing w:before="60" w:after="6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2</w:t>
            </w:r>
          </w:p>
        </w:tc>
        <w:tc>
          <w:tcPr>
            <w:tcW w:w="1202" w:type="pct"/>
            <w:noWrap/>
            <w:hideMark/>
          </w:tcPr>
          <w:p w14:paraId="5FB3C718" w14:textId="7D8CE9B7"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bCs/>
                <w:color w:val="000000"/>
                <w:sz w:val="16"/>
                <w:szCs w:val="16"/>
              </w:rPr>
            </w:pPr>
            <w:r w:rsidRPr="1B8B314C">
              <w:rPr>
                <w:rFonts w:asciiTheme="minorHAnsi" w:eastAsia="Times New Roman" w:hAnsiTheme="minorHAnsi" w:cs="Calibri"/>
                <w:b/>
                <w:bCs/>
                <w:color w:val="000000"/>
                <w:sz w:val="16"/>
                <w:szCs w:val="16"/>
              </w:rPr>
              <w:t xml:space="preserve">Jsou v metodickém prostředí OP PIK uplatňovány procesy či jejich části, které lze označit jako </w:t>
            </w:r>
            <w:r w:rsidRPr="1B8B314C">
              <w:rPr>
                <w:rFonts w:asciiTheme="minorHAnsi" w:eastAsia="Times New Roman" w:hAnsiTheme="minorHAnsi" w:cs="Calibri"/>
                <w:b/>
                <w:bCs/>
                <w:color w:val="000000"/>
                <w:sz w:val="16"/>
                <w:szCs w:val="16"/>
              </w:rPr>
              <w:lastRenderedPageBreak/>
              <w:t>nadbytečné?</w:t>
            </w:r>
            <w:r w:rsidRPr="1B8B314C">
              <w:rPr>
                <w:rStyle w:val="FootnoteReference"/>
                <w:rFonts w:asciiTheme="minorHAnsi" w:eastAsia="Times New Roman" w:hAnsiTheme="minorHAnsi" w:cs="Calibri"/>
                <w:b/>
                <w:bCs/>
                <w:color w:val="000000"/>
                <w:sz w:val="16"/>
                <w:szCs w:val="16"/>
              </w:rPr>
              <w:footnoteReference w:id="16"/>
            </w:r>
            <w:r w:rsidRPr="1B8B314C">
              <w:rPr>
                <w:rFonts w:asciiTheme="minorHAnsi" w:eastAsia="Times New Roman" w:hAnsiTheme="minorHAnsi" w:cs="Calibri"/>
                <w:b/>
                <w:bCs/>
                <w:color w:val="000000"/>
                <w:sz w:val="16"/>
                <w:szCs w:val="16"/>
              </w:rPr>
              <w:t xml:space="preserve"> Nadbytečné procesy budou rozděleny na ty, které vyplývají </w:t>
            </w:r>
            <w:r w:rsidR="37DDC921" w:rsidRPr="1B8B314C">
              <w:rPr>
                <w:rFonts w:asciiTheme="minorHAnsi" w:eastAsia="Times New Roman" w:hAnsiTheme="minorHAnsi" w:cs="Calibri"/>
                <w:b/>
                <w:bCs/>
                <w:color w:val="000000"/>
                <w:sz w:val="16"/>
                <w:szCs w:val="16"/>
              </w:rPr>
              <w:t xml:space="preserve">z </w:t>
            </w:r>
            <w:r w:rsidRPr="1B8B314C">
              <w:rPr>
                <w:rFonts w:asciiTheme="minorHAnsi" w:eastAsia="Times New Roman" w:hAnsiTheme="minorHAnsi" w:cs="Calibri"/>
                <w:b/>
                <w:bCs/>
                <w:color w:val="000000"/>
                <w:sz w:val="16"/>
                <w:szCs w:val="16"/>
              </w:rPr>
              <w:t>platné legislativy a Jednotného metodického prostředí (dále jen „JMP“), a ty, které jdou nad rámec požadavků platné legislativy a JMP.</w:t>
            </w:r>
          </w:p>
        </w:tc>
        <w:tc>
          <w:tcPr>
            <w:tcW w:w="3662" w:type="pct"/>
            <w:noWrap/>
            <w:hideMark/>
          </w:tcPr>
          <w:p w14:paraId="0EE9C308" w14:textId="3C77EABA"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lastRenderedPageBreak/>
              <w:t>Současné nastavení metodického prostředí OP PIK vede k výkonu nadbytečných a duplicitních procesů (např. dvojí či dokonce trojí kontrola výběrových řízení, vícečetná kontrola MSP, CBA). 43 % respondentů DŠ mezi pracovníky IS považuje některé procesy OP PIK nadbytečné. Dalších 37 % r</w:t>
            </w:r>
            <w:r w:rsidR="00CD708B" w:rsidRPr="000421F0">
              <w:rPr>
                <w:rFonts w:asciiTheme="minorHAnsi" w:eastAsia="Times New Roman" w:hAnsiTheme="minorHAnsi" w:cs="Calibri"/>
                <w:sz w:val="16"/>
                <w:szCs w:val="16"/>
              </w:rPr>
              <w:t xml:space="preserve">espondentů toto neumí posoudit. </w:t>
            </w:r>
          </w:p>
          <w:p w14:paraId="38EBBF2E" w14:textId="4A7A7C8B" w:rsidR="00EA5475" w:rsidRPr="000421F0" w:rsidRDefault="004F646B"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 xml:space="preserve">V rámci analýzy byly identifikovány následující nadbytečné procesy </w:t>
            </w:r>
            <w:r w:rsidR="00B0402D" w:rsidRPr="000421F0">
              <w:rPr>
                <w:rFonts w:asciiTheme="minorHAnsi" w:eastAsia="Times New Roman" w:hAnsiTheme="minorHAnsi" w:cs="Calibri"/>
                <w:sz w:val="16"/>
                <w:szCs w:val="16"/>
              </w:rPr>
              <w:t xml:space="preserve">vyplývající z </w:t>
            </w:r>
            <w:r w:rsidRPr="000421F0">
              <w:rPr>
                <w:rFonts w:asciiTheme="minorHAnsi" w:eastAsia="Times New Roman" w:hAnsiTheme="minorHAnsi" w:cs="Calibri"/>
                <w:sz w:val="16"/>
                <w:szCs w:val="16"/>
              </w:rPr>
              <w:t>platné legislativy</w:t>
            </w:r>
            <w:r w:rsidR="00B0402D" w:rsidRPr="000421F0">
              <w:rPr>
                <w:rFonts w:asciiTheme="minorHAnsi" w:eastAsia="Times New Roman" w:hAnsiTheme="minorHAnsi" w:cs="Calibri"/>
                <w:sz w:val="16"/>
                <w:szCs w:val="16"/>
              </w:rPr>
              <w:t>, konkrétně článku 61 Obecného nařízení</w:t>
            </w:r>
            <w:r w:rsidR="00EA5475" w:rsidRPr="000421F0">
              <w:rPr>
                <w:rFonts w:asciiTheme="minorHAnsi" w:eastAsia="Times New Roman" w:hAnsiTheme="minorHAnsi" w:cs="Calibri"/>
                <w:sz w:val="16"/>
                <w:szCs w:val="16"/>
              </w:rPr>
              <w:t>:</w:t>
            </w:r>
          </w:p>
          <w:p w14:paraId="1DAA0362" w14:textId="72236491"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lastRenderedPageBreak/>
              <w:t>Proces CBA;</w:t>
            </w:r>
          </w:p>
          <w:p w14:paraId="52D5FADF" w14:textId="23DC7001" w:rsidR="00D77EE7" w:rsidRPr="000421F0" w:rsidRDefault="00A071A4"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Následující procesy byly identifikovány jako nadbytečné</w:t>
            </w:r>
            <w:r w:rsidR="00B0402D" w:rsidRPr="000421F0">
              <w:rPr>
                <w:rFonts w:asciiTheme="minorHAnsi" w:eastAsia="Times New Roman" w:hAnsiTheme="minorHAnsi" w:cs="Calibri"/>
                <w:sz w:val="16"/>
                <w:szCs w:val="16"/>
              </w:rPr>
              <w:t>, bez přímé vazby na legislativní úpravu a</w:t>
            </w:r>
            <w:r w:rsidRPr="000421F0">
              <w:rPr>
                <w:rFonts w:asciiTheme="minorHAnsi" w:eastAsia="Times New Roman" w:hAnsiTheme="minorHAnsi" w:cs="Calibri"/>
                <w:sz w:val="16"/>
                <w:szCs w:val="16"/>
              </w:rPr>
              <w:t xml:space="preserve"> JMP:</w:t>
            </w:r>
          </w:p>
          <w:p w14:paraId="582C48C8" w14:textId="77777777" w:rsidR="00CC0C7A" w:rsidRPr="000421F0" w:rsidRDefault="00CC0C7A"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Proces výpočtu směsných poměrů;</w:t>
            </w:r>
          </w:p>
          <w:p w14:paraId="1BC8167E" w14:textId="77777777" w:rsidR="00CC0C7A" w:rsidRPr="000421F0" w:rsidRDefault="00CC0C7A"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Institut Administrativního ověření (AdO), který je zbytečným mezikrokem k záložkám;</w:t>
            </w:r>
          </w:p>
          <w:p w14:paraId="1E508A90"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Duplicitní zadávání údajů v systémech (např. MS2014+ a EDS/SMVS);</w:t>
            </w:r>
          </w:p>
          <w:p w14:paraId="12E0867D"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Uvádění čísla projektu na fakturách;</w:t>
            </w:r>
          </w:p>
          <w:p w14:paraId="4A942A86"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Číslování dokumentů – příloh;</w:t>
            </w:r>
          </w:p>
          <w:p w14:paraId="31302A9A"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hAnsiTheme="minorHAnsi" w:cs="Arialoby?ejné"/>
                <w:sz w:val="16"/>
                <w:szCs w:val="16"/>
              </w:rPr>
              <w:t>Interní sdělení kvůli změně právního aktu, stavu projektu – čeká se na odpověď, vede k dalším zpoždění;</w:t>
            </w:r>
          </w:p>
          <w:p w14:paraId="1FDF1A35"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hAnsiTheme="minorHAnsi" w:cs="Arialoby?ejné"/>
                <w:sz w:val="16"/>
                <w:szCs w:val="16"/>
              </w:rPr>
              <w:t>Dvojí kontrola zadávací dokumentace u veřejných zakázek (kontrola ze strany oddělení metodiky veřejných zakázek a zároveň oddělení kontrol výběrových řízení);</w:t>
            </w:r>
          </w:p>
          <w:p w14:paraId="4CFD28F0"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hAnsiTheme="minorHAnsi" w:cs="Arialoby?ejné"/>
                <w:sz w:val="16"/>
                <w:szCs w:val="16"/>
              </w:rPr>
              <w:t>Manuální vypisování formulářů při udělování sankcí s nároky na pouhou restylizaci obsahu bez věcné změny;</w:t>
            </w:r>
          </w:p>
          <w:p w14:paraId="2718562E"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hAnsiTheme="minorHAnsi" w:cs="Arialoby?ejné"/>
                <w:sz w:val="16"/>
                <w:szCs w:val="16"/>
              </w:rPr>
              <w:t>Množství mezikroků – nap. ukončení úkonu: ukončení, finalizování, podepsání, výzva protistrany, její schválení a až následně podepsání;</w:t>
            </w:r>
          </w:p>
          <w:p w14:paraId="6BAEF820"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hAnsiTheme="minorHAnsi" w:cs="Arialoby?ejné"/>
                <w:sz w:val="16"/>
                <w:szCs w:val="16"/>
              </w:rPr>
              <w:t>Složitá nominace věcných hodnotitelů v systému;</w:t>
            </w:r>
          </w:p>
          <w:p w14:paraId="3271E687"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Elektronické podepisování RoPD mimo systém MS2014+ a následné vkládání;</w:t>
            </w:r>
          </w:p>
          <w:p w14:paraId="56A5891B"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Nadbytečná kontrola rozpočtů systémy RTS, Kros a BuildPowerS;</w:t>
            </w:r>
          </w:p>
          <w:p w14:paraId="2789B643"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Kontrola VŘ ex ante;</w:t>
            </w:r>
          </w:p>
          <w:p w14:paraId="6921FFEE" w14:textId="77777777" w:rsidR="00EA5475" w:rsidRPr="000421F0" w:rsidRDefault="00EA5475" w:rsidP="00E105D8">
            <w:pPr>
              <w:pStyle w:val="ListParagraph"/>
              <w:numPr>
                <w:ilvl w:val="0"/>
                <w:numId w:val="24"/>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sz w:val="16"/>
                <w:szCs w:val="16"/>
              </w:rPr>
              <w:t>Duplicitní vyplňování údajů v KL a AdO.</w:t>
            </w:r>
          </w:p>
        </w:tc>
      </w:tr>
      <w:tr w:rsidR="00EA5475" w:rsidRPr="000421F0" w14:paraId="140946F7" w14:textId="77777777" w:rsidTr="1B8B31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6" w:type="pct"/>
            <w:noWrap/>
            <w:hideMark/>
          </w:tcPr>
          <w:p w14:paraId="1735D046" w14:textId="77777777" w:rsidR="00EA5475" w:rsidRPr="000421F0" w:rsidRDefault="00EA5475" w:rsidP="00E105D8">
            <w:pPr>
              <w:spacing w:before="60" w:after="60"/>
              <w:rPr>
                <w:rFonts w:asciiTheme="minorHAnsi" w:eastAsia="Times New Roman" w:hAnsiTheme="minorHAnsi"/>
                <w:b w:val="0"/>
                <w:sz w:val="16"/>
                <w:szCs w:val="16"/>
              </w:rPr>
            </w:pPr>
            <w:r w:rsidRPr="000421F0">
              <w:rPr>
                <w:rFonts w:asciiTheme="minorHAnsi" w:eastAsia="Times New Roman" w:hAnsiTheme="minorHAnsi"/>
                <w:b w:val="0"/>
                <w:sz w:val="16"/>
                <w:szCs w:val="16"/>
              </w:rPr>
              <w:lastRenderedPageBreak/>
              <w:t>a)</w:t>
            </w:r>
          </w:p>
        </w:tc>
        <w:tc>
          <w:tcPr>
            <w:tcW w:w="1202" w:type="pct"/>
            <w:noWrap/>
            <w:hideMark/>
          </w:tcPr>
          <w:p w14:paraId="0683D06B"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 xml:space="preserve">Z čeho vyplývá potřeba provádění nadbytečných procesů? Přetrvává tato potřeba? </w:t>
            </w:r>
          </w:p>
        </w:tc>
        <w:tc>
          <w:tcPr>
            <w:tcW w:w="3662" w:type="pct"/>
            <w:noWrap/>
            <w:hideMark/>
          </w:tcPr>
          <w:p w14:paraId="09DF5B30"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Ve většině případů se nejedná toliko o potřebu, jako spíše o příčinu výkonu duplicitních procesů. Nejčastějším důvodem je buď nedostatečná či nevhodně nastavená funkčnost MS2014+ nebo metodického prostředí. </w:t>
            </w:r>
          </w:p>
          <w:p w14:paraId="58B9EA65"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Nejčastější důvody nadbytečných postupů:</w:t>
            </w:r>
          </w:p>
          <w:p w14:paraId="6F621A1A" w14:textId="77777777" w:rsidR="00EA5475" w:rsidRPr="000421F0" w:rsidRDefault="00EA5475" w:rsidP="00E105D8">
            <w:pPr>
              <w:pStyle w:val="ListParagraph"/>
              <w:numPr>
                <w:ilvl w:val="0"/>
                <w:numId w:val="22"/>
              </w:numPr>
              <w:spacing w:before="60" w:after="60"/>
              <w:ind w:left="335" w:hanging="27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Neefektivně nastavený MS2014+;</w:t>
            </w:r>
          </w:p>
          <w:p w14:paraId="2190497D" w14:textId="77777777" w:rsidR="00EA5475" w:rsidRPr="000421F0" w:rsidRDefault="00EA5475" w:rsidP="00E105D8">
            <w:pPr>
              <w:pStyle w:val="ListParagraph"/>
              <w:numPr>
                <w:ilvl w:val="0"/>
                <w:numId w:val="22"/>
              </w:numPr>
              <w:spacing w:before="60" w:after="60"/>
              <w:ind w:left="335" w:hanging="27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Požadavky JMP;</w:t>
            </w:r>
          </w:p>
          <w:p w14:paraId="37600592" w14:textId="07D137C9" w:rsidR="00EA5475" w:rsidRPr="000421F0" w:rsidRDefault="00EA5475" w:rsidP="00E105D8">
            <w:pPr>
              <w:pStyle w:val="ListParagraph"/>
              <w:numPr>
                <w:ilvl w:val="0"/>
                <w:numId w:val="22"/>
              </w:numPr>
              <w:spacing w:before="60" w:after="60"/>
              <w:ind w:left="335" w:hanging="27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Požadavky auditních orgánů </w:t>
            </w:r>
            <w:r w:rsidR="00D55624">
              <w:rPr>
                <w:rFonts w:asciiTheme="minorHAnsi" w:eastAsia="Times New Roman" w:hAnsiTheme="minorHAnsi" w:cs="Calibri"/>
                <w:color w:val="000000"/>
                <w:sz w:val="16"/>
                <w:szCs w:val="16"/>
              </w:rPr>
              <w:t xml:space="preserve">a kontrolních nálezů </w:t>
            </w:r>
            <w:r w:rsidRPr="000421F0">
              <w:rPr>
                <w:rFonts w:asciiTheme="minorHAnsi" w:eastAsia="Times New Roman" w:hAnsiTheme="minorHAnsi" w:cs="Calibri"/>
                <w:color w:val="000000"/>
                <w:sz w:val="16"/>
                <w:szCs w:val="16"/>
              </w:rPr>
              <w:t>(zachování auditní stopy);</w:t>
            </w:r>
          </w:p>
          <w:p w14:paraId="79C27E9D" w14:textId="13327835" w:rsidR="00EA5475" w:rsidRDefault="00EA5475" w:rsidP="00E105D8">
            <w:pPr>
              <w:pStyle w:val="ListParagraph"/>
              <w:numPr>
                <w:ilvl w:val="0"/>
                <w:numId w:val="22"/>
              </w:numPr>
              <w:spacing w:before="60" w:after="60"/>
              <w:ind w:left="335" w:hanging="27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Metodické prostředí OP PIK;</w:t>
            </w:r>
          </w:p>
          <w:p w14:paraId="123A48DF" w14:textId="6CE8CEBB" w:rsidR="00D55624" w:rsidRPr="000421F0" w:rsidRDefault="00D55624" w:rsidP="00E105D8">
            <w:pPr>
              <w:pStyle w:val="ListParagraph"/>
              <w:numPr>
                <w:ilvl w:val="0"/>
                <w:numId w:val="22"/>
              </w:numPr>
              <w:spacing w:before="60" w:after="60"/>
              <w:ind w:left="335" w:hanging="27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Nařízení EU;</w:t>
            </w:r>
          </w:p>
          <w:p w14:paraId="35803F4D" w14:textId="77777777" w:rsidR="00EA5475" w:rsidRPr="000421F0" w:rsidRDefault="00EA5475" w:rsidP="00E105D8">
            <w:pPr>
              <w:pStyle w:val="ListParagraph"/>
              <w:numPr>
                <w:ilvl w:val="0"/>
                <w:numId w:val="22"/>
              </w:numPr>
              <w:spacing w:before="60" w:after="60"/>
              <w:ind w:left="335" w:hanging="27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Zákonná úprava – např. Zákon o rozpočtových pravidlech.</w:t>
            </w:r>
          </w:p>
        </w:tc>
      </w:tr>
      <w:tr w:rsidR="00EA5475" w:rsidRPr="000421F0" w14:paraId="29AC8651" w14:textId="77777777" w:rsidTr="1B8B314C">
        <w:trPr>
          <w:trHeight w:val="520"/>
        </w:trPr>
        <w:tc>
          <w:tcPr>
            <w:cnfStyle w:val="001000000000" w:firstRow="0" w:lastRow="0" w:firstColumn="1" w:lastColumn="0" w:oddVBand="0" w:evenVBand="0" w:oddHBand="0" w:evenHBand="0" w:firstRowFirstColumn="0" w:firstRowLastColumn="0" w:lastRowFirstColumn="0" w:lastRowLastColumn="0"/>
            <w:tcW w:w="136" w:type="pct"/>
            <w:noWrap/>
            <w:hideMark/>
          </w:tcPr>
          <w:p w14:paraId="42F42AFA" w14:textId="77777777" w:rsidR="00EA5475" w:rsidRPr="000421F0" w:rsidRDefault="00EA5475" w:rsidP="00E105D8">
            <w:pPr>
              <w:spacing w:before="60" w:after="60"/>
              <w:rPr>
                <w:rFonts w:asciiTheme="minorHAnsi" w:eastAsia="Times New Roman" w:hAnsiTheme="minorHAnsi"/>
                <w:b w:val="0"/>
                <w:sz w:val="16"/>
                <w:szCs w:val="16"/>
              </w:rPr>
            </w:pPr>
            <w:r w:rsidRPr="000421F0">
              <w:rPr>
                <w:rFonts w:asciiTheme="minorHAnsi" w:eastAsia="Times New Roman" w:hAnsiTheme="minorHAnsi"/>
                <w:b w:val="0"/>
                <w:sz w:val="16"/>
                <w:szCs w:val="16"/>
              </w:rPr>
              <w:t>b)</w:t>
            </w:r>
          </w:p>
        </w:tc>
        <w:tc>
          <w:tcPr>
            <w:tcW w:w="1202" w:type="pct"/>
            <w:noWrap/>
            <w:hideMark/>
          </w:tcPr>
          <w:p w14:paraId="2C2189F8" w14:textId="77777777"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Jaký dopad na implementaci OP PIK by mělo zrušení každého nadbytečného procesu?</w:t>
            </w:r>
          </w:p>
        </w:tc>
        <w:tc>
          <w:tcPr>
            <w:tcW w:w="3662" w:type="pct"/>
            <w:noWrap/>
            <w:hideMark/>
          </w:tcPr>
          <w:p w14:paraId="1DB6BE12" w14:textId="77777777"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Odstranění nadbytečných procesů by vedlo k těmto klíčovým dopadům:</w:t>
            </w:r>
          </w:p>
          <w:p w14:paraId="06A67D41" w14:textId="77777777" w:rsidR="00EA5475" w:rsidRPr="000421F0" w:rsidRDefault="00EA5475" w:rsidP="00E105D8">
            <w:pPr>
              <w:pStyle w:val="ListParagraph"/>
              <w:numPr>
                <w:ilvl w:val="0"/>
                <w:numId w:val="25"/>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Úspora času pracovníků IS i žadatelů a příjemců;</w:t>
            </w:r>
          </w:p>
          <w:p w14:paraId="3C1FC961" w14:textId="5F74C78C" w:rsidR="00EA5475" w:rsidRPr="000421F0" w:rsidRDefault="00EA5475" w:rsidP="00E105D8">
            <w:pPr>
              <w:pStyle w:val="ListParagraph"/>
              <w:numPr>
                <w:ilvl w:val="0"/>
                <w:numId w:val="25"/>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Efektivnější a rychlejší administrace </w:t>
            </w:r>
            <w:r w:rsidR="00B04647">
              <w:rPr>
                <w:rFonts w:asciiTheme="minorHAnsi" w:eastAsia="Times New Roman" w:hAnsiTheme="minorHAnsi" w:cs="Calibri"/>
                <w:color w:val="000000"/>
                <w:sz w:val="16"/>
                <w:szCs w:val="16"/>
              </w:rPr>
              <w:t>žádostí o podporu</w:t>
            </w:r>
            <w:r w:rsidRPr="000421F0">
              <w:rPr>
                <w:rFonts w:asciiTheme="minorHAnsi" w:eastAsia="Times New Roman" w:hAnsiTheme="minorHAnsi" w:cs="Calibri"/>
                <w:color w:val="000000"/>
                <w:sz w:val="16"/>
                <w:szCs w:val="16"/>
              </w:rPr>
              <w:t xml:space="preserve"> a podpořených projektů (především kontroly VŘ, </w:t>
            </w:r>
            <w:r w:rsidR="00825645" w:rsidRPr="000421F0">
              <w:rPr>
                <w:rFonts w:asciiTheme="minorHAnsi" w:eastAsia="Times New Roman" w:hAnsiTheme="minorHAnsi" w:cs="Calibri"/>
                <w:color w:val="000000"/>
                <w:sz w:val="16"/>
                <w:szCs w:val="16"/>
              </w:rPr>
              <w:t>ŽoPl</w:t>
            </w:r>
            <w:r w:rsidRPr="000421F0">
              <w:rPr>
                <w:rFonts w:asciiTheme="minorHAnsi" w:eastAsia="Times New Roman" w:hAnsiTheme="minorHAnsi" w:cs="Calibri"/>
                <w:color w:val="000000"/>
                <w:sz w:val="16"/>
                <w:szCs w:val="16"/>
              </w:rPr>
              <w:t>);</w:t>
            </w:r>
          </w:p>
          <w:p w14:paraId="50C59ED1" w14:textId="77777777" w:rsidR="00EA5475" w:rsidRPr="000421F0" w:rsidRDefault="00EA5475" w:rsidP="00E105D8">
            <w:pPr>
              <w:pStyle w:val="ListParagraph"/>
              <w:numPr>
                <w:ilvl w:val="0"/>
                <w:numId w:val="25"/>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Zvýšení motivace pracovník</w:t>
            </w:r>
            <w:r w:rsidR="00B0402D" w:rsidRPr="000421F0">
              <w:rPr>
                <w:rFonts w:asciiTheme="minorHAnsi" w:eastAsia="Times New Roman" w:hAnsiTheme="minorHAnsi" w:cs="Calibri"/>
                <w:color w:val="000000"/>
                <w:sz w:val="16"/>
                <w:szCs w:val="16"/>
              </w:rPr>
              <w:t>ů IS – snížení míry „frustrace“.</w:t>
            </w:r>
          </w:p>
          <w:p w14:paraId="2A7D72DE" w14:textId="141715A2" w:rsidR="00B0402D" w:rsidRPr="000421F0" w:rsidRDefault="00B0402D"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Konkrétní dopady vybraných procesů jsou detailně analyzovány v kapitole optimalizačních opatření.</w:t>
            </w:r>
          </w:p>
        </w:tc>
      </w:tr>
      <w:tr w:rsidR="00EA5475" w:rsidRPr="000421F0" w14:paraId="74B28896" w14:textId="77777777" w:rsidTr="1B8B31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6" w:type="pct"/>
            <w:noWrap/>
            <w:hideMark/>
          </w:tcPr>
          <w:p w14:paraId="5AA998D5" w14:textId="77777777" w:rsidR="00EA5475" w:rsidRPr="000421F0" w:rsidRDefault="00EA5475" w:rsidP="00E105D8">
            <w:pPr>
              <w:spacing w:before="60" w:after="60"/>
              <w:rPr>
                <w:rFonts w:asciiTheme="minorHAnsi" w:eastAsia="Times New Roman" w:hAnsiTheme="minorHAnsi"/>
                <w:b w:val="0"/>
                <w:sz w:val="16"/>
                <w:szCs w:val="16"/>
              </w:rPr>
            </w:pPr>
            <w:r w:rsidRPr="000421F0">
              <w:rPr>
                <w:rFonts w:asciiTheme="minorHAnsi" w:eastAsia="Times New Roman" w:hAnsiTheme="minorHAnsi"/>
                <w:b w:val="0"/>
                <w:sz w:val="16"/>
                <w:szCs w:val="16"/>
              </w:rPr>
              <w:t>c)</w:t>
            </w:r>
          </w:p>
        </w:tc>
        <w:tc>
          <w:tcPr>
            <w:tcW w:w="1202" w:type="pct"/>
            <w:noWrap/>
            <w:hideMark/>
          </w:tcPr>
          <w:p w14:paraId="37590131"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Nedochází vlivem nadbytečných procesů k nepřiměřenému zatížení žadatelů/příjemců?</w:t>
            </w:r>
          </w:p>
        </w:tc>
        <w:tc>
          <w:tcPr>
            <w:tcW w:w="3662" w:type="pct"/>
            <w:noWrap/>
            <w:hideMark/>
          </w:tcPr>
          <w:p w14:paraId="6C8F7829"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Nadbytečné procesy žadatelů a příjemců jsou spojené především s nedostatečnou funkčností MS2014+ (např. duplicitní vyplňování údajů) a metodickým prostředím (např. CBA, opakovaná kontrola statusu MSP). Jejich existence vede k částečně nepřiměřenému zatížení příjemců a žadatelů, ale nikoli kritickému a v takovém rozsahu jako u pracovníků IS. </w:t>
            </w:r>
          </w:p>
          <w:p w14:paraId="45D571CF" w14:textId="1E1827DE"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Nicméně zatížení IS nadbytečnými procesy vede ke zpomalení administrace podpory a tím navyšování počtu změn </w:t>
            </w:r>
            <w:r w:rsidR="00B04647">
              <w:rPr>
                <w:rFonts w:asciiTheme="minorHAnsi" w:eastAsia="Times New Roman" w:hAnsiTheme="minorHAnsi" w:cs="Calibri"/>
                <w:color w:val="000000"/>
                <w:sz w:val="16"/>
                <w:szCs w:val="16"/>
              </w:rPr>
              <w:t>žádostí o podporu</w:t>
            </w:r>
            <w:r w:rsidRPr="000421F0">
              <w:rPr>
                <w:rFonts w:asciiTheme="minorHAnsi" w:eastAsia="Times New Roman" w:hAnsiTheme="minorHAnsi" w:cs="Calibri"/>
                <w:color w:val="000000"/>
                <w:sz w:val="16"/>
                <w:szCs w:val="16"/>
              </w:rPr>
              <w:t xml:space="preserve"> či podpořených projektů s přesahem do dalších činností žadatelů a tím jejich sekundárnímu zatěžování. 63 % respondentů DŠ </w:t>
            </w:r>
            <w:r w:rsidRPr="000421F0">
              <w:rPr>
                <w:rFonts w:asciiTheme="minorHAnsi" w:eastAsia="Times New Roman" w:hAnsiTheme="minorHAnsi" w:cs="Calibri"/>
                <w:color w:val="000000"/>
                <w:sz w:val="16"/>
                <w:szCs w:val="16"/>
              </w:rPr>
              <w:lastRenderedPageBreak/>
              <w:t xml:space="preserve">mezi pracovníky IS se domnívá, že nadbytečné procesy nepřiměřeně zatěžují i samotné žadatele a příjemce. </w:t>
            </w:r>
          </w:p>
          <w:p w14:paraId="5701A20C" w14:textId="116B87EA" w:rsidR="00A645C2" w:rsidRPr="000421F0" w:rsidRDefault="00A645C2"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Vyčíslení časového zatížení pracovníků IS a žadatelů, příjemců je detailně rozpracováno v kartách optimalizačních opatření. </w:t>
            </w:r>
          </w:p>
        </w:tc>
      </w:tr>
      <w:tr w:rsidR="00EA5475" w:rsidRPr="000421F0" w14:paraId="7BD5CBD4" w14:textId="77777777" w:rsidTr="1B8B314C">
        <w:trPr>
          <w:trHeight w:val="780"/>
        </w:trPr>
        <w:tc>
          <w:tcPr>
            <w:cnfStyle w:val="001000000000" w:firstRow="0" w:lastRow="0" w:firstColumn="1" w:lastColumn="0" w:oddVBand="0" w:evenVBand="0" w:oddHBand="0" w:evenHBand="0" w:firstRowFirstColumn="0" w:firstRowLastColumn="0" w:lastRowFirstColumn="0" w:lastRowLastColumn="0"/>
            <w:tcW w:w="136" w:type="pct"/>
            <w:noWrap/>
            <w:hideMark/>
          </w:tcPr>
          <w:p w14:paraId="002EE7B8" w14:textId="77777777" w:rsidR="00EA5475" w:rsidRPr="000421F0" w:rsidRDefault="00EA5475" w:rsidP="00E105D8">
            <w:pPr>
              <w:spacing w:before="60" w:after="6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lastRenderedPageBreak/>
              <w:t>3</w:t>
            </w:r>
          </w:p>
        </w:tc>
        <w:tc>
          <w:tcPr>
            <w:tcW w:w="1202" w:type="pct"/>
            <w:noWrap/>
            <w:hideMark/>
          </w:tcPr>
          <w:p w14:paraId="227C2FD3" w14:textId="77777777"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 xml:space="preserve">Neobsahuje metodické prostředí OP PIK tzv. hluchá místa, tedy situaci, kdy platná metodika danou problematiku vůbec neupravuje? </w:t>
            </w:r>
          </w:p>
        </w:tc>
        <w:tc>
          <w:tcPr>
            <w:tcW w:w="3662" w:type="pct"/>
            <w:noWrap/>
            <w:hideMark/>
          </w:tcPr>
          <w:p w14:paraId="11436B0D" w14:textId="1FBE399B" w:rsidR="00EA5475" w:rsidRPr="000421F0" w:rsidRDefault="00D55624"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 xml:space="preserve">Ačkoli až 57 % respondentů DŠ vnímá existenci hluchých míst v metodickém prostředí, skutečných nedostatků je spíše méně, nicméně jsou o to vážnější, negativněji vnímány a zásadnější pro práci implementační struktury. </w:t>
            </w:r>
            <w:r w:rsidR="00B022E8">
              <w:rPr>
                <w:rFonts w:asciiTheme="minorHAnsi" w:eastAsia="Times New Roman" w:hAnsiTheme="minorHAnsi" w:cs="Calibri"/>
                <w:color w:val="000000"/>
                <w:sz w:val="16"/>
                <w:szCs w:val="16"/>
              </w:rPr>
              <w:t>J</w:t>
            </w:r>
            <w:r w:rsidR="00EA5475" w:rsidRPr="000421F0">
              <w:rPr>
                <w:rFonts w:asciiTheme="minorHAnsi" w:eastAsia="Times New Roman" w:hAnsiTheme="minorHAnsi" w:cs="Calibri"/>
                <w:color w:val="000000"/>
                <w:sz w:val="16"/>
                <w:szCs w:val="16"/>
              </w:rPr>
              <w:t>edná se především o:</w:t>
            </w:r>
          </w:p>
          <w:p w14:paraId="4DE2DEE6" w14:textId="77777777" w:rsidR="00B022E8" w:rsidRDefault="00B022E8"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Nejasná aplikace pravidel v praxi;</w:t>
            </w:r>
          </w:p>
          <w:p w14:paraId="626E98D4" w14:textId="300F169A" w:rsidR="00EA5475" w:rsidRPr="000421F0" w:rsidRDefault="00EA5475"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Aplikační výklad „podniku v obtížích“;</w:t>
            </w:r>
          </w:p>
          <w:p w14:paraId="47E9E551" w14:textId="47B45592" w:rsidR="00EA5475" w:rsidRPr="000421F0" w:rsidRDefault="00EA5475"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Aplikační výklad „střetu zájmů“</w:t>
            </w:r>
            <w:r w:rsidR="00A645C2" w:rsidRPr="000421F0">
              <w:rPr>
                <w:rFonts w:asciiTheme="minorHAnsi" w:eastAsia="Times New Roman" w:hAnsiTheme="minorHAnsi" w:cs="Calibri"/>
                <w:color w:val="000000"/>
                <w:sz w:val="16"/>
                <w:szCs w:val="16"/>
              </w:rPr>
              <w:t>;</w:t>
            </w:r>
          </w:p>
          <w:p w14:paraId="730F2845" w14:textId="77777777" w:rsidR="00EA5475" w:rsidRPr="000421F0" w:rsidRDefault="00EA5475"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1B8B314C">
              <w:rPr>
                <w:rFonts w:asciiTheme="minorHAnsi" w:eastAsia="Times New Roman" w:hAnsiTheme="minorHAnsi" w:cs="Calibri"/>
                <w:color w:val="000000" w:themeColor="text1"/>
                <w:sz w:val="16"/>
                <w:szCs w:val="16"/>
              </w:rPr>
              <w:t>Některé aspekty kontroly statusu MSP – např. provázanost přes propojence partnerů, fyzická osoba podnikající;</w:t>
            </w:r>
          </w:p>
          <w:p w14:paraId="2788C2B9" w14:textId="77777777" w:rsidR="00EA5475" w:rsidRPr="000421F0" w:rsidRDefault="00EA5475"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Oblast pravomocného odnětí dotace;</w:t>
            </w:r>
          </w:p>
          <w:p w14:paraId="44A2FD29" w14:textId="77777777" w:rsidR="00EA5475" w:rsidRPr="000421F0" w:rsidRDefault="00EA5475"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Pravidla pro „průzkum trhu“ u projektů bez povinnosti postupovat dle PpVD nebo zákona;</w:t>
            </w:r>
            <w:r w:rsidRPr="000421F0">
              <w:rPr>
                <w:rStyle w:val="FootnoteReference"/>
                <w:rFonts w:asciiTheme="minorHAnsi" w:eastAsia="Times New Roman" w:hAnsiTheme="minorHAnsi" w:cs="Calibri"/>
                <w:color w:val="000000"/>
                <w:sz w:val="16"/>
                <w:szCs w:val="16"/>
              </w:rPr>
              <w:footnoteReference w:id="17"/>
            </w:r>
          </w:p>
          <w:p w14:paraId="3BD6F273" w14:textId="77777777" w:rsidR="00EA5475" w:rsidRPr="000421F0" w:rsidRDefault="00EA5475"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Realizace „vratek“;</w:t>
            </w:r>
          </w:p>
          <w:p w14:paraId="401FF67A" w14:textId="77777777" w:rsidR="00EA5475" w:rsidRPr="000421F0" w:rsidRDefault="00EA5475"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Přezkumná řízení;</w:t>
            </w:r>
          </w:p>
          <w:p w14:paraId="1B5C70F3" w14:textId="432D3E86" w:rsidR="00EA5475" w:rsidRDefault="00EA5475"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Prevence duplicitního proplácení způsobilých výdajů (i mezi programy podpory);</w:t>
            </w:r>
          </w:p>
          <w:p w14:paraId="09C44062" w14:textId="61AE4AAB" w:rsidR="00B022E8" w:rsidRDefault="00B022E8"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Exekuce;</w:t>
            </w:r>
          </w:p>
          <w:p w14:paraId="76736FE3" w14:textId="234BBFF2" w:rsidR="00B022E8" w:rsidRPr="000421F0" w:rsidRDefault="00B022E8"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Veřejnosprávní kontroly;</w:t>
            </w:r>
          </w:p>
          <w:p w14:paraId="4465EDAC" w14:textId="77777777" w:rsidR="00EA5475" w:rsidRPr="000421F0" w:rsidRDefault="00EA5475" w:rsidP="00E105D8">
            <w:pPr>
              <w:pStyle w:val="ListParagraph"/>
              <w:numPr>
                <w:ilvl w:val="0"/>
                <w:numId w:val="26"/>
              </w:numPr>
              <w:spacing w:before="60" w:after="60"/>
              <w:ind w:left="335" w:hanging="27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Nedostatek šablon - např. pro vratky, zamítací dopisy, usnesení atd.</w:t>
            </w:r>
          </w:p>
          <w:p w14:paraId="155BBFB2" w14:textId="77777777"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Nedostatečný aplikační výklad statusu MSP, podniku v obtížích nebo střetu zájmů nicméně vyplývá do značné míry z absentující nebo vágní definice kategorií „podniku v obtížích“ či „malého a středního podniku“ samotnou EK, čl. 2, odst. 18 GBER</w:t>
            </w:r>
            <w:r w:rsidRPr="000421F0">
              <w:rPr>
                <w:rStyle w:val="FootnoteReference"/>
                <w:rFonts w:asciiTheme="minorHAnsi" w:eastAsia="Times New Roman" w:hAnsiTheme="minorHAnsi" w:cs="Calibri"/>
                <w:color w:val="000000"/>
                <w:sz w:val="16"/>
                <w:szCs w:val="16"/>
              </w:rPr>
              <w:footnoteReference w:id="18"/>
            </w:r>
            <w:r w:rsidRPr="000421F0">
              <w:rPr>
                <w:rFonts w:asciiTheme="minorHAnsi" w:eastAsia="Times New Roman" w:hAnsiTheme="minorHAnsi" w:cs="Calibri"/>
                <w:color w:val="000000"/>
                <w:sz w:val="16"/>
                <w:szCs w:val="16"/>
              </w:rPr>
              <w:t xml:space="preserve">. </w:t>
            </w:r>
          </w:p>
        </w:tc>
      </w:tr>
      <w:tr w:rsidR="00EA5475" w:rsidRPr="000421F0" w14:paraId="30340441" w14:textId="77777777" w:rsidTr="1B8B314C">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36" w:type="pct"/>
            <w:noWrap/>
            <w:hideMark/>
          </w:tcPr>
          <w:p w14:paraId="53F97EBF" w14:textId="77777777" w:rsidR="00EA5475" w:rsidRPr="000421F0" w:rsidRDefault="00EA5475" w:rsidP="00E105D8">
            <w:pPr>
              <w:spacing w:before="60" w:after="6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4</w:t>
            </w:r>
          </w:p>
        </w:tc>
        <w:tc>
          <w:tcPr>
            <w:tcW w:w="1202" w:type="pct"/>
            <w:noWrap/>
            <w:hideMark/>
          </w:tcPr>
          <w:p w14:paraId="2580539C"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Je posuzování a ověřování vlastnické struktury a statutu žadatele/příjemce jako malého a středního podniku nastaveno dostatečně, jednoznačně a zároveň tak, aby co nejméně zatěžovalo žadatele?</w:t>
            </w:r>
          </w:p>
        </w:tc>
        <w:tc>
          <w:tcPr>
            <w:tcW w:w="3662" w:type="pct"/>
            <w:noWrap/>
            <w:hideMark/>
          </w:tcPr>
          <w:p w14:paraId="47144291" w14:textId="1644BBBE" w:rsidR="00EA5475" w:rsidRPr="000421F0" w:rsidRDefault="0016118A"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E105D8">
              <w:rPr>
                <w:rFonts w:asciiTheme="minorHAnsi" w:eastAsia="Times New Roman" w:hAnsiTheme="minorHAnsi" w:cs="Calibri"/>
                <w:color w:val="000000"/>
                <w:sz w:val="16"/>
                <w:szCs w:val="16"/>
              </w:rPr>
              <w:t xml:space="preserve">Názory respondentů </w:t>
            </w:r>
            <w:r>
              <w:rPr>
                <w:rFonts w:asciiTheme="minorHAnsi" w:eastAsia="Times New Roman" w:hAnsiTheme="minorHAnsi" w:cs="Calibri"/>
                <w:color w:val="000000"/>
                <w:sz w:val="16"/>
                <w:szCs w:val="16"/>
              </w:rPr>
              <w:t xml:space="preserve">DŠ </w:t>
            </w:r>
            <w:r w:rsidR="00212B1E">
              <w:rPr>
                <w:rFonts w:asciiTheme="minorHAnsi" w:eastAsia="Times New Roman" w:hAnsiTheme="minorHAnsi" w:cs="Calibri"/>
                <w:color w:val="000000"/>
                <w:sz w:val="16"/>
                <w:szCs w:val="16"/>
              </w:rPr>
              <w:t xml:space="preserve">na tuto otázku jsou </w:t>
            </w:r>
            <w:r w:rsidRPr="00E105D8">
              <w:rPr>
                <w:rFonts w:asciiTheme="minorHAnsi" w:eastAsia="Times New Roman" w:hAnsiTheme="minorHAnsi" w:cs="Calibri"/>
                <w:color w:val="000000"/>
                <w:sz w:val="16"/>
                <w:szCs w:val="16"/>
              </w:rPr>
              <w:t xml:space="preserve">rozporuplné, respondenti jsou téměř </w:t>
            </w:r>
            <w:r w:rsidR="00264905">
              <w:rPr>
                <w:rFonts w:asciiTheme="minorHAnsi" w:eastAsia="Times New Roman" w:hAnsiTheme="minorHAnsi" w:cs="Calibri"/>
                <w:color w:val="000000"/>
                <w:sz w:val="16"/>
                <w:szCs w:val="16"/>
              </w:rPr>
              <w:t xml:space="preserve">s </w:t>
            </w:r>
            <w:r w:rsidRPr="00E105D8">
              <w:rPr>
                <w:rFonts w:asciiTheme="minorHAnsi" w:eastAsia="Times New Roman" w:hAnsiTheme="minorHAnsi" w:cs="Calibri"/>
                <w:color w:val="000000"/>
                <w:sz w:val="16"/>
                <w:szCs w:val="16"/>
              </w:rPr>
              <w:t xml:space="preserve">přesností rozděleni na dvě </w:t>
            </w:r>
            <w:r>
              <w:rPr>
                <w:rFonts w:asciiTheme="minorHAnsi" w:eastAsia="Times New Roman" w:hAnsiTheme="minorHAnsi" w:cs="Calibri"/>
                <w:color w:val="000000"/>
                <w:sz w:val="16"/>
                <w:szCs w:val="16"/>
              </w:rPr>
              <w:t xml:space="preserve">protichůdné </w:t>
            </w:r>
            <w:r w:rsidRPr="00E105D8">
              <w:rPr>
                <w:rFonts w:asciiTheme="minorHAnsi" w:eastAsia="Times New Roman" w:hAnsiTheme="minorHAnsi" w:cs="Calibri"/>
                <w:color w:val="000000"/>
                <w:sz w:val="16"/>
                <w:szCs w:val="16"/>
              </w:rPr>
              <w:t>poloviny.</w:t>
            </w:r>
            <w:r w:rsidR="00ED6376">
              <w:rPr>
                <w:rFonts w:asciiTheme="minorHAnsi" w:eastAsia="Times New Roman" w:hAnsiTheme="minorHAnsi" w:cs="Calibri"/>
                <w:color w:val="000000"/>
                <w:sz w:val="16"/>
                <w:szCs w:val="16"/>
              </w:rPr>
              <w:t xml:space="preserve"> Každopádně 66 % projektových manažerů, kterých se posuzování týká</w:t>
            </w:r>
            <w:r w:rsidR="00834890">
              <w:rPr>
                <w:rFonts w:asciiTheme="minorHAnsi" w:eastAsia="Times New Roman" w:hAnsiTheme="minorHAnsi" w:cs="Calibri"/>
                <w:color w:val="000000"/>
                <w:sz w:val="16"/>
                <w:szCs w:val="16"/>
              </w:rPr>
              <w:t>,</w:t>
            </w:r>
            <w:r w:rsidR="00ED6376">
              <w:rPr>
                <w:rFonts w:asciiTheme="minorHAnsi" w:eastAsia="Times New Roman" w:hAnsiTheme="minorHAnsi" w:cs="Calibri"/>
                <w:color w:val="000000"/>
                <w:sz w:val="16"/>
                <w:szCs w:val="16"/>
              </w:rPr>
              <w:t xml:space="preserve"> vnímá nastavení jako (spíše) nedostatečné.</w:t>
            </w:r>
            <w:r w:rsidRPr="00E105D8">
              <w:rPr>
                <w:rFonts w:asciiTheme="minorHAnsi" w:eastAsia="Times New Roman" w:hAnsiTheme="minorHAnsi" w:cs="Calibri"/>
                <w:color w:val="000000"/>
                <w:sz w:val="16"/>
                <w:szCs w:val="16"/>
              </w:rPr>
              <w:t xml:space="preserve"> </w:t>
            </w:r>
            <w:r w:rsidR="00EA5475" w:rsidRPr="000421F0">
              <w:rPr>
                <w:rFonts w:asciiTheme="minorHAnsi" w:eastAsia="Times New Roman" w:hAnsiTheme="minorHAnsi" w:cs="Calibri"/>
                <w:b/>
                <w:color w:val="000000"/>
                <w:sz w:val="16"/>
                <w:szCs w:val="16"/>
              </w:rPr>
              <w:t>Kontrola statusu MSP není metodicky přehledná a obsahuje některá hluchá místa</w:t>
            </w:r>
            <w:r w:rsidR="00A645C2" w:rsidRPr="000421F0">
              <w:rPr>
                <w:rFonts w:asciiTheme="minorHAnsi" w:eastAsia="Times New Roman" w:hAnsiTheme="minorHAnsi" w:cs="Calibri"/>
                <w:b/>
                <w:color w:val="000000"/>
                <w:sz w:val="16"/>
                <w:szCs w:val="16"/>
              </w:rPr>
              <w:t xml:space="preserve"> </w:t>
            </w:r>
            <w:r w:rsidR="00A645C2" w:rsidRPr="000421F0">
              <w:rPr>
                <w:rFonts w:asciiTheme="minorHAnsi" w:eastAsia="Times New Roman" w:hAnsiTheme="minorHAnsi" w:cs="Calibri"/>
                <w:color w:val="000000"/>
                <w:sz w:val="16"/>
                <w:szCs w:val="16"/>
              </w:rPr>
              <w:t>(viz výše)</w:t>
            </w:r>
            <w:r w:rsidR="00EA5475" w:rsidRPr="000421F0">
              <w:rPr>
                <w:rFonts w:asciiTheme="minorHAnsi" w:eastAsia="Times New Roman" w:hAnsiTheme="minorHAnsi" w:cs="Calibri"/>
                <w:b/>
                <w:color w:val="000000"/>
                <w:sz w:val="16"/>
                <w:szCs w:val="16"/>
              </w:rPr>
              <w:t>, probíhá duplicitně před a po vydání RoPD.</w:t>
            </w:r>
            <w:r w:rsidR="00EA5475" w:rsidRPr="000421F0">
              <w:rPr>
                <w:rFonts w:asciiTheme="minorHAnsi" w:eastAsia="Times New Roman" w:hAnsiTheme="minorHAnsi" w:cs="Calibri"/>
                <w:color w:val="000000"/>
                <w:sz w:val="16"/>
                <w:szCs w:val="16"/>
              </w:rPr>
              <w:t xml:space="preserve"> Kontrola statusu MSP je časově i kapacitně náročná, zvláště u podniků s vazbou na zahraniční subjekty</w:t>
            </w:r>
            <w:r w:rsidR="00F20FF1" w:rsidRPr="000421F0">
              <w:rPr>
                <w:rFonts w:asciiTheme="minorHAnsi" w:eastAsia="Times New Roman" w:hAnsiTheme="minorHAnsi" w:cs="Calibri"/>
                <w:color w:val="000000"/>
                <w:sz w:val="16"/>
                <w:szCs w:val="16"/>
              </w:rPr>
              <w:t xml:space="preserve"> (rovnající se investigativním pátráním po vlastnických strukturách žadatelů v zahraničních obchodních rejstřících bez placeného přístupu)</w:t>
            </w:r>
            <w:r w:rsidR="00EA5475" w:rsidRPr="000421F0">
              <w:rPr>
                <w:rFonts w:asciiTheme="minorHAnsi" w:eastAsia="Times New Roman" w:hAnsiTheme="minorHAnsi" w:cs="Calibri"/>
                <w:color w:val="000000"/>
                <w:sz w:val="16"/>
                <w:szCs w:val="16"/>
              </w:rPr>
              <w:t>. Metodická nejasnost (např. podnik v obtížích) a složitost procesu (např. manuální prohledávání rejstříků) vede k nedodržování lhůt, rozdílným pojetím u různě seniorních projektových manažerů ZS. I přes existenci sdílené databáze na provedené kontroly statusu MSP neexistuje zjednodušující návod, jak přistupovat ke kontrole MSP u subjektu ve stejném účetním období (např. dokládání podkladů v jednom účetním období).</w:t>
            </w:r>
          </w:p>
          <w:p w14:paraId="29800B08" w14:textId="4A7FF284" w:rsidR="00A645C2" w:rsidRPr="000421F0" w:rsidRDefault="00834890"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 xml:space="preserve">Naopak ve vnímání náročnosti ověřování statusu MSP a vlastnické struktury pro žadatele a IS se 42 </w:t>
            </w:r>
            <w:r w:rsidR="003C7642">
              <w:rPr>
                <w:rFonts w:asciiTheme="minorHAnsi" w:eastAsia="Times New Roman" w:hAnsiTheme="minorHAnsi" w:cs="Calibri"/>
                <w:color w:val="000000"/>
                <w:sz w:val="16"/>
                <w:szCs w:val="16"/>
              </w:rPr>
              <w:t>% a</w:t>
            </w:r>
            <w:r>
              <w:rPr>
                <w:rFonts w:asciiTheme="minorHAnsi" w:eastAsia="Times New Roman" w:hAnsiTheme="minorHAnsi" w:cs="Calibri"/>
                <w:color w:val="000000"/>
                <w:sz w:val="16"/>
                <w:szCs w:val="16"/>
              </w:rPr>
              <w:t xml:space="preserve"> 47 % respondentů DŠ shodlo na náročnosti procesu pro obě strany. </w:t>
            </w:r>
            <w:r w:rsidR="00EA5475" w:rsidRPr="000421F0">
              <w:rPr>
                <w:rFonts w:asciiTheme="minorHAnsi" w:eastAsia="Times New Roman" w:hAnsiTheme="minorHAnsi" w:cs="Calibri"/>
                <w:color w:val="000000"/>
                <w:sz w:val="16"/>
                <w:szCs w:val="16"/>
              </w:rPr>
              <w:t>Kontrola statusu MSP zatěžuje žadatele dokládáním dokumentů, které je pro žadatele obtížné doložit nebo nejsou relevantní pro žádost. (Např. daňové přiznání (bývalé/ho) manželky/a; doklady o počtu zaměstnanců z minulých let, doklady od mateřských partnerských společností, bývalých vlastníků apod.).</w:t>
            </w:r>
          </w:p>
        </w:tc>
      </w:tr>
      <w:tr w:rsidR="00EA5475" w:rsidRPr="000421F0" w14:paraId="14179DBC" w14:textId="77777777" w:rsidTr="1B8B314C">
        <w:trPr>
          <w:trHeight w:val="1040"/>
        </w:trPr>
        <w:tc>
          <w:tcPr>
            <w:cnfStyle w:val="001000000000" w:firstRow="0" w:lastRow="0" w:firstColumn="1" w:lastColumn="0" w:oddVBand="0" w:evenVBand="0" w:oddHBand="0" w:evenHBand="0" w:firstRowFirstColumn="0" w:firstRowLastColumn="0" w:lastRowFirstColumn="0" w:lastRowLastColumn="0"/>
            <w:tcW w:w="136" w:type="pct"/>
            <w:noWrap/>
            <w:hideMark/>
          </w:tcPr>
          <w:p w14:paraId="5693FCFD" w14:textId="77777777" w:rsidR="00EA5475" w:rsidRPr="000421F0" w:rsidRDefault="00EA5475" w:rsidP="00E105D8">
            <w:pPr>
              <w:spacing w:before="60" w:after="6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5</w:t>
            </w:r>
          </w:p>
        </w:tc>
        <w:tc>
          <w:tcPr>
            <w:tcW w:w="1202" w:type="pct"/>
            <w:noWrap/>
            <w:hideMark/>
          </w:tcPr>
          <w:p w14:paraId="065D6BC7" w14:textId="77777777"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Jsou postupy pro ekonomické hodnocení žadatele (tzv. finanční zdraví podniku) a CBA nastaveny, dostatečně, jednoznačně a zároveň tak, aby co nejméně zatěžovaly žadatele?</w:t>
            </w:r>
          </w:p>
        </w:tc>
        <w:tc>
          <w:tcPr>
            <w:tcW w:w="3662" w:type="pct"/>
            <w:noWrap/>
            <w:hideMark/>
          </w:tcPr>
          <w:p w14:paraId="48FC5A0E" w14:textId="47BE93F6" w:rsidR="00EA5475" w:rsidRPr="000421F0" w:rsidRDefault="00A05C90"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E105D8">
              <w:rPr>
                <w:rFonts w:asciiTheme="minorHAnsi" w:eastAsia="Times New Roman" w:hAnsiTheme="minorHAnsi" w:cs="Calibri"/>
                <w:color w:val="000000"/>
                <w:sz w:val="16"/>
                <w:szCs w:val="16"/>
              </w:rPr>
              <w:t>To, že jsou dostatečně a vhodně nastaveny postupy ekonomického hodnocení žadatele se domnívá 48 % respondentů DŠ a 37 % takto vnímá nastavení</w:t>
            </w:r>
            <w:r w:rsidR="00FF494A">
              <w:rPr>
                <w:rFonts w:asciiTheme="minorHAnsi" w:eastAsia="Times New Roman" w:hAnsiTheme="minorHAnsi" w:cs="Calibri"/>
                <w:color w:val="000000"/>
                <w:sz w:val="16"/>
                <w:szCs w:val="16"/>
              </w:rPr>
              <w:t xml:space="preserve"> procesů hodnocení </w:t>
            </w:r>
            <w:r w:rsidRPr="00E105D8">
              <w:rPr>
                <w:rFonts w:asciiTheme="minorHAnsi" w:eastAsia="Times New Roman" w:hAnsiTheme="minorHAnsi" w:cs="Calibri"/>
                <w:color w:val="000000"/>
                <w:sz w:val="16"/>
                <w:szCs w:val="16"/>
              </w:rPr>
              <w:t>CBA.</w:t>
            </w:r>
            <w:r w:rsidR="00FF494A">
              <w:rPr>
                <w:rFonts w:asciiTheme="minorHAnsi" w:eastAsia="Times New Roman" w:hAnsiTheme="minorHAnsi" w:cs="Calibri"/>
                <w:color w:val="000000"/>
                <w:sz w:val="16"/>
                <w:szCs w:val="16"/>
              </w:rPr>
              <w:t xml:space="preserve"> Shodně u obou procesů 36 % respondentů vnímá, že jsou procesy nastaveny tak, aby co nejméně zatěžovaly žadatele a pracovníky IS.</w:t>
            </w:r>
            <w:r w:rsidR="00FF494A">
              <w:rPr>
                <w:rStyle w:val="FootnoteReference"/>
                <w:rFonts w:asciiTheme="minorHAnsi" w:eastAsia="Times New Roman" w:hAnsiTheme="minorHAnsi" w:cs="Calibri"/>
                <w:color w:val="000000"/>
                <w:sz w:val="16"/>
                <w:szCs w:val="16"/>
              </w:rPr>
              <w:footnoteReference w:id="19"/>
            </w:r>
            <w:r w:rsidR="00FF494A">
              <w:rPr>
                <w:rFonts w:asciiTheme="minorHAnsi" w:eastAsia="Times New Roman" w:hAnsiTheme="minorHAnsi" w:cs="Calibri"/>
                <w:color w:val="000000"/>
                <w:sz w:val="16"/>
                <w:szCs w:val="16"/>
              </w:rPr>
              <w:t xml:space="preserve"> </w:t>
            </w:r>
            <w:r w:rsidR="00EA5475" w:rsidRPr="000421F0">
              <w:rPr>
                <w:rFonts w:asciiTheme="minorHAnsi" w:eastAsia="Times New Roman" w:hAnsiTheme="minorHAnsi" w:cs="Calibri"/>
                <w:b/>
                <w:color w:val="000000"/>
                <w:sz w:val="16"/>
                <w:szCs w:val="16"/>
              </w:rPr>
              <w:t xml:space="preserve">Cost benefit analýza je </w:t>
            </w:r>
            <w:r w:rsidR="00FF494A">
              <w:rPr>
                <w:rFonts w:asciiTheme="minorHAnsi" w:eastAsia="Times New Roman" w:hAnsiTheme="minorHAnsi" w:cs="Calibri"/>
                <w:b/>
                <w:color w:val="000000"/>
                <w:sz w:val="16"/>
                <w:szCs w:val="16"/>
              </w:rPr>
              <w:t xml:space="preserve">nicméně zároveň vnímána jako </w:t>
            </w:r>
            <w:r w:rsidR="00EA5475" w:rsidRPr="000421F0">
              <w:rPr>
                <w:rFonts w:asciiTheme="minorHAnsi" w:eastAsia="Times New Roman" w:hAnsiTheme="minorHAnsi" w:cs="Calibri"/>
                <w:b/>
                <w:color w:val="000000"/>
                <w:sz w:val="16"/>
                <w:szCs w:val="16"/>
              </w:rPr>
              <w:t>nadbytečný proces s minimální přidanou hodnotou pro další hodnocení a podporu projektů.</w:t>
            </w:r>
            <w:r w:rsidR="00EA5475" w:rsidRPr="000421F0">
              <w:rPr>
                <w:rFonts w:asciiTheme="minorHAnsi" w:eastAsia="Times New Roman" w:hAnsiTheme="minorHAnsi" w:cs="Calibri"/>
                <w:color w:val="000000"/>
                <w:sz w:val="16"/>
                <w:szCs w:val="16"/>
              </w:rPr>
              <w:t xml:space="preserve"> Žadatelé zadávají do ISKP14+ údaje tak, aby jim finanční realizovatelnost projektu vyšla v souladu s podmínkami, přičemž správnost těchto údajů nelze ověřit. Hodnocení se adekvátně neprojevuje na věcném hodnocení ani u Výběrové komise a nebyla ani prokázána souvislost mezi hodnocením ratingu a úspěšností realizovaných projektů.</w:t>
            </w:r>
          </w:p>
        </w:tc>
      </w:tr>
      <w:tr w:rsidR="00EA5475" w:rsidRPr="000421F0" w14:paraId="1543D52E" w14:textId="77777777" w:rsidTr="1B8B31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6" w:type="pct"/>
            <w:noWrap/>
            <w:hideMark/>
          </w:tcPr>
          <w:p w14:paraId="690AF62F" w14:textId="77777777" w:rsidR="00EA5475" w:rsidRPr="000421F0" w:rsidRDefault="00EA5475" w:rsidP="00E105D8">
            <w:pPr>
              <w:spacing w:before="60" w:after="6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lastRenderedPageBreak/>
              <w:t>6</w:t>
            </w:r>
          </w:p>
        </w:tc>
        <w:tc>
          <w:tcPr>
            <w:tcW w:w="1202" w:type="pct"/>
            <w:noWrap/>
            <w:hideMark/>
          </w:tcPr>
          <w:p w14:paraId="64934E73"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Jak příjemci hodnotí podmínky Pravidel pro výběr dodavatelů?</w:t>
            </w:r>
          </w:p>
        </w:tc>
        <w:tc>
          <w:tcPr>
            <w:tcW w:w="3662" w:type="pct"/>
            <w:noWrap/>
            <w:hideMark/>
          </w:tcPr>
          <w:p w14:paraId="023588C4"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PpVD stejně jako zákon o zadávání VZ jsou příjemci hodnoceny jako složité, příjemci se v pravidlech a zákonu obtížně orientují</w:t>
            </w:r>
            <w:r w:rsidRPr="000421F0">
              <w:rPr>
                <w:rFonts w:asciiTheme="minorHAnsi" w:eastAsia="Times New Roman" w:hAnsiTheme="minorHAnsi" w:cs="Calibri"/>
                <w:color w:val="000000"/>
                <w:sz w:val="16"/>
                <w:szCs w:val="16"/>
              </w:rPr>
              <w:t xml:space="preserve">, často dochází k chybnému výkladu a aplikaci. Není výjimkou, kdy si příjemci mylně nastaví příliš přísné podmínky VŘ, které následně nejsou schopni naplnit, což je předmětem nálezů kontrol VŘ. Z těchto důvodů velká část příjemců podpory na zadávání VŘ využívá služeb poradenských společností. </w:t>
            </w:r>
          </w:p>
          <w:p w14:paraId="5ACC8BC3"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Pravidla pro výběr dodavatele neumožňují prakticky posuzovat jiné kritérium než nabídkovou cenu. Byť teoreticky tato možnost existuje, v praxi dochází ke zpochybňování jakýchkoli kritérií pro jejich potenciální diskriminační charakter. Hlavním kritériem pro výběr se tak stále stává cena. </w:t>
            </w:r>
          </w:p>
          <w:p w14:paraId="741A9965" w14:textId="77777777"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Současný systém soutěže „na cenu“ však nevede nutně k nejúspornějším řešením. Firmy si mimo dotační podporu dokáží vyjednat lepší podmínky, které jsou i při 65 % spolufinancování dotační podpory v jejich vlastním zájmu. Jedná se o postupné uplatnění kombinace obálkové metody, elektronické aukce a last callu. Tato kombinace navazujících kroků může přitom vést ke snížení ceny o 15 až 20 %. </w:t>
            </w:r>
          </w:p>
          <w:p w14:paraId="482A2E6D" w14:textId="504B51E6" w:rsidR="00EA5475" w:rsidRPr="000421F0" w:rsidRDefault="00EA5475" w:rsidP="00E105D8">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Nastavení VŘ zároveň neposkytuje ochranu Zadavateli a neumožňuje efektivní vypovězení smlouvy, aniž by hrozilo odejmutí dotace. Zadavatel je tak často vydán napospas nepoctivým společnostem.</w:t>
            </w:r>
          </w:p>
        </w:tc>
      </w:tr>
      <w:tr w:rsidR="00EA5475" w:rsidRPr="000421F0" w14:paraId="08788EAB" w14:textId="77777777" w:rsidTr="1B8B314C">
        <w:trPr>
          <w:trHeight w:val="520"/>
        </w:trPr>
        <w:tc>
          <w:tcPr>
            <w:cnfStyle w:val="001000000000" w:firstRow="0" w:lastRow="0" w:firstColumn="1" w:lastColumn="0" w:oddVBand="0" w:evenVBand="0" w:oddHBand="0" w:evenHBand="0" w:firstRowFirstColumn="0" w:firstRowLastColumn="0" w:lastRowFirstColumn="0" w:lastRowLastColumn="0"/>
            <w:tcW w:w="136" w:type="pct"/>
            <w:noWrap/>
            <w:hideMark/>
          </w:tcPr>
          <w:p w14:paraId="6656076C" w14:textId="77777777" w:rsidR="00EA5475" w:rsidRPr="000421F0" w:rsidRDefault="00EA5475" w:rsidP="00E105D8">
            <w:pPr>
              <w:spacing w:before="60" w:after="6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7</w:t>
            </w:r>
          </w:p>
        </w:tc>
        <w:tc>
          <w:tcPr>
            <w:tcW w:w="1202" w:type="pct"/>
            <w:noWrap/>
            <w:hideMark/>
          </w:tcPr>
          <w:p w14:paraId="0D679F8A" w14:textId="77777777"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Jsou dostatečně nastaveny postupy pro zachycení auditní stopy, zejména v rámci procesu hodnocení projektů?</w:t>
            </w:r>
          </w:p>
        </w:tc>
        <w:tc>
          <w:tcPr>
            <w:tcW w:w="3662" w:type="pct"/>
            <w:noWrap/>
            <w:hideMark/>
          </w:tcPr>
          <w:p w14:paraId="5B603AC9" w14:textId="518472CB"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Uchovávání auditní stopy spočívá v </w:t>
            </w:r>
            <w:r w:rsidR="009948B2" w:rsidRPr="000421F0">
              <w:rPr>
                <w:rFonts w:asciiTheme="minorHAnsi" w:eastAsia="Times New Roman" w:hAnsiTheme="minorHAnsi" w:cs="Calibri"/>
                <w:b/>
                <w:color w:val="000000"/>
                <w:sz w:val="16"/>
                <w:szCs w:val="16"/>
              </w:rPr>
              <w:t>řadě manuálně a duplicitně prováděných</w:t>
            </w:r>
            <w:r w:rsidRPr="000421F0">
              <w:rPr>
                <w:rFonts w:asciiTheme="minorHAnsi" w:eastAsia="Times New Roman" w:hAnsiTheme="minorHAnsi" w:cs="Calibri"/>
                <w:b/>
                <w:color w:val="000000"/>
                <w:sz w:val="16"/>
                <w:szCs w:val="16"/>
              </w:rPr>
              <w:t xml:space="preserve"> úkon</w:t>
            </w:r>
            <w:r w:rsidR="009948B2" w:rsidRPr="000421F0">
              <w:rPr>
                <w:rFonts w:asciiTheme="minorHAnsi" w:eastAsia="Times New Roman" w:hAnsiTheme="minorHAnsi" w:cs="Calibri"/>
                <w:b/>
                <w:color w:val="000000"/>
                <w:sz w:val="16"/>
                <w:szCs w:val="16"/>
              </w:rPr>
              <w:t>ech</w:t>
            </w:r>
            <w:r w:rsidR="009948B2" w:rsidRPr="000421F0">
              <w:rPr>
                <w:rFonts w:asciiTheme="minorHAnsi" w:eastAsia="Times New Roman" w:hAnsiTheme="minorHAnsi" w:cs="Calibri"/>
                <w:color w:val="000000"/>
                <w:sz w:val="16"/>
                <w:szCs w:val="16"/>
              </w:rPr>
              <w:t xml:space="preserve"> realizova</w:t>
            </w:r>
            <w:r w:rsidRPr="000421F0">
              <w:rPr>
                <w:rFonts w:asciiTheme="minorHAnsi" w:eastAsia="Times New Roman" w:hAnsiTheme="minorHAnsi" w:cs="Calibri"/>
                <w:color w:val="000000"/>
                <w:sz w:val="16"/>
                <w:szCs w:val="16"/>
              </w:rPr>
              <w:t xml:space="preserve">ných formou interních sdělení, které </w:t>
            </w:r>
            <w:r w:rsidRPr="000421F0">
              <w:rPr>
                <w:rFonts w:asciiTheme="minorHAnsi" w:eastAsia="Times New Roman" w:hAnsiTheme="minorHAnsi" w:cs="Calibri"/>
                <w:b/>
                <w:color w:val="000000"/>
                <w:sz w:val="16"/>
                <w:szCs w:val="16"/>
              </w:rPr>
              <w:t>vedou k administrativní zátěži a časovým prodlevám</w:t>
            </w:r>
            <w:r w:rsidRPr="000421F0">
              <w:rPr>
                <w:rFonts w:asciiTheme="minorHAnsi" w:eastAsia="Times New Roman" w:hAnsiTheme="minorHAnsi" w:cs="Calibri"/>
                <w:color w:val="000000"/>
                <w:sz w:val="16"/>
                <w:szCs w:val="16"/>
              </w:rPr>
              <w:t xml:space="preserve"> (např. v případě překliku a následné opravy v systému MS2014+ pracovníkem implementační struktury). Také z těchto důvodů může docházet k „formalismům“, např. v procesu schvalování hodnocení žádostí schvalovatelem, který v praxi kolikrát hodnocení nemá čas kontrolovat a rovnou jej schvaluje. </w:t>
            </w:r>
          </w:p>
          <w:p w14:paraId="15BC2011" w14:textId="77777777"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Odtrženost hodnocení ratingu od věcného hodnocení neumožňuje zohlednění informací, které mohou být ve věcné části žádosti a mohou mít vliv na posuzování ekonomického hodnocení.</w:t>
            </w:r>
          </w:p>
          <w:p w14:paraId="6D26E6FE" w14:textId="7491B58D" w:rsidR="00EA5475" w:rsidRPr="000421F0" w:rsidRDefault="00EA5475" w:rsidP="00E105D8">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Délka hodnocení a schvalování projektů vede k častým změnám v </w:t>
            </w:r>
            <w:r w:rsidR="00B04647">
              <w:rPr>
                <w:rFonts w:asciiTheme="minorHAnsi" w:eastAsia="Times New Roman" w:hAnsiTheme="minorHAnsi" w:cs="Calibri"/>
                <w:color w:val="000000"/>
                <w:sz w:val="16"/>
                <w:szCs w:val="16"/>
              </w:rPr>
              <w:t>žádostech o podporu</w:t>
            </w:r>
            <w:r w:rsidRPr="000421F0">
              <w:rPr>
                <w:rFonts w:asciiTheme="minorHAnsi" w:eastAsia="Times New Roman" w:hAnsiTheme="minorHAnsi" w:cs="Calibri"/>
                <w:color w:val="000000"/>
                <w:sz w:val="16"/>
                <w:szCs w:val="16"/>
              </w:rPr>
              <w:t xml:space="preserve"> i podpořených projektech a následné administrativní zátěži. </w:t>
            </w:r>
          </w:p>
        </w:tc>
      </w:tr>
    </w:tbl>
    <w:p w14:paraId="1405FB48" w14:textId="77777777" w:rsidR="00EA5475" w:rsidRPr="006B30BF" w:rsidRDefault="00EA5475" w:rsidP="00EA5475">
      <w:pPr>
        <w:spacing w:before="60" w:after="60" w:line="240" w:lineRule="auto"/>
        <w:rPr>
          <w:rFonts w:ascii="Verdana" w:hAnsi="Verdana"/>
          <w:szCs w:val="18"/>
        </w:rPr>
      </w:pPr>
    </w:p>
    <w:p w14:paraId="6D5E1AC0" w14:textId="596DAA8A" w:rsidR="002A7D85" w:rsidRDefault="002A7D85" w:rsidP="002A7D85">
      <w:pPr>
        <w:pStyle w:val="Heading2"/>
      </w:pPr>
      <w:bookmarkStart w:id="14" w:name="_Toc52532085"/>
      <w:r>
        <w:t>Implementace</w:t>
      </w:r>
      <w:bookmarkEnd w:id="14"/>
    </w:p>
    <w:p w14:paraId="4485C5BC" w14:textId="09D28C54" w:rsidR="00EA5475" w:rsidRPr="006B30BF" w:rsidRDefault="00E1494C" w:rsidP="00EA5475">
      <w:pPr>
        <w:spacing w:before="60" w:after="60" w:line="240" w:lineRule="auto"/>
        <w:rPr>
          <w:rFonts w:ascii="Verdana" w:hAnsi="Verdana"/>
          <w:szCs w:val="18"/>
        </w:rPr>
      </w:pPr>
      <w:r>
        <w:rPr>
          <w:rFonts w:ascii="Verdana" w:hAnsi="Verdana"/>
          <w:szCs w:val="18"/>
        </w:rPr>
        <w:t xml:space="preserve">Následující tabulka shrnuje odpovědi na evaluační otázky k okruhu implementace podpory OP PIK. </w:t>
      </w:r>
    </w:p>
    <w:p w14:paraId="5AFF8933" w14:textId="77777777" w:rsidR="00EA5475" w:rsidRPr="006B30BF" w:rsidRDefault="00EA5475" w:rsidP="00EA5475">
      <w:pPr>
        <w:spacing w:before="60" w:after="60" w:line="240" w:lineRule="auto"/>
        <w:rPr>
          <w:rFonts w:ascii="Verdana" w:hAnsi="Verdana"/>
          <w:szCs w:val="18"/>
        </w:rPr>
      </w:pPr>
    </w:p>
    <w:p w14:paraId="6C6E8392" w14:textId="058FC90F" w:rsidR="00E1494C" w:rsidRDefault="00E1494C" w:rsidP="00E1494C">
      <w:pPr>
        <w:pStyle w:val="Caption"/>
      </w:pPr>
      <w:bookmarkStart w:id="15" w:name="_Toc52532103"/>
      <w:r>
        <w:t xml:space="preserve">Tabulka </w:t>
      </w:r>
      <w:r>
        <w:fldChar w:fldCharType="begin"/>
      </w:r>
      <w:r>
        <w:instrText xml:space="preserve"> SEQ Tabulka \* ARABIC </w:instrText>
      </w:r>
      <w:r>
        <w:fldChar w:fldCharType="separate"/>
      </w:r>
      <w:r w:rsidR="008E1911">
        <w:rPr>
          <w:noProof/>
        </w:rPr>
        <w:t>5</w:t>
      </w:r>
      <w:r>
        <w:fldChar w:fldCharType="end"/>
      </w:r>
      <w:r>
        <w:t xml:space="preserve"> Odpovědi k evaluačním otázkám k implementaci OP PIK</w:t>
      </w:r>
      <w:bookmarkEnd w:id="15"/>
    </w:p>
    <w:tbl>
      <w:tblPr>
        <w:tblStyle w:val="ListTable3-Accent1"/>
        <w:tblW w:w="4989" w:type="pct"/>
        <w:tblBorders>
          <w:insideH w:val="single" w:sz="4" w:space="0" w:color="86BC25" w:themeColor="accent1"/>
          <w:insideV w:val="single" w:sz="4" w:space="0" w:color="86BC25" w:themeColor="accent1"/>
        </w:tblBorders>
        <w:tblLayout w:type="fixed"/>
        <w:tblCellMar>
          <w:top w:w="29" w:type="dxa"/>
          <w:left w:w="29" w:type="dxa"/>
          <w:bottom w:w="29" w:type="dxa"/>
          <w:right w:w="29" w:type="dxa"/>
        </w:tblCellMar>
        <w:tblLook w:val="04A0" w:firstRow="1" w:lastRow="0" w:firstColumn="1" w:lastColumn="0" w:noHBand="0" w:noVBand="1"/>
      </w:tblPr>
      <w:tblGrid>
        <w:gridCol w:w="355"/>
        <w:gridCol w:w="2493"/>
        <w:gridCol w:w="6867"/>
      </w:tblGrid>
      <w:tr w:rsidR="002454A6" w:rsidRPr="000421F0" w14:paraId="2DD14CA4" w14:textId="77777777" w:rsidTr="1B8B314C">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183" w:type="pct"/>
            <w:noWrap/>
            <w:hideMark/>
          </w:tcPr>
          <w:p w14:paraId="183F4372" w14:textId="77777777" w:rsidR="00EA5475" w:rsidRPr="000421F0" w:rsidRDefault="00EA5475" w:rsidP="00E17552">
            <w:pPr>
              <w:spacing w:after="120"/>
              <w:rPr>
                <w:rFonts w:asciiTheme="minorHAnsi" w:eastAsia="Times New Roman" w:hAnsiTheme="minorHAnsi"/>
                <w:sz w:val="16"/>
                <w:szCs w:val="16"/>
              </w:rPr>
            </w:pPr>
          </w:p>
        </w:tc>
        <w:tc>
          <w:tcPr>
            <w:tcW w:w="1283" w:type="pct"/>
            <w:noWrap/>
            <w:hideMark/>
          </w:tcPr>
          <w:p w14:paraId="4E0B1EB1" w14:textId="77777777" w:rsidR="00EA5475" w:rsidRPr="000421F0" w:rsidRDefault="00EA5475" w:rsidP="00E17552">
            <w:pPr>
              <w:spacing w:after="120"/>
              <w:ind w:left="14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sz w:val="16"/>
                <w:szCs w:val="16"/>
              </w:rPr>
              <w:t>Implementace</w:t>
            </w:r>
          </w:p>
        </w:tc>
        <w:tc>
          <w:tcPr>
            <w:tcW w:w="3534" w:type="pct"/>
            <w:noWrap/>
            <w:hideMark/>
          </w:tcPr>
          <w:p w14:paraId="1BA54192" w14:textId="77777777" w:rsidR="00EA5475" w:rsidRPr="000421F0" w:rsidRDefault="00EA5475" w:rsidP="00E17552">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p>
        </w:tc>
      </w:tr>
      <w:tr w:rsidR="002454A6" w:rsidRPr="000421F0" w14:paraId="64FA630A" w14:textId="77777777" w:rsidTr="1B8B314C">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183" w:type="pct"/>
            <w:shd w:val="clear" w:color="auto" w:fill="E7F5CF" w:themeFill="accent1" w:themeFillTint="33"/>
            <w:noWrap/>
            <w:hideMark/>
          </w:tcPr>
          <w:p w14:paraId="5175F7CF"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č.</w:t>
            </w:r>
          </w:p>
        </w:tc>
        <w:tc>
          <w:tcPr>
            <w:tcW w:w="1283" w:type="pct"/>
            <w:shd w:val="clear" w:color="auto" w:fill="E7F5CF" w:themeFill="accent1" w:themeFillTint="33"/>
            <w:noWrap/>
            <w:hideMark/>
          </w:tcPr>
          <w:p w14:paraId="35B09DEF" w14:textId="77777777" w:rsidR="00EA5475" w:rsidRPr="000421F0" w:rsidRDefault="00EA5475" w:rsidP="00E17552">
            <w:pPr>
              <w:spacing w:after="120"/>
              <w:ind w:left="14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Evaluační otázka</w:t>
            </w:r>
          </w:p>
        </w:tc>
        <w:tc>
          <w:tcPr>
            <w:tcW w:w="3534" w:type="pct"/>
            <w:shd w:val="clear" w:color="auto" w:fill="E7F5CF" w:themeFill="accent1" w:themeFillTint="33"/>
            <w:noWrap/>
            <w:hideMark/>
          </w:tcPr>
          <w:p w14:paraId="53A7BC94" w14:textId="61F105C3" w:rsidR="00EA5475" w:rsidRPr="000421F0" w:rsidRDefault="00402BA3" w:rsidP="00E17552">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Odpověď na EO</w:t>
            </w:r>
          </w:p>
        </w:tc>
      </w:tr>
      <w:tr w:rsidR="002454A6" w:rsidRPr="000421F0" w14:paraId="14998D69" w14:textId="77777777" w:rsidTr="1B8B314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3" w:type="pct"/>
            <w:noWrap/>
          </w:tcPr>
          <w:p w14:paraId="74B65856"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1</w:t>
            </w:r>
          </w:p>
        </w:tc>
        <w:tc>
          <w:tcPr>
            <w:tcW w:w="1283" w:type="pct"/>
            <w:noWrap/>
          </w:tcPr>
          <w:p w14:paraId="1267D60E" w14:textId="77777777" w:rsidR="00EA5475" w:rsidRPr="000421F0" w:rsidRDefault="00EA5475" w:rsidP="00E17552">
            <w:pPr>
              <w:spacing w:after="120"/>
              <w:ind w:left="1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Jaká jsou slabá místa a klíčové problémy vyskytující se v implementačních procesech z pohledu pracovníků implementační struktury a z pohledu žadatelů/příjemců? Které fáze projektového cyklu jsou hodnoceny z pohledu příjemců jako nejvíce zatěžující z hlediska času a objemu práce?</w:t>
            </w:r>
          </w:p>
        </w:tc>
        <w:tc>
          <w:tcPr>
            <w:tcW w:w="3534" w:type="pct"/>
            <w:noWrap/>
            <w:hideMark/>
          </w:tcPr>
          <w:p w14:paraId="348B7F79"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Klíčové problémy z pohledu pracovníků IS:</w:t>
            </w:r>
          </w:p>
          <w:p w14:paraId="66A61B1F" w14:textId="77777777" w:rsidR="00EA5475" w:rsidRPr="000421F0" w:rsidRDefault="00EA5475" w:rsidP="1B8B314C">
            <w:pPr>
              <w:pStyle w:val="ListParagraph"/>
              <w:numPr>
                <w:ilvl w:val="0"/>
                <w:numId w:val="20"/>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1B8B314C">
              <w:rPr>
                <w:rFonts w:asciiTheme="minorHAnsi" w:eastAsia="Times New Roman" w:hAnsiTheme="minorHAnsi" w:cs="Calibri"/>
                <w:b/>
                <w:bCs/>
                <w:color w:val="000000" w:themeColor="text1"/>
                <w:sz w:val="16"/>
                <w:szCs w:val="16"/>
              </w:rPr>
              <w:t>Nedostatečná funkcionalita, nepřehlednost, složitost a uživatelská nepřívětivost MS2014+</w:t>
            </w:r>
            <w:r w:rsidRPr="1B8B314C">
              <w:rPr>
                <w:rFonts w:asciiTheme="minorHAnsi" w:eastAsia="Times New Roman" w:hAnsiTheme="minorHAnsi" w:cs="Calibri"/>
                <w:color w:val="000000" w:themeColor="text1"/>
                <w:sz w:val="16"/>
                <w:szCs w:val="16"/>
              </w:rPr>
              <w:t xml:space="preserve"> a z toho vyplývající nadbytečné a manuální činnosti, které je nutné provádět mimo systém a následně vyšší chybovost (např. administrace VŘ, udělování sankcí, absence funkcionality pro směsné poměry, generování Dodatků, záznamů v EDS, KL k vydání RoPD apod.).</w:t>
            </w:r>
          </w:p>
          <w:p w14:paraId="0D6B701F" w14:textId="77777777" w:rsidR="00EA5475" w:rsidRPr="000421F0" w:rsidRDefault="00EA5475" w:rsidP="00E17552">
            <w:pPr>
              <w:pStyle w:val="ListParagraph"/>
              <w:numPr>
                <w:ilvl w:val="0"/>
                <w:numId w:val="20"/>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Řada administrativně náročných úkonů bez přidané hodnoty,</w:t>
            </w:r>
            <w:r w:rsidRPr="000421F0">
              <w:rPr>
                <w:rFonts w:asciiTheme="minorHAnsi" w:eastAsia="Times New Roman" w:hAnsiTheme="minorHAnsi" w:cs="Calibri"/>
                <w:color w:val="000000"/>
                <w:sz w:val="16"/>
                <w:szCs w:val="16"/>
              </w:rPr>
              <w:t xml:space="preserve"> např. uvádění čísla projektu na fakturách, číslování dokumentů apod. a jejich následná kontrola.</w:t>
            </w:r>
          </w:p>
          <w:p w14:paraId="6DB91267" w14:textId="14EEC9A0" w:rsidR="00EA5475" w:rsidRPr="000421F0" w:rsidRDefault="00EA5475" w:rsidP="00E17552">
            <w:pPr>
              <w:pStyle w:val="ListParagraph"/>
              <w:numPr>
                <w:ilvl w:val="0"/>
                <w:numId w:val="20"/>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Dodatky k žádostem o změnu</w:t>
            </w:r>
            <w:r w:rsidRPr="000421F0">
              <w:rPr>
                <w:rFonts w:asciiTheme="minorHAnsi" w:eastAsia="Times New Roman" w:hAnsiTheme="minorHAnsi" w:cs="Calibri"/>
                <w:color w:val="000000"/>
                <w:sz w:val="16"/>
                <w:szCs w:val="16"/>
              </w:rPr>
              <w:t xml:space="preserve"> – vygenerovaná šablona je nedostatečná a vyžaduje manuální korekce, následně se ukládá mimo systém MS2014+, předkládá k podpisu </w:t>
            </w:r>
            <w:r w:rsidR="00800E8F">
              <w:rPr>
                <w:rFonts w:asciiTheme="minorHAnsi" w:eastAsia="Times New Roman" w:hAnsiTheme="minorHAnsi" w:cs="Calibri"/>
                <w:color w:val="000000"/>
                <w:sz w:val="16"/>
                <w:szCs w:val="16"/>
              </w:rPr>
              <w:t>řediteli odboru</w:t>
            </w:r>
            <w:r w:rsidR="00800E8F" w:rsidRPr="000421F0">
              <w:rPr>
                <w:rFonts w:asciiTheme="minorHAnsi" w:eastAsia="Times New Roman" w:hAnsiTheme="minorHAnsi" w:cs="Calibri"/>
                <w:color w:val="000000"/>
                <w:sz w:val="16"/>
                <w:szCs w:val="16"/>
              </w:rPr>
              <w:t xml:space="preserve"> </w:t>
            </w:r>
            <w:r w:rsidRPr="000421F0">
              <w:rPr>
                <w:rFonts w:asciiTheme="minorHAnsi" w:eastAsia="Times New Roman" w:hAnsiTheme="minorHAnsi" w:cs="Calibri"/>
                <w:color w:val="000000"/>
                <w:sz w:val="16"/>
                <w:szCs w:val="16"/>
              </w:rPr>
              <w:t xml:space="preserve">a následně se </w:t>
            </w:r>
            <w:r w:rsidR="00851312">
              <w:rPr>
                <w:rFonts w:asciiTheme="minorHAnsi" w:eastAsia="Times New Roman" w:hAnsiTheme="minorHAnsi" w:cs="Calibri"/>
                <w:color w:val="000000"/>
                <w:sz w:val="16"/>
                <w:szCs w:val="16"/>
              </w:rPr>
              <w:t>o</w:t>
            </w:r>
            <w:r w:rsidRPr="000421F0">
              <w:rPr>
                <w:rFonts w:asciiTheme="minorHAnsi" w:eastAsia="Times New Roman" w:hAnsiTheme="minorHAnsi" w:cs="Calibri"/>
                <w:color w:val="000000"/>
                <w:sz w:val="16"/>
                <w:szCs w:val="16"/>
              </w:rPr>
              <w:t>skenov</w:t>
            </w:r>
            <w:r w:rsidR="00851312">
              <w:rPr>
                <w:rFonts w:asciiTheme="minorHAnsi" w:eastAsia="Times New Roman" w:hAnsiTheme="minorHAnsi" w:cs="Calibri"/>
                <w:color w:val="000000"/>
                <w:sz w:val="16"/>
                <w:szCs w:val="16"/>
              </w:rPr>
              <w:t>an</w:t>
            </w:r>
            <w:r w:rsidRPr="000421F0">
              <w:rPr>
                <w:rFonts w:asciiTheme="minorHAnsi" w:eastAsia="Times New Roman" w:hAnsiTheme="minorHAnsi" w:cs="Calibri"/>
                <w:color w:val="000000"/>
                <w:sz w:val="16"/>
                <w:szCs w:val="16"/>
              </w:rPr>
              <w:t>á kopie uloží do MS</w:t>
            </w:r>
            <w:r w:rsidR="00851312">
              <w:rPr>
                <w:rFonts w:asciiTheme="minorHAnsi" w:eastAsia="Times New Roman" w:hAnsiTheme="minorHAnsi" w:cs="Calibri"/>
                <w:color w:val="000000"/>
                <w:sz w:val="16"/>
                <w:szCs w:val="16"/>
              </w:rPr>
              <w:t>2014+.</w:t>
            </w:r>
          </w:p>
          <w:p w14:paraId="7003DBA5" w14:textId="77777777" w:rsidR="00EA5475" w:rsidRPr="000421F0" w:rsidRDefault="00EA5475" w:rsidP="00E17552">
            <w:pPr>
              <w:pStyle w:val="ListParagraph"/>
              <w:numPr>
                <w:ilvl w:val="0"/>
                <w:numId w:val="20"/>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Pracovníci ZS mají omezený přístup k žádostem v ISKP14+</w:t>
            </w:r>
            <w:r w:rsidRPr="000421F0">
              <w:rPr>
                <w:rFonts w:asciiTheme="minorHAnsi" w:eastAsia="Times New Roman" w:hAnsiTheme="minorHAnsi" w:cs="Calibri"/>
                <w:color w:val="000000"/>
                <w:sz w:val="16"/>
                <w:szCs w:val="16"/>
              </w:rPr>
              <w:t xml:space="preserve">, který navíc nepoužívá stejné označení záložek a údajů jako MS2014+ a nemohou tak </w:t>
            </w:r>
            <w:r w:rsidRPr="000421F0">
              <w:rPr>
                <w:rFonts w:asciiTheme="minorHAnsi" w:eastAsia="Times New Roman" w:hAnsiTheme="minorHAnsi" w:cs="Calibri"/>
                <w:color w:val="000000"/>
                <w:sz w:val="16"/>
                <w:szCs w:val="16"/>
              </w:rPr>
              <w:lastRenderedPageBreak/>
              <w:t>efektivně radit žadatelům s opravami napravitelných chyb v systému. Prostředí ISKP14+ je významně odlišné od prostředí MS2014+.</w:t>
            </w:r>
          </w:p>
          <w:p w14:paraId="5F0E4E3D" w14:textId="77777777" w:rsidR="00EA5475" w:rsidRPr="000421F0" w:rsidRDefault="00EA5475" w:rsidP="00E17552">
            <w:pPr>
              <w:pStyle w:val="ListParagraph"/>
              <w:numPr>
                <w:ilvl w:val="0"/>
                <w:numId w:val="20"/>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Administrativní náročnost procesů,</w:t>
            </w:r>
            <w:r w:rsidRPr="000421F0">
              <w:rPr>
                <w:rFonts w:asciiTheme="minorHAnsi" w:eastAsia="Times New Roman" w:hAnsiTheme="minorHAnsi" w:cs="Calibri"/>
                <w:color w:val="000000"/>
                <w:sz w:val="16"/>
                <w:szCs w:val="16"/>
              </w:rPr>
              <w:t xml:space="preserve"> vyplňování vysokého počtu kontrolních listů, interních sdělení, depeší, záznamů a hlášení vede jak k prodlení v realizaci jednotlivých postupů, tak chybovosti pracovníků IS. Následně fyzická archivace části z nich.</w:t>
            </w:r>
          </w:p>
          <w:p w14:paraId="42DC5965" w14:textId="77777777" w:rsidR="00EA5475" w:rsidRPr="000421F0" w:rsidRDefault="00EA5475" w:rsidP="00E17552">
            <w:pPr>
              <w:pStyle w:val="ListParagraph"/>
              <w:numPr>
                <w:ilvl w:val="0"/>
                <w:numId w:val="20"/>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Metodika ani MS2014+ neumožňuje úpravy zjevně opravitelných chyb v žádostech v ISKP14+.</w:t>
            </w:r>
            <w:r w:rsidRPr="000421F0">
              <w:rPr>
                <w:rFonts w:asciiTheme="minorHAnsi" w:eastAsia="Times New Roman" w:hAnsiTheme="minorHAnsi" w:cs="Calibri"/>
                <w:color w:val="000000"/>
                <w:sz w:val="16"/>
                <w:szCs w:val="16"/>
              </w:rPr>
              <w:t xml:space="preserve"> Projektoví manažeři ZS musí zdlouhavě komunikovat se žadateli, často i neformálně, kvůli opravě překlepů.</w:t>
            </w:r>
          </w:p>
          <w:p w14:paraId="1A5E4C5D" w14:textId="5B80B983" w:rsidR="00EA5475" w:rsidRPr="000421F0" w:rsidRDefault="00EA5475" w:rsidP="00E17552">
            <w:pPr>
              <w:pStyle w:val="ListParagraph"/>
              <w:numPr>
                <w:ilvl w:val="0"/>
                <w:numId w:val="20"/>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Samostatné </w:t>
            </w:r>
            <w:r w:rsidRPr="000421F0">
              <w:rPr>
                <w:rFonts w:asciiTheme="minorHAnsi" w:eastAsia="Times New Roman" w:hAnsiTheme="minorHAnsi" w:cs="Calibri"/>
                <w:b/>
                <w:color w:val="000000"/>
                <w:sz w:val="16"/>
                <w:szCs w:val="16"/>
              </w:rPr>
              <w:t>Zprávy o realizaci nemají přidanou hodnotu</w:t>
            </w:r>
            <w:r w:rsidRPr="000421F0">
              <w:rPr>
                <w:rFonts w:asciiTheme="minorHAnsi" w:eastAsia="Times New Roman" w:hAnsiTheme="minorHAnsi" w:cs="Calibri"/>
                <w:color w:val="000000"/>
                <w:sz w:val="16"/>
                <w:szCs w:val="16"/>
              </w:rPr>
              <w:t xml:space="preserve"> a představují zbytnou administrativní zátěž pro příjemce i implementační strukturu. Všechny potřebné informace jsou obsaženy již v </w:t>
            </w:r>
            <w:r w:rsidR="00825645" w:rsidRPr="000421F0">
              <w:rPr>
                <w:rFonts w:asciiTheme="minorHAnsi" w:eastAsia="Times New Roman" w:hAnsiTheme="minorHAnsi" w:cs="Calibri"/>
                <w:color w:val="000000"/>
                <w:sz w:val="16"/>
                <w:szCs w:val="16"/>
              </w:rPr>
              <w:t>ŽoPl</w:t>
            </w:r>
            <w:r w:rsidRPr="000421F0">
              <w:rPr>
                <w:rFonts w:asciiTheme="minorHAnsi" w:eastAsia="Times New Roman" w:hAnsiTheme="minorHAnsi" w:cs="Calibri"/>
                <w:color w:val="000000"/>
                <w:sz w:val="16"/>
                <w:szCs w:val="16"/>
              </w:rPr>
              <w:t>.</w:t>
            </w:r>
          </w:p>
          <w:p w14:paraId="2EA44901" w14:textId="77777777" w:rsidR="00EA5475" w:rsidRPr="000421F0" w:rsidRDefault="00EA5475" w:rsidP="00E17552">
            <w:pPr>
              <w:pStyle w:val="ListParagraph"/>
              <w:numPr>
                <w:ilvl w:val="0"/>
                <w:numId w:val="20"/>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hAnsiTheme="minorHAnsi" w:cs="Arialoby?ejné"/>
                <w:b/>
                <w:sz w:val="16"/>
                <w:szCs w:val="16"/>
              </w:rPr>
              <w:t>Manuální vyplňování dat do MS2014+</w:t>
            </w:r>
            <w:r w:rsidRPr="000421F0">
              <w:rPr>
                <w:rFonts w:asciiTheme="minorHAnsi" w:hAnsiTheme="minorHAnsi" w:cs="Arialoby?ejné"/>
                <w:sz w:val="16"/>
                <w:szCs w:val="16"/>
              </w:rPr>
              <w:t xml:space="preserve"> s cílem jejich převodu do EDS/SMVS</w:t>
            </w:r>
          </w:p>
          <w:p w14:paraId="393D7544" w14:textId="27B9CC14" w:rsidR="00EA5475" w:rsidRPr="00E105D8" w:rsidRDefault="00EA5475" w:rsidP="00E105D8">
            <w:pPr>
              <w:pStyle w:val="ListParagraph"/>
              <w:numPr>
                <w:ilvl w:val="0"/>
                <w:numId w:val="20"/>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E105D8">
              <w:rPr>
                <w:rFonts w:asciiTheme="minorHAnsi" w:hAnsiTheme="minorHAnsi" w:cs="Arialoby?ejné"/>
                <w:b/>
                <w:sz w:val="16"/>
                <w:szCs w:val="16"/>
              </w:rPr>
              <w:t>Kontrola mzdových nákladů a směsných poměrů mimo MS2014+</w:t>
            </w:r>
          </w:p>
          <w:p w14:paraId="05C88A59"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Klíčové problémy z pohledu žadatelů, příjemců:</w:t>
            </w:r>
          </w:p>
          <w:p w14:paraId="7970273C" w14:textId="77777777" w:rsidR="00EA5475" w:rsidRPr="000421F0" w:rsidRDefault="00EA5475" w:rsidP="00E17552">
            <w:pPr>
              <w:pStyle w:val="ListParagraph"/>
              <w:numPr>
                <w:ilvl w:val="0"/>
                <w:numId w:val="21"/>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Orientace v metodickém prostředí a podmínkách podpory</w:t>
            </w:r>
            <w:r w:rsidRPr="000421F0">
              <w:rPr>
                <w:rFonts w:asciiTheme="minorHAnsi" w:eastAsia="Times New Roman" w:hAnsiTheme="minorHAnsi" w:cs="Calibri"/>
                <w:color w:val="000000"/>
                <w:sz w:val="16"/>
                <w:szCs w:val="16"/>
              </w:rPr>
              <w:t xml:space="preserve"> – složitost a časté změny Pravidel pro žadatele a příjemce, znění výzev, znění RoPD.</w:t>
            </w:r>
          </w:p>
          <w:p w14:paraId="5E9E1DC2" w14:textId="7E9E8D8C" w:rsidR="00EA5475" w:rsidRPr="000421F0" w:rsidRDefault="00EA5475" w:rsidP="00E17552">
            <w:pPr>
              <w:pStyle w:val="ListParagraph"/>
              <w:numPr>
                <w:ilvl w:val="0"/>
                <w:numId w:val="21"/>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Od žadatelů jsou požadovány dokumenty, popř. informace, které </w:t>
            </w:r>
            <w:r w:rsidR="00EF7E83">
              <w:rPr>
                <w:rFonts w:asciiTheme="minorHAnsi" w:eastAsia="Times New Roman" w:hAnsiTheme="minorHAnsi" w:cs="Calibri"/>
                <w:color w:val="000000"/>
                <w:sz w:val="16"/>
                <w:szCs w:val="16"/>
              </w:rPr>
              <w:t xml:space="preserve">by </w:t>
            </w:r>
            <w:r w:rsidRPr="000421F0">
              <w:rPr>
                <w:rFonts w:asciiTheme="minorHAnsi" w:eastAsia="Times New Roman" w:hAnsiTheme="minorHAnsi" w:cs="Calibri"/>
                <w:color w:val="000000"/>
                <w:sz w:val="16"/>
                <w:szCs w:val="16"/>
              </w:rPr>
              <w:t xml:space="preserve">si </w:t>
            </w:r>
            <w:r w:rsidR="00EF7E83">
              <w:rPr>
                <w:rFonts w:asciiTheme="minorHAnsi" w:eastAsia="Times New Roman" w:hAnsiTheme="minorHAnsi" w:cs="Calibri"/>
                <w:color w:val="000000"/>
                <w:sz w:val="16"/>
                <w:szCs w:val="16"/>
              </w:rPr>
              <w:t xml:space="preserve">IS měla být </w:t>
            </w:r>
            <w:r w:rsidRPr="000421F0">
              <w:rPr>
                <w:rFonts w:asciiTheme="minorHAnsi" w:eastAsia="Times New Roman" w:hAnsiTheme="minorHAnsi" w:cs="Calibri"/>
                <w:color w:val="000000"/>
                <w:sz w:val="16"/>
                <w:szCs w:val="16"/>
              </w:rPr>
              <w:t>schopn</w:t>
            </w:r>
            <w:r w:rsidR="00EF7E83">
              <w:rPr>
                <w:rFonts w:asciiTheme="minorHAnsi" w:eastAsia="Times New Roman" w:hAnsiTheme="minorHAnsi" w:cs="Calibri"/>
                <w:color w:val="000000"/>
                <w:sz w:val="16"/>
                <w:szCs w:val="16"/>
              </w:rPr>
              <w:t>a</w:t>
            </w:r>
            <w:r w:rsidRPr="000421F0">
              <w:rPr>
                <w:rFonts w:asciiTheme="minorHAnsi" w:eastAsia="Times New Roman" w:hAnsiTheme="minorHAnsi" w:cs="Calibri"/>
                <w:color w:val="000000"/>
                <w:sz w:val="16"/>
                <w:szCs w:val="16"/>
              </w:rPr>
              <w:t xml:space="preserve"> opatřit sam</w:t>
            </w:r>
            <w:r w:rsidR="00EF7E83">
              <w:rPr>
                <w:rFonts w:asciiTheme="minorHAnsi" w:eastAsia="Times New Roman" w:hAnsiTheme="minorHAnsi" w:cs="Calibri"/>
                <w:color w:val="000000"/>
                <w:sz w:val="16"/>
                <w:szCs w:val="16"/>
              </w:rPr>
              <w:t>a</w:t>
            </w:r>
            <w:r w:rsidRPr="000421F0">
              <w:rPr>
                <w:rFonts w:asciiTheme="minorHAnsi" w:eastAsia="Times New Roman" w:hAnsiTheme="minorHAnsi" w:cs="Calibri"/>
                <w:color w:val="000000"/>
                <w:sz w:val="16"/>
                <w:szCs w:val="16"/>
              </w:rPr>
              <w:t>, popř. které nejsou pro hodnocení projektu důležité. Jedná se např. o studii proveditelnosti / podnikatelský záměr (příloha žádosti), jejíž některé části (např. historie žadatele, socio-ekonomický rozbor místa realizace) jsou pro vyhodnocení projektu zcela zbytečné, popř. obsahují informace, které žadatel uvádí už jinde (např. v rámci popisu projektu v ISKP14+, na záložce Subjekty projektu, na záložce Horizontální principy, atp.).</w:t>
            </w:r>
          </w:p>
          <w:p w14:paraId="72E88A25" w14:textId="77777777" w:rsidR="00EA5475" w:rsidRPr="000421F0" w:rsidRDefault="00EA5475" w:rsidP="00E17552">
            <w:pPr>
              <w:pStyle w:val="ListParagraph"/>
              <w:numPr>
                <w:ilvl w:val="0"/>
                <w:numId w:val="21"/>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Uživatelsky nepřívětivý systém ISKP14+.</w:t>
            </w:r>
            <w:r w:rsidRPr="000421F0">
              <w:rPr>
                <w:rFonts w:asciiTheme="minorHAnsi" w:eastAsia="Times New Roman" w:hAnsiTheme="minorHAnsi" w:cs="Calibri"/>
                <w:color w:val="000000"/>
                <w:sz w:val="16"/>
                <w:szCs w:val="16"/>
              </w:rPr>
              <w:t xml:space="preserve"> Systém je nepřehledný, uživatelsky náročný, vynucuje si zbytečně mnoho klikání, překlikávání mezi počtem listů/záložek, časté změny podepisovacích komponentů, má nelogickou strukturu, je často nefunkční, příznačný dlouhým načítáním atd. Práce s ISKP14+ vyžaduje řadu nesystémových kroků, např. generování dokumentů na pozadí, následný podpis a skenování zpět do systému apod.</w:t>
            </w:r>
          </w:p>
          <w:p w14:paraId="5E089225" w14:textId="040D011E" w:rsidR="00EA5475" w:rsidRPr="000421F0" w:rsidRDefault="00EA5475" w:rsidP="00E17552">
            <w:pPr>
              <w:pStyle w:val="ListParagraph"/>
              <w:numPr>
                <w:ilvl w:val="0"/>
                <w:numId w:val="21"/>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 xml:space="preserve">Jedním z nejnáročnějších procesů z pohledů příjemců je podávání </w:t>
            </w:r>
            <w:r w:rsidR="00825645" w:rsidRPr="000421F0">
              <w:rPr>
                <w:rFonts w:asciiTheme="minorHAnsi" w:eastAsia="Times New Roman" w:hAnsiTheme="minorHAnsi" w:cs="Calibri"/>
                <w:b/>
                <w:color w:val="000000"/>
                <w:sz w:val="16"/>
                <w:szCs w:val="16"/>
              </w:rPr>
              <w:t>ŽoPl</w:t>
            </w:r>
            <w:r w:rsidRPr="000421F0">
              <w:rPr>
                <w:rFonts w:asciiTheme="minorHAnsi" w:eastAsia="Times New Roman" w:hAnsiTheme="minorHAnsi" w:cs="Calibri"/>
                <w:b/>
                <w:color w:val="000000"/>
                <w:sz w:val="16"/>
                <w:szCs w:val="16"/>
              </w:rPr>
              <w:t xml:space="preserve">. </w:t>
            </w:r>
            <w:r w:rsidRPr="000421F0">
              <w:rPr>
                <w:rFonts w:asciiTheme="minorHAnsi" w:eastAsia="Times New Roman" w:hAnsiTheme="minorHAnsi" w:cs="Calibri"/>
                <w:color w:val="000000"/>
                <w:sz w:val="16"/>
                <w:szCs w:val="16"/>
              </w:rPr>
              <w:t xml:space="preserve">U velké části </w:t>
            </w:r>
            <w:r w:rsidR="00825645" w:rsidRPr="000421F0">
              <w:rPr>
                <w:rFonts w:asciiTheme="minorHAnsi" w:eastAsia="Times New Roman" w:hAnsiTheme="minorHAnsi" w:cs="Calibri"/>
                <w:color w:val="000000"/>
                <w:sz w:val="16"/>
                <w:szCs w:val="16"/>
              </w:rPr>
              <w:t>ŽoPl</w:t>
            </w:r>
            <w:r w:rsidRPr="000421F0">
              <w:rPr>
                <w:rFonts w:asciiTheme="minorHAnsi" w:eastAsia="Times New Roman" w:hAnsiTheme="minorHAnsi" w:cs="Calibri"/>
                <w:color w:val="000000"/>
                <w:sz w:val="16"/>
                <w:szCs w:val="16"/>
              </w:rPr>
              <w:t xml:space="preserve"> dochází k drobným či větším opravám. Příjemce musí nahrávat všechny účetní doklady zvlášť, přepisovat údaje. </w:t>
            </w:r>
          </w:p>
          <w:p w14:paraId="4300E68D" w14:textId="2F346C98" w:rsidR="00EA5475" w:rsidRPr="000421F0" w:rsidRDefault="00EA5475" w:rsidP="1B8B314C">
            <w:pPr>
              <w:pStyle w:val="ListParagraph"/>
              <w:numPr>
                <w:ilvl w:val="0"/>
                <w:numId w:val="21"/>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1B8B314C">
              <w:rPr>
                <w:rFonts w:asciiTheme="minorHAnsi" w:eastAsia="Times New Roman" w:hAnsiTheme="minorHAnsi" w:cs="Calibri"/>
                <w:color w:val="000000" w:themeColor="text1"/>
                <w:sz w:val="16"/>
                <w:szCs w:val="16"/>
              </w:rPr>
              <w:t xml:space="preserve">Jako méně náročný, ale zbytný proces je příjemci hodnoceno podávání Zprávy o realizaci projektu. </w:t>
            </w:r>
          </w:p>
        </w:tc>
      </w:tr>
      <w:tr w:rsidR="002454A6" w:rsidRPr="000421F0" w14:paraId="6243704F" w14:textId="77777777" w:rsidTr="1B8B314C">
        <w:trPr>
          <w:trHeight w:val="278"/>
        </w:trPr>
        <w:tc>
          <w:tcPr>
            <w:cnfStyle w:val="001000000000" w:firstRow="0" w:lastRow="0" w:firstColumn="1" w:lastColumn="0" w:oddVBand="0" w:evenVBand="0" w:oddHBand="0" w:evenHBand="0" w:firstRowFirstColumn="0" w:firstRowLastColumn="0" w:lastRowFirstColumn="0" w:lastRowLastColumn="0"/>
            <w:tcW w:w="183" w:type="pct"/>
            <w:noWrap/>
          </w:tcPr>
          <w:p w14:paraId="61D2B4FB"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lastRenderedPageBreak/>
              <w:t>2</w:t>
            </w:r>
          </w:p>
        </w:tc>
        <w:tc>
          <w:tcPr>
            <w:tcW w:w="1283" w:type="pct"/>
            <w:noWrap/>
          </w:tcPr>
          <w:p w14:paraId="6B75F818" w14:textId="77777777" w:rsidR="00EA5475" w:rsidRPr="000421F0" w:rsidRDefault="00EA5475" w:rsidP="00E17552">
            <w:pPr>
              <w:spacing w:after="120"/>
              <w:ind w:left="14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highlight w:val="yellow"/>
              </w:rPr>
            </w:pPr>
            <w:r w:rsidRPr="000421F0">
              <w:rPr>
                <w:rFonts w:asciiTheme="minorHAnsi" w:eastAsia="Times New Roman" w:hAnsiTheme="minorHAnsi" w:cs="Calibri"/>
                <w:b/>
                <w:color w:val="000000"/>
                <w:sz w:val="16"/>
                <w:szCs w:val="16"/>
              </w:rPr>
              <w:t>Jaké jsou systémové příčiny poměrně velkého množství nepodpořených projektů?</w:t>
            </w:r>
          </w:p>
        </w:tc>
        <w:tc>
          <w:tcPr>
            <w:tcW w:w="3534" w:type="pct"/>
            <w:noWrap/>
            <w:hideMark/>
          </w:tcPr>
          <w:p w14:paraId="0DAD9A03" w14:textId="6BBC3749" w:rsidR="00EA5475" w:rsidRPr="000421F0" w:rsidRDefault="007637C7"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Mezi nejčastější příčiny vysokého počtu nepodpořených projektů napříč specifickými cíli OP PIK patří:</w:t>
            </w:r>
          </w:p>
          <w:p w14:paraId="2EA1D1A6" w14:textId="5652A9C6" w:rsidR="007637C7" w:rsidRPr="000421F0" w:rsidRDefault="007637C7" w:rsidP="00E17552">
            <w:pPr>
              <w:pStyle w:val="ListParagraph"/>
              <w:numPr>
                <w:ilvl w:val="0"/>
                <w:numId w:val="54"/>
              </w:numPr>
              <w:spacing w:after="120"/>
              <w:ind w:left="271"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Složité podmínky výzev a pravidla podpory</w:t>
            </w:r>
            <w:r w:rsidR="0038682E" w:rsidRPr="000421F0">
              <w:rPr>
                <w:rFonts w:asciiTheme="minorHAnsi" w:eastAsia="Times New Roman" w:hAnsiTheme="minorHAnsi" w:cs="Calibri"/>
                <w:color w:val="000000"/>
                <w:sz w:val="16"/>
                <w:szCs w:val="16"/>
              </w:rPr>
              <w:t xml:space="preserve"> – žadatelé si pečlivě nenastudují velké množství metodických dokumentů</w:t>
            </w:r>
            <w:r w:rsidRPr="000421F0">
              <w:rPr>
                <w:rFonts w:asciiTheme="minorHAnsi" w:eastAsia="Times New Roman" w:hAnsiTheme="minorHAnsi" w:cs="Calibri"/>
                <w:color w:val="000000"/>
                <w:sz w:val="16"/>
                <w:szCs w:val="16"/>
              </w:rPr>
              <w:t>;</w:t>
            </w:r>
          </w:p>
          <w:p w14:paraId="3114390B" w14:textId="6190A97D" w:rsidR="007637C7" w:rsidRPr="000421F0" w:rsidRDefault="007637C7" w:rsidP="00E17552">
            <w:pPr>
              <w:pStyle w:val="ListParagraph"/>
              <w:numPr>
                <w:ilvl w:val="0"/>
                <w:numId w:val="54"/>
              </w:numPr>
              <w:spacing w:after="120"/>
              <w:ind w:left="271"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 xml:space="preserve">Administrativní náročnost podání žádosti o podporu vedoucí k nenapravitelným </w:t>
            </w:r>
            <w:r w:rsidR="000060A3" w:rsidRPr="000421F0">
              <w:rPr>
                <w:rFonts w:asciiTheme="minorHAnsi" w:eastAsia="Times New Roman" w:hAnsiTheme="minorHAnsi" w:cs="Calibri"/>
                <w:b/>
                <w:color w:val="000000"/>
                <w:sz w:val="16"/>
                <w:szCs w:val="16"/>
              </w:rPr>
              <w:t>chybám na straně žadatelů</w:t>
            </w:r>
            <w:r w:rsidR="000060A3" w:rsidRPr="000421F0">
              <w:rPr>
                <w:rFonts w:asciiTheme="minorHAnsi" w:eastAsia="Times New Roman" w:hAnsiTheme="minorHAnsi" w:cs="Calibri"/>
                <w:color w:val="000000"/>
                <w:sz w:val="16"/>
                <w:szCs w:val="16"/>
              </w:rPr>
              <w:t xml:space="preserve"> – např. n</w:t>
            </w:r>
            <w:r w:rsidRPr="000421F0">
              <w:rPr>
                <w:rFonts w:asciiTheme="minorHAnsi" w:eastAsia="Times New Roman" w:hAnsiTheme="minorHAnsi" w:cs="Calibri"/>
                <w:color w:val="000000"/>
                <w:sz w:val="16"/>
                <w:szCs w:val="16"/>
              </w:rPr>
              <w:t>edoložení</w:t>
            </w:r>
            <w:r w:rsidR="000060A3" w:rsidRPr="000421F0">
              <w:rPr>
                <w:rFonts w:asciiTheme="minorHAnsi" w:eastAsia="Times New Roman" w:hAnsiTheme="minorHAnsi" w:cs="Calibri"/>
                <w:color w:val="000000"/>
                <w:sz w:val="16"/>
                <w:szCs w:val="16"/>
              </w:rPr>
              <w:t>m</w:t>
            </w:r>
            <w:r w:rsidRPr="000421F0">
              <w:rPr>
                <w:rFonts w:asciiTheme="minorHAnsi" w:eastAsia="Times New Roman" w:hAnsiTheme="minorHAnsi" w:cs="Calibri"/>
                <w:color w:val="000000"/>
                <w:sz w:val="16"/>
                <w:szCs w:val="16"/>
              </w:rPr>
              <w:t xml:space="preserve"> povinných příloh a podkladů pro formální hodnocení</w:t>
            </w:r>
            <w:r w:rsidR="008025B2" w:rsidRPr="000421F0">
              <w:rPr>
                <w:rFonts w:asciiTheme="minorHAnsi" w:eastAsia="Times New Roman" w:hAnsiTheme="minorHAnsi" w:cs="Calibri"/>
                <w:color w:val="000000"/>
                <w:sz w:val="16"/>
                <w:szCs w:val="16"/>
              </w:rPr>
              <w:t xml:space="preserve"> přijatelnosti</w:t>
            </w:r>
            <w:r w:rsidRPr="000421F0">
              <w:rPr>
                <w:rFonts w:asciiTheme="minorHAnsi" w:eastAsia="Times New Roman" w:hAnsiTheme="minorHAnsi" w:cs="Calibri"/>
                <w:color w:val="000000"/>
                <w:sz w:val="16"/>
                <w:szCs w:val="16"/>
              </w:rPr>
              <w:t>;</w:t>
            </w:r>
          </w:p>
          <w:p w14:paraId="4E78ADAE" w14:textId="2BAF1E1B" w:rsidR="007757C8" w:rsidRPr="000421F0" w:rsidRDefault="007757C8" w:rsidP="00E17552">
            <w:pPr>
              <w:pStyle w:val="ListParagraph"/>
              <w:numPr>
                <w:ilvl w:val="0"/>
                <w:numId w:val="54"/>
              </w:numPr>
              <w:spacing w:after="120"/>
              <w:ind w:left="271"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b/>
                <w:sz w:val="16"/>
                <w:szCs w:val="16"/>
              </w:rPr>
              <w:t>Složitost výzev v kombinaci s robustností a horší uživatelskou přívětivostí ISKP2014+</w:t>
            </w:r>
            <w:r w:rsidRPr="000421F0">
              <w:rPr>
                <w:rFonts w:asciiTheme="minorHAnsi" w:eastAsia="Times New Roman" w:hAnsiTheme="minorHAnsi" w:cs="Calibri"/>
                <w:sz w:val="16"/>
                <w:szCs w:val="16"/>
              </w:rPr>
              <w:t xml:space="preserve"> vede k chybnému vyplňování údajů, nesouladu popisu aktivit s projektovou dokumentací apod.;</w:t>
            </w:r>
          </w:p>
          <w:p w14:paraId="700A4BC6" w14:textId="332A1623" w:rsidR="000060A3" w:rsidRPr="000421F0" w:rsidRDefault="008025B2" w:rsidP="00E17552">
            <w:pPr>
              <w:pStyle w:val="ListParagraph"/>
              <w:numPr>
                <w:ilvl w:val="0"/>
                <w:numId w:val="54"/>
              </w:numPr>
              <w:spacing w:after="120"/>
              <w:ind w:left="271"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b/>
                <w:color w:val="000000"/>
                <w:sz w:val="16"/>
                <w:szCs w:val="16"/>
              </w:rPr>
              <w:t>Nedostatečně zdůvodněná efektivita a udržitelnost projektu</w:t>
            </w:r>
            <w:r w:rsidRPr="000421F0">
              <w:rPr>
                <w:rFonts w:asciiTheme="minorHAnsi" w:eastAsia="Times New Roman" w:hAnsiTheme="minorHAnsi" w:cs="Calibri"/>
                <w:color w:val="000000"/>
                <w:sz w:val="16"/>
                <w:szCs w:val="16"/>
              </w:rPr>
              <w:t xml:space="preserve"> </w:t>
            </w:r>
            <w:r w:rsidR="000060A3" w:rsidRPr="000421F0">
              <w:rPr>
                <w:rFonts w:asciiTheme="minorHAnsi" w:eastAsia="Times New Roman" w:hAnsiTheme="minorHAnsi" w:cs="Calibri"/>
                <w:color w:val="000000"/>
                <w:sz w:val="16"/>
                <w:szCs w:val="16"/>
              </w:rPr>
              <w:t xml:space="preserve">např. </w:t>
            </w:r>
            <w:r w:rsidRPr="000421F0">
              <w:rPr>
                <w:rFonts w:asciiTheme="minorHAnsi" w:eastAsia="Times New Roman" w:hAnsiTheme="minorHAnsi" w:cs="Calibri"/>
                <w:color w:val="000000"/>
                <w:sz w:val="16"/>
                <w:szCs w:val="16"/>
              </w:rPr>
              <w:t xml:space="preserve">v </w:t>
            </w:r>
            <w:r w:rsidR="000060A3" w:rsidRPr="000421F0">
              <w:rPr>
                <w:rFonts w:asciiTheme="minorHAnsi" w:eastAsia="Times New Roman" w:hAnsiTheme="minorHAnsi" w:cs="Calibri"/>
                <w:sz w:val="16"/>
                <w:szCs w:val="16"/>
              </w:rPr>
              <w:t xml:space="preserve">podnikatelském záměru – </w:t>
            </w:r>
            <w:r w:rsidR="005C40E4" w:rsidRPr="000421F0">
              <w:rPr>
                <w:rFonts w:asciiTheme="minorHAnsi" w:eastAsia="Times New Roman" w:hAnsiTheme="minorHAnsi" w:cs="Calibri"/>
                <w:sz w:val="16"/>
                <w:szCs w:val="16"/>
              </w:rPr>
              <w:t xml:space="preserve">částečně </w:t>
            </w:r>
            <w:r w:rsidR="000060A3" w:rsidRPr="000421F0">
              <w:rPr>
                <w:rFonts w:asciiTheme="minorHAnsi" w:eastAsia="Times New Roman" w:hAnsiTheme="minorHAnsi" w:cs="Calibri"/>
                <w:sz w:val="16"/>
                <w:szCs w:val="16"/>
              </w:rPr>
              <w:t>dáno samotnou osnovou PZ</w:t>
            </w:r>
            <w:r w:rsidR="0038682E" w:rsidRPr="000421F0">
              <w:rPr>
                <w:rFonts w:asciiTheme="minorHAnsi" w:eastAsia="Times New Roman" w:hAnsiTheme="minorHAnsi" w:cs="Calibri"/>
                <w:sz w:val="16"/>
                <w:szCs w:val="16"/>
              </w:rPr>
              <w:t xml:space="preserve"> nebo studie proveditelnosti</w:t>
            </w:r>
            <w:r w:rsidRPr="000421F0">
              <w:rPr>
                <w:rFonts w:asciiTheme="minorHAnsi" w:eastAsia="Times New Roman" w:hAnsiTheme="minorHAnsi" w:cs="Calibri"/>
                <w:sz w:val="16"/>
                <w:szCs w:val="16"/>
              </w:rPr>
              <w:t>;</w:t>
            </w:r>
          </w:p>
          <w:p w14:paraId="4586780F" w14:textId="2180CE4B" w:rsidR="008025B2" w:rsidRPr="000421F0" w:rsidRDefault="008025B2" w:rsidP="00E17552">
            <w:pPr>
              <w:pStyle w:val="ListParagraph"/>
              <w:numPr>
                <w:ilvl w:val="0"/>
                <w:numId w:val="54"/>
              </w:numPr>
              <w:spacing w:after="120"/>
              <w:ind w:left="271"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6"/>
                <w:szCs w:val="16"/>
              </w:rPr>
            </w:pPr>
            <w:r w:rsidRPr="000421F0">
              <w:rPr>
                <w:rFonts w:asciiTheme="minorHAnsi" w:eastAsia="Times New Roman" w:hAnsiTheme="minorHAnsi" w:cs="Calibri"/>
                <w:b/>
                <w:sz w:val="16"/>
                <w:szCs w:val="16"/>
              </w:rPr>
              <w:t>Chybně zvolený dotační titul žadatelem</w:t>
            </w:r>
            <w:r w:rsidR="007757C8" w:rsidRPr="000421F0">
              <w:rPr>
                <w:rFonts w:asciiTheme="minorHAnsi" w:eastAsia="Times New Roman" w:hAnsiTheme="minorHAnsi" w:cs="Calibri"/>
                <w:sz w:val="16"/>
                <w:szCs w:val="16"/>
              </w:rPr>
              <w:t xml:space="preserve"> kvůli horší přehlednosti či složitosti výzvy</w:t>
            </w:r>
            <w:r w:rsidRPr="000421F0">
              <w:rPr>
                <w:rFonts w:asciiTheme="minorHAnsi" w:eastAsia="Times New Roman" w:hAnsiTheme="minorHAnsi" w:cs="Calibri"/>
                <w:sz w:val="16"/>
                <w:szCs w:val="16"/>
              </w:rPr>
              <w:t>;</w:t>
            </w:r>
          </w:p>
          <w:p w14:paraId="27BB94AD" w14:textId="58D84D4A" w:rsidR="0038682E" w:rsidRPr="000421F0" w:rsidRDefault="0038682E" w:rsidP="00E17552">
            <w:pPr>
              <w:pStyle w:val="ListParagraph"/>
              <w:numPr>
                <w:ilvl w:val="0"/>
                <w:numId w:val="54"/>
              </w:numPr>
              <w:spacing w:after="120"/>
              <w:ind w:left="271"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563C1"/>
                <w:sz w:val="16"/>
                <w:szCs w:val="16"/>
                <w:u w:val="single"/>
              </w:rPr>
            </w:pPr>
            <w:r w:rsidRPr="000421F0">
              <w:rPr>
                <w:rFonts w:asciiTheme="minorHAnsi" w:eastAsia="Times New Roman" w:hAnsiTheme="minorHAnsi" w:cs="Calibri"/>
                <w:b/>
                <w:color w:val="000000"/>
                <w:sz w:val="16"/>
                <w:szCs w:val="16"/>
              </w:rPr>
              <w:t>Dlouhá doba hodnocení žádostí</w:t>
            </w:r>
            <w:r w:rsidRPr="000421F0">
              <w:rPr>
                <w:rFonts w:asciiTheme="minorHAnsi" w:eastAsia="Times New Roman" w:hAnsiTheme="minorHAnsi" w:cs="Calibri"/>
                <w:color w:val="000000"/>
                <w:sz w:val="16"/>
                <w:szCs w:val="16"/>
              </w:rPr>
              <w:t xml:space="preserve"> vedoucí k odstoupení žadatele od žádosti.</w:t>
            </w:r>
          </w:p>
        </w:tc>
      </w:tr>
      <w:tr w:rsidR="002454A6" w:rsidRPr="000421F0" w14:paraId="56C09AE0" w14:textId="77777777" w:rsidTr="1B8B31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3" w:type="pct"/>
            <w:noWrap/>
          </w:tcPr>
          <w:p w14:paraId="50388122" w14:textId="77777777" w:rsidR="00EA5475" w:rsidRPr="000421F0" w:rsidRDefault="00EA5475" w:rsidP="00E17552">
            <w:pPr>
              <w:spacing w:after="120"/>
              <w:rPr>
                <w:rFonts w:asciiTheme="minorHAnsi" w:eastAsia="Times New Roman" w:hAnsiTheme="minorHAnsi"/>
                <w:sz w:val="16"/>
                <w:szCs w:val="16"/>
              </w:rPr>
            </w:pPr>
            <w:r w:rsidRPr="000421F0">
              <w:rPr>
                <w:rFonts w:asciiTheme="minorHAnsi" w:eastAsia="Times New Roman" w:hAnsiTheme="minorHAnsi"/>
                <w:sz w:val="16"/>
                <w:szCs w:val="16"/>
              </w:rPr>
              <w:t>3</w:t>
            </w:r>
          </w:p>
        </w:tc>
        <w:tc>
          <w:tcPr>
            <w:tcW w:w="1283" w:type="pct"/>
            <w:noWrap/>
          </w:tcPr>
          <w:p w14:paraId="22BEC78D" w14:textId="77777777" w:rsidR="00EA5475" w:rsidRPr="000421F0" w:rsidRDefault="00EA5475" w:rsidP="1B8B314C">
            <w:pPr>
              <w:spacing w:after="120"/>
              <w:ind w:left="1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color w:val="000000"/>
                <w:sz w:val="16"/>
                <w:szCs w:val="16"/>
              </w:rPr>
            </w:pPr>
            <w:r w:rsidRPr="1B8B314C">
              <w:rPr>
                <w:rFonts w:asciiTheme="minorHAnsi" w:eastAsia="Times New Roman" w:hAnsiTheme="minorHAnsi" w:cs="Calibri"/>
                <w:b/>
                <w:bCs/>
                <w:color w:val="000000" w:themeColor="text1"/>
                <w:sz w:val="16"/>
                <w:szCs w:val="16"/>
              </w:rPr>
              <w:t xml:space="preserve">Mohou se žadatelé/příjemci na základě předem zveřejněných informací o </w:t>
            </w:r>
            <w:r w:rsidRPr="1B8B314C">
              <w:rPr>
                <w:rFonts w:asciiTheme="minorHAnsi" w:eastAsia="Times New Roman" w:hAnsiTheme="minorHAnsi" w:cs="Calibri"/>
                <w:b/>
                <w:bCs/>
                <w:color w:val="000000" w:themeColor="text1"/>
                <w:sz w:val="16"/>
                <w:szCs w:val="16"/>
              </w:rPr>
              <w:lastRenderedPageBreak/>
              <w:t>plánovaných výzvách a klíčových podmínkách pro získání podpory kvalitně a včas připravit na podání žádosti? Jsou výzvy vhodně načasované? Vyhovuje žadatelům zvolený typ výzev?</w:t>
            </w:r>
          </w:p>
        </w:tc>
        <w:tc>
          <w:tcPr>
            <w:tcW w:w="3534" w:type="pct"/>
            <w:noWrap/>
            <w:hideMark/>
          </w:tcPr>
          <w:p w14:paraId="0BFA29AB"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lastRenderedPageBreak/>
              <w:t>Žadatelé mají jen omezené možnosti se připravovat na vyhlášené výzvy</w:t>
            </w:r>
            <w:r w:rsidRPr="000421F0">
              <w:rPr>
                <w:rFonts w:asciiTheme="minorHAnsi" w:eastAsia="Times New Roman" w:hAnsiTheme="minorHAnsi" w:cs="Calibri"/>
                <w:color w:val="000000"/>
                <w:sz w:val="16"/>
                <w:szCs w:val="16"/>
              </w:rPr>
              <w:t xml:space="preserve">. Ačkoli je s předstihem zveřejňován harmonogram výzev na další kalendářní rok, dochází k jeho častým změnám i po jeho vyhlášení. Znění výzev a podmínky </w:t>
            </w:r>
            <w:r w:rsidRPr="000421F0">
              <w:rPr>
                <w:rFonts w:asciiTheme="minorHAnsi" w:eastAsia="Times New Roman" w:hAnsiTheme="minorHAnsi" w:cs="Calibri"/>
                <w:color w:val="000000"/>
                <w:sz w:val="16"/>
                <w:szCs w:val="16"/>
              </w:rPr>
              <w:lastRenderedPageBreak/>
              <w:t>podpory se mění i během vypsané výzvy a žadatelé se nemohou dostatečně dopředu připravit na výzvy.</w:t>
            </w:r>
          </w:p>
          <w:p w14:paraId="1FCE8BDE" w14:textId="5FBE619A" w:rsidR="00EA5475"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Výzvy nejsou často koordinované napříč programy podpory a dochází tak k jejich kulminaci v určitých měsících, čímž je omezena kapacita žadatelů se hlásit do více výzev souběžně.</w:t>
            </w:r>
            <w:r w:rsidR="0057783E">
              <w:rPr>
                <w:rFonts w:asciiTheme="minorHAnsi" w:eastAsia="Times New Roman" w:hAnsiTheme="minorHAnsi" w:cs="Calibri"/>
                <w:color w:val="000000"/>
                <w:sz w:val="16"/>
                <w:szCs w:val="16"/>
              </w:rPr>
              <w:t xml:space="preserve"> Přesto se 51 % respondentů DŠ domnívá, že jsou výzvy (spíše) vhodně načasované. </w:t>
            </w:r>
          </w:p>
          <w:p w14:paraId="171D3680" w14:textId="5A5EB115" w:rsidR="00C04D59" w:rsidRPr="000421F0" w:rsidRDefault="005D5A22" w:rsidP="00CD4DB9">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16"/>
                <w:szCs w:val="16"/>
              </w:rPr>
            </w:pPr>
            <w:r>
              <w:rPr>
                <w:rFonts w:asciiTheme="minorHAnsi" w:eastAsia="Times New Roman" w:hAnsiTheme="minorHAnsi" w:cs="Calibri"/>
                <w:sz w:val="16"/>
                <w:szCs w:val="16"/>
              </w:rPr>
              <w:t xml:space="preserve">Žadatelé v rámci IHR a FS </w:t>
            </w:r>
            <w:r w:rsidR="00D77127">
              <w:rPr>
                <w:rFonts w:asciiTheme="minorHAnsi" w:eastAsia="Times New Roman" w:hAnsiTheme="minorHAnsi" w:cs="Calibri"/>
                <w:sz w:val="16"/>
                <w:szCs w:val="16"/>
              </w:rPr>
              <w:t xml:space="preserve">nezastávali vyhraněný hodnotící postoj vůči kolovým či průběžným typům výzev. Klíčové se pro žadatele ukazuje včasné informování o výzvě a fixace harmonogramu. Zároveň z rozhovorů vyplynulo, že firmy připravují projekty průběžně a jejich vazba na kolové výzvy tudíž není nutná. Na druhou stranu zkušenost zástupců IS s průběžnými výzvami </w:t>
            </w:r>
            <w:r w:rsidR="00CD4DB9">
              <w:rPr>
                <w:rFonts w:asciiTheme="minorHAnsi" w:eastAsia="Times New Roman" w:hAnsiTheme="minorHAnsi" w:cs="Calibri"/>
                <w:sz w:val="16"/>
                <w:szCs w:val="16"/>
              </w:rPr>
              <w:t xml:space="preserve">ukazuje, že i u nich stále velká část žádostí přichází až před termínem uzávěrky průběžné výzvy. </w:t>
            </w:r>
          </w:p>
        </w:tc>
      </w:tr>
      <w:tr w:rsidR="002454A6" w:rsidRPr="000421F0" w14:paraId="5B961F1C" w14:textId="77777777" w:rsidTr="1B8B314C">
        <w:trPr>
          <w:trHeight w:val="520"/>
        </w:trPr>
        <w:tc>
          <w:tcPr>
            <w:cnfStyle w:val="001000000000" w:firstRow="0" w:lastRow="0" w:firstColumn="1" w:lastColumn="0" w:oddVBand="0" w:evenVBand="0" w:oddHBand="0" w:evenHBand="0" w:firstRowFirstColumn="0" w:firstRowLastColumn="0" w:lastRowFirstColumn="0" w:lastRowLastColumn="0"/>
            <w:tcW w:w="183" w:type="pct"/>
            <w:noWrap/>
          </w:tcPr>
          <w:p w14:paraId="36025D11" w14:textId="77777777" w:rsidR="00EA5475" w:rsidRPr="000421F0" w:rsidRDefault="00EA5475" w:rsidP="00E17552">
            <w:pPr>
              <w:spacing w:after="120"/>
              <w:rPr>
                <w:rFonts w:asciiTheme="minorHAnsi" w:eastAsia="Times New Roman" w:hAnsiTheme="minorHAnsi"/>
                <w:sz w:val="16"/>
                <w:szCs w:val="16"/>
              </w:rPr>
            </w:pPr>
            <w:r w:rsidRPr="000421F0">
              <w:rPr>
                <w:rFonts w:asciiTheme="minorHAnsi" w:eastAsia="Times New Roman" w:hAnsiTheme="minorHAnsi"/>
                <w:sz w:val="16"/>
                <w:szCs w:val="16"/>
              </w:rPr>
              <w:lastRenderedPageBreak/>
              <w:t>4</w:t>
            </w:r>
          </w:p>
        </w:tc>
        <w:tc>
          <w:tcPr>
            <w:tcW w:w="1283" w:type="pct"/>
            <w:noWrap/>
          </w:tcPr>
          <w:p w14:paraId="13B918EA" w14:textId="77777777" w:rsidR="00EA5475" w:rsidRPr="000421F0" w:rsidRDefault="00EA5475" w:rsidP="00E17552">
            <w:pPr>
              <w:spacing w:after="120"/>
              <w:ind w:left="14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Jsou podmínky výzev a jejich případných změn ze strany žadatelů/příjemců hodnoceny jako srozumitelné a přehledné? Zvýšila se při porovnání s OPPI nutnost mikro, malých a středních podniků využít služeb poradenské firmy při podání žádosti? Jak zajistit větší úspěšnost žádostí podaných mikro a malými podniky?</w:t>
            </w:r>
          </w:p>
        </w:tc>
        <w:tc>
          <w:tcPr>
            <w:tcW w:w="3534" w:type="pct"/>
            <w:noWrap/>
            <w:hideMark/>
          </w:tcPr>
          <w:p w14:paraId="3EFD8447" w14:textId="21EB507E"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Výzvy a jejich přílohy jsou příliš rozsáhlé, složité a nepřehledné pro žadatele.</w:t>
            </w:r>
            <w:r w:rsidR="007E1455">
              <w:rPr>
                <w:rStyle w:val="FootnoteReference"/>
                <w:rFonts w:asciiTheme="minorHAnsi" w:eastAsia="Times New Roman" w:hAnsiTheme="minorHAnsi" w:cs="Calibri"/>
                <w:b/>
                <w:color w:val="000000"/>
                <w:sz w:val="16"/>
                <w:szCs w:val="16"/>
              </w:rPr>
              <w:footnoteReference w:id="20"/>
            </w:r>
            <w:r w:rsidRPr="000421F0">
              <w:rPr>
                <w:rFonts w:asciiTheme="minorHAnsi" w:eastAsia="Times New Roman" w:hAnsiTheme="minorHAnsi" w:cs="Calibri"/>
                <w:color w:val="000000"/>
                <w:sz w:val="16"/>
                <w:szCs w:val="16"/>
              </w:rPr>
              <w:t xml:space="preserve"> Vykazují nepřesnosti, rozdíly v textu výzvy a přílohách, kopírování nerelevantních částí z jiných výzev, výjimkou není nepřehledné a chybné formátování textu. Jednotná šablona neumožňuje efektivní adaptaci na potřeby konkrétních výzev. </w:t>
            </w:r>
          </w:p>
          <w:p w14:paraId="1EC86545" w14:textId="23A91DE3" w:rsidR="00EA5475" w:rsidRPr="000421F0" w:rsidRDefault="00EA5475" w:rsidP="1B8B314C">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1B8B314C">
              <w:rPr>
                <w:rFonts w:asciiTheme="minorHAnsi" w:eastAsia="Times New Roman" w:hAnsiTheme="minorHAnsi" w:cs="Calibri"/>
                <w:color w:val="000000" w:themeColor="text1"/>
                <w:sz w:val="16"/>
                <w:szCs w:val="16"/>
              </w:rPr>
              <w:t xml:space="preserve">Dle odhadu PM API, 70 až 80 % žadatelů využívá nebo využilo služeb poradenských společností. Toto je vynuceno právě složitým metodickým prostředím, složitými podmínkami výzev, množstvím příloh a administrací žádosti. Viz EO1 Metodické prostředí. </w:t>
            </w:r>
          </w:p>
          <w:p w14:paraId="08E1DADE"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Základním předpokladem větší úspěšnosti žádostí mikro a malých podniků je maximální zjednodušení výzev a podmínek žádosti, tedy </w:t>
            </w:r>
            <w:r w:rsidRPr="000421F0">
              <w:rPr>
                <w:rFonts w:asciiTheme="minorHAnsi" w:eastAsia="Times New Roman" w:hAnsiTheme="minorHAnsi" w:cs="Calibri"/>
                <w:b/>
                <w:color w:val="000000"/>
                <w:sz w:val="16"/>
                <w:szCs w:val="16"/>
              </w:rPr>
              <w:t>snížení administrativní náročnosti</w:t>
            </w:r>
            <w:r w:rsidRPr="000421F0">
              <w:rPr>
                <w:rFonts w:asciiTheme="minorHAnsi" w:eastAsia="Times New Roman" w:hAnsiTheme="minorHAnsi" w:cs="Calibri"/>
                <w:color w:val="000000"/>
                <w:sz w:val="16"/>
                <w:szCs w:val="16"/>
              </w:rPr>
              <w:t>. Snížení množství požadovaných informací na nezbytně nutné (např. omezení výpisů z rejstříků, zrušení podnikatelských záměrů a studií proveditelnosti), intenzivnější využívání parametrické podpory, zavedení jednotné míry podpory (bez oddělování PV a EV), zavedení paušální podpory na mzdové náklady, poskytování podpory ex post na základě předložených výsledků projektů, navýšení limitů VŘ. Příkladem vhodně nastavené podpory je PP Inovační vouchery, u kterých je i proces rozhodování a schvalování podstatně kratší.</w:t>
            </w:r>
          </w:p>
        </w:tc>
      </w:tr>
      <w:tr w:rsidR="002454A6" w:rsidRPr="000421F0" w14:paraId="556CCEAA" w14:textId="77777777" w:rsidTr="1B8B31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3" w:type="pct"/>
            <w:noWrap/>
          </w:tcPr>
          <w:p w14:paraId="2934524F" w14:textId="77777777" w:rsidR="00EA5475" w:rsidRPr="000421F0" w:rsidRDefault="00EA5475" w:rsidP="00E17552">
            <w:pPr>
              <w:spacing w:after="120"/>
              <w:rPr>
                <w:rFonts w:asciiTheme="minorHAnsi" w:eastAsia="Times New Roman" w:hAnsiTheme="minorHAnsi"/>
                <w:sz w:val="16"/>
                <w:szCs w:val="16"/>
              </w:rPr>
            </w:pPr>
            <w:r w:rsidRPr="000421F0">
              <w:rPr>
                <w:rFonts w:asciiTheme="minorHAnsi" w:eastAsia="Times New Roman" w:hAnsiTheme="minorHAnsi"/>
                <w:sz w:val="16"/>
                <w:szCs w:val="16"/>
              </w:rPr>
              <w:t>5</w:t>
            </w:r>
          </w:p>
        </w:tc>
        <w:tc>
          <w:tcPr>
            <w:tcW w:w="1283" w:type="pct"/>
            <w:noWrap/>
          </w:tcPr>
          <w:p w14:paraId="57467212" w14:textId="10A335EF" w:rsidR="00EA5475" w:rsidRPr="000421F0" w:rsidRDefault="00EA5475" w:rsidP="1B8B314C">
            <w:pPr>
              <w:spacing w:after="120"/>
              <w:ind w:left="1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color w:val="000000"/>
                <w:sz w:val="16"/>
                <w:szCs w:val="16"/>
              </w:rPr>
            </w:pPr>
            <w:r w:rsidRPr="1B8B314C">
              <w:rPr>
                <w:rFonts w:asciiTheme="minorHAnsi" w:eastAsia="Times New Roman" w:hAnsiTheme="minorHAnsi" w:cs="Calibri"/>
                <w:b/>
                <w:bCs/>
                <w:color w:val="000000" w:themeColor="text1"/>
                <w:sz w:val="16"/>
                <w:szCs w:val="16"/>
              </w:rPr>
              <w:t>Nejsou po žadatelích vyžadovány duplicitní nebo nadbytečné informace? Jsou všechny aktuálně požadované přílohy žádosti o podporu přínosné pro hodnocení či implementaci projektů? Nebylo by možné předložení některých příloh posunout až do fáze před podpisem právního aktu? Ve kterých případech by bylo možné nahradit povinnost žadatelů/příjemců předkládat určité informace či dokumenty</w:t>
            </w:r>
            <w:r w:rsidR="7AD31923" w:rsidRPr="1B8B314C">
              <w:rPr>
                <w:rFonts w:asciiTheme="minorHAnsi" w:eastAsia="Times New Roman" w:hAnsiTheme="minorHAnsi" w:cs="Calibri"/>
                <w:b/>
                <w:bCs/>
                <w:color w:val="000000" w:themeColor="text1"/>
                <w:sz w:val="16"/>
                <w:szCs w:val="16"/>
              </w:rPr>
              <w:t xml:space="preserve"> </w:t>
            </w:r>
            <w:r w:rsidRPr="1B8B314C">
              <w:rPr>
                <w:rFonts w:asciiTheme="minorHAnsi" w:eastAsia="Times New Roman" w:hAnsiTheme="minorHAnsi" w:cs="Calibri"/>
                <w:b/>
                <w:bCs/>
                <w:color w:val="000000" w:themeColor="text1"/>
                <w:sz w:val="16"/>
                <w:szCs w:val="16"/>
              </w:rPr>
              <w:t xml:space="preserve">získáním dat dostupných z informačních systémů veřejné správy, aniž by to zároveň znamenalo významné zvýšení zátěže </w:t>
            </w:r>
            <w:r w:rsidRPr="1B8B314C">
              <w:rPr>
                <w:rFonts w:asciiTheme="minorHAnsi" w:eastAsia="Times New Roman" w:hAnsiTheme="minorHAnsi" w:cs="Calibri"/>
                <w:b/>
                <w:bCs/>
                <w:color w:val="000000" w:themeColor="text1"/>
                <w:sz w:val="16"/>
                <w:szCs w:val="16"/>
              </w:rPr>
              <w:lastRenderedPageBreak/>
              <w:t>pro implementační strukturu?</w:t>
            </w:r>
          </w:p>
        </w:tc>
        <w:tc>
          <w:tcPr>
            <w:tcW w:w="3534" w:type="pct"/>
            <w:noWrap/>
            <w:hideMark/>
          </w:tcPr>
          <w:p w14:paraId="007B1C26" w14:textId="29EC41D7" w:rsidR="0035704A" w:rsidRPr="00E105D8" w:rsidRDefault="00A05C90" w:rsidP="1B8B314C">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color w:val="000000" w:themeColor="text1"/>
                <w:sz w:val="16"/>
                <w:szCs w:val="16"/>
              </w:rPr>
            </w:pPr>
            <w:r>
              <w:rPr>
                <w:rFonts w:asciiTheme="minorHAnsi" w:eastAsia="Times New Roman" w:hAnsiTheme="minorHAnsi" w:cs="Calibri"/>
                <w:color w:val="000000" w:themeColor="text1"/>
                <w:sz w:val="16"/>
                <w:szCs w:val="16"/>
              </w:rPr>
              <w:lastRenderedPageBreak/>
              <w:t xml:space="preserve">Až 59 % respondentů DŠ se domnívá, že všechny aktuálně požadované informace nebo přílohy žádosti o podporu jsou přínosné pro hodnocení. </w:t>
            </w:r>
            <w:r w:rsidR="00EA5475" w:rsidRPr="1B8B314C">
              <w:rPr>
                <w:rFonts w:asciiTheme="minorHAnsi" w:eastAsia="Times New Roman" w:hAnsiTheme="minorHAnsi" w:cs="Calibri"/>
                <w:color w:val="000000" w:themeColor="text1"/>
                <w:sz w:val="16"/>
                <w:szCs w:val="16"/>
              </w:rPr>
              <w:t xml:space="preserve">Od </w:t>
            </w:r>
            <w:r w:rsidR="00EA5475" w:rsidRPr="00E105D8">
              <w:rPr>
                <w:rFonts w:asciiTheme="minorHAnsi" w:eastAsia="Times New Roman" w:hAnsiTheme="minorHAnsi" w:cs="Calibri"/>
                <w:color w:val="000000" w:themeColor="text1"/>
                <w:sz w:val="16"/>
                <w:szCs w:val="16"/>
              </w:rPr>
              <w:t xml:space="preserve">žadatelů jsou </w:t>
            </w:r>
            <w:r>
              <w:rPr>
                <w:rFonts w:asciiTheme="minorHAnsi" w:eastAsia="Times New Roman" w:hAnsiTheme="minorHAnsi" w:cs="Calibri"/>
                <w:color w:val="000000" w:themeColor="text1"/>
                <w:sz w:val="16"/>
                <w:szCs w:val="16"/>
              </w:rPr>
              <w:t xml:space="preserve">přesto </w:t>
            </w:r>
            <w:r w:rsidR="00EA5475" w:rsidRPr="00E105D8">
              <w:rPr>
                <w:rFonts w:asciiTheme="minorHAnsi" w:eastAsia="Times New Roman" w:hAnsiTheme="minorHAnsi" w:cs="Calibri"/>
                <w:color w:val="000000" w:themeColor="text1"/>
                <w:sz w:val="16"/>
                <w:szCs w:val="16"/>
              </w:rPr>
              <w:t xml:space="preserve">požadovány </w:t>
            </w:r>
            <w:r>
              <w:rPr>
                <w:rFonts w:asciiTheme="minorHAnsi" w:eastAsia="Times New Roman" w:hAnsiTheme="minorHAnsi" w:cs="Calibri"/>
                <w:color w:val="000000" w:themeColor="text1"/>
                <w:sz w:val="16"/>
                <w:szCs w:val="16"/>
              </w:rPr>
              <w:t xml:space="preserve">i </w:t>
            </w:r>
            <w:r w:rsidR="0035704A" w:rsidRPr="00E105D8">
              <w:rPr>
                <w:rFonts w:asciiTheme="minorHAnsi" w:eastAsia="Times New Roman" w:hAnsiTheme="minorHAnsi" w:cs="Calibri"/>
                <w:color w:val="000000" w:themeColor="text1"/>
                <w:sz w:val="16"/>
                <w:szCs w:val="16"/>
              </w:rPr>
              <w:t xml:space="preserve">duplicitní </w:t>
            </w:r>
            <w:r>
              <w:rPr>
                <w:rFonts w:asciiTheme="minorHAnsi" w:eastAsia="Times New Roman" w:hAnsiTheme="minorHAnsi" w:cs="Calibri"/>
                <w:color w:val="000000" w:themeColor="text1"/>
                <w:sz w:val="16"/>
                <w:szCs w:val="16"/>
              </w:rPr>
              <w:t>a</w:t>
            </w:r>
            <w:r w:rsidR="0035704A" w:rsidRPr="00E105D8">
              <w:rPr>
                <w:rFonts w:asciiTheme="minorHAnsi" w:eastAsia="Times New Roman" w:hAnsiTheme="minorHAnsi" w:cs="Calibri"/>
                <w:color w:val="000000" w:themeColor="text1"/>
                <w:sz w:val="16"/>
                <w:szCs w:val="16"/>
              </w:rPr>
              <w:t xml:space="preserve"> nadbytečné </w:t>
            </w:r>
            <w:r w:rsidR="00EA5475" w:rsidRPr="00E105D8">
              <w:rPr>
                <w:rFonts w:asciiTheme="minorHAnsi" w:eastAsia="Times New Roman" w:hAnsiTheme="minorHAnsi" w:cs="Calibri"/>
                <w:b/>
                <w:bCs/>
                <w:color w:val="000000" w:themeColor="text1"/>
                <w:sz w:val="16"/>
                <w:szCs w:val="16"/>
              </w:rPr>
              <w:t>dokumenty</w:t>
            </w:r>
            <w:r w:rsidR="0035704A" w:rsidRPr="00E105D8">
              <w:rPr>
                <w:rFonts w:asciiTheme="minorHAnsi" w:eastAsia="Times New Roman" w:hAnsiTheme="minorHAnsi" w:cs="Calibri"/>
                <w:b/>
                <w:bCs/>
                <w:color w:val="000000" w:themeColor="text1"/>
                <w:sz w:val="16"/>
                <w:szCs w:val="16"/>
              </w:rPr>
              <w:t xml:space="preserve"> a informace:</w:t>
            </w:r>
          </w:p>
          <w:p w14:paraId="4431C18C" w14:textId="1B95C5AB" w:rsidR="001C2EC0" w:rsidRPr="00E105D8" w:rsidRDefault="0035704A" w:rsidP="00E105D8">
            <w:pPr>
              <w:pStyle w:val="ListParagraph"/>
              <w:numPr>
                <w:ilvl w:val="0"/>
                <w:numId w:val="56"/>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E105D8">
              <w:rPr>
                <w:rFonts w:asciiTheme="minorHAnsi" w:eastAsia="Times New Roman" w:hAnsiTheme="minorHAnsi" w:cs="Calibri"/>
                <w:bCs/>
                <w:color w:val="000000" w:themeColor="text1"/>
                <w:sz w:val="16"/>
                <w:szCs w:val="16"/>
              </w:rPr>
              <w:t>Části Podnikatelského záměru, které jsou obsaženy již v záložkách ISKP2014+ (Subjekt projektu, Horizontální principy</w:t>
            </w:r>
            <w:r w:rsidR="001C2EC0" w:rsidRPr="00E105D8">
              <w:rPr>
                <w:rFonts w:asciiTheme="minorHAnsi" w:eastAsia="Times New Roman" w:hAnsiTheme="minorHAnsi" w:cs="Calibri"/>
                <w:bCs/>
                <w:color w:val="000000" w:themeColor="text1"/>
                <w:sz w:val="16"/>
                <w:szCs w:val="16"/>
              </w:rPr>
              <w:t>, Historie žadatele, socio-ekonomický rozbor místa realizace)</w:t>
            </w:r>
            <w:r w:rsidR="0012327D" w:rsidRPr="00E105D8">
              <w:rPr>
                <w:rFonts w:asciiTheme="minorHAnsi" w:eastAsia="Times New Roman" w:hAnsiTheme="minorHAnsi" w:cs="Calibri"/>
                <w:bCs/>
                <w:color w:val="000000" w:themeColor="text1"/>
                <w:sz w:val="16"/>
                <w:szCs w:val="16"/>
              </w:rPr>
              <w:t>;</w:t>
            </w:r>
          </w:p>
          <w:p w14:paraId="3A1675E3" w14:textId="67A6ADAB" w:rsidR="0035704A" w:rsidRPr="00E105D8" w:rsidRDefault="001C2EC0" w:rsidP="00E105D8">
            <w:pPr>
              <w:pStyle w:val="ListParagraph"/>
              <w:numPr>
                <w:ilvl w:val="0"/>
                <w:numId w:val="56"/>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E105D8">
              <w:rPr>
                <w:rFonts w:asciiTheme="minorHAnsi" w:eastAsia="Times New Roman" w:hAnsiTheme="minorHAnsi" w:cs="Calibri"/>
                <w:bCs/>
                <w:color w:val="000000" w:themeColor="text1"/>
                <w:sz w:val="16"/>
                <w:szCs w:val="16"/>
              </w:rPr>
              <w:t>Pro</w:t>
            </w:r>
            <w:r w:rsidR="0035704A" w:rsidRPr="00E105D8">
              <w:rPr>
                <w:rFonts w:asciiTheme="minorHAnsi" w:eastAsia="Times New Roman" w:hAnsiTheme="minorHAnsi" w:cs="Calibri"/>
                <w:bCs/>
                <w:color w:val="000000" w:themeColor="text1"/>
                <w:sz w:val="16"/>
                <w:szCs w:val="16"/>
              </w:rPr>
              <w:t>hlášení k</w:t>
            </w:r>
            <w:r w:rsidR="0012327D" w:rsidRPr="00E105D8">
              <w:rPr>
                <w:rFonts w:asciiTheme="minorHAnsi" w:eastAsia="Times New Roman" w:hAnsiTheme="minorHAnsi" w:cs="Calibri"/>
                <w:bCs/>
                <w:color w:val="000000" w:themeColor="text1"/>
                <w:sz w:val="16"/>
                <w:szCs w:val="16"/>
              </w:rPr>
              <w:t>e statutu </w:t>
            </w:r>
            <w:r w:rsidR="0035704A" w:rsidRPr="00E105D8">
              <w:rPr>
                <w:rFonts w:asciiTheme="minorHAnsi" w:eastAsia="Times New Roman" w:hAnsiTheme="minorHAnsi" w:cs="Calibri"/>
                <w:bCs/>
                <w:color w:val="000000" w:themeColor="text1"/>
                <w:sz w:val="16"/>
                <w:szCs w:val="16"/>
              </w:rPr>
              <w:t>MSP</w:t>
            </w:r>
            <w:r w:rsidR="0012327D" w:rsidRPr="00E105D8">
              <w:rPr>
                <w:rFonts w:asciiTheme="minorHAnsi" w:eastAsia="Times New Roman" w:hAnsiTheme="minorHAnsi" w:cs="Calibri"/>
                <w:bCs/>
                <w:color w:val="000000" w:themeColor="text1"/>
                <w:sz w:val="16"/>
                <w:szCs w:val="16"/>
              </w:rPr>
              <w:t>;</w:t>
            </w:r>
          </w:p>
          <w:p w14:paraId="2DFD7150" w14:textId="06C193D1" w:rsidR="00942903" w:rsidRPr="00E105D8" w:rsidRDefault="00942903" w:rsidP="00E105D8">
            <w:pPr>
              <w:pStyle w:val="ListParagraph"/>
              <w:numPr>
                <w:ilvl w:val="0"/>
                <w:numId w:val="56"/>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E105D8">
              <w:rPr>
                <w:rFonts w:asciiTheme="minorHAnsi" w:eastAsia="Times New Roman" w:hAnsiTheme="minorHAnsi" w:cs="Calibri"/>
                <w:color w:val="000000"/>
                <w:sz w:val="16"/>
                <w:szCs w:val="16"/>
              </w:rPr>
              <w:t>Výpisy z</w:t>
            </w:r>
            <w:r w:rsidR="0012327D" w:rsidRPr="00E105D8">
              <w:rPr>
                <w:rFonts w:asciiTheme="minorHAnsi" w:eastAsia="Times New Roman" w:hAnsiTheme="minorHAnsi" w:cs="Calibri"/>
                <w:color w:val="000000"/>
                <w:sz w:val="16"/>
                <w:szCs w:val="16"/>
              </w:rPr>
              <w:t> </w:t>
            </w:r>
            <w:r w:rsidRPr="00E105D8">
              <w:rPr>
                <w:rFonts w:asciiTheme="minorHAnsi" w:eastAsia="Times New Roman" w:hAnsiTheme="minorHAnsi" w:cs="Calibri"/>
                <w:color w:val="000000"/>
                <w:sz w:val="16"/>
                <w:szCs w:val="16"/>
              </w:rPr>
              <w:t>rejstříků</w:t>
            </w:r>
            <w:r w:rsidR="0012327D" w:rsidRPr="00E105D8">
              <w:rPr>
                <w:rFonts w:asciiTheme="minorHAnsi" w:eastAsia="Times New Roman" w:hAnsiTheme="minorHAnsi" w:cs="Calibri"/>
                <w:color w:val="000000"/>
                <w:sz w:val="16"/>
                <w:szCs w:val="16"/>
              </w:rPr>
              <w:t>;</w:t>
            </w:r>
          </w:p>
          <w:p w14:paraId="16637F1C" w14:textId="680ACDFA" w:rsidR="00A63A37" w:rsidRPr="00E105D8" w:rsidRDefault="00252D95" w:rsidP="00E105D8">
            <w:pPr>
              <w:pStyle w:val="ListParagraph"/>
              <w:numPr>
                <w:ilvl w:val="0"/>
                <w:numId w:val="56"/>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E105D8">
              <w:rPr>
                <w:rFonts w:asciiTheme="minorHAnsi" w:eastAsia="Times New Roman" w:hAnsiTheme="minorHAnsi" w:cs="Calibri"/>
                <w:bCs/>
                <w:color w:val="000000" w:themeColor="text1"/>
                <w:sz w:val="16"/>
                <w:szCs w:val="16"/>
              </w:rPr>
              <w:t>Výpis z katastru nemovitostí</w:t>
            </w:r>
            <w:r w:rsidR="0012327D" w:rsidRPr="00E105D8">
              <w:rPr>
                <w:rFonts w:asciiTheme="minorHAnsi" w:eastAsia="Times New Roman" w:hAnsiTheme="minorHAnsi" w:cs="Calibri"/>
                <w:bCs/>
                <w:color w:val="000000" w:themeColor="text1"/>
                <w:sz w:val="16"/>
                <w:szCs w:val="16"/>
              </w:rPr>
              <w:t>;</w:t>
            </w:r>
          </w:p>
          <w:p w14:paraId="18B82F45" w14:textId="01314A37" w:rsidR="00252D95" w:rsidRPr="00E105D8" w:rsidRDefault="00C31B39" w:rsidP="00E105D8">
            <w:pPr>
              <w:pStyle w:val="ListParagraph"/>
              <w:numPr>
                <w:ilvl w:val="0"/>
                <w:numId w:val="56"/>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E105D8">
              <w:rPr>
                <w:rFonts w:asciiTheme="minorHAnsi" w:eastAsia="Times New Roman" w:hAnsiTheme="minorHAnsi" w:cs="Calibri"/>
                <w:color w:val="000000"/>
                <w:sz w:val="16"/>
                <w:szCs w:val="16"/>
              </w:rPr>
              <w:t>Finanční výkazy za předchozí období</w:t>
            </w:r>
            <w:r w:rsidR="0012327D" w:rsidRPr="00E105D8">
              <w:rPr>
                <w:rFonts w:asciiTheme="minorHAnsi" w:eastAsia="Times New Roman" w:hAnsiTheme="minorHAnsi" w:cs="Calibri"/>
                <w:color w:val="000000"/>
                <w:sz w:val="16"/>
                <w:szCs w:val="16"/>
              </w:rPr>
              <w:t>;</w:t>
            </w:r>
          </w:p>
          <w:p w14:paraId="67855248" w14:textId="3BDCAF80" w:rsidR="00C31B39" w:rsidRPr="00E105D8" w:rsidRDefault="00C31B39" w:rsidP="00E105D8">
            <w:pPr>
              <w:pStyle w:val="ListParagraph"/>
              <w:numPr>
                <w:ilvl w:val="0"/>
                <w:numId w:val="56"/>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E105D8">
              <w:rPr>
                <w:rFonts w:asciiTheme="minorHAnsi" w:eastAsia="Times New Roman" w:hAnsiTheme="minorHAnsi" w:cs="Calibri"/>
                <w:color w:val="000000"/>
                <w:sz w:val="16"/>
                <w:szCs w:val="16"/>
              </w:rPr>
              <w:t>Formulář pro posouzení podniku v</w:t>
            </w:r>
            <w:r w:rsidR="0012327D" w:rsidRPr="00E105D8">
              <w:rPr>
                <w:rFonts w:asciiTheme="minorHAnsi" w:eastAsia="Times New Roman" w:hAnsiTheme="minorHAnsi" w:cs="Calibri"/>
                <w:color w:val="000000"/>
                <w:sz w:val="16"/>
                <w:szCs w:val="16"/>
              </w:rPr>
              <w:t> </w:t>
            </w:r>
            <w:r w:rsidRPr="00E105D8">
              <w:rPr>
                <w:rFonts w:asciiTheme="minorHAnsi" w:eastAsia="Times New Roman" w:hAnsiTheme="minorHAnsi" w:cs="Calibri"/>
                <w:color w:val="000000"/>
                <w:sz w:val="16"/>
                <w:szCs w:val="16"/>
              </w:rPr>
              <w:t>obtížích</w:t>
            </w:r>
            <w:r w:rsidR="0012327D" w:rsidRPr="00E105D8">
              <w:rPr>
                <w:rFonts w:asciiTheme="minorHAnsi" w:eastAsia="Times New Roman" w:hAnsiTheme="minorHAnsi" w:cs="Calibri"/>
                <w:color w:val="000000"/>
                <w:sz w:val="16"/>
                <w:szCs w:val="16"/>
              </w:rPr>
              <w:t>.</w:t>
            </w:r>
          </w:p>
          <w:p w14:paraId="5683E794" w14:textId="771ABA27" w:rsidR="00EA5475"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V praxi může vést </w:t>
            </w:r>
            <w:r w:rsidR="0012327D">
              <w:rPr>
                <w:rFonts w:asciiTheme="minorHAnsi" w:eastAsia="Times New Roman" w:hAnsiTheme="minorHAnsi" w:cs="Calibri"/>
                <w:color w:val="000000"/>
                <w:sz w:val="16"/>
                <w:szCs w:val="16"/>
              </w:rPr>
              <w:t xml:space="preserve">duplicitní vyplňování údajů </w:t>
            </w:r>
            <w:r w:rsidRPr="000421F0">
              <w:rPr>
                <w:rFonts w:asciiTheme="minorHAnsi" w:eastAsia="Times New Roman" w:hAnsiTheme="minorHAnsi" w:cs="Calibri"/>
                <w:color w:val="000000"/>
                <w:sz w:val="16"/>
                <w:szCs w:val="16"/>
              </w:rPr>
              <w:t>k formálnímu zpracování obecných podnikatelských záměrů (i s využitím poradenských společností), které neobsahují skutečně důležité informace (např. popis činnosti žadatele, zdůvodnění pořizované technologie apod.).</w:t>
            </w:r>
          </w:p>
          <w:p w14:paraId="2160CB61" w14:textId="446B8E33" w:rsidR="0012327D" w:rsidRPr="000421F0" w:rsidRDefault="0012327D"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 xml:space="preserve">Na základě získaných informací je nutné vyhodnotit možnost předkládání jednotlivých příloh </w:t>
            </w:r>
            <w:r w:rsidR="00BB3931">
              <w:rPr>
                <w:rFonts w:asciiTheme="minorHAnsi" w:eastAsia="Times New Roman" w:hAnsiTheme="minorHAnsi" w:cs="Calibri"/>
                <w:color w:val="000000"/>
                <w:sz w:val="16"/>
                <w:szCs w:val="16"/>
              </w:rPr>
              <w:t>žádosti o podporu individuálně pro jednotlivé výzvy. Nicméně se ukazuje, že problém není do značné míry v momentu doložení jednotlivých skutečností a příloh, ale jejich nadbytečnosti a duplicitě.</w:t>
            </w:r>
          </w:p>
          <w:p w14:paraId="1D580963"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Pozitivním zjištěním je zrušení povinnosti posuzování daňových rájů,</w:t>
            </w:r>
            <w:r w:rsidRPr="000421F0">
              <w:rPr>
                <w:rFonts w:asciiTheme="minorHAnsi" w:eastAsia="Times New Roman" w:hAnsiTheme="minorHAnsi" w:cs="Calibri"/>
                <w:color w:val="000000"/>
                <w:sz w:val="16"/>
                <w:szCs w:val="16"/>
              </w:rPr>
              <w:t xml:space="preserve"> které bylo taktéž redundantní povahy. </w:t>
            </w:r>
          </w:p>
        </w:tc>
      </w:tr>
      <w:tr w:rsidR="002454A6" w:rsidRPr="000421F0" w14:paraId="35B2D87D" w14:textId="77777777" w:rsidTr="1B8B314C">
        <w:trPr>
          <w:trHeight w:val="780"/>
        </w:trPr>
        <w:tc>
          <w:tcPr>
            <w:cnfStyle w:val="001000000000" w:firstRow="0" w:lastRow="0" w:firstColumn="1" w:lastColumn="0" w:oddVBand="0" w:evenVBand="0" w:oddHBand="0" w:evenHBand="0" w:firstRowFirstColumn="0" w:firstRowLastColumn="0" w:lastRowFirstColumn="0" w:lastRowLastColumn="0"/>
            <w:tcW w:w="183" w:type="pct"/>
            <w:noWrap/>
          </w:tcPr>
          <w:p w14:paraId="4A413656"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6</w:t>
            </w:r>
          </w:p>
        </w:tc>
        <w:tc>
          <w:tcPr>
            <w:tcW w:w="1283" w:type="pct"/>
            <w:noWrap/>
          </w:tcPr>
          <w:p w14:paraId="42CE4E45" w14:textId="77777777" w:rsidR="00EA5475" w:rsidRPr="000421F0" w:rsidRDefault="00EA5475" w:rsidP="1B8B314C">
            <w:pPr>
              <w:spacing w:after="120"/>
              <w:ind w:left="14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bCs/>
                <w:color w:val="000000"/>
                <w:sz w:val="16"/>
                <w:szCs w:val="16"/>
              </w:rPr>
            </w:pPr>
            <w:r w:rsidRPr="1B8B314C">
              <w:rPr>
                <w:rFonts w:asciiTheme="minorHAnsi" w:eastAsia="Times New Roman" w:hAnsiTheme="minorHAnsi" w:cs="Calibri"/>
                <w:b/>
                <w:bCs/>
                <w:color w:val="000000" w:themeColor="text1"/>
                <w:sz w:val="16"/>
                <w:szCs w:val="16"/>
              </w:rPr>
              <w:t>Jsou procesy a výstupy týkající se schvalování projektu pro žadatele srozumitelné? Poskytuje implementační struktura dostatečnou zpětnou vazbu žadatelům, kteří se svou žádostí neuspěli?</w:t>
            </w:r>
          </w:p>
        </w:tc>
        <w:tc>
          <w:tcPr>
            <w:tcW w:w="3534" w:type="pct"/>
            <w:noWrap/>
            <w:hideMark/>
          </w:tcPr>
          <w:p w14:paraId="7F9D7C69"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Žadatelé se necítí být dostatečně informovaní o stavu hodnocení a schvalování jejich žádostí.</w:t>
            </w:r>
            <w:r w:rsidRPr="000421F0">
              <w:rPr>
                <w:rFonts w:asciiTheme="minorHAnsi" w:eastAsia="Times New Roman" w:hAnsiTheme="minorHAnsi" w:cs="Calibri"/>
                <w:color w:val="000000"/>
                <w:sz w:val="16"/>
                <w:szCs w:val="16"/>
              </w:rPr>
              <w:t xml:space="preserve"> Monitorovací systém neumožňuje např. sledování průběhu hodnocení žádostí, zasílání notifikací o stavu v průběhu procesu.</w:t>
            </w:r>
          </w:p>
          <w:p w14:paraId="3AD8503B" w14:textId="77777777" w:rsidR="00EA5475"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Tento informační nedostatek následně vede k zatěžování implementační struktury dotazy žadatelů. </w:t>
            </w:r>
          </w:p>
          <w:p w14:paraId="57BAD60F" w14:textId="61D7AB9D" w:rsidR="006C6F68" w:rsidRPr="000421F0" w:rsidRDefault="003C7642" w:rsidP="00E105D8">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57 % respondentů DŠ mezi pracovníky i</w:t>
            </w:r>
            <w:r w:rsidR="006C6F68">
              <w:rPr>
                <w:rFonts w:asciiTheme="minorHAnsi" w:eastAsia="Times New Roman" w:hAnsiTheme="minorHAnsi" w:cs="Calibri"/>
                <w:color w:val="000000"/>
                <w:sz w:val="16"/>
                <w:szCs w:val="16"/>
              </w:rPr>
              <w:t>mplementační struktur</w:t>
            </w:r>
            <w:r>
              <w:rPr>
                <w:rFonts w:asciiTheme="minorHAnsi" w:eastAsia="Times New Roman" w:hAnsiTheme="minorHAnsi" w:cs="Calibri"/>
                <w:color w:val="000000"/>
                <w:sz w:val="16"/>
                <w:szCs w:val="16"/>
              </w:rPr>
              <w:t xml:space="preserve">y se domnívá, že </w:t>
            </w:r>
            <w:r w:rsidR="006C6F68">
              <w:rPr>
                <w:rFonts w:asciiTheme="minorHAnsi" w:eastAsia="Times New Roman" w:hAnsiTheme="minorHAnsi" w:cs="Calibri"/>
                <w:color w:val="000000"/>
                <w:sz w:val="16"/>
                <w:szCs w:val="16"/>
              </w:rPr>
              <w:t xml:space="preserve"> </w:t>
            </w:r>
            <w:r>
              <w:rPr>
                <w:rFonts w:asciiTheme="minorHAnsi" w:eastAsia="Times New Roman" w:hAnsiTheme="minorHAnsi" w:cs="Calibri"/>
                <w:color w:val="000000"/>
                <w:sz w:val="16"/>
                <w:szCs w:val="16"/>
              </w:rPr>
              <w:t xml:space="preserve">IS </w:t>
            </w:r>
            <w:r w:rsidR="006C6F68">
              <w:rPr>
                <w:rFonts w:asciiTheme="minorHAnsi" w:eastAsia="Times New Roman" w:hAnsiTheme="minorHAnsi" w:cs="Calibri"/>
                <w:color w:val="000000"/>
                <w:sz w:val="16"/>
                <w:szCs w:val="16"/>
              </w:rPr>
              <w:t xml:space="preserve">poskytuje </w:t>
            </w:r>
            <w:r>
              <w:rPr>
                <w:rFonts w:asciiTheme="minorHAnsi" w:eastAsia="Times New Roman" w:hAnsiTheme="minorHAnsi" w:cs="Calibri"/>
                <w:color w:val="000000"/>
                <w:sz w:val="16"/>
                <w:szCs w:val="16"/>
              </w:rPr>
              <w:t>(</w:t>
            </w:r>
            <w:r w:rsidR="006C6F68">
              <w:rPr>
                <w:rFonts w:asciiTheme="minorHAnsi" w:eastAsia="Times New Roman" w:hAnsiTheme="minorHAnsi" w:cs="Calibri"/>
                <w:color w:val="000000"/>
                <w:sz w:val="16"/>
                <w:szCs w:val="16"/>
              </w:rPr>
              <w:t>spíše</w:t>
            </w:r>
            <w:r>
              <w:rPr>
                <w:rFonts w:asciiTheme="minorHAnsi" w:eastAsia="Times New Roman" w:hAnsiTheme="minorHAnsi" w:cs="Calibri"/>
                <w:color w:val="000000"/>
                <w:sz w:val="16"/>
                <w:szCs w:val="16"/>
              </w:rPr>
              <w:t>)</w:t>
            </w:r>
            <w:r w:rsidR="006C6F68">
              <w:rPr>
                <w:rFonts w:asciiTheme="minorHAnsi" w:eastAsia="Times New Roman" w:hAnsiTheme="minorHAnsi" w:cs="Calibri"/>
                <w:color w:val="000000"/>
                <w:sz w:val="16"/>
                <w:szCs w:val="16"/>
              </w:rPr>
              <w:t xml:space="preserve"> dostatečnou zpětnou vazbu neúspěšným žadatelům</w:t>
            </w:r>
            <w:r w:rsidR="00417358">
              <w:rPr>
                <w:rFonts w:asciiTheme="minorHAnsi" w:eastAsia="Times New Roman" w:hAnsiTheme="minorHAnsi" w:cs="Calibri"/>
                <w:color w:val="000000"/>
                <w:sz w:val="16"/>
                <w:szCs w:val="16"/>
              </w:rPr>
              <w:t xml:space="preserve">, </w:t>
            </w:r>
            <w:r>
              <w:rPr>
                <w:rFonts w:asciiTheme="minorHAnsi" w:eastAsia="Times New Roman" w:hAnsiTheme="minorHAnsi" w:cs="Calibri"/>
                <w:color w:val="000000"/>
                <w:sz w:val="16"/>
                <w:szCs w:val="16"/>
              </w:rPr>
              <w:t>zvláště pokud</w:t>
            </w:r>
            <w:r w:rsidR="00417358">
              <w:rPr>
                <w:rFonts w:asciiTheme="minorHAnsi" w:eastAsia="Times New Roman" w:hAnsiTheme="minorHAnsi" w:cs="Calibri"/>
                <w:color w:val="000000"/>
                <w:sz w:val="16"/>
                <w:szCs w:val="16"/>
              </w:rPr>
              <w:t xml:space="preserve"> jde o formální nedostatky žádosti</w:t>
            </w:r>
            <w:r w:rsidR="006C6F68">
              <w:rPr>
                <w:rFonts w:asciiTheme="minorHAnsi" w:eastAsia="Times New Roman" w:hAnsiTheme="minorHAnsi" w:cs="Calibri"/>
                <w:color w:val="000000"/>
                <w:sz w:val="16"/>
                <w:szCs w:val="16"/>
              </w:rPr>
              <w:t>.</w:t>
            </w:r>
            <w:r>
              <w:rPr>
                <w:rStyle w:val="FootnoteReference"/>
                <w:rFonts w:asciiTheme="minorHAnsi" w:eastAsia="Times New Roman" w:hAnsiTheme="minorHAnsi" w:cs="Calibri"/>
                <w:color w:val="000000"/>
                <w:sz w:val="16"/>
                <w:szCs w:val="16"/>
              </w:rPr>
              <w:footnoteReference w:id="21"/>
            </w:r>
            <w:r w:rsidR="006C6F68">
              <w:rPr>
                <w:rFonts w:asciiTheme="minorHAnsi" w:eastAsia="Times New Roman" w:hAnsiTheme="minorHAnsi" w:cs="Calibri"/>
                <w:color w:val="000000"/>
                <w:sz w:val="16"/>
                <w:szCs w:val="16"/>
              </w:rPr>
              <w:t xml:space="preserve"> </w:t>
            </w:r>
            <w:r w:rsidR="00417358">
              <w:rPr>
                <w:rFonts w:asciiTheme="minorHAnsi" w:eastAsia="Times New Roman" w:hAnsiTheme="minorHAnsi" w:cs="Calibri"/>
                <w:color w:val="000000"/>
                <w:sz w:val="16"/>
                <w:szCs w:val="16"/>
              </w:rPr>
              <w:t>Neúspěšní žadatelé nicméně ne vždy</w:t>
            </w:r>
            <w:r w:rsidR="004E2463">
              <w:rPr>
                <w:rFonts w:asciiTheme="minorHAnsi" w:eastAsia="Times New Roman" w:hAnsiTheme="minorHAnsi" w:cs="Calibri"/>
                <w:color w:val="000000"/>
                <w:sz w:val="16"/>
                <w:szCs w:val="16"/>
              </w:rPr>
              <w:t xml:space="preserve"> souhlasí s výroky věcného hodnocení, které </w:t>
            </w:r>
            <w:r w:rsidR="004A339D">
              <w:rPr>
                <w:rFonts w:asciiTheme="minorHAnsi" w:eastAsia="Times New Roman" w:hAnsiTheme="minorHAnsi" w:cs="Calibri"/>
                <w:color w:val="000000"/>
                <w:sz w:val="16"/>
                <w:szCs w:val="16"/>
              </w:rPr>
              <w:t xml:space="preserve"> se </w:t>
            </w:r>
            <w:r w:rsidR="004E2463">
              <w:rPr>
                <w:rFonts w:asciiTheme="minorHAnsi" w:eastAsia="Times New Roman" w:hAnsiTheme="minorHAnsi" w:cs="Calibri"/>
                <w:color w:val="000000"/>
                <w:sz w:val="16"/>
                <w:szCs w:val="16"/>
              </w:rPr>
              <w:t xml:space="preserve">dle </w:t>
            </w:r>
            <w:r w:rsidR="004A339D">
              <w:rPr>
                <w:rFonts w:asciiTheme="minorHAnsi" w:eastAsia="Times New Roman" w:hAnsiTheme="minorHAnsi" w:cs="Calibri"/>
                <w:color w:val="000000"/>
                <w:sz w:val="16"/>
                <w:szCs w:val="16"/>
              </w:rPr>
              <w:t>j</w:t>
            </w:r>
            <w:r w:rsidR="004E2463">
              <w:rPr>
                <w:rFonts w:asciiTheme="minorHAnsi" w:eastAsia="Times New Roman" w:hAnsiTheme="minorHAnsi" w:cs="Calibri"/>
                <w:color w:val="000000"/>
                <w:sz w:val="16"/>
                <w:szCs w:val="16"/>
              </w:rPr>
              <w:t xml:space="preserve">ejich slov </w:t>
            </w:r>
            <w:r w:rsidR="004A339D">
              <w:rPr>
                <w:rFonts w:asciiTheme="minorHAnsi" w:eastAsia="Times New Roman" w:hAnsiTheme="minorHAnsi" w:cs="Calibri"/>
                <w:color w:val="000000"/>
                <w:sz w:val="16"/>
                <w:szCs w:val="16"/>
              </w:rPr>
              <w:t>nezakládá na znalosti problematiky a racioná</w:t>
            </w:r>
            <w:r w:rsidR="00417358">
              <w:rPr>
                <w:rFonts w:asciiTheme="minorHAnsi" w:eastAsia="Times New Roman" w:hAnsiTheme="minorHAnsi" w:cs="Calibri"/>
                <w:color w:val="000000"/>
                <w:sz w:val="16"/>
                <w:szCs w:val="16"/>
              </w:rPr>
              <w:t>lní úvaze.</w:t>
            </w:r>
            <w:r w:rsidR="00417358">
              <w:rPr>
                <w:rStyle w:val="FootnoteReference"/>
                <w:rFonts w:asciiTheme="minorHAnsi" w:eastAsia="Times New Roman" w:hAnsiTheme="minorHAnsi" w:cs="Calibri"/>
                <w:color w:val="000000"/>
                <w:sz w:val="16"/>
                <w:szCs w:val="16"/>
              </w:rPr>
              <w:footnoteReference w:id="22"/>
            </w:r>
            <w:r w:rsidR="00417358">
              <w:rPr>
                <w:rFonts w:asciiTheme="minorHAnsi" w:eastAsia="Times New Roman" w:hAnsiTheme="minorHAnsi" w:cs="Calibri"/>
                <w:color w:val="000000"/>
                <w:sz w:val="16"/>
                <w:szCs w:val="16"/>
              </w:rPr>
              <w:t xml:space="preserve"> </w:t>
            </w:r>
            <w:r w:rsidR="004E2463">
              <w:rPr>
                <w:rFonts w:asciiTheme="minorHAnsi" w:eastAsia="Times New Roman" w:hAnsiTheme="minorHAnsi" w:cs="Calibri"/>
                <w:color w:val="000000"/>
                <w:sz w:val="16"/>
                <w:szCs w:val="16"/>
              </w:rPr>
              <w:t xml:space="preserve"> </w:t>
            </w:r>
            <w:r w:rsidR="00417358">
              <w:rPr>
                <w:rFonts w:asciiTheme="minorHAnsi" w:eastAsia="Times New Roman" w:hAnsiTheme="minorHAnsi" w:cs="Calibri"/>
                <w:color w:val="000000"/>
                <w:sz w:val="16"/>
                <w:szCs w:val="16"/>
              </w:rPr>
              <w:t>Největším n</w:t>
            </w:r>
            <w:r w:rsidR="006C6F68">
              <w:rPr>
                <w:rFonts w:asciiTheme="minorHAnsi" w:eastAsia="Times New Roman" w:hAnsiTheme="minorHAnsi" w:cs="Calibri"/>
                <w:color w:val="000000"/>
                <w:sz w:val="16"/>
                <w:szCs w:val="16"/>
              </w:rPr>
              <w:t xml:space="preserve">edostatkem je </w:t>
            </w:r>
            <w:r w:rsidR="001F70EE">
              <w:rPr>
                <w:rFonts w:asciiTheme="minorHAnsi" w:eastAsia="Times New Roman" w:hAnsiTheme="minorHAnsi" w:cs="Calibri"/>
                <w:color w:val="000000"/>
                <w:sz w:val="16"/>
                <w:szCs w:val="16"/>
              </w:rPr>
              <w:t>nicméně</w:t>
            </w:r>
            <w:r w:rsidR="006C6F68">
              <w:rPr>
                <w:rFonts w:asciiTheme="minorHAnsi" w:eastAsia="Times New Roman" w:hAnsiTheme="minorHAnsi" w:cs="Calibri"/>
                <w:color w:val="000000"/>
                <w:sz w:val="16"/>
                <w:szCs w:val="16"/>
              </w:rPr>
              <w:t xml:space="preserve"> dlouhá doba mezi podáním žádosti a rozhodnutím o přijatelnosti žádosti a následně věcným hodnocením, kdy žadatelé nevědí, zda-li mohou zahájit realizaci projektu. </w:t>
            </w:r>
            <w:r w:rsidR="00417358">
              <w:rPr>
                <w:rFonts w:asciiTheme="minorHAnsi" w:eastAsia="Times New Roman" w:hAnsiTheme="minorHAnsi" w:cs="Calibri"/>
                <w:color w:val="000000"/>
                <w:sz w:val="16"/>
                <w:szCs w:val="16"/>
              </w:rPr>
              <w:t xml:space="preserve">Stejně tak bývá jako dlouhá hodnocena doba reakce na rozporování věcného hodnocení. </w:t>
            </w:r>
            <w:r w:rsidR="004E2463">
              <w:rPr>
                <w:rFonts w:asciiTheme="minorHAnsi" w:eastAsia="Times New Roman" w:hAnsiTheme="minorHAnsi" w:cs="Calibri"/>
                <w:color w:val="000000"/>
                <w:sz w:val="16"/>
                <w:szCs w:val="16"/>
              </w:rPr>
              <w:t xml:space="preserve"> </w:t>
            </w:r>
          </w:p>
        </w:tc>
      </w:tr>
      <w:tr w:rsidR="002454A6" w:rsidRPr="000421F0" w14:paraId="09973293" w14:textId="77777777" w:rsidTr="1B8B314C">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83" w:type="pct"/>
            <w:noWrap/>
          </w:tcPr>
          <w:p w14:paraId="2928017D"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7</w:t>
            </w:r>
          </w:p>
        </w:tc>
        <w:tc>
          <w:tcPr>
            <w:tcW w:w="1283" w:type="pct"/>
            <w:noWrap/>
          </w:tcPr>
          <w:p w14:paraId="7ECDD639" w14:textId="29DF8B44" w:rsidR="00EA5475" w:rsidRPr="000421F0" w:rsidRDefault="00EA5475" w:rsidP="00E17552">
            <w:pPr>
              <w:spacing w:after="120"/>
              <w:ind w:left="1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 xml:space="preserve">Jaká je průměrná a mediánová doba od podání žádosti po podpis právního aktu? Jsou dodržovány stanovené lhůty hodnocení žádostí? Jak proces schvalování </w:t>
            </w:r>
            <w:r w:rsidR="00B04647">
              <w:rPr>
                <w:rFonts w:asciiTheme="minorHAnsi" w:eastAsia="Times New Roman" w:hAnsiTheme="minorHAnsi" w:cs="Calibri"/>
                <w:b/>
                <w:color w:val="000000"/>
                <w:sz w:val="16"/>
                <w:szCs w:val="16"/>
              </w:rPr>
              <w:t>žádostí o podporu</w:t>
            </w:r>
            <w:r w:rsidRPr="000421F0">
              <w:rPr>
                <w:rFonts w:asciiTheme="minorHAnsi" w:eastAsia="Times New Roman" w:hAnsiTheme="minorHAnsi" w:cs="Calibri"/>
                <w:b/>
                <w:color w:val="000000"/>
                <w:sz w:val="16"/>
                <w:szCs w:val="16"/>
              </w:rPr>
              <w:t xml:space="preserve"> zrychlit? Jaký je společný rys žádostí, jejichž vyhodnocení trvá nadprůměrně dlouho?</w:t>
            </w:r>
          </w:p>
        </w:tc>
        <w:tc>
          <w:tcPr>
            <w:tcW w:w="3534" w:type="pct"/>
            <w:noWrap/>
            <w:hideMark/>
          </w:tcPr>
          <w:p w14:paraId="39A0434A"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Od roku 2015 do roku 2020 se podařilo snížit průměrnou dobu administrace žádosti,</w:t>
            </w:r>
            <w:r w:rsidRPr="000421F0">
              <w:rPr>
                <w:rFonts w:asciiTheme="minorHAnsi" w:eastAsia="Times New Roman" w:hAnsiTheme="minorHAnsi" w:cs="Calibri"/>
                <w:color w:val="000000"/>
                <w:sz w:val="16"/>
                <w:szCs w:val="16"/>
              </w:rPr>
              <w:t xml:space="preserve"> tedy dobu od podání žádosti, formální a věcné hodnocení, výběrovou komisi až po přípravu a vydání právního aktu z 378 na 129 dní. Mediánová doba 206 dní v roce 2020 naopak zůstává podobná té v roce 2015 – 223 dní. Nejvýrazněji se podařilo urychlit věcné hodnocení, v případě PO3 až v roce 2020 i přípravu právního aktu. Naopak nejmenší urychlení je spojeno s formálním hodnocením, kde například v PO4 v roce 2019 naopak došlo k prodloužení. </w:t>
            </w:r>
          </w:p>
          <w:p w14:paraId="54424E04"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Proces schvalování žádostí je možné urychlit:</w:t>
            </w:r>
          </w:p>
          <w:p w14:paraId="0EB7CB05" w14:textId="77777777" w:rsidR="00EA5475" w:rsidRPr="000421F0" w:rsidRDefault="00EA5475" w:rsidP="00E17552">
            <w:pPr>
              <w:pStyle w:val="ListParagraph"/>
              <w:numPr>
                <w:ilvl w:val="0"/>
                <w:numId w:val="27"/>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Snížením administrativní náročnosti (zjednodušením podmínek výzev, viz výše);</w:t>
            </w:r>
          </w:p>
          <w:p w14:paraId="3BF430F2" w14:textId="77777777" w:rsidR="00EA5475" w:rsidRPr="000421F0" w:rsidRDefault="00EA5475" w:rsidP="00E17552">
            <w:pPr>
              <w:pStyle w:val="ListParagraph"/>
              <w:numPr>
                <w:ilvl w:val="0"/>
                <w:numId w:val="27"/>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Dodržováním harmonogramu výzev omezující kulminaci termínů ve stejný čas;</w:t>
            </w:r>
          </w:p>
          <w:p w14:paraId="22067B3F" w14:textId="77777777" w:rsidR="00EA5475" w:rsidRPr="000421F0" w:rsidRDefault="00EA5475" w:rsidP="00E17552">
            <w:pPr>
              <w:pStyle w:val="ListParagraph"/>
              <w:numPr>
                <w:ilvl w:val="0"/>
                <w:numId w:val="27"/>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Zveřejňování průběžných výzev s bonifikačním systémem za včasné podání;</w:t>
            </w:r>
          </w:p>
          <w:p w14:paraId="6DB2F6BA" w14:textId="77777777" w:rsidR="00EA5475" w:rsidRPr="000421F0" w:rsidRDefault="00EA5475" w:rsidP="00E17552">
            <w:pPr>
              <w:pStyle w:val="ListParagraph"/>
              <w:numPr>
                <w:ilvl w:val="0"/>
                <w:numId w:val="27"/>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Dočasné posílení kapacit API/ŘO pro formální hodnocení (včetně kontroly statusu MSP);</w:t>
            </w:r>
          </w:p>
          <w:p w14:paraId="05B02B6B" w14:textId="77777777" w:rsidR="00EA5475" w:rsidRPr="000421F0" w:rsidRDefault="00EA5475" w:rsidP="00E17552">
            <w:pPr>
              <w:pStyle w:val="ListParagraph"/>
              <w:numPr>
                <w:ilvl w:val="0"/>
                <w:numId w:val="27"/>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Outsourcing kontroly statusu MSP;</w:t>
            </w:r>
          </w:p>
          <w:p w14:paraId="527E666F" w14:textId="740A4954" w:rsidR="00EA5475" w:rsidRPr="000421F0" w:rsidRDefault="00184C26" w:rsidP="00E17552">
            <w:pPr>
              <w:pStyle w:val="ListParagraph"/>
              <w:numPr>
                <w:ilvl w:val="0"/>
                <w:numId w:val="27"/>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Robotickou a</w:t>
            </w:r>
            <w:r w:rsidR="00EA5475" w:rsidRPr="000421F0">
              <w:rPr>
                <w:rFonts w:asciiTheme="minorHAnsi" w:eastAsia="Times New Roman" w:hAnsiTheme="minorHAnsi" w:cs="Calibri"/>
                <w:color w:val="000000"/>
                <w:sz w:val="16"/>
                <w:szCs w:val="16"/>
              </w:rPr>
              <w:t>utomatizac</w:t>
            </w:r>
            <w:r w:rsidRPr="000421F0">
              <w:rPr>
                <w:rFonts w:asciiTheme="minorHAnsi" w:eastAsia="Times New Roman" w:hAnsiTheme="minorHAnsi" w:cs="Calibri"/>
                <w:color w:val="000000"/>
                <w:sz w:val="16"/>
                <w:szCs w:val="16"/>
              </w:rPr>
              <w:t xml:space="preserve">í vybraných procesů </w:t>
            </w:r>
            <w:r w:rsidR="00EA5475" w:rsidRPr="000421F0">
              <w:rPr>
                <w:rFonts w:asciiTheme="minorHAnsi" w:eastAsia="Times New Roman" w:hAnsiTheme="minorHAnsi" w:cs="Calibri"/>
                <w:color w:val="000000"/>
                <w:sz w:val="16"/>
                <w:szCs w:val="16"/>
              </w:rPr>
              <w:t>formálního hodnocení (např. směsné poměry, rejstříková část kontroly statusu MSP);</w:t>
            </w:r>
          </w:p>
          <w:p w14:paraId="78BF4213" w14:textId="55C6C51F" w:rsidR="00184C26" w:rsidRPr="000421F0" w:rsidRDefault="00184C26" w:rsidP="00E17552">
            <w:pPr>
              <w:pStyle w:val="ListParagraph"/>
              <w:numPr>
                <w:ilvl w:val="0"/>
                <w:numId w:val="27"/>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Zavedení zjednodušené formy hodnocení;</w:t>
            </w:r>
          </w:p>
          <w:p w14:paraId="45850922" w14:textId="00D50807" w:rsidR="00184C26" w:rsidRPr="000421F0" w:rsidRDefault="00184C26" w:rsidP="00E17552">
            <w:pPr>
              <w:pStyle w:val="ListParagraph"/>
              <w:numPr>
                <w:ilvl w:val="0"/>
                <w:numId w:val="27"/>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Intenzivnější využití parametrické formy podpory;</w:t>
            </w:r>
          </w:p>
          <w:p w14:paraId="07A1A57A" w14:textId="05C9A085" w:rsidR="00184C26" w:rsidRPr="000421F0" w:rsidRDefault="00184C26" w:rsidP="00E17552">
            <w:pPr>
              <w:pStyle w:val="ListParagraph"/>
              <w:numPr>
                <w:ilvl w:val="0"/>
                <w:numId w:val="27"/>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Zrušení CBA u projektů do 1 mil. EUR.</w:t>
            </w:r>
          </w:p>
          <w:p w14:paraId="562CA3DD" w14:textId="7FEE7263"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Nadprůměrně dlouhé schvalování </w:t>
            </w:r>
            <w:r w:rsidR="00B04647">
              <w:rPr>
                <w:rFonts w:asciiTheme="minorHAnsi" w:eastAsia="Times New Roman" w:hAnsiTheme="minorHAnsi" w:cs="Calibri"/>
                <w:color w:val="000000"/>
                <w:sz w:val="16"/>
                <w:szCs w:val="16"/>
              </w:rPr>
              <w:t>žádostí o podporu</w:t>
            </w:r>
            <w:r w:rsidRPr="000421F0">
              <w:rPr>
                <w:rFonts w:asciiTheme="minorHAnsi" w:eastAsia="Times New Roman" w:hAnsiTheme="minorHAnsi" w:cs="Calibri"/>
                <w:color w:val="000000"/>
                <w:sz w:val="16"/>
                <w:szCs w:val="16"/>
              </w:rPr>
              <w:t xml:space="preserve"> se týká především žádostí (a u souběžných výzev), které byly podány kulminovaně ve stejný čas. U těchto žádostí se PM API k formálnímu hodnocení dostávají v průměru za 2 až 3 měsíce od data odeslání žádosti. Dalším důvodem nadprůměrně dlouhého schvalování může být složitá vlastnická struktura žadatele a s tím související náročná kontrola statutu MSP. </w:t>
            </w:r>
          </w:p>
        </w:tc>
      </w:tr>
      <w:tr w:rsidR="002454A6" w:rsidRPr="000421F0" w14:paraId="6D9E5ACB" w14:textId="77777777" w:rsidTr="1B8B314C">
        <w:trPr>
          <w:trHeight w:val="1040"/>
        </w:trPr>
        <w:tc>
          <w:tcPr>
            <w:cnfStyle w:val="001000000000" w:firstRow="0" w:lastRow="0" w:firstColumn="1" w:lastColumn="0" w:oddVBand="0" w:evenVBand="0" w:oddHBand="0" w:evenHBand="0" w:firstRowFirstColumn="0" w:firstRowLastColumn="0" w:lastRowFirstColumn="0" w:lastRowLastColumn="0"/>
            <w:tcW w:w="183" w:type="pct"/>
            <w:noWrap/>
          </w:tcPr>
          <w:p w14:paraId="087BEA5A"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8</w:t>
            </w:r>
          </w:p>
        </w:tc>
        <w:tc>
          <w:tcPr>
            <w:tcW w:w="1283" w:type="pct"/>
            <w:noWrap/>
          </w:tcPr>
          <w:p w14:paraId="14DA33F9" w14:textId="77777777" w:rsidR="00EA5475" w:rsidRPr="000421F0" w:rsidRDefault="00EA5475" w:rsidP="00E17552">
            <w:pPr>
              <w:spacing w:after="120"/>
              <w:ind w:left="14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Jsou pro žadatele srozumitelné podmínky rozhodnutí o poskytnutí dotace a jejich následná aplikace?</w:t>
            </w:r>
          </w:p>
        </w:tc>
        <w:tc>
          <w:tcPr>
            <w:tcW w:w="3534" w:type="pct"/>
            <w:noWrap/>
            <w:hideMark/>
          </w:tcPr>
          <w:p w14:paraId="1208908E"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Právní akt Rozhodnutí o poskytnutí dotace je pro velkou část příjemců složitý a obtížně srozumitelný právní dokument</w:t>
            </w:r>
            <w:r w:rsidRPr="000421F0">
              <w:rPr>
                <w:rFonts w:asciiTheme="minorHAnsi" w:eastAsia="Times New Roman" w:hAnsiTheme="minorHAnsi" w:cs="Calibri"/>
                <w:color w:val="000000"/>
                <w:sz w:val="16"/>
                <w:szCs w:val="16"/>
              </w:rPr>
              <w:t xml:space="preserve">. Zvláště pro malé a střední podniky bez vlastního právního oddělení může být orientace v RoPD problematická a mohou z jeho složitosti vyplývat některá pochybení při realizaci projektu či splnění informačních povinností. Složitost dokumentu vyplývá více z auditních nálezů a soudních sporů, než z potřeby nastavení smluvních vztahů. Povinnosti dané výzvou nejsou vždy zapracovány do Rozhodnutí nebo dostatečně vysvětleny. V průběhu realizace projektu </w:t>
            </w:r>
            <w:r w:rsidRPr="000421F0">
              <w:rPr>
                <w:rFonts w:asciiTheme="minorHAnsi" w:eastAsia="Times New Roman" w:hAnsiTheme="minorHAnsi" w:cs="Calibri"/>
                <w:b/>
                <w:color w:val="000000"/>
                <w:sz w:val="16"/>
                <w:szCs w:val="16"/>
              </w:rPr>
              <w:t>došlo k výraznému zjednodušení RoPD</w:t>
            </w:r>
            <w:r w:rsidRPr="000421F0">
              <w:rPr>
                <w:rFonts w:asciiTheme="minorHAnsi" w:eastAsia="Times New Roman" w:hAnsiTheme="minorHAnsi" w:cs="Calibri"/>
                <w:color w:val="000000"/>
                <w:sz w:val="16"/>
                <w:szCs w:val="16"/>
              </w:rPr>
              <w:t xml:space="preserve">, snížení počtu stran z 18 na 12. Další trend ve zjednodušování je nicméně žádoucí. </w:t>
            </w:r>
          </w:p>
        </w:tc>
      </w:tr>
      <w:tr w:rsidR="002454A6" w:rsidRPr="000421F0" w14:paraId="7F107F35" w14:textId="77777777" w:rsidTr="1B8B31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3" w:type="pct"/>
            <w:noWrap/>
          </w:tcPr>
          <w:p w14:paraId="6F0E1B53"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lastRenderedPageBreak/>
              <w:t>9</w:t>
            </w:r>
          </w:p>
        </w:tc>
        <w:tc>
          <w:tcPr>
            <w:tcW w:w="1283" w:type="pct"/>
            <w:noWrap/>
          </w:tcPr>
          <w:p w14:paraId="0B3B297B" w14:textId="77777777" w:rsidR="00EA5475" w:rsidRPr="000421F0" w:rsidRDefault="00EA5475" w:rsidP="1B8B314C">
            <w:pPr>
              <w:spacing w:after="120"/>
              <w:ind w:left="1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color w:val="000000"/>
                <w:sz w:val="16"/>
                <w:szCs w:val="16"/>
              </w:rPr>
            </w:pPr>
            <w:r w:rsidRPr="1B8B314C">
              <w:rPr>
                <w:rFonts w:asciiTheme="minorHAnsi" w:eastAsia="Times New Roman" w:hAnsiTheme="minorHAnsi" w:cs="Calibri"/>
                <w:b/>
                <w:bCs/>
                <w:color w:val="000000" w:themeColor="text1"/>
                <w:sz w:val="16"/>
                <w:szCs w:val="16"/>
              </w:rPr>
              <w:t>Jsou změnová řízení projektů ze strany pracovníků implementační struktury a příjemců hodnocena jako srozumitelná, přehledná a dostatečně flexibilní? Pokud se musel projekt v průběhu jeho realizace přizpůsobit změnám podmínek, byla tato změna ze strany příjemců hodnocena jako zatěžující? Jak proces změnových řízení zrychlit?</w:t>
            </w:r>
          </w:p>
        </w:tc>
        <w:tc>
          <w:tcPr>
            <w:tcW w:w="3534" w:type="pct"/>
            <w:noWrap/>
            <w:hideMark/>
          </w:tcPr>
          <w:p w14:paraId="5D6AC972" w14:textId="2C308E8F" w:rsidR="003A5BD8" w:rsidRDefault="003A5BD8"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b/>
                <w:color w:val="000000"/>
                <w:sz w:val="16"/>
                <w:szCs w:val="16"/>
              </w:rPr>
              <w:t xml:space="preserve">Až 59 % respondentů DŠ pokládá řízení změn projektů za přehledné a srozumitelné, 53 % z nich pak i za dostatečně flexibilní. </w:t>
            </w:r>
            <w:r>
              <w:rPr>
                <w:rFonts w:asciiTheme="minorHAnsi" w:eastAsia="Times New Roman" w:hAnsiTheme="minorHAnsi" w:cs="Calibri"/>
                <w:color w:val="000000"/>
                <w:sz w:val="16"/>
                <w:szCs w:val="16"/>
              </w:rPr>
              <w:t xml:space="preserve">Případné výtky se týkají nepřehlednosti </w:t>
            </w:r>
            <w:r w:rsidR="00187EF8">
              <w:rPr>
                <w:rFonts w:asciiTheme="minorHAnsi" w:eastAsia="Times New Roman" w:hAnsiTheme="minorHAnsi" w:cs="Calibri"/>
                <w:color w:val="000000"/>
                <w:sz w:val="16"/>
                <w:szCs w:val="16"/>
              </w:rPr>
              <w:t xml:space="preserve">(modulu) </w:t>
            </w:r>
            <w:r>
              <w:rPr>
                <w:rFonts w:asciiTheme="minorHAnsi" w:eastAsia="Times New Roman" w:hAnsiTheme="minorHAnsi" w:cs="Calibri"/>
                <w:color w:val="000000"/>
                <w:sz w:val="16"/>
                <w:szCs w:val="16"/>
              </w:rPr>
              <w:t>MS2014+, zdlouhavosti kontroly změny oproti původnímu stavu</w:t>
            </w:r>
            <w:r w:rsidR="00187EF8">
              <w:rPr>
                <w:rFonts w:asciiTheme="minorHAnsi" w:eastAsia="Times New Roman" w:hAnsiTheme="minorHAnsi" w:cs="Calibri"/>
                <w:color w:val="000000"/>
                <w:sz w:val="16"/>
                <w:szCs w:val="16"/>
              </w:rPr>
              <w:t>, složitosti generování dodatku k RoPD a vyšší byrokracií či fluidním rozdělením kompetencí mezi ŘO a ZS.</w:t>
            </w:r>
          </w:p>
          <w:p w14:paraId="5DD9BC85" w14:textId="7A56B609" w:rsidR="00187EF8" w:rsidRPr="00187EF8" w:rsidRDefault="009057A0"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Změny v průběhu realizace projektu vynucené změnami podmínek na straně ŘO, ZS jsou příjemci ve většině případů hodnoceny jako</w:t>
            </w:r>
            <w:r w:rsidR="00C009A2">
              <w:rPr>
                <w:rFonts w:asciiTheme="minorHAnsi" w:eastAsia="Times New Roman" w:hAnsiTheme="minorHAnsi" w:cs="Calibri"/>
                <w:color w:val="000000"/>
                <w:sz w:val="16"/>
                <w:szCs w:val="16"/>
              </w:rPr>
              <w:t xml:space="preserve"> velmi</w:t>
            </w:r>
            <w:r>
              <w:rPr>
                <w:rFonts w:asciiTheme="minorHAnsi" w:eastAsia="Times New Roman" w:hAnsiTheme="minorHAnsi" w:cs="Calibri"/>
                <w:color w:val="000000"/>
                <w:sz w:val="16"/>
                <w:szCs w:val="16"/>
              </w:rPr>
              <w:t xml:space="preserve"> zatěžující. Zvláště negativně hodnoceny jsou změny, které jsou v rozporu se starším rozhodnutím</w:t>
            </w:r>
            <w:r w:rsidR="00C009A2">
              <w:rPr>
                <w:rFonts w:asciiTheme="minorHAnsi" w:eastAsia="Times New Roman" w:hAnsiTheme="minorHAnsi" w:cs="Calibri"/>
                <w:color w:val="000000"/>
                <w:sz w:val="16"/>
                <w:szCs w:val="16"/>
              </w:rPr>
              <w:t xml:space="preserve"> PM, výrazně v oblasti VŘ. </w:t>
            </w:r>
            <w:r>
              <w:rPr>
                <w:rFonts w:asciiTheme="minorHAnsi" w:eastAsia="Times New Roman" w:hAnsiTheme="minorHAnsi" w:cs="Calibri"/>
                <w:color w:val="000000"/>
                <w:sz w:val="16"/>
                <w:szCs w:val="16"/>
              </w:rPr>
              <w:t xml:space="preserve">Příjemci by naopak uvítali větší flexibilitu změn při změně jejich podmínek. </w:t>
            </w:r>
          </w:p>
          <w:p w14:paraId="77B2FD91" w14:textId="77DC6710"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Důvodem vysokého počtu změnových řízení je příliš dlouhý proces hodnocení a schvalování žádostí.</w:t>
            </w:r>
            <w:r w:rsidRPr="000421F0">
              <w:rPr>
                <w:rFonts w:asciiTheme="minorHAnsi" w:eastAsia="Times New Roman" w:hAnsiTheme="minorHAnsi" w:cs="Calibri"/>
                <w:color w:val="000000"/>
                <w:sz w:val="16"/>
                <w:szCs w:val="16"/>
              </w:rPr>
              <w:t xml:space="preserve"> V průběhu výše zmíněné doby procesu hodnocení a schválení často dochází k subjektivním změnám na straně žadatelů nebo objektivním změnám na trhu. S narůstající délkou procesu roste i pravděpodobnost těchto změn.</w:t>
            </w:r>
          </w:p>
          <w:p w14:paraId="7F4FD189" w14:textId="77777777" w:rsidR="00EA5475"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Změnové řízení před vydáním RoPD probíhá na ZS, ale na schválení změn se podílí i ŘO. Realizace změnového řízení na ZS vede k dalšímu zatížení jeho pracovníků a nedodržování lhůt. K vysokému počtu změnových řízení dochází kvůli délce hodnocení žádostí (v průměru kolem 6 měsíců).</w:t>
            </w:r>
          </w:p>
          <w:p w14:paraId="28B6921F" w14:textId="5F6F2EFE" w:rsidR="00C009A2" w:rsidRPr="000421F0" w:rsidRDefault="00C009A2" w:rsidP="00C009A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 xml:space="preserve">Proces změnových řízení by bylo možné urychlit automatickým schvalováním změn do % výše rozpočtu či v rámci rozpočtových kapitol. Dále zpřehledněním modulu v MS2014+ a snížením byrokracie – jednoznačným vymezením kompetencí mezi ZS a ŘO. </w:t>
            </w:r>
          </w:p>
        </w:tc>
      </w:tr>
      <w:tr w:rsidR="002454A6" w:rsidRPr="000421F0" w14:paraId="7451CE80" w14:textId="77777777" w:rsidTr="1B8B314C">
        <w:trPr>
          <w:trHeight w:val="520"/>
        </w:trPr>
        <w:tc>
          <w:tcPr>
            <w:cnfStyle w:val="001000000000" w:firstRow="0" w:lastRow="0" w:firstColumn="1" w:lastColumn="0" w:oddVBand="0" w:evenVBand="0" w:oddHBand="0" w:evenHBand="0" w:firstRowFirstColumn="0" w:firstRowLastColumn="0" w:lastRowFirstColumn="0" w:lastRowLastColumn="0"/>
            <w:tcW w:w="183" w:type="pct"/>
            <w:noWrap/>
          </w:tcPr>
          <w:p w14:paraId="36ED0D30"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10</w:t>
            </w:r>
          </w:p>
        </w:tc>
        <w:tc>
          <w:tcPr>
            <w:tcW w:w="1283" w:type="pct"/>
            <w:noWrap/>
          </w:tcPr>
          <w:p w14:paraId="3F1FCADF" w14:textId="77777777" w:rsidR="00EA5475" w:rsidRPr="000421F0" w:rsidRDefault="00EA5475" w:rsidP="1B8B314C">
            <w:pPr>
              <w:spacing w:after="120"/>
              <w:ind w:left="14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bCs/>
                <w:color w:val="000000"/>
                <w:sz w:val="16"/>
                <w:szCs w:val="16"/>
              </w:rPr>
            </w:pPr>
            <w:r w:rsidRPr="1B8B314C">
              <w:rPr>
                <w:rFonts w:asciiTheme="minorHAnsi" w:eastAsia="Times New Roman" w:hAnsiTheme="minorHAnsi" w:cs="Calibri"/>
                <w:b/>
                <w:bCs/>
                <w:color w:val="000000" w:themeColor="text1"/>
                <w:sz w:val="16"/>
                <w:szCs w:val="16"/>
              </w:rPr>
              <w:t>Je proces žádostí o platbu ze strany pracovníků implementační struktury a příjemců hodnocen jako srozumitelný a přehledný? Jaká je průměrná a mediánová doba proplacení finančních prostředků ze strany poskytovatele podpory ode dne podané žádosti o platbu? Je z pohledu příjemců doba posuzování žádosti hodnocena jako přiměřená? Jak proces žádostí o platbu zrychlit?</w:t>
            </w:r>
          </w:p>
        </w:tc>
        <w:tc>
          <w:tcPr>
            <w:tcW w:w="3534" w:type="pct"/>
            <w:noWrap/>
            <w:hideMark/>
          </w:tcPr>
          <w:p w14:paraId="237EE134" w14:textId="786EDAEB" w:rsidR="002454A6" w:rsidRPr="000421F0" w:rsidRDefault="00E411B1" w:rsidP="00E411B1">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b/>
                <w:bCs/>
                <w:color w:val="000000" w:themeColor="text1"/>
                <w:sz w:val="16"/>
                <w:szCs w:val="16"/>
              </w:rPr>
              <w:t>Proces žádostí o platbu je 67 % respondentů DŠ hodnocen jako srozumitelný a přehledný</w:t>
            </w:r>
            <w:r w:rsidR="003636E6">
              <w:rPr>
                <w:rFonts w:asciiTheme="minorHAnsi" w:eastAsia="Times New Roman" w:hAnsiTheme="minorHAnsi" w:cs="Calibri"/>
                <w:b/>
                <w:bCs/>
                <w:color w:val="000000" w:themeColor="text1"/>
                <w:sz w:val="16"/>
                <w:szCs w:val="16"/>
              </w:rPr>
              <w:t xml:space="preserve"> pro příjemce podpory</w:t>
            </w:r>
            <w:r>
              <w:rPr>
                <w:rFonts w:asciiTheme="minorHAnsi" w:eastAsia="Times New Roman" w:hAnsiTheme="minorHAnsi" w:cs="Calibri"/>
                <w:b/>
                <w:bCs/>
                <w:color w:val="000000" w:themeColor="text1"/>
                <w:sz w:val="16"/>
                <w:szCs w:val="16"/>
              </w:rPr>
              <w:t xml:space="preserve">. </w:t>
            </w:r>
            <w:r w:rsidRPr="00AA444C">
              <w:rPr>
                <w:rFonts w:asciiTheme="minorHAnsi" w:eastAsia="Times New Roman" w:hAnsiTheme="minorHAnsi" w:cs="Calibri"/>
                <w:bCs/>
                <w:color w:val="000000" w:themeColor="text1"/>
                <w:sz w:val="16"/>
                <w:szCs w:val="16"/>
              </w:rPr>
              <w:t xml:space="preserve">Přesto </w:t>
            </w:r>
            <w:r>
              <w:rPr>
                <w:rFonts w:asciiTheme="minorHAnsi" w:eastAsia="Times New Roman" w:hAnsiTheme="minorHAnsi" w:cs="Calibri"/>
                <w:bCs/>
                <w:color w:val="000000" w:themeColor="text1"/>
                <w:sz w:val="16"/>
                <w:szCs w:val="16"/>
              </w:rPr>
              <w:t xml:space="preserve">patří </w:t>
            </w:r>
            <w:r w:rsidRPr="00AA444C">
              <w:rPr>
                <w:rFonts w:asciiTheme="minorHAnsi" w:eastAsia="Times New Roman" w:hAnsiTheme="minorHAnsi" w:cs="Calibri"/>
                <w:b/>
                <w:bCs/>
                <w:color w:val="000000" w:themeColor="text1"/>
                <w:sz w:val="16"/>
                <w:szCs w:val="16"/>
              </w:rPr>
              <w:t>proces podání</w:t>
            </w:r>
            <w:r>
              <w:rPr>
                <w:rFonts w:asciiTheme="minorHAnsi" w:eastAsia="Times New Roman" w:hAnsiTheme="minorHAnsi" w:cs="Calibri"/>
                <w:bCs/>
                <w:color w:val="000000" w:themeColor="text1"/>
                <w:sz w:val="16"/>
                <w:szCs w:val="16"/>
              </w:rPr>
              <w:t xml:space="preserve">, </w:t>
            </w:r>
            <w:r w:rsidR="00EA5475" w:rsidRPr="1B8B314C">
              <w:rPr>
                <w:rFonts w:asciiTheme="minorHAnsi" w:eastAsia="Times New Roman" w:hAnsiTheme="minorHAnsi" w:cs="Calibri"/>
                <w:b/>
                <w:bCs/>
                <w:color w:val="000000" w:themeColor="text1"/>
                <w:sz w:val="16"/>
                <w:szCs w:val="16"/>
              </w:rPr>
              <w:t xml:space="preserve"> kontroly a schvalování </w:t>
            </w:r>
            <w:r w:rsidR="00825645" w:rsidRPr="1B8B314C">
              <w:rPr>
                <w:rFonts w:asciiTheme="minorHAnsi" w:eastAsia="Times New Roman" w:hAnsiTheme="minorHAnsi" w:cs="Calibri"/>
                <w:b/>
                <w:bCs/>
                <w:color w:val="000000" w:themeColor="text1"/>
                <w:sz w:val="16"/>
                <w:szCs w:val="16"/>
              </w:rPr>
              <w:t>ŽoPl</w:t>
            </w:r>
            <w:r w:rsidR="00EA5475" w:rsidRPr="1B8B314C">
              <w:rPr>
                <w:rFonts w:asciiTheme="minorHAnsi" w:eastAsia="Times New Roman" w:hAnsiTheme="minorHAnsi" w:cs="Calibri"/>
                <w:b/>
                <w:bCs/>
                <w:color w:val="000000" w:themeColor="text1"/>
                <w:sz w:val="16"/>
                <w:szCs w:val="16"/>
              </w:rPr>
              <w:t xml:space="preserve"> </w:t>
            </w:r>
            <w:r>
              <w:rPr>
                <w:rFonts w:asciiTheme="minorHAnsi" w:eastAsia="Times New Roman" w:hAnsiTheme="minorHAnsi" w:cs="Calibri"/>
                <w:b/>
                <w:bCs/>
                <w:color w:val="000000" w:themeColor="text1"/>
                <w:sz w:val="16"/>
                <w:szCs w:val="16"/>
              </w:rPr>
              <w:t>k</w:t>
            </w:r>
            <w:r w:rsidRPr="1B8B314C">
              <w:rPr>
                <w:rFonts w:asciiTheme="minorHAnsi" w:eastAsia="Times New Roman" w:hAnsiTheme="minorHAnsi" w:cs="Calibri"/>
                <w:b/>
                <w:bCs/>
                <w:color w:val="000000" w:themeColor="text1"/>
                <w:sz w:val="16"/>
                <w:szCs w:val="16"/>
              </w:rPr>
              <w:t xml:space="preserve"> </w:t>
            </w:r>
            <w:r w:rsidR="00EA5475" w:rsidRPr="1B8B314C">
              <w:rPr>
                <w:rFonts w:asciiTheme="minorHAnsi" w:eastAsia="Times New Roman" w:hAnsiTheme="minorHAnsi" w:cs="Calibri"/>
                <w:b/>
                <w:bCs/>
                <w:color w:val="000000" w:themeColor="text1"/>
                <w:sz w:val="16"/>
                <w:szCs w:val="16"/>
              </w:rPr>
              <w:t>jedním z ne</w:t>
            </w:r>
            <w:r w:rsidR="69DF854B" w:rsidRPr="1B8B314C">
              <w:rPr>
                <w:rFonts w:asciiTheme="minorHAnsi" w:eastAsia="Times New Roman" w:hAnsiTheme="minorHAnsi" w:cs="Calibri"/>
                <w:b/>
                <w:bCs/>
                <w:color w:val="000000" w:themeColor="text1"/>
                <w:sz w:val="16"/>
                <w:szCs w:val="16"/>
              </w:rPr>
              <w:t>j</w:t>
            </w:r>
            <w:r w:rsidR="00EA5475" w:rsidRPr="1B8B314C">
              <w:rPr>
                <w:rFonts w:asciiTheme="minorHAnsi" w:eastAsia="Times New Roman" w:hAnsiTheme="minorHAnsi" w:cs="Calibri"/>
                <w:b/>
                <w:bCs/>
                <w:color w:val="000000" w:themeColor="text1"/>
                <w:sz w:val="16"/>
                <w:szCs w:val="16"/>
              </w:rPr>
              <w:t>náročnějších postupů v průběhu administrace projekt</w:t>
            </w:r>
            <w:r w:rsidR="00C93CE9">
              <w:rPr>
                <w:rFonts w:asciiTheme="minorHAnsi" w:eastAsia="Times New Roman" w:hAnsiTheme="minorHAnsi" w:cs="Calibri"/>
                <w:b/>
                <w:bCs/>
                <w:color w:val="000000" w:themeColor="text1"/>
                <w:sz w:val="16"/>
                <w:szCs w:val="16"/>
              </w:rPr>
              <w:t>u</w:t>
            </w:r>
            <w:r w:rsidR="00EA5475" w:rsidRPr="1B8B314C">
              <w:rPr>
                <w:rFonts w:asciiTheme="minorHAnsi" w:eastAsia="Times New Roman" w:hAnsiTheme="minorHAnsi" w:cs="Calibri"/>
                <w:b/>
                <w:bCs/>
                <w:color w:val="000000" w:themeColor="text1"/>
                <w:sz w:val="16"/>
                <w:szCs w:val="16"/>
              </w:rPr>
              <w:t>.</w:t>
            </w:r>
            <w:r w:rsidR="00EA5475" w:rsidRPr="1B8B314C">
              <w:rPr>
                <w:rFonts w:asciiTheme="minorHAnsi" w:eastAsia="Times New Roman" w:hAnsiTheme="minorHAnsi" w:cs="Calibri"/>
                <w:color w:val="000000" w:themeColor="text1"/>
                <w:sz w:val="16"/>
                <w:szCs w:val="16"/>
              </w:rPr>
              <w:t xml:space="preserve"> V závislosti na výši rozpočtu, počtu etap se různí stupeň náročnosti podávání </w:t>
            </w:r>
            <w:r w:rsidR="00825645" w:rsidRPr="1B8B314C">
              <w:rPr>
                <w:rFonts w:asciiTheme="minorHAnsi" w:eastAsia="Times New Roman" w:hAnsiTheme="minorHAnsi" w:cs="Calibri"/>
                <w:color w:val="000000" w:themeColor="text1"/>
                <w:sz w:val="16"/>
                <w:szCs w:val="16"/>
              </w:rPr>
              <w:t>ŽoPl</w:t>
            </w:r>
            <w:r w:rsidR="00EA5475" w:rsidRPr="1B8B314C">
              <w:rPr>
                <w:rFonts w:asciiTheme="minorHAnsi" w:eastAsia="Times New Roman" w:hAnsiTheme="minorHAnsi" w:cs="Calibri"/>
                <w:color w:val="000000" w:themeColor="text1"/>
                <w:sz w:val="16"/>
                <w:szCs w:val="16"/>
              </w:rPr>
              <w:t xml:space="preserve"> a její kontroly. Náročnost procesu se odvíjí od počtu účetních dokladů, které musí příjemce manuálně a jednotlivě nahrávat do systému ISKP14+. Zde následně probíhá stejná manuální kontrola implementační strukturou. V případě účetních dokladů v cizí měně musí dojít k dohledání platného kurzu ke dni úhrady dokladu a přepočet. </w:t>
            </w:r>
            <w:r>
              <w:rPr>
                <w:rFonts w:asciiTheme="minorHAnsi" w:eastAsia="Times New Roman" w:hAnsiTheme="minorHAnsi" w:cs="Calibri"/>
                <w:color w:val="000000" w:themeColor="text1"/>
                <w:sz w:val="16"/>
                <w:szCs w:val="16"/>
              </w:rPr>
              <w:t xml:space="preserve">Náročnost procesu tak v drtivé většině </w:t>
            </w:r>
            <w:r w:rsidR="00E26F91">
              <w:rPr>
                <w:rFonts w:asciiTheme="minorHAnsi" w:eastAsia="Times New Roman" w:hAnsiTheme="minorHAnsi" w:cs="Calibri"/>
                <w:color w:val="000000" w:themeColor="text1"/>
                <w:sz w:val="16"/>
                <w:szCs w:val="16"/>
              </w:rPr>
              <w:t xml:space="preserve">vede k několikanásobnému vracení ŽoPl k přepracování a úpravám. </w:t>
            </w:r>
          </w:p>
          <w:p w14:paraId="47E9802A" w14:textId="38333B8A" w:rsidR="002454A6"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Složitost procesu zadávání údajů do modulu EDS je umocněna opět nedostatečnou funkcionalitou MS2014+.</w:t>
            </w:r>
            <w:r w:rsidRPr="000421F0">
              <w:rPr>
                <w:rFonts w:asciiTheme="minorHAnsi" w:eastAsia="Times New Roman" w:hAnsiTheme="minorHAnsi" w:cs="Calibri"/>
                <w:color w:val="000000"/>
                <w:sz w:val="16"/>
                <w:szCs w:val="16"/>
              </w:rPr>
              <w:t xml:space="preserve"> Např. systém neumožňuje využití umělé inteligence pro vytěžování dat z nahraných dokumentů, při každé </w:t>
            </w:r>
            <w:r w:rsidR="00825645" w:rsidRPr="000421F0">
              <w:rPr>
                <w:rFonts w:asciiTheme="minorHAnsi" w:eastAsia="Times New Roman" w:hAnsiTheme="minorHAnsi" w:cs="Calibri"/>
                <w:color w:val="000000"/>
                <w:sz w:val="16"/>
                <w:szCs w:val="16"/>
              </w:rPr>
              <w:t>ŽoPl</w:t>
            </w:r>
            <w:r w:rsidRPr="000421F0">
              <w:rPr>
                <w:rFonts w:asciiTheme="minorHAnsi" w:eastAsia="Times New Roman" w:hAnsiTheme="minorHAnsi" w:cs="Calibri"/>
                <w:color w:val="000000"/>
                <w:sz w:val="16"/>
                <w:szCs w:val="16"/>
              </w:rPr>
              <w:t xml:space="preserve"> dokládá Příjemce potvrzení o bankovním účtu znovu apod.</w:t>
            </w:r>
          </w:p>
          <w:p w14:paraId="1FE41AD5" w14:textId="091C60C8"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 xml:space="preserve">Kontrolu a následné proplacení </w:t>
            </w:r>
            <w:r w:rsidR="00825645" w:rsidRPr="000421F0">
              <w:rPr>
                <w:rFonts w:asciiTheme="minorHAnsi" w:eastAsia="Times New Roman" w:hAnsiTheme="minorHAnsi" w:cs="Calibri"/>
                <w:b/>
                <w:color w:val="000000"/>
                <w:sz w:val="16"/>
                <w:szCs w:val="16"/>
              </w:rPr>
              <w:t>ŽoPl</w:t>
            </w:r>
            <w:r w:rsidRPr="000421F0">
              <w:rPr>
                <w:rFonts w:asciiTheme="minorHAnsi" w:eastAsia="Times New Roman" w:hAnsiTheme="minorHAnsi" w:cs="Calibri"/>
                <w:b/>
                <w:color w:val="000000"/>
                <w:sz w:val="16"/>
                <w:szCs w:val="16"/>
              </w:rPr>
              <w:t xml:space="preserve"> se podařilo urychlit z průměrných 149 dní v roce 2015 na průměrných 57 dní v roce 2020.</w:t>
            </w:r>
            <w:r w:rsidRPr="000421F0">
              <w:rPr>
                <w:rFonts w:asciiTheme="minorHAnsi" w:eastAsia="Times New Roman" w:hAnsiTheme="minorHAnsi" w:cs="Calibri"/>
                <w:color w:val="000000"/>
                <w:sz w:val="16"/>
                <w:szCs w:val="16"/>
              </w:rPr>
              <w:t xml:space="preserve"> Mediánová doba (tedy u polovičky podaných </w:t>
            </w:r>
            <w:r w:rsidR="00825645" w:rsidRPr="000421F0">
              <w:rPr>
                <w:rFonts w:asciiTheme="minorHAnsi" w:eastAsia="Times New Roman" w:hAnsiTheme="minorHAnsi" w:cs="Calibri"/>
                <w:color w:val="000000"/>
                <w:sz w:val="16"/>
                <w:szCs w:val="16"/>
              </w:rPr>
              <w:t>ŽoPl</w:t>
            </w:r>
            <w:r w:rsidRPr="000421F0">
              <w:rPr>
                <w:rFonts w:asciiTheme="minorHAnsi" w:eastAsia="Times New Roman" w:hAnsiTheme="minorHAnsi" w:cs="Calibri"/>
                <w:color w:val="000000"/>
                <w:sz w:val="16"/>
                <w:szCs w:val="16"/>
              </w:rPr>
              <w:t>) opět zůstává téměř nezměněna a byla snížena z</w:t>
            </w:r>
            <w:r w:rsidR="00B15E27">
              <w:rPr>
                <w:rFonts w:asciiTheme="minorHAnsi" w:eastAsia="Times New Roman" w:hAnsiTheme="minorHAnsi" w:cs="Calibri"/>
                <w:color w:val="000000"/>
                <w:sz w:val="16"/>
                <w:szCs w:val="16"/>
              </w:rPr>
              <w:t>e</w:t>
            </w:r>
            <w:r w:rsidRPr="000421F0">
              <w:rPr>
                <w:rFonts w:asciiTheme="minorHAnsi" w:eastAsia="Times New Roman" w:hAnsiTheme="minorHAnsi" w:cs="Calibri"/>
                <w:color w:val="000000"/>
                <w:sz w:val="16"/>
                <w:szCs w:val="16"/>
              </w:rPr>
              <w:t> 49 dní v roce 2015 na 41 dní v roce 2020. K největšímu urychlení došlo u kontroly 2.</w:t>
            </w:r>
            <w:r w:rsidR="00075057" w:rsidRPr="000421F0">
              <w:rPr>
                <w:rFonts w:asciiTheme="minorHAnsi" w:eastAsia="Times New Roman" w:hAnsiTheme="minorHAnsi" w:cs="Calibri"/>
                <w:color w:val="000000"/>
                <w:sz w:val="16"/>
                <w:szCs w:val="16"/>
              </w:rPr>
              <w:t xml:space="preserve"> </w:t>
            </w:r>
            <w:r w:rsidRPr="000421F0">
              <w:rPr>
                <w:rFonts w:asciiTheme="minorHAnsi" w:eastAsia="Times New Roman" w:hAnsiTheme="minorHAnsi" w:cs="Calibri"/>
                <w:color w:val="000000"/>
                <w:sz w:val="16"/>
                <w:szCs w:val="16"/>
              </w:rPr>
              <w:t>stupně, tedy na MPO a částečně následné proplacení RaF. Naopak téměř nezměněna zůstává doba kontroly 1. stupně na API. Důvody jsou obdobné jako v případě administrace žádostí.</w:t>
            </w:r>
          </w:p>
          <w:p w14:paraId="0CE62623" w14:textId="170F9A45" w:rsidR="00EA5475" w:rsidRPr="00C93CE9" w:rsidRDefault="003636E6" w:rsidP="00E105D8">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color w:val="000000"/>
                <w:sz w:val="16"/>
                <w:szCs w:val="16"/>
              </w:rPr>
              <w:t>Ačkoli se až 48 % respondentů DŠ domnívá, že je doba posuzování ŽoPl ze strany příjemců hodnocena jako přiměřená, d</w:t>
            </w:r>
            <w:r w:rsidRPr="000421F0">
              <w:rPr>
                <w:rFonts w:asciiTheme="minorHAnsi" w:eastAsia="Times New Roman" w:hAnsiTheme="minorHAnsi" w:cs="Calibri"/>
                <w:color w:val="000000"/>
                <w:sz w:val="16"/>
                <w:szCs w:val="16"/>
              </w:rPr>
              <w:t xml:space="preserve">oba </w:t>
            </w:r>
            <w:r w:rsidR="00EA5475" w:rsidRPr="000421F0">
              <w:rPr>
                <w:rFonts w:asciiTheme="minorHAnsi" w:eastAsia="Times New Roman" w:hAnsiTheme="minorHAnsi" w:cs="Calibri"/>
                <w:color w:val="000000"/>
                <w:sz w:val="16"/>
                <w:szCs w:val="16"/>
              </w:rPr>
              <w:t xml:space="preserve">schvalování </w:t>
            </w:r>
            <w:r>
              <w:rPr>
                <w:rFonts w:asciiTheme="minorHAnsi" w:eastAsia="Times New Roman" w:hAnsiTheme="minorHAnsi" w:cs="Calibri"/>
                <w:color w:val="000000"/>
                <w:sz w:val="16"/>
                <w:szCs w:val="16"/>
              </w:rPr>
              <w:t>není</w:t>
            </w:r>
            <w:r w:rsidRPr="000421F0">
              <w:rPr>
                <w:rFonts w:asciiTheme="minorHAnsi" w:eastAsia="Times New Roman" w:hAnsiTheme="minorHAnsi" w:cs="Calibri"/>
                <w:color w:val="000000"/>
                <w:sz w:val="16"/>
                <w:szCs w:val="16"/>
              </w:rPr>
              <w:t xml:space="preserve"> </w:t>
            </w:r>
            <w:r w:rsidR="00EA5475" w:rsidRPr="000421F0">
              <w:rPr>
                <w:rFonts w:asciiTheme="minorHAnsi" w:eastAsia="Times New Roman" w:hAnsiTheme="minorHAnsi" w:cs="Calibri"/>
                <w:color w:val="000000"/>
                <w:sz w:val="16"/>
                <w:szCs w:val="16"/>
              </w:rPr>
              <w:t xml:space="preserve">příjemci podpory hodnocena jako optimální. Zároveň ale dochází k celé řadě pochybení ze strany příjemců při nahrávání účetních dokladů a správnému zařazování způsobilých výdajů, které se musí následně korigovat, což způsobuje další prodloužení doby schvalování. </w:t>
            </w:r>
            <w:r w:rsidR="00C93CE9">
              <w:rPr>
                <w:rFonts w:asciiTheme="minorHAnsi" w:eastAsia="Times New Roman" w:hAnsiTheme="minorHAnsi" w:cs="Calibri"/>
                <w:color w:val="000000"/>
                <w:sz w:val="16"/>
                <w:szCs w:val="16"/>
              </w:rPr>
              <w:t xml:space="preserve">Proces ŽoPl by bylo možné urychlit </w:t>
            </w:r>
            <w:r w:rsidR="00C93CE9" w:rsidRPr="00C93CE9">
              <w:rPr>
                <w:rFonts w:asciiTheme="minorHAnsi" w:eastAsia="Times New Roman" w:hAnsiTheme="minorHAnsi" w:cs="Calibri"/>
                <w:b/>
                <w:color w:val="000000"/>
                <w:sz w:val="16"/>
                <w:szCs w:val="16"/>
              </w:rPr>
              <w:t>změnou vykazováním nákladů</w:t>
            </w:r>
            <w:r w:rsidR="00C93CE9">
              <w:rPr>
                <w:rFonts w:asciiTheme="minorHAnsi" w:eastAsia="Times New Roman" w:hAnsiTheme="minorHAnsi" w:cs="Calibri"/>
                <w:color w:val="000000"/>
                <w:sz w:val="16"/>
                <w:szCs w:val="16"/>
              </w:rPr>
              <w:t xml:space="preserve">, např. v případě mzdových nákladů uplatňovat paušální podporu, zrušit rozdělení na PV a EV a </w:t>
            </w:r>
            <w:r w:rsidR="00C93CE9" w:rsidRPr="00AA444C">
              <w:rPr>
                <w:rFonts w:asciiTheme="minorHAnsi" w:eastAsia="Times New Roman" w:hAnsiTheme="minorHAnsi" w:cs="Calibri"/>
                <w:b/>
                <w:color w:val="000000"/>
                <w:sz w:val="16"/>
                <w:szCs w:val="16"/>
              </w:rPr>
              <w:t xml:space="preserve">aplikací robotizace </w:t>
            </w:r>
            <w:r w:rsidR="00C93CE9">
              <w:rPr>
                <w:rFonts w:asciiTheme="minorHAnsi" w:eastAsia="Times New Roman" w:hAnsiTheme="minorHAnsi" w:cs="Calibri"/>
                <w:color w:val="000000"/>
                <w:sz w:val="16"/>
                <w:szCs w:val="16"/>
              </w:rPr>
              <w:t xml:space="preserve">(části) </w:t>
            </w:r>
            <w:r w:rsidR="00C93CE9" w:rsidRPr="00AA444C">
              <w:rPr>
                <w:rFonts w:asciiTheme="minorHAnsi" w:eastAsia="Times New Roman" w:hAnsiTheme="minorHAnsi" w:cs="Calibri"/>
                <w:b/>
                <w:color w:val="000000"/>
                <w:sz w:val="16"/>
                <w:szCs w:val="16"/>
              </w:rPr>
              <w:t>procesu kontroly ŽoPl</w:t>
            </w:r>
            <w:r w:rsidR="00C93CE9">
              <w:rPr>
                <w:rFonts w:asciiTheme="minorHAnsi" w:eastAsia="Times New Roman" w:hAnsiTheme="minorHAnsi" w:cs="Calibri"/>
                <w:color w:val="000000"/>
                <w:sz w:val="16"/>
                <w:szCs w:val="16"/>
              </w:rPr>
              <w:t xml:space="preserve">, případně </w:t>
            </w:r>
            <w:r w:rsidR="00C93CE9" w:rsidRPr="00AA444C">
              <w:rPr>
                <w:rFonts w:asciiTheme="minorHAnsi" w:eastAsia="Times New Roman" w:hAnsiTheme="minorHAnsi" w:cs="Calibri"/>
                <w:b/>
                <w:color w:val="000000"/>
                <w:sz w:val="16"/>
                <w:szCs w:val="16"/>
              </w:rPr>
              <w:t xml:space="preserve">využití umělé inteligence </w:t>
            </w:r>
            <w:r w:rsidR="00C93CE9" w:rsidRPr="00C93CE9">
              <w:rPr>
                <w:rFonts w:asciiTheme="minorHAnsi" w:eastAsia="Times New Roman" w:hAnsiTheme="minorHAnsi" w:cs="Calibri"/>
                <w:color w:val="000000"/>
                <w:sz w:val="16"/>
                <w:szCs w:val="16"/>
              </w:rPr>
              <w:t>v monitorovacím systému</w:t>
            </w:r>
            <w:r w:rsidR="00C93CE9" w:rsidRPr="00AA444C">
              <w:rPr>
                <w:rFonts w:asciiTheme="minorHAnsi" w:eastAsia="Times New Roman" w:hAnsiTheme="minorHAnsi" w:cs="Calibri"/>
                <w:b/>
                <w:color w:val="000000"/>
                <w:sz w:val="16"/>
                <w:szCs w:val="16"/>
              </w:rPr>
              <w:t xml:space="preserve"> na vytěžování dat z</w:t>
            </w:r>
            <w:r w:rsidR="00C93CE9">
              <w:rPr>
                <w:rFonts w:asciiTheme="minorHAnsi" w:eastAsia="Times New Roman" w:hAnsiTheme="minorHAnsi" w:cs="Calibri"/>
                <w:b/>
                <w:color w:val="000000"/>
                <w:sz w:val="16"/>
                <w:szCs w:val="16"/>
              </w:rPr>
              <w:t> účetních dokladů nahrávanými příjemci podpory.</w:t>
            </w:r>
            <w:r w:rsidR="00C93CE9">
              <w:rPr>
                <w:rStyle w:val="FootnoteReference"/>
                <w:rFonts w:asciiTheme="minorHAnsi" w:eastAsia="Times New Roman" w:hAnsiTheme="minorHAnsi" w:cs="Calibri"/>
                <w:b/>
                <w:color w:val="000000"/>
                <w:sz w:val="16"/>
                <w:szCs w:val="16"/>
              </w:rPr>
              <w:footnoteReference w:id="23"/>
            </w:r>
            <w:r w:rsidR="00C93CE9">
              <w:rPr>
                <w:rFonts w:asciiTheme="minorHAnsi" w:eastAsia="Times New Roman" w:hAnsiTheme="minorHAnsi" w:cs="Calibri"/>
                <w:b/>
                <w:color w:val="000000"/>
                <w:sz w:val="16"/>
                <w:szCs w:val="16"/>
              </w:rPr>
              <w:t xml:space="preserve"> </w:t>
            </w:r>
          </w:p>
        </w:tc>
      </w:tr>
      <w:tr w:rsidR="002454A6" w:rsidRPr="000421F0" w14:paraId="31CE55DA" w14:textId="77777777" w:rsidTr="1B8B31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3" w:type="pct"/>
            <w:noWrap/>
          </w:tcPr>
          <w:p w14:paraId="016BF0C7"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lastRenderedPageBreak/>
              <w:t>11</w:t>
            </w:r>
          </w:p>
        </w:tc>
        <w:tc>
          <w:tcPr>
            <w:tcW w:w="1283" w:type="pct"/>
            <w:noWrap/>
          </w:tcPr>
          <w:p w14:paraId="2500A18A" w14:textId="77777777" w:rsidR="00EA5475" w:rsidRPr="000421F0" w:rsidRDefault="00EA5475" w:rsidP="00E17552">
            <w:pPr>
              <w:spacing w:after="120"/>
              <w:ind w:left="1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Jak žadatelé/příjemci hodnotí práci v systému ISKP14+ v porovnání se systémem ISOP využívaným v programovém období 2007–2013? Lze identifikovat problémy žadatelů/příjemců při práci se systémem ISKP14+, které nemají obecnou povahu inherentně danou monitorovacím systémem, ale vyplývají z činnosti implementační struktury OP PIK?</w:t>
            </w:r>
          </w:p>
        </w:tc>
        <w:tc>
          <w:tcPr>
            <w:tcW w:w="3534" w:type="pct"/>
            <w:noWrap/>
          </w:tcPr>
          <w:p w14:paraId="25EAF746" w14:textId="768EF5F7" w:rsidR="002454A6"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V porovnání se systémem ISOP hodnotí příjemci, žadatelé i pracovníci implementační struktury práci v MS2014+ výrazně horší.</w:t>
            </w:r>
            <w:r w:rsidRPr="000421F0">
              <w:rPr>
                <w:rFonts w:asciiTheme="minorHAnsi" w:eastAsia="Times New Roman" w:hAnsiTheme="minorHAnsi" w:cs="Calibri"/>
                <w:color w:val="000000"/>
                <w:sz w:val="16"/>
                <w:szCs w:val="16"/>
              </w:rPr>
              <w:t xml:space="preserve"> Systém nedosahuje funkcionalit a propojení, efektivity systému ISOP. MS2014+ často není schopen přepisovat údaje mezi záložkami a žadatelé tak musí vyplňovat stejná data opakovaně. </w:t>
            </w:r>
          </w:p>
          <w:p w14:paraId="124D1293" w14:textId="43F23AA9" w:rsidR="00EA5475" w:rsidRPr="000421F0" w:rsidRDefault="00EA5475" w:rsidP="00776521">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1B8B314C">
              <w:rPr>
                <w:rFonts w:asciiTheme="minorHAnsi" w:eastAsia="Times New Roman" w:hAnsiTheme="minorHAnsi" w:cs="Calibri"/>
                <w:color w:val="000000" w:themeColor="text1"/>
                <w:sz w:val="16"/>
                <w:szCs w:val="16"/>
              </w:rPr>
              <w:t xml:space="preserve">Jako neefektivní se ukazuje využívání MS2014+ především pro komunikaci se žadateli a příjemci. </w:t>
            </w:r>
            <w:r w:rsidR="00776521">
              <w:rPr>
                <w:rFonts w:asciiTheme="minorHAnsi" w:eastAsia="Times New Roman" w:hAnsiTheme="minorHAnsi" w:cs="Calibri"/>
                <w:color w:val="000000" w:themeColor="text1"/>
                <w:sz w:val="16"/>
                <w:szCs w:val="16"/>
              </w:rPr>
              <w:t xml:space="preserve">Významná část žadatelů, příjemců ale i projektových manažerů preferuje osobní, telefonický kontakt. </w:t>
            </w:r>
            <w:r w:rsidRPr="1B8B314C">
              <w:rPr>
                <w:rFonts w:asciiTheme="minorHAnsi" w:eastAsia="Times New Roman" w:hAnsiTheme="minorHAnsi" w:cs="Calibri"/>
                <w:color w:val="000000" w:themeColor="text1"/>
                <w:sz w:val="16"/>
                <w:szCs w:val="16"/>
              </w:rPr>
              <w:t xml:space="preserve">Systém notifikací je nejen nedostatečný, ale omezující. </w:t>
            </w:r>
            <w:r w:rsidRPr="1B8B314C">
              <w:rPr>
                <w:rFonts w:asciiTheme="minorHAnsi" w:eastAsia="Times New Roman" w:hAnsiTheme="minorHAnsi" w:cs="Calibri"/>
                <w:b/>
                <w:bCs/>
                <w:color w:val="000000" w:themeColor="text1"/>
                <w:sz w:val="16"/>
                <w:szCs w:val="16"/>
              </w:rPr>
              <w:t>Notifikace by kromě depeší v systému měly být odesílány i do datové schránky příjemců a žadatelů.</w:t>
            </w:r>
            <w:r w:rsidRPr="1B8B314C">
              <w:rPr>
                <w:rFonts w:asciiTheme="minorHAnsi" w:eastAsia="Times New Roman" w:hAnsiTheme="minorHAnsi" w:cs="Calibri"/>
                <w:color w:val="000000" w:themeColor="text1"/>
                <w:sz w:val="16"/>
                <w:szCs w:val="16"/>
              </w:rPr>
              <w:t xml:space="preserve"> To by pomohlo předcházet komunikačním nedostatkům spojených buď s využíváním MS2014+ nebo poradenských společností.</w:t>
            </w:r>
          </w:p>
        </w:tc>
      </w:tr>
      <w:tr w:rsidR="002454A6" w:rsidRPr="000421F0" w14:paraId="0F0DD2B9" w14:textId="77777777" w:rsidTr="1B8B314C">
        <w:trPr>
          <w:trHeight w:val="520"/>
        </w:trPr>
        <w:tc>
          <w:tcPr>
            <w:cnfStyle w:val="001000000000" w:firstRow="0" w:lastRow="0" w:firstColumn="1" w:lastColumn="0" w:oddVBand="0" w:evenVBand="0" w:oddHBand="0" w:evenHBand="0" w:firstRowFirstColumn="0" w:firstRowLastColumn="0" w:lastRowFirstColumn="0" w:lastRowLastColumn="0"/>
            <w:tcW w:w="183" w:type="pct"/>
            <w:noWrap/>
          </w:tcPr>
          <w:p w14:paraId="53C0501E"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12</w:t>
            </w:r>
          </w:p>
        </w:tc>
        <w:tc>
          <w:tcPr>
            <w:tcW w:w="1283" w:type="pct"/>
            <w:noWrap/>
          </w:tcPr>
          <w:p w14:paraId="13CE6EC6" w14:textId="77777777" w:rsidR="00EA5475" w:rsidRPr="000421F0" w:rsidRDefault="00EA5475" w:rsidP="00E17552">
            <w:pPr>
              <w:tabs>
                <w:tab w:val="left" w:pos="857"/>
              </w:tabs>
              <w:spacing w:after="120"/>
              <w:ind w:left="14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Využívá implementační struktura OP PIK plně možností monitorovacího systému MS2014+? Je možné některé procesy v systému zautomatizovat? Ve kterých oblastech je MS2014+ pro implementační strukturu nejvíce limitující (z hlediska objemu práce, času, kontroly dat apod.)?</w:t>
            </w:r>
            <w:r w:rsidRPr="000421F0">
              <w:rPr>
                <w:rFonts w:asciiTheme="minorHAnsi" w:eastAsia="Times New Roman" w:hAnsiTheme="minorHAnsi" w:cs="Calibri"/>
                <w:b/>
                <w:color w:val="000000"/>
                <w:sz w:val="16"/>
                <w:szCs w:val="16"/>
              </w:rPr>
              <w:tab/>
            </w:r>
          </w:p>
        </w:tc>
        <w:tc>
          <w:tcPr>
            <w:tcW w:w="3534" w:type="pct"/>
            <w:noWrap/>
          </w:tcPr>
          <w:p w14:paraId="717C51E2"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Implementační struktura využívá maximum dostupných funkcí MS2014+. Naopak velkým nedostatkem je nedostatečná funkcionalita systému,</w:t>
            </w:r>
            <w:r w:rsidRPr="000421F0">
              <w:rPr>
                <w:rFonts w:asciiTheme="minorHAnsi" w:eastAsia="Times New Roman" w:hAnsiTheme="minorHAnsi" w:cs="Calibri"/>
                <w:color w:val="000000"/>
                <w:sz w:val="16"/>
                <w:szCs w:val="16"/>
              </w:rPr>
              <w:t xml:space="preserve"> zvláště v porovnání s předchozím systémem ISOP, který je obecně pracovníky IS se zkušeností hodnocen lépe. </w:t>
            </w:r>
          </w:p>
          <w:p w14:paraId="495E2E88"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Práce v MS2014+ je limitující především z důvodů:</w:t>
            </w:r>
          </w:p>
          <w:p w14:paraId="3D2BF2BF" w14:textId="77777777" w:rsidR="00EA5475" w:rsidRPr="000421F0" w:rsidRDefault="00EA5475" w:rsidP="00E17552">
            <w:pPr>
              <w:pStyle w:val="ListParagraph"/>
              <w:numPr>
                <w:ilvl w:val="0"/>
                <w:numId w:val="23"/>
              </w:numPr>
              <w:spacing w:after="120"/>
              <w:ind w:left="245"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Nedostatečné funkcionality;</w:t>
            </w:r>
          </w:p>
          <w:p w14:paraId="5A0C4CF9" w14:textId="00B434C1" w:rsidR="00EA5475" w:rsidRPr="000421F0" w:rsidRDefault="00EA5475" w:rsidP="00E17552">
            <w:pPr>
              <w:pStyle w:val="ListParagraph"/>
              <w:numPr>
                <w:ilvl w:val="0"/>
                <w:numId w:val="23"/>
              </w:numPr>
              <w:spacing w:after="120"/>
              <w:ind w:left="245"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Délky responsivity (načítání</w:t>
            </w:r>
            <w:r w:rsidR="00B15E27">
              <w:rPr>
                <w:rFonts w:asciiTheme="minorHAnsi" w:eastAsia="Times New Roman" w:hAnsiTheme="minorHAnsi" w:cs="Calibri"/>
                <w:color w:val="000000"/>
                <w:sz w:val="16"/>
                <w:szCs w:val="16"/>
              </w:rPr>
              <w:t xml:space="preserve"> – délka odpovědi ze strany serveru</w:t>
            </w:r>
            <w:r w:rsidRPr="000421F0">
              <w:rPr>
                <w:rFonts w:asciiTheme="minorHAnsi" w:eastAsia="Times New Roman" w:hAnsiTheme="minorHAnsi" w:cs="Calibri"/>
                <w:color w:val="000000"/>
                <w:sz w:val="16"/>
                <w:szCs w:val="16"/>
              </w:rPr>
              <w:t>);</w:t>
            </w:r>
          </w:p>
          <w:p w14:paraId="24F1C027" w14:textId="77777777" w:rsidR="00EA5475" w:rsidRPr="000421F0" w:rsidRDefault="00EA5475" w:rsidP="00E17552">
            <w:pPr>
              <w:pStyle w:val="ListParagraph"/>
              <w:numPr>
                <w:ilvl w:val="0"/>
                <w:numId w:val="23"/>
              </w:numPr>
              <w:spacing w:after="120"/>
              <w:ind w:left="245"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Množstvím záložek a karet;</w:t>
            </w:r>
          </w:p>
          <w:p w14:paraId="69656DE2" w14:textId="4C9DF3ED" w:rsidR="00EA5475" w:rsidRPr="000421F0" w:rsidRDefault="00EA5475" w:rsidP="00E17552">
            <w:pPr>
              <w:pStyle w:val="ListParagraph"/>
              <w:numPr>
                <w:ilvl w:val="0"/>
                <w:numId w:val="23"/>
              </w:numPr>
              <w:spacing w:after="120"/>
              <w:ind w:left="245"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Záložkou administrativního ověření, která je hodnoceno jako n</w:t>
            </w:r>
            <w:r w:rsidR="00B15E27">
              <w:rPr>
                <w:rFonts w:asciiTheme="minorHAnsi" w:eastAsia="Times New Roman" w:hAnsiTheme="minorHAnsi" w:cs="Calibri"/>
                <w:color w:val="000000"/>
                <w:sz w:val="16"/>
                <w:szCs w:val="16"/>
              </w:rPr>
              <w:t>a</w:t>
            </w:r>
            <w:r w:rsidRPr="000421F0">
              <w:rPr>
                <w:rFonts w:asciiTheme="minorHAnsi" w:eastAsia="Times New Roman" w:hAnsiTheme="minorHAnsi" w:cs="Calibri"/>
                <w:color w:val="000000"/>
                <w:sz w:val="16"/>
                <w:szCs w:val="16"/>
              </w:rPr>
              <w:t>dbytečný mezikrok;</w:t>
            </w:r>
          </w:p>
          <w:p w14:paraId="73356F82" w14:textId="08FF7D94" w:rsidR="00EA5475" w:rsidRPr="000421F0" w:rsidRDefault="00EA5475" w:rsidP="00E17552">
            <w:pPr>
              <w:pStyle w:val="ListParagraph"/>
              <w:numPr>
                <w:ilvl w:val="0"/>
                <w:numId w:val="23"/>
              </w:numPr>
              <w:spacing w:after="120"/>
              <w:ind w:left="245"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Absencí automatických notifikací</w:t>
            </w:r>
            <w:r w:rsidR="00B15E27">
              <w:rPr>
                <w:rFonts w:asciiTheme="minorHAnsi" w:eastAsia="Times New Roman" w:hAnsiTheme="minorHAnsi" w:cs="Calibri"/>
                <w:color w:val="000000"/>
                <w:sz w:val="16"/>
                <w:szCs w:val="16"/>
              </w:rPr>
              <w:t>;</w:t>
            </w:r>
            <w:r w:rsidRPr="000421F0">
              <w:rPr>
                <w:rFonts w:asciiTheme="minorHAnsi" w:eastAsia="Times New Roman" w:hAnsiTheme="minorHAnsi" w:cs="Calibri"/>
                <w:color w:val="000000"/>
                <w:sz w:val="16"/>
                <w:szCs w:val="16"/>
              </w:rPr>
              <w:t xml:space="preserve"> </w:t>
            </w:r>
          </w:p>
          <w:p w14:paraId="6403CA75" w14:textId="62A3A10A" w:rsidR="00EA5475" w:rsidRPr="000421F0" w:rsidRDefault="00EA5475" w:rsidP="00E17552">
            <w:pPr>
              <w:pStyle w:val="ListParagraph"/>
              <w:numPr>
                <w:ilvl w:val="0"/>
                <w:numId w:val="23"/>
              </w:numPr>
              <w:spacing w:after="120"/>
              <w:ind w:left="245"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Absencí byť i jednoduchých statistik a přehledů, případně dashboardů;</w:t>
            </w:r>
          </w:p>
          <w:p w14:paraId="007ACAA4" w14:textId="77777777" w:rsidR="00EA5475" w:rsidRPr="000421F0" w:rsidRDefault="00EA5475" w:rsidP="00E17552">
            <w:pPr>
              <w:pStyle w:val="ListParagraph"/>
              <w:numPr>
                <w:ilvl w:val="0"/>
                <w:numId w:val="23"/>
              </w:numPr>
              <w:spacing w:after="120"/>
              <w:ind w:left="245"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Existence dvou oddělených modulů MS2014+ pro implementační strukturu a ISKP14+ pro žadatele a příjemce;</w:t>
            </w:r>
          </w:p>
          <w:p w14:paraId="01BCAAC8" w14:textId="4639633F" w:rsidR="00EA5475" w:rsidRPr="000421F0" w:rsidRDefault="00EA5475" w:rsidP="00E17552">
            <w:pPr>
              <w:pStyle w:val="ListParagraph"/>
              <w:numPr>
                <w:ilvl w:val="0"/>
                <w:numId w:val="23"/>
              </w:numPr>
              <w:spacing w:after="120"/>
              <w:ind w:left="245"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Absence automatických výpočtů a generování seznamů projektů (např. výpočet směsných poměrů, generování seznamů plánovaných </w:t>
            </w:r>
            <w:r w:rsidR="00825645" w:rsidRPr="000421F0">
              <w:rPr>
                <w:rFonts w:asciiTheme="minorHAnsi" w:eastAsia="Times New Roman" w:hAnsiTheme="minorHAnsi" w:cs="Calibri"/>
                <w:color w:val="000000"/>
                <w:sz w:val="16"/>
                <w:szCs w:val="16"/>
              </w:rPr>
              <w:t>ŽoPl</w:t>
            </w:r>
            <w:r w:rsidRPr="000421F0">
              <w:rPr>
                <w:rFonts w:asciiTheme="minorHAnsi" w:eastAsia="Times New Roman" w:hAnsiTheme="minorHAnsi" w:cs="Calibri"/>
                <w:color w:val="000000"/>
                <w:sz w:val="16"/>
                <w:szCs w:val="16"/>
              </w:rPr>
              <w:t>);</w:t>
            </w:r>
          </w:p>
          <w:p w14:paraId="7272D407" w14:textId="2D705AFD" w:rsidR="001A224B" w:rsidRPr="000421F0" w:rsidRDefault="00EA5475" w:rsidP="00E17552">
            <w:pPr>
              <w:pStyle w:val="ListParagraph"/>
              <w:numPr>
                <w:ilvl w:val="0"/>
                <w:numId w:val="23"/>
              </w:numPr>
              <w:spacing w:after="120"/>
              <w:ind w:left="245" w:hanging="180"/>
              <w:contextualSpacing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Množstvím kliků a rozklikáváním (rozbalovacích menu).</w:t>
            </w:r>
          </w:p>
          <w:p w14:paraId="4B8A2DDA" w14:textId="3A65E396"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V systému je celá řada procesů, které je možné automatizovat a jejichž automatizace by zefektivnila administraci podpory OP PIK. Ideálním řešením je systémová integrace v automatizac</w:t>
            </w:r>
            <w:r w:rsidR="00B15E27">
              <w:rPr>
                <w:rFonts w:asciiTheme="minorHAnsi" w:eastAsia="Times New Roman" w:hAnsiTheme="minorHAnsi" w:cs="Calibri"/>
                <w:color w:val="000000"/>
                <w:sz w:val="16"/>
                <w:szCs w:val="16"/>
              </w:rPr>
              <w:t>i</w:t>
            </w:r>
            <w:r w:rsidRPr="000421F0">
              <w:rPr>
                <w:rFonts w:asciiTheme="minorHAnsi" w:eastAsia="Times New Roman" w:hAnsiTheme="minorHAnsi" w:cs="Calibri"/>
                <w:color w:val="000000"/>
                <w:sz w:val="16"/>
                <w:szCs w:val="16"/>
              </w:rPr>
              <w:t xml:space="preserve"> v monitorovacím systému. V případě nedostupnosti této možnosti, se jeví jako nejvhodnější proces robotické automatizace. Přehled procesů s</w:t>
            </w:r>
            <w:r w:rsidR="006E0541" w:rsidRPr="000421F0">
              <w:rPr>
                <w:rFonts w:asciiTheme="minorHAnsi" w:eastAsia="Times New Roman" w:hAnsiTheme="minorHAnsi" w:cs="Calibri"/>
                <w:color w:val="000000"/>
                <w:sz w:val="16"/>
                <w:szCs w:val="16"/>
              </w:rPr>
              <w:t xml:space="preserve"> největším </w:t>
            </w:r>
            <w:r w:rsidRPr="000421F0">
              <w:rPr>
                <w:rFonts w:asciiTheme="minorHAnsi" w:eastAsia="Times New Roman" w:hAnsiTheme="minorHAnsi" w:cs="Calibri"/>
                <w:color w:val="000000"/>
                <w:sz w:val="16"/>
                <w:szCs w:val="16"/>
              </w:rPr>
              <w:t xml:space="preserve">potenciálem automatizace je uveden v příloze </w:t>
            </w:r>
            <w:r w:rsidR="006E0541" w:rsidRPr="000421F0">
              <w:rPr>
                <w:rFonts w:asciiTheme="minorHAnsi" w:eastAsia="Times New Roman" w:hAnsiTheme="minorHAnsi" w:cs="Calibri"/>
                <w:color w:val="000000"/>
                <w:sz w:val="16"/>
                <w:szCs w:val="16"/>
              </w:rPr>
              <w:t xml:space="preserve">3. </w:t>
            </w:r>
          </w:p>
        </w:tc>
      </w:tr>
    </w:tbl>
    <w:p w14:paraId="1B03F1E7" w14:textId="02F4A4B3" w:rsidR="00E17552" w:rsidRPr="00E17552" w:rsidRDefault="00E17552" w:rsidP="00E17552"/>
    <w:p w14:paraId="2ED31174" w14:textId="4AAD378E" w:rsidR="00EA5475" w:rsidRPr="006B30BF" w:rsidRDefault="002A7D85" w:rsidP="002A7D85">
      <w:pPr>
        <w:pStyle w:val="Heading2"/>
      </w:pPr>
      <w:bookmarkStart w:id="16" w:name="_Toc52532086"/>
      <w:r>
        <w:t>Komunikace</w:t>
      </w:r>
      <w:bookmarkEnd w:id="16"/>
      <w:r>
        <w:t xml:space="preserve"> </w:t>
      </w:r>
    </w:p>
    <w:p w14:paraId="72514B28" w14:textId="70D7DA50" w:rsidR="00EA5475" w:rsidRPr="006B30BF" w:rsidRDefault="00E1494C" w:rsidP="00EA5475">
      <w:pPr>
        <w:spacing w:before="60" w:after="60" w:line="240" w:lineRule="auto"/>
        <w:rPr>
          <w:rFonts w:ascii="Verdana" w:hAnsi="Verdana"/>
          <w:szCs w:val="18"/>
        </w:rPr>
      </w:pPr>
      <w:r>
        <w:rPr>
          <w:rFonts w:ascii="Verdana" w:hAnsi="Verdana"/>
          <w:szCs w:val="18"/>
        </w:rPr>
        <w:t xml:space="preserve">Následující tabulka shrnuje odpovědi k evaluačním otázkám z oblasti vnitřní i vnější komunikace OP PIK. </w:t>
      </w:r>
    </w:p>
    <w:p w14:paraId="0276345C" w14:textId="77777777" w:rsidR="00EA5475" w:rsidRPr="006B30BF" w:rsidRDefault="00EA5475" w:rsidP="00EA5475">
      <w:pPr>
        <w:spacing w:before="60" w:after="60" w:line="240" w:lineRule="auto"/>
        <w:rPr>
          <w:rFonts w:ascii="Verdana" w:hAnsi="Verdana"/>
          <w:szCs w:val="18"/>
        </w:rPr>
      </w:pPr>
    </w:p>
    <w:p w14:paraId="60CE1956" w14:textId="377C28D5" w:rsidR="00E1494C" w:rsidRDefault="00E1494C" w:rsidP="00E1494C">
      <w:pPr>
        <w:pStyle w:val="Caption"/>
      </w:pPr>
      <w:bookmarkStart w:id="17" w:name="_Toc52532104"/>
      <w:r>
        <w:lastRenderedPageBreak/>
        <w:t xml:space="preserve">Tabulka </w:t>
      </w:r>
      <w:r>
        <w:fldChar w:fldCharType="begin"/>
      </w:r>
      <w:r>
        <w:instrText xml:space="preserve"> SEQ Tabulka \* ARABIC </w:instrText>
      </w:r>
      <w:r>
        <w:fldChar w:fldCharType="separate"/>
      </w:r>
      <w:r w:rsidR="008E1911">
        <w:rPr>
          <w:noProof/>
        </w:rPr>
        <w:t>6</w:t>
      </w:r>
      <w:r>
        <w:fldChar w:fldCharType="end"/>
      </w:r>
      <w:r>
        <w:t xml:space="preserve"> Odpovědi na evaluační otázky ke komunikaci OP PIK</w:t>
      </w:r>
      <w:bookmarkEnd w:id="17"/>
    </w:p>
    <w:tbl>
      <w:tblPr>
        <w:tblStyle w:val="ListTable3-Accent1"/>
        <w:tblW w:w="5000" w:type="pct"/>
        <w:tblBorders>
          <w:insideH w:val="single" w:sz="4" w:space="0" w:color="86BC25" w:themeColor="accent1"/>
          <w:insideV w:val="single" w:sz="4" w:space="0" w:color="86BC25" w:themeColor="accent1"/>
        </w:tblBorders>
        <w:tblLayout w:type="fixed"/>
        <w:tblCellMar>
          <w:top w:w="29" w:type="dxa"/>
          <w:left w:w="29" w:type="dxa"/>
          <w:bottom w:w="29" w:type="dxa"/>
          <w:right w:w="29" w:type="dxa"/>
        </w:tblCellMar>
        <w:tblLook w:val="04A0" w:firstRow="1" w:lastRow="0" w:firstColumn="1" w:lastColumn="0" w:noHBand="0" w:noVBand="1"/>
      </w:tblPr>
      <w:tblGrid>
        <w:gridCol w:w="263"/>
        <w:gridCol w:w="2683"/>
        <w:gridCol w:w="6790"/>
      </w:tblGrid>
      <w:tr w:rsidR="00EA5475" w:rsidRPr="006B30BF" w14:paraId="4CC35C1E" w14:textId="77777777" w:rsidTr="1B8B314C">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135" w:type="pct"/>
            <w:noWrap/>
            <w:hideMark/>
          </w:tcPr>
          <w:p w14:paraId="0BC34F11" w14:textId="77777777" w:rsidR="00EA5475" w:rsidRPr="000421F0" w:rsidRDefault="00EA5475" w:rsidP="00E17552">
            <w:pPr>
              <w:spacing w:after="120"/>
              <w:rPr>
                <w:rFonts w:ascii="Verdana" w:eastAsia="Times New Roman" w:hAnsi="Verdana"/>
                <w:sz w:val="16"/>
                <w:szCs w:val="16"/>
              </w:rPr>
            </w:pPr>
          </w:p>
        </w:tc>
        <w:tc>
          <w:tcPr>
            <w:tcW w:w="1378" w:type="pct"/>
            <w:noWrap/>
            <w:hideMark/>
          </w:tcPr>
          <w:p w14:paraId="5EBD0802" w14:textId="77777777" w:rsidR="00EA5475" w:rsidRPr="000421F0" w:rsidRDefault="00EA5475" w:rsidP="00E17552">
            <w:pPr>
              <w:spacing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sz w:val="16"/>
                <w:szCs w:val="16"/>
              </w:rPr>
              <w:t>Komunikace</w:t>
            </w:r>
          </w:p>
        </w:tc>
        <w:tc>
          <w:tcPr>
            <w:tcW w:w="3487" w:type="pct"/>
            <w:noWrap/>
            <w:hideMark/>
          </w:tcPr>
          <w:p w14:paraId="14E9147A" w14:textId="77777777" w:rsidR="00EA5475" w:rsidRPr="000421F0" w:rsidRDefault="00EA5475" w:rsidP="00E17552">
            <w:pPr>
              <w:spacing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p>
        </w:tc>
      </w:tr>
      <w:tr w:rsidR="00EA5475" w:rsidRPr="006B30BF" w14:paraId="23675999" w14:textId="77777777" w:rsidTr="1B8B314C">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135" w:type="pct"/>
            <w:shd w:val="clear" w:color="auto" w:fill="E7F5CF" w:themeFill="accent1" w:themeFillTint="33"/>
            <w:noWrap/>
            <w:hideMark/>
          </w:tcPr>
          <w:p w14:paraId="7DB1D5E5" w14:textId="77777777" w:rsidR="00EA5475" w:rsidRPr="000421F0" w:rsidRDefault="00EA5475" w:rsidP="00E17552">
            <w:pPr>
              <w:spacing w:after="120"/>
              <w:rPr>
                <w:rFonts w:ascii="Verdana" w:eastAsia="Times New Roman" w:hAnsi="Verdana" w:cs="Calibri"/>
                <w:color w:val="000000"/>
                <w:sz w:val="16"/>
                <w:szCs w:val="16"/>
              </w:rPr>
            </w:pPr>
            <w:r w:rsidRPr="000421F0">
              <w:rPr>
                <w:rFonts w:ascii="Verdana" w:eastAsia="Times New Roman" w:hAnsi="Verdana" w:cs="Calibri"/>
                <w:color w:val="000000"/>
                <w:sz w:val="16"/>
                <w:szCs w:val="16"/>
              </w:rPr>
              <w:t>č.</w:t>
            </w:r>
          </w:p>
        </w:tc>
        <w:tc>
          <w:tcPr>
            <w:tcW w:w="1378" w:type="pct"/>
            <w:shd w:val="clear" w:color="auto" w:fill="E7F5CF" w:themeFill="accent1" w:themeFillTint="33"/>
            <w:noWrap/>
            <w:hideMark/>
          </w:tcPr>
          <w:p w14:paraId="2A679AB8" w14:textId="77777777" w:rsidR="00EA5475" w:rsidRPr="000421F0" w:rsidRDefault="00EA5475" w:rsidP="00E17552">
            <w:pPr>
              <w:spacing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t>Evaluační otázka</w:t>
            </w:r>
          </w:p>
        </w:tc>
        <w:tc>
          <w:tcPr>
            <w:tcW w:w="3487" w:type="pct"/>
            <w:shd w:val="clear" w:color="auto" w:fill="E7F5CF" w:themeFill="accent1" w:themeFillTint="33"/>
            <w:noWrap/>
            <w:hideMark/>
          </w:tcPr>
          <w:p w14:paraId="63A7474E" w14:textId="17FA1344" w:rsidR="00EA5475" w:rsidRPr="000421F0" w:rsidRDefault="00402BA3" w:rsidP="00E17552">
            <w:pPr>
              <w:spacing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t>Odpověď na EO</w:t>
            </w:r>
          </w:p>
        </w:tc>
      </w:tr>
      <w:tr w:rsidR="00EA5475" w:rsidRPr="006B30BF" w14:paraId="104832C2" w14:textId="77777777" w:rsidTr="1B8B314C">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135" w:type="pct"/>
            <w:noWrap/>
          </w:tcPr>
          <w:p w14:paraId="4EE50964" w14:textId="77777777" w:rsidR="00EA5475" w:rsidRPr="000421F0" w:rsidRDefault="00EA5475" w:rsidP="00E17552">
            <w:pPr>
              <w:spacing w:after="120"/>
              <w:rPr>
                <w:rFonts w:ascii="Verdana" w:eastAsia="Times New Roman" w:hAnsi="Verdana" w:cs="Calibri"/>
                <w:color w:val="000000"/>
                <w:sz w:val="16"/>
                <w:szCs w:val="16"/>
              </w:rPr>
            </w:pPr>
            <w:r w:rsidRPr="000421F0">
              <w:rPr>
                <w:rFonts w:ascii="Verdana" w:eastAsia="Times New Roman" w:hAnsi="Verdana" w:cs="Calibri"/>
                <w:color w:val="000000"/>
                <w:sz w:val="16"/>
                <w:szCs w:val="16"/>
              </w:rPr>
              <w:t>1</w:t>
            </w:r>
          </w:p>
        </w:tc>
        <w:tc>
          <w:tcPr>
            <w:tcW w:w="1378" w:type="pct"/>
            <w:noWrap/>
          </w:tcPr>
          <w:p w14:paraId="43A60DC1" w14:textId="77777777" w:rsidR="00EA5475" w:rsidRPr="000421F0" w:rsidRDefault="00EA5475" w:rsidP="00E17552">
            <w:pPr>
              <w:spacing w:after="120"/>
              <w:ind w:left="154"/>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b/>
                <w:color w:val="000000"/>
                <w:sz w:val="16"/>
                <w:szCs w:val="16"/>
              </w:rPr>
            </w:pPr>
            <w:r w:rsidRPr="000421F0">
              <w:rPr>
                <w:rFonts w:ascii="Verdana" w:eastAsia="Times New Roman" w:hAnsi="Verdana" w:cs="Calibri"/>
                <w:b/>
                <w:color w:val="000000"/>
                <w:sz w:val="16"/>
                <w:szCs w:val="16"/>
              </w:rPr>
              <w:t>Jsou procesy interní komunikace uvnitř ŘO OP PIK i ve vztahu ke zprostředkujícím subjektům nastaveny efektivně? Jsou na ŘO OP PIK ustanoveny platformy pro vzájemné informování se, řešení problémů, sdílené zkušeností apod.? V případě, kdy tato komunikace probíhá spíše neformálně, lze ji hodnotit jako dostatečnou?</w:t>
            </w:r>
          </w:p>
        </w:tc>
        <w:tc>
          <w:tcPr>
            <w:tcW w:w="3487" w:type="pct"/>
            <w:noWrap/>
            <w:hideMark/>
          </w:tcPr>
          <w:p w14:paraId="546A8971"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t xml:space="preserve">Nedostatečně nastavené procesy komunikace a absence platforem komunikace uvnitř implementační struktury OP PIK nad rámec sekčních porad vedou k nedostatečnému a zpožděnému přenosu informací uvnitř IS. </w:t>
            </w:r>
            <w:r w:rsidRPr="1B8B314C">
              <w:rPr>
                <w:rFonts w:ascii="Verdana" w:eastAsia="Times New Roman" w:hAnsi="Verdana" w:cs="Calibri"/>
                <w:b/>
                <w:bCs/>
                <w:color w:val="000000"/>
                <w:sz w:val="16"/>
                <w:szCs w:val="16"/>
              </w:rPr>
              <w:t>Až 40 % respondentů DŠ mezi pracovníky IS se domnívá, že komunikace napříč IS není dostatečně efektivní.</w:t>
            </w:r>
            <w:r w:rsidRPr="000421F0">
              <w:rPr>
                <w:rFonts w:ascii="Verdana" w:eastAsia="Times New Roman" w:hAnsi="Verdana" w:cs="Calibri"/>
                <w:color w:val="000000"/>
                <w:sz w:val="16"/>
                <w:szCs w:val="16"/>
              </w:rPr>
              <w:t xml:space="preserve"> Respondenti zároveň připouští existenci sdílených komunikačních platforem, jejich využívání je však řídké a neefektivní.</w:t>
            </w:r>
            <w:r w:rsidRPr="000421F0">
              <w:rPr>
                <w:rStyle w:val="FootnoteReference"/>
                <w:rFonts w:ascii="Verdana" w:eastAsia="Times New Roman" w:hAnsi="Verdana" w:cs="Calibri"/>
                <w:color w:val="000000"/>
                <w:sz w:val="16"/>
                <w:szCs w:val="16"/>
              </w:rPr>
              <w:footnoteReference w:id="24"/>
            </w:r>
            <w:r w:rsidRPr="000421F0">
              <w:rPr>
                <w:rFonts w:ascii="Verdana" w:eastAsia="Times New Roman" w:hAnsi="Verdana" w:cs="Calibri"/>
                <w:color w:val="000000"/>
                <w:sz w:val="16"/>
                <w:szCs w:val="16"/>
              </w:rPr>
              <w:t xml:space="preserve"> Operativní komunikace se odehrává na individuální bázi mezi garanty programů podpory, projektovými manažery (vedoucími pracovníky API). Nicméně vzhledem ke složitosti a robustnosti byrokracie, administrativy a metodického prostředí spojené s institucionalizací jakéhokoli procesu, nelze doporučit budování institucionalizovaných struktur a procesů bez souběžného odstranění těchto zatěžujících aspektů.</w:t>
            </w:r>
          </w:p>
          <w:p w14:paraId="16279636" w14:textId="34A68F51"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b/>
                <w:color w:val="000000"/>
                <w:sz w:val="16"/>
                <w:szCs w:val="16"/>
              </w:rPr>
              <w:t>Současným problémem může být nezastupitelnost vybraných pracovníků v případě jejich nepřítomnosti</w:t>
            </w:r>
            <w:r w:rsidRPr="000421F0">
              <w:rPr>
                <w:rFonts w:ascii="Verdana" w:eastAsia="Times New Roman" w:hAnsi="Verdana" w:cs="Calibri"/>
                <w:color w:val="000000"/>
                <w:sz w:val="16"/>
                <w:szCs w:val="16"/>
              </w:rPr>
              <w:t>, která může být pro systém v krátkodobém horizontu kritická.</w:t>
            </w:r>
            <w:r w:rsidR="00887AC1">
              <w:rPr>
                <w:rStyle w:val="FootnoteReference"/>
                <w:rFonts w:ascii="Verdana" w:eastAsia="Times New Roman" w:hAnsi="Verdana" w:cs="Calibri"/>
                <w:color w:val="000000"/>
                <w:sz w:val="16"/>
                <w:szCs w:val="16"/>
              </w:rPr>
              <w:footnoteReference w:id="25"/>
            </w:r>
            <w:r w:rsidR="006D27F4">
              <w:rPr>
                <w:rFonts w:ascii="Verdana" w:eastAsia="Times New Roman" w:hAnsi="Verdana" w:cs="Calibri"/>
                <w:color w:val="000000"/>
                <w:sz w:val="16"/>
                <w:szCs w:val="16"/>
              </w:rPr>
              <w:t xml:space="preserve"> </w:t>
            </w:r>
          </w:p>
          <w:p w14:paraId="07BA4726"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t xml:space="preserve">Sdílení dobré a špatné praxe v rámci implementační struktury není nedostatečné a je prostor pro jeho zlepšení. </w:t>
            </w:r>
          </w:p>
        </w:tc>
      </w:tr>
      <w:tr w:rsidR="00EA5475" w:rsidRPr="006B30BF" w14:paraId="3E6C74A8" w14:textId="77777777" w:rsidTr="1B8B314C">
        <w:trPr>
          <w:trHeight w:val="643"/>
        </w:trPr>
        <w:tc>
          <w:tcPr>
            <w:cnfStyle w:val="001000000000" w:firstRow="0" w:lastRow="0" w:firstColumn="1" w:lastColumn="0" w:oddVBand="0" w:evenVBand="0" w:oddHBand="0" w:evenHBand="0" w:firstRowFirstColumn="0" w:firstRowLastColumn="0" w:lastRowFirstColumn="0" w:lastRowLastColumn="0"/>
            <w:tcW w:w="135" w:type="pct"/>
            <w:noWrap/>
          </w:tcPr>
          <w:p w14:paraId="3CCFE790" w14:textId="77777777" w:rsidR="00EA5475" w:rsidRPr="000421F0" w:rsidRDefault="00EA5475" w:rsidP="00E17552">
            <w:pPr>
              <w:spacing w:after="120"/>
              <w:rPr>
                <w:rFonts w:ascii="Verdana" w:eastAsia="Times New Roman" w:hAnsi="Verdana" w:cs="Calibri"/>
                <w:color w:val="000000"/>
                <w:sz w:val="16"/>
                <w:szCs w:val="16"/>
              </w:rPr>
            </w:pPr>
            <w:r w:rsidRPr="000421F0">
              <w:rPr>
                <w:rFonts w:ascii="Verdana" w:eastAsia="Times New Roman" w:hAnsi="Verdana" w:cs="Calibri"/>
                <w:color w:val="000000"/>
                <w:sz w:val="16"/>
                <w:szCs w:val="16"/>
              </w:rPr>
              <w:t>2</w:t>
            </w:r>
          </w:p>
        </w:tc>
        <w:tc>
          <w:tcPr>
            <w:tcW w:w="1378" w:type="pct"/>
            <w:noWrap/>
          </w:tcPr>
          <w:p w14:paraId="0EF343CD"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b/>
                <w:color w:val="000000"/>
                <w:sz w:val="16"/>
                <w:szCs w:val="16"/>
              </w:rPr>
            </w:pPr>
            <w:r w:rsidRPr="000421F0">
              <w:rPr>
                <w:rFonts w:ascii="Verdana" w:eastAsia="Times New Roman" w:hAnsi="Verdana" w:cs="Calibri"/>
                <w:b/>
                <w:color w:val="000000"/>
                <w:sz w:val="16"/>
                <w:szCs w:val="16"/>
              </w:rPr>
              <w:t>Probíhá komunikace mezi ŘO OP PIK a správci finančního nástroje/fondu fondů efektivně? Jsou nastaveny adekvátní komunikační kanály?</w:t>
            </w:r>
          </w:p>
        </w:tc>
        <w:tc>
          <w:tcPr>
            <w:tcW w:w="3487" w:type="pct"/>
            <w:noWrap/>
            <w:hideMark/>
          </w:tcPr>
          <w:p w14:paraId="257CC3B3"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563C1"/>
                <w:sz w:val="16"/>
                <w:szCs w:val="16"/>
                <w:u w:val="single"/>
              </w:rPr>
            </w:pPr>
            <w:r w:rsidRPr="000421F0">
              <w:rPr>
                <w:rFonts w:ascii="Verdana" w:eastAsia="Times New Roman" w:hAnsi="Verdana" w:cs="Calibri"/>
                <w:b/>
                <w:color w:val="000000"/>
                <w:sz w:val="16"/>
                <w:szCs w:val="16"/>
              </w:rPr>
              <w:t>V komunikaci mezi ŘO a ČMZRB nebyl shledán významný nedostatek.</w:t>
            </w:r>
            <w:r w:rsidRPr="000421F0">
              <w:rPr>
                <w:rFonts w:ascii="Verdana" w:eastAsia="Times New Roman" w:hAnsi="Verdana" w:cs="Calibri"/>
                <w:color w:val="000000"/>
                <w:sz w:val="16"/>
                <w:szCs w:val="16"/>
              </w:rPr>
              <w:t xml:space="preserve"> Dodavatel ale neprovedl analýzu komunikace po pandemii COVID-19 a nezhodnotil komunikaci v rámci intenzivní spolupráce MPO a ČMZRB v souvislosti s novými programy úvěrové podpory. </w:t>
            </w:r>
          </w:p>
        </w:tc>
      </w:tr>
      <w:tr w:rsidR="00EA5475" w:rsidRPr="006B30BF" w14:paraId="6E760385" w14:textId="77777777" w:rsidTr="1B8B31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5" w:type="pct"/>
            <w:noWrap/>
          </w:tcPr>
          <w:p w14:paraId="61C42792" w14:textId="77777777" w:rsidR="00EA5475" w:rsidRPr="000421F0" w:rsidRDefault="00EA5475" w:rsidP="00E17552">
            <w:pPr>
              <w:spacing w:after="120"/>
              <w:rPr>
                <w:rFonts w:ascii="Verdana" w:eastAsia="Times New Roman" w:hAnsi="Verdana"/>
                <w:sz w:val="16"/>
                <w:szCs w:val="16"/>
              </w:rPr>
            </w:pPr>
            <w:r w:rsidRPr="000421F0">
              <w:rPr>
                <w:rFonts w:ascii="Verdana" w:eastAsia="Times New Roman" w:hAnsi="Verdana"/>
                <w:sz w:val="16"/>
                <w:szCs w:val="16"/>
              </w:rPr>
              <w:t>3</w:t>
            </w:r>
          </w:p>
        </w:tc>
        <w:tc>
          <w:tcPr>
            <w:tcW w:w="1378" w:type="pct"/>
            <w:noWrap/>
          </w:tcPr>
          <w:p w14:paraId="3D2F0460"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b/>
                <w:color w:val="000000"/>
                <w:sz w:val="16"/>
                <w:szCs w:val="16"/>
              </w:rPr>
            </w:pPr>
            <w:r w:rsidRPr="000421F0">
              <w:rPr>
                <w:rFonts w:ascii="Verdana" w:eastAsia="Times New Roman" w:hAnsi="Verdana" w:cs="Calibri"/>
                <w:b/>
                <w:color w:val="000000"/>
                <w:sz w:val="16"/>
                <w:szCs w:val="16"/>
              </w:rPr>
              <w:t>S čím a jakými kanály se žadatelé/příjemci nejčastěji obrací na pracovníky implementační struktury OP PIK?</w:t>
            </w:r>
          </w:p>
        </w:tc>
        <w:tc>
          <w:tcPr>
            <w:tcW w:w="3487" w:type="pct"/>
            <w:noWrap/>
            <w:hideMark/>
          </w:tcPr>
          <w:p w14:paraId="4FC7A5C6" w14:textId="38F204BB"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t xml:space="preserve">Nejčastějšími kanály komunikace mezi žadateli, příjemci a IS OP PIK je telefonický a emailový komunikační kanál. V případě ČMZRB se může jednat i o osobní schůzky. Drtivou většinu komunikace s žadateli/příjemci spravuje API. </w:t>
            </w:r>
          </w:p>
          <w:p w14:paraId="392F8109"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t xml:space="preserve">Žadatelé a příjemci mají často „svého“ PM na API, kterému důvěřují a volají v případě potřeby. </w:t>
            </w:r>
          </w:p>
        </w:tc>
      </w:tr>
      <w:tr w:rsidR="00EA5475" w:rsidRPr="006B30BF" w14:paraId="03B23780" w14:textId="77777777" w:rsidTr="1B8B314C">
        <w:trPr>
          <w:trHeight w:val="520"/>
        </w:trPr>
        <w:tc>
          <w:tcPr>
            <w:cnfStyle w:val="001000000000" w:firstRow="0" w:lastRow="0" w:firstColumn="1" w:lastColumn="0" w:oddVBand="0" w:evenVBand="0" w:oddHBand="0" w:evenHBand="0" w:firstRowFirstColumn="0" w:firstRowLastColumn="0" w:lastRowFirstColumn="0" w:lastRowLastColumn="0"/>
            <w:tcW w:w="135" w:type="pct"/>
            <w:noWrap/>
          </w:tcPr>
          <w:p w14:paraId="4071E992" w14:textId="77777777" w:rsidR="00EA5475" w:rsidRPr="000421F0" w:rsidRDefault="00EA5475" w:rsidP="00E17552">
            <w:pPr>
              <w:spacing w:after="120"/>
              <w:rPr>
                <w:rFonts w:ascii="Verdana" w:eastAsia="Times New Roman" w:hAnsi="Verdana"/>
                <w:sz w:val="16"/>
                <w:szCs w:val="16"/>
              </w:rPr>
            </w:pPr>
            <w:r w:rsidRPr="000421F0">
              <w:rPr>
                <w:rFonts w:ascii="Verdana" w:eastAsia="Times New Roman" w:hAnsi="Verdana"/>
                <w:sz w:val="16"/>
                <w:szCs w:val="16"/>
              </w:rPr>
              <w:t>4</w:t>
            </w:r>
          </w:p>
        </w:tc>
        <w:tc>
          <w:tcPr>
            <w:tcW w:w="1378" w:type="pct"/>
            <w:noWrap/>
          </w:tcPr>
          <w:p w14:paraId="6D1A6160"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b/>
                <w:color w:val="000000"/>
                <w:sz w:val="16"/>
                <w:szCs w:val="16"/>
              </w:rPr>
            </w:pPr>
            <w:r w:rsidRPr="000421F0">
              <w:rPr>
                <w:rFonts w:ascii="Verdana" w:eastAsia="Times New Roman" w:hAnsi="Verdana" w:cs="Calibri"/>
                <w:b/>
                <w:color w:val="000000"/>
                <w:sz w:val="16"/>
                <w:szCs w:val="16"/>
              </w:rPr>
              <w:t>Lze komunikaci pracovníků implementační struktury se žadateli/příjemci z jejich pohledu označit jako jednoduchou, rychlou při vyřizování požadavků a dodržování předepsaných lhůt?</w:t>
            </w:r>
          </w:p>
        </w:tc>
        <w:tc>
          <w:tcPr>
            <w:tcW w:w="3487" w:type="pct"/>
            <w:noWrap/>
            <w:hideMark/>
          </w:tcPr>
          <w:p w14:paraId="281689D3"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t xml:space="preserve">77 % respondentů DŠ se domnívá, že jimi </w:t>
            </w:r>
            <w:r w:rsidRPr="000421F0">
              <w:rPr>
                <w:rFonts w:ascii="Verdana" w:eastAsia="Times New Roman" w:hAnsi="Verdana" w:cs="Calibri"/>
                <w:b/>
                <w:color w:val="000000"/>
                <w:sz w:val="16"/>
                <w:szCs w:val="16"/>
              </w:rPr>
              <w:t xml:space="preserve">poskytované informace jsou poskytované včas a komplexně, </w:t>
            </w:r>
            <w:r w:rsidRPr="000421F0">
              <w:rPr>
                <w:rFonts w:ascii="Verdana" w:eastAsia="Times New Roman" w:hAnsi="Verdana" w:cs="Calibri"/>
                <w:color w:val="000000"/>
                <w:sz w:val="16"/>
                <w:szCs w:val="16"/>
              </w:rPr>
              <w:t xml:space="preserve">ve většině případů s dodržením stanovených lhůt. </w:t>
            </w:r>
          </w:p>
        </w:tc>
      </w:tr>
      <w:tr w:rsidR="00EA5475" w:rsidRPr="006B30BF" w14:paraId="3E2B5D32" w14:textId="77777777" w:rsidTr="1B8B31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5" w:type="pct"/>
            <w:noWrap/>
          </w:tcPr>
          <w:p w14:paraId="6707E6CA" w14:textId="77777777" w:rsidR="00EA5475" w:rsidRPr="000421F0" w:rsidRDefault="00EA5475" w:rsidP="00E17552">
            <w:pPr>
              <w:spacing w:after="120"/>
              <w:rPr>
                <w:rFonts w:ascii="Verdana" w:eastAsia="Times New Roman" w:hAnsi="Verdana"/>
                <w:sz w:val="16"/>
                <w:szCs w:val="16"/>
              </w:rPr>
            </w:pPr>
            <w:r w:rsidRPr="000421F0">
              <w:rPr>
                <w:rFonts w:ascii="Verdana" w:eastAsia="Times New Roman" w:hAnsi="Verdana"/>
                <w:sz w:val="16"/>
                <w:szCs w:val="16"/>
              </w:rPr>
              <w:t>5</w:t>
            </w:r>
          </w:p>
        </w:tc>
        <w:tc>
          <w:tcPr>
            <w:tcW w:w="1378" w:type="pct"/>
            <w:noWrap/>
          </w:tcPr>
          <w:p w14:paraId="352DC38D"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b/>
                <w:color w:val="000000"/>
                <w:sz w:val="16"/>
                <w:szCs w:val="16"/>
              </w:rPr>
            </w:pPr>
            <w:r w:rsidRPr="000421F0">
              <w:rPr>
                <w:rFonts w:ascii="Verdana" w:eastAsia="Times New Roman" w:hAnsi="Verdana" w:cs="Calibri"/>
                <w:b/>
                <w:color w:val="000000"/>
                <w:sz w:val="16"/>
                <w:szCs w:val="16"/>
              </w:rPr>
              <w:t>Lze komunikaci pracovníků implementační struktury se žadateli/příjemci z jejich pohledu označit jako věcnou, správnou? Umí pracovníci implementační struktury žadatelům/příjemcům z jejich pohledu účinně poradit?</w:t>
            </w:r>
          </w:p>
        </w:tc>
        <w:tc>
          <w:tcPr>
            <w:tcW w:w="3487" w:type="pct"/>
            <w:noWrap/>
            <w:hideMark/>
          </w:tcPr>
          <w:p w14:paraId="37B3CED7" w14:textId="2A05205A"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b/>
                <w:color w:val="000000"/>
                <w:sz w:val="16"/>
                <w:szCs w:val="16"/>
              </w:rPr>
            </w:pPr>
            <w:r w:rsidRPr="000421F0">
              <w:rPr>
                <w:rFonts w:ascii="Verdana" w:eastAsia="Times New Roman" w:hAnsi="Verdana" w:cs="Calibri"/>
                <w:b/>
                <w:color w:val="000000"/>
                <w:sz w:val="16"/>
                <w:szCs w:val="16"/>
              </w:rPr>
              <w:t xml:space="preserve">Komunikaci ze strany PM API i ŘO směrem k žadatelům a příjemcům lze označit jako věcnou a správnou. </w:t>
            </w:r>
            <w:r w:rsidR="00D6756A">
              <w:rPr>
                <w:rFonts w:ascii="Verdana" w:eastAsia="Times New Roman" w:hAnsi="Verdana" w:cs="Calibri"/>
                <w:b/>
                <w:color w:val="000000"/>
                <w:sz w:val="16"/>
                <w:szCs w:val="16"/>
              </w:rPr>
              <w:t xml:space="preserve">Pouze 8 % respondentů DŠ se domnívá, že IS nedokáže žadatelům a příjemcům efektivně poradit. </w:t>
            </w:r>
          </w:p>
          <w:p w14:paraId="0812E70D" w14:textId="5BB553F5"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t>Obdobně komunikaci hodnotí i většina příjemců a žadatelů, jak vyplynulo z hloubkových rozhovorů. Problematickou situací je nicméně vysoká míra fluktuace PM, juniorní PM, kteří nemusí mít okamžitou a správnou odpověď, rozdílné názory po sobě jdoucích PM apod.</w:t>
            </w:r>
          </w:p>
          <w:p w14:paraId="58368223" w14:textId="214358A6"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t xml:space="preserve">Mezi nejčastější dotazy patří dotazy týkající se realizace projektu (administrace, prodlužování, způsobilost výdajů, VŘ, </w:t>
            </w:r>
            <w:r w:rsidR="00825645" w:rsidRPr="000421F0">
              <w:rPr>
                <w:rFonts w:ascii="Verdana" w:eastAsia="Times New Roman" w:hAnsi="Verdana" w:cs="Calibri"/>
                <w:color w:val="000000"/>
                <w:sz w:val="16"/>
                <w:szCs w:val="16"/>
              </w:rPr>
              <w:t>ŽoPl</w:t>
            </w:r>
            <w:r w:rsidRPr="000421F0">
              <w:rPr>
                <w:rFonts w:ascii="Verdana" w:eastAsia="Times New Roman" w:hAnsi="Verdana" w:cs="Calibri"/>
                <w:color w:val="000000"/>
                <w:sz w:val="16"/>
                <w:szCs w:val="16"/>
              </w:rPr>
              <w:t xml:space="preserve"> apod.), týkající se průběhu administrace žádostí a týkající se dovysvětlování podmínek dotačních řízení.</w:t>
            </w:r>
          </w:p>
        </w:tc>
      </w:tr>
      <w:tr w:rsidR="00EA5475" w:rsidRPr="006B30BF" w14:paraId="67F01A06" w14:textId="77777777" w:rsidTr="1B8B314C">
        <w:trPr>
          <w:trHeight w:val="780"/>
        </w:trPr>
        <w:tc>
          <w:tcPr>
            <w:cnfStyle w:val="001000000000" w:firstRow="0" w:lastRow="0" w:firstColumn="1" w:lastColumn="0" w:oddVBand="0" w:evenVBand="0" w:oddHBand="0" w:evenHBand="0" w:firstRowFirstColumn="0" w:firstRowLastColumn="0" w:lastRowFirstColumn="0" w:lastRowLastColumn="0"/>
            <w:tcW w:w="135" w:type="pct"/>
            <w:noWrap/>
          </w:tcPr>
          <w:p w14:paraId="20A310E5" w14:textId="77777777" w:rsidR="00EA5475" w:rsidRPr="000421F0" w:rsidRDefault="00EA5475" w:rsidP="00E17552">
            <w:pPr>
              <w:spacing w:after="120"/>
              <w:rPr>
                <w:rFonts w:ascii="Verdana" w:eastAsia="Times New Roman" w:hAnsi="Verdana" w:cs="Calibri"/>
                <w:color w:val="000000"/>
                <w:sz w:val="16"/>
                <w:szCs w:val="16"/>
              </w:rPr>
            </w:pPr>
            <w:r w:rsidRPr="000421F0">
              <w:rPr>
                <w:rFonts w:ascii="Verdana" w:eastAsia="Times New Roman" w:hAnsi="Verdana" w:cs="Calibri"/>
                <w:color w:val="000000"/>
                <w:sz w:val="16"/>
                <w:szCs w:val="16"/>
              </w:rPr>
              <w:t>6</w:t>
            </w:r>
          </w:p>
        </w:tc>
        <w:tc>
          <w:tcPr>
            <w:tcW w:w="1378" w:type="pct"/>
            <w:noWrap/>
          </w:tcPr>
          <w:p w14:paraId="2ACBF0D8"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b/>
                <w:sz w:val="16"/>
                <w:szCs w:val="16"/>
              </w:rPr>
            </w:pPr>
            <w:r w:rsidRPr="000421F0">
              <w:rPr>
                <w:rFonts w:ascii="Verdana" w:eastAsia="Times New Roman" w:hAnsi="Verdana" w:cs="Calibri"/>
                <w:b/>
                <w:color w:val="000000"/>
                <w:sz w:val="16"/>
                <w:szCs w:val="16"/>
              </w:rPr>
              <w:t xml:space="preserve">Jak hodnotí žadatelé/příjemci webové stránky ŘO a ZS? Který z obou webů </w:t>
            </w:r>
            <w:r w:rsidRPr="000421F0">
              <w:rPr>
                <w:rFonts w:ascii="Verdana" w:eastAsia="Times New Roman" w:hAnsi="Verdana" w:cs="Calibri"/>
                <w:b/>
                <w:color w:val="000000"/>
                <w:sz w:val="16"/>
                <w:szCs w:val="16"/>
              </w:rPr>
              <w:lastRenderedPageBreak/>
              <w:t>žadatelé/příjemci spíše využívají (či raději využívají neoficiální, komerční weby)? Jsou pro ně webové stránky přehledné a poskytují dostatečné množství relevantních informací?</w:t>
            </w:r>
          </w:p>
        </w:tc>
        <w:tc>
          <w:tcPr>
            <w:tcW w:w="3487" w:type="pct"/>
            <w:noWrap/>
            <w:hideMark/>
          </w:tcPr>
          <w:p w14:paraId="6CE3452A"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b/>
                <w:color w:val="000000"/>
                <w:sz w:val="16"/>
                <w:szCs w:val="16"/>
              </w:rPr>
              <w:lastRenderedPageBreak/>
              <w:t>Žadatelé a příjemci hodnotí webové stránky ZS velmi kladně.</w:t>
            </w:r>
            <w:r w:rsidRPr="000421F0">
              <w:rPr>
                <w:rFonts w:ascii="Verdana" w:eastAsia="Times New Roman" w:hAnsi="Verdana" w:cs="Calibri"/>
                <w:color w:val="000000"/>
                <w:sz w:val="16"/>
                <w:szCs w:val="16"/>
              </w:rPr>
              <w:t xml:space="preserve"> Webové stránky API obsahují všechny informace v přehledné a chronologické formě. Stránky API jsou hojně využívané žadateli i příjemci.</w:t>
            </w:r>
          </w:p>
          <w:p w14:paraId="65E14D06"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lastRenderedPageBreak/>
              <w:t xml:space="preserve">Naopak webové stránky OP PIK MPO jsou využívané beneficienty podpory zcela minimálně. Jsou typické velmi složitou orientací, nepřehledností a uživatelsky nepřívětivou strukturou. </w:t>
            </w:r>
          </w:p>
          <w:p w14:paraId="0F54C742" w14:textId="71D8BAFE"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r w:rsidRPr="1B8B314C">
              <w:rPr>
                <w:rFonts w:ascii="Verdana" w:eastAsia="Times New Roman" w:hAnsi="Verdana" w:cs="Calibri"/>
                <w:color w:val="000000" w:themeColor="text1"/>
                <w:sz w:val="16"/>
                <w:szCs w:val="16"/>
              </w:rPr>
              <w:t>Jazyk, kterým je podpora OP PIK komunikována</w:t>
            </w:r>
            <w:r w:rsidR="003C5ED0" w:rsidRPr="1B8B314C">
              <w:rPr>
                <w:rFonts w:ascii="Verdana" w:eastAsia="Times New Roman" w:hAnsi="Verdana" w:cs="Calibri"/>
                <w:color w:val="000000" w:themeColor="text1"/>
                <w:sz w:val="16"/>
                <w:szCs w:val="16"/>
              </w:rPr>
              <w:t>,</w:t>
            </w:r>
            <w:r w:rsidRPr="1B8B314C">
              <w:rPr>
                <w:rFonts w:ascii="Verdana" w:eastAsia="Times New Roman" w:hAnsi="Verdana" w:cs="Calibri"/>
                <w:color w:val="000000" w:themeColor="text1"/>
                <w:sz w:val="16"/>
                <w:szCs w:val="16"/>
              </w:rPr>
              <w:t xml:space="preserve"> není uživatelsky přívětivý, je pro žadatele složitý, formulace dlouhé a nepřehledné. To se týká webových stránek, znění výzev </w:t>
            </w:r>
            <w:r w:rsidR="00037C71">
              <w:rPr>
                <w:rFonts w:ascii="Verdana" w:eastAsia="Times New Roman" w:hAnsi="Verdana" w:cs="Calibri"/>
                <w:color w:val="000000" w:themeColor="text1"/>
                <w:sz w:val="16"/>
                <w:szCs w:val="16"/>
              </w:rPr>
              <w:t>a metodického prostředí.</w:t>
            </w:r>
          </w:p>
          <w:p w14:paraId="426CEDEB" w14:textId="6B9DFB36"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r w:rsidRPr="1B8B314C">
              <w:rPr>
                <w:rFonts w:ascii="Verdana" w:eastAsia="Times New Roman" w:hAnsi="Verdana" w:cs="Calibri"/>
                <w:color w:val="000000" w:themeColor="text1"/>
                <w:sz w:val="16"/>
                <w:szCs w:val="16"/>
              </w:rPr>
              <w:t>Část žadatelů a příjemců</w:t>
            </w:r>
            <w:r w:rsidR="00365580">
              <w:rPr>
                <w:rStyle w:val="FootnoteReference"/>
                <w:rFonts w:ascii="Verdana" w:eastAsia="Times New Roman" w:hAnsi="Verdana" w:cs="Calibri"/>
                <w:color w:val="000000" w:themeColor="text1"/>
                <w:sz w:val="16"/>
                <w:szCs w:val="16"/>
              </w:rPr>
              <w:footnoteReference w:id="26"/>
            </w:r>
            <w:r w:rsidRPr="1B8B314C">
              <w:rPr>
                <w:rFonts w:ascii="Verdana" w:eastAsia="Times New Roman" w:hAnsi="Verdana" w:cs="Calibri"/>
                <w:color w:val="000000" w:themeColor="text1"/>
                <w:sz w:val="16"/>
                <w:szCs w:val="16"/>
              </w:rPr>
              <w:t xml:space="preserve"> využívá informací ze stránek komerčních subjektů, poradenských společností.</w:t>
            </w:r>
          </w:p>
        </w:tc>
      </w:tr>
      <w:tr w:rsidR="00EA5475" w:rsidRPr="006B30BF" w14:paraId="47D6096B" w14:textId="77777777" w:rsidTr="1B8B314C">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35" w:type="pct"/>
            <w:noWrap/>
          </w:tcPr>
          <w:p w14:paraId="0123473A" w14:textId="77777777" w:rsidR="00EA5475" w:rsidRPr="000421F0" w:rsidRDefault="00EA5475" w:rsidP="00E17552">
            <w:pPr>
              <w:spacing w:after="120"/>
              <w:rPr>
                <w:rFonts w:ascii="Verdana" w:eastAsia="Times New Roman" w:hAnsi="Verdana" w:cs="Calibri"/>
                <w:color w:val="000000"/>
                <w:sz w:val="16"/>
                <w:szCs w:val="16"/>
              </w:rPr>
            </w:pPr>
            <w:r w:rsidRPr="000421F0">
              <w:rPr>
                <w:rFonts w:ascii="Verdana" w:eastAsia="Times New Roman" w:hAnsi="Verdana" w:cs="Calibri"/>
                <w:color w:val="000000"/>
                <w:sz w:val="16"/>
                <w:szCs w:val="16"/>
              </w:rPr>
              <w:lastRenderedPageBreak/>
              <w:t>7</w:t>
            </w:r>
          </w:p>
        </w:tc>
        <w:tc>
          <w:tcPr>
            <w:tcW w:w="1378" w:type="pct"/>
            <w:noWrap/>
          </w:tcPr>
          <w:p w14:paraId="417036E4"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b/>
                <w:sz w:val="16"/>
                <w:szCs w:val="16"/>
              </w:rPr>
            </w:pPr>
            <w:r w:rsidRPr="000421F0">
              <w:rPr>
                <w:rFonts w:ascii="Verdana" w:eastAsia="Times New Roman" w:hAnsi="Verdana" w:cs="Calibri"/>
                <w:b/>
                <w:color w:val="000000"/>
                <w:sz w:val="16"/>
                <w:szCs w:val="16"/>
              </w:rPr>
              <w:t>Jak žadatelé/příjemci hodnotí semináře/konference pořádané implementační strukturou OP PIK? O jaká témata je největší zájem? Je tento zájem dostatečně saturován?</w:t>
            </w:r>
          </w:p>
        </w:tc>
        <w:tc>
          <w:tcPr>
            <w:tcW w:w="3487" w:type="pct"/>
            <w:noWrap/>
            <w:hideMark/>
          </w:tcPr>
          <w:p w14:paraId="08F692DD" w14:textId="0459DA3C" w:rsidR="00EA5475" w:rsidRPr="000421F0" w:rsidRDefault="20E0E12C"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rPr>
            </w:pPr>
            <w:r w:rsidRPr="1B8B314C">
              <w:rPr>
                <w:rFonts w:ascii="Verdana" w:eastAsia="Times New Roman" w:hAnsi="Verdana" w:cs="Calibri"/>
                <w:b/>
                <w:bCs/>
                <w:color w:val="000000" w:themeColor="text1"/>
                <w:sz w:val="16"/>
                <w:szCs w:val="16"/>
              </w:rPr>
              <w:t>Semináře a konference nebyly dotazovanými</w:t>
            </w:r>
            <w:r w:rsidR="00EA5475" w:rsidRPr="1B8B314C">
              <w:rPr>
                <w:rFonts w:ascii="Verdana" w:eastAsia="Times New Roman" w:hAnsi="Verdana" w:cs="Calibri"/>
                <w:b/>
                <w:bCs/>
                <w:color w:val="000000" w:themeColor="text1"/>
                <w:sz w:val="16"/>
                <w:szCs w:val="16"/>
              </w:rPr>
              <w:t xml:space="preserve"> žadateli </w:t>
            </w:r>
            <w:r w:rsidR="17570852" w:rsidRPr="1B8B314C">
              <w:rPr>
                <w:rFonts w:ascii="Verdana" w:eastAsia="Times New Roman" w:hAnsi="Verdana" w:cs="Calibri"/>
                <w:b/>
                <w:bCs/>
                <w:color w:val="000000" w:themeColor="text1"/>
                <w:sz w:val="16"/>
                <w:szCs w:val="16"/>
              </w:rPr>
              <w:t>výrazně pozitivně</w:t>
            </w:r>
            <w:r w:rsidR="00EA5475" w:rsidRPr="1B8B314C">
              <w:rPr>
                <w:rFonts w:ascii="Verdana" w:eastAsia="Times New Roman" w:hAnsi="Verdana" w:cs="Calibri"/>
                <w:b/>
                <w:bCs/>
                <w:color w:val="000000" w:themeColor="text1"/>
                <w:sz w:val="16"/>
                <w:szCs w:val="16"/>
              </w:rPr>
              <w:t xml:space="preserve"> vnímány.</w:t>
            </w:r>
            <w:r w:rsidR="00EA5475" w:rsidRPr="1B8B314C">
              <w:rPr>
                <w:rFonts w:ascii="Verdana" w:eastAsia="Times New Roman" w:hAnsi="Verdana" w:cs="Calibri"/>
                <w:color w:val="000000" w:themeColor="text1"/>
                <w:sz w:val="16"/>
                <w:szCs w:val="16"/>
              </w:rPr>
              <w:t xml:space="preserve"> Důvodem je především samotná nízká účast žadatelů</w:t>
            </w:r>
            <w:r w:rsidR="17570852" w:rsidRPr="1B8B314C">
              <w:rPr>
                <w:rFonts w:ascii="Verdana" w:eastAsia="Times New Roman" w:hAnsi="Verdana" w:cs="Calibri"/>
                <w:color w:val="000000" w:themeColor="text1"/>
                <w:sz w:val="16"/>
                <w:szCs w:val="16"/>
              </w:rPr>
              <w:t xml:space="preserve"> (z časových nebo logistických důvodů)</w:t>
            </w:r>
            <w:r w:rsidR="00EA5475" w:rsidRPr="1B8B314C">
              <w:rPr>
                <w:rFonts w:ascii="Verdana" w:eastAsia="Times New Roman" w:hAnsi="Verdana" w:cs="Calibri"/>
                <w:color w:val="000000" w:themeColor="text1"/>
                <w:sz w:val="16"/>
                <w:szCs w:val="16"/>
              </w:rPr>
              <w:t>, která je nahrazena vyšší účastí zástupců poradenských společností. Firmy často nedisponují časem ani personálními kapacitami, které by na semináře a konference posílali. Poskytované informace následně získají zprostředkovaně a aktualizovaně od poradenských společností.</w:t>
            </w:r>
          </w:p>
          <w:p w14:paraId="766CD28B"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color w:val="000000"/>
                <w:sz w:val="16"/>
                <w:szCs w:val="16"/>
              </w:rPr>
              <w:t>Samotná účast poradenských společností na konferencích není nicméně negativně hodnocena samotnou IS, která si je vědoma jejich zásadní role, která je de facto přínosem, neboť žádosti zpracované poradenskými společnostmi vykazují méně chyb než žádosti připravené samotnými firmami.</w:t>
            </w:r>
          </w:p>
        </w:tc>
      </w:tr>
      <w:tr w:rsidR="00EA5475" w:rsidRPr="006B30BF" w14:paraId="7F874696" w14:textId="77777777" w:rsidTr="1B8B314C">
        <w:trPr>
          <w:trHeight w:val="1040"/>
        </w:trPr>
        <w:tc>
          <w:tcPr>
            <w:cnfStyle w:val="001000000000" w:firstRow="0" w:lastRow="0" w:firstColumn="1" w:lastColumn="0" w:oddVBand="0" w:evenVBand="0" w:oddHBand="0" w:evenHBand="0" w:firstRowFirstColumn="0" w:firstRowLastColumn="0" w:lastRowFirstColumn="0" w:lastRowLastColumn="0"/>
            <w:tcW w:w="135" w:type="pct"/>
            <w:noWrap/>
          </w:tcPr>
          <w:p w14:paraId="79342F80" w14:textId="77777777" w:rsidR="00EA5475" w:rsidRPr="000421F0" w:rsidRDefault="00EA5475" w:rsidP="00E17552">
            <w:pPr>
              <w:spacing w:after="120"/>
              <w:rPr>
                <w:rFonts w:ascii="Verdana" w:eastAsia="Times New Roman" w:hAnsi="Verdana" w:cs="Calibri"/>
                <w:color w:val="000000"/>
                <w:sz w:val="16"/>
                <w:szCs w:val="16"/>
              </w:rPr>
            </w:pPr>
            <w:r w:rsidRPr="000421F0">
              <w:rPr>
                <w:rFonts w:ascii="Verdana" w:eastAsia="Times New Roman" w:hAnsi="Verdana" w:cs="Calibri"/>
                <w:color w:val="000000"/>
                <w:sz w:val="16"/>
                <w:szCs w:val="16"/>
              </w:rPr>
              <w:t>8</w:t>
            </w:r>
          </w:p>
        </w:tc>
        <w:tc>
          <w:tcPr>
            <w:tcW w:w="1378" w:type="pct"/>
            <w:noWrap/>
          </w:tcPr>
          <w:p w14:paraId="620F3556"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b/>
                <w:sz w:val="16"/>
                <w:szCs w:val="16"/>
              </w:rPr>
            </w:pPr>
            <w:r w:rsidRPr="000421F0">
              <w:rPr>
                <w:rFonts w:ascii="Verdana" w:eastAsia="Times New Roman" w:hAnsi="Verdana" w:cs="Calibri"/>
                <w:b/>
                <w:color w:val="000000"/>
                <w:sz w:val="16"/>
                <w:szCs w:val="16"/>
              </w:rPr>
              <w:t>Jak jsou žadatelé/příjemci spokojeni s dalšími komunikačními nástroji (sociální sítě, informační zpravodaj OPIK, Zelená linka API)? Jaké další komunikační nástroje lze doporučit?</w:t>
            </w:r>
          </w:p>
        </w:tc>
        <w:tc>
          <w:tcPr>
            <w:tcW w:w="3487" w:type="pct"/>
            <w:noWrap/>
            <w:hideMark/>
          </w:tcPr>
          <w:p w14:paraId="7C7E1D8C" w14:textId="3C9EC773"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r w:rsidRPr="1B8B314C">
              <w:rPr>
                <w:rFonts w:ascii="Verdana" w:eastAsia="Times New Roman" w:hAnsi="Verdana" w:cs="Calibri"/>
                <w:b/>
                <w:bCs/>
                <w:color w:val="000000" w:themeColor="text1"/>
                <w:sz w:val="16"/>
                <w:szCs w:val="16"/>
              </w:rPr>
              <w:t xml:space="preserve">Zelená linka je velmi kladně hodnocena příjemci a žadateli. </w:t>
            </w:r>
            <w:r w:rsidRPr="1B8B314C">
              <w:rPr>
                <w:rFonts w:ascii="Verdana" w:eastAsia="Times New Roman" w:hAnsi="Verdana" w:cs="Calibri"/>
                <w:color w:val="000000" w:themeColor="text1"/>
                <w:sz w:val="16"/>
                <w:szCs w:val="16"/>
              </w:rPr>
              <w:t xml:space="preserve">Žadatelé a příjemci jsou si zároveň vědomi Zpravodaje OPIK, jehož infomační hodnotu vnímají kladně, nicméně pro </w:t>
            </w:r>
            <w:r w:rsidR="000243EA">
              <w:rPr>
                <w:rFonts w:ascii="Verdana" w:eastAsia="Times New Roman" w:hAnsi="Verdana" w:cs="Calibri"/>
                <w:color w:val="000000" w:themeColor="text1"/>
                <w:sz w:val="16"/>
                <w:szCs w:val="16"/>
              </w:rPr>
              <w:t>některé</w:t>
            </w:r>
            <w:r w:rsidR="000243EA" w:rsidRPr="1B8B314C">
              <w:rPr>
                <w:rFonts w:ascii="Verdana" w:eastAsia="Times New Roman" w:hAnsi="Verdana" w:cs="Calibri"/>
                <w:color w:val="000000" w:themeColor="text1"/>
                <w:sz w:val="16"/>
                <w:szCs w:val="16"/>
              </w:rPr>
              <w:t xml:space="preserve"> </w:t>
            </w:r>
            <w:r w:rsidRPr="1B8B314C">
              <w:rPr>
                <w:rFonts w:ascii="Verdana" w:eastAsia="Times New Roman" w:hAnsi="Verdana" w:cs="Calibri"/>
                <w:color w:val="000000" w:themeColor="text1"/>
                <w:sz w:val="16"/>
                <w:szCs w:val="16"/>
              </w:rPr>
              <w:t>z nich je i zde používaný jazyk příliš složitý.</w:t>
            </w:r>
            <w:r w:rsidR="000243EA">
              <w:rPr>
                <w:rStyle w:val="FootnoteReference"/>
                <w:rFonts w:ascii="Verdana" w:eastAsia="Times New Roman" w:hAnsi="Verdana" w:cs="Calibri"/>
                <w:color w:val="000000" w:themeColor="text1"/>
                <w:sz w:val="16"/>
                <w:szCs w:val="16"/>
              </w:rPr>
              <w:footnoteReference w:id="27"/>
            </w:r>
            <w:r w:rsidRPr="1B8B314C">
              <w:rPr>
                <w:rFonts w:ascii="Verdana" w:eastAsia="Times New Roman" w:hAnsi="Verdana" w:cs="Calibri"/>
                <w:color w:val="000000" w:themeColor="text1"/>
                <w:sz w:val="16"/>
                <w:szCs w:val="16"/>
              </w:rPr>
              <w:t xml:space="preserve"> Častým argumentem žadatelů/příjemců je nedostatek času pro studování a sledování neustále se měnících podmínek a metodického prostředí.</w:t>
            </w:r>
          </w:p>
          <w:p w14:paraId="0D4086FD"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6"/>
                <w:szCs w:val="16"/>
              </w:rPr>
            </w:pPr>
            <w:r w:rsidRPr="000421F0">
              <w:rPr>
                <w:rFonts w:ascii="Verdana" w:eastAsia="Times New Roman" w:hAnsi="Verdana" w:cs="Calibri"/>
                <w:b/>
                <w:color w:val="000000"/>
                <w:sz w:val="16"/>
                <w:szCs w:val="16"/>
              </w:rPr>
              <w:t>Pro další fáze komunikace lze jednoznačně doporučit kontinuální zajištění webových stránek API</w:t>
            </w:r>
            <w:r w:rsidRPr="000421F0">
              <w:rPr>
                <w:rFonts w:ascii="Verdana" w:eastAsia="Times New Roman" w:hAnsi="Verdana" w:cs="Calibri"/>
                <w:color w:val="000000"/>
                <w:sz w:val="16"/>
                <w:szCs w:val="16"/>
              </w:rPr>
              <w:t xml:space="preserve"> coby hlavního informačního kanálu. Více navzájem si konkurujících webových stránek a kanálů povede k roztříštěnosti, nepřehlednosti pro žadatele a příjemce, pochybám o správnosti. Nové webové stránky OP TAK je vhodné nastavit s tímto vědomím a informace na něm zveřejňované přizpůsobit očekávaným návštěvníkům a typu zveřejňovaných informací. Toto by mělo vycházet z hlubší mediální analýzy obsahu. </w:t>
            </w:r>
          </w:p>
        </w:tc>
      </w:tr>
    </w:tbl>
    <w:p w14:paraId="002BB31C" w14:textId="77777777" w:rsidR="001E5651" w:rsidRPr="001E5651" w:rsidRDefault="001E5651" w:rsidP="001E5651"/>
    <w:p w14:paraId="657285D4" w14:textId="77777777" w:rsidR="001E5651" w:rsidRDefault="001E5651">
      <w:pPr>
        <w:rPr>
          <w:rFonts w:asciiTheme="majorHAnsi" w:eastAsiaTheme="majorEastAsia" w:hAnsiTheme="majorHAnsi" w:cstheme="majorBidi"/>
          <w:b/>
          <w:bCs/>
          <w:color w:val="62B5E5" w:themeColor="accent3"/>
          <w:szCs w:val="26"/>
        </w:rPr>
      </w:pPr>
      <w:r>
        <w:br w:type="page"/>
      </w:r>
    </w:p>
    <w:p w14:paraId="5B6EF4AE" w14:textId="2782F15F" w:rsidR="002A7D85" w:rsidRDefault="002A7D85" w:rsidP="002A7D85">
      <w:pPr>
        <w:pStyle w:val="Heading2"/>
      </w:pPr>
      <w:bookmarkStart w:id="18" w:name="_Toc52532087"/>
      <w:r>
        <w:lastRenderedPageBreak/>
        <w:t>Kontroly a nesrovnalosti</w:t>
      </w:r>
      <w:bookmarkEnd w:id="18"/>
    </w:p>
    <w:p w14:paraId="7A41BF4B" w14:textId="570AFBE9" w:rsidR="00EA5475" w:rsidRPr="006B30BF" w:rsidRDefault="00E1494C" w:rsidP="00EA5475">
      <w:pPr>
        <w:spacing w:before="60" w:after="60" w:line="240" w:lineRule="auto"/>
        <w:rPr>
          <w:rFonts w:ascii="Verdana" w:hAnsi="Verdana"/>
          <w:szCs w:val="18"/>
        </w:rPr>
      </w:pPr>
      <w:r>
        <w:rPr>
          <w:rFonts w:ascii="Verdana" w:hAnsi="Verdana"/>
          <w:szCs w:val="18"/>
        </w:rPr>
        <w:t>Poslední tabulka přináší odpovědi na evaluační otázky z oblasti procesů kontrol a nesrovnalostí.</w:t>
      </w:r>
    </w:p>
    <w:p w14:paraId="4754ABD6" w14:textId="77777777" w:rsidR="00EA5475" w:rsidRPr="006B30BF" w:rsidRDefault="00EA5475" w:rsidP="00EA5475">
      <w:pPr>
        <w:spacing w:before="60" w:after="60" w:line="240" w:lineRule="auto"/>
        <w:rPr>
          <w:rFonts w:ascii="Verdana" w:hAnsi="Verdana"/>
          <w:szCs w:val="18"/>
        </w:rPr>
      </w:pPr>
    </w:p>
    <w:p w14:paraId="33CA2FE6" w14:textId="07B3C1C1" w:rsidR="00E1494C" w:rsidRDefault="00E1494C" w:rsidP="00E1494C">
      <w:pPr>
        <w:pStyle w:val="Caption"/>
      </w:pPr>
      <w:bookmarkStart w:id="19" w:name="_Toc52532105"/>
      <w:r>
        <w:t xml:space="preserve">Tabulka </w:t>
      </w:r>
      <w:r>
        <w:fldChar w:fldCharType="begin"/>
      </w:r>
      <w:r>
        <w:instrText xml:space="preserve"> SEQ Tabulka \* ARABIC </w:instrText>
      </w:r>
      <w:r>
        <w:fldChar w:fldCharType="separate"/>
      </w:r>
      <w:r w:rsidR="008E1911">
        <w:rPr>
          <w:noProof/>
        </w:rPr>
        <w:t>7</w:t>
      </w:r>
      <w:r>
        <w:fldChar w:fldCharType="end"/>
      </w:r>
      <w:r>
        <w:t xml:space="preserve"> Odpovědi na evaluační otázky z oblasti kontrol a nesrovnalostí</w:t>
      </w:r>
      <w:bookmarkEnd w:id="19"/>
    </w:p>
    <w:tbl>
      <w:tblPr>
        <w:tblStyle w:val="ListTable3-Accent1"/>
        <w:tblW w:w="5000" w:type="pct"/>
        <w:tblBorders>
          <w:insideH w:val="single" w:sz="4" w:space="0" w:color="86BC25" w:themeColor="accent1"/>
          <w:insideV w:val="single" w:sz="4" w:space="0" w:color="86BC25" w:themeColor="accent1"/>
        </w:tblBorders>
        <w:tblLayout w:type="fixed"/>
        <w:tblCellMar>
          <w:top w:w="29" w:type="dxa"/>
          <w:left w:w="29" w:type="dxa"/>
          <w:bottom w:w="29" w:type="dxa"/>
          <w:right w:w="29" w:type="dxa"/>
        </w:tblCellMar>
        <w:tblLook w:val="04A0" w:firstRow="1" w:lastRow="0" w:firstColumn="1" w:lastColumn="0" w:noHBand="0" w:noVBand="1"/>
      </w:tblPr>
      <w:tblGrid>
        <w:gridCol w:w="263"/>
        <w:gridCol w:w="2860"/>
        <w:gridCol w:w="6613"/>
      </w:tblGrid>
      <w:tr w:rsidR="00EA5475" w:rsidRPr="000421F0" w14:paraId="6BA5C1DF" w14:textId="77777777" w:rsidTr="003F2002">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135" w:type="pct"/>
            <w:noWrap/>
            <w:hideMark/>
          </w:tcPr>
          <w:p w14:paraId="165119DF" w14:textId="77777777" w:rsidR="00EA5475" w:rsidRPr="000421F0" w:rsidRDefault="00EA5475" w:rsidP="00E17552">
            <w:pPr>
              <w:spacing w:after="120"/>
              <w:rPr>
                <w:rFonts w:asciiTheme="minorHAnsi" w:eastAsia="Times New Roman" w:hAnsiTheme="minorHAnsi"/>
                <w:sz w:val="16"/>
                <w:szCs w:val="16"/>
              </w:rPr>
            </w:pPr>
          </w:p>
        </w:tc>
        <w:tc>
          <w:tcPr>
            <w:tcW w:w="1469" w:type="pct"/>
            <w:noWrap/>
            <w:hideMark/>
          </w:tcPr>
          <w:p w14:paraId="405A2D6B" w14:textId="77777777" w:rsidR="00EA5475" w:rsidRPr="000421F0" w:rsidRDefault="00EA5475" w:rsidP="00E17552">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sz w:val="16"/>
                <w:szCs w:val="16"/>
              </w:rPr>
              <w:t>Kontroly a nesrovnalosti</w:t>
            </w:r>
          </w:p>
        </w:tc>
        <w:tc>
          <w:tcPr>
            <w:tcW w:w="3396" w:type="pct"/>
            <w:noWrap/>
            <w:hideMark/>
          </w:tcPr>
          <w:p w14:paraId="5E8D3E8E" w14:textId="77777777" w:rsidR="00EA5475" w:rsidRPr="000421F0" w:rsidRDefault="00EA5475" w:rsidP="00E17552">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p>
        </w:tc>
      </w:tr>
      <w:tr w:rsidR="00EA5475" w:rsidRPr="000421F0" w14:paraId="171E3CD6" w14:textId="77777777" w:rsidTr="003F2002">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135" w:type="pct"/>
            <w:shd w:val="clear" w:color="auto" w:fill="E7F5CF" w:themeFill="accent1" w:themeFillTint="33"/>
            <w:noWrap/>
            <w:hideMark/>
          </w:tcPr>
          <w:p w14:paraId="510B849E"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č.</w:t>
            </w:r>
          </w:p>
        </w:tc>
        <w:tc>
          <w:tcPr>
            <w:tcW w:w="1469" w:type="pct"/>
            <w:shd w:val="clear" w:color="auto" w:fill="E7F5CF" w:themeFill="accent1" w:themeFillTint="33"/>
            <w:noWrap/>
            <w:hideMark/>
          </w:tcPr>
          <w:p w14:paraId="41EB7DEF" w14:textId="77777777" w:rsidR="00EA5475" w:rsidRPr="000421F0" w:rsidRDefault="00EA5475" w:rsidP="00E17552">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Evaluační otázka</w:t>
            </w:r>
          </w:p>
        </w:tc>
        <w:tc>
          <w:tcPr>
            <w:tcW w:w="3396" w:type="pct"/>
            <w:shd w:val="clear" w:color="auto" w:fill="E7F5CF" w:themeFill="accent1" w:themeFillTint="33"/>
            <w:noWrap/>
            <w:hideMark/>
          </w:tcPr>
          <w:p w14:paraId="024B202E" w14:textId="39EDFF34" w:rsidR="00EA5475" w:rsidRPr="000421F0" w:rsidRDefault="00402BA3" w:rsidP="00E17552">
            <w:pPr>
              <w:spacing w:after="12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Odpověď na EO</w:t>
            </w:r>
          </w:p>
        </w:tc>
      </w:tr>
      <w:tr w:rsidR="00EA5475" w:rsidRPr="000421F0" w14:paraId="55F96967" w14:textId="77777777" w:rsidTr="003F2002">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135" w:type="pct"/>
            <w:noWrap/>
          </w:tcPr>
          <w:p w14:paraId="7E109317"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1</w:t>
            </w:r>
          </w:p>
        </w:tc>
        <w:tc>
          <w:tcPr>
            <w:tcW w:w="1469" w:type="pct"/>
            <w:noWrap/>
          </w:tcPr>
          <w:p w14:paraId="5CE7D6C9"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Je proces kontrol projektů, včetně kontrol výběrových řízení, nastaven a vykonáván efektivně? Budou identifikovány nejproblematičtější body, ve kterých dochází k největšímu počtu chyb ze strany příjemců.</w:t>
            </w:r>
          </w:p>
        </w:tc>
        <w:tc>
          <w:tcPr>
            <w:tcW w:w="3396" w:type="pct"/>
            <w:noWrap/>
            <w:hideMark/>
          </w:tcPr>
          <w:p w14:paraId="4527B98E" w14:textId="59A02F29" w:rsidR="00EA5475" w:rsidRPr="000421F0" w:rsidRDefault="003E6E32" w:rsidP="1B8B314C">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Pr>
                <w:rFonts w:asciiTheme="minorHAnsi" w:eastAsia="Times New Roman" w:hAnsiTheme="minorHAnsi" w:cs="Calibri"/>
                <w:b/>
                <w:color w:val="000000" w:themeColor="text1"/>
                <w:sz w:val="16"/>
                <w:szCs w:val="16"/>
              </w:rPr>
              <w:t>D</w:t>
            </w:r>
            <w:r w:rsidRPr="00500475">
              <w:rPr>
                <w:rFonts w:asciiTheme="minorHAnsi" w:eastAsia="Times New Roman" w:hAnsiTheme="minorHAnsi" w:cs="Calibri"/>
                <w:b/>
                <w:color w:val="000000" w:themeColor="text1"/>
                <w:sz w:val="16"/>
                <w:szCs w:val="16"/>
              </w:rPr>
              <w:t xml:space="preserve">rtivá většina respondentů DŠ (66 – 75 %) </w:t>
            </w:r>
            <w:r w:rsidR="008520CD">
              <w:rPr>
                <w:rFonts w:asciiTheme="minorHAnsi" w:eastAsia="Times New Roman" w:hAnsiTheme="minorHAnsi" w:cs="Calibri"/>
                <w:b/>
                <w:color w:val="000000" w:themeColor="text1"/>
                <w:sz w:val="16"/>
                <w:szCs w:val="16"/>
              </w:rPr>
              <w:t xml:space="preserve">se </w:t>
            </w:r>
            <w:r w:rsidRPr="00500475">
              <w:rPr>
                <w:rFonts w:asciiTheme="minorHAnsi" w:eastAsia="Times New Roman" w:hAnsiTheme="minorHAnsi" w:cs="Calibri"/>
                <w:b/>
                <w:color w:val="000000" w:themeColor="text1"/>
                <w:sz w:val="16"/>
                <w:szCs w:val="16"/>
              </w:rPr>
              <w:t>domnívá, že proces kontrol dokáže efektivně odhalit i vyřešit nedostatky.</w:t>
            </w:r>
            <w:r>
              <w:rPr>
                <w:rFonts w:asciiTheme="minorHAnsi" w:eastAsia="Times New Roman" w:hAnsiTheme="minorHAnsi" w:cs="Calibri"/>
                <w:color w:val="000000" w:themeColor="text1"/>
                <w:sz w:val="16"/>
                <w:szCs w:val="16"/>
              </w:rPr>
              <w:t xml:space="preserve"> </w:t>
            </w:r>
            <w:r w:rsidR="00E86A79">
              <w:rPr>
                <w:rFonts w:asciiTheme="minorHAnsi" w:eastAsia="Times New Roman" w:hAnsiTheme="minorHAnsi" w:cs="Calibri"/>
                <w:color w:val="000000" w:themeColor="text1"/>
                <w:sz w:val="16"/>
                <w:szCs w:val="16"/>
              </w:rPr>
              <w:t xml:space="preserve">Nicméně </w:t>
            </w:r>
            <w:r w:rsidR="00E86A79">
              <w:rPr>
                <w:rFonts w:asciiTheme="minorHAnsi" w:eastAsia="Times New Roman" w:hAnsiTheme="minorHAnsi" w:cs="Calibri"/>
                <w:b/>
                <w:bCs/>
                <w:color w:val="000000" w:themeColor="text1"/>
                <w:sz w:val="16"/>
                <w:szCs w:val="16"/>
              </w:rPr>
              <w:t>p</w:t>
            </w:r>
            <w:r w:rsidR="00EA5475" w:rsidRPr="1B8B314C">
              <w:rPr>
                <w:rFonts w:asciiTheme="minorHAnsi" w:eastAsia="Times New Roman" w:hAnsiTheme="minorHAnsi" w:cs="Calibri"/>
                <w:b/>
                <w:bCs/>
                <w:color w:val="000000" w:themeColor="text1"/>
                <w:sz w:val="16"/>
                <w:szCs w:val="16"/>
              </w:rPr>
              <w:t>roces KnM a kontrol VŘ je nastaven natolik komplexně a rozsáhle</w:t>
            </w:r>
            <w:r w:rsidR="00EA5475" w:rsidRPr="1B8B314C">
              <w:rPr>
                <w:rFonts w:asciiTheme="minorHAnsi" w:eastAsia="Times New Roman" w:hAnsiTheme="minorHAnsi" w:cs="Calibri"/>
                <w:color w:val="000000" w:themeColor="text1"/>
                <w:sz w:val="16"/>
                <w:szCs w:val="16"/>
              </w:rPr>
              <w:t xml:space="preserve">, že </w:t>
            </w:r>
            <w:r w:rsidR="29B4BE30" w:rsidRPr="1B8B314C">
              <w:rPr>
                <w:rFonts w:asciiTheme="minorHAnsi" w:eastAsia="Times New Roman" w:hAnsiTheme="minorHAnsi" w:cs="Calibri"/>
                <w:color w:val="000000" w:themeColor="text1"/>
                <w:sz w:val="16"/>
                <w:szCs w:val="16"/>
              </w:rPr>
              <w:t>je jejich výkon</w:t>
            </w:r>
            <w:r w:rsidR="00EA5475" w:rsidRPr="1B8B314C">
              <w:rPr>
                <w:rFonts w:asciiTheme="minorHAnsi" w:eastAsia="Times New Roman" w:hAnsiTheme="minorHAnsi" w:cs="Calibri"/>
                <w:color w:val="000000" w:themeColor="text1"/>
                <w:sz w:val="16"/>
                <w:szCs w:val="16"/>
              </w:rPr>
              <w:t xml:space="preserve"> při současném kapacitním obsazení Odboru kontrol a nesrovnalostí</w:t>
            </w:r>
            <w:r w:rsidR="29B4BE30" w:rsidRPr="1B8B314C">
              <w:rPr>
                <w:rFonts w:asciiTheme="minorHAnsi" w:eastAsia="Times New Roman" w:hAnsiTheme="minorHAnsi" w:cs="Calibri"/>
                <w:color w:val="000000" w:themeColor="text1"/>
                <w:sz w:val="16"/>
                <w:szCs w:val="16"/>
              </w:rPr>
              <w:t xml:space="preserve"> na hranici realizovatelného</w:t>
            </w:r>
            <w:r w:rsidR="00EA5475" w:rsidRPr="1B8B314C">
              <w:rPr>
                <w:rFonts w:asciiTheme="minorHAnsi" w:eastAsia="Times New Roman" w:hAnsiTheme="minorHAnsi" w:cs="Calibri"/>
                <w:color w:val="000000" w:themeColor="text1"/>
                <w:sz w:val="16"/>
                <w:szCs w:val="16"/>
              </w:rPr>
              <w:t>.</w:t>
            </w:r>
            <w:r>
              <w:rPr>
                <w:rFonts w:asciiTheme="minorHAnsi" w:eastAsia="Times New Roman" w:hAnsiTheme="minorHAnsi" w:cs="Calibri"/>
                <w:color w:val="000000" w:themeColor="text1"/>
                <w:sz w:val="16"/>
                <w:szCs w:val="16"/>
              </w:rPr>
              <w:t xml:space="preserve"> To mimo jiné potvrzuje 49 % respondentů DŠ.</w:t>
            </w:r>
            <w:r>
              <w:rPr>
                <w:rStyle w:val="FootnoteReference"/>
                <w:rFonts w:asciiTheme="minorHAnsi" w:eastAsia="Times New Roman" w:hAnsiTheme="minorHAnsi" w:cs="Calibri"/>
                <w:color w:val="000000" w:themeColor="text1"/>
                <w:sz w:val="16"/>
                <w:szCs w:val="16"/>
              </w:rPr>
              <w:footnoteReference w:id="28"/>
            </w:r>
            <w:r w:rsidR="00EA5475" w:rsidRPr="1B8B314C">
              <w:rPr>
                <w:rFonts w:asciiTheme="minorHAnsi" w:eastAsia="Times New Roman" w:hAnsiTheme="minorHAnsi" w:cs="Calibri"/>
                <w:color w:val="000000" w:themeColor="text1"/>
                <w:sz w:val="16"/>
                <w:szCs w:val="16"/>
              </w:rPr>
              <w:t xml:space="preserve"> Při KnM dochází ke zpožděním, které následně vedou ke zpožděním při proplácení </w:t>
            </w:r>
            <w:r w:rsidR="00825645" w:rsidRPr="1B8B314C">
              <w:rPr>
                <w:rFonts w:asciiTheme="minorHAnsi" w:eastAsia="Times New Roman" w:hAnsiTheme="minorHAnsi" w:cs="Calibri"/>
                <w:color w:val="000000" w:themeColor="text1"/>
                <w:sz w:val="16"/>
                <w:szCs w:val="16"/>
              </w:rPr>
              <w:t>ŽoPl</w:t>
            </w:r>
            <w:r w:rsidR="00EA5475" w:rsidRPr="1B8B314C">
              <w:rPr>
                <w:rFonts w:asciiTheme="minorHAnsi" w:eastAsia="Times New Roman" w:hAnsiTheme="minorHAnsi" w:cs="Calibri"/>
                <w:color w:val="000000" w:themeColor="text1"/>
                <w:sz w:val="16"/>
                <w:szCs w:val="16"/>
              </w:rPr>
              <w:t>, na které jsou KnM vázány.</w:t>
            </w:r>
            <w:r w:rsidR="00266628">
              <w:rPr>
                <w:rFonts w:asciiTheme="minorHAnsi" w:eastAsia="Times New Roman" w:hAnsiTheme="minorHAnsi" w:cs="Calibri"/>
                <w:color w:val="000000" w:themeColor="text1"/>
                <w:sz w:val="16"/>
                <w:szCs w:val="16"/>
              </w:rPr>
              <w:t xml:space="preserve"> V některých případech je zpoždění způsobeno i samotným příjemcem podpory, buď jeho nedostatečnou součinností nebo přímo na jeho žádost o posun termínu KnM. </w:t>
            </w:r>
            <w:r w:rsidR="00EA5475" w:rsidRPr="1B8B314C">
              <w:rPr>
                <w:rFonts w:asciiTheme="minorHAnsi" w:eastAsia="Times New Roman" w:hAnsiTheme="minorHAnsi" w:cs="Calibri"/>
                <w:color w:val="000000" w:themeColor="text1"/>
                <w:sz w:val="16"/>
                <w:szCs w:val="16"/>
              </w:rPr>
              <w:t xml:space="preserve"> </w:t>
            </w:r>
            <w:r w:rsidR="003A1C70" w:rsidRPr="003A1C70">
              <w:rPr>
                <w:rFonts w:asciiTheme="minorHAnsi" w:eastAsia="Times New Roman" w:hAnsiTheme="minorHAnsi" w:cs="Calibri"/>
                <w:color w:val="000000" w:themeColor="text1"/>
                <w:sz w:val="16"/>
                <w:szCs w:val="16"/>
              </w:rPr>
              <w:t>V posledních 3 letech došlo k fluktuaci lidí (v důsledku odchodu na mateřskou dovolenou), což vedlo ke zvýšení administrace personálního zajištění a následnou nutnost zaškolení nových pracovníků. Z důvodu častých výjezdů na prováděné kontroly a požadované odbornosti nových pracovníků, musela být výběrová řízení na obsazení chybějících pozic vyhlašována opakovaně.</w:t>
            </w:r>
            <w:r w:rsidR="003A1C70">
              <w:rPr>
                <w:rFonts w:asciiTheme="minorHAnsi" w:eastAsia="Times New Roman" w:hAnsiTheme="minorHAnsi" w:cs="Calibri"/>
                <w:color w:val="000000" w:themeColor="text1"/>
                <w:sz w:val="16"/>
                <w:szCs w:val="16"/>
              </w:rPr>
              <w:t xml:space="preserve"> </w:t>
            </w:r>
            <w:r w:rsidR="00EA5475" w:rsidRPr="1B8B314C">
              <w:rPr>
                <w:rFonts w:asciiTheme="minorHAnsi" w:eastAsia="Times New Roman" w:hAnsiTheme="minorHAnsi" w:cs="Calibri"/>
                <w:color w:val="000000" w:themeColor="text1"/>
                <w:sz w:val="16"/>
                <w:szCs w:val="16"/>
              </w:rPr>
              <w:t xml:space="preserve">Do plánů běžné agendy KnM například zasahují ad hoc dohledové kontroly nebo externí audity. </w:t>
            </w:r>
          </w:p>
          <w:p w14:paraId="200662F1" w14:textId="31DBD913"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Procesy KaN jsou spojeny s nadbytečnými manuálními úkony. Jde např.</w:t>
            </w:r>
            <w:r w:rsidR="008666EF" w:rsidRPr="000421F0">
              <w:rPr>
                <w:rFonts w:asciiTheme="minorHAnsi" w:eastAsia="Times New Roman" w:hAnsiTheme="minorHAnsi" w:cs="Calibri"/>
                <w:color w:val="000000"/>
                <w:sz w:val="16"/>
                <w:szCs w:val="16"/>
              </w:rPr>
              <w:t> </w:t>
            </w:r>
            <w:r w:rsidRPr="000421F0">
              <w:rPr>
                <w:rFonts w:asciiTheme="minorHAnsi" w:eastAsia="Times New Roman" w:hAnsiTheme="minorHAnsi" w:cs="Calibri"/>
                <w:color w:val="000000"/>
                <w:sz w:val="16"/>
                <w:szCs w:val="16"/>
              </w:rPr>
              <w:t>o:</w:t>
            </w:r>
          </w:p>
          <w:p w14:paraId="300E6FAC" w14:textId="12F67271" w:rsidR="00EA5475" w:rsidRPr="000421F0" w:rsidRDefault="00EA5475" w:rsidP="00E17552">
            <w:pPr>
              <w:pStyle w:val="ListParagraph"/>
              <w:numPr>
                <w:ilvl w:val="0"/>
                <w:numId w:val="28"/>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Generování seznamu projektů, které budou v daný měsíc/týden předkládat </w:t>
            </w:r>
            <w:r w:rsidR="00825645" w:rsidRPr="000421F0">
              <w:rPr>
                <w:rFonts w:asciiTheme="minorHAnsi" w:eastAsia="Times New Roman" w:hAnsiTheme="minorHAnsi" w:cs="Calibri"/>
                <w:color w:val="000000"/>
                <w:sz w:val="16"/>
                <w:szCs w:val="16"/>
              </w:rPr>
              <w:t>ŽoPl</w:t>
            </w:r>
            <w:r w:rsidRPr="000421F0">
              <w:rPr>
                <w:rFonts w:asciiTheme="minorHAnsi" w:eastAsia="Times New Roman" w:hAnsiTheme="minorHAnsi" w:cs="Calibri"/>
                <w:color w:val="000000"/>
                <w:sz w:val="16"/>
                <w:szCs w:val="16"/>
              </w:rPr>
              <w:t>, pracovníky ZS;</w:t>
            </w:r>
          </w:p>
          <w:p w14:paraId="34DEF533" w14:textId="77777777" w:rsidR="00EA5475" w:rsidRPr="000421F0" w:rsidRDefault="00EA5475" w:rsidP="00E17552">
            <w:pPr>
              <w:pStyle w:val="ListParagraph"/>
              <w:numPr>
                <w:ilvl w:val="0"/>
                <w:numId w:val="28"/>
              </w:numPr>
              <w:spacing w:after="120"/>
              <w:ind w:left="245" w:hanging="18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Ruční přepisování seznamu kontrolovaných projektů do Informačního systému pro podporu provádění a vyhodnocování finančních kontrol, Modulu koordinace plánování kontrol (to vede to k chybovosti a neefektivnosti celého systému, navíc ŘO provádí kontroly bez ohledu na projekty vložené do tohoto systému).</w:t>
            </w:r>
          </w:p>
          <w:p w14:paraId="68716597"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Dle výsledků DŠ, ale i na základě hloubkových rozhovorů lze tvrdit, že příjemci nejčastěji chybují při:</w:t>
            </w:r>
          </w:p>
          <w:p w14:paraId="6153374F" w14:textId="77777777" w:rsidR="00EA5475" w:rsidRPr="000421F0" w:rsidRDefault="00EA5475" w:rsidP="00E17552">
            <w:pPr>
              <w:pStyle w:val="ListParagraph"/>
              <w:numPr>
                <w:ilvl w:val="0"/>
                <w:numId w:val="29"/>
              </w:numPr>
              <w:spacing w:after="12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Výběrových řízení na dodavatele, ať již dle zákona nebo PpVD;</w:t>
            </w:r>
          </w:p>
          <w:p w14:paraId="507DA94A" w14:textId="7A0C0B93" w:rsidR="00EA5475" w:rsidRPr="000421F0" w:rsidRDefault="00EA5475" w:rsidP="00E17552">
            <w:pPr>
              <w:pStyle w:val="ListParagraph"/>
              <w:numPr>
                <w:ilvl w:val="0"/>
                <w:numId w:val="29"/>
              </w:numPr>
              <w:spacing w:after="12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Podávání </w:t>
            </w:r>
            <w:r w:rsidR="00825645" w:rsidRPr="000421F0">
              <w:rPr>
                <w:rFonts w:asciiTheme="minorHAnsi" w:eastAsia="Times New Roman" w:hAnsiTheme="minorHAnsi" w:cs="Calibri"/>
                <w:color w:val="000000"/>
                <w:sz w:val="16"/>
                <w:szCs w:val="16"/>
              </w:rPr>
              <w:t>ŽoPl</w:t>
            </w:r>
            <w:r w:rsidRPr="000421F0">
              <w:rPr>
                <w:rFonts w:asciiTheme="minorHAnsi" w:eastAsia="Times New Roman" w:hAnsiTheme="minorHAnsi" w:cs="Calibri"/>
                <w:color w:val="000000"/>
                <w:sz w:val="16"/>
                <w:szCs w:val="16"/>
              </w:rPr>
              <w:t>;</w:t>
            </w:r>
          </w:p>
          <w:p w14:paraId="7FD462AE" w14:textId="77777777" w:rsidR="00EA5475" w:rsidRPr="000421F0" w:rsidRDefault="00EA5475" w:rsidP="00E17552">
            <w:pPr>
              <w:pStyle w:val="ListParagraph"/>
              <w:numPr>
                <w:ilvl w:val="0"/>
                <w:numId w:val="29"/>
              </w:numPr>
              <w:spacing w:after="12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Správná identifikace způsobilosti výdajů;</w:t>
            </w:r>
          </w:p>
          <w:p w14:paraId="11DAB582" w14:textId="77777777" w:rsidR="00EA5475" w:rsidRPr="000421F0" w:rsidRDefault="00EA5475" w:rsidP="00E17552">
            <w:pPr>
              <w:pStyle w:val="ListParagraph"/>
              <w:numPr>
                <w:ilvl w:val="0"/>
                <w:numId w:val="29"/>
              </w:numPr>
              <w:spacing w:after="12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Změny projektů;</w:t>
            </w:r>
          </w:p>
          <w:p w14:paraId="0E71FF4A" w14:textId="77777777" w:rsidR="00EA5475" w:rsidRPr="000421F0" w:rsidRDefault="00EA5475" w:rsidP="00E17552">
            <w:pPr>
              <w:pStyle w:val="ListParagraph"/>
              <w:numPr>
                <w:ilvl w:val="0"/>
                <w:numId w:val="29"/>
              </w:numPr>
              <w:spacing w:after="12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Udržitelnost projektů;</w:t>
            </w:r>
          </w:p>
          <w:p w14:paraId="465B832A" w14:textId="77777777" w:rsidR="00EA5475" w:rsidRPr="000421F0" w:rsidRDefault="00EA5475" w:rsidP="00E17552">
            <w:pPr>
              <w:pStyle w:val="ListParagraph"/>
              <w:numPr>
                <w:ilvl w:val="0"/>
                <w:numId w:val="29"/>
              </w:numPr>
              <w:spacing w:after="12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Monitorovací zprávy.</w:t>
            </w:r>
          </w:p>
          <w:p w14:paraId="3FC3AE76" w14:textId="3A260F32"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Komplexní seznam nejčastějších pochybení příjemců</w:t>
            </w:r>
            <w:r w:rsidR="004513B9" w:rsidRPr="000421F0">
              <w:rPr>
                <w:rFonts w:asciiTheme="minorHAnsi" w:eastAsia="Times New Roman" w:hAnsiTheme="minorHAnsi" w:cs="Calibri"/>
                <w:color w:val="000000"/>
                <w:sz w:val="16"/>
                <w:szCs w:val="16"/>
              </w:rPr>
              <w:t xml:space="preserve"> je uveden v příloze 2.</w:t>
            </w:r>
          </w:p>
          <w:p w14:paraId="5108B44A" w14:textId="7EB151DF" w:rsidR="00426E84" w:rsidRPr="000421F0" w:rsidRDefault="00EA5475" w:rsidP="00E92CF1">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Tato pochybení jsou dána především administrativní náročností operací a složitým metodickým prostředím. Pochybení v předkládání zpráv o udržitelnosti projektů má navíc kořeny v neinformovanosti příjemců (notifikace depeší v MS2014+), respektive narušené spolupráce s poradenskými společnostmi, neúmyslným zapomenutím či opomenutím povinností, složitostí či neporozuměním RoPD.</w:t>
            </w:r>
          </w:p>
        </w:tc>
      </w:tr>
      <w:tr w:rsidR="00EA5475" w:rsidRPr="000421F0" w14:paraId="42EFA65C" w14:textId="77777777" w:rsidTr="003F2002">
        <w:trPr>
          <w:trHeight w:val="643"/>
        </w:trPr>
        <w:tc>
          <w:tcPr>
            <w:cnfStyle w:val="001000000000" w:firstRow="0" w:lastRow="0" w:firstColumn="1" w:lastColumn="0" w:oddVBand="0" w:evenVBand="0" w:oddHBand="0" w:evenHBand="0" w:firstRowFirstColumn="0" w:firstRowLastColumn="0" w:lastRowFirstColumn="0" w:lastRowLastColumn="0"/>
            <w:tcW w:w="135" w:type="pct"/>
            <w:noWrap/>
          </w:tcPr>
          <w:p w14:paraId="5C4D6B2F"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2</w:t>
            </w:r>
          </w:p>
        </w:tc>
        <w:tc>
          <w:tcPr>
            <w:tcW w:w="1469" w:type="pct"/>
            <w:noWrap/>
          </w:tcPr>
          <w:p w14:paraId="2115D0F4"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Vnímají žadatelé kontroly jako účelné ve smyslu snahy ŘO předejít případným problémům při budoucím auditu, nebo spíše vnímají ŘO jako kontrolora, který za každou cenu hledá chybu?</w:t>
            </w:r>
          </w:p>
        </w:tc>
        <w:tc>
          <w:tcPr>
            <w:tcW w:w="3396" w:type="pct"/>
            <w:noWrap/>
            <w:hideMark/>
          </w:tcPr>
          <w:p w14:paraId="5CFDE32D"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Z provedených šetření vyplývá, že monitorovací návštěvy a kontroly VŘ ze strany ZS jsou vnímány částečně jako kontrola, ale z větší části jako metodická podpora.</w:t>
            </w:r>
            <w:r w:rsidRPr="000421F0">
              <w:rPr>
                <w:rFonts w:asciiTheme="minorHAnsi" w:eastAsia="Times New Roman" w:hAnsiTheme="minorHAnsi" w:cs="Calibri"/>
                <w:color w:val="000000"/>
                <w:sz w:val="16"/>
                <w:szCs w:val="16"/>
              </w:rPr>
              <w:t xml:space="preserve"> Toto je mimo jiné dáno povahou ex ante kontrol před vyhlašováním VŘ směřující k podpoře a prevenci pochybení. </w:t>
            </w:r>
          </w:p>
          <w:p w14:paraId="13011A94" w14:textId="165A8C92"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Naopak KnM jsou příjemci vnímány spíše jako kontrola</w:t>
            </w:r>
            <w:r w:rsidR="00D40924" w:rsidRPr="000421F0">
              <w:rPr>
                <w:rFonts w:asciiTheme="minorHAnsi" w:eastAsia="Times New Roman" w:hAnsiTheme="minorHAnsi" w:cs="Calibri"/>
                <w:b/>
                <w:color w:val="000000"/>
                <w:sz w:val="16"/>
                <w:szCs w:val="16"/>
              </w:rPr>
              <w:t>,</w:t>
            </w:r>
            <w:r w:rsidRPr="000421F0">
              <w:rPr>
                <w:rFonts w:asciiTheme="minorHAnsi" w:eastAsia="Times New Roman" w:hAnsiTheme="minorHAnsi" w:cs="Calibri"/>
                <w:color w:val="000000"/>
                <w:sz w:val="16"/>
                <w:szCs w:val="16"/>
              </w:rPr>
              <w:t xml:space="preserve"> neboť při ex post nalezeném pochybení existuje větší riziko hlášení nesrovnalostí a následné kontroly finančními úřady. </w:t>
            </w:r>
          </w:p>
          <w:p w14:paraId="487EC8F1"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563C1"/>
                <w:sz w:val="16"/>
                <w:szCs w:val="16"/>
                <w:u w:val="single"/>
              </w:rPr>
            </w:pPr>
            <w:r w:rsidRPr="000421F0">
              <w:rPr>
                <w:rFonts w:asciiTheme="minorHAnsi" w:eastAsia="Times New Roman" w:hAnsiTheme="minorHAnsi" w:cs="Calibri"/>
                <w:b/>
                <w:color w:val="000000"/>
                <w:sz w:val="16"/>
                <w:szCs w:val="16"/>
              </w:rPr>
              <w:lastRenderedPageBreak/>
              <w:t>Zcela negativně jsou vnímány kontroly auditním orgánem, finančními úřady či NKÚ.</w:t>
            </w:r>
            <w:r w:rsidRPr="000421F0">
              <w:rPr>
                <w:rFonts w:asciiTheme="minorHAnsi" w:eastAsia="Times New Roman" w:hAnsiTheme="minorHAnsi" w:cs="Calibri"/>
                <w:color w:val="000000"/>
                <w:sz w:val="16"/>
                <w:szCs w:val="16"/>
              </w:rPr>
              <w:t xml:space="preserve"> Kontroly ŘO, ZS a auditních orgánů nejsou sjednoceny na úrovni míry detailu, a vedou tak nutně k výskytu nesrovnalostí v míře detailu, který ŘO v rámci administrace OP PIK nekontroluje.</w:t>
            </w:r>
          </w:p>
        </w:tc>
      </w:tr>
      <w:tr w:rsidR="00EA5475" w:rsidRPr="000421F0" w14:paraId="22D147C9" w14:textId="77777777" w:rsidTr="003F200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5" w:type="pct"/>
            <w:noWrap/>
          </w:tcPr>
          <w:p w14:paraId="7ECDE4F8" w14:textId="77777777" w:rsidR="00EA5475" w:rsidRPr="000421F0" w:rsidRDefault="00EA5475" w:rsidP="00E17552">
            <w:pPr>
              <w:spacing w:after="120"/>
              <w:rPr>
                <w:rFonts w:asciiTheme="minorHAnsi" w:eastAsia="Times New Roman" w:hAnsiTheme="minorHAnsi"/>
                <w:sz w:val="16"/>
                <w:szCs w:val="16"/>
              </w:rPr>
            </w:pPr>
            <w:r w:rsidRPr="000421F0">
              <w:rPr>
                <w:rFonts w:asciiTheme="minorHAnsi" w:eastAsia="Times New Roman" w:hAnsiTheme="minorHAnsi"/>
                <w:sz w:val="16"/>
                <w:szCs w:val="16"/>
              </w:rPr>
              <w:lastRenderedPageBreak/>
              <w:t>3</w:t>
            </w:r>
          </w:p>
        </w:tc>
        <w:tc>
          <w:tcPr>
            <w:tcW w:w="1469" w:type="pct"/>
            <w:noWrap/>
          </w:tcPr>
          <w:p w14:paraId="3BD5FE39"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Jaký je nejnižší možný rozsah kontrol, aniž by došlo k porušení platné legislativy a JMP? Co je vhodné kontrolovat nad rámec nejnižšího možného rozsahu kontroly? Jaké benefity a jaké náklady zvýšená úroveň kontroly přinese ŘO/ZS OP PIK a jaké příjemci?</w:t>
            </w:r>
          </w:p>
        </w:tc>
        <w:tc>
          <w:tcPr>
            <w:tcW w:w="3396" w:type="pct"/>
            <w:noWrap/>
            <w:hideMark/>
          </w:tcPr>
          <w:p w14:paraId="1B869B90" w14:textId="7486AD7C"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Rozsah kontrol není možné ponižovat, pokud nedojde současně k úpravě </w:t>
            </w:r>
            <w:r w:rsidR="00D40924" w:rsidRPr="000421F0">
              <w:rPr>
                <w:rFonts w:asciiTheme="minorHAnsi" w:eastAsia="Times New Roman" w:hAnsiTheme="minorHAnsi" w:cs="Calibri"/>
                <w:color w:val="000000"/>
                <w:sz w:val="16"/>
                <w:szCs w:val="16"/>
              </w:rPr>
              <w:t xml:space="preserve">legislativního rámce, závazného pro auditní orgány. </w:t>
            </w:r>
            <w:r w:rsidRPr="000421F0">
              <w:rPr>
                <w:rFonts w:asciiTheme="minorHAnsi" w:eastAsia="Times New Roman" w:hAnsiTheme="minorHAnsi" w:cs="Calibri"/>
                <w:color w:val="000000"/>
                <w:sz w:val="16"/>
                <w:szCs w:val="16"/>
              </w:rPr>
              <w:t xml:space="preserve">V případě ponížení rozsahu kontrol může dojít k navýšení zjištěné chybovosti auditními orgány. </w:t>
            </w:r>
          </w:p>
          <w:p w14:paraId="160AA866" w14:textId="592501E3"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 xml:space="preserve">Přesto lze doporučit vyjmutí </w:t>
            </w:r>
            <w:r w:rsidR="00D40924" w:rsidRPr="000421F0">
              <w:rPr>
                <w:rFonts w:asciiTheme="minorHAnsi" w:eastAsia="Times New Roman" w:hAnsiTheme="minorHAnsi" w:cs="Calibri"/>
                <w:b/>
                <w:color w:val="000000"/>
                <w:sz w:val="16"/>
                <w:szCs w:val="16"/>
              </w:rPr>
              <w:t xml:space="preserve">procesu kontroly statusu MSP </w:t>
            </w:r>
            <w:r w:rsidRPr="000421F0">
              <w:rPr>
                <w:rFonts w:asciiTheme="minorHAnsi" w:eastAsia="Times New Roman" w:hAnsiTheme="minorHAnsi" w:cs="Calibri"/>
                <w:b/>
                <w:color w:val="000000"/>
                <w:sz w:val="16"/>
                <w:szCs w:val="16"/>
              </w:rPr>
              <w:t>z KnM.</w:t>
            </w:r>
            <w:r w:rsidR="00D40924" w:rsidRPr="000421F0">
              <w:rPr>
                <w:rFonts w:asciiTheme="minorHAnsi" w:eastAsia="Times New Roman" w:hAnsiTheme="minorHAnsi" w:cs="Calibri"/>
                <w:color w:val="000000"/>
                <w:sz w:val="16"/>
                <w:szCs w:val="16"/>
              </w:rPr>
              <w:t xml:space="preserve"> T</w:t>
            </w:r>
            <w:r w:rsidRPr="000421F0">
              <w:rPr>
                <w:rFonts w:asciiTheme="minorHAnsi" w:eastAsia="Times New Roman" w:hAnsiTheme="minorHAnsi" w:cs="Calibri"/>
                <w:color w:val="000000"/>
                <w:sz w:val="16"/>
                <w:szCs w:val="16"/>
              </w:rPr>
              <w:t xml:space="preserve">ato kontrola je časově nejnáročnější a v pořadí již třetí kontrolou. Navíc ex post ke dni vydání RoPD, nikoli ke dni KnM. </w:t>
            </w:r>
          </w:p>
          <w:p w14:paraId="31EB16AA" w14:textId="77777777"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Dále je možné z KnM vyjmout kontrolu mzdových nákladů, např. zavedením paušální podpory mzdových nákladů. Kontrola mzdových nákladů je další nejnáročnější složkou KnM. </w:t>
            </w:r>
          </w:p>
        </w:tc>
      </w:tr>
      <w:tr w:rsidR="00EA5475" w:rsidRPr="000421F0" w14:paraId="13BA9EE9" w14:textId="77777777" w:rsidTr="003F2002">
        <w:trPr>
          <w:trHeight w:val="520"/>
        </w:trPr>
        <w:tc>
          <w:tcPr>
            <w:cnfStyle w:val="001000000000" w:firstRow="0" w:lastRow="0" w:firstColumn="1" w:lastColumn="0" w:oddVBand="0" w:evenVBand="0" w:oddHBand="0" w:evenHBand="0" w:firstRowFirstColumn="0" w:firstRowLastColumn="0" w:lastRowFirstColumn="0" w:lastRowLastColumn="0"/>
            <w:tcW w:w="135" w:type="pct"/>
            <w:noWrap/>
          </w:tcPr>
          <w:p w14:paraId="51BB9D32" w14:textId="77777777" w:rsidR="00EA5475" w:rsidRPr="000421F0" w:rsidRDefault="00EA5475" w:rsidP="00E17552">
            <w:pPr>
              <w:spacing w:after="120"/>
              <w:rPr>
                <w:rFonts w:asciiTheme="minorHAnsi" w:eastAsia="Times New Roman" w:hAnsiTheme="minorHAnsi"/>
                <w:sz w:val="16"/>
                <w:szCs w:val="16"/>
              </w:rPr>
            </w:pPr>
            <w:r w:rsidRPr="000421F0">
              <w:rPr>
                <w:rFonts w:asciiTheme="minorHAnsi" w:eastAsia="Times New Roman" w:hAnsiTheme="minorHAnsi"/>
                <w:sz w:val="16"/>
                <w:szCs w:val="16"/>
              </w:rPr>
              <w:t>4</w:t>
            </w:r>
          </w:p>
        </w:tc>
        <w:tc>
          <w:tcPr>
            <w:tcW w:w="1469" w:type="pct"/>
            <w:noWrap/>
          </w:tcPr>
          <w:p w14:paraId="258A6354"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color w:val="000000"/>
                <w:sz w:val="16"/>
                <w:szCs w:val="16"/>
              </w:rPr>
            </w:pPr>
            <w:r w:rsidRPr="000421F0">
              <w:rPr>
                <w:rFonts w:asciiTheme="minorHAnsi" w:eastAsia="Times New Roman" w:hAnsiTheme="minorHAnsi" w:cs="Calibri"/>
                <w:b/>
                <w:color w:val="000000"/>
                <w:sz w:val="16"/>
                <w:szCs w:val="16"/>
              </w:rPr>
              <w:t>Jsou procesy kontroly správců FN a konečných příjemců FN nastaveny smysluplně a efektivně? Lze upravit nastavení/kvantitu tak, aby bylo omezeno narušení běžného chodu kontrolovaných subjektů a byly minimalizovány kontroly na úrovni konečných příjemců? Mají pracovníci odpovědní za kontroly správců FN a konečných příjemců FN dostatečné kapacity na vykonávání kontrol?</w:t>
            </w:r>
          </w:p>
        </w:tc>
        <w:tc>
          <w:tcPr>
            <w:tcW w:w="3396" w:type="pct"/>
            <w:noWrap/>
            <w:hideMark/>
          </w:tcPr>
          <w:p w14:paraId="7D8C622C" w14:textId="4FDE4803" w:rsidR="00791621" w:rsidRPr="000421F0" w:rsidRDefault="00EA5475" w:rsidP="1B8B314C">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1B8B314C">
              <w:rPr>
                <w:rFonts w:asciiTheme="minorHAnsi" w:eastAsia="Times New Roman" w:hAnsiTheme="minorHAnsi" w:cs="Calibri"/>
                <w:b/>
                <w:bCs/>
                <w:color w:val="000000" w:themeColor="text1"/>
                <w:sz w:val="16"/>
                <w:szCs w:val="16"/>
              </w:rPr>
              <w:t>U procesů kontrol správců FN a konečných příjemců nebyly identifikovány zásadní nedostatky.</w:t>
            </w:r>
            <w:r w:rsidRPr="1B8B314C">
              <w:rPr>
                <w:rFonts w:asciiTheme="minorHAnsi" w:eastAsia="Times New Roman" w:hAnsiTheme="minorHAnsi" w:cs="Calibri"/>
                <w:color w:val="000000" w:themeColor="text1"/>
                <w:sz w:val="16"/>
                <w:szCs w:val="16"/>
              </w:rPr>
              <w:t xml:space="preserve"> Kontroly na úrovni konečných příjemců probíhají na základě metodikou stanoveného vzorku a kontrolou, která vyplývá jak z pravidel ESIF tak zákona o bankách č. 295/2006 Sb. Kontroly nepředstavují zásadní zátěž ani pro správce FN ani pro konečné příjemce. </w:t>
            </w:r>
          </w:p>
          <w:p w14:paraId="385E4645"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 xml:space="preserve">Problém kontrol FN včetně nově ustanovených fondů Lighthouse Seed Fund a Nation 1 nicméně představuje problém na úrovni ŘO. </w:t>
            </w:r>
            <w:r w:rsidRPr="000421F0">
              <w:rPr>
                <w:rFonts w:asciiTheme="minorHAnsi" w:eastAsia="Times New Roman" w:hAnsiTheme="minorHAnsi" w:cs="Calibri"/>
                <w:b/>
                <w:color w:val="000000"/>
                <w:sz w:val="16"/>
                <w:szCs w:val="16"/>
              </w:rPr>
              <w:t>Oddělení kontrol na místě nedisponuje dostatečně a kontinuálně hlubokými znalostmi FN a jejich kontrola tak představuje extrémní zátěž oddělení.</w:t>
            </w:r>
            <w:r w:rsidRPr="000421F0">
              <w:rPr>
                <w:rFonts w:asciiTheme="minorHAnsi" w:eastAsia="Times New Roman" w:hAnsiTheme="minorHAnsi" w:cs="Calibri"/>
                <w:color w:val="000000"/>
                <w:sz w:val="16"/>
                <w:szCs w:val="16"/>
              </w:rPr>
              <w:t xml:space="preserve"> Řešením je svěření výkonu kontrol FN oddělení FN MPO, či vyčlenění stálých pracovníků Oddělení kontrol na místě pro kontrolu FN. </w:t>
            </w:r>
          </w:p>
        </w:tc>
      </w:tr>
      <w:tr w:rsidR="00EA5475" w:rsidRPr="000421F0" w14:paraId="6B8AB73C" w14:textId="77777777" w:rsidTr="003F200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5" w:type="pct"/>
            <w:noWrap/>
          </w:tcPr>
          <w:p w14:paraId="796EFBF3" w14:textId="77777777" w:rsidR="00EA5475" w:rsidRPr="000421F0" w:rsidRDefault="00EA5475" w:rsidP="00E17552">
            <w:pPr>
              <w:spacing w:after="120"/>
              <w:rPr>
                <w:rFonts w:asciiTheme="minorHAnsi" w:eastAsia="Times New Roman" w:hAnsiTheme="minorHAnsi"/>
                <w:sz w:val="16"/>
                <w:szCs w:val="16"/>
              </w:rPr>
            </w:pPr>
            <w:r w:rsidRPr="000421F0">
              <w:rPr>
                <w:rFonts w:asciiTheme="minorHAnsi" w:eastAsia="Times New Roman" w:hAnsiTheme="minorHAnsi"/>
                <w:sz w:val="16"/>
                <w:szCs w:val="16"/>
              </w:rPr>
              <w:t>5</w:t>
            </w:r>
          </w:p>
        </w:tc>
        <w:tc>
          <w:tcPr>
            <w:tcW w:w="1469" w:type="pct"/>
            <w:noWrap/>
          </w:tcPr>
          <w:p w14:paraId="31C49908" w14:textId="77777777" w:rsidR="00EA5475" w:rsidRPr="000421F0" w:rsidRDefault="00EA5475" w:rsidP="1B8B314C">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color w:val="000000"/>
                <w:sz w:val="16"/>
                <w:szCs w:val="16"/>
              </w:rPr>
            </w:pPr>
            <w:r w:rsidRPr="1B8B314C">
              <w:rPr>
                <w:rFonts w:asciiTheme="minorHAnsi" w:eastAsia="Times New Roman" w:hAnsiTheme="minorHAnsi" w:cs="Calibri"/>
                <w:b/>
                <w:bCs/>
                <w:color w:val="000000" w:themeColor="text1"/>
                <w:sz w:val="16"/>
                <w:szCs w:val="16"/>
              </w:rPr>
              <w:t>Je proces nesrovnalostí nastaven a vykonáván efektivně? Z jakých důvodů na straně příjemce/poskytovatele nejčastěji dochází k nesrovnalostem?</w:t>
            </w:r>
          </w:p>
        </w:tc>
        <w:tc>
          <w:tcPr>
            <w:tcW w:w="3396" w:type="pct"/>
            <w:noWrap/>
            <w:hideMark/>
          </w:tcPr>
          <w:p w14:paraId="5E2F9634" w14:textId="1D7D80C5" w:rsidR="00EA5475" w:rsidRPr="000421F0" w:rsidRDefault="00EA5475" w:rsidP="1B8B314C">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1B8B314C">
              <w:rPr>
                <w:rFonts w:asciiTheme="minorHAnsi" w:eastAsia="Times New Roman" w:hAnsiTheme="minorHAnsi" w:cs="Calibri"/>
                <w:b/>
                <w:bCs/>
                <w:color w:val="000000" w:themeColor="text1"/>
                <w:sz w:val="16"/>
                <w:szCs w:val="16"/>
              </w:rPr>
              <w:t>Proces nesrovnalostí není vykonáván zcela efektivně.</w:t>
            </w:r>
            <w:r w:rsidRPr="1B8B314C">
              <w:rPr>
                <w:rFonts w:asciiTheme="minorHAnsi" w:eastAsia="Times New Roman" w:hAnsiTheme="minorHAnsi" w:cs="Calibri"/>
                <w:color w:val="000000" w:themeColor="text1"/>
                <w:sz w:val="16"/>
                <w:szCs w:val="16"/>
              </w:rPr>
              <w:t xml:space="preserve"> Řada procesních kroků probíhá jak v MS2014+ tak duplicitně v externích excelových tabulkách, mimo jiné kvůli nedostatečné funkcionalitě monitorovacího systému. Do procesu nesrovnalostí je tak zapojena jak API, tak oddělení interního auditu MPO, Věcný odbor MPO, Oddělení nesrovnalostí MPO, Auditní orgán MFCR, finanční úřady, Policie ČR.</w:t>
            </w:r>
          </w:p>
          <w:p w14:paraId="62A241F9" w14:textId="55229DFA" w:rsidR="00EA5475" w:rsidRPr="000421F0"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Sankční systém u Závěrečných zpráv o udržitelnosti vede k velkému množství hlášených nesrovnalostí v nevýznamné výši</w:t>
            </w:r>
            <w:r w:rsidRPr="000421F0">
              <w:rPr>
                <w:rFonts w:asciiTheme="minorHAnsi" w:eastAsia="Times New Roman" w:hAnsiTheme="minorHAnsi" w:cs="Calibri"/>
                <w:color w:val="000000"/>
                <w:sz w:val="16"/>
                <w:szCs w:val="16"/>
              </w:rPr>
              <w:t xml:space="preserve"> 0,01 % (v řádech tisíců korun) a administrativní zátěži implementační struktury.</w:t>
            </w:r>
            <w:r w:rsidR="00C50003" w:rsidRPr="000421F0">
              <w:rPr>
                <w:rFonts w:asciiTheme="minorHAnsi" w:eastAsia="Times New Roman" w:hAnsiTheme="minorHAnsi" w:cs="Calibri"/>
                <w:color w:val="000000"/>
                <w:sz w:val="16"/>
                <w:szCs w:val="16"/>
              </w:rPr>
              <w:t xml:space="preserve"> Přitom právě opomenutí informační povinnosti příjemce v době udržitelnosti projektu je jedním z nejčastějších důvodů nesrovnalostí. Následná administrace výpočtu a vymáhání sankcí je nepřiměřená vymoženým částkám.</w:t>
            </w:r>
          </w:p>
          <w:p w14:paraId="5C0D9FA5" w14:textId="77777777" w:rsidR="00EA5475" w:rsidRDefault="00EA5475"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ZS nedostává zpětnou vazbu o dalším postupu v případě nahlášených nesrovnalostí.</w:t>
            </w:r>
            <w:r w:rsidR="00C50003" w:rsidRPr="000421F0">
              <w:rPr>
                <w:rFonts w:asciiTheme="minorHAnsi" w:eastAsia="Times New Roman" w:hAnsiTheme="minorHAnsi" w:cs="Calibri"/>
                <w:color w:val="000000"/>
                <w:sz w:val="16"/>
                <w:szCs w:val="16"/>
              </w:rPr>
              <w:t xml:space="preserve"> Do procesu se negativně promítá i s</w:t>
            </w:r>
            <w:r w:rsidRPr="000421F0">
              <w:rPr>
                <w:rFonts w:asciiTheme="minorHAnsi" w:eastAsia="Times New Roman" w:hAnsiTheme="minorHAnsi" w:cs="Calibri"/>
                <w:color w:val="000000"/>
                <w:sz w:val="16"/>
                <w:szCs w:val="16"/>
              </w:rPr>
              <w:t>ložitost krácení dotací dle §14 zákona č. 218/2000 Sb. Vliv krácení nezpůsobilých výdajů na vnitřní limity.</w:t>
            </w:r>
          </w:p>
          <w:p w14:paraId="61EEA77E" w14:textId="77777777" w:rsidR="00580F02" w:rsidRPr="00426BA0" w:rsidRDefault="00580F02" w:rsidP="00E17552">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color w:val="000000"/>
                <w:sz w:val="16"/>
                <w:szCs w:val="16"/>
              </w:rPr>
            </w:pPr>
            <w:r w:rsidRPr="00426BA0">
              <w:rPr>
                <w:rFonts w:asciiTheme="minorHAnsi" w:eastAsia="Times New Roman" w:hAnsiTheme="minorHAnsi" w:cs="Calibri"/>
                <w:b/>
                <w:color w:val="000000"/>
                <w:sz w:val="16"/>
                <w:szCs w:val="16"/>
              </w:rPr>
              <w:t>Mezi nejčastější důvody nesrovnalostí patří:</w:t>
            </w:r>
          </w:p>
          <w:p w14:paraId="5ECD0214" w14:textId="4E30B4FB" w:rsidR="00580F02" w:rsidRPr="00426BA0" w:rsidRDefault="00580F02" w:rsidP="00426BA0">
            <w:pPr>
              <w:pStyle w:val="ListParagraph"/>
              <w:numPr>
                <w:ilvl w:val="0"/>
                <w:numId w:val="57"/>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426BA0">
              <w:rPr>
                <w:rFonts w:asciiTheme="minorHAnsi" w:eastAsia="Times New Roman" w:hAnsiTheme="minorHAnsi" w:cs="Calibri"/>
                <w:color w:val="000000"/>
                <w:sz w:val="16"/>
                <w:szCs w:val="16"/>
              </w:rPr>
              <w:t>Porušení podmínek poskytnutí dotace stanovené v RoPD dle Hlava II, čl. II, bod 2 za c) s vymezením sankce 0,1 % z absolutní částky.</w:t>
            </w:r>
          </w:p>
          <w:p w14:paraId="327B75B7" w14:textId="77777777" w:rsidR="00580F02" w:rsidRPr="00426BA0" w:rsidRDefault="00580F02" w:rsidP="00426BA0">
            <w:pPr>
              <w:pStyle w:val="ListParagraph"/>
              <w:numPr>
                <w:ilvl w:val="0"/>
                <w:numId w:val="57"/>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rPr>
            </w:pPr>
            <w:r w:rsidRPr="00426BA0">
              <w:rPr>
                <w:rFonts w:asciiTheme="minorHAnsi" w:eastAsia="Times New Roman" w:hAnsiTheme="minorHAnsi" w:cs="Calibri"/>
                <w:color w:val="000000"/>
                <w:sz w:val="16"/>
                <w:szCs w:val="16"/>
              </w:rPr>
              <w:t>Porušení Podmínek poskytnutí dotace, Hlava I. Obecná část, čl. II odst. 3, týkající se způsobilosti výdajů.</w:t>
            </w:r>
          </w:p>
          <w:p w14:paraId="31E9A5CF" w14:textId="74648504" w:rsidR="00580F02" w:rsidRPr="00426BA0" w:rsidRDefault="00580F02" w:rsidP="00426BA0">
            <w:pPr>
              <w:pStyle w:val="ListParagraph"/>
              <w:numPr>
                <w:ilvl w:val="0"/>
                <w:numId w:val="57"/>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rPr>
            </w:pPr>
            <w:r w:rsidRPr="00426BA0">
              <w:rPr>
                <w:rFonts w:asciiTheme="minorHAnsi" w:eastAsia="Times New Roman" w:hAnsiTheme="minorHAnsi" w:cs="Calibri"/>
                <w:color w:val="000000"/>
                <w:sz w:val="16"/>
                <w:szCs w:val="16"/>
              </w:rPr>
              <w:t>Porušení podmínek pro výběr dodavatele.</w:t>
            </w:r>
          </w:p>
        </w:tc>
      </w:tr>
      <w:tr w:rsidR="00EA5475" w:rsidRPr="000421F0" w14:paraId="18EC1F9E" w14:textId="77777777" w:rsidTr="003F2002">
        <w:trPr>
          <w:trHeight w:val="780"/>
        </w:trPr>
        <w:tc>
          <w:tcPr>
            <w:cnfStyle w:val="001000000000" w:firstRow="0" w:lastRow="0" w:firstColumn="1" w:lastColumn="0" w:oddVBand="0" w:evenVBand="0" w:oddHBand="0" w:evenHBand="0" w:firstRowFirstColumn="0" w:firstRowLastColumn="0" w:lastRowFirstColumn="0" w:lastRowLastColumn="0"/>
            <w:tcW w:w="135" w:type="pct"/>
            <w:noWrap/>
          </w:tcPr>
          <w:p w14:paraId="43A46C1D" w14:textId="77777777" w:rsidR="00EA5475" w:rsidRPr="000421F0" w:rsidRDefault="00EA5475" w:rsidP="00E17552">
            <w:pPr>
              <w:spacing w:after="120"/>
              <w:rPr>
                <w:rFonts w:asciiTheme="minorHAnsi" w:eastAsia="Times New Roman" w:hAnsiTheme="minorHAnsi" w:cs="Calibri"/>
                <w:color w:val="000000"/>
                <w:sz w:val="16"/>
                <w:szCs w:val="16"/>
              </w:rPr>
            </w:pPr>
            <w:r w:rsidRPr="000421F0">
              <w:rPr>
                <w:rFonts w:asciiTheme="minorHAnsi" w:eastAsia="Times New Roman" w:hAnsiTheme="minorHAnsi" w:cs="Calibri"/>
                <w:color w:val="000000"/>
                <w:sz w:val="16"/>
                <w:szCs w:val="16"/>
              </w:rPr>
              <w:t>6</w:t>
            </w:r>
          </w:p>
        </w:tc>
        <w:tc>
          <w:tcPr>
            <w:tcW w:w="1469" w:type="pct"/>
            <w:noWrap/>
          </w:tcPr>
          <w:p w14:paraId="15D45CFE" w14:textId="77777777" w:rsidR="00EA5475" w:rsidRPr="000421F0" w:rsidRDefault="00EA5475" w:rsidP="00E17552">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sz w:val="16"/>
                <w:szCs w:val="16"/>
              </w:rPr>
            </w:pPr>
            <w:r w:rsidRPr="000421F0">
              <w:rPr>
                <w:rFonts w:asciiTheme="minorHAnsi" w:eastAsia="Times New Roman" w:hAnsiTheme="minorHAnsi" w:cs="Calibri"/>
                <w:b/>
                <w:sz w:val="16"/>
                <w:szCs w:val="16"/>
              </w:rPr>
              <w:t>Má implementační struktura OP PIK dostatečnou administrativní kapacitu pro vypořádávání externích auditů a kontrol (NKÚ, AO-PCO, EK, EÚD, FÚ)?</w:t>
            </w:r>
          </w:p>
        </w:tc>
        <w:tc>
          <w:tcPr>
            <w:tcW w:w="3396" w:type="pct"/>
            <w:noWrap/>
            <w:hideMark/>
          </w:tcPr>
          <w:p w14:paraId="0F00488E" w14:textId="72C1CBB2" w:rsidR="00EA5475" w:rsidRPr="000421F0" w:rsidRDefault="00EA5475" w:rsidP="0015498D">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rPr>
            </w:pPr>
            <w:r w:rsidRPr="000421F0">
              <w:rPr>
                <w:rFonts w:asciiTheme="minorHAnsi" w:eastAsia="Times New Roman" w:hAnsiTheme="minorHAnsi" w:cs="Calibri"/>
                <w:b/>
                <w:color w:val="000000"/>
                <w:sz w:val="16"/>
                <w:szCs w:val="16"/>
              </w:rPr>
              <w:t>Implementační struktura nemá dostatečnou kapacitu pro vypořádávání externích auditů a dohledových kontrol</w:t>
            </w:r>
            <w:r w:rsidR="0015498D">
              <w:rPr>
                <w:rFonts w:asciiTheme="minorHAnsi" w:eastAsia="Times New Roman" w:hAnsiTheme="minorHAnsi" w:cs="Calibri"/>
                <w:b/>
                <w:color w:val="000000"/>
                <w:sz w:val="16"/>
                <w:szCs w:val="16"/>
              </w:rPr>
              <w:t>, ve smyslu následných re-kontrol v návaznosti na zjištění těchto externích kontrol a auditů</w:t>
            </w:r>
            <w:r w:rsidRPr="000421F0">
              <w:rPr>
                <w:rFonts w:asciiTheme="minorHAnsi" w:eastAsia="Times New Roman" w:hAnsiTheme="minorHAnsi" w:cs="Calibri"/>
                <w:b/>
                <w:color w:val="000000"/>
                <w:sz w:val="16"/>
                <w:szCs w:val="16"/>
              </w:rPr>
              <w:t>.</w:t>
            </w:r>
            <w:r w:rsidRPr="000421F0">
              <w:rPr>
                <w:rFonts w:asciiTheme="minorHAnsi" w:eastAsia="Times New Roman" w:hAnsiTheme="minorHAnsi" w:cs="Calibri"/>
                <w:color w:val="000000"/>
                <w:sz w:val="16"/>
                <w:szCs w:val="16"/>
              </w:rPr>
              <w:t xml:space="preserve"> Oddělení KnM, většinově pověřované spoluúčastí na auditech a dohledových kontrolách, disponuje </w:t>
            </w:r>
            <w:r w:rsidR="00121ADB">
              <w:rPr>
                <w:rFonts w:asciiTheme="minorHAnsi" w:eastAsia="Times New Roman" w:hAnsiTheme="minorHAnsi" w:cs="Calibri"/>
                <w:color w:val="000000"/>
                <w:sz w:val="16"/>
                <w:szCs w:val="16"/>
              </w:rPr>
              <w:t>zhruba</w:t>
            </w:r>
            <w:r w:rsidR="00121ADB" w:rsidRPr="000421F0">
              <w:rPr>
                <w:rFonts w:asciiTheme="minorHAnsi" w:eastAsia="Times New Roman" w:hAnsiTheme="minorHAnsi" w:cs="Calibri"/>
                <w:color w:val="000000"/>
                <w:sz w:val="16"/>
                <w:szCs w:val="16"/>
              </w:rPr>
              <w:t xml:space="preserve"> </w:t>
            </w:r>
            <w:r w:rsidRPr="000421F0">
              <w:rPr>
                <w:rFonts w:asciiTheme="minorHAnsi" w:eastAsia="Times New Roman" w:hAnsiTheme="minorHAnsi" w:cs="Calibri"/>
                <w:color w:val="000000"/>
                <w:sz w:val="16"/>
                <w:szCs w:val="16"/>
              </w:rPr>
              <w:t xml:space="preserve">15 pracovníky a pracovnicemi s relativně vysokou mírou fluktuace. Každý pracovník je pověřen v průměru 2 až 3 KnM týdně. Každá KnM zároveň vyžaduje osobní účast v místě realizace projektu a s předcházející kontrolou od stolu a následným zpracováním návštěvy KnM celkově zabere v průměru 3 až 4 dny. Každé KnM se zároveň v souladu s pravidlem kontroly 4 očí účastní vždy min. 2 pracovníci. Ročně je tak </w:t>
            </w:r>
            <w:r w:rsidRPr="000421F0">
              <w:rPr>
                <w:rFonts w:asciiTheme="minorHAnsi" w:eastAsia="Times New Roman" w:hAnsiTheme="minorHAnsi" w:cs="Calibri"/>
                <w:color w:val="000000"/>
                <w:sz w:val="16"/>
                <w:szCs w:val="16"/>
              </w:rPr>
              <w:lastRenderedPageBreak/>
              <w:t>zrealizováno kolem 230 KnM. V případě ad hoc externího auditu musí dojít k pozastavení KnM, stažení pracovníků a jejich realokace na audity a dohledové kontroly, které jsou časově podstatně náročnější.</w:t>
            </w:r>
            <w:r w:rsidR="0015498D">
              <w:rPr>
                <w:rFonts w:asciiTheme="minorHAnsi" w:eastAsia="Times New Roman" w:hAnsiTheme="minorHAnsi" w:cs="Calibri"/>
                <w:color w:val="000000"/>
                <w:sz w:val="16"/>
                <w:szCs w:val="16"/>
              </w:rPr>
              <w:t xml:space="preserve"> </w:t>
            </w:r>
          </w:p>
        </w:tc>
      </w:tr>
    </w:tbl>
    <w:p w14:paraId="3585B46F" w14:textId="77777777" w:rsidR="00EA5475" w:rsidRPr="006B30BF" w:rsidRDefault="00EA5475" w:rsidP="00EA5475">
      <w:pPr>
        <w:spacing w:before="60" w:after="60" w:line="240" w:lineRule="auto"/>
        <w:rPr>
          <w:rFonts w:ascii="Verdana" w:hAnsi="Verdana"/>
          <w:szCs w:val="18"/>
        </w:rPr>
      </w:pPr>
    </w:p>
    <w:p w14:paraId="6567DD77" w14:textId="77777777" w:rsidR="00EA5475" w:rsidRPr="006B30BF" w:rsidRDefault="00EA5475" w:rsidP="00EA5475">
      <w:pPr>
        <w:spacing w:before="60" w:after="60" w:line="240" w:lineRule="auto"/>
        <w:rPr>
          <w:rFonts w:ascii="Verdana" w:hAnsi="Verdana"/>
          <w:szCs w:val="18"/>
        </w:rPr>
      </w:pPr>
    </w:p>
    <w:p w14:paraId="12AC9980" w14:textId="505E7CC5" w:rsidR="00EA5475" w:rsidRDefault="00EA5475" w:rsidP="00791621">
      <w:pPr>
        <w:pStyle w:val="Heading1"/>
        <w:spacing w:after="240" w:line="240" w:lineRule="auto"/>
      </w:pPr>
      <w:bookmarkStart w:id="20" w:name="_Toc52532088"/>
      <w:bookmarkStart w:id="21" w:name="_Toc23859669"/>
      <w:r>
        <w:lastRenderedPageBreak/>
        <w:t>Karty optimalizačních opatření</w:t>
      </w:r>
      <w:bookmarkEnd w:id="20"/>
    </w:p>
    <w:p w14:paraId="2EF5F279" w14:textId="06D4904E" w:rsidR="00DC7DC1" w:rsidRDefault="002A7D85" w:rsidP="00EB2730">
      <w:pPr>
        <w:jc w:val="both"/>
      </w:pPr>
      <w:r>
        <w:t xml:space="preserve">Následující kapitola předkládá návrhy optimalizačních opatření k zjištěným nedostatkům, jak byly vybrány pro zpracování na expertním panelu dne 28. května 2020. </w:t>
      </w:r>
      <w:r w:rsidR="00DC7DC1">
        <w:t>Mezi vybrané optimalizační opatření patří:</w:t>
      </w:r>
    </w:p>
    <w:p w14:paraId="23B0AD85" w14:textId="0ABAB020" w:rsidR="00DC7DC1" w:rsidRDefault="00DC7DC1" w:rsidP="00DC7DC1">
      <w:pPr>
        <w:pStyle w:val="ListParagraph"/>
        <w:numPr>
          <w:ilvl w:val="0"/>
          <w:numId w:val="55"/>
        </w:numPr>
        <w:jc w:val="both"/>
      </w:pPr>
      <w:r>
        <w:t>Evidence podnětů metodických změn</w:t>
      </w:r>
    </w:p>
    <w:p w14:paraId="37037911" w14:textId="01FFFE20" w:rsidR="00DC7DC1" w:rsidRDefault="00DC7DC1" w:rsidP="00DC7DC1">
      <w:pPr>
        <w:pStyle w:val="ListParagraph"/>
        <w:numPr>
          <w:ilvl w:val="0"/>
          <w:numId w:val="55"/>
        </w:numPr>
        <w:jc w:val="both"/>
      </w:pPr>
      <w:r>
        <w:t>Automatická robotizace procesu výpočtu směsných poměrů</w:t>
      </w:r>
    </w:p>
    <w:p w14:paraId="54C4B285" w14:textId="3CF7400D" w:rsidR="00DC7DC1" w:rsidRDefault="00DC7DC1" w:rsidP="00DC7DC1">
      <w:pPr>
        <w:pStyle w:val="ListParagraph"/>
        <w:numPr>
          <w:ilvl w:val="0"/>
          <w:numId w:val="55"/>
        </w:numPr>
        <w:jc w:val="both"/>
      </w:pPr>
      <w:r>
        <w:t>Úprava podmínek výběrových řízení na dodavatele</w:t>
      </w:r>
    </w:p>
    <w:p w14:paraId="746103B8" w14:textId="1DFF4C4D" w:rsidR="00DC7DC1" w:rsidRDefault="00DC7DC1" w:rsidP="00DC7DC1">
      <w:pPr>
        <w:pStyle w:val="ListParagraph"/>
        <w:numPr>
          <w:ilvl w:val="0"/>
          <w:numId w:val="55"/>
        </w:numPr>
        <w:jc w:val="both"/>
      </w:pPr>
      <w:r>
        <w:t>Úprava podmínek kontrol na místě a administrace nesrovnalostí</w:t>
      </w:r>
    </w:p>
    <w:p w14:paraId="661EF518" w14:textId="10086994" w:rsidR="00DC7DC1" w:rsidRDefault="00DC7DC1" w:rsidP="00DC7DC1">
      <w:pPr>
        <w:pStyle w:val="ListParagraph"/>
        <w:numPr>
          <w:ilvl w:val="0"/>
          <w:numId w:val="55"/>
        </w:numPr>
        <w:jc w:val="both"/>
      </w:pPr>
      <w:r>
        <w:t>Zjednodušené hodnocení žádostí</w:t>
      </w:r>
    </w:p>
    <w:p w14:paraId="2DC70280" w14:textId="35866F64" w:rsidR="00DC7DC1" w:rsidRDefault="00DC7DC1" w:rsidP="00DC7DC1">
      <w:pPr>
        <w:pStyle w:val="ListParagraph"/>
        <w:numPr>
          <w:ilvl w:val="0"/>
          <w:numId w:val="55"/>
        </w:numPr>
        <w:jc w:val="both"/>
      </w:pPr>
      <w:r>
        <w:t>Navýšení limitů Cost Benefit Analýzy</w:t>
      </w:r>
    </w:p>
    <w:p w14:paraId="53E57D03" w14:textId="61D222CB" w:rsidR="002A7D85" w:rsidRDefault="002A7D85" w:rsidP="00EB2730">
      <w:pPr>
        <w:jc w:val="both"/>
      </w:pPr>
      <w:r>
        <w:t xml:space="preserve">Na základě </w:t>
      </w:r>
      <w:r w:rsidR="006327B6">
        <w:t>zadání</w:t>
      </w:r>
      <w:r>
        <w:t xml:space="preserve"> Zpracovatel u vybraných </w:t>
      </w:r>
      <w:r w:rsidR="006327B6">
        <w:t>řešení analyzoval a popsal:</w:t>
      </w:r>
    </w:p>
    <w:p w14:paraId="23B29D4C" w14:textId="43BB9BFB" w:rsidR="006327B6" w:rsidRDefault="006327B6" w:rsidP="00A84E03">
      <w:pPr>
        <w:pStyle w:val="ListParagraph"/>
        <w:numPr>
          <w:ilvl w:val="0"/>
          <w:numId w:val="37"/>
        </w:numPr>
      </w:pPr>
      <w:r>
        <w:t>Jaká je časová a personální náročnost zavedení/úpravy příslušných pravidel/procesů do OP PIK v</w:t>
      </w:r>
      <w:r w:rsidR="003F2002">
        <w:t> </w:t>
      </w:r>
      <w:r>
        <w:t>případě implementační struktury.</w:t>
      </w:r>
    </w:p>
    <w:p w14:paraId="16493345" w14:textId="039A7987" w:rsidR="006327B6" w:rsidRDefault="006327B6" w:rsidP="00A84E03">
      <w:pPr>
        <w:pStyle w:val="ListParagraph"/>
        <w:numPr>
          <w:ilvl w:val="0"/>
          <w:numId w:val="37"/>
        </w:numPr>
      </w:pPr>
      <w:r>
        <w:t>Jaká je časová a finanční náročnost zavedení/úpravy příslušných</w:t>
      </w:r>
      <w:r w:rsidR="003F2002">
        <w:t xml:space="preserve"> pravidel a procesů do OP PIK v </w:t>
      </w:r>
      <w:r>
        <w:t>případě žadatelů/příjemců.</w:t>
      </w:r>
    </w:p>
    <w:p w14:paraId="11409C8F" w14:textId="0B4AD7F2" w:rsidR="006327B6" w:rsidRDefault="006327B6" w:rsidP="00A84E03">
      <w:pPr>
        <w:pStyle w:val="ListParagraph"/>
        <w:numPr>
          <w:ilvl w:val="0"/>
          <w:numId w:val="37"/>
        </w:numPr>
      </w:pPr>
      <w:r>
        <w:t>Jaké jsou očekávané výsledky optimalizačního opatření a kdy lze očekávat, že se tyto výsledky projeví v praxi.</w:t>
      </w:r>
    </w:p>
    <w:p w14:paraId="76C2E027" w14:textId="498B142C" w:rsidR="006327B6" w:rsidRDefault="006327B6" w:rsidP="00A84E03">
      <w:pPr>
        <w:pStyle w:val="ListParagraph"/>
        <w:numPr>
          <w:ilvl w:val="0"/>
          <w:numId w:val="37"/>
        </w:numPr>
      </w:pPr>
      <w:r>
        <w:t>Jaká mohou z optimalizačního opatření plynout rizika. Jaká rizika hrozí v případě, že pravidla nebo procesy nebudou zavedeny/upraveny.</w:t>
      </w:r>
    </w:p>
    <w:p w14:paraId="438FCDD0" w14:textId="06F400FA" w:rsidR="006327B6" w:rsidRDefault="006327B6" w:rsidP="00A84E03">
      <w:pPr>
        <w:pStyle w:val="ListParagraph"/>
        <w:numPr>
          <w:ilvl w:val="0"/>
          <w:numId w:val="37"/>
        </w:numPr>
      </w:pPr>
      <w:r>
        <w:t>Který útvar implementační struktury OP PIK by měl být za realizaci optimalizačního opatření zodpovědný.</w:t>
      </w:r>
    </w:p>
    <w:p w14:paraId="59D6280C" w14:textId="13D10D85" w:rsidR="006327B6" w:rsidRDefault="006327B6" w:rsidP="006327B6">
      <w:r>
        <w:t xml:space="preserve">Každé optimalizační opatření bylo konzultováno s odbornými garanty. </w:t>
      </w:r>
    </w:p>
    <w:p w14:paraId="48C281FE" w14:textId="0AE7D9AB" w:rsidR="006327B6" w:rsidRDefault="006327B6" w:rsidP="006327B6">
      <w:pPr>
        <w:pStyle w:val="Heading2"/>
      </w:pPr>
      <w:bookmarkStart w:id="22" w:name="_Toc52532089"/>
      <w:r>
        <w:t>Optimalizační opatření č. 1: Evidence podnětů metodických změn</w:t>
      </w:r>
      <w:bookmarkEnd w:id="22"/>
    </w:p>
    <w:p w14:paraId="7B963961" w14:textId="717BA0FA" w:rsidR="006327B6" w:rsidRDefault="00EB2730" w:rsidP="00EB2730">
      <w:pPr>
        <w:jc w:val="both"/>
      </w:pPr>
      <w:r>
        <w:t>Popis n</w:t>
      </w:r>
      <w:r w:rsidR="006327B6">
        <w:t>ásledující</w:t>
      </w:r>
      <w:r>
        <w:t>ho</w:t>
      </w:r>
      <w:r w:rsidR="006327B6">
        <w:t xml:space="preserve"> opatření vychází z diskuse pracovní skupiny k metodickému prostředí </w:t>
      </w:r>
      <w:r>
        <w:t xml:space="preserve">nad doporučením expertního panelu k vytvoření evidence podnětů metodických změn. Cílem takové evidence je primárně sledování a řízení změn metodického prostředí, umožňující prioritizaci a časování změn, aby nedocházelo k nadměrnému zatěžování implementační struktury. </w:t>
      </w:r>
    </w:p>
    <w:p w14:paraId="3BE5EA02" w14:textId="65874D76" w:rsidR="00B050E8" w:rsidRDefault="00B050E8" w:rsidP="00B050E8">
      <w:pPr>
        <w:pStyle w:val="Caption"/>
      </w:pPr>
      <w:bookmarkStart w:id="23" w:name="_Toc52532106"/>
      <w:r>
        <w:t xml:space="preserve">Tabulka </w:t>
      </w:r>
      <w:r>
        <w:fldChar w:fldCharType="begin"/>
      </w:r>
      <w:r>
        <w:instrText xml:space="preserve"> SEQ Tabulka \* ARABIC </w:instrText>
      </w:r>
      <w:r>
        <w:fldChar w:fldCharType="separate"/>
      </w:r>
      <w:r w:rsidR="008E1911">
        <w:rPr>
          <w:noProof/>
        </w:rPr>
        <w:t>8</w:t>
      </w:r>
      <w:r>
        <w:fldChar w:fldCharType="end"/>
      </w:r>
      <w:r>
        <w:t xml:space="preserve"> </w:t>
      </w:r>
      <w:r w:rsidRPr="00D62110">
        <w:t>Optimalizační opatření č.</w:t>
      </w:r>
      <w:r w:rsidR="00A850CB">
        <w:t xml:space="preserve"> </w:t>
      </w:r>
      <w:r w:rsidRPr="00D62110">
        <w:t>1: Evidence podnětů metodických změn</w:t>
      </w:r>
      <w:bookmarkEnd w:id="23"/>
    </w:p>
    <w:tbl>
      <w:tblPr>
        <w:tblStyle w:val="GridTable5Dark-Accent1"/>
        <w:tblW w:w="5000" w:type="pct"/>
        <w:tblBorders>
          <w:bottom w:val="single" w:sz="4" w:space="0" w:color="86BC25" w:themeColor="accent1"/>
          <w:right w:val="single" w:sz="4" w:space="0" w:color="86BC25" w:themeColor="accent1"/>
          <w:insideH w:val="single" w:sz="4" w:space="0" w:color="86BC25" w:themeColor="accent1"/>
        </w:tblBorders>
        <w:tblCellMar>
          <w:top w:w="29" w:type="dxa"/>
          <w:left w:w="115" w:type="dxa"/>
          <w:bottom w:w="29" w:type="dxa"/>
          <w:right w:w="115" w:type="dxa"/>
        </w:tblCellMar>
        <w:tblLook w:val="04A0" w:firstRow="1" w:lastRow="0" w:firstColumn="1" w:lastColumn="0" w:noHBand="0" w:noVBand="1"/>
      </w:tblPr>
      <w:tblGrid>
        <w:gridCol w:w="2064"/>
        <w:gridCol w:w="7672"/>
      </w:tblGrid>
      <w:tr w:rsidR="00EB2730" w:rsidRPr="003B6EEA" w14:paraId="442EF2D4" w14:textId="77777777" w:rsidTr="003F2002">
        <w:trPr>
          <w:cnfStyle w:val="100000000000" w:firstRow="1" w:lastRow="0" w:firstColumn="0" w:lastColumn="0" w:oddVBand="0" w:evenVBand="0" w:oddHBand="0" w:evenHBand="0" w:firstRowFirstColumn="0" w:firstRowLastColumn="0" w:lastRowFirstColumn="0" w:lastRowLastColumn="0"/>
          <w:trHeight w:val="356"/>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right w:val="none" w:sz="0" w:space="0" w:color="auto"/>
            </w:tcBorders>
            <w:vAlign w:val="center"/>
          </w:tcPr>
          <w:p w14:paraId="2B8FBC13" w14:textId="02323270" w:rsidR="00EB2730" w:rsidRPr="003B6EEA" w:rsidRDefault="00B050E8" w:rsidP="003F2002">
            <w:pPr>
              <w:pStyle w:val="BodyText1"/>
              <w:spacing w:after="120" w:line="240" w:lineRule="auto"/>
              <w:jc w:val="both"/>
              <w:rPr>
                <w:rFonts w:asciiTheme="minorHAnsi" w:hAnsiTheme="minorHAnsi"/>
                <w:b w:val="0"/>
                <w:color w:val="D0D0CE" w:themeColor="background2"/>
                <w:sz w:val="16"/>
                <w:szCs w:val="16"/>
              </w:rPr>
            </w:pPr>
            <w:r w:rsidRPr="003B6EEA">
              <w:rPr>
                <w:rFonts w:asciiTheme="minorHAnsi" w:hAnsiTheme="minorHAnsi"/>
                <w:color w:val="FFFFFF" w:themeColor="background1"/>
                <w:sz w:val="16"/>
                <w:szCs w:val="16"/>
              </w:rPr>
              <w:t>Evidence podnětů metodických změn</w:t>
            </w:r>
          </w:p>
        </w:tc>
      </w:tr>
      <w:tr w:rsidR="00EB2730" w:rsidRPr="003B6EEA" w14:paraId="05A0C231"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Borders>
              <w:top w:val="single" w:sz="4" w:space="0" w:color="FFFFFF" w:themeColor="background1"/>
              <w:bottom w:val="single" w:sz="4" w:space="0" w:color="FFFFFF" w:themeColor="background1"/>
            </w:tcBorders>
          </w:tcPr>
          <w:p w14:paraId="58268542" w14:textId="77777777" w:rsidR="00EB2730" w:rsidRPr="003B6EEA" w:rsidRDefault="00EB2730" w:rsidP="003F2002">
            <w:pPr>
              <w:pStyle w:val="BodyText1"/>
              <w:spacing w:after="120" w:line="240" w:lineRule="auto"/>
              <w:ind w:right="112"/>
              <w:jc w:val="both"/>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Popis současného stavu</w:t>
            </w:r>
          </w:p>
        </w:tc>
        <w:tc>
          <w:tcPr>
            <w:tcW w:w="3940" w:type="pct"/>
            <w:shd w:val="clear" w:color="auto" w:fill="auto"/>
          </w:tcPr>
          <w:p w14:paraId="58D31170" w14:textId="77777777"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Metodické prostředí OP PIK se vyznačuje svojí robustností, složitostí a především vysokým počtem změn. Ke změnám dochází nejčastěji z důvodů:</w:t>
            </w:r>
          </w:p>
          <w:p w14:paraId="3450D512" w14:textId="77777777" w:rsidR="00EB2730" w:rsidRPr="003B6EEA" w:rsidRDefault="00EB2730" w:rsidP="003F2002">
            <w:pPr>
              <w:pStyle w:val="BodyText1"/>
              <w:numPr>
                <w:ilvl w:val="0"/>
                <w:numId w:val="38"/>
              </w:numPr>
              <w:spacing w:after="120" w:line="240" w:lineRule="auto"/>
              <w:ind w:left="43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Nápravy původně nevhodně nastavených metodik;</w:t>
            </w:r>
          </w:p>
          <w:p w14:paraId="1C0AF626" w14:textId="77777777" w:rsidR="00EB2730" w:rsidRPr="003B6EEA" w:rsidRDefault="00EB2730" w:rsidP="003F2002">
            <w:pPr>
              <w:pStyle w:val="BodyText1"/>
              <w:numPr>
                <w:ilvl w:val="0"/>
                <w:numId w:val="38"/>
              </w:numPr>
              <w:spacing w:after="120" w:line="240" w:lineRule="auto"/>
              <w:ind w:left="43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Změn Jednotného metodického prostředí;</w:t>
            </w:r>
          </w:p>
          <w:p w14:paraId="6B91C4C7" w14:textId="77777777" w:rsidR="00EB2730" w:rsidRPr="003B6EEA" w:rsidRDefault="00EB2730" w:rsidP="003F2002">
            <w:pPr>
              <w:pStyle w:val="BodyText1"/>
              <w:numPr>
                <w:ilvl w:val="0"/>
                <w:numId w:val="38"/>
              </w:numPr>
              <w:spacing w:after="120" w:line="240" w:lineRule="auto"/>
              <w:ind w:left="43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Podnětů auditních orgánů;</w:t>
            </w:r>
          </w:p>
          <w:p w14:paraId="5236F03E" w14:textId="77777777" w:rsidR="00EB2730" w:rsidRPr="003B6EEA" w:rsidRDefault="00EB2730" w:rsidP="003F2002">
            <w:pPr>
              <w:pStyle w:val="BodyText1"/>
              <w:numPr>
                <w:ilvl w:val="0"/>
                <w:numId w:val="38"/>
              </w:numPr>
              <w:spacing w:after="120" w:line="240" w:lineRule="auto"/>
              <w:ind w:left="43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Podnětů porady sekce;</w:t>
            </w:r>
          </w:p>
          <w:p w14:paraId="20AB4E5F" w14:textId="77777777" w:rsidR="00EB2730" w:rsidRPr="003B6EEA" w:rsidRDefault="00EB2730" w:rsidP="003F2002">
            <w:pPr>
              <w:pStyle w:val="BodyText1"/>
              <w:numPr>
                <w:ilvl w:val="0"/>
                <w:numId w:val="38"/>
              </w:numPr>
              <w:spacing w:after="120" w:line="240" w:lineRule="auto"/>
              <w:ind w:left="43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Podnětů vzešlých z probíhajících či hrozících soudních sporů;</w:t>
            </w:r>
          </w:p>
          <w:p w14:paraId="66EA4FCD" w14:textId="77777777" w:rsidR="00EB2730" w:rsidRPr="003B6EEA" w:rsidRDefault="00EB2730" w:rsidP="003F2002">
            <w:pPr>
              <w:pStyle w:val="BodyText1"/>
              <w:numPr>
                <w:ilvl w:val="0"/>
                <w:numId w:val="38"/>
              </w:numPr>
              <w:spacing w:after="120" w:line="240" w:lineRule="auto"/>
              <w:ind w:left="43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Změn podmínek výzev či nastavení Program podpory;</w:t>
            </w:r>
          </w:p>
          <w:p w14:paraId="46045BA4" w14:textId="77777777" w:rsidR="00EB2730" w:rsidRPr="003B6EEA" w:rsidRDefault="00EB2730" w:rsidP="003F2002">
            <w:pPr>
              <w:pStyle w:val="BodyText1"/>
              <w:numPr>
                <w:ilvl w:val="0"/>
                <w:numId w:val="38"/>
              </w:numPr>
              <w:spacing w:after="120" w:line="240" w:lineRule="auto"/>
              <w:ind w:left="43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Změn ve výkladu pravidel či požadavcích EK;</w:t>
            </w:r>
          </w:p>
          <w:p w14:paraId="303C7932" w14:textId="77777777" w:rsidR="00EB2730" w:rsidRPr="003B6EEA" w:rsidRDefault="00EB2730" w:rsidP="003F2002">
            <w:pPr>
              <w:pStyle w:val="BodyText1"/>
              <w:numPr>
                <w:ilvl w:val="0"/>
                <w:numId w:val="38"/>
              </w:numPr>
              <w:spacing w:after="120" w:line="240" w:lineRule="auto"/>
              <w:ind w:left="43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 vlastního expertního posouzení ŘO či API.</w:t>
            </w:r>
          </w:p>
          <w:p w14:paraId="0AEEC8F9" w14:textId="58F2B89F"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Ke změnám dochází s vysokou frekvencí (</w:t>
            </w:r>
            <w:r w:rsidR="00A850CB" w:rsidRPr="003B6EEA">
              <w:rPr>
                <w:rFonts w:asciiTheme="minorHAnsi" w:hAnsiTheme="minorHAnsi"/>
                <w:sz w:val="16"/>
                <w:szCs w:val="16"/>
              </w:rPr>
              <w:t xml:space="preserve">v průměru 4 až </w:t>
            </w:r>
            <w:r w:rsidRPr="003B6EEA">
              <w:rPr>
                <w:rFonts w:asciiTheme="minorHAnsi" w:hAnsiTheme="minorHAnsi"/>
                <w:sz w:val="16"/>
                <w:szCs w:val="16"/>
              </w:rPr>
              <w:t xml:space="preserve">6 změn měsíčně), změny často nejsou pozitivně vnímány pracovníky implementační struktury (do jisté míry se může </w:t>
            </w:r>
            <w:r w:rsidRPr="003B6EEA">
              <w:rPr>
                <w:rFonts w:asciiTheme="minorHAnsi" w:hAnsiTheme="minorHAnsi"/>
                <w:sz w:val="16"/>
                <w:szCs w:val="16"/>
              </w:rPr>
              <w:lastRenderedPageBreak/>
              <w:t>jednat již o určitý druh „</w:t>
            </w:r>
            <w:r w:rsidR="00A850CB" w:rsidRPr="003B6EEA">
              <w:rPr>
                <w:rFonts w:asciiTheme="minorHAnsi" w:hAnsiTheme="minorHAnsi"/>
                <w:sz w:val="16"/>
                <w:szCs w:val="16"/>
              </w:rPr>
              <w:t>demotivace</w:t>
            </w:r>
            <w:r w:rsidRPr="003B6EEA">
              <w:rPr>
                <w:rFonts w:asciiTheme="minorHAnsi" w:hAnsiTheme="minorHAnsi"/>
                <w:sz w:val="16"/>
                <w:szCs w:val="16"/>
              </w:rPr>
              <w:t>“ či „</w:t>
            </w:r>
            <w:r w:rsidR="00A850CB" w:rsidRPr="003B6EEA">
              <w:rPr>
                <w:rFonts w:asciiTheme="minorHAnsi" w:hAnsiTheme="minorHAnsi"/>
                <w:sz w:val="16"/>
                <w:szCs w:val="16"/>
              </w:rPr>
              <w:t>rezignace</w:t>
            </w:r>
            <w:r w:rsidRPr="003B6EEA">
              <w:rPr>
                <w:rFonts w:asciiTheme="minorHAnsi" w:hAnsiTheme="minorHAnsi"/>
                <w:sz w:val="16"/>
                <w:szCs w:val="16"/>
              </w:rPr>
              <w:t xml:space="preserve">“), stejně jako jejich logická provázanost a prioritizace. V současné době neexistuje systematická evidence podnětů, jejich vyhodnocování či prioritizace. </w:t>
            </w:r>
          </w:p>
        </w:tc>
      </w:tr>
      <w:tr w:rsidR="00EB2730" w:rsidRPr="003B6EEA" w14:paraId="1EE6BCC7" w14:textId="77777777" w:rsidTr="003F2002">
        <w:trPr>
          <w:trHeight w:val="2949"/>
        </w:trPr>
        <w:tc>
          <w:tcPr>
            <w:cnfStyle w:val="001000000000" w:firstRow="0" w:lastRow="0" w:firstColumn="1" w:lastColumn="0" w:oddVBand="0" w:evenVBand="0" w:oddHBand="0" w:evenHBand="0" w:firstRowFirstColumn="0" w:firstRowLastColumn="0" w:lastRowFirstColumn="0" w:lastRowLastColumn="0"/>
            <w:tcW w:w="1060" w:type="pct"/>
            <w:tcBorders>
              <w:top w:val="single" w:sz="4" w:space="0" w:color="FFFFFF" w:themeColor="background1"/>
              <w:left w:val="none" w:sz="0" w:space="0" w:color="auto"/>
              <w:bottom w:val="single" w:sz="4" w:space="0" w:color="FFFFFF" w:themeColor="background1"/>
            </w:tcBorders>
          </w:tcPr>
          <w:p w14:paraId="03467B17" w14:textId="77777777" w:rsidR="00EB2730" w:rsidRPr="003B6EEA" w:rsidRDefault="00EB2730" w:rsidP="003F2002">
            <w:pPr>
              <w:pStyle w:val="BodyText1"/>
              <w:spacing w:after="120" w:line="240" w:lineRule="auto"/>
              <w:ind w:right="112"/>
              <w:jc w:val="both"/>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lastRenderedPageBreak/>
              <w:t>Popis cílového stavu</w:t>
            </w:r>
          </w:p>
        </w:tc>
        <w:tc>
          <w:tcPr>
            <w:tcW w:w="3940" w:type="pct"/>
            <w:shd w:val="clear" w:color="auto" w:fill="auto"/>
          </w:tcPr>
          <w:p w14:paraId="36295B7E" w14:textId="06AB0D94"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Změny metodického prostředí by měly probíhat systematickým, přehledným a</w:t>
            </w:r>
            <w:r w:rsidR="00C61330" w:rsidRPr="003B6EEA">
              <w:rPr>
                <w:rFonts w:asciiTheme="minorHAnsi" w:hAnsiTheme="minorHAnsi"/>
                <w:sz w:val="16"/>
                <w:szCs w:val="16"/>
              </w:rPr>
              <w:t> </w:t>
            </w:r>
            <w:r w:rsidRPr="003B6EEA">
              <w:rPr>
                <w:rFonts w:asciiTheme="minorHAnsi" w:hAnsiTheme="minorHAnsi"/>
                <w:sz w:val="16"/>
                <w:szCs w:val="16"/>
              </w:rPr>
              <w:t xml:space="preserve">plánovaným způsobem, který by zajistil </w:t>
            </w:r>
            <w:r w:rsidR="00A850CB" w:rsidRPr="003B6EEA">
              <w:rPr>
                <w:rFonts w:asciiTheme="minorHAnsi" w:hAnsiTheme="minorHAnsi"/>
                <w:sz w:val="16"/>
                <w:szCs w:val="16"/>
              </w:rPr>
              <w:t xml:space="preserve">jejich </w:t>
            </w:r>
            <w:r w:rsidRPr="003B6EEA">
              <w:rPr>
                <w:rFonts w:asciiTheme="minorHAnsi" w:hAnsiTheme="minorHAnsi"/>
                <w:sz w:val="16"/>
                <w:szCs w:val="16"/>
              </w:rPr>
              <w:t>přehlednost</w:t>
            </w:r>
            <w:r w:rsidR="00A850CB" w:rsidRPr="003B6EEA">
              <w:rPr>
                <w:rFonts w:asciiTheme="minorHAnsi" w:hAnsiTheme="minorHAnsi"/>
                <w:sz w:val="16"/>
                <w:szCs w:val="16"/>
              </w:rPr>
              <w:t>, snížil celkový počet změn</w:t>
            </w:r>
            <w:r w:rsidRPr="003B6EEA">
              <w:rPr>
                <w:rFonts w:asciiTheme="minorHAnsi" w:hAnsiTheme="minorHAnsi"/>
                <w:sz w:val="16"/>
                <w:szCs w:val="16"/>
              </w:rPr>
              <w:t xml:space="preserve"> </w:t>
            </w:r>
            <w:r w:rsidR="00A850CB" w:rsidRPr="003B6EEA">
              <w:rPr>
                <w:rFonts w:asciiTheme="minorHAnsi" w:hAnsiTheme="minorHAnsi"/>
                <w:sz w:val="16"/>
                <w:szCs w:val="16"/>
              </w:rPr>
              <w:t>a jejich frekvenci</w:t>
            </w:r>
            <w:r w:rsidRPr="003B6EEA">
              <w:rPr>
                <w:rFonts w:asciiTheme="minorHAnsi" w:hAnsiTheme="minorHAnsi"/>
                <w:sz w:val="16"/>
                <w:szCs w:val="16"/>
              </w:rPr>
              <w:t>. Pracovníci implem</w:t>
            </w:r>
            <w:r w:rsidR="00C61330" w:rsidRPr="003B6EEA">
              <w:rPr>
                <w:rFonts w:asciiTheme="minorHAnsi" w:hAnsiTheme="minorHAnsi"/>
                <w:sz w:val="16"/>
                <w:szCs w:val="16"/>
              </w:rPr>
              <w:t>entační struktury by měli být o </w:t>
            </w:r>
            <w:r w:rsidRPr="003B6EEA">
              <w:rPr>
                <w:rFonts w:asciiTheme="minorHAnsi" w:hAnsiTheme="minorHAnsi"/>
                <w:sz w:val="16"/>
                <w:szCs w:val="16"/>
              </w:rPr>
              <w:t>připravovaných stejně jako realizovaných změnách informováni a měli by mít přístup k systematickému zadávání či doplňování metodických podnětů. Změny by měly být prioritizovány a méně prioritní změny spojeny do větších celků, čímž by mělo dojít k poklesu frekvenc</w:t>
            </w:r>
            <w:r w:rsidR="003F2002">
              <w:rPr>
                <w:rFonts w:asciiTheme="minorHAnsi" w:hAnsiTheme="minorHAnsi"/>
                <w:sz w:val="16"/>
                <w:szCs w:val="16"/>
              </w:rPr>
              <w:t>e vydávání metodických dopisů a </w:t>
            </w:r>
            <w:r w:rsidRPr="003B6EEA">
              <w:rPr>
                <w:rFonts w:asciiTheme="minorHAnsi" w:hAnsiTheme="minorHAnsi"/>
                <w:sz w:val="16"/>
                <w:szCs w:val="16"/>
              </w:rPr>
              <w:t xml:space="preserve">metodických změn. </w:t>
            </w:r>
          </w:p>
          <w:p w14:paraId="5334A124" w14:textId="6D6976DC"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Nástrojem je </w:t>
            </w:r>
            <w:r w:rsidRPr="003B6EEA">
              <w:rPr>
                <w:rFonts w:asciiTheme="minorHAnsi" w:hAnsiTheme="minorHAnsi"/>
                <w:b/>
                <w:sz w:val="16"/>
                <w:szCs w:val="16"/>
              </w:rPr>
              <w:t>Evidence podnětů metodických změn</w:t>
            </w:r>
            <w:r w:rsidRPr="003B6EEA">
              <w:rPr>
                <w:rFonts w:asciiTheme="minorHAnsi" w:hAnsiTheme="minorHAnsi"/>
                <w:sz w:val="16"/>
                <w:szCs w:val="16"/>
              </w:rPr>
              <w:t>, která bude dostupná všem pracovníkům implementační struktury na sdíleném úložišti ONE DRIVE. V zjednodušené verzi se může jednat o excelovou tabulku s evidencí podnětů, s řadou kritérií a jejich stavu. Součástí evidence je možnost zadávání podnětů a</w:t>
            </w:r>
            <w:r w:rsidR="00C61330" w:rsidRPr="003B6EEA">
              <w:rPr>
                <w:rFonts w:asciiTheme="minorHAnsi" w:hAnsiTheme="minorHAnsi"/>
                <w:sz w:val="16"/>
                <w:szCs w:val="16"/>
              </w:rPr>
              <w:t> </w:t>
            </w:r>
            <w:r w:rsidRPr="003B6EEA">
              <w:rPr>
                <w:rFonts w:asciiTheme="minorHAnsi" w:hAnsiTheme="minorHAnsi"/>
                <w:sz w:val="16"/>
                <w:szCs w:val="16"/>
              </w:rPr>
              <w:t>okamžité a automatické vyhodnocování jejich priority na základě několika kritérií.</w:t>
            </w:r>
          </w:p>
          <w:p w14:paraId="05398715" w14:textId="77777777" w:rsidR="00356E42" w:rsidRPr="003B6EEA" w:rsidRDefault="00356E42"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p w14:paraId="019D39E0" w14:textId="77777777" w:rsidR="00356E42" w:rsidRPr="003B6EEA" w:rsidRDefault="00356E42"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Vzorová tabulka zde:</w:t>
            </w:r>
          </w:p>
          <w:p w14:paraId="6BA7C969" w14:textId="11B72D3B" w:rsidR="00356E42" w:rsidRPr="003B6EEA" w:rsidRDefault="00356E42"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 </w:t>
            </w:r>
            <w:r w:rsidR="005056D8" w:rsidRPr="003B6EEA">
              <w:rPr>
                <w:rFonts w:asciiTheme="minorHAnsi" w:eastAsiaTheme="minorHAnsi" w:hAnsiTheme="minorHAnsi"/>
                <w:sz w:val="16"/>
                <w:szCs w:val="16"/>
                <w:lang w:eastAsia="en-US"/>
              </w:rPr>
              <w:object w:dxaOrig="1376" w:dyaOrig="899" w14:anchorId="5EE30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5pt;height:45.8pt" o:ole="">
                  <v:imagedata r:id="rId17" o:title=""/>
                </v:shape>
                <o:OLEObject Type="Embed" ProgID="Excel.Sheet.12" ShapeID="_x0000_i1025" DrawAspect="Icon" ObjectID="_1663753726" r:id="rId18"/>
              </w:object>
            </w:r>
          </w:p>
        </w:tc>
      </w:tr>
      <w:tr w:rsidR="00EB2730" w:rsidRPr="003B6EEA" w14:paraId="3F5C0DD8"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Borders>
              <w:top w:val="single" w:sz="4" w:space="0" w:color="FFFFFF" w:themeColor="background1"/>
              <w:left w:val="none" w:sz="0" w:space="0" w:color="auto"/>
              <w:bottom w:val="single" w:sz="4" w:space="0" w:color="FFFFFF" w:themeColor="background1"/>
            </w:tcBorders>
          </w:tcPr>
          <w:p w14:paraId="14E4ED0C" w14:textId="77777777" w:rsidR="00EB2730" w:rsidRPr="003B6EEA" w:rsidRDefault="00EB2730" w:rsidP="003F2002">
            <w:pPr>
              <w:pStyle w:val="BodyText1"/>
              <w:spacing w:after="120" w:line="240" w:lineRule="auto"/>
              <w:ind w:right="112"/>
              <w:jc w:val="both"/>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Očekávané výsledky zavedeného opatření a časový plán dopadu</w:t>
            </w:r>
          </w:p>
        </w:tc>
        <w:tc>
          <w:tcPr>
            <w:tcW w:w="3940" w:type="pct"/>
            <w:shd w:val="clear" w:color="auto" w:fill="auto"/>
          </w:tcPr>
          <w:p w14:paraId="537541C0" w14:textId="0BB8BBCE"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Nástroj Evidence podnětů v konečném důsledku nemusí vést nutně ke snížení počtu změn metodického prostředí, cílem nicméně je lepší přehlednost, udržitelnost, omezení duplicit a prioritizace změn, včetně snížení zátěže pracovníků Odboru právní a metodické podpory při zodpovídání dotazů.</w:t>
            </w:r>
          </w:p>
          <w:p w14:paraId="54684641" w14:textId="77777777"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Dopad zavedené Evidence bude pozvolný, předpokládaný efekt v průběhu několika měsíců. </w:t>
            </w:r>
          </w:p>
        </w:tc>
      </w:tr>
      <w:tr w:rsidR="00EB2730" w:rsidRPr="003B6EEA" w14:paraId="573B0D93" w14:textId="77777777" w:rsidTr="003F2002">
        <w:tc>
          <w:tcPr>
            <w:cnfStyle w:val="001000000000" w:firstRow="0" w:lastRow="0" w:firstColumn="1" w:lastColumn="0" w:oddVBand="0" w:evenVBand="0" w:oddHBand="0" w:evenHBand="0" w:firstRowFirstColumn="0" w:firstRowLastColumn="0" w:lastRowFirstColumn="0" w:lastRowLastColumn="0"/>
            <w:tcW w:w="1060" w:type="pct"/>
            <w:tcBorders>
              <w:top w:val="single" w:sz="4" w:space="0" w:color="FFFFFF" w:themeColor="background1"/>
              <w:left w:val="none" w:sz="0" w:space="0" w:color="auto"/>
              <w:bottom w:val="single" w:sz="4" w:space="0" w:color="FFFFFF" w:themeColor="background1"/>
            </w:tcBorders>
          </w:tcPr>
          <w:p w14:paraId="498BF654" w14:textId="77777777" w:rsidR="00EB2730" w:rsidRPr="003B6EEA" w:rsidRDefault="00EB2730" w:rsidP="003F2002">
            <w:pPr>
              <w:pStyle w:val="BodyText1"/>
              <w:tabs>
                <w:tab w:val="left" w:pos="284"/>
              </w:tabs>
              <w:spacing w:after="120" w:line="240" w:lineRule="auto"/>
              <w:ind w:right="113"/>
              <w:jc w:val="both"/>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Časová náročnost zavedení opatření v implementační struktuře</w:t>
            </w:r>
          </w:p>
        </w:tc>
        <w:tc>
          <w:tcPr>
            <w:tcW w:w="3940" w:type="pct"/>
            <w:shd w:val="clear" w:color="auto" w:fill="auto"/>
          </w:tcPr>
          <w:p w14:paraId="1975CCB5" w14:textId="7CEF811F" w:rsidR="00EB2730" w:rsidRPr="003B6EEA" w:rsidDel="009C21B9"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Evidence není spojeno s významnější </w:t>
            </w:r>
            <w:r w:rsidR="003D1CBD" w:rsidRPr="003B6EEA">
              <w:rPr>
                <w:rFonts w:asciiTheme="minorHAnsi" w:hAnsiTheme="minorHAnsi"/>
                <w:sz w:val="16"/>
                <w:szCs w:val="16"/>
              </w:rPr>
              <w:t xml:space="preserve">časovou </w:t>
            </w:r>
            <w:r w:rsidRPr="003B6EEA">
              <w:rPr>
                <w:rFonts w:asciiTheme="minorHAnsi" w:hAnsiTheme="minorHAnsi"/>
                <w:sz w:val="16"/>
                <w:szCs w:val="16"/>
              </w:rPr>
              <w:t xml:space="preserve">náročností. </w:t>
            </w:r>
          </w:p>
        </w:tc>
      </w:tr>
      <w:tr w:rsidR="00EB2730" w:rsidRPr="003B6EEA" w14:paraId="3E95E1E0"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Borders>
              <w:top w:val="single" w:sz="4" w:space="0" w:color="FFFFFF" w:themeColor="background1"/>
              <w:left w:val="none" w:sz="0" w:space="0" w:color="auto"/>
              <w:bottom w:val="single" w:sz="4" w:space="0" w:color="FFFFFF" w:themeColor="background1"/>
            </w:tcBorders>
          </w:tcPr>
          <w:p w14:paraId="0F84A7BB" w14:textId="77777777" w:rsidR="00EB2730" w:rsidRPr="003B6EEA" w:rsidRDefault="00EB2730" w:rsidP="003F2002">
            <w:pPr>
              <w:pStyle w:val="BodyText1"/>
              <w:keepNext/>
              <w:keepLines/>
              <w:spacing w:after="120" w:line="240" w:lineRule="auto"/>
              <w:ind w:right="112"/>
              <w:jc w:val="both"/>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Personální náročnost zavedení opatření v implementační struktuře</w:t>
            </w:r>
          </w:p>
        </w:tc>
        <w:tc>
          <w:tcPr>
            <w:tcW w:w="3940" w:type="pct"/>
            <w:shd w:val="clear" w:color="auto" w:fill="auto"/>
          </w:tcPr>
          <w:p w14:paraId="6F2376EA" w14:textId="0FB06C78"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Zavedení Evidence podnětů bude představovat menší navýšení náročnosti zadávání podnětů pracovníky Odboru právní a metodické podpory, kteří jsou v současnosti hlavními nositeli a koordinátory metodických změn. Nicméně po nastavení procesu by měla jednotná evidence podnětů vést k systemizaci a</w:t>
            </w:r>
            <w:r w:rsidR="00C61330" w:rsidRPr="1B8B314C">
              <w:rPr>
                <w:rFonts w:asciiTheme="minorHAnsi" w:hAnsiTheme="minorHAnsi"/>
                <w:sz w:val="16"/>
                <w:szCs w:val="16"/>
              </w:rPr>
              <w:t> </w:t>
            </w:r>
            <w:r w:rsidR="5B8C3D9B" w:rsidRPr="1B8B314C">
              <w:rPr>
                <w:rFonts w:asciiTheme="minorHAnsi" w:hAnsiTheme="minorHAnsi"/>
                <w:sz w:val="16"/>
                <w:szCs w:val="16"/>
              </w:rPr>
              <w:t xml:space="preserve">zvýšení efektivity </w:t>
            </w:r>
            <w:r w:rsidRPr="1B8B314C">
              <w:rPr>
                <w:rFonts w:asciiTheme="minorHAnsi" w:hAnsiTheme="minorHAnsi"/>
                <w:sz w:val="16"/>
                <w:szCs w:val="16"/>
              </w:rPr>
              <w:t xml:space="preserve">práce a úspoře času. </w:t>
            </w:r>
          </w:p>
        </w:tc>
      </w:tr>
      <w:tr w:rsidR="00EB2730" w:rsidRPr="003B6EEA" w14:paraId="66106404" w14:textId="77777777" w:rsidTr="003F2002">
        <w:tc>
          <w:tcPr>
            <w:cnfStyle w:val="001000000000" w:firstRow="0" w:lastRow="0" w:firstColumn="1" w:lastColumn="0" w:oddVBand="0" w:evenVBand="0" w:oddHBand="0" w:evenHBand="0" w:firstRowFirstColumn="0" w:firstRowLastColumn="0" w:lastRowFirstColumn="0" w:lastRowLastColumn="0"/>
            <w:tcW w:w="1060" w:type="pct"/>
            <w:tcBorders>
              <w:top w:val="single" w:sz="4" w:space="0" w:color="FFFFFF" w:themeColor="background1"/>
              <w:left w:val="none" w:sz="0" w:space="0" w:color="auto"/>
              <w:bottom w:val="single" w:sz="4" w:space="0" w:color="FFFFFF" w:themeColor="background1"/>
            </w:tcBorders>
          </w:tcPr>
          <w:p w14:paraId="17071363" w14:textId="77777777" w:rsidR="00EB2730" w:rsidRPr="003B6EEA" w:rsidRDefault="00EB2730" w:rsidP="003F2002">
            <w:pPr>
              <w:pStyle w:val="BodyText1"/>
              <w:spacing w:after="120" w:line="240" w:lineRule="auto"/>
              <w:ind w:right="112"/>
              <w:jc w:val="both"/>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 xml:space="preserve">Legislativní a metodická úprava </w:t>
            </w:r>
          </w:p>
        </w:tc>
        <w:tc>
          <w:tcPr>
            <w:tcW w:w="3940" w:type="pct"/>
            <w:shd w:val="clear" w:color="auto" w:fill="auto"/>
          </w:tcPr>
          <w:p w14:paraId="06B5BD75" w14:textId="7D1AD3FB"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Opatření není spojeno s nároky na legislativní úpravy. V rámci metodického prostředí bude nutné aktualiz</w:t>
            </w:r>
            <w:r w:rsidR="003D1CBD" w:rsidRPr="003B6EEA">
              <w:rPr>
                <w:rFonts w:asciiTheme="minorHAnsi" w:hAnsiTheme="minorHAnsi"/>
                <w:sz w:val="16"/>
                <w:szCs w:val="16"/>
              </w:rPr>
              <w:t>ovat kapitolu S8A OM OP PIK, člá</w:t>
            </w:r>
            <w:r w:rsidRPr="003B6EEA">
              <w:rPr>
                <w:rFonts w:asciiTheme="minorHAnsi" w:hAnsiTheme="minorHAnsi"/>
                <w:sz w:val="16"/>
                <w:szCs w:val="16"/>
              </w:rPr>
              <w:t xml:space="preserve">nek Standardizace připomínkového řízení OM OP PIK. Zde bude uvedeno, že byla zavedena Evidence podnětů metodických změn, která je na úložišti OneDrive a veškeré podněty na metodické změny budou řízeny skrze tento nástroj. Podněty je možné podávat prostřednictvím tohoto nástroje a zároveň zde sledovat průběh změn. </w:t>
            </w:r>
          </w:p>
          <w:p w14:paraId="0531E44F" w14:textId="14661E73"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Pro efektivní využívání tohoto nástroje je třeba jeho důsledná komunikace, tedy nejen skrze Metodický dopis, ale zajistit přenos informací přes vedoucí odborů a</w:t>
            </w:r>
            <w:r w:rsidR="00C61330" w:rsidRPr="003B6EEA">
              <w:rPr>
                <w:rFonts w:asciiTheme="minorHAnsi" w:hAnsiTheme="minorHAnsi"/>
                <w:sz w:val="16"/>
                <w:szCs w:val="16"/>
              </w:rPr>
              <w:t> </w:t>
            </w:r>
            <w:r w:rsidRPr="003B6EEA">
              <w:rPr>
                <w:rFonts w:asciiTheme="minorHAnsi" w:hAnsiTheme="minorHAnsi"/>
                <w:sz w:val="16"/>
                <w:szCs w:val="16"/>
              </w:rPr>
              <w:t xml:space="preserve">oddělení. </w:t>
            </w:r>
          </w:p>
        </w:tc>
      </w:tr>
      <w:tr w:rsidR="00EB2730" w:rsidRPr="003B6EEA" w14:paraId="5A69AA4B"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Borders>
              <w:top w:val="single" w:sz="4" w:space="0" w:color="FFFFFF" w:themeColor="background1"/>
              <w:left w:val="none" w:sz="0" w:space="0" w:color="auto"/>
              <w:bottom w:val="single" w:sz="4" w:space="0" w:color="FFFFFF" w:themeColor="background1"/>
            </w:tcBorders>
          </w:tcPr>
          <w:p w14:paraId="1DD9EBEF" w14:textId="29D4532D" w:rsidR="00EB2730" w:rsidRPr="003B6EEA" w:rsidRDefault="00EB2730" w:rsidP="003F2002">
            <w:pPr>
              <w:pStyle w:val="BodyText1"/>
              <w:spacing w:after="120" w:line="240" w:lineRule="auto"/>
              <w:ind w:right="112"/>
              <w:jc w:val="both"/>
              <w:rPr>
                <w:rFonts w:asciiTheme="minorHAnsi" w:hAnsiTheme="minorHAnsi"/>
                <w:sz w:val="16"/>
                <w:szCs w:val="16"/>
              </w:rPr>
            </w:pPr>
            <w:r w:rsidRPr="003B6EEA">
              <w:rPr>
                <w:rFonts w:asciiTheme="minorHAnsi" w:hAnsiTheme="minorHAnsi"/>
                <w:color w:val="FFFFFF" w:themeColor="background1"/>
                <w:sz w:val="16"/>
                <w:szCs w:val="16"/>
              </w:rPr>
              <w:t>Časová a finanční náročnost zavedení opatření pro</w:t>
            </w:r>
            <w:r w:rsidR="00D262E6">
              <w:rPr>
                <w:rFonts w:asciiTheme="minorHAnsi" w:hAnsiTheme="minorHAnsi"/>
                <w:color w:val="FFFFFF" w:themeColor="background1"/>
                <w:sz w:val="16"/>
                <w:szCs w:val="16"/>
              </w:rPr>
              <w:t xml:space="preserve"> </w:t>
            </w:r>
            <w:r w:rsidRPr="003B6EEA">
              <w:rPr>
                <w:rFonts w:asciiTheme="minorHAnsi" w:hAnsiTheme="minorHAnsi"/>
                <w:color w:val="FFFFFF" w:themeColor="background1"/>
                <w:sz w:val="16"/>
                <w:szCs w:val="16"/>
              </w:rPr>
              <w:t>žadatele/příjemce</w:t>
            </w:r>
          </w:p>
        </w:tc>
        <w:tc>
          <w:tcPr>
            <w:tcW w:w="3940" w:type="pct"/>
            <w:shd w:val="clear" w:color="auto" w:fill="auto"/>
          </w:tcPr>
          <w:p w14:paraId="4C3CFAAD" w14:textId="77777777"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Opatření není spojeno s finančními náklady pro implementační strukturu ani příjemce či žadatele.</w:t>
            </w:r>
          </w:p>
        </w:tc>
      </w:tr>
      <w:tr w:rsidR="00EB2730" w:rsidRPr="003B6EEA" w14:paraId="39A456B0" w14:textId="77777777" w:rsidTr="003F2002">
        <w:tc>
          <w:tcPr>
            <w:cnfStyle w:val="001000000000" w:firstRow="0" w:lastRow="0" w:firstColumn="1" w:lastColumn="0" w:oddVBand="0" w:evenVBand="0" w:oddHBand="0" w:evenHBand="0" w:firstRowFirstColumn="0" w:firstRowLastColumn="0" w:lastRowFirstColumn="0" w:lastRowLastColumn="0"/>
            <w:tcW w:w="1060" w:type="pct"/>
            <w:tcBorders>
              <w:top w:val="single" w:sz="4" w:space="0" w:color="FFFFFF" w:themeColor="background1"/>
              <w:left w:val="none" w:sz="0" w:space="0" w:color="auto"/>
              <w:bottom w:val="single" w:sz="4" w:space="0" w:color="FFFFFF" w:themeColor="background1"/>
            </w:tcBorders>
          </w:tcPr>
          <w:p w14:paraId="22B6EB38" w14:textId="77777777" w:rsidR="00EB2730" w:rsidRPr="003B6EEA" w:rsidRDefault="00EB2730" w:rsidP="003F2002">
            <w:pPr>
              <w:pStyle w:val="BodyText1"/>
              <w:spacing w:after="120" w:line="240" w:lineRule="auto"/>
              <w:ind w:right="112"/>
              <w:jc w:val="both"/>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Rizika plynoucí z nezavedení opatření</w:t>
            </w:r>
          </w:p>
        </w:tc>
        <w:tc>
          <w:tcPr>
            <w:tcW w:w="3940" w:type="pct"/>
            <w:shd w:val="clear" w:color="auto" w:fill="auto"/>
          </w:tcPr>
          <w:p w14:paraId="5E6A935E" w14:textId="38F272C5"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Rizikem z nezavedení opatření je pokračování současného neutěšeného stavu nekoordinovaného sběru a realizace požadavků metodických změn. Z toho vyplývající narůstající frustrace a rezignace vybraných pracovníků implementační struktury na sledování metodických změn, ztráta orientace a následné chyby v realizovaných postupech. </w:t>
            </w:r>
            <w:r w:rsidR="003D1CBD" w:rsidRPr="003B6EEA">
              <w:rPr>
                <w:rFonts w:asciiTheme="minorHAnsi" w:hAnsiTheme="minorHAnsi"/>
                <w:sz w:val="16"/>
                <w:szCs w:val="16"/>
              </w:rPr>
              <w:t>Pokračujícím rizikem je i současná nezastupitelnost vedoucí Odboru právní a metodické podpory.</w:t>
            </w:r>
          </w:p>
        </w:tc>
      </w:tr>
      <w:tr w:rsidR="00EB2730" w:rsidRPr="003B6EEA" w14:paraId="5BAE55CE"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Borders>
              <w:top w:val="single" w:sz="4" w:space="0" w:color="FFFFFF" w:themeColor="background1"/>
              <w:left w:val="none" w:sz="0" w:space="0" w:color="auto"/>
              <w:bottom w:val="single" w:sz="4" w:space="0" w:color="FFFFFF" w:themeColor="background1"/>
            </w:tcBorders>
          </w:tcPr>
          <w:p w14:paraId="709E7A19" w14:textId="77777777" w:rsidR="00EB2730" w:rsidRPr="003B6EEA" w:rsidRDefault="00EB2730" w:rsidP="003F2002">
            <w:pPr>
              <w:pStyle w:val="BodyText1"/>
              <w:spacing w:after="120" w:line="240" w:lineRule="auto"/>
              <w:ind w:right="112"/>
              <w:jc w:val="both"/>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lastRenderedPageBreak/>
              <w:t>Rizika plynoucí ze zavedení opatření</w:t>
            </w:r>
          </w:p>
        </w:tc>
        <w:tc>
          <w:tcPr>
            <w:tcW w:w="3940" w:type="pct"/>
            <w:shd w:val="clear" w:color="auto" w:fill="auto"/>
          </w:tcPr>
          <w:p w14:paraId="0ABEFAF6" w14:textId="77777777"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Rizikem vyplývajícím ze zavedení jednotné Evidence podnětů je navýšení počtu požadavků metodických změn od pracovníků implementační struktury. Toto riziko však může být zároveň i příležitostí a pozitivním dopadem. </w:t>
            </w:r>
          </w:p>
        </w:tc>
      </w:tr>
      <w:tr w:rsidR="00EB2730" w:rsidRPr="003B6EEA" w14:paraId="37F7668A" w14:textId="77777777" w:rsidTr="003F2002">
        <w:tc>
          <w:tcPr>
            <w:cnfStyle w:val="001000000000" w:firstRow="0" w:lastRow="0" w:firstColumn="1" w:lastColumn="0" w:oddVBand="0" w:evenVBand="0" w:oddHBand="0" w:evenHBand="0" w:firstRowFirstColumn="0" w:firstRowLastColumn="0" w:lastRowFirstColumn="0" w:lastRowLastColumn="0"/>
            <w:tcW w:w="1060" w:type="pct"/>
            <w:tcBorders>
              <w:top w:val="single" w:sz="4" w:space="0" w:color="FFFFFF" w:themeColor="background1"/>
              <w:left w:val="none" w:sz="0" w:space="0" w:color="auto"/>
              <w:bottom w:val="none" w:sz="0" w:space="0" w:color="auto"/>
            </w:tcBorders>
          </w:tcPr>
          <w:p w14:paraId="4A1EA0A5" w14:textId="5187B299" w:rsidR="00EB2730" w:rsidRPr="003B6EEA" w:rsidRDefault="00EB2730" w:rsidP="003F2002">
            <w:pPr>
              <w:pStyle w:val="BodyText1"/>
              <w:spacing w:after="120" w:line="240" w:lineRule="auto"/>
              <w:ind w:right="112"/>
              <w:jc w:val="both"/>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Personální zod</w:t>
            </w:r>
            <w:r w:rsidR="00D262E6">
              <w:rPr>
                <w:rFonts w:asciiTheme="minorHAnsi" w:hAnsiTheme="minorHAnsi"/>
                <w:color w:val="FFFFFF" w:themeColor="background1"/>
                <w:sz w:val="16"/>
                <w:szCs w:val="16"/>
              </w:rPr>
              <w:t>po</w:t>
            </w:r>
            <w:r w:rsidRPr="003B6EEA">
              <w:rPr>
                <w:rFonts w:asciiTheme="minorHAnsi" w:hAnsiTheme="minorHAnsi"/>
                <w:color w:val="FFFFFF" w:themeColor="background1"/>
                <w:sz w:val="16"/>
                <w:szCs w:val="16"/>
              </w:rPr>
              <w:t xml:space="preserve">vědnost za zavedení opatření </w:t>
            </w:r>
          </w:p>
        </w:tc>
        <w:tc>
          <w:tcPr>
            <w:tcW w:w="3940" w:type="pct"/>
            <w:shd w:val="clear" w:color="auto" w:fill="auto"/>
          </w:tcPr>
          <w:p w14:paraId="1405A77F" w14:textId="77777777"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Odbor právní a metodické podpory. Je nutné ustanovit pracovníka zodpovědného za zanášení podnětů (z porady vedení, auditních orgánů apod.) do Evidence. </w:t>
            </w:r>
          </w:p>
        </w:tc>
      </w:tr>
    </w:tbl>
    <w:p w14:paraId="1E02E083" w14:textId="4757CEAC" w:rsidR="00EB2730" w:rsidRDefault="00EB2730" w:rsidP="00EB2730">
      <w:pPr>
        <w:pStyle w:val="Heading2"/>
      </w:pPr>
      <w:bookmarkStart w:id="24" w:name="_Toc52532090"/>
      <w:r>
        <w:t>Optimalizační opatření č.</w:t>
      </w:r>
      <w:r w:rsidR="00117125">
        <w:t xml:space="preserve"> </w:t>
      </w:r>
      <w:r>
        <w:t>2: Automatická robotizace procesu výpočtu směsných poměrů</w:t>
      </w:r>
      <w:bookmarkEnd w:id="24"/>
    </w:p>
    <w:p w14:paraId="44DA86FC" w14:textId="77777777" w:rsidR="00726542" w:rsidRDefault="00726542" w:rsidP="00ED31A7">
      <w:pPr>
        <w:pStyle w:val="Caption"/>
        <w:jc w:val="both"/>
        <w:rPr>
          <w:iCs w:val="0"/>
          <w:color w:val="auto"/>
          <w:sz w:val="18"/>
          <w:szCs w:val="22"/>
        </w:rPr>
      </w:pPr>
      <w:r w:rsidRPr="00726542">
        <w:rPr>
          <w:iCs w:val="0"/>
          <w:color w:val="auto"/>
          <w:sz w:val="18"/>
          <w:szCs w:val="22"/>
        </w:rPr>
        <w:t>Následující opatření bylo vybráno na expertním panelu a následně detailně analyzováno ve spolupráci se zástupcem seniorního pracovníka zprostředkujícího subjektu API, který má kontrolu výpočtu a dodržení směsných poměrů ve své gesci. Níže uvedená analýza tudíž vyplývá z high level posouzení procesu, nejedná se o samotnou analýzu RPA. Předkládané odhady úspory času, dopadů a rizik jsou spíše orientační a musí být upřesněny v rámci samotné analýzy RPA.</w:t>
      </w:r>
    </w:p>
    <w:p w14:paraId="2F4011C3" w14:textId="049FFECB" w:rsidR="007842A7" w:rsidRDefault="007842A7" w:rsidP="007842A7">
      <w:pPr>
        <w:pStyle w:val="Caption"/>
      </w:pPr>
      <w:bookmarkStart w:id="25" w:name="_Toc52532107"/>
      <w:r>
        <w:t xml:space="preserve">Tabulka </w:t>
      </w:r>
      <w:r>
        <w:fldChar w:fldCharType="begin"/>
      </w:r>
      <w:r>
        <w:instrText xml:space="preserve"> SEQ Tabulka \* ARABIC </w:instrText>
      </w:r>
      <w:r>
        <w:fldChar w:fldCharType="separate"/>
      </w:r>
      <w:r w:rsidR="008E1911">
        <w:rPr>
          <w:noProof/>
        </w:rPr>
        <w:t>9</w:t>
      </w:r>
      <w:r>
        <w:fldChar w:fldCharType="end"/>
      </w:r>
      <w:r>
        <w:t xml:space="preserve"> Optimalizační opatření </w:t>
      </w:r>
      <w:r w:rsidR="00117125">
        <w:t xml:space="preserve">č. </w:t>
      </w:r>
      <w:r>
        <w:t>2: Automatická robotizace procesu výpočtu směsných poměrů</w:t>
      </w:r>
      <w:bookmarkEnd w:id="25"/>
    </w:p>
    <w:tbl>
      <w:tblPr>
        <w:tblStyle w:val="GridTable5Dark-Accent1"/>
        <w:tblW w:w="5000" w:type="pct"/>
        <w:tblBorders>
          <w:bottom w:val="single" w:sz="4" w:space="0" w:color="86BC25" w:themeColor="accent1"/>
          <w:right w:val="single" w:sz="4" w:space="0" w:color="86BC25" w:themeColor="accent1"/>
          <w:insideH w:val="single" w:sz="4" w:space="0" w:color="86BC25" w:themeColor="accent1"/>
        </w:tblBorders>
        <w:tblCellMar>
          <w:top w:w="29" w:type="dxa"/>
          <w:left w:w="115" w:type="dxa"/>
          <w:bottom w:w="29" w:type="dxa"/>
          <w:right w:w="115" w:type="dxa"/>
        </w:tblCellMar>
        <w:tblLook w:val="04A0" w:firstRow="1" w:lastRow="0" w:firstColumn="1" w:lastColumn="0" w:noHBand="0" w:noVBand="1"/>
      </w:tblPr>
      <w:tblGrid>
        <w:gridCol w:w="2056"/>
        <w:gridCol w:w="7680"/>
      </w:tblGrid>
      <w:tr w:rsidR="00EB2730" w:rsidRPr="001F5B37" w14:paraId="1CC67CBF" w14:textId="77777777" w:rsidTr="003F2002">
        <w:trPr>
          <w:cnfStyle w:val="100000000000" w:firstRow="1" w:lastRow="0" w:firstColumn="0" w:lastColumn="0" w:oddVBand="0" w:evenVBand="0" w:oddHBand="0" w:evenHBand="0" w:firstRowFirstColumn="0" w:firstRowLastColumn="0" w:lastRowFirstColumn="0" w:lastRowLastColumn="0"/>
          <w:trHeight w:val="356"/>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right w:val="none" w:sz="0" w:space="0" w:color="auto"/>
            </w:tcBorders>
          </w:tcPr>
          <w:p w14:paraId="3D91C885" w14:textId="0E627F9F" w:rsidR="00EB2730" w:rsidRPr="003B6EEA" w:rsidRDefault="00B050E8" w:rsidP="003F2002">
            <w:pPr>
              <w:pStyle w:val="BodyText1"/>
              <w:spacing w:after="120" w:line="240" w:lineRule="auto"/>
              <w:rPr>
                <w:rFonts w:asciiTheme="minorHAnsi" w:hAnsiTheme="minorHAnsi"/>
                <w:b w:val="0"/>
                <w:color w:val="D0D0CE" w:themeColor="background2"/>
                <w:sz w:val="16"/>
                <w:szCs w:val="16"/>
              </w:rPr>
            </w:pPr>
            <w:r w:rsidRPr="003B6EEA">
              <w:rPr>
                <w:rFonts w:asciiTheme="minorHAnsi" w:hAnsiTheme="minorHAnsi"/>
                <w:color w:val="FFFFFF" w:themeColor="background1"/>
                <w:sz w:val="16"/>
                <w:szCs w:val="16"/>
              </w:rPr>
              <w:t>Automatická robotizace procesu výpočtu směsných poměrů</w:t>
            </w:r>
          </w:p>
        </w:tc>
      </w:tr>
      <w:tr w:rsidR="00EB2730" w:rsidRPr="001F5B37" w14:paraId="58B0DE82"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single" w:sz="4" w:space="0" w:color="FFFFFF" w:themeColor="background1"/>
              <w:bottom w:val="single" w:sz="4" w:space="0" w:color="FFFFFF" w:themeColor="background1"/>
            </w:tcBorders>
          </w:tcPr>
          <w:p w14:paraId="05AC6A7B" w14:textId="77777777" w:rsidR="00EB2730" w:rsidRPr="003B6EEA" w:rsidRDefault="00EB2730"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Popis současného stavu</w:t>
            </w:r>
          </w:p>
        </w:tc>
        <w:tc>
          <w:tcPr>
            <w:tcW w:w="3938" w:type="pct"/>
            <w:shd w:val="clear" w:color="auto" w:fill="auto"/>
          </w:tcPr>
          <w:p w14:paraId="68B94E72" w14:textId="1AD06639"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Žadatelé v rámci žádosti o podporu vyplňují tabulku rozpočtu projektu (včetně všech partnerů), která na základě vyplněných údajů automaticky vypočítává míru podpory za celý projekt (tzv. směsný poměr). Tuto výslednou hodnotu následně žadatelé přepisují do ISKP14+. Žadatel se při vyplňování výše podpory řídí pokyny v Návodce API. Žadatelé, stejně jako podpoření příjemci, nepracují s pojmem směsných poměrů, pouze rozdělení nákladů na EV a PV. Nicméně by si měli být vědomi nutnosti dosažení vypočteného poměru EV a PV ke konci projektu – pro potřeby Z</w:t>
            </w:r>
            <w:r w:rsidR="00825645" w:rsidRPr="003B6EEA">
              <w:rPr>
                <w:rFonts w:asciiTheme="minorHAnsi" w:hAnsiTheme="minorHAnsi"/>
                <w:sz w:val="16"/>
                <w:szCs w:val="16"/>
              </w:rPr>
              <w:t>ŽoPl</w:t>
            </w:r>
            <w:r w:rsidRPr="003B6EEA">
              <w:rPr>
                <w:rFonts w:asciiTheme="minorHAnsi" w:hAnsiTheme="minorHAnsi"/>
                <w:sz w:val="16"/>
                <w:szCs w:val="16"/>
              </w:rPr>
              <w:t>. Konečný poměr se odvíjí od průběžného čerpání nákladů na EV a PV. Příjemci však často nejsou schopni v průběhu projektu vyhodnocovat a</w:t>
            </w:r>
            <w:r w:rsidR="00C61330" w:rsidRPr="003B6EEA">
              <w:rPr>
                <w:rFonts w:asciiTheme="minorHAnsi" w:hAnsiTheme="minorHAnsi"/>
                <w:sz w:val="16"/>
                <w:szCs w:val="16"/>
              </w:rPr>
              <w:t> </w:t>
            </w:r>
            <w:r w:rsidRPr="003B6EEA">
              <w:rPr>
                <w:rFonts w:asciiTheme="minorHAnsi" w:hAnsiTheme="minorHAnsi"/>
                <w:sz w:val="16"/>
                <w:szCs w:val="16"/>
              </w:rPr>
              <w:t>predikovat finální poměr podpor. Proto není v drtivé většině případů finální poměr dodržen a dochází následně ke krácení rozpočtu v Z</w:t>
            </w:r>
            <w:r w:rsidR="00825645" w:rsidRPr="003B6EEA">
              <w:rPr>
                <w:rFonts w:asciiTheme="minorHAnsi" w:hAnsiTheme="minorHAnsi"/>
                <w:sz w:val="16"/>
                <w:szCs w:val="16"/>
              </w:rPr>
              <w:t>ŽoPl</w:t>
            </w:r>
            <w:r w:rsidRPr="003B6EEA">
              <w:rPr>
                <w:rFonts w:asciiTheme="minorHAnsi" w:hAnsiTheme="minorHAnsi"/>
                <w:sz w:val="16"/>
                <w:szCs w:val="16"/>
              </w:rPr>
              <w:t>. Toto krácení má v mnohých případech negativní dopad na příjemce podpory, neboť se jedná o</w:t>
            </w:r>
            <w:r w:rsidR="00C61330" w:rsidRPr="003B6EEA">
              <w:rPr>
                <w:rFonts w:asciiTheme="minorHAnsi" w:hAnsiTheme="minorHAnsi"/>
                <w:sz w:val="16"/>
                <w:szCs w:val="16"/>
              </w:rPr>
              <w:t> </w:t>
            </w:r>
            <w:r w:rsidRPr="003B6EEA">
              <w:rPr>
                <w:rFonts w:asciiTheme="minorHAnsi" w:hAnsiTheme="minorHAnsi"/>
                <w:sz w:val="16"/>
                <w:szCs w:val="16"/>
              </w:rPr>
              <w:t xml:space="preserve">finální vyúčtování podpory. </w:t>
            </w:r>
          </w:p>
          <w:p w14:paraId="21BB1252" w14:textId="486C4D38"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Výpočet směsných poměrů je součástí procesu kontroly a schvalování </w:t>
            </w:r>
            <w:r w:rsidR="00825645" w:rsidRPr="003B6EEA">
              <w:rPr>
                <w:rFonts w:asciiTheme="minorHAnsi" w:hAnsiTheme="minorHAnsi"/>
                <w:sz w:val="16"/>
                <w:szCs w:val="16"/>
              </w:rPr>
              <w:t>ŽoPl</w:t>
            </w:r>
            <w:r w:rsidRPr="003B6EEA">
              <w:rPr>
                <w:rFonts w:asciiTheme="minorHAnsi" w:hAnsiTheme="minorHAnsi"/>
                <w:sz w:val="16"/>
                <w:szCs w:val="16"/>
              </w:rPr>
              <w:t>. Výpočet směsných poměrů je spojen s řadou manuálních úkonů, od zakládání složek projektů na sdíleném disku, stahování rozpočtů, účetních dokladů, souhrnných soupisek, přehledů zdrojů financování a ruční kopírování do vzorových excelových tabulek.</w:t>
            </w:r>
            <w:r w:rsidRPr="003B6EEA">
              <w:rPr>
                <w:rStyle w:val="FootnoteReference"/>
                <w:rFonts w:asciiTheme="minorHAnsi" w:hAnsiTheme="minorHAnsi"/>
                <w:sz w:val="16"/>
                <w:szCs w:val="16"/>
              </w:rPr>
              <w:footnoteReference w:id="29"/>
            </w:r>
            <w:r w:rsidRPr="003B6EEA">
              <w:rPr>
                <w:rFonts w:asciiTheme="minorHAnsi" w:hAnsiTheme="minorHAnsi"/>
                <w:sz w:val="16"/>
                <w:szCs w:val="16"/>
              </w:rPr>
              <w:t xml:space="preserve"> Následná kontrola zahrnuje 3 kontroly automatické a 3 manuální, v případě zjištění dochází k výpočtu krácení 3 odlišnými typy.</w:t>
            </w:r>
            <w:r w:rsidRPr="003B6EEA">
              <w:rPr>
                <w:rStyle w:val="FootnoteReference"/>
                <w:rFonts w:asciiTheme="minorHAnsi" w:hAnsiTheme="minorHAnsi"/>
                <w:sz w:val="16"/>
                <w:szCs w:val="16"/>
              </w:rPr>
              <w:footnoteReference w:id="30"/>
            </w:r>
            <w:r w:rsidRPr="003B6EEA">
              <w:rPr>
                <w:rFonts w:asciiTheme="minorHAnsi" w:hAnsiTheme="minorHAnsi"/>
                <w:sz w:val="16"/>
                <w:szCs w:val="16"/>
              </w:rPr>
              <w:t xml:space="preserve"> Krácení je následně ručně zadáváno k jednotlivým účetním dokladům v MS2014+. V případě vratek se údaje opět přepisují manuálně do MS2014+. </w:t>
            </w:r>
          </w:p>
          <w:p w14:paraId="311D33C5" w14:textId="5E937A66"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Celý proces administrace jedné </w:t>
            </w:r>
            <w:r w:rsidR="00825645" w:rsidRPr="003B6EEA">
              <w:rPr>
                <w:rFonts w:asciiTheme="minorHAnsi" w:hAnsiTheme="minorHAnsi"/>
                <w:sz w:val="16"/>
                <w:szCs w:val="16"/>
              </w:rPr>
              <w:t>ŽoPl</w:t>
            </w:r>
            <w:r w:rsidRPr="003B6EEA">
              <w:rPr>
                <w:rFonts w:asciiTheme="minorHAnsi" w:hAnsiTheme="minorHAnsi"/>
                <w:sz w:val="16"/>
                <w:szCs w:val="16"/>
              </w:rPr>
              <w:t xml:space="preserve">, včetně výpočtu směsných poměrů tak trvá odhadem celkem 60 minut. Samotný </w:t>
            </w:r>
            <w:r w:rsidRPr="003B6EEA">
              <w:rPr>
                <w:rFonts w:asciiTheme="minorHAnsi" w:hAnsiTheme="minorHAnsi"/>
                <w:b/>
                <w:sz w:val="16"/>
                <w:szCs w:val="16"/>
              </w:rPr>
              <w:t>proces výpočtu směsných poměrů trvá dle odhadu 20 až 30 minut,</w:t>
            </w:r>
            <w:r w:rsidRPr="003B6EEA">
              <w:rPr>
                <w:rFonts w:asciiTheme="minorHAnsi" w:hAnsiTheme="minorHAnsi"/>
                <w:sz w:val="16"/>
                <w:szCs w:val="16"/>
              </w:rPr>
              <w:t xml:space="preserve"> v závislosti na zkušenosti PM a složitosti, počtu účetních dokladů, </w:t>
            </w:r>
            <w:r w:rsidR="00825645" w:rsidRPr="003B6EEA">
              <w:rPr>
                <w:rFonts w:asciiTheme="minorHAnsi" w:hAnsiTheme="minorHAnsi"/>
                <w:sz w:val="16"/>
                <w:szCs w:val="16"/>
              </w:rPr>
              <w:t>ŽoPl</w:t>
            </w:r>
            <w:r w:rsidRPr="003B6EEA">
              <w:rPr>
                <w:rFonts w:asciiTheme="minorHAnsi" w:hAnsiTheme="minorHAnsi"/>
                <w:sz w:val="16"/>
                <w:szCs w:val="16"/>
              </w:rPr>
              <w:t xml:space="preserve">. V případě nedostatku a vrácení příjemci k přepracování se celý proces úměrně prodlužuje. V případě průměrných 3 etap projektu tak proces výpočtu směsných poměrů a kontroly </w:t>
            </w:r>
            <w:r w:rsidR="00825645" w:rsidRPr="003B6EEA">
              <w:rPr>
                <w:rFonts w:asciiTheme="minorHAnsi" w:hAnsiTheme="minorHAnsi"/>
                <w:sz w:val="16"/>
                <w:szCs w:val="16"/>
              </w:rPr>
              <w:t>ŽoPl</w:t>
            </w:r>
            <w:r w:rsidRPr="003B6EEA">
              <w:rPr>
                <w:rFonts w:asciiTheme="minorHAnsi" w:hAnsiTheme="minorHAnsi"/>
                <w:sz w:val="16"/>
                <w:szCs w:val="16"/>
              </w:rPr>
              <w:t xml:space="preserve"> za celý </w:t>
            </w:r>
            <w:r w:rsidRPr="00E105D8">
              <w:rPr>
                <w:rFonts w:asciiTheme="minorHAnsi" w:hAnsiTheme="minorHAnsi"/>
                <w:b/>
                <w:sz w:val="16"/>
                <w:szCs w:val="16"/>
              </w:rPr>
              <w:t>životní cyklus jednoho projektu dle odhadu dosahuje 3 hodin</w:t>
            </w:r>
            <w:r w:rsidRPr="003B6EEA">
              <w:rPr>
                <w:rFonts w:asciiTheme="minorHAnsi" w:hAnsiTheme="minorHAnsi"/>
                <w:sz w:val="16"/>
                <w:szCs w:val="16"/>
              </w:rPr>
              <w:t xml:space="preserve">. </w:t>
            </w:r>
          </w:p>
          <w:p w14:paraId="6D910813" w14:textId="4F46E4B4"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Délka procesu je závislá také na případné aktualizaci tabulek pro výpočet směsných poměrů. V současné době PM API pracují odhadem již s dvanáctou verzí tabulky pro výpočet směsných nákladů. S každou další aktualizací tabulky je nutné při každé další </w:t>
            </w:r>
            <w:r w:rsidR="00825645" w:rsidRPr="003B6EEA">
              <w:rPr>
                <w:rFonts w:asciiTheme="minorHAnsi" w:hAnsiTheme="minorHAnsi"/>
                <w:sz w:val="16"/>
                <w:szCs w:val="16"/>
              </w:rPr>
              <w:t>ŽoPl</w:t>
            </w:r>
            <w:r w:rsidRPr="003B6EEA">
              <w:rPr>
                <w:rFonts w:asciiTheme="minorHAnsi" w:hAnsiTheme="minorHAnsi"/>
                <w:sz w:val="16"/>
                <w:szCs w:val="16"/>
              </w:rPr>
              <w:t xml:space="preserve"> vše do nové tabulky manuálně překopírovat. </w:t>
            </w:r>
          </w:p>
          <w:p w14:paraId="6FEFAC46" w14:textId="126F9B9C"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Díky souběžným termínům výzev a podobnému plánování etap příjemci dochází ke kulminaci </w:t>
            </w:r>
            <w:r w:rsidR="00825645" w:rsidRPr="1B8B314C">
              <w:rPr>
                <w:rFonts w:asciiTheme="minorHAnsi" w:hAnsiTheme="minorHAnsi"/>
                <w:sz w:val="16"/>
                <w:szCs w:val="16"/>
              </w:rPr>
              <w:t>ŽoPl</w:t>
            </w:r>
            <w:r w:rsidRPr="1B8B314C">
              <w:rPr>
                <w:rFonts w:asciiTheme="minorHAnsi" w:hAnsiTheme="minorHAnsi"/>
                <w:sz w:val="16"/>
                <w:szCs w:val="16"/>
              </w:rPr>
              <w:t xml:space="preserve"> do několika měsíců dvakrát v roce (typicky červenec/srpen; leden/únor). Díky tomu dochází až k</w:t>
            </w:r>
            <w:r w:rsidR="717249C1" w:rsidRPr="1B8B314C">
              <w:rPr>
                <w:rFonts w:asciiTheme="minorHAnsi" w:hAnsiTheme="minorHAnsi"/>
                <w:sz w:val="16"/>
                <w:szCs w:val="16"/>
              </w:rPr>
              <w:t>e</w:t>
            </w:r>
            <w:r w:rsidRPr="1B8B314C">
              <w:rPr>
                <w:rFonts w:asciiTheme="minorHAnsi" w:hAnsiTheme="minorHAnsi"/>
                <w:sz w:val="16"/>
                <w:szCs w:val="16"/>
              </w:rPr>
              <w:t> dvou měsíčnímu zpožděním při jejich kontrole a proplácení.</w:t>
            </w:r>
            <w:r w:rsidRPr="1B8B314C">
              <w:rPr>
                <w:rStyle w:val="FootnoteReference"/>
                <w:rFonts w:asciiTheme="minorHAnsi" w:hAnsiTheme="minorHAnsi"/>
                <w:sz w:val="16"/>
                <w:szCs w:val="16"/>
              </w:rPr>
              <w:footnoteReference w:id="31"/>
            </w:r>
            <w:r w:rsidRPr="1B8B314C">
              <w:rPr>
                <w:rFonts w:asciiTheme="minorHAnsi" w:hAnsiTheme="minorHAnsi"/>
                <w:sz w:val="16"/>
                <w:szCs w:val="16"/>
              </w:rPr>
              <w:t xml:space="preserve"> Zvlášť časově náročná je kontrola směsných poměrů a</w:t>
            </w:r>
            <w:r w:rsidR="00C61330" w:rsidRPr="1B8B314C">
              <w:rPr>
                <w:rFonts w:asciiTheme="minorHAnsi" w:hAnsiTheme="minorHAnsi"/>
                <w:sz w:val="16"/>
                <w:szCs w:val="16"/>
              </w:rPr>
              <w:t> </w:t>
            </w:r>
            <w:r w:rsidR="00825645" w:rsidRPr="1B8B314C">
              <w:rPr>
                <w:rFonts w:asciiTheme="minorHAnsi" w:hAnsiTheme="minorHAnsi"/>
                <w:sz w:val="16"/>
                <w:szCs w:val="16"/>
              </w:rPr>
              <w:t>ŽoPl</w:t>
            </w:r>
            <w:r w:rsidRPr="1B8B314C">
              <w:rPr>
                <w:rFonts w:asciiTheme="minorHAnsi" w:hAnsiTheme="minorHAnsi"/>
                <w:sz w:val="16"/>
                <w:szCs w:val="16"/>
              </w:rPr>
              <w:t xml:space="preserve"> v programu Aplikace, kde je </w:t>
            </w:r>
            <w:r w:rsidRPr="1B8B314C">
              <w:rPr>
                <w:rFonts w:asciiTheme="minorHAnsi" w:hAnsiTheme="minorHAnsi"/>
                <w:sz w:val="16"/>
                <w:szCs w:val="16"/>
              </w:rPr>
              <w:lastRenderedPageBreak/>
              <w:t xml:space="preserve">významné rozdělení mzdových nákladů na EV a PV, projekty jsou více-etapové, tudíž mají i více </w:t>
            </w:r>
            <w:r w:rsidR="00825645" w:rsidRPr="1B8B314C">
              <w:rPr>
                <w:rFonts w:asciiTheme="minorHAnsi" w:hAnsiTheme="minorHAnsi"/>
                <w:sz w:val="16"/>
                <w:szCs w:val="16"/>
              </w:rPr>
              <w:t>ŽoPl</w:t>
            </w:r>
            <w:r w:rsidRPr="1B8B314C">
              <w:rPr>
                <w:rFonts w:asciiTheme="minorHAnsi" w:hAnsiTheme="minorHAnsi"/>
                <w:sz w:val="16"/>
                <w:szCs w:val="16"/>
              </w:rPr>
              <w:t xml:space="preserve">. </w:t>
            </w:r>
          </w:p>
        </w:tc>
      </w:tr>
      <w:tr w:rsidR="00EB2730" w:rsidRPr="001F5B37" w14:paraId="4EAD2A3A" w14:textId="77777777" w:rsidTr="003F2002">
        <w:tc>
          <w:tcPr>
            <w:cnfStyle w:val="001000000000" w:firstRow="0" w:lastRow="0" w:firstColumn="1" w:lastColumn="0" w:oddVBand="0" w:evenVBand="0" w:oddHBand="0" w:evenHBand="0" w:firstRowFirstColumn="0" w:firstRowLastColumn="0" w:lastRowFirstColumn="0" w:lastRowLastColumn="0"/>
            <w:tcW w:w="1056" w:type="pct"/>
            <w:tcBorders>
              <w:top w:val="single" w:sz="4" w:space="0" w:color="FFFFFF" w:themeColor="background1"/>
              <w:left w:val="none" w:sz="0" w:space="0" w:color="auto"/>
              <w:bottom w:val="single" w:sz="4" w:space="0" w:color="FFFFFF" w:themeColor="background1"/>
            </w:tcBorders>
          </w:tcPr>
          <w:p w14:paraId="1454FC6B" w14:textId="77777777" w:rsidR="00EB2730" w:rsidRPr="003B6EEA" w:rsidRDefault="00EB2730" w:rsidP="003F2002">
            <w:pPr>
              <w:pStyle w:val="BodyText1"/>
              <w:spacing w:after="120" w:line="240" w:lineRule="auto"/>
              <w:ind w:right="112"/>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lastRenderedPageBreak/>
              <w:t>Popis cílového stavu</w:t>
            </w:r>
          </w:p>
        </w:tc>
        <w:tc>
          <w:tcPr>
            <w:tcW w:w="3938" w:type="pct"/>
            <w:shd w:val="clear" w:color="auto" w:fill="auto"/>
          </w:tcPr>
          <w:p w14:paraId="1B644A86" w14:textId="77777777"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Robotická automatizace procesu (RPA) výpočtu směsných nákladů</w:t>
            </w:r>
          </w:p>
          <w:p w14:paraId="165C0E96" w14:textId="546B7A7B"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Cílem navrhovaného optimalizačního opatření je robotizace procesu výpočtu směsných nákladů. Tedy naprogramování „robotického projektového manažera“, který by běžné rutinní úkony spojené s administrací a výpočtem směsných poměrů automatizoval. Tento „robotický PM“ by prováděl celý postup přesně v souladu s metodikou, pouze by je automatizoval, čímž by došlo k úspoře času „lidských“ projektových manažerů. Robotickou automatizaci je možné nastavit pro celý proces nebo jeho vybrané části, podle dostupných finančních prostředků, možností automatizace jednotlivých kroků a dalších parametrů.</w:t>
            </w:r>
          </w:p>
          <w:p w14:paraId="64A8435E" w14:textId="77777777"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u w:val="single"/>
              </w:rPr>
            </w:pPr>
            <w:r w:rsidRPr="003B6EEA">
              <w:rPr>
                <w:rFonts w:asciiTheme="minorHAnsi" w:hAnsiTheme="minorHAnsi"/>
                <w:b/>
                <w:sz w:val="16"/>
                <w:szCs w:val="16"/>
                <w:u w:val="single"/>
              </w:rPr>
              <w:t>Navazující optimalizační opatření</w:t>
            </w:r>
          </w:p>
          <w:p w14:paraId="262D53CD" w14:textId="77777777"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 xml:space="preserve">Automatizace zadávání a kontroly účetních dokladů. </w:t>
            </w:r>
          </w:p>
          <w:p w14:paraId="33F4B378" w14:textId="70465501"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Dalším optimalizačním opatřením v dalším programovém období může být integrace IT řešení – umělé inteligence – do monitorovacího systému ESIF, který by automaticky </w:t>
            </w:r>
            <w:r w:rsidR="00117125" w:rsidRPr="003B6EEA">
              <w:rPr>
                <w:rFonts w:asciiTheme="minorHAnsi" w:hAnsiTheme="minorHAnsi"/>
                <w:sz w:val="16"/>
                <w:szCs w:val="16"/>
              </w:rPr>
              <w:t>zpracovával</w:t>
            </w:r>
            <w:r w:rsidRPr="003B6EEA">
              <w:rPr>
                <w:rFonts w:asciiTheme="minorHAnsi" w:hAnsiTheme="minorHAnsi"/>
                <w:sz w:val="16"/>
                <w:szCs w:val="16"/>
              </w:rPr>
              <w:t xml:space="preserve"> data z nahraných účetních dokladů. Tím by došlo k významné časové úspoře a chybovosti jak na straně příjemců podpory, kteří v současné době zadávají data do MS2014+ manuálně tak na straně PM a</w:t>
            </w:r>
            <w:r w:rsidR="00C61330" w:rsidRPr="003B6EEA">
              <w:rPr>
                <w:rFonts w:asciiTheme="minorHAnsi" w:hAnsiTheme="minorHAnsi"/>
                <w:sz w:val="16"/>
                <w:szCs w:val="16"/>
              </w:rPr>
              <w:t> </w:t>
            </w:r>
            <w:r w:rsidRPr="003B6EEA">
              <w:rPr>
                <w:rFonts w:asciiTheme="minorHAnsi" w:hAnsiTheme="minorHAnsi"/>
                <w:sz w:val="16"/>
                <w:szCs w:val="16"/>
              </w:rPr>
              <w:t xml:space="preserve">Manažerů autorizace plateb při následné kontrole těchto účetních dokladů. </w:t>
            </w:r>
          </w:p>
          <w:p w14:paraId="0705D938" w14:textId="77777777"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 xml:space="preserve">Zrušení jednotné míry podpory. </w:t>
            </w:r>
          </w:p>
          <w:p w14:paraId="066AEA5A" w14:textId="77777777"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Zrušení jednotné míry podpory by vedlo k celkovému zrušení výpočtu směsných poměrů.</w:t>
            </w:r>
          </w:p>
        </w:tc>
      </w:tr>
      <w:tr w:rsidR="00EB2730" w:rsidRPr="001F5B37" w14:paraId="12122565"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single" w:sz="4" w:space="0" w:color="FFFFFF" w:themeColor="background1"/>
              <w:left w:val="none" w:sz="0" w:space="0" w:color="auto"/>
              <w:bottom w:val="single" w:sz="4" w:space="0" w:color="FFFFFF" w:themeColor="background1"/>
            </w:tcBorders>
          </w:tcPr>
          <w:p w14:paraId="6439E15D" w14:textId="77777777" w:rsidR="00EB2730" w:rsidRPr="003B6EEA" w:rsidRDefault="00EB2730" w:rsidP="003F2002">
            <w:pPr>
              <w:pStyle w:val="BodyText1"/>
              <w:spacing w:after="120" w:line="240" w:lineRule="auto"/>
              <w:ind w:right="112"/>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Očekávané výsledky zavedeného opatření a časový plán dopadu</w:t>
            </w:r>
          </w:p>
        </w:tc>
        <w:tc>
          <w:tcPr>
            <w:tcW w:w="3938" w:type="pct"/>
            <w:shd w:val="clear" w:color="auto" w:fill="auto"/>
          </w:tcPr>
          <w:p w14:paraId="1B879503" w14:textId="77777777"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Časová úspora</w:t>
            </w:r>
          </w:p>
          <w:p w14:paraId="3B6C60F8" w14:textId="7E1C1AB1"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Do konce programového období lze u již realizovaných a nově podpořených projektů očekávat </w:t>
            </w:r>
            <w:r w:rsidRPr="003B6EEA">
              <w:rPr>
                <w:rFonts w:asciiTheme="minorHAnsi" w:hAnsiTheme="minorHAnsi"/>
                <w:b/>
                <w:sz w:val="16"/>
                <w:szCs w:val="16"/>
              </w:rPr>
              <w:t xml:space="preserve">až 10 000 </w:t>
            </w:r>
            <w:r w:rsidR="00825645" w:rsidRPr="003B6EEA">
              <w:rPr>
                <w:rFonts w:asciiTheme="minorHAnsi" w:hAnsiTheme="minorHAnsi"/>
                <w:b/>
                <w:sz w:val="16"/>
                <w:szCs w:val="16"/>
              </w:rPr>
              <w:t>ŽoPl</w:t>
            </w:r>
            <w:r w:rsidRPr="003B6EEA">
              <w:rPr>
                <w:rFonts w:asciiTheme="minorHAnsi" w:hAnsiTheme="minorHAnsi"/>
                <w:sz w:val="16"/>
                <w:szCs w:val="16"/>
              </w:rPr>
              <w:t xml:space="preserve">. Při zavedení robotické automatizace procesu výpočtu směsných nákladů by teoreticky při výše uvedené časové náročnosti výpočtu směsných nákladů bylo možné očekávat v průměru úsporu až kolem 20 minut na jednu </w:t>
            </w:r>
            <w:r w:rsidR="00825645" w:rsidRPr="003B6EEA">
              <w:rPr>
                <w:rFonts w:asciiTheme="minorHAnsi" w:hAnsiTheme="minorHAnsi"/>
                <w:sz w:val="16"/>
                <w:szCs w:val="16"/>
              </w:rPr>
              <w:t>ŽoPl</w:t>
            </w:r>
            <w:r w:rsidRPr="003B6EEA">
              <w:rPr>
                <w:rFonts w:asciiTheme="minorHAnsi" w:hAnsiTheme="minorHAnsi"/>
                <w:sz w:val="16"/>
                <w:szCs w:val="16"/>
              </w:rPr>
              <w:t>, celkem tedy</w:t>
            </w:r>
            <w:r w:rsidRPr="003B6EEA">
              <w:rPr>
                <w:rFonts w:asciiTheme="minorHAnsi" w:hAnsiTheme="minorHAnsi"/>
                <w:b/>
                <w:sz w:val="16"/>
                <w:szCs w:val="16"/>
              </w:rPr>
              <w:t xml:space="preserve"> až</w:t>
            </w:r>
            <w:r w:rsidRPr="003B6EEA">
              <w:rPr>
                <w:rFonts w:asciiTheme="minorHAnsi" w:hAnsiTheme="minorHAnsi"/>
                <w:sz w:val="16"/>
                <w:szCs w:val="16"/>
              </w:rPr>
              <w:t xml:space="preserve"> </w:t>
            </w:r>
            <w:r w:rsidRPr="003B6EEA">
              <w:rPr>
                <w:rFonts w:asciiTheme="minorHAnsi" w:hAnsiTheme="minorHAnsi"/>
                <w:b/>
                <w:sz w:val="16"/>
                <w:szCs w:val="16"/>
              </w:rPr>
              <w:t>3 300 pracovních hodin</w:t>
            </w:r>
            <w:r w:rsidRPr="003B6EEA">
              <w:rPr>
                <w:rFonts w:asciiTheme="minorHAnsi" w:hAnsiTheme="minorHAnsi"/>
                <w:sz w:val="16"/>
                <w:szCs w:val="16"/>
              </w:rPr>
              <w:t xml:space="preserve">. Tento odhad je nicméně založen na prostém výpočtu očekávaných </w:t>
            </w:r>
            <w:r w:rsidR="00825645" w:rsidRPr="003B6EEA">
              <w:rPr>
                <w:rFonts w:asciiTheme="minorHAnsi" w:hAnsiTheme="minorHAnsi"/>
                <w:sz w:val="16"/>
                <w:szCs w:val="16"/>
              </w:rPr>
              <w:t>ŽoPl</w:t>
            </w:r>
            <w:r w:rsidRPr="003B6EEA">
              <w:rPr>
                <w:rFonts w:asciiTheme="minorHAnsi" w:hAnsiTheme="minorHAnsi"/>
                <w:sz w:val="16"/>
                <w:szCs w:val="16"/>
              </w:rPr>
              <w:t xml:space="preserve">. Skutečná časová úspora bude vždy záležet na konkrétním rozsahu RPA vyplývajícím z detailní analýzy procesu a zadání klienta, v tomto případě MPO. Každopádně od RPA směsných procesů lze očekávat </w:t>
            </w:r>
            <w:r w:rsidR="00281D0D" w:rsidRPr="003B6EEA">
              <w:rPr>
                <w:rFonts w:asciiTheme="minorHAnsi" w:hAnsiTheme="minorHAnsi"/>
                <w:sz w:val="16"/>
                <w:szCs w:val="16"/>
              </w:rPr>
              <w:t xml:space="preserve">značnou </w:t>
            </w:r>
            <w:r w:rsidRPr="003B6EEA">
              <w:rPr>
                <w:rFonts w:asciiTheme="minorHAnsi" w:hAnsiTheme="minorHAnsi"/>
                <w:sz w:val="16"/>
                <w:szCs w:val="16"/>
              </w:rPr>
              <w:t>časovou úsporu.</w:t>
            </w:r>
          </w:p>
          <w:p w14:paraId="301C03A8" w14:textId="7CD39EF0"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 xml:space="preserve">Dodržování termínů a rychlejší proplácení </w:t>
            </w:r>
            <w:r w:rsidR="00825645" w:rsidRPr="003B6EEA">
              <w:rPr>
                <w:rFonts w:asciiTheme="minorHAnsi" w:hAnsiTheme="minorHAnsi"/>
                <w:b/>
                <w:sz w:val="16"/>
                <w:szCs w:val="16"/>
              </w:rPr>
              <w:t>ŽoPl</w:t>
            </w:r>
          </w:p>
          <w:p w14:paraId="4E23452A" w14:textId="6D95203C"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Robotická automatizace povede k rychlejší a masovější administraci velké části postupu schvalování </w:t>
            </w:r>
            <w:r w:rsidR="00825645" w:rsidRPr="003B6EEA">
              <w:rPr>
                <w:rFonts w:asciiTheme="minorHAnsi" w:hAnsiTheme="minorHAnsi"/>
                <w:sz w:val="16"/>
                <w:szCs w:val="16"/>
              </w:rPr>
              <w:t>ŽoPl</w:t>
            </w:r>
            <w:r w:rsidRPr="003B6EEA">
              <w:rPr>
                <w:rFonts w:asciiTheme="minorHAnsi" w:hAnsiTheme="minorHAnsi"/>
                <w:sz w:val="16"/>
                <w:szCs w:val="16"/>
              </w:rPr>
              <w:t xml:space="preserve">. V současné době API eviduje v průměru až 200 </w:t>
            </w:r>
            <w:r w:rsidR="00825645" w:rsidRPr="003B6EEA">
              <w:rPr>
                <w:rFonts w:asciiTheme="minorHAnsi" w:hAnsiTheme="minorHAnsi"/>
                <w:sz w:val="16"/>
                <w:szCs w:val="16"/>
              </w:rPr>
              <w:t>ŽoPl</w:t>
            </w:r>
            <w:r w:rsidRPr="003B6EEA">
              <w:rPr>
                <w:rFonts w:asciiTheme="minorHAnsi" w:hAnsiTheme="minorHAnsi"/>
                <w:sz w:val="16"/>
                <w:szCs w:val="16"/>
              </w:rPr>
              <w:t xml:space="preserve"> čekajících až 2 měsíce na zpracování PM. Při plné RPA </w:t>
            </w:r>
            <w:r w:rsidR="006D1801" w:rsidRPr="003B6EEA">
              <w:rPr>
                <w:rFonts w:asciiTheme="minorHAnsi" w:hAnsiTheme="minorHAnsi"/>
                <w:sz w:val="16"/>
                <w:szCs w:val="16"/>
              </w:rPr>
              <w:t>je</w:t>
            </w:r>
            <w:r w:rsidRPr="003B6EEA">
              <w:rPr>
                <w:rFonts w:asciiTheme="minorHAnsi" w:hAnsiTheme="minorHAnsi"/>
                <w:sz w:val="16"/>
                <w:szCs w:val="16"/>
              </w:rPr>
              <w:t xml:space="preserve"> možné očekávat snížení délky administrace</w:t>
            </w:r>
            <w:r w:rsidR="006D1801" w:rsidRPr="003B6EEA">
              <w:rPr>
                <w:rFonts w:asciiTheme="minorHAnsi" w:hAnsiTheme="minorHAnsi"/>
                <w:sz w:val="16"/>
                <w:szCs w:val="16"/>
              </w:rPr>
              <w:t xml:space="preserve"> výpočtu směsných nákladů a </w:t>
            </w:r>
            <w:r w:rsidR="00825645" w:rsidRPr="003B6EEA">
              <w:rPr>
                <w:rFonts w:asciiTheme="minorHAnsi" w:hAnsiTheme="minorHAnsi"/>
                <w:sz w:val="16"/>
                <w:szCs w:val="16"/>
              </w:rPr>
              <w:t>ŽoPl</w:t>
            </w:r>
            <w:r w:rsidR="00F63B2F" w:rsidRPr="003B6EEA">
              <w:rPr>
                <w:rFonts w:asciiTheme="minorHAnsi" w:hAnsiTheme="minorHAnsi"/>
                <w:sz w:val="16"/>
                <w:szCs w:val="16"/>
              </w:rPr>
              <w:t>.</w:t>
            </w:r>
            <w:r w:rsidRPr="003B6EEA">
              <w:rPr>
                <w:rFonts w:asciiTheme="minorHAnsi" w:hAnsiTheme="minorHAnsi"/>
                <w:sz w:val="16"/>
                <w:szCs w:val="16"/>
              </w:rPr>
              <w:t xml:space="preserve"> </w:t>
            </w:r>
          </w:p>
          <w:p w14:paraId="3A214B87" w14:textId="77777777"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Odstranění chybovosti</w:t>
            </w:r>
          </w:p>
          <w:p w14:paraId="2A5B49C5" w14:textId="77777777"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Manuální úkony spojené s výpočtem směsných poměrů jsou spojeny s chybovostí. K té dochází nejčastěji při kopírování položek, přenosu dat mezi soubory a jednotlivými listy nebo položkami. RPA by významným způsobem snížilo tuto chybovost. </w:t>
            </w:r>
          </w:p>
          <w:p w14:paraId="5CF36C14" w14:textId="0FB9DF14" w:rsidR="00EB2730"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Č</w:t>
            </w:r>
            <w:r w:rsidR="00EB2730" w:rsidRPr="003B6EEA">
              <w:rPr>
                <w:rFonts w:asciiTheme="minorHAnsi" w:hAnsiTheme="minorHAnsi"/>
                <w:b/>
                <w:sz w:val="16"/>
                <w:szCs w:val="16"/>
              </w:rPr>
              <w:t>asový plán</w:t>
            </w:r>
          </w:p>
          <w:p w14:paraId="018623A5" w14:textId="2528176B"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Samotné robotické řešení lze nasadit po ukončení fáze testování, které závisí na rozsahu RPA. Zatímco nasazení </w:t>
            </w:r>
            <w:r w:rsidR="007B5CA9" w:rsidRPr="003B6EEA">
              <w:rPr>
                <w:rFonts w:asciiTheme="minorHAnsi" w:hAnsiTheme="minorHAnsi"/>
                <w:sz w:val="16"/>
                <w:szCs w:val="16"/>
              </w:rPr>
              <w:t>jednoduchých</w:t>
            </w:r>
            <w:r w:rsidRPr="003B6EEA">
              <w:rPr>
                <w:rFonts w:asciiTheme="minorHAnsi" w:hAnsiTheme="minorHAnsi"/>
                <w:sz w:val="16"/>
                <w:szCs w:val="16"/>
              </w:rPr>
              <w:t xml:space="preserve"> řešení by bylo možné očekávat v průběhu 5 až 7 týdne od zadání zpracování, nasazení komplexnějšího řešení </w:t>
            </w:r>
            <w:r w:rsidR="006D1801" w:rsidRPr="003B6EEA">
              <w:rPr>
                <w:rFonts w:asciiTheme="minorHAnsi" w:hAnsiTheme="minorHAnsi"/>
                <w:sz w:val="16"/>
                <w:szCs w:val="16"/>
              </w:rPr>
              <w:t xml:space="preserve">si vyžádá několikanásobně větší časovou dotaci, kterou je možné upřesnit až po provedení úvodní fáze Proof of Concept (PoC). </w:t>
            </w:r>
            <w:r w:rsidRPr="003B6EEA">
              <w:rPr>
                <w:rFonts w:asciiTheme="minorHAnsi" w:hAnsiTheme="minorHAnsi"/>
                <w:sz w:val="16"/>
                <w:szCs w:val="16"/>
              </w:rPr>
              <w:t>Vše do velké míry záleží na možnostech MPO, délce interních schvalovacích procesů, kapacitě IT oddělení a</w:t>
            </w:r>
            <w:r w:rsidR="00C61330" w:rsidRPr="003B6EEA">
              <w:rPr>
                <w:rFonts w:asciiTheme="minorHAnsi" w:hAnsiTheme="minorHAnsi"/>
                <w:sz w:val="16"/>
                <w:szCs w:val="16"/>
              </w:rPr>
              <w:t> </w:t>
            </w:r>
            <w:r w:rsidRPr="003B6EEA">
              <w:rPr>
                <w:rFonts w:asciiTheme="minorHAnsi" w:hAnsiTheme="minorHAnsi"/>
                <w:sz w:val="16"/>
                <w:szCs w:val="16"/>
              </w:rPr>
              <w:t xml:space="preserve">poskytnutí součinnosti. Nicméně RPA pro směsné poměry je možné zrealizovat a efektivně nasadit do konce administrace </w:t>
            </w:r>
            <w:r w:rsidR="00825645" w:rsidRPr="003B6EEA">
              <w:rPr>
                <w:rFonts w:asciiTheme="minorHAnsi" w:hAnsiTheme="minorHAnsi"/>
                <w:sz w:val="16"/>
                <w:szCs w:val="16"/>
              </w:rPr>
              <w:t>ŽoPl</w:t>
            </w:r>
            <w:r w:rsidRPr="003B6EEA">
              <w:rPr>
                <w:rFonts w:asciiTheme="minorHAnsi" w:hAnsiTheme="minorHAnsi"/>
                <w:sz w:val="16"/>
                <w:szCs w:val="16"/>
              </w:rPr>
              <w:t xml:space="preserve"> v současném programovém období, tedy zhruba do poloviny roku 2023. V případě potřeby – absence automatických procesů nového informačního systému – je možné existující RPA model flexibilně a rychle adaptovat na nové programové období a nadále využívat. </w:t>
            </w:r>
          </w:p>
        </w:tc>
      </w:tr>
      <w:tr w:rsidR="00EB2730" w:rsidRPr="001F5B37" w14:paraId="06F08808" w14:textId="77777777" w:rsidTr="003F2002">
        <w:trPr>
          <w:trHeight w:val="1635"/>
        </w:trPr>
        <w:tc>
          <w:tcPr>
            <w:cnfStyle w:val="001000000000" w:firstRow="0" w:lastRow="0" w:firstColumn="1" w:lastColumn="0" w:oddVBand="0" w:evenVBand="0" w:oddHBand="0" w:evenHBand="0" w:firstRowFirstColumn="0" w:firstRowLastColumn="0" w:lastRowFirstColumn="0" w:lastRowLastColumn="0"/>
            <w:tcW w:w="1056" w:type="pct"/>
            <w:tcBorders>
              <w:top w:val="single" w:sz="4" w:space="0" w:color="FFFFFF" w:themeColor="background1"/>
              <w:left w:val="none" w:sz="0" w:space="0" w:color="auto"/>
              <w:bottom w:val="single" w:sz="4" w:space="0" w:color="FFFFFF" w:themeColor="background1"/>
            </w:tcBorders>
          </w:tcPr>
          <w:p w14:paraId="5D314CDD" w14:textId="77777777" w:rsidR="00EB2730" w:rsidRPr="003B6EEA" w:rsidRDefault="00EB2730" w:rsidP="003F2002">
            <w:pPr>
              <w:pStyle w:val="BodyText1"/>
              <w:tabs>
                <w:tab w:val="left" w:pos="284"/>
              </w:tabs>
              <w:spacing w:after="120" w:line="240" w:lineRule="auto"/>
              <w:ind w:right="113"/>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Časová náročnost zavedení opatření v implementační struktuře</w:t>
            </w:r>
          </w:p>
        </w:tc>
        <w:tc>
          <w:tcPr>
            <w:tcW w:w="3938" w:type="pct"/>
            <w:shd w:val="clear" w:color="auto" w:fill="auto"/>
          </w:tcPr>
          <w:p w14:paraId="475E8FF7" w14:textId="369A3617"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Samotnou robotizaci procesu výpočtu směsných poměrů dle předběžné analýzy a expertního odhadu Dodavatele lze </w:t>
            </w:r>
            <w:r w:rsidRPr="003B6EEA">
              <w:rPr>
                <w:rFonts w:asciiTheme="minorHAnsi" w:hAnsiTheme="minorHAnsi"/>
                <w:b/>
                <w:sz w:val="16"/>
                <w:szCs w:val="16"/>
              </w:rPr>
              <w:t>v modelu Proof of Concept</w:t>
            </w:r>
            <w:r w:rsidRPr="003B6EEA">
              <w:rPr>
                <w:rFonts w:asciiTheme="minorHAnsi" w:hAnsiTheme="minorHAnsi"/>
                <w:sz w:val="16"/>
                <w:szCs w:val="16"/>
              </w:rPr>
              <w:t xml:space="preserve"> zrealizovat během </w:t>
            </w:r>
            <w:r w:rsidRPr="003B6EEA">
              <w:rPr>
                <w:rFonts w:asciiTheme="minorHAnsi" w:hAnsiTheme="minorHAnsi"/>
                <w:b/>
                <w:sz w:val="16"/>
                <w:szCs w:val="16"/>
              </w:rPr>
              <w:t>5 až 7 týdnů</w:t>
            </w:r>
            <w:r w:rsidRPr="003B6EEA">
              <w:rPr>
                <w:rFonts w:asciiTheme="minorHAnsi" w:hAnsiTheme="minorHAnsi"/>
                <w:sz w:val="16"/>
                <w:szCs w:val="16"/>
              </w:rPr>
              <w:t xml:space="preserve">. Časová délka zpracování nicméně záleží na </w:t>
            </w:r>
            <w:r w:rsidRPr="003B6EEA">
              <w:rPr>
                <w:rFonts w:asciiTheme="minorHAnsi" w:hAnsiTheme="minorHAnsi"/>
                <w:b/>
                <w:sz w:val="16"/>
                <w:szCs w:val="16"/>
              </w:rPr>
              <w:t>součinnosti zadavatele</w:t>
            </w:r>
            <w:r w:rsidRPr="003B6EEA">
              <w:rPr>
                <w:rFonts w:asciiTheme="minorHAnsi" w:hAnsiTheme="minorHAnsi"/>
                <w:sz w:val="16"/>
                <w:szCs w:val="16"/>
              </w:rPr>
              <w:t xml:space="preserve">, tedy MPO a jeho organizačních složek. </w:t>
            </w:r>
          </w:p>
          <w:p w14:paraId="6E0D1521" w14:textId="00B68FC9" w:rsidR="00EB2730" w:rsidRPr="003B6EEA" w:rsidDel="009C21B9"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Samotnému vývoji pak musí předcházet příprava a zveřejnění objednávky či celého v</w:t>
            </w:r>
            <w:r w:rsidR="006C25C9" w:rsidRPr="003B6EEA">
              <w:rPr>
                <w:rFonts w:asciiTheme="minorHAnsi" w:hAnsiTheme="minorHAnsi"/>
                <w:sz w:val="16"/>
                <w:szCs w:val="16"/>
              </w:rPr>
              <w:t>ýběrového řízení na dodavatele.</w:t>
            </w:r>
          </w:p>
        </w:tc>
      </w:tr>
      <w:tr w:rsidR="00EB2730" w:rsidRPr="001F5B37" w14:paraId="0463158E"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single" w:sz="4" w:space="0" w:color="FFFFFF" w:themeColor="background1"/>
              <w:left w:val="none" w:sz="0" w:space="0" w:color="auto"/>
              <w:bottom w:val="single" w:sz="4" w:space="0" w:color="FFFFFF" w:themeColor="background1"/>
            </w:tcBorders>
          </w:tcPr>
          <w:p w14:paraId="549F43E4" w14:textId="77777777" w:rsidR="00EB2730" w:rsidRPr="003B6EEA" w:rsidRDefault="00EB2730" w:rsidP="003F2002">
            <w:pPr>
              <w:pStyle w:val="BodyText1"/>
              <w:keepNext/>
              <w:keepLines/>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lastRenderedPageBreak/>
              <w:t>Personální náročnost zavedení opatření v implementační struktuře</w:t>
            </w:r>
          </w:p>
        </w:tc>
        <w:tc>
          <w:tcPr>
            <w:tcW w:w="3938" w:type="pct"/>
            <w:shd w:val="clear" w:color="auto" w:fill="auto"/>
          </w:tcPr>
          <w:p w14:paraId="7CFC6960" w14:textId="2B870547" w:rsidR="00EB2730" w:rsidRPr="003B6EEA" w:rsidRDefault="006D1801"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Modelový</w:t>
            </w:r>
            <w:r w:rsidR="00EB2730" w:rsidRPr="003B6EEA">
              <w:rPr>
                <w:rFonts w:asciiTheme="minorHAnsi" w:hAnsiTheme="minorHAnsi"/>
                <w:sz w:val="16"/>
                <w:szCs w:val="16"/>
              </w:rPr>
              <w:t xml:space="preserve"> proces</w:t>
            </w:r>
            <w:r w:rsidRPr="003B6EEA">
              <w:rPr>
                <w:rFonts w:asciiTheme="minorHAnsi" w:hAnsiTheme="minorHAnsi"/>
                <w:sz w:val="16"/>
                <w:szCs w:val="16"/>
              </w:rPr>
              <w:t xml:space="preserve"> robotické automatizace procesu dle zkušeností Zpracovatele vyžaduje následující součinnost Zadavatele</w:t>
            </w:r>
            <w:r w:rsidR="00EB2730" w:rsidRPr="003B6EEA">
              <w:rPr>
                <w:rFonts w:asciiTheme="minorHAnsi" w:hAnsiTheme="minorHAnsi"/>
                <w:sz w:val="16"/>
                <w:szCs w:val="16"/>
              </w:rPr>
              <w:t>:</w:t>
            </w:r>
          </w:p>
          <w:p w14:paraId="24F27F50" w14:textId="77C3F160" w:rsidR="003609F4" w:rsidRPr="003B6EEA" w:rsidRDefault="5226C8D3"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noProof/>
              </w:rPr>
              <w:drawing>
                <wp:inline distT="0" distB="0" distL="0" distR="0" wp14:anchorId="73905A22" wp14:editId="69116EFF">
                  <wp:extent cx="4698855" cy="463108"/>
                  <wp:effectExtent l="0" t="0" r="6985" b="0"/>
                  <wp:docPr id="1" name="Picture 1" descr="cid:image001.png@01D6761A.E29B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4698855" cy="463108"/>
                          </a:xfrm>
                          <a:prstGeom prst="rect">
                            <a:avLst/>
                          </a:prstGeom>
                        </pic:spPr>
                      </pic:pic>
                    </a:graphicData>
                  </a:graphic>
                </wp:inline>
              </w:drawing>
            </w:r>
          </w:p>
          <w:p w14:paraId="7CB1E573" w14:textId="3605521D" w:rsidR="00B421CD" w:rsidRPr="003B6EEA" w:rsidRDefault="00B421CD"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Detailní počet hodin</w:t>
            </w:r>
            <w:r w:rsidR="006C25C9" w:rsidRPr="003B6EEA">
              <w:rPr>
                <w:rFonts w:asciiTheme="minorHAnsi" w:hAnsiTheme="minorHAnsi"/>
                <w:sz w:val="16"/>
                <w:szCs w:val="16"/>
              </w:rPr>
              <w:t>ové dotace na RPA</w:t>
            </w:r>
            <w:r w:rsidRPr="003B6EEA">
              <w:rPr>
                <w:rFonts w:asciiTheme="minorHAnsi" w:hAnsiTheme="minorHAnsi"/>
                <w:sz w:val="16"/>
                <w:szCs w:val="16"/>
              </w:rPr>
              <w:t xml:space="preserve"> je možné </w:t>
            </w:r>
            <w:r w:rsidR="006C25C9" w:rsidRPr="003B6EEA">
              <w:rPr>
                <w:rFonts w:asciiTheme="minorHAnsi" w:hAnsiTheme="minorHAnsi"/>
                <w:sz w:val="16"/>
                <w:szCs w:val="16"/>
              </w:rPr>
              <w:t xml:space="preserve">přesně </w:t>
            </w:r>
            <w:r w:rsidRPr="003B6EEA">
              <w:rPr>
                <w:rFonts w:asciiTheme="minorHAnsi" w:hAnsiTheme="minorHAnsi"/>
                <w:sz w:val="16"/>
                <w:szCs w:val="16"/>
              </w:rPr>
              <w:t>určit až po provedení úvodní fáze PoC.</w:t>
            </w:r>
          </w:p>
          <w:p w14:paraId="3419D57C" w14:textId="37A5D9F5"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 uvedené tabulky vyplývá nejvyšší personální náročnost </w:t>
            </w:r>
            <w:r w:rsidR="00B421CD" w:rsidRPr="003B6EEA">
              <w:rPr>
                <w:rFonts w:asciiTheme="minorHAnsi" w:hAnsiTheme="minorHAnsi"/>
                <w:sz w:val="16"/>
                <w:szCs w:val="16"/>
              </w:rPr>
              <w:t xml:space="preserve">pro </w:t>
            </w:r>
            <w:r w:rsidRPr="003B6EEA">
              <w:rPr>
                <w:rFonts w:asciiTheme="minorHAnsi" w:hAnsiTheme="minorHAnsi"/>
                <w:sz w:val="16"/>
                <w:szCs w:val="16"/>
              </w:rPr>
              <w:t>implementač</w:t>
            </w:r>
            <w:r w:rsidR="00753981" w:rsidRPr="003B6EEA">
              <w:rPr>
                <w:rFonts w:asciiTheme="minorHAnsi" w:hAnsiTheme="minorHAnsi"/>
                <w:sz w:val="16"/>
                <w:szCs w:val="16"/>
              </w:rPr>
              <w:t>ní struktur</w:t>
            </w:r>
            <w:r w:rsidR="00B421CD" w:rsidRPr="003B6EEA">
              <w:rPr>
                <w:rFonts w:asciiTheme="minorHAnsi" w:hAnsiTheme="minorHAnsi"/>
                <w:sz w:val="16"/>
                <w:szCs w:val="16"/>
              </w:rPr>
              <w:t>u</w:t>
            </w:r>
            <w:r w:rsidR="00753981" w:rsidRPr="003B6EEA">
              <w:rPr>
                <w:rFonts w:asciiTheme="minorHAnsi" w:hAnsiTheme="minorHAnsi"/>
                <w:sz w:val="16"/>
                <w:szCs w:val="16"/>
              </w:rPr>
              <w:t xml:space="preserve"> v prvních dnech</w:t>
            </w:r>
            <w:r w:rsidR="00B421CD" w:rsidRPr="003B6EEA">
              <w:rPr>
                <w:rFonts w:asciiTheme="minorHAnsi" w:hAnsiTheme="minorHAnsi"/>
                <w:sz w:val="16"/>
                <w:szCs w:val="16"/>
              </w:rPr>
              <w:t xml:space="preserve"> až týdnech úvodní analýzy s projektovým manažerem</w:t>
            </w:r>
            <w:r w:rsidR="00753981" w:rsidRPr="003B6EEA">
              <w:rPr>
                <w:rFonts w:asciiTheme="minorHAnsi" w:hAnsiTheme="minorHAnsi"/>
                <w:sz w:val="16"/>
                <w:szCs w:val="16"/>
              </w:rPr>
              <w:t>,</w:t>
            </w:r>
            <w:r w:rsidRPr="003B6EEA">
              <w:rPr>
                <w:rFonts w:asciiTheme="minorHAnsi" w:hAnsiTheme="minorHAnsi"/>
                <w:sz w:val="16"/>
                <w:szCs w:val="16"/>
              </w:rPr>
              <w:t xml:space="preserve"> v průběhu kterých </w:t>
            </w:r>
            <w:r w:rsidR="00B421CD" w:rsidRPr="003B6EEA">
              <w:rPr>
                <w:rFonts w:asciiTheme="minorHAnsi" w:hAnsiTheme="minorHAnsi"/>
                <w:sz w:val="16"/>
                <w:szCs w:val="16"/>
              </w:rPr>
              <w:t>probíhá</w:t>
            </w:r>
            <w:r w:rsidRPr="003B6EEA">
              <w:rPr>
                <w:rFonts w:asciiTheme="minorHAnsi" w:hAnsiTheme="minorHAnsi"/>
                <w:sz w:val="16"/>
                <w:szCs w:val="16"/>
              </w:rPr>
              <w:t xml:space="preserve"> detailní mapování a popis pracovního postupu. Následně se předpokládá </w:t>
            </w:r>
            <w:r w:rsidR="00B421CD" w:rsidRPr="003B6EEA">
              <w:rPr>
                <w:rFonts w:asciiTheme="minorHAnsi" w:hAnsiTheme="minorHAnsi"/>
                <w:sz w:val="16"/>
                <w:szCs w:val="16"/>
              </w:rPr>
              <w:t xml:space="preserve">další reakční čas </w:t>
            </w:r>
            <w:r w:rsidRPr="003B6EEA">
              <w:rPr>
                <w:rFonts w:asciiTheme="minorHAnsi" w:hAnsiTheme="minorHAnsi"/>
                <w:sz w:val="16"/>
                <w:szCs w:val="16"/>
              </w:rPr>
              <w:t xml:space="preserve">pro validaci procesních map. V následující dnech </w:t>
            </w:r>
            <w:r w:rsidR="00B421CD" w:rsidRPr="003B6EEA">
              <w:rPr>
                <w:rFonts w:asciiTheme="minorHAnsi" w:hAnsiTheme="minorHAnsi"/>
                <w:sz w:val="16"/>
                <w:szCs w:val="16"/>
              </w:rPr>
              <w:t xml:space="preserve">a týdnech </w:t>
            </w:r>
            <w:r w:rsidRPr="003B6EEA">
              <w:rPr>
                <w:rFonts w:asciiTheme="minorHAnsi" w:hAnsiTheme="minorHAnsi"/>
                <w:sz w:val="16"/>
                <w:szCs w:val="16"/>
              </w:rPr>
              <w:t xml:space="preserve">vývojové fáze </w:t>
            </w:r>
            <w:r w:rsidR="00B421CD" w:rsidRPr="003B6EEA">
              <w:rPr>
                <w:rFonts w:asciiTheme="minorHAnsi" w:hAnsiTheme="minorHAnsi"/>
                <w:sz w:val="16"/>
                <w:szCs w:val="16"/>
              </w:rPr>
              <w:t>je nutné počítat s</w:t>
            </w:r>
            <w:r w:rsidR="006C25C9" w:rsidRPr="003B6EEA">
              <w:rPr>
                <w:rFonts w:asciiTheme="minorHAnsi" w:hAnsiTheme="minorHAnsi"/>
                <w:sz w:val="16"/>
                <w:szCs w:val="16"/>
              </w:rPr>
              <w:t>e</w:t>
            </w:r>
            <w:r w:rsidR="00B421CD" w:rsidRPr="003B6EEA">
              <w:rPr>
                <w:rFonts w:asciiTheme="minorHAnsi" w:hAnsiTheme="minorHAnsi"/>
                <w:sz w:val="16"/>
                <w:szCs w:val="16"/>
              </w:rPr>
              <w:t xml:space="preserve"> zapojením IT oddělení Zadavatele a časem</w:t>
            </w:r>
            <w:r w:rsidRPr="003B6EEA">
              <w:rPr>
                <w:rFonts w:asciiTheme="minorHAnsi" w:hAnsiTheme="minorHAnsi"/>
                <w:sz w:val="16"/>
                <w:szCs w:val="16"/>
              </w:rPr>
              <w:t xml:space="preserve"> potřebný</w:t>
            </w:r>
            <w:r w:rsidR="00B421CD" w:rsidRPr="003B6EEA">
              <w:rPr>
                <w:rFonts w:asciiTheme="minorHAnsi" w:hAnsiTheme="minorHAnsi"/>
                <w:sz w:val="16"/>
                <w:szCs w:val="16"/>
              </w:rPr>
              <w:t>m</w:t>
            </w:r>
            <w:r w:rsidRPr="003B6EEA">
              <w:rPr>
                <w:rFonts w:asciiTheme="minorHAnsi" w:hAnsiTheme="minorHAnsi"/>
                <w:sz w:val="16"/>
                <w:szCs w:val="16"/>
              </w:rPr>
              <w:t xml:space="preserve"> k ad hoc konzultacím s vývojáři pro vyjasnění případný</w:t>
            </w:r>
            <w:r w:rsidR="00753981" w:rsidRPr="003B6EEA">
              <w:rPr>
                <w:rFonts w:asciiTheme="minorHAnsi" w:hAnsiTheme="minorHAnsi"/>
                <w:sz w:val="16"/>
                <w:szCs w:val="16"/>
              </w:rPr>
              <w:t>c</w:t>
            </w:r>
            <w:r w:rsidRPr="003B6EEA">
              <w:rPr>
                <w:rFonts w:asciiTheme="minorHAnsi" w:hAnsiTheme="minorHAnsi"/>
                <w:sz w:val="16"/>
                <w:szCs w:val="16"/>
              </w:rPr>
              <w:t xml:space="preserve">h nejasností. V poslední fázi se předpokládá </w:t>
            </w:r>
            <w:r w:rsidR="006C25C9" w:rsidRPr="003B6EEA">
              <w:rPr>
                <w:rFonts w:asciiTheme="minorHAnsi" w:hAnsiTheme="minorHAnsi"/>
                <w:sz w:val="16"/>
                <w:szCs w:val="16"/>
              </w:rPr>
              <w:t xml:space="preserve">nutná časová dotace pro </w:t>
            </w:r>
            <w:r w:rsidRPr="003B6EEA">
              <w:rPr>
                <w:rFonts w:asciiTheme="minorHAnsi" w:hAnsiTheme="minorHAnsi"/>
                <w:sz w:val="16"/>
                <w:szCs w:val="16"/>
              </w:rPr>
              <w:t xml:space="preserve">testování robotické automatizace na reálných scénářích. V případě směsných poměrů lze pro testování využít již hotových tabulek s výpočty. </w:t>
            </w:r>
            <w:r w:rsidR="006C25C9" w:rsidRPr="003B6EEA">
              <w:rPr>
                <w:rFonts w:asciiTheme="minorHAnsi" w:hAnsiTheme="minorHAnsi"/>
                <w:sz w:val="16"/>
                <w:szCs w:val="16"/>
              </w:rPr>
              <w:t xml:space="preserve">Proces spojený s provedením Proof of Concept bude časově méně náročný, než samotné vytvoření a nasazení RPA, které z PoC vychází. </w:t>
            </w:r>
          </w:p>
          <w:p w14:paraId="5E1FC8B1" w14:textId="1FC4F0BB"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Při nasazení robotizace je nicméně nutné proškolit pracovníky, informovat o</w:t>
            </w:r>
            <w:r w:rsidR="00C61330" w:rsidRPr="003B6EEA">
              <w:rPr>
                <w:rFonts w:asciiTheme="minorHAnsi" w:hAnsiTheme="minorHAnsi"/>
                <w:sz w:val="16"/>
                <w:szCs w:val="16"/>
              </w:rPr>
              <w:t> </w:t>
            </w:r>
            <w:r w:rsidRPr="003B6EEA">
              <w:rPr>
                <w:rFonts w:asciiTheme="minorHAnsi" w:hAnsiTheme="minorHAnsi"/>
                <w:sz w:val="16"/>
                <w:szCs w:val="16"/>
              </w:rPr>
              <w:t xml:space="preserve">novém způsobu práce. Během vývoje je nutné také zřídit přístupy a licence robotické automatizace. </w:t>
            </w:r>
          </w:p>
        </w:tc>
      </w:tr>
      <w:tr w:rsidR="00EB2730" w:rsidRPr="001F5B37" w14:paraId="7E809898" w14:textId="77777777" w:rsidTr="003F2002">
        <w:tc>
          <w:tcPr>
            <w:cnfStyle w:val="001000000000" w:firstRow="0" w:lastRow="0" w:firstColumn="1" w:lastColumn="0" w:oddVBand="0" w:evenVBand="0" w:oddHBand="0" w:evenHBand="0" w:firstRowFirstColumn="0" w:firstRowLastColumn="0" w:lastRowFirstColumn="0" w:lastRowLastColumn="0"/>
            <w:tcW w:w="1056" w:type="pct"/>
            <w:tcBorders>
              <w:top w:val="single" w:sz="4" w:space="0" w:color="FFFFFF" w:themeColor="background1"/>
              <w:left w:val="none" w:sz="0" w:space="0" w:color="auto"/>
              <w:bottom w:val="single" w:sz="4" w:space="0" w:color="FFFFFF" w:themeColor="background1"/>
            </w:tcBorders>
          </w:tcPr>
          <w:p w14:paraId="683EA799" w14:textId="77777777" w:rsidR="00EB2730" w:rsidRPr="003B6EEA" w:rsidRDefault="00EB2730"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 xml:space="preserve">Legislativní a metodická úprava </w:t>
            </w:r>
          </w:p>
        </w:tc>
        <w:tc>
          <w:tcPr>
            <w:tcW w:w="3938" w:type="pct"/>
            <w:shd w:val="clear" w:color="auto" w:fill="auto"/>
          </w:tcPr>
          <w:p w14:paraId="46B08F91" w14:textId="77777777"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Opatření </w:t>
            </w:r>
            <w:r w:rsidRPr="003B6EEA">
              <w:rPr>
                <w:rFonts w:asciiTheme="minorHAnsi" w:hAnsiTheme="minorHAnsi"/>
                <w:b/>
                <w:sz w:val="16"/>
                <w:szCs w:val="16"/>
              </w:rPr>
              <w:t>nevede ke změně metodické úpravy</w:t>
            </w:r>
            <w:r w:rsidRPr="003B6EEA">
              <w:rPr>
                <w:rFonts w:asciiTheme="minorHAnsi" w:hAnsiTheme="minorHAnsi"/>
                <w:sz w:val="16"/>
                <w:szCs w:val="16"/>
              </w:rPr>
              <w:t xml:space="preserve"> postupu výpočtu samotného procesu směsných poměrů. V tomto směru není nutná žádná změna metodik. Změna metodik se bude týkat samotného využití robotického řešení, které lze upravit v příslušných kapitolách OM OP PIK a MIP API. </w:t>
            </w:r>
          </w:p>
        </w:tc>
      </w:tr>
      <w:tr w:rsidR="00EB2730" w:rsidRPr="001F5B37" w14:paraId="3BADEFBD"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single" w:sz="4" w:space="0" w:color="FFFFFF" w:themeColor="background1"/>
              <w:left w:val="none" w:sz="0" w:space="0" w:color="auto"/>
              <w:bottom w:val="single" w:sz="4" w:space="0" w:color="FFFFFF" w:themeColor="background1"/>
            </w:tcBorders>
          </w:tcPr>
          <w:p w14:paraId="266B0724" w14:textId="5DDB7BD6" w:rsidR="00EB2730" w:rsidRPr="003B6EEA" w:rsidRDefault="00EB2730" w:rsidP="003F2002">
            <w:pPr>
              <w:pStyle w:val="BodyText1"/>
              <w:spacing w:after="120" w:line="240" w:lineRule="auto"/>
              <w:ind w:right="112"/>
              <w:rPr>
                <w:rFonts w:asciiTheme="minorHAnsi" w:hAnsiTheme="minorHAnsi"/>
                <w:sz w:val="16"/>
                <w:szCs w:val="16"/>
              </w:rPr>
            </w:pPr>
            <w:r w:rsidRPr="003B6EEA">
              <w:rPr>
                <w:rFonts w:asciiTheme="minorHAnsi" w:hAnsiTheme="minorHAnsi"/>
                <w:color w:val="FFFFFF" w:themeColor="background1"/>
                <w:sz w:val="16"/>
                <w:szCs w:val="16"/>
              </w:rPr>
              <w:t>Časová a finanční náročnost zavedení opatření pro žadatele/příjemce</w:t>
            </w:r>
          </w:p>
        </w:tc>
        <w:tc>
          <w:tcPr>
            <w:tcW w:w="3938" w:type="pct"/>
            <w:shd w:val="clear" w:color="auto" w:fill="auto"/>
          </w:tcPr>
          <w:p w14:paraId="72FDB6BC" w14:textId="697F353C"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opatření je spojeno s finanční investicí do vývoje robotické automatizace procesu. Na základě předběžné kalkulace oddělení </w:t>
            </w:r>
            <w:r w:rsidR="00753981" w:rsidRPr="003B6EEA">
              <w:rPr>
                <w:rFonts w:asciiTheme="minorHAnsi" w:hAnsiTheme="minorHAnsi"/>
                <w:sz w:val="16"/>
                <w:szCs w:val="16"/>
              </w:rPr>
              <w:t xml:space="preserve">Strategy and Operations – Robotics </w:t>
            </w:r>
            <w:r w:rsidR="00894443" w:rsidRPr="003B6EEA">
              <w:rPr>
                <w:rFonts w:asciiTheme="minorHAnsi" w:hAnsiTheme="minorHAnsi"/>
                <w:sz w:val="16"/>
                <w:szCs w:val="16"/>
              </w:rPr>
              <w:t>Zpracovatele</w:t>
            </w:r>
            <w:r w:rsidRPr="003B6EEA">
              <w:rPr>
                <w:rFonts w:asciiTheme="minorHAnsi" w:hAnsiTheme="minorHAnsi"/>
                <w:sz w:val="16"/>
                <w:szCs w:val="16"/>
              </w:rPr>
              <w:t xml:space="preserve"> se specializací na robotické automatizace může investice do robotiky být odhadována následovně:</w:t>
            </w:r>
          </w:p>
          <w:p w14:paraId="0A582F27" w14:textId="25ACD57A" w:rsidR="00EB2730" w:rsidRPr="003B6EEA" w:rsidRDefault="00753981" w:rsidP="003F2002">
            <w:pPr>
              <w:pStyle w:val="BodyText1"/>
              <w:numPr>
                <w:ilvl w:val="0"/>
                <w:numId w:val="39"/>
              </w:numPr>
              <w:spacing w:after="120" w:line="240" w:lineRule="auto"/>
              <w:ind w:left="438"/>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Provedení</w:t>
            </w:r>
            <w:r w:rsidR="00EB2730" w:rsidRPr="003B6EEA">
              <w:rPr>
                <w:rFonts w:asciiTheme="minorHAnsi" w:hAnsiTheme="minorHAnsi"/>
                <w:sz w:val="16"/>
                <w:szCs w:val="16"/>
              </w:rPr>
              <w:t xml:space="preserve"> </w:t>
            </w:r>
            <w:r w:rsidR="004B4F24">
              <w:rPr>
                <w:rFonts w:asciiTheme="minorHAnsi" w:hAnsiTheme="minorHAnsi"/>
                <w:b/>
                <w:sz w:val="16"/>
                <w:szCs w:val="16"/>
              </w:rPr>
              <w:t>P</w:t>
            </w:r>
            <w:r w:rsidR="00EB2730" w:rsidRPr="003B6EEA">
              <w:rPr>
                <w:rFonts w:asciiTheme="minorHAnsi" w:hAnsiTheme="minorHAnsi"/>
                <w:b/>
                <w:sz w:val="16"/>
                <w:szCs w:val="16"/>
              </w:rPr>
              <w:t xml:space="preserve">roof of </w:t>
            </w:r>
            <w:r w:rsidR="004B4F24">
              <w:rPr>
                <w:rFonts w:asciiTheme="minorHAnsi" w:hAnsiTheme="minorHAnsi"/>
                <w:b/>
                <w:sz w:val="16"/>
                <w:szCs w:val="16"/>
              </w:rPr>
              <w:t>C</w:t>
            </w:r>
            <w:r w:rsidR="00EB2730" w:rsidRPr="003B6EEA">
              <w:rPr>
                <w:rFonts w:asciiTheme="minorHAnsi" w:hAnsiTheme="minorHAnsi"/>
                <w:b/>
                <w:sz w:val="16"/>
                <w:szCs w:val="16"/>
              </w:rPr>
              <w:t>oncept</w:t>
            </w:r>
            <w:r w:rsidR="00EB2730" w:rsidRPr="003B6EEA">
              <w:rPr>
                <w:rFonts w:asciiTheme="minorHAnsi" w:hAnsiTheme="minorHAnsi"/>
                <w:sz w:val="16"/>
                <w:szCs w:val="16"/>
              </w:rPr>
              <w:t xml:space="preserve"> řešení s dílčími </w:t>
            </w:r>
            <w:r w:rsidRPr="003B6EEA">
              <w:rPr>
                <w:rFonts w:asciiTheme="minorHAnsi" w:hAnsiTheme="minorHAnsi"/>
                <w:sz w:val="16"/>
                <w:szCs w:val="16"/>
              </w:rPr>
              <w:t>kroky robotické automatizace – 3</w:t>
            </w:r>
            <w:r w:rsidR="00EB2730" w:rsidRPr="003B6EEA">
              <w:rPr>
                <w:rFonts w:asciiTheme="minorHAnsi" w:hAnsiTheme="minorHAnsi"/>
                <w:sz w:val="16"/>
                <w:szCs w:val="16"/>
              </w:rPr>
              <w:t>00 000 Kč</w:t>
            </w:r>
            <w:r w:rsidR="00F63B2F" w:rsidRPr="003B6EEA">
              <w:rPr>
                <w:rFonts w:asciiTheme="minorHAnsi" w:hAnsiTheme="minorHAnsi"/>
                <w:sz w:val="16"/>
                <w:szCs w:val="16"/>
              </w:rPr>
              <w:t>;</w:t>
            </w:r>
          </w:p>
          <w:p w14:paraId="7415B186" w14:textId="317DA534" w:rsidR="00EB2730" w:rsidRPr="003B6EEA" w:rsidRDefault="00EB2730" w:rsidP="003F2002">
            <w:pPr>
              <w:pStyle w:val="BodyText1"/>
              <w:numPr>
                <w:ilvl w:val="0"/>
                <w:numId w:val="39"/>
              </w:numPr>
              <w:spacing w:after="120" w:line="240" w:lineRule="auto"/>
              <w:ind w:left="438"/>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Vytvoření </w:t>
            </w:r>
            <w:r w:rsidRPr="003B6EEA">
              <w:rPr>
                <w:rFonts w:asciiTheme="minorHAnsi" w:hAnsiTheme="minorHAnsi"/>
                <w:b/>
                <w:sz w:val="16"/>
                <w:szCs w:val="16"/>
              </w:rPr>
              <w:t>plné verze robotické automatizace</w:t>
            </w:r>
            <w:r w:rsidRPr="003B6EEA">
              <w:rPr>
                <w:rFonts w:asciiTheme="minorHAnsi" w:hAnsiTheme="minorHAnsi"/>
                <w:sz w:val="16"/>
                <w:szCs w:val="16"/>
              </w:rPr>
              <w:t xml:space="preserve"> procesu výpočtu směsných nákladů </w:t>
            </w:r>
            <w:r w:rsidR="00F63B2F" w:rsidRPr="003B6EEA">
              <w:rPr>
                <w:rFonts w:asciiTheme="minorHAnsi" w:hAnsiTheme="minorHAnsi"/>
                <w:sz w:val="16"/>
                <w:szCs w:val="16"/>
              </w:rPr>
              <w:t>je finančně náročnější</w:t>
            </w:r>
            <w:r w:rsidR="00894443" w:rsidRPr="003B6EEA">
              <w:rPr>
                <w:rFonts w:asciiTheme="minorHAnsi" w:hAnsiTheme="minorHAnsi"/>
                <w:sz w:val="16"/>
                <w:szCs w:val="16"/>
              </w:rPr>
              <w:t xml:space="preserve"> a lze upřesnit po provedení PoC.</w:t>
            </w:r>
          </w:p>
          <w:p w14:paraId="14592A06" w14:textId="62D25D7B" w:rsidR="00EB2730" w:rsidRPr="003B6EEA" w:rsidRDefault="00EB2730"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opatření není spojeno s časovou nebo finanční náročností na příjemce podpory. Pozitivním dopadem je urychlení schvalování a proplácení </w:t>
            </w:r>
            <w:r w:rsidR="00825645" w:rsidRPr="003B6EEA">
              <w:rPr>
                <w:rFonts w:asciiTheme="minorHAnsi" w:hAnsiTheme="minorHAnsi"/>
                <w:sz w:val="16"/>
                <w:szCs w:val="16"/>
              </w:rPr>
              <w:t>ŽoPl</w:t>
            </w:r>
            <w:r w:rsidRPr="003B6EEA">
              <w:rPr>
                <w:rFonts w:asciiTheme="minorHAnsi" w:hAnsiTheme="minorHAnsi"/>
                <w:sz w:val="16"/>
                <w:szCs w:val="16"/>
              </w:rPr>
              <w:t xml:space="preserve">. </w:t>
            </w:r>
          </w:p>
        </w:tc>
      </w:tr>
      <w:tr w:rsidR="00EB2730" w:rsidRPr="001F5B37" w14:paraId="09DDBA77" w14:textId="77777777" w:rsidTr="003F2002">
        <w:tc>
          <w:tcPr>
            <w:cnfStyle w:val="001000000000" w:firstRow="0" w:lastRow="0" w:firstColumn="1" w:lastColumn="0" w:oddVBand="0" w:evenVBand="0" w:oddHBand="0" w:evenHBand="0" w:firstRowFirstColumn="0" w:firstRowLastColumn="0" w:lastRowFirstColumn="0" w:lastRowLastColumn="0"/>
            <w:tcW w:w="1056" w:type="pct"/>
            <w:tcBorders>
              <w:top w:val="single" w:sz="4" w:space="0" w:color="FFFFFF" w:themeColor="background1"/>
              <w:left w:val="none" w:sz="0" w:space="0" w:color="auto"/>
              <w:bottom w:val="single" w:sz="4" w:space="0" w:color="FFFFFF" w:themeColor="background1"/>
            </w:tcBorders>
          </w:tcPr>
          <w:p w14:paraId="1AD2EB0C" w14:textId="77777777" w:rsidR="00EB2730" w:rsidRPr="003B6EEA" w:rsidRDefault="00EB2730"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Rizika plynoucí z nezavedení opatření</w:t>
            </w:r>
          </w:p>
        </w:tc>
        <w:tc>
          <w:tcPr>
            <w:tcW w:w="3938" w:type="pct"/>
            <w:shd w:val="clear" w:color="auto" w:fill="auto"/>
          </w:tcPr>
          <w:p w14:paraId="288FE67B" w14:textId="64526438"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Zásadním rizikem nezavedení opatření je pokračující tendence nedodržování termínů. Pokračující 2 měsíční zpoždění v administraci </w:t>
            </w:r>
            <w:r w:rsidR="00825645" w:rsidRPr="003B6EEA">
              <w:rPr>
                <w:rFonts w:asciiTheme="minorHAnsi" w:hAnsiTheme="minorHAnsi"/>
                <w:sz w:val="16"/>
                <w:szCs w:val="16"/>
              </w:rPr>
              <w:t>ŽoPl</w:t>
            </w:r>
            <w:r w:rsidRPr="003B6EEA">
              <w:rPr>
                <w:rFonts w:asciiTheme="minorHAnsi" w:hAnsiTheme="minorHAnsi"/>
                <w:sz w:val="16"/>
                <w:szCs w:val="16"/>
              </w:rPr>
              <w:t xml:space="preserve">. </w:t>
            </w:r>
          </w:p>
          <w:p w14:paraId="3389BC39" w14:textId="72865EE4"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Dalším rizikem je chybovost při manuálních postupech posílená nedostatečnou kontrolou. </w:t>
            </w:r>
          </w:p>
          <w:p w14:paraId="4606B1BF" w14:textId="3D802A1D"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Rizikem pro příjemce podpory je pozdní proplácení </w:t>
            </w:r>
            <w:r w:rsidR="00825645" w:rsidRPr="1B8B314C">
              <w:rPr>
                <w:rFonts w:asciiTheme="minorHAnsi" w:hAnsiTheme="minorHAnsi"/>
                <w:sz w:val="16"/>
                <w:szCs w:val="16"/>
              </w:rPr>
              <w:t>ŽoPl</w:t>
            </w:r>
            <w:r w:rsidRPr="1B8B314C">
              <w:rPr>
                <w:rFonts w:asciiTheme="minorHAnsi" w:hAnsiTheme="minorHAnsi"/>
                <w:sz w:val="16"/>
                <w:szCs w:val="16"/>
              </w:rPr>
              <w:t>, problémy s případným cash-flow, vysoké a nečekané krácení Z</w:t>
            </w:r>
            <w:r w:rsidR="00825645" w:rsidRPr="1B8B314C">
              <w:rPr>
                <w:rFonts w:asciiTheme="minorHAnsi" w:hAnsiTheme="minorHAnsi"/>
                <w:sz w:val="16"/>
                <w:szCs w:val="16"/>
              </w:rPr>
              <w:t>ŽoPl</w:t>
            </w:r>
            <w:r w:rsidRPr="1B8B314C">
              <w:rPr>
                <w:rFonts w:asciiTheme="minorHAnsi" w:hAnsiTheme="minorHAnsi"/>
                <w:sz w:val="16"/>
                <w:szCs w:val="16"/>
              </w:rPr>
              <w:t xml:space="preserve">. </w:t>
            </w:r>
          </w:p>
        </w:tc>
      </w:tr>
      <w:tr w:rsidR="00EB2730" w:rsidRPr="001F5B37" w14:paraId="5E603AE6"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single" w:sz="4" w:space="0" w:color="FFFFFF" w:themeColor="background1"/>
              <w:left w:val="none" w:sz="0" w:space="0" w:color="auto"/>
              <w:bottom w:val="single" w:sz="4" w:space="0" w:color="FFFFFF" w:themeColor="background1"/>
            </w:tcBorders>
          </w:tcPr>
          <w:p w14:paraId="1A47250D" w14:textId="77777777" w:rsidR="00EB2730" w:rsidRPr="003B6EEA" w:rsidRDefault="00EB2730"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Rizika plynoucí ze zavedení opatření</w:t>
            </w:r>
          </w:p>
        </w:tc>
        <w:tc>
          <w:tcPr>
            <w:tcW w:w="3938" w:type="pct"/>
            <w:shd w:val="clear" w:color="auto" w:fill="auto"/>
          </w:tcPr>
          <w:p w14:paraId="36651194" w14:textId="0ACB5514" w:rsidR="00EB2730" w:rsidRPr="003B6EEA" w:rsidRDefault="00263ED6"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U RPA nelze předpokládat zpracování</w:t>
            </w:r>
            <w:r w:rsidR="00894443" w:rsidRPr="003B6EEA">
              <w:rPr>
                <w:rFonts w:asciiTheme="minorHAnsi" w:hAnsiTheme="minorHAnsi"/>
                <w:sz w:val="16"/>
                <w:szCs w:val="16"/>
              </w:rPr>
              <w:t xml:space="preserve"> 100 % případů, vždy budou existo</w:t>
            </w:r>
            <w:r w:rsidRPr="003B6EEA">
              <w:rPr>
                <w:rFonts w:asciiTheme="minorHAnsi" w:hAnsiTheme="minorHAnsi"/>
                <w:sz w:val="16"/>
                <w:szCs w:val="16"/>
              </w:rPr>
              <w:t>vat výjimky případů, které je nutné zpracovat manuálně. Zároveň existuje riziko při změně metodiky postupu, která si vyžádá i změnu RPA. Nicméně na základě zkušeností oddělení Robotics Zpracovatele je možné těmto rizikům předcházet detailní analýzou procesů, intenzivní komunikací s</w:t>
            </w:r>
            <w:r w:rsidR="00F63B2F" w:rsidRPr="003B6EEA">
              <w:rPr>
                <w:rFonts w:asciiTheme="minorHAnsi" w:hAnsiTheme="minorHAnsi"/>
                <w:sz w:val="16"/>
                <w:szCs w:val="16"/>
              </w:rPr>
              <w:t> </w:t>
            </w:r>
            <w:r w:rsidRPr="003B6EEA">
              <w:rPr>
                <w:rFonts w:asciiTheme="minorHAnsi" w:hAnsiTheme="minorHAnsi"/>
                <w:sz w:val="16"/>
                <w:szCs w:val="16"/>
              </w:rPr>
              <w:t>klientem</w:t>
            </w:r>
            <w:r w:rsidR="00F63B2F" w:rsidRPr="003B6EEA">
              <w:rPr>
                <w:rFonts w:asciiTheme="minorHAnsi" w:hAnsiTheme="minorHAnsi"/>
                <w:sz w:val="16"/>
                <w:szCs w:val="16"/>
              </w:rPr>
              <w:t>,</w:t>
            </w:r>
            <w:r w:rsidRPr="003B6EEA">
              <w:rPr>
                <w:rFonts w:asciiTheme="minorHAnsi" w:hAnsiTheme="minorHAnsi"/>
                <w:sz w:val="16"/>
                <w:szCs w:val="16"/>
              </w:rPr>
              <w:t xml:space="preserve"> sdílením informací</w:t>
            </w:r>
            <w:r w:rsidR="00F63B2F" w:rsidRPr="003B6EEA">
              <w:rPr>
                <w:rFonts w:asciiTheme="minorHAnsi" w:hAnsiTheme="minorHAnsi"/>
                <w:sz w:val="16"/>
                <w:szCs w:val="16"/>
              </w:rPr>
              <w:t>,</w:t>
            </w:r>
            <w:r w:rsidR="00894443" w:rsidRPr="003B6EEA">
              <w:rPr>
                <w:rFonts w:asciiTheme="minorHAnsi" w:hAnsiTheme="minorHAnsi"/>
                <w:sz w:val="16"/>
                <w:szCs w:val="16"/>
              </w:rPr>
              <w:t xml:space="preserve"> správn</w:t>
            </w:r>
            <w:r w:rsidR="00F63B2F" w:rsidRPr="003B6EEA">
              <w:rPr>
                <w:rFonts w:asciiTheme="minorHAnsi" w:hAnsiTheme="minorHAnsi"/>
                <w:sz w:val="16"/>
                <w:szCs w:val="16"/>
              </w:rPr>
              <w:t>ým</w:t>
            </w:r>
            <w:r w:rsidR="00894443" w:rsidRPr="003B6EEA">
              <w:rPr>
                <w:rFonts w:asciiTheme="minorHAnsi" w:hAnsiTheme="minorHAnsi"/>
                <w:sz w:val="16"/>
                <w:szCs w:val="16"/>
              </w:rPr>
              <w:t xml:space="preserve"> nastavení</w:t>
            </w:r>
            <w:r w:rsidR="00F63B2F" w:rsidRPr="003B6EEA">
              <w:rPr>
                <w:rFonts w:asciiTheme="minorHAnsi" w:hAnsiTheme="minorHAnsi"/>
                <w:sz w:val="16"/>
                <w:szCs w:val="16"/>
              </w:rPr>
              <w:t>m governance a o</w:t>
            </w:r>
            <w:r w:rsidR="00894443" w:rsidRPr="003B6EEA">
              <w:rPr>
                <w:rFonts w:asciiTheme="minorHAnsi" w:hAnsiTheme="minorHAnsi"/>
                <w:sz w:val="16"/>
                <w:szCs w:val="16"/>
              </w:rPr>
              <w:t>p</w:t>
            </w:r>
            <w:r w:rsidR="00F63B2F" w:rsidRPr="003B6EEA">
              <w:rPr>
                <w:rFonts w:asciiTheme="minorHAnsi" w:hAnsiTheme="minorHAnsi"/>
                <w:sz w:val="16"/>
                <w:szCs w:val="16"/>
              </w:rPr>
              <w:t>eračního mode</w:t>
            </w:r>
            <w:r w:rsidR="00894443" w:rsidRPr="003B6EEA">
              <w:rPr>
                <w:rFonts w:asciiTheme="minorHAnsi" w:hAnsiTheme="minorHAnsi"/>
                <w:sz w:val="16"/>
                <w:szCs w:val="16"/>
              </w:rPr>
              <w:t xml:space="preserve">lu. </w:t>
            </w:r>
          </w:p>
        </w:tc>
      </w:tr>
      <w:tr w:rsidR="00EB2730" w:rsidRPr="001F5B37" w14:paraId="77B0493C" w14:textId="77777777" w:rsidTr="003F2002">
        <w:tc>
          <w:tcPr>
            <w:cnfStyle w:val="001000000000" w:firstRow="0" w:lastRow="0" w:firstColumn="1" w:lastColumn="0" w:oddVBand="0" w:evenVBand="0" w:oddHBand="0" w:evenHBand="0" w:firstRowFirstColumn="0" w:firstRowLastColumn="0" w:lastRowFirstColumn="0" w:lastRowLastColumn="0"/>
            <w:tcW w:w="1056" w:type="pct"/>
            <w:tcBorders>
              <w:top w:val="single" w:sz="4" w:space="0" w:color="FFFFFF" w:themeColor="background1"/>
              <w:left w:val="none" w:sz="0" w:space="0" w:color="auto"/>
              <w:bottom w:val="none" w:sz="0" w:space="0" w:color="auto"/>
            </w:tcBorders>
          </w:tcPr>
          <w:p w14:paraId="2CC0651E" w14:textId="27F34C29" w:rsidR="00EB2730" w:rsidRPr="003B6EEA" w:rsidRDefault="00EB2730"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Personální zod</w:t>
            </w:r>
            <w:r w:rsidR="00627E55">
              <w:rPr>
                <w:rFonts w:asciiTheme="minorHAnsi" w:hAnsiTheme="minorHAnsi"/>
                <w:color w:val="FFFFFF" w:themeColor="background1"/>
                <w:sz w:val="16"/>
                <w:szCs w:val="16"/>
              </w:rPr>
              <w:t>po</w:t>
            </w:r>
            <w:r w:rsidRPr="003B6EEA">
              <w:rPr>
                <w:rFonts w:asciiTheme="minorHAnsi" w:hAnsiTheme="minorHAnsi"/>
                <w:color w:val="FFFFFF" w:themeColor="background1"/>
                <w:sz w:val="16"/>
                <w:szCs w:val="16"/>
              </w:rPr>
              <w:t xml:space="preserve">vědnost za zavedení opatření </w:t>
            </w:r>
          </w:p>
        </w:tc>
        <w:tc>
          <w:tcPr>
            <w:tcW w:w="3938" w:type="pct"/>
            <w:shd w:val="clear" w:color="auto" w:fill="auto"/>
          </w:tcPr>
          <w:p w14:paraId="6BF40863" w14:textId="77777777"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 zavedení opatření je zodpovědný primárně ŘO, v jehož gesci jsou finanční prostředky pro financování vývoje robotického řešení. </w:t>
            </w:r>
          </w:p>
          <w:p w14:paraId="0BF2ABAA" w14:textId="77777777" w:rsidR="00EB2730" w:rsidRPr="003B6EEA" w:rsidRDefault="00EB273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Následně je v gesci pracovníků API implementace samotného řešení, především na úrovni jednotlivých PM a jejich nadřízených. </w:t>
            </w:r>
          </w:p>
        </w:tc>
      </w:tr>
    </w:tbl>
    <w:p w14:paraId="7ED4616B" w14:textId="77777777" w:rsidR="007842A7" w:rsidRDefault="007842A7" w:rsidP="00EB2730">
      <w:pPr>
        <w:jc w:val="both"/>
      </w:pPr>
    </w:p>
    <w:p w14:paraId="6FDB1F02" w14:textId="697C4D4A" w:rsidR="00EB2730" w:rsidRDefault="007842A7" w:rsidP="007842A7">
      <w:pPr>
        <w:pStyle w:val="Heading2"/>
      </w:pPr>
      <w:bookmarkStart w:id="26" w:name="_Toc52532091"/>
      <w:r>
        <w:t>Optimalizační opatření č.</w:t>
      </w:r>
      <w:r w:rsidR="00117125">
        <w:t xml:space="preserve"> </w:t>
      </w:r>
      <w:r>
        <w:t>3: Úprava podmínek výběrových řízení na dodavatele</w:t>
      </w:r>
      <w:bookmarkEnd w:id="26"/>
      <w:r w:rsidR="00EB2730">
        <w:t xml:space="preserve"> </w:t>
      </w:r>
    </w:p>
    <w:p w14:paraId="77324F05" w14:textId="34DF0CE8" w:rsidR="007842A7" w:rsidRDefault="00555A39" w:rsidP="00EB2730">
      <w:pPr>
        <w:jc w:val="both"/>
      </w:pPr>
      <w:r>
        <w:t>Opatření na navýšení finančních limitů se z pohledu zprostředkujícího subjektu jeví jako nejpřijatelnější a</w:t>
      </w:r>
      <w:r w:rsidR="00C61330">
        <w:t> </w:t>
      </w:r>
      <w:r>
        <w:t xml:space="preserve">nejjednodušší varianta, s minimálním množstvím komplikací a administrativní zátěží. </w:t>
      </w:r>
      <w:r w:rsidR="006715BB">
        <w:t xml:space="preserve">Na základě </w:t>
      </w:r>
      <w:r w:rsidR="006715BB">
        <w:lastRenderedPageBreak/>
        <w:t xml:space="preserve">rozhovorů se zástupci MMR-NOK je velmi nepravděpodobné, že by v následujících letech i příštím programovém období mohlo dojít k navyšování limitů pro postup dle PpVD či zákona o zadávání veřejných zakázek. Přesto má následující návrh za cíl přednést argumenty, jakých dopadů by bylo při uvedeném navýšení možné dosáhnout. </w:t>
      </w:r>
      <w:r w:rsidR="00347660">
        <w:t xml:space="preserve">Zároveň není vhodné uvažovat u např. zrušení VŘ u projektů s dotační podporou 35 % a méně. V řadě případů se totiž jedná o velké podniky s poměrně většími finančními objemy VŘ. Zde </w:t>
      </w:r>
      <w:r>
        <w:t>může být</w:t>
      </w:r>
      <w:r w:rsidR="00347660">
        <w:t xml:space="preserve"> naopak kontrola žádoucí. </w:t>
      </w:r>
      <w:r>
        <w:t xml:space="preserve">Alternativní variantou může být zrušení </w:t>
      </w:r>
      <w:r w:rsidR="003640E3">
        <w:t>povinnosti postupovat při výběru dodavatele</w:t>
      </w:r>
      <w:r>
        <w:t xml:space="preserve"> u projektů do určité výše jejich celkových způsobilých výdajů (CZV). </w:t>
      </w:r>
      <w:r w:rsidR="003640E3">
        <w:t>Obdobný dopad by mělo zavedení takovéhoto opatření u projektů s CZV do 10 mil. Kč včetně.</w:t>
      </w:r>
      <w:r w:rsidR="003640E3">
        <w:rPr>
          <w:rStyle w:val="FootnoteReference"/>
        </w:rPr>
        <w:footnoteReference w:id="32"/>
      </w:r>
      <w:r w:rsidR="003640E3">
        <w:t xml:space="preserve"> </w:t>
      </w:r>
    </w:p>
    <w:p w14:paraId="582FDD3F" w14:textId="18D2D12F" w:rsidR="007842A7" w:rsidRDefault="007842A7" w:rsidP="007842A7">
      <w:pPr>
        <w:pStyle w:val="Caption"/>
      </w:pPr>
      <w:bookmarkStart w:id="27" w:name="_Toc52532108"/>
      <w:r>
        <w:t xml:space="preserve">Tabulka </w:t>
      </w:r>
      <w:r>
        <w:fldChar w:fldCharType="begin"/>
      </w:r>
      <w:r>
        <w:instrText xml:space="preserve"> SEQ Tabulka \* ARABIC </w:instrText>
      </w:r>
      <w:r>
        <w:fldChar w:fldCharType="separate"/>
      </w:r>
      <w:r w:rsidR="008E1911">
        <w:rPr>
          <w:noProof/>
        </w:rPr>
        <w:t>10</w:t>
      </w:r>
      <w:r>
        <w:fldChar w:fldCharType="end"/>
      </w:r>
      <w:r>
        <w:t xml:space="preserve"> </w:t>
      </w:r>
      <w:r w:rsidRPr="001639D8">
        <w:t>Optimalizační opatření č.</w:t>
      </w:r>
      <w:r w:rsidR="00117125">
        <w:t xml:space="preserve"> </w:t>
      </w:r>
      <w:r w:rsidRPr="001639D8">
        <w:t>3: Úprava podmínek výběrových řízení na dodavatele</w:t>
      </w:r>
      <w:bookmarkEnd w:id="27"/>
    </w:p>
    <w:tbl>
      <w:tblPr>
        <w:tblStyle w:val="GridTable5Dark-Accent1"/>
        <w:tblW w:w="5000" w:type="pct"/>
        <w:tblBorders>
          <w:bottom w:val="single" w:sz="4" w:space="0" w:color="86BC25" w:themeColor="accent1"/>
          <w:right w:val="single" w:sz="4" w:space="0" w:color="86BC25" w:themeColor="accent1"/>
          <w:insideH w:val="single" w:sz="4" w:space="0" w:color="86BC25" w:themeColor="accent1"/>
        </w:tblBorders>
        <w:tblCellMar>
          <w:top w:w="29" w:type="dxa"/>
          <w:left w:w="115" w:type="dxa"/>
          <w:bottom w:w="29" w:type="dxa"/>
          <w:right w:w="115" w:type="dxa"/>
        </w:tblCellMar>
        <w:tblLook w:val="04A0" w:firstRow="1" w:lastRow="0" w:firstColumn="1" w:lastColumn="0" w:noHBand="0" w:noVBand="1"/>
      </w:tblPr>
      <w:tblGrid>
        <w:gridCol w:w="2021"/>
        <w:gridCol w:w="7715"/>
      </w:tblGrid>
      <w:tr w:rsidR="007842A7" w:rsidRPr="001F5B37" w14:paraId="017DDFCF" w14:textId="77777777" w:rsidTr="003F2002">
        <w:trPr>
          <w:cnfStyle w:val="100000000000" w:firstRow="1" w:lastRow="0" w:firstColumn="0" w:lastColumn="0" w:oddVBand="0" w:evenVBand="0" w:oddHBand="0" w:evenHBand="0" w:firstRowFirstColumn="0" w:firstRowLastColumn="0" w:lastRowFirstColumn="0" w:lastRowLastColumn="0"/>
          <w:trHeight w:val="356"/>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right w:val="none" w:sz="0" w:space="0" w:color="auto"/>
            </w:tcBorders>
          </w:tcPr>
          <w:p w14:paraId="468BEFDE" w14:textId="7D2BA187" w:rsidR="007842A7" w:rsidRPr="003B6EEA" w:rsidRDefault="00B050E8" w:rsidP="003F2002">
            <w:pPr>
              <w:pStyle w:val="BodyText1"/>
              <w:spacing w:after="120" w:line="240" w:lineRule="auto"/>
              <w:rPr>
                <w:rFonts w:asciiTheme="minorHAnsi" w:hAnsiTheme="minorHAnsi"/>
                <w:b w:val="0"/>
                <w:color w:val="D0D0CE" w:themeColor="background2"/>
                <w:sz w:val="16"/>
                <w:szCs w:val="16"/>
              </w:rPr>
            </w:pPr>
            <w:r w:rsidRPr="003B6EEA">
              <w:rPr>
                <w:rFonts w:asciiTheme="minorHAnsi" w:hAnsiTheme="minorHAnsi"/>
                <w:color w:val="FFFFFF" w:themeColor="background1"/>
                <w:sz w:val="16"/>
                <w:szCs w:val="16"/>
              </w:rPr>
              <w:t>Úprava podmínek výběrových řízení na dodavatele</w:t>
            </w:r>
          </w:p>
        </w:tc>
      </w:tr>
      <w:tr w:rsidR="007842A7" w:rsidRPr="003D1CBD" w14:paraId="6850F191"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FFFFFF" w:themeColor="background1"/>
              <w:bottom w:val="single" w:sz="4" w:space="0" w:color="FFFFFF" w:themeColor="background1"/>
            </w:tcBorders>
          </w:tcPr>
          <w:p w14:paraId="54FFB89A" w14:textId="77777777" w:rsidR="007842A7" w:rsidRPr="003B6EEA" w:rsidRDefault="007842A7"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Popis současného stavu</w:t>
            </w:r>
          </w:p>
        </w:tc>
        <w:tc>
          <w:tcPr>
            <w:tcW w:w="3947" w:type="pct"/>
            <w:shd w:val="clear" w:color="auto" w:fill="auto"/>
          </w:tcPr>
          <w:p w14:paraId="7159D2D2" w14:textId="03AC7113"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V rámci současného programového období bylo ke dni 30. 6. 2020 realizováno 4 820 kontrol výběrových řízení, z toho 1 314 kontrol VŘ u projektů České agentury na podporu obchodu CzechTrade. U vzorku 3 446 kontrol VŘ (bez 1 314 VŘ Czech Trade) bylo 3 242 kontrol ukončeno bez zjištění (94 %) a pouze 140 kontrol (4 %) bylo ukončeno se zjištěním. Zbývající kontroly byly zrušeny, plánovány či neukončeny. Z uvedené statistiky lze soudit, že míra chybovosti a</w:t>
            </w:r>
            <w:r w:rsidR="00C61330" w:rsidRPr="003B6EEA">
              <w:rPr>
                <w:rFonts w:asciiTheme="minorHAnsi" w:hAnsiTheme="minorHAnsi"/>
                <w:sz w:val="16"/>
                <w:szCs w:val="16"/>
              </w:rPr>
              <w:t> </w:t>
            </w:r>
            <w:r w:rsidRPr="003B6EEA">
              <w:rPr>
                <w:rFonts w:asciiTheme="minorHAnsi" w:hAnsiTheme="minorHAnsi"/>
                <w:sz w:val="16"/>
                <w:szCs w:val="16"/>
              </w:rPr>
              <w:t xml:space="preserve">nálezů je poměrně nízká, u pouhých 4 % kontrolovaných VŘ. U 53 % VŘ se zjištěním byla udělena sankce ve výši 5 %. U dalších 20 % byla udělena sankce ve výši 25 %. </w:t>
            </w:r>
          </w:p>
          <w:p w14:paraId="0FE101F5" w14:textId="74FDF04E"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Kontrola VŘ dle Pravidel pro výběr dodavatele se řídí jak samotnými pravidly -  D12_1_M_Pravidla pro výběr dodavatelů OPPIK (PpVD), tak zákonem č.</w:t>
            </w:r>
            <w:r w:rsidR="00C61330" w:rsidRPr="003B6EEA">
              <w:rPr>
                <w:rFonts w:asciiTheme="minorHAnsi" w:hAnsiTheme="minorHAnsi"/>
                <w:sz w:val="16"/>
                <w:szCs w:val="16"/>
              </w:rPr>
              <w:t> </w:t>
            </w:r>
            <w:r w:rsidRPr="003B6EEA">
              <w:rPr>
                <w:rFonts w:asciiTheme="minorHAnsi" w:hAnsiTheme="minorHAnsi"/>
                <w:sz w:val="16"/>
                <w:szCs w:val="16"/>
              </w:rPr>
              <w:t xml:space="preserve">134/2016 Sb. a zákonem č. 137/2006 Sb. Metodiku upravuje Manuál interních postupů API, který dále upřesňuje postupy pro jednostupňové a vícestupňové kontroly. Samotné detailní kroky kontroly VŘ jsou upraveny v Kontrolním listu pro kontrolu VŘ dle PpVD. postup se neliší dle typu VŘ, ale je shodný u všech typů VŘ. </w:t>
            </w:r>
          </w:p>
          <w:p w14:paraId="031F7179" w14:textId="68CC9BFE"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Proces kontroly VŘ je nastaven dostatečně a vhodně, samotná doba kontroly VŘ dle Pravidel pro výběr dodavatele zabírá dle odhadu od 30 do 90 minut, dle velikosti a složitosti VŘ a zkušenosti Projektového manažera. Kontrola VŘ dle zákona o zadávání veřejných zakázek č. 134/2016 Sb. trvá dle odhadu kontrolorů z oddělení kontroly VŘ na ŘO v průměru 6 až 8 hodin. Všechny kontroly VŘ jsou prováděny vždy dvěma pracovníky v souladu s principem kontroly 4 očí. VŘ dle PpVD bylo odhadem kontrolováno 2 946, VŘ dle ZZvZ bylo odhadem kontrolováno kolem 271. To znamená minimálně šest tisíc hodin věnovaných kontrole VŘ dle PpVD a více jak 4 tisíce hodin strávených kontrolou VZ dle zákona. </w:t>
            </w:r>
          </w:p>
        </w:tc>
      </w:tr>
      <w:tr w:rsidR="007842A7" w:rsidRPr="003D1CBD" w14:paraId="4ABE4D54" w14:textId="77777777" w:rsidTr="003F2002">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FFFFFF" w:themeColor="background1"/>
              <w:left w:val="none" w:sz="0" w:space="0" w:color="auto"/>
              <w:bottom w:val="single" w:sz="4" w:space="0" w:color="FFFFFF" w:themeColor="background1"/>
            </w:tcBorders>
          </w:tcPr>
          <w:p w14:paraId="045033E1" w14:textId="77777777" w:rsidR="007842A7" w:rsidRPr="003B6EEA" w:rsidRDefault="007842A7" w:rsidP="003F2002">
            <w:pPr>
              <w:pStyle w:val="BodyText1"/>
              <w:spacing w:after="120" w:line="240" w:lineRule="auto"/>
              <w:ind w:right="112"/>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Popis cílového stavu</w:t>
            </w:r>
          </w:p>
        </w:tc>
        <w:tc>
          <w:tcPr>
            <w:tcW w:w="3947" w:type="pct"/>
            <w:shd w:val="clear" w:color="auto" w:fill="auto"/>
          </w:tcPr>
          <w:p w14:paraId="03CF2107" w14:textId="58062347" w:rsidR="007842A7" w:rsidRPr="003B6EEA" w:rsidRDefault="007842A7"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Předmětem navrhovaného opaření je </w:t>
            </w:r>
            <w:r w:rsidRPr="003B6EEA">
              <w:rPr>
                <w:rFonts w:asciiTheme="minorHAnsi" w:hAnsiTheme="minorHAnsi"/>
                <w:b/>
                <w:sz w:val="16"/>
                <w:szCs w:val="16"/>
              </w:rPr>
              <w:t>navýšení finančního limitu</w:t>
            </w:r>
            <w:r w:rsidRPr="003B6EEA">
              <w:rPr>
                <w:rFonts w:asciiTheme="minorHAnsi" w:hAnsiTheme="minorHAnsi"/>
                <w:sz w:val="16"/>
                <w:szCs w:val="16"/>
              </w:rPr>
              <w:t xml:space="preserve"> pro povinnost příjemců postupovat dle Pravidel pro výběr dodavatele a zákona o zadávání veřejných zakázek. </w:t>
            </w:r>
            <w:r w:rsidRPr="003B6EEA">
              <w:rPr>
                <w:rFonts w:asciiTheme="minorHAnsi" w:hAnsiTheme="minorHAnsi"/>
                <w:b/>
                <w:sz w:val="16"/>
                <w:szCs w:val="16"/>
              </w:rPr>
              <w:t>V případě VŘ dle ZzVZ je navrženo navýšit limit z 500 tis. Kč na 2 mil. Kč. V případě VŘ dle PpVD lze doporučit navýšení limitu na 5 mil. Kč.</w:t>
            </w:r>
            <w:r w:rsidRPr="003B6EEA">
              <w:rPr>
                <w:rFonts w:asciiTheme="minorHAnsi" w:hAnsiTheme="minorHAnsi"/>
                <w:sz w:val="16"/>
                <w:szCs w:val="16"/>
              </w:rPr>
              <w:t xml:space="preserve"> </w:t>
            </w:r>
          </w:p>
          <w:p w14:paraId="022E131F" w14:textId="6B7D671F" w:rsidR="007842A7" w:rsidRPr="003B6EEA" w:rsidRDefault="007842A7"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Nelze totiž doporučit úpravu kontroly VŘ, rizikem by následně byla zvýšená chybovost odhalená při kontrolách auditními orgány, které by postupovaly dle odlišných kontrolních pravidel. Úprava pravidel kontroly by navíc nevedla k zjednodušení na straně příjemců podpory. </w:t>
            </w:r>
          </w:p>
          <w:p w14:paraId="3CA03A91" w14:textId="77777777" w:rsidR="007842A7" w:rsidRPr="003B6EEA" w:rsidRDefault="007842A7"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V případě nemožnosti navýšení limitů lze doporučit propagaci častějšího využívání již dostupných zjednodušení, jako je např.:</w:t>
            </w:r>
          </w:p>
          <w:p w14:paraId="69F3B041" w14:textId="77777777" w:rsidR="007842A7" w:rsidRPr="003B6EEA" w:rsidRDefault="007842A7" w:rsidP="003F2002">
            <w:pPr>
              <w:pStyle w:val="BodyText1"/>
              <w:numPr>
                <w:ilvl w:val="0"/>
                <w:numId w:val="41"/>
              </w:numPr>
              <w:spacing w:after="120" w:line="240" w:lineRule="auto"/>
              <w:ind w:left="468"/>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Rámcové dohody</w:t>
            </w:r>
          </w:p>
          <w:p w14:paraId="44BDADD1" w14:textId="77777777" w:rsidR="007842A7" w:rsidRPr="003B6EEA" w:rsidRDefault="007842A7" w:rsidP="003F2002">
            <w:pPr>
              <w:pStyle w:val="BodyText1"/>
              <w:numPr>
                <w:ilvl w:val="0"/>
                <w:numId w:val="41"/>
              </w:numPr>
              <w:spacing w:after="120" w:line="240" w:lineRule="auto"/>
              <w:ind w:left="468"/>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Dynamický nákupní systém</w:t>
            </w:r>
          </w:p>
          <w:p w14:paraId="3BC1FC99" w14:textId="77777777" w:rsidR="007842A7" w:rsidRPr="003B6EEA" w:rsidRDefault="007842A7" w:rsidP="003F2002">
            <w:pPr>
              <w:pStyle w:val="BodyText1"/>
              <w:numPr>
                <w:ilvl w:val="0"/>
                <w:numId w:val="41"/>
              </w:numPr>
              <w:spacing w:after="120" w:line="240" w:lineRule="auto"/>
              <w:ind w:left="468"/>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V oblasti výzkumu využít výjimky dle §29, písmeno r, zákona č. 134/2016 Sb.</w:t>
            </w:r>
          </w:p>
          <w:p w14:paraId="1C0452F9" w14:textId="77777777" w:rsidR="007842A7" w:rsidRPr="003B6EEA" w:rsidRDefault="007842A7" w:rsidP="003F2002">
            <w:pPr>
              <w:pStyle w:val="BodyText1"/>
              <w:numPr>
                <w:ilvl w:val="0"/>
                <w:numId w:val="41"/>
              </w:numPr>
              <w:spacing w:after="120" w:line="240" w:lineRule="auto"/>
              <w:ind w:left="468"/>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Využít možnosti dělených VZ dle odstavce 3 §18, ZzVZ</w:t>
            </w:r>
          </w:p>
          <w:p w14:paraId="6CEFE8AE" w14:textId="77777777" w:rsidR="007842A7" w:rsidRPr="003B6EEA" w:rsidRDefault="007842A7" w:rsidP="003F2002">
            <w:pPr>
              <w:pStyle w:val="BodyText1"/>
              <w:numPr>
                <w:ilvl w:val="0"/>
                <w:numId w:val="41"/>
              </w:numPr>
              <w:spacing w:after="120" w:line="240" w:lineRule="auto"/>
              <w:ind w:left="468"/>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Využívat možnosti předřazení hodnotících kritérií </w:t>
            </w:r>
          </w:p>
        </w:tc>
      </w:tr>
      <w:tr w:rsidR="007842A7" w:rsidRPr="003D1CBD" w14:paraId="2E02D067"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FFFFFF" w:themeColor="background1"/>
              <w:left w:val="none" w:sz="0" w:space="0" w:color="auto"/>
              <w:bottom w:val="single" w:sz="4" w:space="0" w:color="FFFFFF" w:themeColor="background1"/>
            </w:tcBorders>
          </w:tcPr>
          <w:p w14:paraId="01A95B92" w14:textId="77777777" w:rsidR="007842A7" w:rsidRPr="003B6EEA" w:rsidRDefault="007842A7" w:rsidP="003F2002">
            <w:pPr>
              <w:pStyle w:val="BodyText1"/>
              <w:spacing w:after="120" w:line="240" w:lineRule="auto"/>
              <w:ind w:right="112"/>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Očekávané výsledky zavedeného opatření a časový plán dopadu</w:t>
            </w:r>
          </w:p>
        </w:tc>
        <w:tc>
          <w:tcPr>
            <w:tcW w:w="3947" w:type="pct"/>
            <w:shd w:val="clear" w:color="auto" w:fill="auto"/>
          </w:tcPr>
          <w:p w14:paraId="592AB186" w14:textId="77777777"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VŘ dle ZzVZ</w:t>
            </w:r>
          </w:p>
          <w:p w14:paraId="55E95871" w14:textId="0C130CA3"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Při navýšení limitů pro VŘ dle ZZvZ na 2 mil. Kč, výše časové úspory by za uplynulé období pro zrealizovaných 88 VŘ v hodnotě mezi 500 tisíci a 2 mil. Kč dosáhla zhruba 1 200 hodin, tedy 154 pracovních dní. Při předpokládaném 30 % nárůstu počtu realizovaných VŘ dle </w:t>
            </w:r>
            <w:r w:rsidRPr="1B8B314C">
              <w:rPr>
                <w:rFonts w:asciiTheme="minorHAnsi" w:hAnsiTheme="minorHAnsi"/>
                <w:sz w:val="16"/>
                <w:szCs w:val="16"/>
              </w:rPr>
              <w:lastRenderedPageBreak/>
              <w:t xml:space="preserve">ZZvZ do konce programového období (na celkových 114) lze tudíž </w:t>
            </w:r>
            <w:r w:rsidRPr="00E105D8">
              <w:rPr>
                <w:rFonts w:asciiTheme="minorHAnsi" w:hAnsiTheme="minorHAnsi"/>
                <w:b/>
                <w:bCs/>
                <w:sz w:val="16"/>
                <w:szCs w:val="16"/>
              </w:rPr>
              <w:t>předpokládat úsporu až 420 hodin, tedy zhruba 52 pracovních dní</w:t>
            </w:r>
            <w:r w:rsidRPr="1B8B314C">
              <w:rPr>
                <w:rFonts w:asciiTheme="minorHAnsi" w:hAnsiTheme="minorHAnsi"/>
                <w:sz w:val="16"/>
                <w:szCs w:val="16"/>
              </w:rPr>
              <w:t xml:space="preserve">. </w:t>
            </w:r>
          </w:p>
          <w:p w14:paraId="4403EF4F" w14:textId="77777777"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VŘ dle PpVD</w:t>
            </w:r>
          </w:p>
          <w:p w14:paraId="660084BC" w14:textId="77777777"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Dodavatel doporučuje navýšení limitu pro povinnost postupovat při výběru dodavatele dle PpVD či ZZvZ na 5 mil. Kč. Tato změna bude mít obdobný přínos na procentuální úbytek VŘ ke kontrole jako předchozí navýšení z 500 tisíc Kč. na 2 mil. Kč. VŘ do 5 mil. Kč představují 66 % všech kontrolovaných VŘ. Největší dopad by toto opatření mělo zároveň na programy podpory PO1, kde je problematika VŘ nejvážnější, vzhledem k potřebě rychlosti inovací, omezené možnosti predikce typů dodavatelů a jejich omezeného počtu. V prioritní ose 1 bylo kontrolováno přes 33 % všech VŘ v hodnotě od 2 do 5 mil. Kč. VŘ do 5 mil. Kč pak představují 64 % všech VŘ v programech Inovace, Aplikace a Potenciál. </w:t>
            </w:r>
          </w:p>
          <w:p w14:paraId="07B5547B" w14:textId="77777777"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Níže uvedená tabulka uvádí přehled počtu kontrolovaných VŘ dle jejich předpokládané hodnoty, predikci očekávaného počtu VŘ ke kontrole do konce současného programového období a na to navázaný výpočet kumulované úspory času při odpadnutí kontrol. </w:t>
            </w:r>
          </w:p>
          <w:tbl>
            <w:tblPr>
              <w:tblStyle w:val="GridTable4-Accent1"/>
              <w:tblW w:w="0" w:type="auto"/>
              <w:tblLook w:val="04A0" w:firstRow="1" w:lastRow="0" w:firstColumn="1" w:lastColumn="0" w:noHBand="0" w:noVBand="1"/>
            </w:tblPr>
            <w:tblGrid>
              <w:gridCol w:w="1319"/>
              <w:gridCol w:w="1106"/>
              <w:gridCol w:w="1304"/>
              <w:gridCol w:w="1678"/>
              <w:gridCol w:w="1687"/>
            </w:tblGrid>
            <w:tr w:rsidR="007842A7" w:rsidRPr="003B6EEA" w14:paraId="10A346BE" w14:textId="77777777" w:rsidTr="00FD54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9" w:type="dxa"/>
                </w:tcPr>
                <w:p w14:paraId="2BF9AE44" w14:textId="77777777" w:rsidR="007842A7" w:rsidRPr="003B6EEA" w:rsidRDefault="007842A7" w:rsidP="003F2002">
                  <w:pPr>
                    <w:pStyle w:val="BodyText1"/>
                    <w:spacing w:after="120" w:line="240" w:lineRule="auto"/>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Výše VŘ</w:t>
                  </w:r>
                </w:p>
              </w:tc>
              <w:tc>
                <w:tcPr>
                  <w:tcW w:w="1067" w:type="dxa"/>
                </w:tcPr>
                <w:p w14:paraId="249F4244" w14:textId="77777777" w:rsidR="007842A7" w:rsidRPr="003B6EEA" w:rsidRDefault="007842A7" w:rsidP="003F2002">
                  <w:pPr>
                    <w:pStyle w:val="BodyText1"/>
                    <w:spacing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Počet VŘ v daném finančním rozmezí</w:t>
                  </w:r>
                </w:p>
              </w:tc>
              <w:tc>
                <w:tcPr>
                  <w:tcW w:w="1304" w:type="dxa"/>
                </w:tcPr>
                <w:p w14:paraId="0CBE0332" w14:textId="77777777" w:rsidR="007842A7" w:rsidRPr="003B6EEA" w:rsidRDefault="007842A7" w:rsidP="003F2002">
                  <w:pPr>
                    <w:pStyle w:val="BodyText1"/>
                    <w:spacing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Kumulativní počet kontrol VŘ</w:t>
                  </w:r>
                </w:p>
              </w:tc>
              <w:tc>
                <w:tcPr>
                  <w:tcW w:w="1678" w:type="dxa"/>
                </w:tcPr>
                <w:p w14:paraId="708D5C7E" w14:textId="77777777" w:rsidR="007842A7" w:rsidRPr="003B6EEA" w:rsidRDefault="007842A7" w:rsidP="003F2002">
                  <w:pPr>
                    <w:pStyle w:val="BodyText1"/>
                    <w:spacing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Kumulativní predikce počtu nových VŘ do roku 2021</w:t>
                  </w:r>
                  <w:r w:rsidRPr="003B6EEA">
                    <w:rPr>
                      <w:rStyle w:val="FootnoteReference"/>
                      <w:rFonts w:asciiTheme="minorHAnsi" w:hAnsiTheme="minorHAnsi"/>
                      <w:color w:val="FFFFFF" w:themeColor="background1"/>
                      <w:sz w:val="16"/>
                      <w:szCs w:val="16"/>
                    </w:rPr>
                    <w:footnoteReference w:id="33"/>
                  </w:r>
                </w:p>
              </w:tc>
              <w:tc>
                <w:tcPr>
                  <w:tcW w:w="1687" w:type="dxa"/>
                </w:tcPr>
                <w:p w14:paraId="7A224AFA" w14:textId="77777777" w:rsidR="007842A7" w:rsidRPr="003B6EEA" w:rsidRDefault="007842A7" w:rsidP="003F2002">
                  <w:pPr>
                    <w:pStyle w:val="BodyText1"/>
                    <w:spacing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Predikce kumulované časové úspory</w:t>
                  </w:r>
                  <w:r w:rsidRPr="003B6EEA">
                    <w:rPr>
                      <w:rStyle w:val="FootnoteReference"/>
                      <w:rFonts w:asciiTheme="minorHAnsi" w:hAnsiTheme="minorHAnsi"/>
                      <w:color w:val="FFFFFF" w:themeColor="background1"/>
                      <w:sz w:val="16"/>
                      <w:szCs w:val="16"/>
                    </w:rPr>
                    <w:footnoteReference w:id="34"/>
                  </w:r>
                  <w:r w:rsidRPr="003B6EEA">
                    <w:rPr>
                      <w:rFonts w:asciiTheme="minorHAnsi" w:hAnsiTheme="minorHAnsi"/>
                      <w:color w:val="FFFFFF" w:themeColor="background1"/>
                      <w:sz w:val="16"/>
                      <w:szCs w:val="16"/>
                    </w:rPr>
                    <w:t xml:space="preserve"> (v hodinách)</w:t>
                  </w:r>
                </w:p>
              </w:tc>
            </w:tr>
            <w:tr w:rsidR="007842A7" w:rsidRPr="003B6EEA" w14:paraId="731F20F0" w14:textId="77777777" w:rsidTr="00FD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vAlign w:val="bottom"/>
                </w:tcPr>
                <w:p w14:paraId="62DDAC7B"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&lt; 500 tis. Kč</w:t>
                  </w:r>
                </w:p>
              </w:tc>
              <w:tc>
                <w:tcPr>
                  <w:tcW w:w="1067" w:type="dxa"/>
                  <w:vAlign w:val="bottom"/>
                </w:tcPr>
                <w:p w14:paraId="6D2ED322"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1602</w:t>
                  </w:r>
                </w:p>
              </w:tc>
              <w:tc>
                <w:tcPr>
                  <w:tcW w:w="1304" w:type="dxa"/>
                  <w:vAlign w:val="bottom"/>
                </w:tcPr>
                <w:p w14:paraId="3866A122"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1602</w:t>
                  </w:r>
                </w:p>
              </w:tc>
              <w:tc>
                <w:tcPr>
                  <w:tcW w:w="1678" w:type="dxa"/>
                  <w:vAlign w:val="bottom"/>
                </w:tcPr>
                <w:p w14:paraId="544070D7"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481</w:t>
                  </w:r>
                </w:p>
              </w:tc>
              <w:tc>
                <w:tcPr>
                  <w:tcW w:w="1687" w:type="dxa"/>
                  <w:vAlign w:val="bottom"/>
                </w:tcPr>
                <w:p w14:paraId="4735B9A1"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961</w:t>
                  </w:r>
                </w:p>
              </w:tc>
            </w:tr>
            <w:tr w:rsidR="007842A7" w:rsidRPr="003B6EEA" w14:paraId="61382C2F" w14:textId="77777777" w:rsidTr="00FD54B8">
              <w:tc>
                <w:tcPr>
                  <w:cnfStyle w:val="001000000000" w:firstRow="0" w:lastRow="0" w:firstColumn="1" w:lastColumn="0" w:oddVBand="0" w:evenVBand="0" w:oddHBand="0" w:evenHBand="0" w:firstRowFirstColumn="0" w:firstRowLastColumn="0" w:lastRowFirstColumn="0" w:lastRowLastColumn="0"/>
                  <w:tcW w:w="1319" w:type="dxa"/>
                  <w:vAlign w:val="bottom"/>
                </w:tcPr>
                <w:p w14:paraId="0C3F9406"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2 mil. Kč</w:t>
                  </w:r>
                </w:p>
              </w:tc>
              <w:tc>
                <w:tcPr>
                  <w:tcW w:w="1067" w:type="dxa"/>
                  <w:vAlign w:val="bottom"/>
                </w:tcPr>
                <w:p w14:paraId="7E1E4EF7"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845</w:t>
                  </w:r>
                </w:p>
              </w:tc>
              <w:tc>
                <w:tcPr>
                  <w:tcW w:w="1304" w:type="dxa"/>
                  <w:vAlign w:val="bottom"/>
                </w:tcPr>
                <w:p w14:paraId="6BC8610C"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2,447</w:t>
                  </w:r>
                </w:p>
              </w:tc>
              <w:tc>
                <w:tcPr>
                  <w:tcW w:w="1678" w:type="dxa"/>
                  <w:vAlign w:val="bottom"/>
                </w:tcPr>
                <w:p w14:paraId="01400B5D"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734</w:t>
                  </w:r>
                </w:p>
              </w:tc>
              <w:tc>
                <w:tcPr>
                  <w:tcW w:w="1687" w:type="dxa"/>
                  <w:vAlign w:val="bottom"/>
                </w:tcPr>
                <w:p w14:paraId="1100A7F5"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1,468</w:t>
                  </w:r>
                </w:p>
              </w:tc>
            </w:tr>
            <w:tr w:rsidR="007842A7" w:rsidRPr="003B6EEA" w14:paraId="02D909E3" w14:textId="77777777" w:rsidTr="00FD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vAlign w:val="bottom"/>
                </w:tcPr>
                <w:p w14:paraId="4303E5AC"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3 mil. Kč</w:t>
                  </w:r>
                </w:p>
              </w:tc>
              <w:tc>
                <w:tcPr>
                  <w:tcW w:w="1067" w:type="dxa"/>
                  <w:vAlign w:val="bottom"/>
                </w:tcPr>
                <w:p w14:paraId="078ECA82"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345</w:t>
                  </w:r>
                </w:p>
              </w:tc>
              <w:tc>
                <w:tcPr>
                  <w:tcW w:w="1304" w:type="dxa"/>
                  <w:vAlign w:val="bottom"/>
                </w:tcPr>
                <w:p w14:paraId="0BFB9A99"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2,792</w:t>
                  </w:r>
                </w:p>
              </w:tc>
              <w:tc>
                <w:tcPr>
                  <w:tcW w:w="1678" w:type="dxa"/>
                  <w:vAlign w:val="bottom"/>
                </w:tcPr>
                <w:p w14:paraId="4E6689FE"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838</w:t>
                  </w:r>
                </w:p>
              </w:tc>
              <w:tc>
                <w:tcPr>
                  <w:tcW w:w="1687" w:type="dxa"/>
                  <w:vAlign w:val="bottom"/>
                </w:tcPr>
                <w:p w14:paraId="4EC8A7C5"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1,675</w:t>
                  </w:r>
                </w:p>
              </w:tc>
            </w:tr>
            <w:tr w:rsidR="007842A7" w:rsidRPr="003B6EEA" w14:paraId="2A747992" w14:textId="77777777" w:rsidTr="00FD54B8">
              <w:tc>
                <w:tcPr>
                  <w:cnfStyle w:val="001000000000" w:firstRow="0" w:lastRow="0" w:firstColumn="1" w:lastColumn="0" w:oddVBand="0" w:evenVBand="0" w:oddHBand="0" w:evenHBand="0" w:firstRowFirstColumn="0" w:firstRowLastColumn="0" w:lastRowFirstColumn="0" w:lastRowLastColumn="0"/>
                  <w:tcW w:w="1319" w:type="dxa"/>
                  <w:vAlign w:val="bottom"/>
                </w:tcPr>
                <w:p w14:paraId="5B5CEA5B"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4 mil. Kč</w:t>
                  </w:r>
                </w:p>
              </w:tc>
              <w:tc>
                <w:tcPr>
                  <w:tcW w:w="1067" w:type="dxa"/>
                  <w:vAlign w:val="bottom"/>
                </w:tcPr>
                <w:p w14:paraId="16979B4D"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220</w:t>
                  </w:r>
                </w:p>
              </w:tc>
              <w:tc>
                <w:tcPr>
                  <w:tcW w:w="1304" w:type="dxa"/>
                  <w:vAlign w:val="bottom"/>
                </w:tcPr>
                <w:p w14:paraId="512D9537"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3,012</w:t>
                  </w:r>
                </w:p>
              </w:tc>
              <w:tc>
                <w:tcPr>
                  <w:tcW w:w="1678" w:type="dxa"/>
                  <w:vAlign w:val="bottom"/>
                </w:tcPr>
                <w:p w14:paraId="5CC23A51"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904</w:t>
                  </w:r>
                </w:p>
              </w:tc>
              <w:tc>
                <w:tcPr>
                  <w:tcW w:w="1687" w:type="dxa"/>
                  <w:vAlign w:val="bottom"/>
                </w:tcPr>
                <w:p w14:paraId="22441F60"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1,807</w:t>
                  </w:r>
                </w:p>
              </w:tc>
            </w:tr>
            <w:tr w:rsidR="007842A7" w:rsidRPr="003B6EEA" w14:paraId="3A688453" w14:textId="77777777" w:rsidTr="00FD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vAlign w:val="bottom"/>
                </w:tcPr>
                <w:p w14:paraId="5168ABC2"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5 mil. Kč</w:t>
                  </w:r>
                </w:p>
              </w:tc>
              <w:tc>
                <w:tcPr>
                  <w:tcW w:w="1067" w:type="dxa"/>
                  <w:vAlign w:val="bottom"/>
                </w:tcPr>
                <w:p w14:paraId="37920386"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184</w:t>
                  </w:r>
                </w:p>
              </w:tc>
              <w:tc>
                <w:tcPr>
                  <w:tcW w:w="1304" w:type="dxa"/>
                  <w:vAlign w:val="bottom"/>
                </w:tcPr>
                <w:p w14:paraId="779E018B"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3,196</w:t>
                  </w:r>
                </w:p>
              </w:tc>
              <w:tc>
                <w:tcPr>
                  <w:tcW w:w="1678" w:type="dxa"/>
                  <w:vAlign w:val="bottom"/>
                </w:tcPr>
                <w:p w14:paraId="03AE37D9"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959</w:t>
                  </w:r>
                </w:p>
              </w:tc>
              <w:tc>
                <w:tcPr>
                  <w:tcW w:w="1687" w:type="dxa"/>
                  <w:vAlign w:val="bottom"/>
                </w:tcPr>
                <w:p w14:paraId="4DA1272B"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1,918</w:t>
                  </w:r>
                </w:p>
              </w:tc>
            </w:tr>
            <w:tr w:rsidR="007842A7" w:rsidRPr="003B6EEA" w14:paraId="45935658" w14:textId="77777777" w:rsidTr="00FD54B8">
              <w:tc>
                <w:tcPr>
                  <w:cnfStyle w:val="001000000000" w:firstRow="0" w:lastRow="0" w:firstColumn="1" w:lastColumn="0" w:oddVBand="0" w:evenVBand="0" w:oddHBand="0" w:evenHBand="0" w:firstRowFirstColumn="0" w:firstRowLastColumn="0" w:lastRowFirstColumn="0" w:lastRowLastColumn="0"/>
                  <w:tcW w:w="1319" w:type="dxa"/>
                  <w:vAlign w:val="bottom"/>
                </w:tcPr>
                <w:p w14:paraId="56A9269D"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6 mil. Kč</w:t>
                  </w:r>
                </w:p>
              </w:tc>
              <w:tc>
                <w:tcPr>
                  <w:tcW w:w="1067" w:type="dxa"/>
                  <w:vAlign w:val="bottom"/>
                </w:tcPr>
                <w:p w14:paraId="323B334C"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153</w:t>
                  </w:r>
                </w:p>
              </w:tc>
              <w:tc>
                <w:tcPr>
                  <w:tcW w:w="1304" w:type="dxa"/>
                  <w:vAlign w:val="bottom"/>
                </w:tcPr>
                <w:p w14:paraId="242BB16B"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3,349</w:t>
                  </w:r>
                </w:p>
              </w:tc>
              <w:tc>
                <w:tcPr>
                  <w:tcW w:w="1678" w:type="dxa"/>
                  <w:vAlign w:val="bottom"/>
                </w:tcPr>
                <w:p w14:paraId="3B42224C"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1,005</w:t>
                  </w:r>
                </w:p>
              </w:tc>
              <w:tc>
                <w:tcPr>
                  <w:tcW w:w="1687" w:type="dxa"/>
                  <w:vAlign w:val="bottom"/>
                </w:tcPr>
                <w:p w14:paraId="732AA1F0"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2,009</w:t>
                  </w:r>
                </w:p>
              </w:tc>
            </w:tr>
            <w:tr w:rsidR="007842A7" w:rsidRPr="003B6EEA" w14:paraId="330A2DE3" w14:textId="77777777" w:rsidTr="00FD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vAlign w:val="bottom"/>
                </w:tcPr>
                <w:p w14:paraId="40644603"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7 mil. Kč</w:t>
                  </w:r>
                </w:p>
              </w:tc>
              <w:tc>
                <w:tcPr>
                  <w:tcW w:w="1067" w:type="dxa"/>
                  <w:vAlign w:val="bottom"/>
                </w:tcPr>
                <w:p w14:paraId="61DEA4F9"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108</w:t>
                  </w:r>
                </w:p>
              </w:tc>
              <w:tc>
                <w:tcPr>
                  <w:tcW w:w="1304" w:type="dxa"/>
                  <w:vAlign w:val="bottom"/>
                </w:tcPr>
                <w:p w14:paraId="356BD407"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3,457</w:t>
                  </w:r>
                </w:p>
              </w:tc>
              <w:tc>
                <w:tcPr>
                  <w:tcW w:w="1678" w:type="dxa"/>
                  <w:vAlign w:val="bottom"/>
                </w:tcPr>
                <w:p w14:paraId="04B1D5C8"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1,037</w:t>
                  </w:r>
                </w:p>
              </w:tc>
              <w:tc>
                <w:tcPr>
                  <w:tcW w:w="1687" w:type="dxa"/>
                  <w:vAlign w:val="bottom"/>
                </w:tcPr>
                <w:p w14:paraId="356306D7"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2,074</w:t>
                  </w:r>
                </w:p>
              </w:tc>
            </w:tr>
            <w:tr w:rsidR="007842A7" w:rsidRPr="003B6EEA" w14:paraId="2DF901A8" w14:textId="77777777" w:rsidTr="00FD54B8">
              <w:tc>
                <w:tcPr>
                  <w:cnfStyle w:val="001000000000" w:firstRow="0" w:lastRow="0" w:firstColumn="1" w:lastColumn="0" w:oddVBand="0" w:evenVBand="0" w:oddHBand="0" w:evenHBand="0" w:firstRowFirstColumn="0" w:firstRowLastColumn="0" w:lastRowFirstColumn="0" w:lastRowLastColumn="0"/>
                  <w:tcW w:w="1319" w:type="dxa"/>
                  <w:vAlign w:val="bottom"/>
                </w:tcPr>
                <w:p w14:paraId="288F37C1"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8 mil. Kč</w:t>
                  </w:r>
                </w:p>
              </w:tc>
              <w:tc>
                <w:tcPr>
                  <w:tcW w:w="1067" w:type="dxa"/>
                  <w:vAlign w:val="bottom"/>
                </w:tcPr>
                <w:p w14:paraId="195ABC3C"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97</w:t>
                  </w:r>
                </w:p>
              </w:tc>
              <w:tc>
                <w:tcPr>
                  <w:tcW w:w="1304" w:type="dxa"/>
                  <w:vAlign w:val="bottom"/>
                </w:tcPr>
                <w:p w14:paraId="48F40A76"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3,554</w:t>
                  </w:r>
                </w:p>
              </w:tc>
              <w:tc>
                <w:tcPr>
                  <w:tcW w:w="1678" w:type="dxa"/>
                  <w:vAlign w:val="bottom"/>
                </w:tcPr>
                <w:p w14:paraId="55422157"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1,066</w:t>
                  </w:r>
                </w:p>
              </w:tc>
              <w:tc>
                <w:tcPr>
                  <w:tcW w:w="1687" w:type="dxa"/>
                  <w:vAlign w:val="bottom"/>
                </w:tcPr>
                <w:p w14:paraId="6505E397"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2,132</w:t>
                  </w:r>
                </w:p>
              </w:tc>
            </w:tr>
            <w:tr w:rsidR="007842A7" w:rsidRPr="003B6EEA" w14:paraId="3F412387" w14:textId="77777777" w:rsidTr="00FD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vAlign w:val="bottom"/>
                </w:tcPr>
                <w:p w14:paraId="44C14FCA"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9 mil. Kč</w:t>
                  </w:r>
                </w:p>
              </w:tc>
              <w:tc>
                <w:tcPr>
                  <w:tcW w:w="1067" w:type="dxa"/>
                  <w:vAlign w:val="bottom"/>
                </w:tcPr>
                <w:p w14:paraId="471ED658"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87</w:t>
                  </w:r>
                </w:p>
              </w:tc>
              <w:tc>
                <w:tcPr>
                  <w:tcW w:w="1304" w:type="dxa"/>
                  <w:vAlign w:val="bottom"/>
                </w:tcPr>
                <w:p w14:paraId="0511BF45"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3,641</w:t>
                  </w:r>
                </w:p>
              </w:tc>
              <w:tc>
                <w:tcPr>
                  <w:tcW w:w="1678" w:type="dxa"/>
                  <w:vAlign w:val="bottom"/>
                </w:tcPr>
                <w:p w14:paraId="14E3709E"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1,092</w:t>
                  </w:r>
                </w:p>
              </w:tc>
              <w:tc>
                <w:tcPr>
                  <w:tcW w:w="1687" w:type="dxa"/>
                  <w:vAlign w:val="bottom"/>
                </w:tcPr>
                <w:p w14:paraId="746419DD"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2,185</w:t>
                  </w:r>
                </w:p>
              </w:tc>
            </w:tr>
            <w:tr w:rsidR="007842A7" w:rsidRPr="003B6EEA" w14:paraId="5780445D" w14:textId="77777777" w:rsidTr="00FD54B8">
              <w:tc>
                <w:tcPr>
                  <w:cnfStyle w:val="001000000000" w:firstRow="0" w:lastRow="0" w:firstColumn="1" w:lastColumn="0" w:oddVBand="0" w:evenVBand="0" w:oddHBand="0" w:evenHBand="0" w:firstRowFirstColumn="0" w:firstRowLastColumn="0" w:lastRowFirstColumn="0" w:lastRowLastColumn="0"/>
                  <w:tcW w:w="1319" w:type="dxa"/>
                  <w:vAlign w:val="bottom"/>
                </w:tcPr>
                <w:p w14:paraId="40FCCFC7"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10 mil. Kč</w:t>
                  </w:r>
                </w:p>
              </w:tc>
              <w:tc>
                <w:tcPr>
                  <w:tcW w:w="1067" w:type="dxa"/>
                  <w:vAlign w:val="bottom"/>
                </w:tcPr>
                <w:p w14:paraId="3DBBE80D"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77</w:t>
                  </w:r>
                </w:p>
              </w:tc>
              <w:tc>
                <w:tcPr>
                  <w:tcW w:w="1304" w:type="dxa"/>
                  <w:vAlign w:val="bottom"/>
                </w:tcPr>
                <w:p w14:paraId="6CC1FDA2"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3,718</w:t>
                  </w:r>
                </w:p>
              </w:tc>
              <w:tc>
                <w:tcPr>
                  <w:tcW w:w="1678" w:type="dxa"/>
                  <w:vAlign w:val="bottom"/>
                </w:tcPr>
                <w:p w14:paraId="692C118E"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1,115</w:t>
                  </w:r>
                </w:p>
              </w:tc>
              <w:tc>
                <w:tcPr>
                  <w:tcW w:w="1687" w:type="dxa"/>
                  <w:vAlign w:val="bottom"/>
                </w:tcPr>
                <w:p w14:paraId="5AAA6F64" w14:textId="77777777" w:rsidR="007842A7" w:rsidRPr="003B6EEA" w:rsidRDefault="007842A7" w:rsidP="003F200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2,231</w:t>
                  </w:r>
                </w:p>
              </w:tc>
            </w:tr>
            <w:tr w:rsidR="007842A7" w:rsidRPr="003B6EEA" w14:paraId="068D7584" w14:textId="77777777" w:rsidTr="00FD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vAlign w:val="bottom"/>
                </w:tcPr>
                <w:p w14:paraId="6ECB9958" w14:textId="77777777" w:rsidR="007842A7" w:rsidRPr="003B6EEA" w:rsidRDefault="007842A7" w:rsidP="003F2002">
                  <w:pPr>
                    <w:spacing w:after="120"/>
                    <w:rPr>
                      <w:rFonts w:asciiTheme="minorHAnsi" w:hAnsiTheme="minorHAnsi" w:cs="Calibri"/>
                      <w:color w:val="000000"/>
                      <w:sz w:val="16"/>
                      <w:szCs w:val="16"/>
                    </w:rPr>
                  </w:pPr>
                  <w:r w:rsidRPr="003B6EEA">
                    <w:rPr>
                      <w:rFonts w:asciiTheme="minorHAnsi" w:hAnsiTheme="minorHAnsi" w:cs="Calibri"/>
                      <w:color w:val="000000"/>
                      <w:sz w:val="16"/>
                      <w:szCs w:val="16"/>
                    </w:rPr>
                    <w:t>&gt; 10 mil. Kč</w:t>
                  </w:r>
                </w:p>
              </w:tc>
              <w:tc>
                <w:tcPr>
                  <w:tcW w:w="1067" w:type="dxa"/>
                  <w:vAlign w:val="bottom"/>
                </w:tcPr>
                <w:p w14:paraId="13C6C4F3"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938</w:t>
                  </w:r>
                </w:p>
              </w:tc>
              <w:tc>
                <w:tcPr>
                  <w:tcW w:w="1304" w:type="dxa"/>
                  <w:vAlign w:val="bottom"/>
                </w:tcPr>
                <w:p w14:paraId="4B7E5B0B"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4,656</w:t>
                  </w:r>
                </w:p>
              </w:tc>
              <w:tc>
                <w:tcPr>
                  <w:tcW w:w="1678" w:type="dxa"/>
                  <w:vAlign w:val="bottom"/>
                </w:tcPr>
                <w:p w14:paraId="49779AC0"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1,397</w:t>
                  </w:r>
                </w:p>
              </w:tc>
              <w:tc>
                <w:tcPr>
                  <w:tcW w:w="1687" w:type="dxa"/>
                  <w:vAlign w:val="bottom"/>
                </w:tcPr>
                <w:p w14:paraId="0C7884DB" w14:textId="77777777" w:rsidR="007842A7" w:rsidRPr="003B6EEA" w:rsidRDefault="007842A7" w:rsidP="003F200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r w:rsidRPr="003B6EEA">
                    <w:rPr>
                      <w:rFonts w:asciiTheme="minorHAnsi" w:hAnsiTheme="minorHAnsi" w:cs="Calibri"/>
                      <w:color w:val="000000"/>
                      <w:sz w:val="16"/>
                      <w:szCs w:val="16"/>
                    </w:rPr>
                    <w:t>2,794</w:t>
                  </w:r>
                </w:p>
              </w:tc>
            </w:tr>
          </w:tbl>
          <w:p w14:paraId="7BE20604" w14:textId="77777777"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p w14:paraId="290DC915" w14:textId="3BD3DF46"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Zavedení opatření by mělo multiplikační efekt na časové úspory také při nápravě či dalším postupu u VŘ, kde byla kontrola ukončena se zjištěním</w:t>
            </w:r>
            <w:r w:rsidRPr="003B6EEA">
              <w:rPr>
                <w:rStyle w:val="FootnoteReference"/>
                <w:rFonts w:asciiTheme="minorHAnsi" w:hAnsiTheme="minorHAnsi"/>
                <w:sz w:val="16"/>
                <w:szCs w:val="16"/>
              </w:rPr>
              <w:footnoteReference w:id="35"/>
            </w:r>
            <w:r w:rsidRPr="003B6EEA">
              <w:rPr>
                <w:rFonts w:asciiTheme="minorHAnsi" w:hAnsiTheme="minorHAnsi"/>
                <w:sz w:val="16"/>
                <w:szCs w:val="16"/>
              </w:rPr>
              <w:t xml:space="preserve">, kontrole </w:t>
            </w:r>
            <w:r w:rsidR="00825645" w:rsidRPr="003B6EEA">
              <w:rPr>
                <w:rFonts w:asciiTheme="minorHAnsi" w:hAnsiTheme="minorHAnsi"/>
                <w:sz w:val="16"/>
                <w:szCs w:val="16"/>
              </w:rPr>
              <w:t>ŽoPl</w:t>
            </w:r>
            <w:r w:rsidRPr="003B6EEA">
              <w:rPr>
                <w:rFonts w:asciiTheme="minorHAnsi" w:hAnsiTheme="minorHAnsi"/>
                <w:sz w:val="16"/>
                <w:szCs w:val="16"/>
              </w:rPr>
              <w:t xml:space="preserve">, kde dochází ke kontrole VŘ z pohledu termínů, podmínek, dodání díla dle smlouvy apod. </w:t>
            </w:r>
          </w:p>
          <w:p w14:paraId="2BA4F372" w14:textId="77777777"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Očekávané dopady opatření:</w:t>
            </w:r>
          </w:p>
          <w:p w14:paraId="721C2983" w14:textId="2D0BF6AD" w:rsidR="007842A7" w:rsidRPr="003B6EEA" w:rsidRDefault="007842A7" w:rsidP="003F2002">
            <w:pPr>
              <w:pStyle w:val="BodyText1"/>
              <w:numPr>
                <w:ilvl w:val="0"/>
                <w:numId w:val="40"/>
              </w:numPr>
              <w:spacing w:after="120" w:line="240" w:lineRule="auto"/>
              <w:ind w:left="406"/>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Časová úspora a omezení počtu VŘ ke kontrole by vedla k omezení zpoždění, dodržování termínů, řádnému proplácení </w:t>
            </w:r>
            <w:r w:rsidR="00825645" w:rsidRPr="003B6EEA">
              <w:rPr>
                <w:rFonts w:asciiTheme="minorHAnsi" w:hAnsiTheme="minorHAnsi"/>
                <w:sz w:val="16"/>
                <w:szCs w:val="16"/>
              </w:rPr>
              <w:t>ŽoPl</w:t>
            </w:r>
            <w:r w:rsidRPr="003B6EEA">
              <w:rPr>
                <w:rFonts w:asciiTheme="minorHAnsi" w:hAnsiTheme="minorHAnsi"/>
                <w:sz w:val="16"/>
                <w:szCs w:val="16"/>
              </w:rPr>
              <w:t xml:space="preserve">. </w:t>
            </w:r>
          </w:p>
          <w:p w14:paraId="3D718345" w14:textId="02455B8A" w:rsidR="007842A7" w:rsidRPr="003B6EEA" w:rsidRDefault="007842A7" w:rsidP="003F2002">
            <w:pPr>
              <w:pStyle w:val="BodyText1"/>
              <w:numPr>
                <w:ilvl w:val="0"/>
                <w:numId w:val="40"/>
              </w:numPr>
              <w:spacing w:after="120" w:line="240" w:lineRule="auto"/>
              <w:ind w:left="406"/>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Navýšení limitů pro povinnost postupovat dle PpVD či ZzVZ by vedla k efektivnější, rychlejší realizaci projektů, snížení administrativní, časové i</w:t>
            </w:r>
            <w:r w:rsidR="00C61330" w:rsidRPr="003B6EEA">
              <w:rPr>
                <w:rFonts w:asciiTheme="minorHAnsi" w:hAnsiTheme="minorHAnsi"/>
                <w:sz w:val="16"/>
                <w:szCs w:val="16"/>
              </w:rPr>
              <w:t> </w:t>
            </w:r>
            <w:r w:rsidRPr="003B6EEA">
              <w:rPr>
                <w:rFonts w:asciiTheme="minorHAnsi" w:hAnsiTheme="minorHAnsi"/>
                <w:sz w:val="16"/>
                <w:szCs w:val="16"/>
              </w:rPr>
              <w:t>finanční zátěže příjemců.</w:t>
            </w:r>
          </w:p>
          <w:p w14:paraId="46C5D17F" w14:textId="3BBD9A22" w:rsidR="007842A7" w:rsidRPr="003B6EEA" w:rsidRDefault="007842A7" w:rsidP="003F2002">
            <w:pPr>
              <w:pStyle w:val="BodyText1"/>
              <w:numPr>
                <w:ilvl w:val="0"/>
                <w:numId w:val="40"/>
              </w:numPr>
              <w:spacing w:after="120" w:line="240" w:lineRule="auto"/>
              <w:ind w:left="406"/>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Navýšení limitů by vedlo k úspoře času spojené s nápravou formálních pochybení při zadávání VŘ či procesem nesrovnalostí u zhruba 50 % VŘ </w:t>
            </w:r>
            <w:r w:rsidR="5F7DC652" w:rsidRPr="1B8B314C">
              <w:rPr>
                <w:rFonts w:asciiTheme="minorHAnsi" w:hAnsiTheme="minorHAnsi"/>
                <w:sz w:val="16"/>
                <w:szCs w:val="16"/>
              </w:rPr>
              <w:t>s</w:t>
            </w:r>
            <w:r w:rsidRPr="1B8B314C">
              <w:rPr>
                <w:rFonts w:asciiTheme="minorHAnsi" w:hAnsiTheme="minorHAnsi"/>
                <w:sz w:val="16"/>
                <w:szCs w:val="16"/>
              </w:rPr>
              <w:t> nálezem.</w:t>
            </w:r>
          </w:p>
        </w:tc>
      </w:tr>
      <w:tr w:rsidR="007842A7" w:rsidRPr="003D1CBD" w14:paraId="7CA68A55" w14:textId="77777777" w:rsidTr="003F2002">
        <w:trPr>
          <w:trHeight w:val="1176"/>
        </w:trPr>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FFFFFF" w:themeColor="background1"/>
              <w:left w:val="none" w:sz="0" w:space="0" w:color="auto"/>
              <w:bottom w:val="single" w:sz="4" w:space="0" w:color="FFFFFF" w:themeColor="background1"/>
            </w:tcBorders>
          </w:tcPr>
          <w:p w14:paraId="3D01BC09" w14:textId="77777777" w:rsidR="007842A7" w:rsidRPr="003B6EEA" w:rsidRDefault="007842A7" w:rsidP="003F2002">
            <w:pPr>
              <w:pStyle w:val="BodyText1"/>
              <w:tabs>
                <w:tab w:val="left" w:pos="284"/>
              </w:tabs>
              <w:spacing w:after="120" w:line="240" w:lineRule="auto"/>
              <w:ind w:right="113"/>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lastRenderedPageBreak/>
              <w:t>Časová náročnost zavedení opatření v implementační struktuře</w:t>
            </w:r>
          </w:p>
        </w:tc>
        <w:tc>
          <w:tcPr>
            <w:tcW w:w="3947" w:type="pct"/>
            <w:shd w:val="clear" w:color="auto" w:fill="auto"/>
          </w:tcPr>
          <w:p w14:paraId="06977D17" w14:textId="77777777" w:rsidR="007842A7" w:rsidRPr="003B6EEA" w:rsidDel="009C21B9" w:rsidRDefault="007842A7"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opatření není spojeno s žádnou časovou náročností. Zavedení opatření si vyžádá pouze úpravu metodickým pokynem. Opatření by naopak znamenalo časovou úsporu v řádech 52 pracovních dní v případě navýšení limitu u VŘ dle ZzVZ a až 250 pracovních dní v případě navýšení limitu u VŘ dle PpVD na 5 mil. Kč. </w:t>
            </w:r>
          </w:p>
        </w:tc>
      </w:tr>
      <w:tr w:rsidR="007842A7" w:rsidRPr="003D1CBD" w14:paraId="54B66156"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FFFFFF" w:themeColor="background1"/>
              <w:left w:val="none" w:sz="0" w:space="0" w:color="auto"/>
              <w:bottom w:val="single" w:sz="4" w:space="0" w:color="FFFFFF" w:themeColor="background1"/>
            </w:tcBorders>
          </w:tcPr>
          <w:p w14:paraId="1C15DAD0" w14:textId="77777777" w:rsidR="007842A7" w:rsidRPr="003B6EEA" w:rsidRDefault="007842A7" w:rsidP="003F2002">
            <w:pPr>
              <w:pStyle w:val="BodyText1"/>
              <w:keepNext/>
              <w:keepLines/>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Personální náročnost zavedení opatření v implementační struktuře</w:t>
            </w:r>
          </w:p>
        </w:tc>
        <w:tc>
          <w:tcPr>
            <w:tcW w:w="3947" w:type="pct"/>
            <w:shd w:val="clear" w:color="auto" w:fill="auto"/>
          </w:tcPr>
          <w:p w14:paraId="0D7821D3" w14:textId="77777777"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Navrhované opatření není spojeno s nároky na personální kapacity pracovníků implementační struktury ani příjemců podpory. Naopak, zavedení opatření by uvolnilo významné kapacity pracovníků implementační struktury pro jiné úkoly. </w:t>
            </w:r>
          </w:p>
        </w:tc>
      </w:tr>
      <w:tr w:rsidR="007842A7" w:rsidRPr="003D1CBD" w14:paraId="28B3DE4D" w14:textId="77777777" w:rsidTr="003F2002">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FFFFFF" w:themeColor="background1"/>
              <w:left w:val="none" w:sz="0" w:space="0" w:color="auto"/>
              <w:bottom w:val="single" w:sz="4" w:space="0" w:color="FFFFFF" w:themeColor="background1"/>
            </w:tcBorders>
          </w:tcPr>
          <w:p w14:paraId="73C0F73B" w14:textId="77777777" w:rsidR="007842A7" w:rsidRPr="003B6EEA" w:rsidRDefault="007842A7"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 xml:space="preserve">Legislativní a metodická úprava </w:t>
            </w:r>
          </w:p>
        </w:tc>
        <w:tc>
          <w:tcPr>
            <w:tcW w:w="3947" w:type="pct"/>
            <w:shd w:val="clear" w:color="auto" w:fill="auto"/>
          </w:tcPr>
          <w:p w14:paraId="4CD98E37" w14:textId="77777777" w:rsidR="007842A7" w:rsidRPr="003B6EEA" w:rsidRDefault="007842A7"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 xml:space="preserve">VŘ dle ZzVZ </w:t>
            </w:r>
          </w:p>
          <w:p w14:paraId="5131B084" w14:textId="71D3F78A" w:rsidR="007842A7" w:rsidRPr="003B6EEA" w:rsidRDefault="007842A7"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 případě navýšení limitu pro postup při výběru dodavatele dle ZzVZ na 2 mil. Kč by se jednalo o změnu odstavce 5.3 Metodického pokynu pro oblast zadávání zakázek v programovém období 2014 – 2020 formou Metodického stanoviska. </w:t>
            </w:r>
          </w:p>
          <w:p w14:paraId="6BCC4F1C" w14:textId="77777777" w:rsidR="00347660" w:rsidRPr="003B6EEA" w:rsidRDefault="00347660"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p w14:paraId="0EBEF4D3" w14:textId="77777777" w:rsidR="007842A7" w:rsidRPr="003B6EEA" w:rsidRDefault="007842A7"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VŘ dle PpVD</w:t>
            </w:r>
          </w:p>
          <w:p w14:paraId="4EC2F813" w14:textId="77777777" w:rsidR="007842A7" w:rsidRPr="003B6EEA" w:rsidRDefault="007842A7"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Změna limitu pro povinnost postupovat při výběru dodavatele dle Pravidel by vyžadovalo změnu zákona o zadávání veřejných zakázek ve smyslu navýšení limitů pro VZMR, §27, z. č. 134/2016 Sb. Aktuální Sdělení 2019/C 370/01 Evropské komise ke snižování limitů se vztahuje pouze na podlimitní a nadlimitní veřejné zakázky, oblast VZMR je EK monitorována, ale zůstává v působnosti národních států. </w:t>
            </w:r>
          </w:p>
        </w:tc>
      </w:tr>
      <w:tr w:rsidR="007842A7" w:rsidRPr="003D1CBD" w14:paraId="777C663B"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FFFFFF" w:themeColor="background1"/>
              <w:left w:val="none" w:sz="0" w:space="0" w:color="auto"/>
              <w:bottom w:val="single" w:sz="4" w:space="0" w:color="FFFFFF" w:themeColor="background1"/>
            </w:tcBorders>
          </w:tcPr>
          <w:p w14:paraId="1763EAF2" w14:textId="73CEF100" w:rsidR="007842A7" w:rsidRPr="003B6EEA" w:rsidRDefault="007842A7" w:rsidP="003F2002">
            <w:pPr>
              <w:pStyle w:val="BodyText1"/>
              <w:spacing w:after="120" w:line="240" w:lineRule="auto"/>
              <w:ind w:right="112"/>
              <w:rPr>
                <w:rFonts w:asciiTheme="minorHAnsi" w:hAnsiTheme="minorHAnsi"/>
                <w:sz w:val="16"/>
                <w:szCs w:val="16"/>
              </w:rPr>
            </w:pPr>
            <w:r w:rsidRPr="1B8B314C">
              <w:rPr>
                <w:rFonts w:asciiTheme="minorHAnsi" w:hAnsiTheme="minorHAnsi"/>
                <w:color w:val="FFFFFF" w:themeColor="background1"/>
                <w:sz w:val="16"/>
                <w:szCs w:val="16"/>
              </w:rPr>
              <w:t>Časová a finanční náročnost zavedení opatření pro žadatele/příjemce</w:t>
            </w:r>
          </w:p>
        </w:tc>
        <w:tc>
          <w:tcPr>
            <w:tcW w:w="3947" w:type="pct"/>
            <w:shd w:val="clear" w:color="auto" w:fill="auto"/>
          </w:tcPr>
          <w:p w14:paraId="6F38F784" w14:textId="6500875B"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Opatření na navýšení limitů není spojeno s finančními náklady ani časovou náročností pro příjemce. Naopak na zvedení opatření je minimální a je spojeno výhradně s úpravou metodiky a zákona. </w:t>
            </w:r>
          </w:p>
        </w:tc>
      </w:tr>
      <w:tr w:rsidR="007842A7" w:rsidRPr="003D1CBD" w14:paraId="614366F3" w14:textId="77777777" w:rsidTr="003F2002">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FFFFFF" w:themeColor="background1"/>
              <w:left w:val="none" w:sz="0" w:space="0" w:color="auto"/>
              <w:bottom w:val="single" w:sz="4" w:space="0" w:color="FFFFFF" w:themeColor="background1"/>
            </w:tcBorders>
          </w:tcPr>
          <w:p w14:paraId="7A6AD932" w14:textId="77777777" w:rsidR="007842A7" w:rsidRPr="003B6EEA" w:rsidRDefault="007842A7"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Rizika plynoucí z nezavedení opatření</w:t>
            </w:r>
          </w:p>
        </w:tc>
        <w:tc>
          <w:tcPr>
            <w:tcW w:w="3947" w:type="pct"/>
            <w:shd w:val="clear" w:color="auto" w:fill="auto"/>
          </w:tcPr>
          <w:p w14:paraId="701B456D" w14:textId="71FD3B26" w:rsidR="007842A7" w:rsidRPr="003B6EEA" w:rsidRDefault="007842A7"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Rizikem nezavedení opatření je pokračující trend zahlcení pracovníků implementační struktury, nedodržování termínů kontroly a proplácení </w:t>
            </w:r>
            <w:r w:rsidR="00825645" w:rsidRPr="003B6EEA">
              <w:rPr>
                <w:rFonts w:asciiTheme="minorHAnsi" w:hAnsiTheme="minorHAnsi"/>
                <w:sz w:val="16"/>
                <w:szCs w:val="16"/>
              </w:rPr>
              <w:t>ŽoPl</w:t>
            </w:r>
            <w:r w:rsidRPr="003B6EEA">
              <w:rPr>
                <w:rFonts w:asciiTheme="minorHAnsi" w:hAnsiTheme="minorHAnsi"/>
                <w:sz w:val="16"/>
                <w:szCs w:val="16"/>
              </w:rPr>
              <w:t xml:space="preserve">. Rizikem je následně hrozba žalob a stížností příjemců, narůstající počet změn v důsledku zpoždění realizace projektů. </w:t>
            </w:r>
          </w:p>
        </w:tc>
      </w:tr>
      <w:tr w:rsidR="007842A7" w:rsidRPr="003D1CBD" w14:paraId="30A46FE7"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FFFFFF" w:themeColor="background1"/>
              <w:left w:val="none" w:sz="0" w:space="0" w:color="auto"/>
              <w:bottom w:val="single" w:sz="4" w:space="0" w:color="FFFFFF" w:themeColor="background1"/>
            </w:tcBorders>
          </w:tcPr>
          <w:p w14:paraId="71D157F5" w14:textId="77777777" w:rsidR="007842A7" w:rsidRPr="003B6EEA" w:rsidRDefault="007842A7"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Rizika plynoucí ze zavedení opatření</w:t>
            </w:r>
          </w:p>
        </w:tc>
        <w:tc>
          <w:tcPr>
            <w:tcW w:w="3947" w:type="pct"/>
            <w:shd w:val="clear" w:color="auto" w:fill="auto"/>
          </w:tcPr>
          <w:p w14:paraId="0728507D" w14:textId="36348F14" w:rsidR="007842A7" w:rsidRPr="003B6EEA" w:rsidRDefault="007842A7"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Rizikem opatření může být neodhalení případného podvodného jednání vybraných příjemců podpory. Nicméně ačkoli až 56 % kontrol se zjištěním bylo u VŘ do 5 mil. Kč, ze statistických údajů vyplývá, že drtivá většina pochybení při zadávání VŘ byla formální. V téměř všech případech se jednalo o nedodržení některé z formálních podmínek PpVD či ZzVZ či podmínek nastavených samotným příjemcem. Podezření na podvodné jednání bylo odhaleno pouze u</w:t>
            </w:r>
            <w:r w:rsidR="00C61330" w:rsidRPr="003B6EEA">
              <w:rPr>
                <w:rFonts w:asciiTheme="minorHAnsi" w:hAnsiTheme="minorHAnsi"/>
                <w:sz w:val="16"/>
                <w:szCs w:val="16"/>
              </w:rPr>
              <w:t> </w:t>
            </w:r>
            <w:r w:rsidRPr="003B6EEA">
              <w:rPr>
                <w:rFonts w:asciiTheme="minorHAnsi" w:hAnsiTheme="minorHAnsi"/>
                <w:sz w:val="16"/>
                <w:szCs w:val="16"/>
              </w:rPr>
              <w:t>jediného ze všech 147 nálezů.</w:t>
            </w:r>
            <w:r w:rsidRPr="003B6EEA">
              <w:rPr>
                <w:rStyle w:val="FootnoteReference"/>
                <w:rFonts w:asciiTheme="minorHAnsi" w:hAnsiTheme="minorHAnsi"/>
                <w:sz w:val="16"/>
                <w:szCs w:val="16"/>
              </w:rPr>
              <w:footnoteReference w:id="36"/>
            </w:r>
            <w:r w:rsidRPr="003B6EEA">
              <w:rPr>
                <w:rFonts w:asciiTheme="minorHAnsi" w:hAnsiTheme="minorHAnsi"/>
                <w:sz w:val="16"/>
                <w:szCs w:val="16"/>
              </w:rPr>
              <w:t xml:space="preserve"> Přitom formální chybovost při VŘ je často důsledkem omezené kapacity malých a středních podniků orientovat se ve složitých podmínkách PpVD a ZzVZ, nikoli úmyslu. </w:t>
            </w:r>
          </w:p>
        </w:tc>
      </w:tr>
      <w:tr w:rsidR="007842A7" w:rsidRPr="003D1CBD" w14:paraId="71FF657A" w14:textId="77777777" w:rsidTr="003F2002">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FFFFFF" w:themeColor="background1"/>
              <w:left w:val="none" w:sz="0" w:space="0" w:color="auto"/>
              <w:bottom w:val="none" w:sz="0" w:space="0" w:color="auto"/>
            </w:tcBorders>
          </w:tcPr>
          <w:p w14:paraId="2F65B601" w14:textId="77777777" w:rsidR="007842A7" w:rsidRPr="003B6EEA" w:rsidRDefault="007842A7"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 xml:space="preserve">Personální zopodvědnost za zavedení opatření </w:t>
            </w:r>
          </w:p>
        </w:tc>
        <w:tc>
          <w:tcPr>
            <w:tcW w:w="3947" w:type="pct"/>
            <w:shd w:val="clear" w:color="auto" w:fill="auto"/>
          </w:tcPr>
          <w:p w14:paraId="6C0409F8" w14:textId="60559FB9" w:rsidR="007842A7" w:rsidRPr="003B6EEA" w:rsidRDefault="007842A7"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Zavedení opatření musí iniciovat ŘO, tedy MPO vznesením podnětu na </w:t>
            </w:r>
            <w:r w:rsidR="76078ABE" w:rsidRPr="1B8B314C">
              <w:rPr>
                <w:rFonts w:asciiTheme="minorHAnsi" w:hAnsiTheme="minorHAnsi"/>
                <w:sz w:val="16"/>
                <w:szCs w:val="16"/>
              </w:rPr>
              <w:t>MMR-NOK</w:t>
            </w:r>
            <w:r w:rsidRPr="1B8B314C">
              <w:rPr>
                <w:rFonts w:asciiTheme="minorHAnsi" w:hAnsiTheme="minorHAnsi"/>
                <w:sz w:val="16"/>
                <w:szCs w:val="16"/>
              </w:rPr>
              <w:t>. Úprava Metodického pokynu pro oblast zadávání zakázek v PO 2014 – 2020 ve vztahu k navýšení limitů VŘ dle zákona, je v gesci MMR.</w:t>
            </w:r>
          </w:p>
        </w:tc>
      </w:tr>
    </w:tbl>
    <w:p w14:paraId="7C54563A" w14:textId="5BC35972" w:rsidR="00EB2730" w:rsidRDefault="00EB2730" w:rsidP="00EB2730">
      <w:pPr>
        <w:jc w:val="both"/>
      </w:pPr>
    </w:p>
    <w:p w14:paraId="704B3F01" w14:textId="5B144FA3" w:rsidR="00FD54B8" w:rsidRDefault="00FD54B8" w:rsidP="00FD54B8">
      <w:pPr>
        <w:pStyle w:val="Heading2"/>
      </w:pPr>
      <w:bookmarkStart w:id="28" w:name="_Toc52532092"/>
      <w:r>
        <w:t>Optimalizační opatření č.</w:t>
      </w:r>
      <w:r w:rsidR="00D40318">
        <w:t xml:space="preserve"> </w:t>
      </w:r>
      <w:r>
        <w:t>4: Úprava podmínek kontrol na místě a administrace nesrovnalostí</w:t>
      </w:r>
      <w:bookmarkEnd w:id="28"/>
    </w:p>
    <w:p w14:paraId="7E51671E" w14:textId="7ABC6290" w:rsidR="00FD54B8" w:rsidRPr="00FD54B8" w:rsidRDefault="00323B28" w:rsidP="00ED31A7">
      <w:pPr>
        <w:jc w:val="both"/>
      </w:pPr>
      <w:r>
        <w:t>Následující opatření vyplývá</w:t>
      </w:r>
      <w:r w:rsidR="00FD54B8">
        <w:t xml:space="preserve"> ze zevrubné diskuse se zástupci Odb</w:t>
      </w:r>
      <w:r>
        <w:t>o</w:t>
      </w:r>
      <w:r w:rsidR="00FD54B8">
        <w:t>r</w:t>
      </w:r>
      <w:r>
        <w:t>u kontrol a nesrovnalostí MPO a předkládá celý soubor několika dílčích opatření.</w:t>
      </w:r>
      <w:r w:rsidR="00E22203">
        <w:t xml:space="preserve"> V případě KnM bylo upuštěno od návrhu provazby KnM na Z</w:t>
      </w:r>
      <w:r w:rsidR="00825645">
        <w:t>ŽoPl</w:t>
      </w:r>
      <w:r w:rsidR="00E22203">
        <w:t xml:space="preserve"> z důvodu vysokého rizika pozdní identifikace nesrovnalostí s případnými vyššími finančními dopady na příjemce. Zvolena proto byla náhradní a vhodnější varianta odvázání KnM zcela od </w:t>
      </w:r>
      <w:r w:rsidR="00825645">
        <w:t>ŽoPl</w:t>
      </w:r>
      <w:r w:rsidR="00E22203">
        <w:t xml:space="preserve">. </w:t>
      </w:r>
      <w:r w:rsidR="004D177D">
        <w:t xml:space="preserve">V případě procesu Nesrovnalostí se následně jedná o návrh na zrušení sankčního mechanismu při nedodání (Z)ZoU při současném zavedení systému automatických notifikací do datové schránky příjemce. </w:t>
      </w:r>
    </w:p>
    <w:p w14:paraId="599F183F" w14:textId="7B6BEAC5" w:rsidR="00FD54B8" w:rsidRDefault="00FD54B8" w:rsidP="00FD54B8">
      <w:pPr>
        <w:pStyle w:val="Caption"/>
      </w:pPr>
      <w:bookmarkStart w:id="29" w:name="_Toc52532109"/>
      <w:r>
        <w:lastRenderedPageBreak/>
        <w:t xml:space="preserve">Tabulka </w:t>
      </w:r>
      <w:r>
        <w:fldChar w:fldCharType="begin"/>
      </w:r>
      <w:r>
        <w:instrText xml:space="preserve"> SEQ Tabulka \* ARABIC </w:instrText>
      </w:r>
      <w:r>
        <w:fldChar w:fldCharType="separate"/>
      </w:r>
      <w:r w:rsidR="008E1911">
        <w:rPr>
          <w:noProof/>
        </w:rPr>
        <w:t>11</w:t>
      </w:r>
      <w:r>
        <w:rPr>
          <w:noProof/>
        </w:rPr>
        <w:fldChar w:fldCharType="end"/>
      </w:r>
      <w:r>
        <w:t xml:space="preserve"> </w:t>
      </w:r>
      <w:r w:rsidR="00323B28">
        <w:t>Optimalizační opatření č.</w:t>
      </w:r>
      <w:r w:rsidR="00D40318">
        <w:t xml:space="preserve"> </w:t>
      </w:r>
      <w:r w:rsidR="00323B28">
        <w:t>4: Úprava podmínek kontrol na místě a administrace nesrovnalostí</w:t>
      </w:r>
      <w:bookmarkEnd w:id="29"/>
    </w:p>
    <w:tbl>
      <w:tblPr>
        <w:tblStyle w:val="GridTable5Dark-Accent1"/>
        <w:tblW w:w="5000" w:type="pct"/>
        <w:tblBorders>
          <w:bottom w:val="single" w:sz="4" w:space="0" w:color="86BC25" w:themeColor="accent1"/>
          <w:right w:val="single" w:sz="4" w:space="0" w:color="86BC25" w:themeColor="accent1"/>
          <w:insideH w:val="single" w:sz="4" w:space="0" w:color="86BC25" w:themeColor="accent1"/>
        </w:tblBorders>
        <w:tblCellMar>
          <w:top w:w="29" w:type="dxa"/>
          <w:left w:w="115" w:type="dxa"/>
          <w:bottom w:w="29" w:type="dxa"/>
          <w:right w:w="115" w:type="dxa"/>
        </w:tblCellMar>
        <w:tblLook w:val="04A0" w:firstRow="1" w:lastRow="0" w:firstColumn="1" w:lastColumn="0" w:noHBand="0" w:noVBand="1"/>
      </w:tblPr>
      <w:tblGrid>
        <w:gridCol w:w="2000"/>
        <w:gridCol w:w="7736"/>
      </w:tblGrid>
      <w:tr w:rsidR="00FD54B8" w:rsidRPr="001F5B37" w14:paraId="7F51E389" w14:textId="77777777" w:rsidTr="003F2002">
        <w:trPr>
          <w:cnfStyle w:val="100000000000" w:firstRow="1" w:lastRow="0" w:firstColumn="0" w:lastColumn="0" w:oddVBand="0" w:evenVBand="0" w:oddHBand="0" w:evenHBand="0" w:firstRowFirstColumn="0" w:firstRowLastColumn="0" w:lastRowFirstColumn="0" w:lastRowLastColumn="0"/>
          <w:trHeight w:val="356"/>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right w:val="none" w:sz="0" w:space="0" w:color="auto"/>
            </w:tcBorders>
          </w:tcPr>
          <w:p w14:paraId="477219BB" w14:textId="3BB567C3" w:rsidR="00FD54B8" w:rsidRPr="003B6EEA" w:rsidRDefault="00B050E8" w:rsidP="003F2002">
            <w:pPr>
              <w:pStyle w:val="BodyText1"/>
              <w:spacing w:after="120" w:line="240" w:lineRule="auto"/>
              <w:rPr>
                <w:rFonts w:asciiTheme="minorHAnsi" w:hAnsiTheme="minorHAnsi"/>
                <w:b w:val="0"/>
                <w:color w:val="D0D0CE" w:themeColor="background2"/>
                <w:sz w:val="16"/>
                <w:szCs w:val="16"/>
              </w:rPr>
            </w:pPr>
            <w:r w:rsidRPr="003B6EEA">
              <w:rPr>
                <w:rFonts w:asciiTheme="minorHAnsi" w:hAnsiTheme="minorHAnsi"/>
                <w:color w:val="FFFFFF" w:themeColor="background1"/>
                <w:sz w:val="16"/>
                <w:szCs w:val="16"/>
              </w:rPr>
              <w:t>Úprava podmínek kontrol na místě a administrace nesrovnalostí</w:t>
            </w:r>
          </w:p>
        </w:tc>
      </w:tr>
      <w:tr w:rsidR="00FD54B8" w:rsidRPr="001F5B37" w14:paraId="124A96EF"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bottom w:val="single" w:sz="4" w:space="0" w:color="FFFFFF" w:themeColor="background1"/>
            </w:tcBorders>
          </w:tcPr>
          <w:p w14:paraId="0392FF5A" w14:textId="77777777" w:rsidR="00FD54B8" w:rsidRPr="003B6EEA" w:rsidRDefault="00FD54B8"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Popis současného stavu</w:t>
            </w:r>
          </w:p>
        </w:tc>
        <w:tc>
          <w:tcPr>
            <w:tcW w:w="3986" w:type="pct"/>
            <w:shd w:val="clear" w:color="auto" w:fill="auto"/>
          </w:tcPr>
          <w:p w14:paraId="395AC77C" w14:textId="7777777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Kontroly na místě</w:t>
            </w:r>
          </w:p>
          <w:p w14:paraId="6AA3A4D4" w14:textId="30C9153D"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Kontroly na místě se řídí dle platných metodických pokynů a probíhají na vzorku projektů dle D18_1_M_Metodika kontrol na místě a výběru vzorků. Vzorek projektů je vybírán ze soupisky aktuálních </w:t>
            </w:r>
            <w:r w:rsidR="00825645" w:rsidRPr="003B6EEA">
              <w:rPr>
                <w:rFonts w:asciiTheme="minorHAnsi" w:hAnsiTheme="minorHAnsi"/>
                <w:sz w:val="16"/>
                <w:szCs w:val="16"/>
              </w:rPr>
              <w:t>ŽoPl</w:t>
            </w:r>
            <w:r w:rsidRPr="003B6EEA">
              <w:rPr>
                <w:rFonts w:asciiTheme="minorHAnsi" w:hAnsiTheme="minorHAnsi"/>
                <w:sz w:val="16"/>
                <w:szCs w:val="16"/>
              </w:rPr>
              <w:t xml:space="preserve">, kterou zasílá s týdenní periodicitou API na Oddělení kontrol na místě na MPO. Výběr vzorku je tedy navázán na podané žádosti o platbu při zohlednění kritéria velikosti rozpočtu projektu a rizikovosti projektu. Kontrola na místě probíhá před kontrolou </w:t>
            </w:r>
            <w:r w:rsidR="00825645" w:rsidRPr="003B6EEA">
              <w:rPr>
                <w:rFonts w:asciiTheme="minorHAnsi" w:hAnsiTheme="minorHAnsi"/>
                <w:sz w:val="16"/>
                <w:szCs w:val="16"/>
              </w:rPr>
              <w:t>ŽoPl</w:t>
            </w:r>
            <w:r w:rsidRPr="003B6EEA">
              <w:rPr>
                <w:rFonts w:asciiTheme="minorHAnsi" w:hAnsiTheme="minorHAnsi"/>
                <w:sz w:val="16"/>
                <w:szCs w:val="16"/>
              </w:rPr>
              <w:t xml:space="preserve">, respektive kontrola a proplacení </w:t>
            </w:r>
            <w:r w:rsidR="00825645" w:rsidRPr="003B6EEA">
              <w:rPr>
                <w:rFonts w:asciiTheme="minorHAnsi" w:hAnsiTheme="minorHAnsi"/>
                <w:sz w:val="16"/>
                <w:szCs w:val="16"/>
              </w:rPr>
              <w:t>ŽoPl</w:t>
            </w:r>
            <w:r w:rsidRPr="003B6EEA">
              <w:rPr>
                <w:rFonts w:asciiTheme="minorHAnsi" w:hAnsiTheme="minorHAnsi"/>
                <w:sz w:val="16"/>
                <w:szCs w:val="16"/>
              </w:rPr>
              <w:t xml:space="preserve"> je navázána na výsledek KnM. Tato provázanost často vede ke zpoždění při dodržování termínů pro proplácení </w:t>
            </w:r>
            <w:r w:rsidR="00825645" w:rsidRPr="003B6EEA">
              <w:rPr>
                <w:rFonts w:asciiTheme="minorHAnsi" w:hAnsiTheme="minorHAnsi"/>
                <w:sz w:val="16"/>
                <w:szCs w:val="16"/>
              </w:rPr>
              <w:t>ŽoPl</w:t>
            </w:r>
            <w:r w:rsidRPr="003B6EEA">
              <w:rPr>
                <w:rFonts w:asciiTheme="minorHAnsi" w:hAnsiTheme="minorHAnsi"/>
                <w:sz w:val="16"/>
                <w:szCs w:val="16"/>
              </w:rPr>
              <w:t xml:space="preserve">, což může vést sekundárně k problémům s cash-flow u příjemců podpory. </w:t>
            </w:r>
          </w:p>
          <w:p w14:paraId="22F74F7B" w14:textId="0F4E1551"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Od roku 2016 bylo zrealizováno 768 KnM, z toho 122 (tedy 15 %) bylo ukončeno se zjištěním (v celkové výši nezpůsobilých výdajů v hodnotě 416 287 129 Kč</w:t>
            </w:r>
            <w:r w:rsidR="65C16D89" w:rsidRPr="1B8B314C">
              <w:rPr>
                <w:rFonts w:asciiTheme="minorHAnsi" w:hAnsiTheme="minorHAnsi"/>
                <w:sz w:val="16"/>
                <w:szCs w:val="16"/>
              </w:rPr>
              <w:t>)</w:t>
            </w:r>
            <w:r w:rsidRPr="1B8B314C">
              <w:rPr>
                <w:rFonts w:asciiTheme="minorHAnsi" w:hAnsiTheme="minorHAnsi"/>
                <w:sz w:val="16"/>
                <w:szCs w:val="16"/>
              </w:rPr>
              <w:t>, 584 KnM (tedy 76 %) bylo ukončeno bez zjištění. U 34 projektů byla KnM vykonána opakovaně.</w:t>
            </w:r>
          </w:p>
          <w:p w14:paraId="0FEE2C0F" w14:textId="7777777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Nesrovnalosti</w:t>
            </w:r>
          </w:p>
          <w:p w14:paraId="567C4F72" w14:textId="4FDD6B1A"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Od začátku současného programového období bylo evidováno zhruba 553 nadlimitních nesrovnalostí, s mediánovou výší nesrovnalosti 47 600 Kč. V 70 případech projektů se jednalo o opakované zjištění nesrovnalosti. V případě 156 případů se jedná o Nesrovnalost související s nepředložením Zprávy o</w:t>
            </w:r>
            <w:r w:rsidR="00C61330" w:rsidRPr="1B8B314C">
              <w:rPr>
                <w:rFonts w:asciiTheme="minorHAnsi" w:hAnsiTheme="minorHAnsi"/>
                <w:sz w:val="16"/>
                <w:szCs w:val="16"/>
              </w:rPr>
              <w:t> </w:t>
            </w:r>
            <w:r w:rsidRPr="1B8B314C">
              <w:rPr>
                <w:rFonts w:asciiTheme="minorHAnsi" w:hAnsiTheme="minorHAnsi"/>
                <w:sz w:val="16"/>
                <w:szCs w:val="16"/>
              </w:rPr>
              <w:t xml:space="preserve">udržitelnosti projektu s mediánovou výší nesrovnalosti 8 700 Kč a celkovou výší 8,5 mil. Kč. Současně bylo od začátku programového období evidováno 251 podlimitních nesrovnalostí, pod hranicí 1 000 Kč. Tyto nesrovnalosti následně sice nejsou od příjemců vymáhány, ale z důvodů kumulativnosti musí docházet k jejich sledování po celou dobu projektu. </w:t>
            </w:r>
          </w:p>
          <w:p w14:paraId="7A00B402" w14:textId="5CF3789D"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Do procesu Nesrovnalostí jsou zapojeny všechny subjekty implementační struktury OP PIK, od projektových manažerů API, po Odbor kontrol na místě a</w:t>
            </w:r>
            <w:r w:rsidR="00C61330" w:rsidRPr="003B6EEA">
              <w:rPr>
                <w:rFonts w:asciiTheme="minorHAnsi" w:hAnsiTheme="minorHAnsi"/>
                <w:sz w:val="16"/>
                <w:szCs w:val="16"/>
              </w:rPr>
              <w:t xml:space="preserve"> </w:t>
            </w:r>
            <w:r w:rsidRPr="003B6EEA">
              <w:rPr>
                <w:rFonts w:asciiTheme="minorHAnsi" w:hAnsiTheme="minorHAnsi"/>
                <w:sz w:val="16"/>
                <w:szCs w:val="16"/>
              </w:rPr>
              <w:t>nesrovnalostí ŘO, věcné útvary ŘO, Odbor rozpočtu a financování, ČMZRB a další. Proces hlášení nesrovnalostí a následného vymáhání nezpůsobilých výdajů je spojen s administrativní náročností, jejíž časová délka bývá odhadována na modelovém případě vnitřní nesrovnalosti průměrně následovně:</w:t>
            </w:r>
            <w:r w:rsidRPr="003B6EEA">
              <w:rPr>
                <w:rStyle w:val="FootnoteReference"/>
                <w:rFonts w:asciiTheme="minorHAnsi" w:hAnsiTheme="minorHAnsi"/>
                <w:sz w:val="16"/>
                <w:szCs w:val="16"/>
              </w:rPr>
              <w:footnoteReference w:id="37"/>
            </w:r>
          </w:p>
          <w:p w14:paraId="0806AAA3"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Oznámení podezření na nesrovnalost na API – 15 min.</w:t>
            </w:r>
          </w:p>
          <w:p w14:paraId="02CCF713"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Schválení a založení Nesrovnalosti v MS2014+ na MPO – 15 min.</w:t>
            </w:r>
          </w:p>
          <w:p w14:paraId="0C2F4ECD"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Stanovení částky finančního dopadu – 15 min.</w:t>
            </w:r>
          </w:p>
          <w:p w14:paraId="0DEEB91D"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Formulace výzvy věcným útvarem – 15 min.</w:t>
            </w:r>
          </w:p>
          <w:p w14:paraId="1A403F35"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Schvalovací a podpisový proces – 15 min.</w:t>
            </w:r>
          </w:p>
          <w:p w14:paraId="2DC588E4"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Vložení a zaslání datovou schránkou – 15 min.</w:t>
            </w:r>
          </w:p>
          <w:p w14:paraId="0E21709B"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Aktualizace záznamu – 5 min.</w:t>
            </w:r>
          </w:p>
          <w:p w14:paraId="33E99701"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Předání OKIA – 10 min.</w:t>
            </w:r>
          </w:p>
          <w:p w14:paraId="2352D566"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Kontrola hlášení nesrovnalosti – 10 min. </w:t>
            </w:r>
          </w:p>
          <w:p w14:paraId="3BD16596"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Předání PRK k vymáhání OFS – 10 min.</w:t>
            </w:r>
          </w:p>
          <w:p w14:paraId="6B32FE2C"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Informace pro PCO – 10 min. </w:t>
            </w:r>
          </w:p>
          <w:p w14:paraId="1E4DDBDE"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Předání OFS k vymáhání odvodu, pokud příjemce nevrátí dlužnou částku ve stanovené lhůtě – 10 min.</w:t>
            </w:r>
          </w:p>
          <w:p w14:paraId="2BF88D1F"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Návrh alternativního způsobu vymáhání – 10 min.</w:t>
            </w:r>
          </w:p>
          <w:p w14:paraId="794A9DF3"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Monitoring vymáhaných případů – 10 min. </w:t>
            </w:r>
          </w:p>
          <w:p w14:paraId="3E9A5C41" w14:textId="77777777" w:rsidR="00FD54B8" w:rsidRPr="003B6EEA" w:rsidRDefault="00FD54B8" w:rsidP="003F2002">
            <w:pPr>
              <w:pStyle w:val="BodyText1"/>
              <w:numPr>
                <w:ilvl w:val="0"/>
                <w:numId w:val="42"/>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Uzavření případu – 10 min.</w:t>
            </w:r>
          </w:p>
          <w:p w14:paraId="1BA7E00A" w14:textId="514D976A"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 uvedeného popisu vyplývá minimální náročnost procesu administrace nesrovnalosti v rozsahu zhruba 180 minut pouze na straně ŘO a ZS. V případě 553 nesrovnalostí by se tak mohlo jednat o zhruba 1 660 hodin, tedy 207 pracovních dnů. V případě 156 nesrovnalostí z důvodu nepředložení zprávy o</w:t>
            </w:r>
            <w:r w:rsidR="00C61330" w:rsidRPr="003B6EEA">
              <w:rPr>
                <w:rFonts w:asciiTheme="minorHAnsi" w:hAnsiTheme="minorHAnsi"/>
                <w:sz w:val="16"/>
                <w:szCs w:val="16"/>
              </w:rPr>
              <w:t> </w:t>
            </w:r>
            <w:r w:rsidRPr="003B6EEA">
              <w:rPr>
                <w:rFonts w:asciiTheme="minorHAnsi" w:hAnsiTheme="minorHAnsi"/>
                <w:sz w:val="16"/>
                <w:szCs w:val="16"/>
              </w:rPr>
              <w:t>udržitelnosti by se tak jednalo o zhruba 470 hodin, tedy 3 pracovní měsíce.</w:t>
            </w:r>
          </w:p>
        </w:tc>
      </w:tr>
      <w:tr w:rsidR="00FD54B8" w:rsidRPr="001F5B37" w14:paraId="375034C4" w14:textId="77777777" w:rsidTr="003F2002">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528D043F" w14:textId="77777777" w:rsidR="00FD54B8" w:rsidRPr="003B6EEA" w:rsidRDefault="00FD54B8" w:rsidP="003F2002">
            <w:pPr>
              <w:pStyle w:val="BodyText1"/>
              <w:spacing w:after="120" w:line="240" w:lineRule="auto"/>
              <w:ind w:right="112"/>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lastRenderedPageBreak/>
              <w:t>Popis cílového stavu</w:t>
            </w:r>
          </w:p>
        </w:tc>
        <w:tc>
          <w:tcPr>
            <w:tcW w:w="3986" w:type="pct"/>
            <w:shd w:val="clear" w:color="auto" w:fill="auto"/>
          </w:tcPr>
          <w:p w14:paraId="06E8D249"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Kontroly na místě</w:t>
            </w:r>
          </w:p>
          <w:p w14:paraId="2CD7F57D"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V případě KnM jsou možnosti několika optimalizačních opatření:</w:t>
            </w:r>
          </w:p>
          <w:p w14:paraId="15D60A28" w14:textId="0EE87F21" w:rsidR="00FD54B8" w:rsidRPr="003B6EEA" w:rsidRDefault="00FD54B8" w:rsidP="003F2002">
            <w:pPr>
              <w:pStyle w:val="BodyText1"/>
              <w:numPr>
                <w:ilvl w:val="0"/>
                <w:numId w:val="43"/>
              </w:numPr>
              <w:spacing w:after="120" w:line="240" w:lineRule="auto"/>
              <w:ind w:left="3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Cílem prvního navrhovaného opatření je </w:t>
            </w:r>
            <w:r w:rsidRPr="003B6EEA">
              <w:rPr>
                <w:rFonts w:asciiTheme="minorHAnsi" w:hAnsiTheme="minorHAnsi"/>
                <w:b/>
                <w:sz w:val="16"/>
                <w:szCs w:val="16"/>
              </w:rPr>
              <w:t xml:space="preserve">nevázat výkon KnM na </w:t>
            </w:r>
            <w:r w:rsidR="00825645" w:rsidRPr="003B6EEA">
              <w:rPr>
                <w:rFonts w:asciiTheme="minorHAnsi" w:hAnsiTheme="minorHAnsi"/>
                <w:b/>
                <w:sz w:val="16"/>
                <w:szCs w:val="16"/>
              </w:rPr>
              <w:t>ŽoPl</w:t>
            </w:r>
            <w:r w:rsidRPr="003B6EEA">
              <w:rPr>
                <w:rFonts w:asciiTheme="minorHAnsi" w:hAnsiTheme="minorHAnsi"/>
                <w:sz w:val="16"/>
                <w:szCs w:val="16"/>
              </w:rPr>
              <w:t xml:space="preserve">, ale umožnit jejich výkon kdykoli v průběhu realizace projektu. Ačkoli je cílem této provázanosti minimalizovat počet chyb v rámci </w:t>
            </w:r>
            <w:r w:rsidR="00825645" w:rsidRPr="003B6EEA">
              <w:rPr>
                <w:rFonts w:asciiTheme="minorHAnsi" w:hAnsiTheme="minorHAnsi"/>
                <w:sz w:val="16"/>
                <w:szCs w:val="16"/>
              </w:rPr>
              <w:t>ŽoPl</w:t>
            </w:r>
            <w:r w:rsidRPr="003B6EEA">
              <w:rPr>
                <w:rFonts w:asciiTheme="minorHAnsi" w:hAnsiTheme="minorHAnsi"/>
                <w:sz w:val="16"/>
                <w:szCs w:val="16"/>
              </w:rPr>
              <w:t xml:space="preserve">, tato závislost vede k dlouhým prodlevám při schvalování a proplácení </w:t>
            </w:r>
            <w:r w:rsidR="00825645" w:rsidRPr="003B6EEA">
              <w:rPr>
                <w:rFonts w:asciiTheme="minorHAnsi" w:hAnsiTheme="minorHAnsi"/>
                <w:sz w:val="16"/>
                <w:szCs w:val="16"/>
              </w:rPr>
              <w:t>ŽoPl</w:t>
            </w:r>
            <w:r w:rsidRPr="003B6EEA">
              <w:rPr>
                <w:rFonts w:asciiTheme="minorHAnsi" w:hAnsiTheme="minorHAnsi"/>
                <w:sz w:val="16"/>
                <w:szCs w:val="16"/>
              </w:rPr>
              <w:t xml:space="preserve">, mimo jiné kvůli kumulaci </w:t>
            </w:r>
            <w:r w:rsidR="00825645" w:rsidRPr="003B6EEA">
              <w:rPr>
                <w:rFonts w:asciiTheme="minorHAnsi" w:hAnsiTheme="minorHAnsi"/>
                <w:sz w:val="16"/>
                <w:szCs w:val="16"/>
              </w:rPr>
              <w:t>ŽoPl</w:t>
            </w:r>
            <w:r w:rsidRPr="003B6EEA">
              <w:rPr>
                <w:rFonts w:asciiTheme="minorHAnsi" w:hAnsiTheme="minorHAnsi"/>
                <w:sz w:val="16"/>
                <w:szCs w:val="16"/>
              </w:rPr>
              <w:t xml:space="preserve"> v několika měsících v roce. Vázat KnM na Z</w:t>
            </w:r>
            <w:r w:rsidR="00825645" w:rsidRPr="003B6EEA">
              <w:rPr>
                <w:rFonts w:asciiTheme="minorHAnsi" w:hAnsiTheme="minorHAnsi"/>
                <w:sz w:val="16"/>
                <w:szCs w:val="16"/>
              </w:rPr>
              <w:t>ŽoPl</w:t>
            </w:r>
            <w:r w:rsidRPr="003B6EEA">
              <w:rPr>
                <w:rFonts w:asciiTheme="minorHAnsi" w:hAnsiTheme="minorHAnsi"/>
                <w:sz w:val="16"/>
                <w:szCs w:val="16"/>
              </w:rPr>
              <w:t xml:space="preserve"> není žádoucí především u více-etapových projektů, kde hrozí pozdní odhalení nesrovnalostí a následné vymáhání vyšších částek, což může vést k vysoké jednorázové finanční zátěži pro příjemce po ukončení projektu, tak finančních úřadů a</w:t>
            </w:r>
            <w:r w:rsidR="00C61330" w:rsidRPr="003B6EEA">
              <w:rPr>
                <w:rFonts w:asciiTheme="minorHAnsi" w:hAnsiTheme="minorHAnsi"/>
                <w:sz w:val="16"/>
                <w:szCs w:val="16"/>
              </w:rPr>
              <w:t> </w:t>
            </w:r>
            <w:r w:rsidRPr="003B6EEA">
              <w:rPr>
                <w:rFonts w:asciiTheme="minorHAnsi" w:hAnsiTheme="minorHAnsi"/>
                <w:sz w:val="16"/>
                <w:szCs w:val="16"/>
              </w:rPr>
              <w:t xml:space="preserve">samotné implementační struktury OP PIK. </w:t>
            </w:r>
          </w:p>
          <w:p w14:paraId="4F506DEE" w14:textId="77777777" w:rsidR="00FD54B8" w:rsidRPr="003B6EEA" w:rsidRDefault="00FD54B8" w:rsidP="003F2002">
            <w:pPr>
              <w:pStyle w:val="BodyText1"/>
              <w:numPr>
                <w:ilvl w:val="0"/>
                <w:numId w:val="43"/>
              </w:numPr>
              <w:spacing w:after="120" w:line="240" w:lineRule="auto"/>
              <w:ind w:left="3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Druhým navrhovaným opatřením je zavedení povinné </w:t>
            </w:r>
            <w:r w:rsidRPr="003B6EEA">
              <w:rPr>
                <w:rFonts w:asciiTheme="minorHAnsi" w:hAnsiTheme="minorHAnsi"/>
                <w:b/>
                <w:sz w:val="16"/>
                <w:szCs w:val="16"/>
              </w:rPr>
              <w:t>účasti zadavatele požadavku na KnM ze strany ZS (projektový manažer API) v kontrolní skupině</w:t>
            </w:r>
            <w:r w:rsidRPr="003B6EEA">
              <w:rPr>
                <w:rFonts w:asciiTheme="minorHAnsi" w:hAnsiTheme="minorHAnsi"/>
                <w:sz w:val="16"/>
                <w:szCs w:val="16"/>
              </w:rPr>
              <w:t>. Projektový manažer, který podá na ŘO požadavek na provedení KnM by se měl KnM aktivně účastnit. Toto opatření podpoří kontinuální dozor projektů a omezí nadbytečné zadávání požadavků na KnM.</w:t>
            </w:r>
          </w:p>
          <w:p w14:paraId="5B9635A6" w14:textId="77777777" w:rsidR="00FD54B8" w:rsidRPr="003B6EEA" w:rsidRDefault="00FD54B8" w:rsidP="003F2002">
            <w:pPr>
              <w:pStyle w:val="BodyText1"/>
              <w:numPr>
                <w:ilvl w:val="0"/>
                <w:numId w:val="43"/>
              </w:numPr>
              <w:spacing w:after="120" w:line="240" w:lineRule="auto"/>
              <w:ind w:left="3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Třetím navrhovaným opatřením je </w:t>
            </w:r>
            <w:r w:rsidRPr="003B6EEA">
              <w:rPr>
                <w:rFonts w:asciiTheme="minorHAnsi" w:hAnsiTheme="minorHAnsi"/>
                <w:b/>
                <w:sz w:val="16"/>
                <w:szCs w:val="16"/>
              </w:rPr>
              <w:t>svěření výkonu KnM externímu dodavateli</w:t>
            </w:r>
            <w:r w:rsidRPr="003B6EEA">
              <w:rPr>
                <w:rFonts w:asciiTheme="minorHAnsi" w:hAnsiTheme="minorHAnsi"/>
                <w:sz w:val="16"/>
                <w:szCs w:val="16"/>
              </w:rPr>
              <w:t xml:space="preserve"> na základě výběru dle zákona č. 137/2006 Sb. o veřejných zakázkách. </w:t>
            </w:r>
          </w:p>
          <w:p w14:paraId="2C951A9D" w14:textId="77777777" w:rsidR="00FD54B8" w:rsidRPr="003B6EEA" w:rsidRDefault="00FD54B8" w:rsidP="003F2002">
            <w:pPr>
              <w:pStyle w:val="BodyText1"/>
              <w:numPr>
                <w:ilvl w:val="0"/>
                <w:numId w:val="43"/>
              </w:numPr>
              <w:spacing w:after="120" w:line="240" w:lineRule="auto"/>
              <w:ind w:left="3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Čtvrtým optimalizačním opatřením je </w:t>
            </w:r>
            <w:r w:rsidRPr="003B6EEA">
              <w:rPr>
                <w:rFonts w:asciiTheme="minorHAnsi" w:hAnsiTheme="minorHAnsi"/>
                <w:b/>
                <w:sz w:val="16"/>
                <w:szCs w:val="16"/>
              </w:rPr>
              <w:t>vyjmutí kontroly statusu MSP z KnM</w:t>
            </w:r>
            <w:r w:rsidRPr="003B6EEA">
              <w:rPr>
                <w:rFonts w:asciiTheme="minorHAnsi" w:hAnsiTheme="minorHAnsi"/>
                <w:sz w:val="16"/>
                <w:szCs w:val="16"/>
              </w:rPr>
              <w:t xml:space="preserve">. </w:t>
            </w:r>
          </w:p>
          <w:p w14:paraId="6F2AD5CB"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p w14:paraId="5958C800"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Nesrovnalosti</w:t>
            </w:r>
          </w:p>
          <w:p w14:paraId="3DFDA08F"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V případě nesrovnalostí je možné uvažovat o několika možnostech optimalizace:</w:t>
            </w:r>
          </w:p>
          <w:p w14:paraId="59E9D0DA" w14:textId="7C6297B0" w:rsidR="00FD54B8" w:rsidRPr="003B6EEA" w:rsidRDefault="00FD54B8" w:rsidP="003F2002">
            <w:pPr>
              <w:pStyle w:val="BodyText1"/>
              <w:numPr>
                <w:ilvl w:val="0"/>
                <w:numId w:val="44"/>
              </w:numPr>
              <w:spacing w:after="120" w:line="240" w:lineRule="auto"/>
              <w:ind w:left="3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b/>
                <w:bCs/>
                <w:sz w:val="16"/>
                <w:szCs w:val="16"/>
              </w:rPr>
              <w:t>Zrušení sankčního mechanismu za nepředložení zprávy o</w:t>
            </w:r>
            <w:r w:rsidR="00C61330" w:rsidRPr="1B8B314C">
              <w:rPr>
                <w:rFonts w:asciiTheme="minorHAnsi" w:hAnsiTheme="minorHAnsi"/>
                <w:b/>
                <w:bCs/>
                <w:sz w:val="16"/>
                <w:szCs w:val="16"/>
              </w:rPr>
              <w:t> </w:t>
            </w:r>
            <w:r w:rsidRPr="1B8B314C">
              <w:rPr>
                <w:rFonts w:asciiTheme="minorHAnsi" w:hAnsiTheme="minorHAnsi"/>
                <w:b/>
                <w:bCs/>
                <w:sz w:val="16"/>
                <w:szCs w:val="16"/>
              </w:rPr>
              <w:t>udržitelnosti</w:t>
            </w:r>
            <w:r w:rsidRPr="1B8B314C">
              <w:rPr>
                <w:rFonts w:asciiTheme="minorHAnsi" w:hAnsiTheme="minorHAnsi"/>
                <w:sz w:val="16"/>
                <w:szCs w:val="16"/>
              </w:rPr>
              <w:t xml:space="preserve"> by snížilo počet hlášených a vymáhaných nesrovnalostí odhadem zhruba o 30 % (na dosavadním vzorku 156 nesrovnalostí by se jednalo až o téměř 500 pracovních hodin). Ztráta pravomoc</w:t>
            </w:r>
            <w:r w:rsidR="7303C25D" w:rsidRPr="1B8B314C">
              <w:rPr>
                <w:rFonts w:asciiTheme="minorHAnsi" w:hAnsiTheme="minorHAnsi"/>
                <w:sz w:val="16"/>
                <w:szCs w:val="16"/>
              </w:rPr>
              <w:t>i</w:t>
            </w:r>
            <w:r w:rsidRPr="1B8B314C">
              <w:rPr>
                <w:rFonts w:asciiTheme="minorHAnsi" w:hAnsiTheme="minorHAnsi"/>
                <w:sz w:val="16"/>
                <w:szCs w:val="16"/>
              </w:rPr>
              <w:t xml:space="preserve"> udělení sankce za porušení této informační povinnosti příjemce by však ŘO odebrala možnost vymáhání doložení údajů indikátorů a udržitelnosti a tím tak ohrozila možnosti ŘO reportovat závazné indikátory Evropské komisi.</w:t>
            </w:r>
          </w:p>
          <w:p w14:paraId="79FE2FEE" w14:textId="6D623392" w:rsidR="00FD54B8" w:rsidRPr="003B6EEA" w:rsidRDefault="00FD54B8" w:rsidP="003F2002">
            <w:pPr>
              <w:pStyle w:val="BodyText1"/>
              <w:numPr>
                <w:ilvl w:val="0"/>
                <w:numId w:val="44"/>
              </w:numPr>
              <w:spacing w:after="120" w:line="240" w:lineRule="auto"/>
              <w:ind w:left="3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K obdobnému snížení nesrovnalostí vázaných na zprávy o udržitelnosti je nicméně možné dospět pomocí </w:t>
            </w:r>
            <w:r w:rsidRPr="003B6EEA">
              <w:rPr>
                <w:rFonts w:asciiTheme="minorHAnsi" w:hAnsiTheme="minorHAnsi"/>
                <w:b/>
                <w:sz w:val="16"/>
                <w:szCs w:val="16"/>
              </w:rPr>
              <w:t>automatické notifikace příjemců o jejich informační povinnosti</w:t>
            </w:r>
            <w:r w:rsidRPr="003B6EEA">
              <w:rPr>
                <w:rFonts w:asciiTheme="minorHAnsi" w:hAnsiTheme="minorHAnsi"/>
                <w:sz w:val="16"/>
                <w:szCs w:val="16"/>
              </w:rPr>
              <w:t xml:space="preserve"> do jejich datových schránek a kontaktních údajů. Ve většině případů je důvodem nepředložení zprávy nevědomost příjemců o této povinnosti, zapomenutí této povinnosti, ztráta kontaktu s poradenskou společností apod. </w:t>
            </w:r>
            <w:r w:rsidR="00776D30">
              <w:rPr>
                <w:rFonts w:asciiTheme="minorHAnsi" w:hAnsiTheme="minorHAnsi"/>
                <w:sz w:val="16"/>
                <w:szCs w:val="16"/>
              </w:rPr>
              <w:t xml:space="preserve">Aktuálně jsou notifikace zasílány systémem formou depeší 14 dní před termínem a následně ještě v den odevzdání, prodlužujíc tak lhůtu o další týden. Příjemce tak má čas se na </w:t>
            </w:r>
            <w:r w:rsidR="00D11505">
              <w:rPr>
                <w:rFonts w:asciiTheme="minorHAnsi" w:hAnsiTheme="minorHAnsi"/>
                <w:sz w:val="16"/>
                <w:szCs w:val="16"/>
              </w:rPr>
              <w:t xml:space="preserve">dodržení informační povinnosti připravit a je tak spíše pravděpodobné, že se o depeši vůbec nedoví. A to z důvodu nesledování ISKP2014+, z důvodu selhání přeposílání depeše na kontaktní emaily příjemce, z důvodu selhání komunikace s poradenskou společností nebo z důvodů na straně příjemce (např. změna emailu, změna kontaktních zaměstnanců apod.). </w:t>
            </w:r>
          </w:p>
          <w:p w14:paraId="2781BD84" w14:textId="6B6152F6" w:rsidR="00FD54B8" w:rsidRPr="003B6EEA" w:rsidRDefault="00FD54B8" w:rsidP="003F2002">
            <w:pPr>
              <w:pStyle w:val="BodyText1"/>
              <w:numPr>
                <w:ilvl w:val="0"/>
                <w:numId w:val="44"/>
              </w:numPr>
              <w:spacing w:after="120" w:line="240" w:lineRule="auto"/>
              <w:ind w:left="34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Dalším opatřením je </w:t>
            </w:r>
            <w:r w:rsidRPr="1B8B314C">
              <w:rPr>
                <w:rFonts w:asciiTheme="minorHAnsi" w:hAnsiTheme="minorHAnsi"/>
                <w:b/>
                <w:bCs/>
                <w:sz w:val="16"/>
                <w:szCs w:val="16"/>
              </w:rPr>
              <w:t>navýšení finančního limitu pro vymáhání nesrovnalostí</w:t>
            </w:r>
            <w:r w:rsidRPr="1B8B314C">
              <w:rPr>
                <w:rFonts w:asciiTheme="minorHAnsi" w:hAnsiTheme="minorHAnsi"/>
                <w:sz w:val="16"/>
                <w:szCs w:val="16"/>
              </w:rPr>
              <w:t xml:space="preserve"> a to až do výše 250 eur (tedy cca. 6 500,- Kč) v souladu s článkem 122 Obecného nařízení</w:t>
            </w:r>
            <w:r w:rsidRPr="1B8B314C">
              <w:rPr>
                <w:rStyle w:val="FootnoteReference"/>
                <w:rFonts w:asciiTheme="minorHAnsi" w:hAnsiTheme="minorHAnsi"/>
                <w:sz w:val="16"/>
                <w:szCs w:val="16"/>
              </w:rPr>
              <w:footnoteReference w:id="38"/>
            </w:r>
            <w:r w:rsidRPr="1B8B314C">
              <w:rPr>
                <w:rFonts w:asciiTheme="minorHAnsi" w:hAnsiTheme="minorHAnsi"/>
                <w:sz w:val="16"/>
                <w:szCs w:val="16"/>
              </w:rPr>
              <w:t>. Nicméně tato změna by vyžadovala změnu zákona č. 218/2000 Sb. o rozpočtových pravidlech</w:t>
            </w:r>
            <w:r w:rsidR="19F8805F" w:rsidRPr="1B8B314C">
              <w:rPr>
                <w:rFonts w:asciiTheme="minorHAnsi" w:hAnsiTheme="minorHAnsi"/>
                <w:sz w:val="16"/>
                <w:szCs w:val="16"/>
              </w:rPr>
              <w:t>,</w:t>
            </w:r>
            <w:r w:rsidRPr="1B8B314C">
              <w:rPr>
                <w:rFonts w:asciiTheme="minorHAnsi" w:hAnsiTheme="minorHAnsi"/>
                <w:sz w:val="16"/>
                <w:szCs w:val="16"/>
              </w:rPr>
              <w:t xml:space="preserve"> aproto se jeví jako obtížně prosaditelná.</w:t>
            </w:r>
          </w:p>
        </w:tc>
      </w:tr>
      <w:tr w:rsidR="00FD54B8" w:rsidRPr="001F5B37" w14:paraId="46F9B6F5"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1B050571" w14:textId="77777777" w:rsidR="00FD54B8" w:rsidRPr="003B6EEA" w:rsidRDefault="00FD54B8" w:rsidP="003F2002">
            <w:pPr>
              <w:pStyle w:val="BodyText1"/>
              <w:spacing w:after="120" w:line="240" w:lineRule="auto"/>
              <w:ind w:right="112"/>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Očekávané výsledky zavedeného opatření a časový plán dopadu</w:t>
            </w:r>
          </w:p>
        </w:tc>
        <w:tc>
          <w:tcPr>
            <w:tcW w:w="3986" w:type="pct"/>
            <w:shd w:val="clear" w:color="auto" w:fill="auto"/>
          </w:tcPr>
          <w:p w14:paraId="2AAE8968" w14:textId="7777777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Kontroly na místě</w:t>
            </w:r>
          </w:p>
          <w:p w14:paraId="04DA2DF5" w14:textId="307B0A0F"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Hlavním očekávaným dopadem všech opatření je urychlení proplácení </w:t>
            </w:r>
            <w:r w:rsidR="00825645" w:rsidRPr="003B6EEA">
              <w:rPr>
                <w:rFonts w:asciiTheme="minorHAnsi" w:hAnsiTheme="minorHAnsi"/>
                <w:sz w:val="16"/>
                <w:szCs w:val="16"/>
              </w:rPr>
              <w:t>ŽoPl</w:t>
            </w:r>
            <w:r w:rsidRPr="003B6EEA">
              <w:rPr>
                <w:rFonts w:asciiTheme="minorHAnsi" w:hAnsiTheme="minorHAnsi"/>
                <w:sz w:val="16"/>
                <w:szCs w:val="16"/>
              </w:rPr>
              <w:t xml:space="preserve">, včasné informování o zjištěních u jedno-etapových projektů, rozložení zátěže pracovníků KnM v čase během celého roku. Dopadem opatření bude i odlišná metodika pro výběr vzorku projektů pro KnM, která nebude vázána na předložené </w:t>
            </w:r>
            <w:r w:rsidR="00825645" w:rsidRPr="003B6EEA">
              <w:rPr>
                <w:rFonts w:asciiTheme="minorHAnsi" w:hAnsiTheme="minorHAnsi"/>
                <w:sz w:val="16"/>
                <w:szCs w:val="16"/>
              </w:rPr>
              <w:t>ŽoPl</w:t>
            </w:r>
            <w:r w:rsidRPr="003B6EEA">
              <w:rPr>
                <w:rFonts w:asciiTheme="minorHAnsi" w:hAnsiTheme="minorHAnsi"/>
                <w:sz w:val="16"/>
                <w:szCs w:val="16"/>
              </w:rPr>
              <w:t xml:space="preserve">, ale i jiné klíčové momenty projektu (např. VŘ). Přínosy opatření lze očekávat ihned po jeho zavedení. </w:t>
            </w:r>
          </w:p>
          <w:p w14:paraId="151198AA" w14:textId="0A079A6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Díky zavedení účasti PM v kontrolní skupině dojde k odstranění zbytně hlášených KnM.</w:t>
            </w:r>
            <w:r w:rsidR="00D40318" w:rsidRPr="003B6EEA">
              <w:rPr>
                <w:rFonts w:asciiTheme="minorHAnsi" w:hAnsiTheme="minorHAnsi"/>
                <w:sz w:val="16"/>
                <w:szCs w:val="16"/>
              </w:rPr>
              <w:t xml:space="preserve"> </w:t>
            </w:r>
            <w:r w:rsidRPr="003B6EEA">
              <w:rPr>
                <w:rFonts w:asciiTheme="minorHAnsi" w:hAnsiTheme="minorHAnsi"/>
                <w:sz w:val="16"/>
                <w:szCs w:val="16"/>
              </w:rPr>
              <w:t xml:space="preserve">Díky zavedení odlišné metody výběru vzorků, dojde k úspoře času pracovníků Oddělení autorizace plateb API, kteří nebudou muset generovat týdenní seznamy došlých </w:t>
            </w:r>
            <w:r w:rsidR="00825645" w:rsidRPr="003B6EEA">
              <w:rPr>
                <w:rFonts w:asciiTheme="minorHAnsi" w:hAnsiTheme="minorHAnsi"/>
                <w:sz w:val="16"/>
                <w:szCs w:val="16"/>
              </w:rPr>
              <w:t>ŽoPl</w:t>
            </w:r>
            <w:r w:rsidRPr="003B6EEA">
              <w:rPr>
                <w:rFonts w:asciiTheme="minorHAnsi" w:hAnsiTheme="minorHAnsi"/>
                <w:sz w:val="16"/>
                <w:szCs w:val="16"/>
              </w:rPr>
              <w:t xml:space="preserve">. </w:t>
            </w:r>
          </w:p>
          <w:p w14:paraId="11882D89" w14:textId="77777777" w:rsidR="00FD54B8" w:rsidRPr="00E105D8"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6"/>
                <w:szCs w:val="16"/>
              </w:rPr>
            </w:pPr>
            <w:r w:rsidRPr="1B8B314C">
              <w:rPr>
                <w:rFonts w:asciiTheme="minorHAnsi" w:hAnsiTheme="minorHAnsi"/>
                <w:sz w:val="16"/>
                <w:szCs w:val="16"/>
              </w:rPr>
              <w:t xml:space="preserve">ŘO může rozhodnout, jaký objem KnM je možné a vhodné delegovat na externí dodavatele. Vzhledem k přetíženosti RK může jít o 20 až 40 % všech KnM. Do konce programového období lze předpokládat realizaci dalších zhruba 230 KnM. S odhadovanou délkou trvání </w:t>
            </w:r>
            <w:r w:rsidRPr="1B8B314C">
              <w:rPr>
                <w:rFonts w:asciiTheme="minorHAnsi" w:hAnsiTheme="minorHAnsi"/>
                <w:sz w:val="16"/>
                <w:szCs w:val="16"/>
              </w:rPr>
              <w:lastRenderedPageBreak/>
              <w:t xml:space="preserve">jedné KnM v rozmezí dvou až tří dnů se může jednat až o 690 pracovních dnů. </w:t>
            </w:r>
            <w:r w:rsidRPr="00E105D8">
              <w:rPr>
                <w:rFonts w:asciiTheme="minorHAnsi" w:hAnsiTheme="minorHAnsi"/>
                <w:b/>
                <w:bCs/>
                <w:sz w:val="16"/>
                <w:szCs w:val="16"/>
              </w:rPr>
              <w:t xml:space="preserve">V případě outsourcingu na externí dodavatele by tak mohlo při poptávce KnM v objemu 40 % dojít k úspoře až 280 dnů, tedy více než jeden rok FTE.  </w:t>
            </w:r>
          </w:p>
          <w:p w14:paraId="4420714B" w14:textId="7777777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Kontrola statusu MSP je trojitou kontrolou předcházející kontroly statusu MSP před a po vydání právního aktu. Jedná se zároveň o kontrolu postupů ŘO, respektive ZS ke dni vydání RoPD, nikoli o kontrolu aktuálního statusu. Jedná se o zbytnou agendu představující často nejdelší časovou složku celé KnM. </w:t>
            </w:r>
            <w:r w:rsidRPr="00E105D8">
              <w:rPr>
                <w:rFonts w:asciiTheme="minorHAnsi" w:hAnsiTheme="minorHAnsi"/>
                <w:b/>
                <w:bCs/>
                <w:sz w:val="16"/>
                <w:szCs w:val="16"/>
              </w:rPr>
              <w:t xml:space="preserve">V případě vyjmutí kontroly MSP z KnM půjde o urychlení doby trvání KnM v řádech hodin až dnů na každou KnM. </w:t>
            </w:r>
          </w:p>
          <w:p w14:paraId="45935800" w14:textId="7777777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Nesrovnalosti</w:t>
            </w:r>
          </w:p>
          <w:p w14:paraId="40A3DB81" w14:textId="7777777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Očekávaným výsledkem zavedení automatické notifikace příjemců do datové schránky a na kontaktní údaje je pokles celkového počtu nesrovnalostí až o 30 %. Při očekávaném trendu lineárního růstu počtu nesrovnalostí úměrně k růstu počtu projektů do konce programového období při koeficientu 1,3</w:t>
            </w:r>
            <w:r w:rsidRPr="1B8B314C">
              <w:rPr>
                <w:rStyle w:val="FootnoteReference"/>
                <w:rFonts w:asciiTheme="minorHAnsi" w:hAnsiTheme="minorHAnsi"/>
                <w:sz w:val="16"/>
                <w:szCs w:val="16"/>
              </w:rPr>
              <w:footnoteReference w:id="39"/>
            </w:r>
            <w:r w:rsidRPr="1B8B314C">
              <w:rPr>
                <w:rFonts w:asciiTheme="minorHAnsi" w:hAnsiTheme="minorHAnsi"/>
                <w:sz w:val="16"/>
                <w:szCs w:val="16"/>
              </w:rPr>
              <w:t xml:space="preserve">, lze očekávat dalších relevantních 50 až 70 nesrovnalostí. </w:t>
            </w:r>
            <w:r w:rsidRPr="00E105D8">
              <w:rPr>
                <w:rFonts w:asciiTheme="minorHAnsi" w:hAnsiTheme="minorHAnsi"/>
                <w:b/>
                <w:bCs/>
                <w:sz w:val="16"/>
                <w:szCs w:val="16"/>
              </w:rPr>
              <w:t>Při zavedení opatření by se tedy mohlo jednat o úsporu až 150 až 210 pracovních hodin.</w:t>
            </w:r>
          </w:p>
          <w:p w14:paraId="5C446594" w14:textId="762178B6"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Navýšení limitu pro vymáhání nesrovnalostí by sice nevedlo k úspoře času při sledování a hlášení nesrovnalostí, ale v případě nepřekročení daného limitu by vedlo k následné úspoře času a kapacit při vymáhání nesrovnalostí. </w:t>
            </w:r>
            <w:r w:rsidRPr="00E105D8">
              <w:rPr>
                <w:rFonts w:asciiTheme="minorHAnsi" w:hAnsiTheme="minorHAnsi"/>
                <w:b/>
                <w:bCs/>
                <w:sz w:val="16"/>
                <w:szCs w:val="16"/>
              </w:rPr>
              <w:t>V případě nastavení limitů dle až do výše 250 eur (tedy cca. 6 500,- Kč) by se jednalo o</w:t>
            </w:r>
            <w:r w:rsidR="00C61330" w:rsidRPr="00E105D8">
              <w:rPr>
                <w:rFonts w:asciiTheme="minorHAnsi" w:hAnsiTheme="minorHAnsi"/>
                <w:b/>
                <w:bCs/>
                <w:sz w:val="16"/>
                <w:szCs w:val="16"/>
              </w:rPr>
              <w:t> </w:t>
            </w:r>
            <w:r w:rsidRPr="00E105D8">
              <w:rPr>
                <w:rFonts w:asciiTheme="minorHAnsi" w:hAnsiTheme="minorHAnsi"/>
                <w:b/>
                <w:bCs/>
                <w:sz w:val="16"/>
                <w:szCs w:val="16"/>
              </w:rPr>
              <w:t xml:space="preserve">zhruba 100 dosud vymáhaných nesrovnalostí, tedy úsporu zhruba 250 hodin práce na straně implementační struktury OP PIK. </w:t>
            </w:r>
          </w:p>
        </w:tc>
      </w:tr>
      <w:tr w:rsidR="00FD54B8" w:rsidRPr="001F5B37" w14:paraId="6D42CA7C" w14:textId="77777777" w:rsidTr="003F2002">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74ECA6D3" w14:textId="77777777" w:rsidR="00FD54B8" w:rsidRPr="003B6EEA" w:rsidRDefault="00FD54B8" w:rsidP="003F2002">
            <w:pPr>
              <w:pStyle w:val="BodyText1"/>
              <w:tabs>
                <w:tab w:val="left" w:pos="284"/>
              </w:tabs>
              <w:spacing w:after="120" w:line="240" w:lineRule="auto"/>
              <w:ind w:right="113"/>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lastRenderedPageBreak/>
              <w:t>Časová náročnost zavedení opatření v implementační struktuře</w:t>
            </w:r>
          </w:p>
        </w:tc>
        <w:tc>
          <w:tcPr>
            <w:tcW w:w="3986" w:type="pct"/>
            <w:shd w:val="clear" w:color="auto" w:fill="auto"/>
          </w:tcPr>
          <w:p w14:paraId="35C8D3FB"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Kontroly na místě</w:t>
            </w:r>
          </w:p>
          <w:p w14:paraId="74790A3D"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opatření v oblasti KnM nejsou spojena s časovou náročností pro pracovníky implementační struktury. Naopak by všechna opatření měla přispět k rovnoměrnému rozložení práce do průběhu celého roku. </w:t>
            </w:r>
          </w:p>
          <w:p w14:paraId="5C448BED" w14:textId="4AB5AF91"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V případě vypsání VZ na externí dodavatele je nutné počítat s několikaměsíční přípravou a administrací VZ. Opatření VZ s sebou nese finanční náklady na vyhlášenou VZ. Tyto náklady však budou vyváženy úsporou času a nákladů na straně ŘO, jehož uvolněné kapacity povedou k urychlení výkonu ostatní agendy. </w:t>
            </w:r>
            <w:r w:rsidRPr="00E105D8">
              <w:rPr>
                <w:rFonts w:asciiTheme="minorHAnsi" w:hAnsiTheme="minorHAnsi"/>
                <w:b/>
                <w:bCs/>
                <w:sz w:val="16"/>
                <w:szCs w:val="16"/>
              </w:rPr>
              <w:t>V případě 280 pracovních dnů se může jednat o finanční náklady na externí výkon KnM v rozmezí 5 až 10 mil. Kč.</w:t>
            </w:r>
          </w:p>
          <w:p w14:paraId="4CB8F61D"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Nesrovnalosti</w:t>
            </w:r>
          </w:p>
          <w:p w14:paraId="6EC68967"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opatření automatických notifikací není spojeno s časovými nároky na pracovníky IS. Zavedení opaření by předcházelo pouze vytvoření rozvojového požadavku na správce systému MS2014+. Zavedení opatření by vedlo k úspoře času, pracovníci IS by zakládali méně nesrovnalostí a nemuseli následně vyzývat příjemce. </w:t>
            </w:r>
          </w:p>
          <w:p w14:paraId="705E507D" w14:textId="356C928D" w:rsidR="00FD54B8" w:rsidRPr="003B6EEA" w:rsidDel="009C21B9"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V případě z</w:t>
            </w:r>
            <w:r w:rsidR="4D0A4969" w:rsidRPr="1B8B314C">
              <w:rPr>
                <w:rFonts w:asciiTheme="minorHAnsi" w:hAnsiTheme="minorHAnsi"/>
                <w:sz w:val="16"/>
                <w:szCs w:val="16"/>
              </w:rPr>
              <w:t>r</w:t>
            </w:r>
            <w:r w:rsidRPr="1B8B314C">
              <w:rPr>
                <w:rFonts w:asciiTheme="minorHAnsi" w:hAnsiTheme="minorHAnsi"/>
                <w:sz w:val="16"/>
                <w:szCs w:val="16"/>
              </w:rPr>
              <w:t xml:space="preserve">ušení sankčního mechanismu a navýšení finančního limitu taktéž není spojeno s časovou náročností na pracovníky IS. </w:t>
            </w:r>
          </w:p>
        </w:tc>
      </w:tr>
      <w:tr w:rsidR="00FD54B8" w:rsidRPr="001F5B37" w14:paraId="2E4FE36A"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365EF9A6" w14:textId="77777777" w:rsidR="00FD54B8" w:rsidRPr="003B6EEA" w:rsidRDefault="00FD54B8" w:rsidP="003F2002">
            <w:pPr>
              <w:pStyle w:val="BodyText1"/>
              <w:keepNext/>
              <w:keepLines/>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Personální náročnost zavedení opatření v implementační struktuře</w:t>
            </w:r>
          </w:p>
        </w:tc>
        <w:tc>
          <w:tcPr>
            <w:tcW w:w="3986" w:type="pct"/>
            <w:shd w:val="clear" w:color="auto" w:fill="auto"/>
          </w:tcPr>
          <w:p w14:paraId="18C3E5B4" w14:textId="0DC649B9"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sz w:val="16"/>
                <w:szCs w:val="16"/>
              </w:rPr>
              <w:t xml:space="preserve">Navrhovaná opatření ke </w:t>
            </w:r>
            <w:r w:rsidRPr="003B6EEA">
              <w:rPr>
                <w:rFonts w:asciiTheme="minorHAnsi" w:hAnsiTheme="minorHAnsi"/>
                <w:b/>
                <w:sz w:val="16"/>
                <w:szCs w:val="16"/>
              </w:rPr>
              <w:t xml:space="preserve">KnM </w:t>
            </w:r>
            <w:r w:rsidRPr="003B6EEA">
              <w:rPr>
                <w:rFonts w:asciiTheme="minorHAnsi" w:hAnsiTheme="minorHAnsi"/>
                <w:sz w:val="16"/>
                <w:szCs w:val="16"/>
              </w:rPr>
              <w:t>ani</w:t>
            </w:r>
            <w:r w:rsidRPr="003B6EEA">
              <w:rPr>
                <w:rFonts w:asciiTheme="minorHAnsi" w:hAnsiTheme="minorHAnsi"/>
                <w:b/>
                <w:sz w:val="16"/>
                <w:szCs w:val="16"/>
              </w:rPr>
              <w:t xml:space="preserve"> Nesrovnalostem </w:t>
            </w:r>
            <w:r w:rsidRPr="003B6EEA">
              <w:rPr>
                <w:rFonts w:asciiTheme="minorHAnsi" w:hAnsiTheme="minorHAnsi"/>
                <w:sz w:val="16"/>
                <w:szCs w:val="16"/>
              </w:rPr>
              <w:t>nejsou spojena s nároky na personální kapacity. Jedinou zátěží pro PM API bude povinnost účasti na KnM. Ta však bude vyvážena „nepovinnou“ účastí druhého RK ŘO.</w:t>
            </w:r>
          </w:p>
        </w:tc>
      </w:tr>
      <w:tr w:rsidR="00FD54B8" w:rsidRPr="001F5B37" w14:paraId="3301B1C2" w14:textId="77777777" w:rsidTr="003F2002">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49D415C0" w14:textId="77777777" w:rsidR="00FD54B8" w:rsidRPr="003B6EEA" w:rsidRDefault="00FD54B8"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 xml:space="preserve">Legislativní a metodická úprava </w:t>
            </w:r>
          </w:p>
        </w:tc>
        <w:tc>
          <w:tcPr>
            <w:tcW w:w="3986" w:type="pct"/>
            <w:shd w:val="clear" w:color="auto" w:fill="auto"/>
          </w:tcPr>
          <w:p w14:paraId="68534216"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KnM</w:t>
            </w:r>
          </w:p>
          <w:p w14:paraId="770B043E" w14:textId="2D8E6796"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Metoda pro výběr vzorku projektů ke kontrole na místě je v gesci ŘO. Zavedení opatření si vyžádá úpravu metodického pokynu D18_1_M_Metodika kontrol na místě a výběr vzorků. V souladu s kapitolou 3.1 bude do vzorku zahrnut vzorek projektů v rámci jedné výzvy, u nichž již byl vydán právní akt (Rozhodnutí o</w:t>
            </w:r>
            <w:r w:rsidR="00C61330" w:rsidRPr="003B6EEA">
              <w:rPr>
                <w:rFonts w:asciiTheme="minorHAnsi" w:hAnsiTheme="minorHAnsi"/>
                <w:sz w:val="16"/>
                <w:szCs w:val="16"/>
              </w:rPr>
              <w:t> </w:t>
            </w:r>
            <w:r w:rsidRPr="003B6EEA">
              <w:rPr>
                <w:rFonts w:asciiTheme="minorHAnsi" w:hAnsiTheme="minorHAnsi"/>
                <w:sz w:val="16"/>
                <w:szCs w:val="16"/>
              </w:rPr>
              <w:t xml:space="preserve">poskytnutí dotace) a jsou ve stavech „projekt s právním aktem“ + „projekt ve fyzické realizaci“ + „projekt v plné (fyzické i finanční) realizaci“ ovšem nevázaných na zaslané </w:t>
            </w:r>
            <w:r w:rsidR="00825645" w:rsidRPr="003B6EEA">
              <w:rPr>
                <w:rFonts w:asciiTheme="minorHAnsi" w:hAnsiTheme="minorHAnsi"/>
                <w:sz w:val="16"/>
                <w:szCs w:val="16"/>
              </w:rPr>
              <w:t>ŽoPl</w:t>
            </w:r>
            <w:r w:rsidRPr="003B6EEA">
              <w:rPr>
                <w:rFonts w:asciiTheme="minorHAnsi" w:hAnsiTheme="minorHAnsi"/>
                <w:sz w:val="16"/>
                <w:szCs w:val="16"/>
              </w:rPr>
              <w:t xml:space="preserve">. Následně dojde k jejich hodnocení dle současného systému. V rámci D18_1_M tedy dojde k úpravě pravidel kapitoly 3.1.3 ve smyslu kapitoly 3.1 s vypuštěním týdenních reportů API o došlých </w:t>
            </w:r>
            <w:r w:rsidR="00825645" w:rsidRPr="003B6EEA">
              <w:rPr>
                <w:rFonts w:asciiTheme="minorHAnsi" w:hAnsiTheme="minorHAnsi"/>
                <w:sz w:val="16"/>
                <w:szCs w:val="16"/>
              </w:rPr>
              <w:t>ŽoPl</w:t>
            </w:r>
            <w:r w:rsidRPr="003B6EEA">
              <w:rPr>
                <w:rFonts w:asciiTheme="minorHAnsi" w:hAnsiTheme="minorHAnsi"/>
                <w:sz w:val="16"/>
                <w:szCs w:val="16"/>
              </w:rPr>
              <w:t xml:space="preserve">. </w:t>
            </w:r>
          </w:p>
          <w:p w14:paraId="7CAEBA9A"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lastRenderedPageBreak/>
              <w:t xml:space="preserve">V případě povinné účasti PM na KnM je nutné aktualizovat OM OP PIK, kapitolu D18, odstavec (4) ve smyslu, „KnM prováděné RK proběhnou s povinnou účastní PM, pokud tak ŘOK rozhodne.“ </w:t>
            </w:r>
          </w:p>
          <w:p w14:paraId="7B7CDEFF"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 případě vyjmutí kontroly statusu MSP z KnM se jedná o vyjmutí povinnosti vyplňovat v rámci KnM D18_2_KL_Kontrolní list pro kontrolu MSP úpravou D18_1_M (kapitola 1.1.5) a úpravu D18_1_KL_Kontrolní list pro kontrolu projektu na místě. </w:t>
            </w:r>
          </w:p>
          <w:p w14:paraId="5FB2FF4B"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Nesrovnalosti</w:t>
            </w:r>
          </w:p>
          <w:p w14:paraId="70F8CF4A"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Zrušení sankčního mechanismu za porušení informační povinnosti příjemce by znamenalo změnu RoPD, článku IX. odstavec 13 vypuštěním sankčního mechanismu (výpočtu 0,01 až 0,1 % sankce). </w:t>
            </w:r>
          </w:p>
          <w:p w14:paraId="5879C191"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Zavedení automatických notifikací není podmíněno žádnou změnou legislativy či metodického prostředí. Jedná se o čistě rozvojový požadavek na MS2014+.</w:t>
            </w:r>
          </w:p>
          <w:p w14:paraId="74F9ECE3"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Zvýšení limitu pro hlášení nesrovnalostí je spojeno především s novelizací zákona o rozpočtových pravidlech č. 218/2000 Sb., §44a, odstavec 6. Až na základě této změny by bylo možné odpovídajícím způsobem změnit kap. 4.3.1 Metodického pokynu finančních toků programů spolufinancovaných z Evropských strukturálních fondů, Fondu soudržnosti a Evropského námořního a rybářského fondu na programové období 2014 – 2020.</w:t>
            </w:r>
          </w:p>
        </w:tc>
      </w:tr>
      <w:tr w:rsidR="00FD54B8" w:rsidRPr="001F5B37" w14:paraId="745A3E96"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630D2B87" w14:textId="213F04FD" w:rsidR="00FD54B8" w:rsidRPr="003B6EEA" w:rsidRDefault="00FD54B8" w:rsidP="003F2002">
            <w:pPr>
              <w:pStyle w:val="BodyText1"/>
              <w:spacing w:after="120" w:line="240" w:lineRule="auto"/>
              <w:ind w:right="112"/>
              <w:rPr>
                <w:rFonts w:asciiTheme="minorHAnsi" w:hAnsiTheme="minorHAnsi"/>
                <w:sz w:val="16"/>
                <w:szCs w:val="16"/>
              </w:rPr>
            </w:pPr>
            <w:r w:rsidRPr="1B8B314C">
              <w:rPr>
                <w:rFonts w:asciiTheme="minorHAnsi" w:hAnsiTheme="minorHAnsi"/>
                <w:color w:val="FFFFFF" w:themeColor="background1"/>
                <w:sz w:val="16"/>
                <w:szCs w:val="16"/>
              </w:rPr>
              <w:lastRenderedPageBreak/>
              <w:t>Časová a finanční náročnost zavedení opatření pro žadatele/příjemce</w:t>
            </w:r>
          </w:p>
        </w:tc>
        <w:tc>
          <w:tcPr>
            <w:tcW w:w="3986" w:type="pct"/>
            <w:shd w:val="clear" w:color="auto" w:fill="auto"/>
          </w:tcPr>
          <w:p w14:paraId="0B4BC1E6" w14:textId="7777777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všech opatření k KnM i Nesrovnalostem není spojeno s časovou ani finanční náročností pro příjemce. Naopak, zavedení opatření by vedlo k úspoře času na straně příjemců. </w:t>
            </w:r>
          </w:p>
        </w:tc>
      </w:tr>
      <w:tr w:rsidR="00FD54B8" w:rsidRPr="001F5B37" w14:paraId="433F6A35" w14:textId="77777777" w:rsidTr="003F2002">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451FFCE0" w14:textId="77777777" w:rsidR="00FD54B8" w:rsidRPr="003B6EEA" w:rsidRDefault="00FD54B8"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Rizika plynoucí z nezavedení opatření</w:t>
            </w:r>
          </w:p>
        </w:tc>
        <w:tc>
          <w:tcPr>
            <w:tcW w:w="3986" w:type="pct"/>
            <w:shd w:val="clear" w:color="auto" w:fill="auto"/>
          </w:tcPr>
          <w:p w14:paraId="7734E4EE" w14:textId="46EB5943"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Hlavními riziky nezavedení opatření je pokračující zpožďování při kontrolách a</w:t>
            </w:r>
            <w:r w:rsidR="00C61330" w:rsidRPr="003B6EEA">
              <w:rPr>
                <w:rFonts w:asciiTheme="minorHAnsi" w:hAnsiTheme="minorHAnsi"/>
                <w:sz w:val="16"/>
                <w:szCs w:val="16"/>
              </w:rPr>
              <w:t> </w:t>
            </w:r>
            <w:r w:rsidRPr="003B6EEA">
              <w:rPr>
                <w:rFonts w:asciiTheme="minorHAnsi" w:hAnsiTheme="minorHAnsi"/>
                <w:sz w:val="16"/>
                <w:szCs w:val="16"/>
              </w:rPr>
              <w:t xml:space="preserve">schvalování </w:t>
            </w:r>
            <w:r w:rsidR="00825645" w:rsidRPr="003B6EEA">
              <w:rPr>
                <w:rFonts w:asciiTheme="minorHAnsi" w:hAnsiTheme="minorHAnsi"/>
                <w:sz w:val="16"/>
                <w:szCs w:val="16"/>
              </w:rPr>
              <w:t>ŽoPl</w:t>
            </w:r>
            <w:r w:rsidRPr="003B6EEA">
              <w:rPr>
                <w:rFonts w:asciiTheme="minorHAnsi" w:hAnsiTheme="minorHAnsi"/>
                <w:sz w:val="16"/>
                <w:szCs w:val="16"/>
              </w:rPr>
              <w:t xml:space="preserve"> a s tím související negativní dopady na příjemce. Dále bude pokračovat zahlcení pracovníků IS jak v rámci výkonu KnM, tak administrace Nesrovnalostí. </w:t>
            </w:r>
          </w:p>
        </w:tc>
      </w:tr>
      <w:tr w:rsidR="00FD54B8" w:rsidRPr="001F5B37" w14:paraId="711CF2DA" w14:textId="77777777" w:rsidTr="003F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72DA54E2" w14:textId="77777777" w:rsidR="00FD54B8" w:rsidRPr="003B6EEA" w:rsidRDefault="00FD54B8"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Rizika plynoucí ze zavedení opatření</w:t>
            </w:r>
          </w:p>
        </w:tc>
        <w:tc>
          <w:tcPr>
            <w:tcW w:w="3986" w:type="pct"/>
            <w:shd w:val="clear" w:color="auto" w:fill="auto"/>
          </w:tcPr>
          <w:p w14:paraId="3CF755F1" w14:textId="7777777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Kontroly na místě</w:t>
            </w:r>
          </w:p>
          <w:p w14:paraId="77A8D17E" w14:textId="3C738033" w:rsidR="00FD54B8" w:rsidRPr="003B6EEA" w:rsidRDefault="00FD54B8" w:rsidP="003F2002">
            <w:pPr>
              <w:pStyle w:val="BodyText1"/>
              <w:numPr>
                <w:ilvl w:val="0"/>
                <w:numId w:val="45"/>
              </w:numPr>
              <w:spacing w:after="120" w:line="240" w:lineRule="auto"/>
              <w:ind w:left="34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Odpoutání výkonu KnM od podaných </w:t>
            </w:r>
            <w:r w:rsidR="00825645" w:rsidRPr="003B6EEA">
              <w:rPr>
                <w:rFonts w:asciiTheme="minorHAnsi" w:hAnsiTheme="minorHAnsi"/>
                <w:sz w:val="16"/>
                <w:szCs w:val="16"/>
              </w:rPr>
              <w:t>ŽoPl</w:t>
            </w:r>
            <w:r w:rsidRPr="003B6EEA">
              <w:rPr>
                <w:rFonts w:asciiTheme="minorHAnsi" w:hAnsiTheme="minorHAnsi"/>
                <w:sz w:val="16"/>
                <w:szCs w:val="16"/>
              </w:rPr>
              <w:t xml:space="preserve"> – vyšší počet chyb v </w:t>
            </w:r>
            <w:r w:rsidR="00825645" w:rsidRPr="003B6EEA">
              <w:rPr>
                <w:rFonts w:asciiTheme="minorHAnsi" w:hAnsiTheme="minorHAnsi"/>
                <w:sz w:val="16"/>
                <w:szCs w:val="16"/>
              </w:rPr>
              <w:t>ŽoPl</w:t>
            </w:r>
            <w:r w:rsidRPr="003B6EEA">
              <w:rPr>
                <w:rFonts w:asciiTheme="minorHAnsi" w:hAnsiTheme="minorHAnsi"/>
                <w:sz w:val="16"/>
                <w:szCs w:val="16"/>
              </w:rPr>
              <w:t>;</w:t>
            </w:r>
          </w:p>
          <w:p w14:paraId="2279D1E6" w14:textId="77777777" w:rsidR="00FD54B8" w:rsidRPr="003B6EEA" w:rsidRDefault="00FD54B8" w:rsidP="003F2002">
            <w:pPr>
              <w:pStyle w:val="BodyText1"/>
              <w:numPr>
                <w:ilvl w:val="0"/>
                <w:numId w:val="45"/>
              </w:numPr>
              <w:spacing w:after="120" w:line="240" w:lineRule="auto"/>
              <w:ind w:left="34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Povinná účast zadavatele požadavku na KnM ze strany ZS (projektový manažer API) v kontrolní skupině - zahlcení PM API;</w:t>
            </w:r>
          </w:p>
          <w:p w14:paraId="36763999" w14:textId="1FB5EC8C" w:rsidR="00FD54B8" w:rsidRPr="003B6EEA" w:rsidRDefault="00FD54B8" w:rsidP="003F2002">
            <w:pPr>
              <w:pStyle w:val="BodyText1"/>
              <w:numPr>
                <w:ilvl w:val="0"/>
                <w:numId w:val="45"/>
              </w:numPr>
              <w:spacing w:after="120" w:line="240" w:lineRule="auto"/>
              <w:ind w:left="34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Svěření výkonu KnM externímu dodavateli</w:t>
            </w:r>
            <w:r w:rsidR="0054466F">
              <w:rPr>
                <w:rFonts w:asciiTheme="minorHAnsi" w:hAnsiTheme="minorHAnsi"/>
                <w:sz w:val="16"/>
                <w:szCs w:val="16"/>
              </w:rPr>
              <w:t>;</w:t>
            </w:r>
          </w:p>
          <w:p w14:paraId="708C82A3" w14:textId="77777777" w:rsidR="00FD54B8" w:rsidRPr="003B6EEA" w:rsidRDefault="00FD54B8" w:rsidP="003F2002">
            <w:pPr>
              <w:pStyle w:val="BodyText1"/>
              <w:numPr>
                <w:ilvl w:val="0"/>
                <w:numId w:val="45"/>
              </w:numPr>
              <w:spacing w:after="120" w:line="240" w:lineRule="auto"/>
              <w:ind w:left="34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Vyjmutí kontroly statusu MSP z KnM – ztráta dalšího stupně kontroly;</w:t>
            </w:r>
          </w:p>
          <w:p w14:paraId="597CA22C" w14:textId="7777777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p w14:paraId="1D664EAC" w14:textId="77777777" w:rsidR="00FD54B8" w:rsidRPr="003B6EEA" w:rsidRDefault="00FD54B8" w:rsidP="003F2002">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Nesrovnalosti</w:t>
            </w:r>
          </w:p>
          <w:p w14:paraId="78E4EA68" w14:textId="77777777" w:rsidR="00FD54B8" w:rsidRPr="003B6EEA" w:rsidRDefault="00FD54B8" w:rsidP="003F2002">
            <w:pPr>
              <w:pStyle w:val="BodyText1"/>
              <w:numPr>
                <w:ilvl w:val="0"/>
                <w:numId w:val="47"/>
              </w:numPr>
              <w:spacing w:after="120" w:line="240" w:lineRule="auto"/>
              <w:ind w:left="34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Zrušení sankčního mechanismu za nepředložení zprávy o udržitelnosti – ztráta informovanosti ŘO o udržitelnosti projektů a tím snížení možnosti reportovat hodnoty udržitelnosti EK. Nicméně v případě dosavadních 156 nesrovnalostí tohoto typu se jedná o 1,8 % z celkového počtu 8 700 podpořených projektů v rámci OP PIK. Toto riziko tedy není zásadně významné. </w:t>
            </w:r>
          </w:p>
          <w:p w14:paraId="01019464" w14:textId="77777777" w:rsidR="00FD54B8" w:rsidRPr="003B6EEA" w:rsidRDefault="00FD54B8" w:rsidP="003F2002">
            <w:pPr>
              <w:pStyle w:val="BodyText1"/>
              <w:numPr>
                <w:ilvl w:val="0"/>
                <w:numId w:val="47"/>
              </w:numPr>
              <w:spacing w:after="120" w:line="240" w:lineRule="auto"/>
              <w:ind w:left="34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Automatické notifikace příjemců o jejich informační povinnosti – není spojeno s žádným rizikem;</w:t>
            </w:r>
          </w:p>
          <w:p w14:paraId="34A67681" w14:textId="77777777" w:rsidR="00FD54B8" w:rsidRPr="003B6EEA" w:rsidRDefault="00FD54B8" w:rsidP="003F2002">
            <w:pPr>
              <w:pStyle w:val="BodyText1"/>
              <w:numPr>
                <w:ilvl w:val="0"/>
                <w:numId w:val="47"/>
              </w:numPr>
              <w:spacing w:after="120" w:line="240" w:lineRule="auto"/>
              <w:ind w:left="344"/>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Navýšení finančního limitu pro vymáhání nesrovnalostí – není spojeno s žádným rizikem;</w:t>
            </w:r>
          </w:p>
        </w:tc>
      </w:tr>
      <w:tr w:rsidR="00FD54B8" w:rsidRPr="001F5B37" w14:paraId="5254864E" w14:textId="77777777" w:rsidTr="003F2002">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none" w:sz="0" w:space="0" w:color="auto"/>
            </w:tcBorders>
          </w:tcPr>
          <w:p w14:paraId="7E9D7F2E" w14:textId="77777777" w:rsidR="00FD54B8" w:rsidRPr="003B6EEA" w:rsidRDefault="00FD54B8" w:rsidP="003F2002">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 xml:space="preserve">Personální zopodvědnost za zavedení opatření </w:t>
            </w:r>
          </w:p>
        </w:tc>
        <w:tc>
          <w:tcPr>
            <w:tcW w:w="3986" w:type="pct"/>
            <w:shd w:val="clear" w:color="auto" w:fill="auto"/>
          </w:tcPr>
          <w:p w14:paraId="7B24F22E"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Kontroly na místě</w:t>
            </w:r>
          </w:p>
          <w:p w14:paraId="536BD342" w14:textId="3A645751" w:rsidR="00FD54B8" w:rsidRPr="003B6EEA" w:rsidRDefault="00FD54B8" w:rsidP="003F2002">
            <w:pPr>
              <w:pStyle w:val="BodyText1"/>
              <w:numPr>
                <w:ilvl w:val="0"/>
                <w:numId w:val="46"/>
              </w:numPr>
              <w:spacing w:after="120" w:line="240" w:lineRule="auto"/>
              <w:ind w:left="34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Odpoutání výkonu KnM od podaných </w:t>
            </w:r>
            <w:r w:rsidR="00825645" w:rsidRPr="003B6EEA">
              <w:rPr>
                <w:rFonts w:asciiTheme="minorHAnsi" w:hAnsiTheme="minorHAnsi"/>
                <w:sz w:val="16"/>
                <w:szCs w:val="16"/>
              </w:rPr>
              <w:t>ŽoPl</w:t>
            </w:r>
            <w:r w:rsidRPr="003B6EEA">
              <w:rPr>
                <w:rFonts w:asciiTheme="minorHAnsi" w:hAnsiTheme="minorHAnsi"/>
                <w:sz w:val="16"/>
                <w:szCs w:val="16"/>
              </w:rPr>
              <w:t xml:space="preserve"> – Odbor právní a metodické podpory</w:t>
            </w:r>
          </w:p>
          <w:p w14:paraId="6A947140" w14:textId="77777777" w:rsidR="00FD54B8" w:rsidRPr="003B6EEA" w:rsidRDefault="00FD54B8" w:rsidP="003F2002">
            <w:pPr>
              <w:pStyle w:val="BodyText1"/>
              <w:numPr>
                <w:ilvl w:val="0"/>
                <w:numId w:val="46"/>
              </w:numPr>
              <w:spacing w:after="120" w:line="240" w:lineRule="auto"/>
              <w:ind w:left="34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Povinná účast zadavatele požadavku na KnM ze strany ZS (projektový manažer API) v kontrolní skupině - Odbor právní a metodické podpory</w:t>
            </w:r>
          </w:p>
          <w:p w14:paraId="5BC9A221" w14:textId="77777777" w:rsidR="00FD54B8" w:rsidRPr="003B6EEA" w:rsidRDefault="00FD54B8" w:rsidP="003F2002">
            <w:pPr>
              <w:pStyle w:val="BodyText1"/>
              <w:numPr>
                <w:ilvl w:val="0"/>
                <w:numId w:val="46"/>
              </w:numPr>
              <w:spacing w:after="120" w:line="240" w:lineRule="auto"/>
              <w:ind w:left="34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Svěření výkonu KnM externímu dodavateli – Odbor právní a metodické podpory</w:t>
            </w:r>
          </w:p>
          <w:p w14:paraId="615DABD2" w14:textId="77777777" w:rsidR="00FD54B8" w:rsidRPr="003B6EEA" w:rsidRDefault="00FD54B8" w:rsidP="003F2002">
            <w:pPr>
              <w:pStyle w:val="BodyText1"/>
              <w:numPr>
                <w:ilvl w:val="0"/>
                <w:numId w:val="46"/>
              </w:numPr>
              <w:spacing w:after="120" w:line="240" w:lineRule="auto"/>
              <w:ind w:left="34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Vyjmutí kontroly statusu MSP z KnM – Odbor právní a metodické podpory</w:t>
            </w:r>
          </w:p>
          <w:p w14:paraId="61957D57"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p w14:paraId="3EF65B95" w14:textId="77777777" w:rsidR="00FD54B8" w:rsidRPr="003B6EEA" w:rsidRDefault="00FD54B8" w:rsidP="003F2002">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B6EEA">
              <w:rPr>
                <w:rFonts w:asciiTheme="minorHAnsi" w:hAnsiTheme="minorHAnsi"/>
                <w:b/>
                <w:sz w:val="16"/>
                <w:szCs w:val="16"/>
              </w:rPr>
              <w:t>Nesrovnalosti</w:t>
            </w:r>
          </w:p>
          <w:p w14:paraId="0C2428F7" w14:textId="77777777" w:rsidR="00FD54B8" w:rsidRPr="003B6EEA" w:rsidRDefault="00FD54B8" w:rsidP="003F2002">
            <w:pPr>
              <w:pStyle w:val="BodyText1"/>
              <w:numPr>
                <w:ilvl w:val="0"/>
                <w:numId w:val="48"/>
              </w:numPr>
              <w:spacing w:after="120" w:line="240" w:lineRule="auto"/>
              <w:ind w:left="34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lastRenderedPageBreak/>
              <w:t>Zrušení sankčního mechanismu za nepředložení zprávy o udržitelnosti - Odbor právní a metodické podpory</w:t>
            </w:r>
          </w:p>
          <w:p w14:paraId="62444A4B" w14:textId="77777777" w:rsidR="00FD54B8" w:rsidRPr="003B6EEA" w:rsidRDefault="00FD54B8" w:rsidP="003F2002">
            <w:pPr>
              <w:pStyle w:val="BodyText1"/>
              <w:numPr>
                <w:ilvl w:val="0"/>
                <w:numId w:val="48"/>
              </w:numPr>
              <w:spacing w:after="120" w:line="240" w:lineRule="auto"/>
              <w:ind w:left="34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Automatické notifikace příjemců o jejich informační povinnosti - Odbor právní a metodické podpory</w:t>
            </w:r>
          </w:p>
          <w:p w14:paraId="70E312C8" w14:textId="603B9E42" w:rsidR="00FD54B8" w:rsidRPr="003B6EEA" w:rsidRDefault="00FD54B8" w:rsidP="003F2002">
            <w:pPr>
              <w:pStyle w:val="BodyText1"/>
              <w:numPr>
                <w:ilvl w:val="0"/>
                <w:numId w:val="48"/>
              </w:numPr>
              <w:spacing w:after="120" w:line="240" w:lineRule="auto"/>
              <w:ind w:left="344"/>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Navýšení finančního limitu pro vymáhání nesrovnalostí - Odbor právní a</w:t>
            </w:r>
            <w:r w:rsidR="00C61330" w:rsidRPr="003B6EEA">
              <w:rPr>
                <w:rFonts w:asciiTheme="minorHAnsi" w:hAnsiTheme="minorHAnsi"/>
                <w:sz w:val="16"/>
                <w:szCs w:val="16"/>
              </w:rPr>
              <w:t> </w:t>
            </w:r>
            <w:r w:rsidRPr="003B6EEA">
              <w:rPr>
                <w:rFonts w:asciiTheme="minorHAnsi" w:hAnsiTheme="minorHAnsi"/>
                <w:sz w:val="16"/>
                <w:szCs w:val="16"/>
              </w:rPr>
              <w:t>metodické podpory</w:t>
            </w:r>
          </w:p>
        </w:tc>
      </w:tr>
    </w:tbl>
    <w:p w14:paraId="0FB13DB9" w14:textId="77777777" w:rsidR="00FD54B8" w:rsidRPr="006D28EB" w:rsidRDefault="00FD54B8" w:rsidP="00FD54B8"/>
    <w:p w14:paraId="0F90705B" w14:textId="6838F267" w:rsidR="00FD54B8" w:rsidRDefault="00323B28" w:rsidP="00B050E8">
      <w:pPr>
        <w:pStyle w:val="Heading2"/>
      </w:pPr>
      <w:bookmarkStart w:id="30" w:name="_Toc52532093"/>
      <w:r>
        <w:t>Optimalizační opatření č.</w:t>
      </w:r>
      <w:r w:rsidR="00D40318">
        <w:t xml:space="preserve"> </w:t>
      </w:r>
      <w:r>
        <w:t xml:space="preserve">5: </w:t>
      </w:r>
      <w:r w:rsidR="00B050E8">
        <w:t>Zjednodušené hodnocení žádostí</w:t>
      </w:r>
      <w:bookmarkEnd w:id="30"/>
    </w:p>
    <w:p w14:paraId="61D5E196" w14:textId="1515A64A" w:rsidR="00B050E8" w:rsidRDefault="00010BC0" w:rsidP="00EB2730">
      <w:pPr>
        <w:jc w:val="both"/>
      </w:pPr>
      <w:r>
        <w:t xml:space="preserve">Následující opatření bylo konzultováno s garantkami PP Marketing, na kterém bylo optimalizační opatření namodelováno. </w:t>
      </w:r>
      <w:r w:rsidR="00D119C2">
        <w:t>Na základě dalších konzultací byly předběžně identifikovány další programy podpory, kde by bylo možné o zavedení zjednodušeného hodnocení uvažovat. Konkrétně se jedná o program</w:t>
      </w:r>
      <w:r w:rsidR="00D119C2" w:rsidRPr="00B246CD">
        <w:t xml:space="preserve"> Úspor energií u menších projektů (např. do 2 mil. Kč)</w:t>
      </w:r>
      <w:r w:rsidR="00D119C2">
        <w:t>,</w:t>
      </w:r>
      <w:r w:rsidR="00D119C2" w:rsidRPr="00B246CD">
        <w:t xml:space="preserve"> program Nízkouhlíkové technologie </w:t>
      </w:r>
      <w:r w:rsidR="00D119C2">
        <w:t>v oblasti</w:t>
      </w:r>
      <w:r w:rsidR="00D119C2" w:rsidRPr="00B246CD">
        <w:t xml:space="preserve"> elektromobility </w:t>
      </w:r>
      <w:r w:rsidR="00D119C2">
        <w:t xml:space="preserve">(např. s využitím parametrické podpory) </w:t>
      </w:r>
      <w:r w:rsidR="00D119C2" w:rsidRPr="00B246CD">
        <w:t>či program Nemovitosti.</w:t>
      </w:r>
    </w:p>
    <w:p w14:paraId="4D5A7D9A" w14:textId="38CB555D" w:rsidR="00B050E8" w:rsidRDefault="00B050E8" w:rsidP="00010BC0">
      <w:pPr>
        <w:pStyle w:val="Caption"/>
      </w:pPr>
      <w:bookmarkStart w:id="31" w:name="_Toc52532110"/>
      <w:r>
        <w:t xml:space="preserve">Tabulka </w:t>
      </w:r>
      <w:r>
        <w:fldChar w:fldCharType="begin"/>
      </w:r>
      <w:r>
        <w:instrText xml:space="preserve"> SEQ Tabulka \* ARABIC </w:instrText>
      </w:r>
      <w:r>
        <w:fldChar w:fldCharType="separate"/>
      </w:r>
      <w:r w:rsidR="008E1911">
        <w:rPr>
          <w:noProof/>
        </w:rPr>
        <w:t>12</w:t>
      </w:r>
      <w:r>
        <w:rPr>
          <w:noProof/>
        </w:rPr>
        <w:fldChar w:fldCharType="end"/>
      </w:r>
      <w:r>
        <w:t xml:space="preserve"> </w:t>
      </w:r>
      <w:r w:rsidR="00010BC0">
        <w:t>Optimalizační opatření č.</w:t>
      </w:r>
      <w:r w:rsidR="00D40318">
        <w:t xml:space="preserve"> </w:t>
      </w:r>
      <w:r w:rsidR="00010BC0">
        <w:t xml:space="preserve">5: Zjednodušené </w:t>
      </w:r>
      <w:r>
        <w:t xml:space="preserve">hodnocení </w:t>
      </w:r>
      <w:r w:rsidR="00010BC0">
        <w:t>žádostí</w:t>
      </w:r>
      <w:bookmarkEnd w:id="31"/>
    </w:p>
    <w:tbl>
      <w:tblPr>
        <w:tblStyle w:val="GridTable5Dark-Accent1"/>
        <w:tblW w:w="5000" w:type="pct"/>
        <w:tblBorders>
          <w:bottom w:val="single" w:sz="4" w:space="0" w:color="86BC25" w:themeColor="accent1"/>
          <w:right w:val="single" w:sz="4" w:space="0" w:color="86BC25" w:themeColor="accent1"/>
          <w:insideH w:val="single" w:sz="4" w:space="0" w:color="86BC25" w:themeColor="accent1"/>
        </w:tblBorders>
        <w:tblCellMar>
          <w:top w:w="29" w:type="dxa"/>
          <w:left w:w="115" w:type="dxa"/>
          <w:bottom w:w="29" w:type="dxa"/>
          <w:right w:w="115" w:type="dxa"/>
        </w:tblCellMar>
        <w:tblLook w:val="04A0" w:firstRow="1" w:lastRow="0" w:firstColumn="1" w:lastColumn="0" w:noHBand="0" w:noVBand="1"/>
      </w:tblPr>
      <w:tblGrid>
        <w:gridCol w:w="2000"/>
        <w:gridCol w:w="7736"/>
      </w:tblGrid>
      <w:tr w:rsidR="00B050E8" w:rsidRPr="001F5B37" w14:paraId="193F9441" w14:textId="77777777" w:rsidTr="00E17889">
        <w:trPr>
          <w:cnfStyle w:val="100000000000" w:firstRow="1" w:lastRow="0" w:firstColumn="0" w:lastColumn="0" w:oddVBand="0" w:evenVBand="0" w:oddHBand="0" w:evenHBand="0" w:firstRowFirstColumn="0" w:firstRowLastColumn="0" w:lastRowFirstColumn="0" w:lastRowLastColumn="0"/>
          <w:trHeight w:val="356"/>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right w:val="none" w:sz="0" w:space="0" w:color="auto"/>
            </w:tcBorders>
          </w:tcPr>
          <w:p w14:paraId="23915391" w14:textId="06E6BB3C" w:rsidR="00B050E8" w:rsidRPr="003B6EEA" w:rsidRDefault="00010BC0" w:rsidP="00E17889">
            <w:pPr>
              <w:pStyle w:val="BodyText1"/>
              <w:spacing w:after="120" w:line="240" w:lineRule="auto"/>
              <w:rPr>
                <w:rFonts w:asciiTheme="minorHAnsi" w:hAnsiTheme="minorHAnsi"/>
                <w:b w:val="0"/>
                <w:color w:val="D0D0CE" w:themeColor="background2"/>
                <w:sz w:val="16"/>
                <w:szCs w:val="16"/>
              </w:rPr>
            </w:pPr>
            <w:r w:rsidRPr="003B6EEA">
              <w:rPr>
                <w:rFonts w:asciiTheme="minorHAnsi" w:hAnsiTheme="minorHAnsi"/>
                <w:color w:val="FFFFFF" w:themeColor="background1"/>
                <w:sz w:val="16"/>
                <w:szCs w:val="16"/>
              </w:rPr>
              <w:t>Zjednodušené hodnocení žádostí</w:t>
            </w:r>
          </w:p>
        </w:tc>
      </w:tr>
      <w:tr w:rsidR="00B050E8" w:rsidRPr="00D40318" w14:paraId="58F25787" w14:textId="77777777" w:rsidTr="00E1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bottom w:val="single" w:sz="4" w:space="0" w:color="FFFFFF" w:themeColor="background1"/>
            </w:tcBorders>
          </w:tcPr>
          <w:p w14:paraId="37274C65" w14:textId="77777777" w:rsidR="00B050E8" w:rsidRPr="003B6EEA" w:rsidRDefault="00B050E8" w:rsidP="00E17889">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Popis současného stavu</w:t>
            </w:r>
          </w:p>
        </w:tc>
        <w:tc>
          <w:tcPr>
            <w:tcW w:w="3980" w:type="pct"/>
            <w:shd w:val="clear" w:color="auto" w:fill="auto"/>
          </w:tcPr>
          <w:p w14:paraId="1C82DAEE" w14:textId="214084B6" w:rsidR="00B050E8" w:rsidRPr="003B6EEA" w:rsidRDefault="00B050E8"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Věcné hodnocení </w:t>
            </w:r>
            <w:r w:rsidR="00B04647">
              <w:rPr>
                <w:rFonts w:asciiTheme="minorHAnsi" w:hAnsiTheme="minorHAnsi"/>
                <w:sz w:val="16"/>
                <w:szCs w:val="16"/>
              </w:rPr>
              <w:t>žádostí o podporu</w:t>
            </w:r>
            <w:r w:rsidRPr="003B6EEA">
              <w:rPr>
                <w:rFonts w:asciiTheme="minorHAnsi" w:hAnsiTheme="minorHAnsi"/>
                <w:sz w:val="16"/>
                <w:szCs w:val="16"/>
              </w:rPr>
              <w:t xml:space="preserve"> v programu podpory Marketing provádí 7 interních hodnotitelů MPO. Věcné hodnocení žádostí je pouze jednou z činností, které tito pracovníci MPO vykonávají. V současné době ještě dochází k věcnému hodnocení žádostí přijatých v rámci IV. výzvy Marketingu ukončené v květnu 2019. Z přijatých žádostí část odstoupila od podpory po vypuknutí pandemie a</w:t>
            </w:r>
            <w:r w:rsidR="00C61330" w:rsidRPr="003B6EEA">
              <w:rPr>
                <w:rFonts w:asciiTheme="minorHAnsi" w:hAnsiTheme="minorHAnsi"/>
                <w:sz w:val="16"/>
                <w:szCs w:val="16"/>
              </w:rPr>
              <w:t> </w:t>
            </w:r>
            <w:r w:rsidRPr="003B6EEA">
              <w:rPr>
                <w:rFonts w:asciiTheme="minorHAnsi" w:hAnsiTheme="minorHAnsi"/>
                <w:sz w:val="16"/>
                <w:szCs w:val="16"/>
              </w:rPr>
              <w:t xml:space="preserve">omezení účasti na zahraničních veletrzích, celkem 229 žádostí následně prošlo formálním hodnocením přijatelnosti, i po pozastavení a následném opětovném otevření hodnocení v září 2019 a začátkem roku 2020 po navýšení alokace výzvy (z původních 200 mil. Kč na celkem 340 mil. Kč). </w:t>
            </w:r>
          </w:p>
          <w:p w14:paraId="6315AC1C" w14:textId="24E521EA" w:rsidR="00B050E8" w:rsidRPr="003B6EEA" w:rsidRDefault="00B050E8"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Dosud bylo podpořeno celkem 899 projektů a v rámci IV. výzvy se předpokládá podpora zhruba 229 </w:t>
            </w:r>
            <w:r w:rsidR="00B04647">
              <w:rPr>
                <w:rFonts w:asciiTheme="minorHAnsi" w:hAnsiTheme="minorHAnsi"/>
                <w:sz w:val="16"/>
                <w:szCs w:val="16"/>
              </w:rPr>
              <w:t>žádostí o podporu</w:t>
            </w:r>
            <w:r w:rsidRPr="003B6EEA">
              <w:rPr>
                <w:rFonts w:asciiTheme="minorHAnsi" w:hAnsiTheme="minorHAnsi"/>
                <w:sz w:val="16"/>
                <w:szCs w:val="16"/>
              </w:rPr>
              <w:t xml:space="preserve">, u jejichž většiny již bylo dokončeno formální hodnocení. </w:t>
            </w:r>
          </w:p>
          <w:p w14:paraId="18824734" w14:textId="1D258DB1" w:rsidR="00B050E8" w:rsidRPr="003B6EEA" w:rsidRDefault="00B050E8"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Přidělování interních hodnotitelů probíhá losováním v excelové tabulce, využití externích hodnotitelů není vzhledem k jednoduchosti programu podpory a typu podporovaných aktivit potřebné ani žádoucí. Délka hodnocení jedné </w:t>
            </w:r>
            <w:r w:rsidR="00B04647">
              <w:rPr>
                <w:rFonts w:asciiTheme="minorHAnsi" w:hAnsiTheme="minorHAnsi"/>
                <w:sz w:val="16"/>
                <w:szCs w:val="16"/>
              </w:rPr>
              <w:t>žádosti o podporu</w:t>
            </w:r>
            <w:r w:rsidRPr="003B6EEA">
              <w:rPr>
                <w:rFonts w:asciiTheme="minorHAnsi" w:hAnsiTheme="minorHAnsi"/>
                <w:sz w:val="16"/>
                <w:szCs w:val="16"/>
              </w:rPr>
              <w:t>, kde velkou část představuje podnikatelský záměr, se liší dle počtu a</w:t>
            </w:r>
            <w:r w:rsidR="00C61330" w:rsidRPr="003B6EEA">
              <w:rPr>
                <w:rFonts w:asciiTheme="minorHAnsi" w:hAnsiTheme="minorHAnsi"/>
                <w:sz w:val="16"/>
                <w:szCs w:val="16"/>
              </w:rPr>
              <w:t> </w:t>
            </w:r>
            <w:r w:rsidRPr="003B6EEA">
              <w:rPr>
                <w:rFonts w:asciiTheme="minorHAnsi" w:hAnsiTheme="minorHAnsi"/>
                <w:sz w:val="16"/>
                <w:szCs w:val="16"/>
              </w:rPr>
              <w:t>různorodosti veletrhů. Proto není možné zcela přesně určit délku hodnocení žádostí, která se dle odhadu interních hodnotitelů pohybuje v průměru mezi 8 a</w:t>
            </w:r>
            <w:r w:rsidR="00C61330" w:rsidRPr="003B6EEA">
              <w:rPr>
                <w:rFonts w:asciiTheme="minorHAnsi" w:hAnsiTheme="minorHAnsi"/>
                <w:sz w:val="16"/>
                <w:szCs w:val="16"/>
              </w:rPr>
              <w:t> </w:t>
            </w:r>
            <w:r w:rsidRPr="003B6EEA">
              <w:rPr>
                <w:rFonts w:asciiTheme="minorHAnsi" w:hAnsiTheme="minorHAnsi"/>
                <w:sz w:val="16"/>
                <w:szCs w:val="16"/>
              </w:rPr>
              <w:t xml:space="preserve">12 hodinami pro jednoho hodnotitele. Každá </w:t>
            </w:r>
            <w:r w:rsidR="00B04647">
              <w:rPr>
                <w:rFonts w:asciiTheme="minorHAnsi" w:hAnsiTheme="minorHAnsi"/>
                <w:sz w:val="16"/>
                <w:szCs w:val="16"/>
              </w:rPr>
              <w:t>žádost o podporu</w:t>
            </w:r>
            <w:r w:rsidRPr="003B6EEA">
              <w:rPr>
                <w:rFonts w:asciiTheme="minorHAnsi" w:hAnsiTheme="minorHAnsi"/>
                <w:sz w:val="16"/>
                <w:szCs w:val="16"/>
              </w:rPr>
              <w:t xml:space="preserve"> je hodnocena dvěma interními hodnotiteli, celková doba hodnocení jedné </w:t>
            </w:r>
            <w:r w:rsidR="00B04647">
              <w:rPr>
                <w:rFonts w:asciiTheme="minorHAnsi" w:hAnsiTheme="minorHAnsi"/>
                <w:sz w:val="16"/>
                <w:szCs w:val="16"/>
              </w:rPr>
              <w:t>žádosti o podporu</w:t>
            </w:r>
            <w:r w:rsidRPr="003B6EEA">
              <w:rPr>
                <w:rFonts w:asciiTheme="minorHAnsi" w:hAnsiTheme="minorHAnsi"/>
                <w:sz w:val="16"/>
                <w:szCs w:val="16"/>
              </w:rPr>
              <w:t xml:space="preserve"> je tudíž 16 až 24 hodin. Při průměrné délce 20 hodin věcného hodnocení jedné žádosti je tak možné celkovou dobu věcného hodnocení dosavadních 899 projektů odhadnout na zhruba 18 000 hodin. Při předpokládané podpoře dalších 229 projektů do konce tohoto programového období se tak celková doba věcného hodnocení všech přijatelných žádostí přibližuje </w:t>
            </w:r>
            <w:r w:rsidRPr="003B6EEA">
              <w:rPr>
                <w:rFonts w:asciiTheme="minorHAnsi" w:hAnsiTheme="minorHAnsi"/>
                <w:b/>
                <w:sz w:val="16"/>
                <w:szCs w:val="16"/>
              </w:rPr>
              <w:t>22 000 hodin</w:t>
            </w:r>
            <w:r w:rsidRPr="003B6EEA">
              <w:rPr>
                <w:rFonts w:asciiTheme="minorHAnsi" w:hAnsiTheme="minorHAnsi"/>
                <w:sz w:val="16"/>
                <w:szCs w:val="16"/>
              </w:rPr>
              <w:t xml:space="preserve">. </w:t>
            </w:r>
          </w:p>
        </w:tc>
      </w:tr>
      <w:tr w:rsidR="00B050E8" w:rsidRPr="00D40318" w14:paraId="52EE4E58" w14:textId="77777777" w:rsidTr="00E17889">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6414B460" w14:textId="77777777" w:rsidR="00B050E8" w:rsidRPr="003B6EEA" w:rsidRDefault="00B050E8" w:rsidP="00E17889">
            <w:pPr>
              <w:pStyle w:val="BodyText1"/>
              <w:spacing w:after="120" w:line="240" w:lineRule="auto"/>
              <w:ind w:right="112"/>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Popis cílového stavu</w:t>
            </w:r>
          </w:p>
        </w:tc>
        <w:tc>
          <w:tcPr>
            <w:tcW w:w="3980" w:type="pct"/>
            <w:shd w:val="clear" w:color="auto" w:fill="auto"/>
          </w:tcPr>
          <w:p w14:paraId="0958BB04" w14:textId="1B973565" w:rsidR="00B050E8" w:rsidRPr="003B6EEA" w:rsidRDefault="00B050E8"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 rámci optimalizačního opatření je navrženo </w:t>
            </w:r>
            <w:r w:rsidRPr="003B6EEA">
              <w:rPr>
                <w:rFonts w:asciiTheme="minorHAnsi" w:hAnsiTheme="minorHAnsi"/>
                <w:b/>
                <w:sz w:val="16"/>
                <w:szCs w:val="16"/>
              </w:rPr>
              <w:t xml:space="preserve">zrušení věcného hodnocení </w:t>
            </w:r>
            <w:r w:rsidR="00B04647">
              <w:rPr>
                <w:rFonts w:asciiTheme="minorHAnsi" w:hAnsiTheme="minorHAnsi"/>
                <w:b/>
                <w:sz w:val="16"/>
                <w:szCs w:val="16"/>
              </w:rPr>
              <w:t>žádostí o podporu</w:t>
            </w:r>
            <w:r w:rsidRPr="003B6EEA">
              <w:rPr>
                <w:rFonts w:asciiTheme="minorHAnsi" w:hAnsiTheme="minorHAnsi"/>
                <w:b/>
                <w:sz w:val="16"/>
                <w:szCs w:val="16"/>
              </w:rPr>
              <w:t xml:space="preserve"> PP Marketing</w:t>
            </w:r>
            <w:r w:rsidRPr="003B6EEA">
              <w:rPr>
                <w:rFonts w:asciiTheme="minorHAnsi" w:hAnsiTheme="minorHAnsi"/>
                <w:sz w:val="16"/>
                <w:szCs w:val="16"/>
              </w:rPr>
              <w:t xml:space="preserve">. Důvodem je výrazná podobnost </w:t>
            </w:r>
            <w:r w:rsidR="00B04647">
              <w:rPr>
                <w:rFonts w:asciiTheme="minorHAnsi" w:hAnsiTheme="minorHAnsi"/>
                <w:sz w:val="16"/>
                <w:szCs w:val="16"/>
              </w:rPr>
              <w:t>žádostí o podporu</w:t>
            </w:r>
            <w:r w:rsidRPr="003B6EEA">
              <w:rPr>
                <w:rFonts w:asciiTheme="minorHAnsi" w:hAnsiTheme="minorHAnsi"/>
                <w:sz w:val="16"/>
                <w:szCs w:val="16"/>
              </w:rPr>
              <w:t xml:space="preserve"> a podnikatelských plánů, časté opakování struktury a popisu předchozích žádostí a tím nízká přidaná hodnota věcného hodnocení. Program podpory umožňuje </w:t>
            </w:r>
            <w:r w:rsidRPr="003B6EEA">
              <w:rPr>
                <w:rFonts w:asciiTheme="minorHAnsi" w:hAnsiTheme="minorHAnsi"/>
                <w:b/>
                <w:sz w:val="16"/>
                <w:szCs w:val="16"/>
              </w:rPr>
              <w:t>parametrický charakter podpory</w:t>
            </w:r>
            <w:r w:rsidRPr="003B6EEA">
              <w:rPr>
                <w:rFonts w:asciiTheme="minorHAnsi" w:hAnsiTheme="minorHAnsi"/>
                <w:sz w:val="16"/>
                <w:szCs w:val="16"/>
              </w:rPr>
              <w:t xml:space="preserve"> (např. paušální částka na typ aktivit – např. účast na veletrhu; typ veletrhu – např. v určitém regionu), který by nahradil věcné hodnocení hospodárnosti projektu a zároveň vedl k formě zjednodušeného vykazování účetních dok</w:t>
            </w:r>
            <w:r w:rsidR="00765812" w:rsidRPr="003B6EEA">
              <w:rPr>
                <w:rFonts w:asciiTheme="minorHAnsi" w:hAnsiTheme="minorHAnsi"/>
                <w:sz w:val="16"/>
                <w:szCs w:val="16"/>
              </w:rPr>
              <w:t>ladů. To je možné podobně jako u </w:t>
            </w:r>
            <w:r w:rsidRPr="003B6EEA">
              <w:rPr>
                <w:rFonts w:asciiTheme="minorHAnsi" w:hAnsiTheme="minorHAnsi"/>
                <w:sz w:val="16"/>
                <w:szCs w:val="16"/>
              </w:rPr>
              <w:t xml:space="preserve">upraveného hodnocení PP Poradenství rozšířit o několik jednoduchých věcných kritérií. </w:t>
            </w:r>
          </w:p>
          <w:p w14:paraId="4926072E" w14:textId="77777777" w:rsidR="00B050E8" w:rsidRPr="003B6EEA" w:rsidRDefault="00B050E8"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 případě potřeby „druhé kontroly“ může dojít k vyjednání výjimky pro zasedání Výběrové komise, která by podporu projektů schvalovala. </w:t>
            </w:r>
          </w:p>
        </w:tc>
      </w:tr>
      <w:tr w:rsidR="00B050E8" w:rsidRPr="00D40318" w14:paraId="1D77409B" w14:textId="77777777" w:rsidTr="00E1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1B406F9F" w14:textId="77777777" w:rsidR="00B050E8" w:rsidRPr="003B6EEA" w:rsidRDefault="00B050E8" w:rsidP="00E17889">
            <w:pPr>
              <w:pStyle w:val="BodyText1"/>
              <w:spacing w:after="120" w:line="240" w:lineRule="auto"/>
              <w:ind w:right="112"/>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Očekávané výsledky zavedeného opatření a časový plán dopadu</w:t>
            </w:r>
          </w:p>
        </w:tc>
        <w:tc>
          <w:tcPr>
            <w:tcW w:w="3980" w:type="pct"/>
            <w:shd w:val="clear" w:color="auto" w:fill="auto"/>
          </w:tcPr>
          <w:p w14:paraId="2C95E055" w14:textId="03755D52" w:rsidR="00B050E8" w:rsidRPr="003B6EEA" w:rsidRDefault="00B050E8"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Do konce současného programového období se nepředpokládá vypsání další výzvy v programu podpory Marketing. </w:t>
            </w:r>
            <w:r w:rsidRPr="003B6EEA">
              <w:rPr>
                <w:rFonts w:asciiTheme="minorHAnsi" w:hAnsiTheme="minorHAnsi"/>
                <w:b/>
                <w:sz w:val="16"/>
                <w:szCs w:val="16"/>
              </w:rPr>
              <w:t>Dopad opatření bude v dalším programovém období OP TAK 2021 – 2027</w:t>
            </w:r>
            <w:r w:rsidRPr="003B6EEA">
              <w:rPr>
                <w:rFonts w:asciiTheme="minorHAnsi" w:hAnsiTheme="minorHAnsi"/>
                <w:sz w:val="16"/>
                <w:szCs w:val="16"/>
              </w:rPr>
              <w:t xml:space="preserve">. Zavedení opatření bude mít dopady jak na implementační strukturu OP TAK, tak žadatele o podporu. </w:t>
            </w:r>
          </w:p>
          <w:p w14:paraId="0CCBED6E" w14:textId="77777777" w:rsidR="00B050E8" w:rsidRPr="003B6EEA" w:rsidRDefault="00B050E8"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Dopad na implementační strukturu:</w:t>
            </w:r>
          </w:p>
          <w:p w14:paraId="0660528E" w14:textId="70207803" w:rsidR="00B050E8" w:rsidRPr="003B6EEA" w:rsidRDefault="00B050E8" w:rsidP="00E17889">
            <w:pPr>
              <w:pStyle w:val="BodyText1"/>
              <w:numPr>
                <w:ilvl w:val="0"/>
                <w:numId w:val="49"/>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b/>
                <w:bCs/>
                <w:sz w:val="16"/>
                <w:szCs w:val="16"/>
              </w:rPr>
              <w:lastRenderedPageBreak/>
              <w:t>Časová úspora</w:t>
            </w:r>
            <w:r w:rsidRPr="1B8B314C">
              <w:rPr>
                <w:rFonts w:asciiTheme="minorHAnsi" w:hAnsiTheme="minorHAnsi"/>
                <w:sz w:val="16"/>
                <w:szCs w:val="16"/>
              </w:rPr>
              <w:t xml:space="preserve"> pracovního fondu zaměstnanců MPO v průměrné výši 20 hodin na </w:t>
            </w:r>
            <w:r w:rsidR="00B04647">
              <w:rPr>
                <w:rFonts w:asciiTheme="minorHAnsi" w:hAnsiTheme="minorHAnsi"/>
                <w:sz w:val="16"/>
                <w:szCs w:val="16"/>
              </w:rPr>
              <w:t>žádost o podporu</w:t>
            </w:r>
            <w:r w:rsidRPr="1B8B314C">
              <w:rPr>
                <w:rFonts w:asciiTheme="minorHAnsi" w:hAnsiTheme="minorHAnsi"/>
                <w:sz w:val="16"/>
                <w:szCs w:val="16"/>
              </w:rPr>
              <w:t xml:space="preserve">. Při obdobném množství </w:t>
            </w:r>
            <w:r w:rsidR="00B04647">
              <w:rPr>
                <w:rFonts w:asciiTheme="minorHAnsi" w:hAnsiTheme="minorHAnsi"/>
                <w:sz w:val="16"/>
                <w:szCs w:val="16"/>
              </w:rPr>
              <w:t>žádostí o podporu</w:t>
            </w:r>
            <w:r w:rsidRPr="1B8B314C">
              <w:rPr>
                <w:rFonts w:asciiTheme="minorHAnsi" w:hAnsiTheme="minorHAnsi"/>
                <w:sz w:val="16"/>
                <w:szCs w:val="16"/>
              </w:rPr>
              <w:t xml:space="preserve"> (1 100) v OP TAK by se mohlo jednat o</w:t>
            </w:r>
            <w:r w:rsidRPr="005A1303">
              <w:rPr>
                <w:rFonts w:asciiTheme="minorHAnsi" w:hAnsiTheme="minorHAnsi"/>
                <w:b/>
                <w:bCs/>
                <w:sz w:val="16"/>
                <w:szCs w:val="16"/>
              </w:rPr>
              <w:t xml:space="preserve"> úsporu až 22 000 hodin, tedy 2 800 pracovních dní za celé programové období</w:t>
            </w:r>
            <w:r w:rsidRPr="1B8B314C">
              <w:rPr>
                <w:rFonts w:asciiTheme="minorHAnsi" w:hAnsiTheme="minorHAnsi"/>
                <w:sz w:val="16"/>
                <w:szCs w:val="16"/>
              </w:rPr>
              <w:t xml:space="preserve">. Volné kapacity pracovníků implementační struktury tak mohou být alokovány na jiné pracovní úkoly. </w:t>
            </w:r>
          </w:p>
          <w:p w14:paraId="384BD0E7" w14:textId="28A8EC46" w:rsidR="00B050E8" w:rsidRPr="003B6EEA" w:rsidRDefault="00B050E8" w:rsidP="00E17889">
            <w:pPr>
              <w:pStyle w:val="BodyText1"/>
              <w:numPr>
                <w:ilvl w:val="0"/>
                <w:numId w:val="49"/>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Urychlení schvalování žádostí a </w:t>
            </w:r>
            <w:r w:rsidRPr="003B6EEA">
              <w:rPr>
                <w:rFonts w:asciiTheme="minorHAnsi" w:hAnsiTheme="minorHAnsi"/>
                <w:b/>
                <w:sz w:val="16"/>
                <w:szCs w:val="16"/>
              </w:rPr>
              <w:t>dodržování termínu</w:t>
            </w:r>
            <w:r w:rsidRPr="003B6EEA">
              <w:rPr>
                <w:rFonts w:asciiTheme="minorHAnsi" w:hAnsiTheme="minorHAnsi"/>
                <w:sz w:val="16"/>
                <w:szCs w:val="16"/>
              </w:rPr>
              <w:t xml:space="preserve"> pro schvalování </w:t>
            </w:r>
            <w:r w:rsidR="00B04647">
              <w:rPr>
                <w:rFonts w:asciiTheme="minorHAnsi" w:hAnsiTheme="minorHAnsi"/>
                <w:sz w:val="16"/>
                <w:szCs w:val="16"/>
              </w:rPr>
              <w:t>žádostí o podporu</w:t>
            </w:r>
            <w:r w:rsidRPr="003B6EEA">
              <w:rPr>
                <w:rFonts w:asciiTheme="minorHAnsi" w:hAnsiTheme="minorHAnsi"/>
                <w:sz w:val="16"/>
                <w:szCs w:val="16"/>
              </w:rPr>
              <w:t xml:space="preserve"> a vydávání RoPD. </w:t>
            </w:r>
          </w:p>
          <w:p w14:paraId="4F99F40D" w14:textId="6D3C406C" w:rsidR="00B050E8" w:rsidRPr="003B6EEA" w:rsidRDefault="00B050E8" w:rsidP="00E17889">
            <w:pPr>
              <w:pStyle w:val="BodyText1"/>
              <w:numPr>
                <w:ilvl w:val="0"/>
                <w:numId w:val="49"/>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Urychlení schvalování by zároveň vedlo k umenšení rizika stížností a</w:t>
            </w:r>
            <w:r w:rsidR="00765812" w:rsidRPr="003B6EEA">
              <w:rPr>
                <w:rFonts w:asciiTheme="minorHAnsi" w:hAnsiTheme="minorHAnsi"/>
                <w:sz w:val="16"/>
                <w:szCs w:val="16"/>
              </w:rPr>
              <w:t> </w:t>
            </w:r>
            <w:r w:rsidRPr="003B6EEA">
              <w:rPr>
                <w:rFonts w:asciiTheme="minorHAnsi" w:hAnsiTheme="minorHAnsi"/>
                <w:sz w:val="16"/>
                <w:szCs w:val="16"/>
              </w:rPr>
              <w:t xml:space="preserve">dotazů ze strany žadatelů. </w:t>
            </w:r>
          </w:p>
          <w:p w14:paraId="60347129" w14:textId="4EE3EF38" w:rsidR="00B050E8" w:rsidRPr="005A1303" w:rsidRDefault="00B050E8" w:rsidP="00E17889">
            <w:pPr>
              <w:pStyle w:val="BodyText1"/>
              <w:numPr>
                <w:ilvl w:val="0"/>
                <w:numId w:val="49"/>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5A1303">
              <w:rPr>
                <w:rFonts w:asciiTheme="minorHAnsi" w:hAnsiTheme="minorHAnsi"/>
                <w:b/>
                <w:bCs/>
                <w:sz w:val="16"/>
                <w:szCs w:val="16"/>
              </w:rPr>
              <w:t>Drobné navýšení pracovní zátěže</w:t>
            </w:r>
            <w:r w:rsidRPr="005A1303">
              <w:rPr>
                <w:rFonts w:asciiTheme="minorHAnsi" w:hAnsiTheme="minorHAnsi"/>
                <w:sz w:val="16"/>
                <w:szCs w:val="16"/>
              </w:rPr>
              <w:t xml:space="preserve"> pro formální hodnotitele přijatelnosti na API související s hodnocením dodatečných kritérií (např. </w:t>
            </w:r>
            <w:r w:rsidR="005A1303" w:rsidRPr="005A1303">
              <w:rPr>
                <w:rFonts w:asciiTheme="minorHAnsi" w:hAnsiTheme="minorHAnsi"/>
                <w:sz w:val="16"/>
                <w:szCs w:val="16"/>
              </w:rPr>
              <w:t xml:space="preserve"> soulad projektu s účelem podpory; soulad zaměření veletrhu s činností žadatele)</w:t>
            </w:r>
          </w:p>
          <w:p w14:paraId="56E614F3" w14:textId="77777777" w:rsidR="00B050E8" w:rsidRPr="003B6EEA" w:rsidRDefault="00B050E8" w:rsidP="00E17889">
            <w:pPr>
              <w:pStyle w:val="BodyText1"/>
              <w:numPr>
                <w:ilvl w:val="0"/>
                <w:numId w:val="49"/>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b/>
                <w:sz w:val="16"/>
                <w:szCs w:val="16"/>
              </w:rPr>
              <w:t>Úspora finančních nákladů</w:t>
            </w:r>
            <w:r w:rsidRPr="003B6EEA">
              <w:rPr>
                <w:rFonts w:asciiTheme="minorHAnsi" w:hAnsiTheme="minorHAnsi"/>
                <w:sz w:val="16"/>
                <w:szCs w:val="16"/>
              </w:rPr>
              <w:t xml:space="preserve"> na externí hodnotitele </w:t>
            </w:r>
            <w:r w:rsidRPr="003B6EEA">
              <w:rPr>
                <w:rFonts w:asciiTheme="minorHAnsi" w:hAnsiTheme="minorHAnsi"/>
                <w:b/>
                <w:sz w:val="16"/>
                <w:szCs w:val="16"/>
              </w:rPr>
              <w:t>ve výši až 8,8 mil. Kč</w:t>
            </w:r>
            <w:r w:rsidRPr="003B6EEA">
              <w:rPr>
                <w:rFonts w:asciiTheme="minorHAnsi" w:hAnsiTheme="minorHAnsi"/>
                <w:sz w:val="16"/>
                <w:szCs w:val="16"/>
              </w:rPr>
              <w:t xml:space="preserve"> (při předpokládané výši 22 000 hodin věcného hodnocení s hodinovou sazbou 400 Kč) </w:t>
            </w:r>
          </w:p>
          <w:p w14:paraId="50367009" w14:textId="77777777" w:rsidR="00B050E8" w:rsidRPr="003B6EEA" w:rsidRDefault="00B050E8"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Dopad na žadatele o podporu:</w:t>
            </w:r>
          </w:p>
          <w:p w14:paraId="5374DF36" w14:textId="737D0388" w:rsidR="00B050E8" w:rsidRPr="003B6EEA" w:rsidRDefault="00B050E8" w:rsidP="00E17889">
            <w:pPr>
              <w:pStyle w:val="BodyText1"/>
              <w:numPr>
                <w:ilvl w:val="0"/>
                <w:numId w:val="50"/>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b/>
                <w:sz w:val="16"/>
                <w:szCs w:val="16"/>
              </w:rPr>
              <w:t>Úspora času</w:t>
            </w:r>
            <w:r w:rsidRPr="003B6EEA">
              <w:rPr>
                <w:rFonts w:asciiTheme="minorHAnsi" w:hAnsiTheme="minorHAnsi"/>
                <w:sz w:val="16"/>
                <w:szCs w:val="16"/>
              </w:rPr>
              <w:t xml:space="preserve"> spojená s přípravou podnikatelského záměru a složité </w:t>
            </w:r>
            <w:r w:rsidR="00B04647">
              <w:rPr>
                <w:rFonts w:asciiTheme="minorHAnsi" w:hAnsiTheme="minorHAnsi"/>
                <w:sz w:val="16"/>
                <w:szCs w:val="16"/>
              </w:rPr>
              <w:t>žádosti o podporu</w:t>
            </w:r>
            <w:r w:rsidRPr="003B6EEA">
              <w:rPr>
                <w:rFonts w:asciiTheme="minorHAnsi" w:hAnsiTheme="minorHAnsi"/>
                <w:sz w:val="16"/>
                <w:szCs w:val="16"/>
              </w:rPr>
              <w:t xml:space="preserve"> včetně dokládání náležitostí. </w:t>
            </w:r>
          </w:p>
          <w:p w14:paraId="45A40192" w14:textId="77777777" w:rsidR="00B050E8" w:rsidRPr="003B6EEA" w:rsidRDefault="00B050E8" w:rsidP="00E17889">
            <w:pPr>
              <w:pStyle w:val="BodyText1"/>
              <w:numPr>
                <w:ilvl w:val="0"/>
                <w:numId w:val="50"/>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b/>
                <w:sz w:val="16"/>
                <w:szCs w:val="16"/>
              </w:rPr>
              <w:t>Úspora finančních prostředků</w:t>
            </w:r>
            <w:r w:rsidRPr="003B6EEA">
              <w:rPr>
                <w:rFonts w:asciiTheme="minorHAnsi" w:hAnsiTheme="minorHAnsi"/>
                <w:sz w:val="16"/>
                <w:szCs w:val="16"/>
              </w:rPr>
              <w:t xml:space="preserve"> v případě využití služeb poradenské společnosti při přípravě podnikatelského záměru. </w:t>
            </w:r>
          </w:p>
          <w:p w14:paraId="3FDD078B" w14:textId="77777777" w:rsidR="00B050E8" w:rsidRPr="003B6EEA" w:rsidRDefault="00B050E8" w:rsidP="00E17889">
            <w:pPr>
              <w:pStyle w:val="BodyText1"/>
              <w:numPr>
                <w:ilvl w:val="0"/>
                <w:numId w:val="50"/>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Rychlejší schválení žádosti povede k </w:t>
            </w:r>
            <w:r w:rsidRPr="003B6EEA">
              <w:rPr>
                <w:rFonts w:asciiTheme="minorHAnsi" w:hAnsiTheme="minorHAnsi"/>
                <w:b/>
                <w:sz w:val="16"/>
                <w:szCs w:val="16"/>
              </w:rPr>
              <w:t>včasné realizaci aktivit</w:t>
            </w:r>
            <w:r w:rsidRPr="003B6EEA">
              <w:rPr>
                <w:rFonts w:asciiTheme="minorHAnsi" w:hAnsiTheme="minorHAnsi"/>
                <w:sz w:val="16"/>
                <w:szCs w:val="16"/>
              </w:rPr>
              <w:t xml:space="preserve">, dodržení plánovaného harmonogramu a navýšení efektu podpory.  </w:t>
            </w:r>
          </w:p>
        </w:tc>
      </w:tr>
      <w:tr w:rsidR="00B050E8" w:rsidRPr="00D40318" w14:paraId="65DE1F53" w14:textId="77777777" w:rsidTr="00E17889">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02F63D60" w14:textId="77777777" w:rsidR="00B050E8" w:rsidRPr="003B6EEA" w:rsidRDefault="00B050E8" w:rsidP="00E17889">
            <w:pPr>
              <w:pStyle w:val="BodyText1"/>
              <w:tabs>
                <w:tab w:val="left" w:pos="284"/>
              </w:tabs>
              <w:spacing w:after="120" w:line="240" w:lineRule="auto"/>
              <w:ind w:right="113"/>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lastRenderedPageBreak/>
              <w:t>Časová náročnost zavedení opatření v implementační struktuře</w:t>
            </w:r>
          </w:p>
        </w:tc>
        <w:tc>
          <w:tcPr>
            <w:tcW w:w="3980" w:type="pct"/>
            <w:shd w:val="clear" w:color="auto" w:fill="auto"/>
          </w:tcPr>
          <w:p w14:paraId="1818EDF4" w14:textId="463F9AC1" w:rsidR="00B050E8" w:rsidRPr="003B6EEA" w:rsidRDefault="00B050E8"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opatření není spojeno s žádnou časovou náročností, naopak povede k výrazné úspoře fondu pracovní doby. </w:t>
            </w:r>
          </w:p>
          <w:p w14:paraId="0F6D69B5" w14:textId="37C58D77" w:rsidR="00B050E8" w:rsidRPr="003B6EEA" w:rsidRDefault="00B050E8"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Zavedení opatření by mohlo vést k drobnému navýšení zátěže při kontrole formálních náležitostí a přijatelnosti na API hodnocením dodatečných kritérií nahrazujících </w:t>
            </w:r>
            <w:r w:rsidR="60E75501" w:rsidRPr="1B8B314C">
              <w:rPr>
                <w:rFonts w:asciiTheme="minorHAnsi" w:hAnsiTheme="minorHAnsi"/>
                <w:sz w:val="16"/>
                <w:szCs w:val="16"/>
              </w:rPr>
              <w:t xml:space="preserve">na </w:t>
            </w:r>
            <w:r w:rsidRPr="1B8B314C">
              <w:rPr>
                <w:rFonts w:asciiTheme="minorHAnsi" w:hAnsiTheme="minorHAnsi"/>
                <w:sz w:val="16"/>
                <w:szCs w:val="16"/>
              </w:rPr>
              <w:t xml:space="preserve">věcné hodnocení. Jako návrh pro dodatečná kritéria formálního hodnocení jsou kritéria: </w:t>
            </w:r>
          </w:p>
          <w:p w14:paraId="737D03D7" w14:textId="7931AACF" w:rsidR="00B050E8" w:rsidRPr="003B6EEA" w:rsidRDefault="00D40318" w:rsidP="00E17889">
            <w:pPr>
              <w:pStyle w:val="BodyText1"/>
              <w:numPr>
                <w:ilvl w:val="0"/>
                <w:numId w:val="52"/>
              </w:num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S</w:t>
            </w:r>
            <w:r w:rsidR="00B050E8" w:rsidRPr="003B6EEA">
              <w:rPr>
                <w:rFonts w:asciiTheme="minorHAnsi" w:hAnsiTheme="minorHAnsi"/>
                <w:sz w:val="16"/>
                <w:szCs w:val="16"/>
              </w:rPr>
              <w:t>oulad projektu s účelem podpory;</w:t>
            </w:r>
          </w:p>
          <w:p w14:paraId="1E094D10" w14:textId="06CE9C98" w:rsidR="00B050E8" w:rsidRPr="003B6EEA" w:rsidDel="009C21B9" w:rsidRDefault="00D40318" w:rsidP="00E17889">
            <w:pPr>
              <w:pStyle w:val="BodyText1"/>
              <w:numPr>
                <w:ilvl w:val="0"/>
                <w:numId w:val="52"/>
              </w:num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S</w:t>
            </w:r>
            <w:r w:rsidR="00B050E8" w:rsidRPr="003B6EEA">
              <w:rPr>
                <w:rFonts w:asciiTheme="minorHAnsi" w:hAnsiTheme="minorHAnsi"/>
                <w:sz w:val="16"/>
                <w:szCs w:val="16"/>
              </w:rPr>
              <w:t xml:space="preserve">oulad zaměření veletrhu s činností žadatele apod. </w:t>
            </w:r>
          </w:p>
        </w:tc>
      </w:tr>
      <w:tr w:rsidR="00B050E8" w:rsidRPr="00D40318" w14:paraId="1AA9EA54" w14:textId="77777777" w:rsidTr="00E1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15649C0E" w14:textId="77777777" w:rsidR="00B050E8" w:rsidRPr="003B6EEA" w:rsidRDefault="00B050E8" w:rsidP="00E17889">
            <w:pPr>
              <w:pStyle w:val="BodyText1"/>
              <w:keepNext/>
              <w:keepLines/>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Personální náročnost zavedení opatření v implementační struktuře</w:t>
            </w:r>
          </w:p>
        </w:tc>
        <w:tc>
          <w:tcPr>
            <w:tcW w:w="3980" w:type="pct"/>
            <w:shd w:val="clear" w:color="auto" w:fill="auto"/>
          </w:tcPr>
          <w:p w14:paraId="4FC383F3" w14:textId="77777777" w:rsidR="00B050E8" w:rsidRPr="003B6EEA" w:rsidRDefault="00B050E8"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opatření není spojeno s výraznější personální náročností. Očekávaným dopadem opatření je naopak uvolnění personálních kapacit na MPO. Případnou náročnost může představovat jednorázové či opakované zaškolení formálních hodnotitelů API, či jejich zvýšená potřeba konzultace s gestory PP Marketing na MPO. Přesto tato náročnost nepřevýší významné časové úspory pracovníků MPO spojené se zavedením opatření. </w:t>
            </w:r>
          </w:p>
        </w:tc>
      </w:tr>
      <w:tr w:rsidR="00B050E8" w:rsidRPr="00D40318" w14:paraId="6B3D46D5" w14:textId="77777777" w:rsidTr="00E17889">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038F6552" w14:textId="77777777" w:rsidR="00B050E8" w:rsidRPr="003B6EEA" w:rsidRDefault="00B050E8" w:rsidP="00E17889">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 xml:space="preserve">Legislativní a metodická úprava </w:t>
            </w:r>
          </w:p>
        </w:tc>
        <w:tc>
          <w:tcPr>
            <w:tcW w:w="3980" w:type="pct"/>
            <w:shd w:val="clear" w:color="auto" w:fill="auto"/>
          </w:tcPr>
          <w:p w14:paraId="2F2EB53C" w14:textId="77777777" w:rsidR="00B050E8" w:rsidRPr="003B6EEA" w:rsidRDefault="00B050E8"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Zavedení opatření si vyžádá především:</w:t>
            </w:r>
          </w:p>
          <w:p w14:paraId="2DEB8C59" w14:textId="299BC5AA" w:rsidR="00B050E8" w:rsidRPr="003B6EEA" w:rsidRDefault="00D40318" w:rsidP="00E17889">
            <w:pPr>
              <w:pStyle w:val="BodyText1"/>
              <w:numPr>
                <w:ilvl w:val="0"/>
                <w:numId w:val="53"/>
              </w:num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Ú</w:t>
            </w:r>
            <w:r w:rsidR="00B050E8" w:rsidRPr="1B8B314C">
              <w:rPr>
                <w:rFonts w:asciiTheme="minorHAnsi" w:hAnsiTheme="minorHAnsi"/>
                <w:sz w:val="16"/>
                <w:szCs w:val="16"/>
              </w:rPr>
              <w:t xml:space="preserve">pravu programového dokumentu PP Marketing v programovém období 2021 </w:t>
            </w:r>
            <w:r w:rsidR="1ED981C8" w:rsidRPr="1B8B314C">
              <w:rPr>
                <w:rFonts w:asciiTheme="minorHAnsi" w:hAnsiTheme="minorHAnsi"/>
                <w:sz w:val="16"/>
                <w:szCs w:val="16"/>
              </w:rPr>
              <w:t xml:space="preserve">- </w:t>
            </w:r>
            <w:r w:rsidR="00B050E8" w:rsidRPr="1B8B314C">
              <w:rPr>
                <w:rFonts w:asciiTheme="minorHAnsi" w:hAnsiTheme="minorHAnsi"/>
                <w:sz w:val="16"/>
                <w:szCs w:val="16"/>
              </w:rPr>
              <w:t xml:space="preserve"> 2027;</w:t>
            </w:r>
          </w:p>
          <w:p w14:paraId="40740C19" w14:textId="5027EA37" w:rsidR="00B050E8" w:rsidRPr="003B6EEA" w:rsidRDefault="00D40318" w:rsidP="00E17889">
            <w:pPr>
              <w:pStyle w:val="BodyText1"/>
              <w:numPr>
                <w:ilvl w:val="0"/>
                <w:numId w:val="53"/>
              </w:num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w:t>
            </w:r>
            <w:r w:rsidR="00B050E8" w:rsidRPr="003B6EEA">
              <w:rPr>
                <w:rFonts w:asciiTheme="minorHAnsi" w:hAnsiTheme="minorHAnsi"/>
                <w:sz w:val="16"/>
                <w:szCs w:val="16"/>
              </w:rPr>
              <w:t xml:space="preserve">měnu Modelu hodnocení a kritérií pro hodnocení a výběr projektů; </w:t>
            </w:r>
          </w:p>
          <w:p w14:paraId="3F00E5C9" w14:textId="412A637C" w:rsidR="00B050E8" w:rsidRPr="003B6EEA" w:rsidRDefault="00D40318" w:rsidP="00E17889">
            <w:pPr>
              <w:pStyle w:val="BodyText1"/>
              <w:numPr>
                <w:ilvl w:val="0"/>
                <w:numId w:val="53"/>
              </w:num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Ú</w:t>
            </w:r>
            <w:r w:rsidR="00B050E8" w:rsidRPr="003B6EEA">
              <w:rPr>
                <w:rFonts w:asciiTheme="minorHAnsi" w:hAnsiTheme="minorHAnsi"/>
                <w:sz w:val="16"/>
                <w:szCs w:val="16"/>
              </w:rPr>
              <w:t>pravu Pravidel pro žadatele a příjemce – Zvláštní část;</w:t>
            </w:r>
          </w:p>
          <w:p w14:paraId="207C2D88" w14:textId="60B98CFD" w:rsidR="00B050E8" w:rsidRPr="003B6EEA" w:rsidRDefault="00D40318" w:rsidP="00E17889">
            <w:pPr>
              <w:pStyle w:val="BodyText1"/>
              <w:numPr>
                <w:ilvl w:val="0"/>
                <w:numId w:val="53"/>
              </w:num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Ú</w:t>
            </w:r>
            <w:r w:rsidR="00B050E8" w:rsidRPr="003B6EEA">
              <w:rPr>
                <w:rFonts w:asciiTheme="minorHAnsi" w:hAnsiTheme="minorHAnsi"/>
                <w:sz w:val="16"/>
                <w:szCs w:val="16"/>
              </w:rPr>
              <w:t>pravu Osnovy podnikatelského záměru;</w:t>
            </w:r>
          </w:p>
          <w:p w14:paraId="56EB8841" w14:textId="6AA16B08" w:rsidR="00B050E8" w:rsidRPr="003B6EEA" w:rsidRDefault="00D40318" w:rsidP="00E17889">
            <w:pPr>
              <w:pStyle w:val="BodyText1"/>
              <w:numPr>
                <w:ilvl w:val="0"/>
                <w:numId w:val="53"/>
              </w:num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Ú</w:t>
            </w:r>
            <w:r w:rsidR="00B050E8" w:rsidRPr="003B6EEA">
              <w:rPr>
                <w:rFonts w:asciiTheme="minorHAnsi" w:hAnsiTheme="minorHAnsi"/>
                <w:sz w:val="16"/>
                <w:szCs w:val="16"/>
              </w:rPr>
              <w:t>pravu znění výzev;</w:t>
            </w:r>
          </w:p>
          <w:p w14:paraId="24D71B41" w14:textId="64F3241B" w:rsidR="00B050E8" w:rsidRPr="003B6EEA" w:rsidRDefault="00D40318" w:rsidP="00E17889">
            <w:pPr>
              <w:pStyle w:val="BodyText1"/>
              <w:numPr>
                <w:ilvl w:val="0"/>
                <w:numId w:val="53"/>
              </w:num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Ú</w:t>
            </w:r>
            <w:r w:rsidR="00B050E8" w:rsidRPr="003B6EEA">
              <w:rPr>
                <w:rFonts w:asciiTheme="minorHAnsi" w:hAnsiTheme="minorHAnsi"/>
                <w:sz w:val="16"/>
                <w:szCs w:val="16"/>
              </w:rPr>
              <w:t>pravu interních návodek API pro rozšířené formální hodnocení žádostí;</w:t>
            </w:r>
          </w:p>
        </w:tc>
      </w:tr>
      <w:tr w:rsidR="00B050E8" w:rsidRPr="00D40318" w14:paraId="5D0A99AF" w14:textId="77777777" w:rsidTr="00E1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28D33864" w14:textId="1DFD6AE6" w:rsidR="00B050E8" w:rsidRPr="003B6EEA" w:rsidRDefault="00B050E8" w:rsidP="00E17889">
            <w:pPr>
              <w:pStyle w:val="BodyText1"/>
              <w:spacing w:after="120" w:line="240" w:lineRule="auto"/>
              <w:ind w:right="112"/>
              <w:rPr>
                <w:rFonts w:asciiTheme="minorHAnsi" w:hAnsiTheme="minorHAnsi"/>
                <w:sz w:val="16"/>
                <w:szCs w:val="16"/>
              </w:rPr>
            </w:pPr>
            <w:r w:rsidRPr="1B8B314C">
              <w:rPr>
                <w:rFonts w:asciiTheme="minorHAnsi" w:hAnsiTheme="minorHAnsi"/>
                <w:color w:val="FFFFFF" w:themeColor="background1"/>
                <w:sz w:val="16"/>
                <w:szCs w:val="16"/>
              </w:rPr>
              <w:t>Časová a finanční náročnost zavedení opatření pro žadatele/příjemce</w:t>
            </w:r>
          </w:p>
        </w:tc>
        <w:tc>
          <w:tcPr>
            <w:tcW w:w="3980" w:type="pct"/>
            <w:shd w:val="clear" w:color="auto" w:fill="auto"/>
          </w:tcPr>
          <w:p w14:paraId="583AA64C" w14:textId="37F1B95E" w:rsidR="00B050E8" w:rsidRPr="003B6EEA" w:rsidRDefault="00B050E8"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Zavedení opatření nenese časovou ani finanční zátěž. Naopak, zavedení opatření povede k časovým i finančním úsporám na straně implementační struktury i</w:t>
            </w:r>
            <w:r w:rsidR="0B9F6C74" w:rsidRPr="1B8B314C">
              <w:rPr>
                <w:rFonts w:asciiTheme="minorHAnsi" w:hAnsiTheme="minorHAnsi"/>
                <w:sz w:val="16"/>
                <w:szCs w:val="16"/>
              </w:rPr>
              <w:t> </w:t>
            </w:r>
            <w:r w:rsidRPr="1B8B314C">
              <w:rPr>
                <w:rFonts w:asciiTheme="minorHAnsi" w:hAnsiTheme="minorHAnsi"/>
                <w:sz w:val="16"/>
                <w:szCs w:val="16"/>
              </w:rPr>
              <w:t>žadatelů o podporu.</w:t>
            </w:r>
          </w:p>
        </w:tc>
      </w:tr>
      <w:tr w:rsidR="00B050E8" w:rsidRPr="00D40318" w14:paraId="63DD9495" w14:textId="77777777" w:rsidTr="00E17889">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7AB6B3E0" w14:textId="77777777" w:rsidR="00B050E8" w:rsidRPr="003B6EEA" w:rsidRDefault="00B050E8" w:rsidP="00E17889">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Rizika plynoucí z nezavedení opatření</w:t>
            </w:r>
          </w:p>
        </w:tc>
        <w:tc>
          <w:tcPr>
            <w:tcW w:w="3980" w:type="pct"/>
            <w:shd w:val="clear" w:color="auto" w:fill="auto"/>
          </w:tcPr>
          <w:p w14:paraId="2AC05373" w14:textId="4F61218A" w:rsidR="00B050E8" w:rsidRPr="003B6EEA" w:rsidRDefault="00B050E8"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Nezavedení opatření je spojeno s rizikem opakovaného nedodržování termínů a</w:t>
            </w:r>
            <w:r w:rsidR="00765812" w:rsidRPr="003B6EEA">
              <w:rPr>
                <w:rFonts w:asciiTheme="minorHAnsi" w:hAnsiTheme="minorHAnsi"/>
                <w:sz w:val="16"/>
                <w:szCs w:val="16"/>
              </w:rPr>
              <w:t> </w:t>
            </w:r>
            <w:r w:rsidRPr="003B6EEA">
              <w:rPr>
                <w:rFonts w:asciiTheme="minorHAnsi" w:hAnsiTheme="minorHAnsi"/>
                <w:sz w:val="16"/>
                <w:szCs w:val="16"/>
              </w:rPr>
              <w:t xml:space="preserve">zpoždění při schvalování </w:t>
            </w:r>
            <w:r w:rsidR="00B04647">
              <w:rPr>
                <w:rFonts w:asciiTheme="minorHAnsi" w:hAnsiTheme="minorHAnsi"/>
                <w:sz w:val="16"/>
                <w:szCs w:val="16"/>
              </w:rPr>
              <w:t>žádostí o podporu</w:t>
            </w:r>
            <w:r w:rsidRPr="003B6EEA">
              <w:rPr>
                <w:rFonts w:asciiTheme="minorHAnsi" w:hAnsiTheme="minorHAnsi"/>
                <w:sz w:val="16"/>
                <w:szCs w:val="16"/>
              </w:rPr>
              <w:t xml:space="preserve"> a z toho plynoucích rizik stížností a zatěžujících dotazů žadatelů. </w:t>
            </w:r>
          </w:p>
          <w:p w14:paraId="2F4E2491" w14:textId="683BECCA" w:rsidR="00B050E8" w:rsidRPr="003B6EEA" w:rsidRDefault="00B050E8"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Zpoždění při schvalování žádostí může představovat i riziko pro žadatele o</w:t>
            </w:r>
            <w:r w:rsidR="00765812" w:rsidRPr="003B6EEA">
              <w:rPr>
                <w:rFonts w:asciiTheme="minorHAnsi" w:hAnsiTheme="minorHAnsi"/>
                <w:sz w:val="16"/>
                <w:szCs w:val="16"/>
              </w:rPr>
              <w:t> </w:t>
            </w:r>
            <w:r w:rsidRPr="003B6EEA">
              <w:rPr>
                <w:rFonts w:asciiTheme="minorHAnsi" w:hAnsiTheme="minorHAnsi"/>
                <w:sz w:val="16"/>
                <w:szCs w:val="16"/>
              </w:rPr>
              <w:t xml:space="preserve">podporu v podobě nevyužití podnikatelských příležitostí svou neúčastí na veletrzích. </w:t>
            </w:r>
          </w:p>
        </w:tc>
      </w:tr>
      <w:tr w:rsidR="00B050E8" w:rsidRPr="00D40318" w14:paraId="59D60EC3" w14:textId="77777777" w:rsidTr="00E1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single" w:sz="4" w:space="0" w:color="FFFFFF" w:themeColor="background1"/>
            </w:tcBorders>
          </w:tcPr>
          <w:p w14:paraId="469A0407" w14:textId="77777777" w:rsidR="00B050E8" w:rsidRPr="003B6EEA" w:rsidRDefault="00B050E8" w:rsidP="00E17889">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lastRenderedPageBreak/>
              <w:t>Rizika plynoucí ze zavedení opatření</w:t>
            </w:r>
          </w:p>
        </w:tc>
        <w:tc>
          <w:tcPr>
            <w:tcW w:w="3980" w:type="pct"/>
            <w:shd w:val="clear" w:color="auto" w:fill="auto"/>
          </w:tcPr>
          <w:p w14:paraId="1D99499A" w14:textId="77777777" w:rsidR="00B050E8" w:rsidRPr="003B6EEA" w:rsidRDefault="00B050E8"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Zavedení opatření není spojeno s významnějšími riziky. Jediným rizikem je případné neodhalení nesouladu účelu projektu s účelem podpory, případně podvodného jednání. Tato rizika je nicméně možné velmi efektivně eliminovat:</w:t>
            </w:r>
          </w:p>
          <w:p w14:paraId="1CA9503F" w14:textId="77777777" w:rsidR="00B050E8" w:rsidRPr="003B6EEA" w:rsidRDefault="00B050E8" w:rsidP="00E17889">
            <w:pPr>
              <w:pStyle w:val="BodyText1"/>
              <w:numPr>
                <w:ilvl w:val="0"/>
                <w:numId w:val="51"/>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Volbou vhodných rozšířených kritérií formálního hodnocení, jako je účel a cíl podpory, soulad zaměření veletrhu se zaměřením žadatele apod.; </w:t>
            </w:r>
          </w:p>
          <w:p w14:paraId="26783650" w14:textId="007126B9" w:rsidR="00B050E8" w:rsidRPr="003B6EEA" w:rsidRDefault="00B050E8" w:rsidP="00E17889">
            <w:pPr>
              <w:pStyle w:val="BodyText1"/>
              <w:numPr>
                <w:ilvl w:val="0"/>
                <w:numId w:val="51"/>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 rámci kontroly </w:t>
            </w:r>
            <w:r w:rsidR="00825645" w:rsidRPr="003B6EEA">
              <w:rPr>
                <w:rFonts w:asciiTheme="minorHAnsi" w:hAnsiTheme="minorHAnsi"/>
                <w:sz w:val="16"/>
                <w:szCs w:val="16"/>
              </w:rPr>
              <w:t>ŽoPl</w:t>
            </w:r>
            <w:r w:rsidRPr="003B6EEA">
              <w:rPr>
                <w:rFonts w:asciiTheme="minorHAnsi" w:hAnsiTheme="minorHAnsi"/>
                <w:sz w:val="16"/>
                <w:szCs w:val="16"/>
              </w:rPr>
              <w:t>;</w:t>
            </w:r>
          </w:p>
          <w:p w14:paraId="6CC86218" w14:textId="77777777" w:rsidR="00B050E8" w:rsidRPr="003B6EEA" w:rsidRDefault="00B050E8" w:rsidP="00E17889">
            <w:pPr>
              <w:pStyle w:val="BodyText1"/>
              <w:numPr>
                <w:ilvl w:val="0"/>
                <w:numId w:val="51"/>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V rámci většího množství Monitorovacích návštěv; </w:t>
            </w:r>
          </w:p>
          <w:p w14:paraId="5E68140D" w14:textId="77777777" w:rsidR="00B050E8" w:rsidRPr="003B6EEA" w:rsidRDefault="00B050E8" w:rsidP="00E17889">
            <w:pPr>
              <w:pStyle w:val="BodyText1"/>
              <w:numPr>
                <w:ilvl w:val="0"/>
                <w:numId w:val="51"/>
              </w:num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Nastavení parametrického typu podpory a zjednodušeného vykazování.</w:t>
            </w:r>
          </w:p>
        </w:tc>
      </w:tr>
      <w:tr w:rsidR="00B050E8" w:rsidRPr="00D40318" w14:paraId="6BD4898B" w14:textId="77777777" w:rsidTr="00E17889">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FFFFFF" w:themeColor="background1"/>
              <w:left w:val="none" w:sz="0" w:space="0" w:color="auto"/>
              <w:bottom w:val="none" w:sz="0" w:space="0" w:color="auto"/>
            </w:tcBorders>
          </w:tcPr>
          <w:p w14:paraId="04013918" w14:textId="5C509588" w:rsidR="00B050E8" w:rsidRPr="003B6EEA" w:rsidRDefault="00B050E8" w:rsidP="00E17889">
            <w:pPr>
              <w:pStyle w:val="BodyText1"/>
              <w:spacing w:after="120" w:line="240" w:lineRule="auto"/>
              <w:ind w:right="112"/>
              <w:rPr>
                <w:rFonts w:asciiTheme="minorHAnsi" w:hAnsiTheme="minorHAnsi"/>
                <w:b w:val="0"/>
                <w:bCs w:val="0"/>
                <w:color w:val="FFFFFF" w:themeColor="background1"/>
                <w:sz w:val="16"/>
                <w:szCs w:val="16"/>
              </w:rPr>
            </w:pPr>
            <w:r w:rsidRPr="1B8B314C">
              <w:rPr>
                <w:rFonts w:asciiTheme="minorHAnsi" w:hAnsiTheme="minorHAnsi"/>
                <w:color w:val="FFFFFF" w:themeColor="background1"/>
                <w:sz w:val="16"/>
                <w:szCs w:val="16"/>
              </w:rPr>
              <w:t>Personální zod</w:t>
            </w:r>
            <w:r w:rsidR="3D8B8A4C" w:rsidRPr="1B8B314C">
              <w:rPr>
                <w:rFonts w:asciiTheme="minorHAnsi" w:hAnsiTheme="minorHAnsi"/>
                <w:color w:val="FFFFFF" w:themeColor="background1"/>
                <w:sz w:val="16"/>
                <w:szCs w:val="16"/>
              </w:rPr>
              <w:t>po</w:t>
            </w:r>
            <w:r w:rsidRPr="1B8B314C">
              <w:rPr>
                <w:rFonts w:asciiTheme="minorHAnsi" w:hAnsiTheme="minorHAnsi"/>
                <w:color w:val="FFFFFF" w:themeColor="background1"/>
                <w:sz w:val="16"/>
                <w:szCs w:val="16"/>
              </w:rPr>
              <w:t xml:space="preserve">vědnost za zavedení opatření </w:t>
            </w:r>
          </w:p>
        </w:tc>
        <w:tc>
          <w:tcPr>
            <w:tcW w:w="3980" w:type="pct"/>
            <w:shd w:val="clear" w:color="auto" w:fill="auto"/>
          </w:tcPr>
          <w:p w14:paraId="3DF7F090" w14:textId="1A85598D" w:rsidR="00B050E8" w:rsidRPr="003B6EEA" w:rsidRDefault="00B050E8"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Zavedení opatření je v gesci gestorů PP Marketing, respektive Pracovní skupiny programu, která vytvoří a předlož</w:t>
            </w:r>
            <w:r w:rsidR="6AD6CA21" w:rsidRPr="1B8B314C">
              <w:rPr>
                <w:rFonts w:asciiTheme="minorHAnsi" w:hAnsiTheme="minorHAnsi"/>
                <w:sz w:val="16"/>
                <w:szCs w:val="16"/>
              </w:rPr>
              <w:t>í</w:t>
            </w:r>
            <w:r w:rsidRPr="1B8B314C">
              <w:rPr>
                <w:rFonts w:asciiTheme="minorHAnsi" w:hAnsiTheme="minorHAnsi"/>
                <w:sz w:val="16"/>
                <w:szCs w:val="16"/>
              </w:rPr>
              <w:t xml:space="preserve"> upravený Model hodnocení a výzev. </w:t>
            </w:r>
          </w:p>
        </w:tc>
      </w:tr>
    </w:tbl>
    <w:p w14:paraId="53AD9367" w14:textId="45F105A2" w:rsidR="00B050E8" w:rsidRDefault="00B050E8" w:rsidP="00B050E8"/>
    <w:p w14:paraId="4A71E3AE" w14:textId="5C8502BA" w:rsidR="00D119C2" w:rsidRDefault="00D119C2" w:rsidP="00D119C2">
      <w:pPr>
        <w:pStyle w:val="Heading2"/>
      </w:pPr>
      <w:bookmarkStart w:id="32" w:name="_Toc52532094"/>
      <w:r>
        <w:t>Optimalizační opatření č.</w:t>
      </w:r>
      <w:r w:rsidR="00D40318">
        <w:t xml:space="preserve"> </w:t>
      </w:r>
      <w:r>
        <w:t xml:space="preserve">6: </w:t>
      </w:r>
      <w:r w:rsidR="00760B11">
        <w:t>Navýšení limitů</w:t>
      </w:r>
      <w:r>
        <w:t xml:space="preserve"> Cost Benefit Analýzy</w:t>
      </w:r>
      <w:bookmarkEnd w:id="32"/>
    </w:p>
    <w:p w14:paraId="5373A8CD" w14:textId="3EC5A869" w:rsidR="00D119C2" w:rsidRDefault="00D119C2" w:rsidP="00ED31A7">
      <w:pPr>
        <w:jc w:val="both"/>
      </w:pPr>
      <w:r>
        <w:t>Vzhle</w:t>
      </w:r>
      <w:r w:rsidR="00D40318">
        <w:t>dem k posledním informacím je zř</w:t>
      </w:r>
      <w:r>
        <w:t>ejmé, že v příštím programovém ob</w:t>
      </w:r>
      <w:r w:rsidR="00D40318">
        <w:t>d</w:t>
      </w:r>
      <w:r w:rsidR="00C32602">
        <w:t>obí OP TAK</w:t>
      </w:r>
      <w:r>
        <w:t xml:space="preserve"> 2021 – 2027 již nebude CBA uplatňována. Následující opatření se proto zaměřuje na kontury, dopady a příležitosti při zrušení CBA do konce tohoto programového období.</w:t>
      </w:r>
    </w:p>
    <w:p w14:paraId="79031A3F" w14:textId="090819BF" w:rsidR="00E22203" w:rsidRDefault="00E22203" w:rsidP="00E22203">
      <w:pPr>
        <w:pStyle w:val="Caption"/>
      </w:pPr>
      <w:bookmarkStart w:id="33" w:name="_Toc52532111"/>
      <w:r>
        <w:t xml:space="preserve">Tabulka </w:t>
      </w:r>
      <w:r>
        <w:fldChar w:fldCharType="begin"/>
      </w:r>
      <w:r>
        <w:instrText xml:space="preserve"> SEQ Tabulka \* ARABIC </w:instrText>
      </w:r>
      <w:r>
        <w:fldChar w:fldCharType="separate"/>
      </w:r>
      <w:r w:rsidR="008E1911">
        <w:rPr>
          <w:noProof/>
        </w:rPr>
        <w:t>13</w:t>
      </w:r>
      <w:r>
        <w:fldChar w:fldCharType="end"/>
      </w:r>
      <w:r>
        <w:t xml:space="preserve"> Optimalizační opatření č.</w:t>
      </w:r>
      <w:r w:rsidR="00D40318">
        <w:t xml:space="preserve"> </w:t>
      </w:r>
      <w:r w:rsidR="00760B11">
        <w:t>6: Navýšení limitů</w:t>
      </w:r>
      <w:r>
        <w:t xml:space="preserve"> CBA</w:t>
      </w:r>
      <w:bookmarkEnd w:id="33"/>
    </w:p>
    <w:tbl>
      <w:tblPr>
        <w:tblStyle w:val="GridTable5Dark-Accent1"/>
        <w:tblW w:w="5000" w:type="pct"/>
        <w:tblBorders>
          <w:bottom w:val="single" w:sz="4" w:space="0" w:color="86BC25" w:themeColor="accent1"/>
          <w:right w:val="single" w:sz="4" w:space="0" w:color="86BC25" w:themeColor="accent1"/>
          <w:insideH w:val="single" w:sz="4" w:space="0" w:color="86BC25" w:themeColor="accent1"/>
        </w:tblBorders>
        <w:tblCellMar>
          <w:top w:w="29" w:type="dxa"/>
          <w:left w:w="115" w:type="dxa"/>
          <w:bottom w:w="29" w:type="dxa"/>
          <w:right w:w="115" w:type="dxa"/>
        </w:tblCellMar>
        <w:tblLook w:val="04A0" w:firstRow="1" w:lastRow="0" w:firstColumn="1" w:lastColumn="0" w:noHBand="0" w:noVBand="1"/>
      </w:tblPr>
      <w:tblGrid>
        <w:gridCol w:w="2084"/>
        <w:gridCol w:w="7652"/>
      </w:tblGrid>
      <w:tr w:rsidR="00E22203" w:rsidRPr="001F5B37" w14:paraId="3701FEE8" w14:textId="77777777" w:rsidTr="00E17889">
        <w:trPr>
          <w:cnfStyle w:val="100000000000" w:firstRow="1" w:lastRow="0" w:firstColumn="0" w:lastColumn="0" w:oddVBand="0" w:evenVBand="0" w:oddHBand="0" w:evenHBand="0" w:firstRowFirstColumn="0" w:firstRowLastColumn="0" w:lastRowFirstColumn="0" w:lastRowLastColumn="0"/>
          <w:trHeight w:val="356"/>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right w:val="none" w:sz="0" w:space="0" w:color="auto"/>
            </w:tcBorders>
          </w:tcPr>
          <w:p w14:paraId="12DCADBE" w14:textId="6673137F" w:rsidR="00E22203" w:rsidRPr="003B6EEA" w:rsidRDefault="00760B11" w:rsidP="00E17889">
            <w:pPr>
              <w:pStyle w:val="BodyText1"/>
              <w:spacing w:after="120" w:line="240" w:lineRule="auto"/>
              <w:rPr>
                <w:rFonts w:asciiTheme="minorHAnsi" w:hAnsiTheme="minorHAnsi"/>
                <w:b w:val="0"/>
                <w:color w:val="D0D0CE" w:themeColor="background2"/>
                <w:sz w:val="16"/>
                <w:szCs w:val="16"/>
              </w:rPr>
            </w:pPr>
            <w:r w:rsidRPr="003B6EEA">
              <w:rPr>
                <w:rFonts w:asciiTheme="minorHAnsi" w:hAnsiTheme="minorHAnsi"/>
                <w:color w:val="FFFFFF" w:themeColor="background1"/>
                <w:sz w:val="16"/>
                <w:szCs w:val="16"/>
              </w:rPr>
              <w:t>Navýšení limitů pro</w:t>
            </w:r>
            <w:r w:rsidR="00E22203" w:rsidRPr="003B6EEA">
              <w:rPr>
                <w:rFonts w:asciiTheme="minorHAnsi" w:hAnsiTheme="minorHAnsi"/>
                <w:color w:val="FFFFFF" w:themeColor="background1"/>
                <w:sz w:val="16"/>
                <w:szCs w:val="16"/>
              </w:rPr>
              <w:t xml:space="preserve"> CBA</w:t>
            </w:r>
            <w:r w:rsidR="00251C8F" w:rsidRPr="003B6EEA">
              <w:rPr>
                <w:rFonts w:asciiTheme="minorHAnsi" w:hAnsiTheme="minorHAnsi"/>
                <w:color w:val="FFFFFF" w:themeColor="background1"/>
                <w:sz w:val="16"/>
                <w:szCs w:val="16"/>
              </w:rPr>
              <w:t xml:space="preserve"> </w:t>
            </w:r>
          </w:p>
        </w:tc>
      </w:tr>
      <w:tr w:rsidR="00E22203" w:rsidRPr="00D40318" w14:paraId="2F1B44FF" w14:textId="77777777" w:rsidTr="00E1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FFFFFF" w:themeColor="background1"/>
              <w:bottom w:val="single" w:sz="4" w:space="0" w:color="FFFFFF" w:themeColor="background1"/>
            </w:tcBorders>
          </w:tcPr>
          <w:p w14:paraId="629CDC8D" w14:textId="77777777" w:rsidR="00E22203" w:rsidRPr="003B6EEA" w:rsidRDefault="00E22203" w:rsidP="00E17889">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Popis současného stavu</w:t>
            </w:r>
          </w:p>
        </w:tc>
        <w:tc>
          <w:tcPr>
            <w:tcW w:w="3924" w:type="pct"/>
            <w:shd w:val="clear" w:color="auto" w:fill="auto"/>
          </w:tcPr>
          <w:p w14:paraId="63C7C541" w14:textId="5207FFE4"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Způsob a pravidla pro hodnocení CBA, coby součásti ekonomického hodnocení, je upraveno v OM OP PIK</w:t>
            </w:r>
            <w:r w:rsidR="00AD128D" w:rsidRPr="003B6EEA">
              <w:rPr>
                <w:rFonts w:asciiTheme="minorHAnsi" w:hAnsiTheme="minorHAnsi"/>
                <w:sz w:val="16"/>
                <w:szCs w:val="16"/>
              </w:rPr>
              <w:t xml:space="preserve"> na základě </w:t>
            </w:r>
            <w:r w:rsidR="00AD128D" w:rsidRPr="003B6EEA">
              <w:rPr>
                <w:rFonts w:asciiTheme="minorHAnsi" w:hAnsiTheme="minorHAnsi"/>
                <w:i/>
                <w:sz w:val="16"/>
                <w:szCs w:val="16"/>
              </w:rPr>
              <w:t>Metodického doporučení pro projekty vytvářející příjmy v programovém období 2014 - 2020</w:t>
            </w:r>
            <w:r w:rsidRPr="003B6EEA">
              <w:rPr>
                <w:rFonts w:asciiTheme="minorHAnsi" w:hAnsiTheme="minorHAnsi"/>
                <w:sz w:val="16"/>
                <w:szCs w:val="16"/>
              </w:rPr>
              <w:t xml:space="preserve">. </w:t>
            </w:r>
            <w:r w:rsidR="00AD128D" w:rsidRPr="003B6EEA">
              <w:rPr>
                <w:rFonts w:asciiTheme="minorHAnsi" w:hAnsiTheme="minorHAnsi"/>
                <w:sz w:val="16"/>
                <w:szCs w:val="16"/>
              </w:rPr>
              <w:t>Obecně je povinnost CBA ukotvena v Obecném nařízení, článku 61. OM OP PIK</w:t>
            </w:r>
            <w:r w:rsidRPr="003B6EEA">
              <w:rPr>
                <w:rFonts w:asciiTheme="minorHAnsi" w:hAnsiTheme="minorHAnsi"/>
                <w:sz w:val="16"/>
                <w:szCs w:val="16"/>
              </w:rPr>
              <w:t xml:space="preserve"> nastavuje základní parametry, kdy je CBA aplikovatelná s odvoláním na další možné úpravy a ustoupení od povinnosti hodnocení CBA pro jednotlivé výzvy. </w:t>
            </w:r>
          </w:p>
          <w:p w14:paraId="201E0CBD" w14:textId="108C4317"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Hodnocení CBA provádí sám žadatel v Modulu CBA v systému ISKP14+ vyplněním požadovaných hodnot. Za tímto účelem mají žadatelé k dispozici CBA Příručku pro žadatele připravenou API. Tato příručka popisuje poměrně složitý mechanismus Ekonomické analýzy, Rozdílové varianty, Vlastního výpočtu Zůstatkové hodnoty, Sektoru pro referenční období, Délky referenčního období a</w:t>
            </w:r>
            <w:r w:rsidR="00765812" w:rsidRPr="003B6EEA">
              <w:rPr>
                <w:rFonts w:asciiTheme="minorHAnsi" w:hAnsiTheme="minorHAnsi"/>
                <w:sz w:val="16"/>
                <w:szCs w:val="16"/>
              </w:rPr>
              <w:t> </w:t>
            </w:r>
            <w:r w:rsidRPr="003B6EEA">
              <w:rPr>
                <w:rFonts w:asciiTheme="minorHAnsi" w:hAnsiTheme="minorHAnsi"/>
                <w:sz w:val="16"/>
                <w:szCs w:val="16"/>
              </w:rPr>
              <w:t xml:space="preserve">Začátku referenčního období a další. </w:t>
            </w:r>
          </w:p>
          <w:p w14:paraId="6F69C6AC" w14:textId="559C0B95"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Smyslem CBA je omezit podporu rentabilních projektů, tedy projektů dosahujících v rámci návratnosti investic pro FA (bez zohlednění dotace) vnitřního výnosového procenta (IRR) vyšší než 15%. Modul CBA nicméně zobrazuje v tabulkách u spočítaných ukazatelů optimální hodnoty. Těch může žadatel následně docílit změnou vyplněných údajů v průběhu vyplňování modulu CBA. Zároveň platí, že negativní komentář Analytika ratingu k CBA není důvodem k</w:t>
            </w:r>
            <w:r w:rsidR="0B9F6C74" w:rsidRPr="1B8B314C">
              <w:rPr>
                <w:rFonts w:asciiTheme="minorHAnsi" w:hAnsiTheme="minorHAnsi"/>
                <w:sz w:val="16"/>
                <w:szCs w:val="16"/>
              </w:rPr>
              <w:t> </w:t>
            </w:r>
            <w:r w:rsidRPr="1B8B314C">
              <w:rPr>
                <w:rFonts w:asciiTheme="minorHAnsi" w:hAnsiTheme="minorHAnsi"/>
                <w:sz w:val="16"/>
                <w:szCs w:val="16"/>
              </w:rPr>
              <w:t>automatickému vyřazení projektu.</w:t>
            </w:r>
          </w:p>
          <w:p w14:paraId="04C1B6ED" w14:textId="077FE4BE"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Celý proces zadávání CBA je poměrně složitý a často dochází k chybám při vyplňování ať již žadateli nebo poradenskými společnostmi. </w:t>
            </w:r>
          </w:p>
          <w:p w14:paraId="169361CA" w14:textId="77777777"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Od začátku současného programového období bylo zrealizováno celkem zhruba 8 500 CBA. Doba kontroly jedné cost benefit analýzy je odhadována na 15 až 30 minut, dle složitosti projektu a výše rozpočtu. Celkem tedy </w:t>
            </w:r>
            <w:r w:rsidRPr="1B8B314C">
              <w:rPr>
                <w:rFonts w:asciiTheme="minorHAnsi" w:hAnsiTheme="minorHAnsi"/>
                <w:b/>
                <w:bCs/>
                <w:sz w:val="16"/>
                <w:szCs w:val="16"/>
              </w:rPr>
              <w:t>kontrola CBA od roku 2015 zabrala 2 125 až 4 250 pracovních hodin</w:t>
            </w:r>
            <w:r w:rsidRPr="00E105D8">
              <w:rPr>
                <w:rFonts w:asciiTheme="minorHAnsi" w:hAnsiTheme="minorHAnsi"/>
                <w:b/>
                <w:bCs/>
                <w:sz w:val="16"/>
                <w:szCs w:val="16"/>
              </w:rPr>
              <w:t xml:space="preserve">, tedy 265 až 530 pracovních dní. </w:t>
            </w:r>
          </w:p>
        </w:tc>
      </w:tr>
      <w:tr w:rsidR="00E22203" w:rsidRPr="00D40318" w14:paraId="525471DB" w14:textId="77777777" w:rsidTr="00E17889">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FFFFFF" w:themeColor="background1"/>
              <w:left w:val="none" w:sz="0" w:space="0" w:color="auto"/>
              <w:bottom w:val="single" w:sz="4" w:space="0" w:color="FFFFFF" w:themeColor="background1"/>
            </w:tcBorders>
          </w:tcPr>
          <w:p w14:paraId="4432B078" w14:textId="77777777" w:rsidR="00E22203" w:rsidRPr="003B6EEA" w:rsidRDefault="00E22203" w:rsidP="00E17889">
            <w:pPr>
              <w:pStyle w:val="BodyText1"/>
              <w:spacing w:after="120" w:line="240" w:lineRule="auto"/>
              <w:ind w:right="112"/>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Popis cílového stavu</w:t>
            </w:r>
          </w:p>
        </w:tc>
        <w:tc>
          <w:tcPr>
            <w:tcW w:w="3924" w:type="pct"/>
            <w:shd w:val="clear" w:color="auto" w:fill="auto"/>
          </w:tcPr>
          <w:p w14:paraId="67A8D085" w14:textId="19046D41" w:rsidR="00E22203" w:rsidRPr="003B6EEA" w:rsidRDefault="00E22203"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Navrhovaným opatřením je </w:t>
            </w:r>
            <w:r w:rsidR="00760B11" w:rsidRPr="003B6EEA">
              <w:rPr>
                <w:rFonts w:asciiTheme="minorHAnsi" w:hAnsiTheme="minorHAnsi"/>
                <w:sz w:val="16"/>
                <w:szCs w:val="16"/>
              </w:rPr>
              <w:t xml:space="preserve">navýšení limitů CBA a tím </w:t>
            </w:r>
            <w:r w:rsidRPr="003B6EEA">
              <w:rPr>
                <w:rFonts w:asciiTheme="minorHAnsi" w:hAnsiTheme="minorHAnsi"/>
                <w:b/>
                <w:sz w:val="16"/>
                <w:szCs w:val="16"/>
              </w:rPr>
              <w:t>zrušení CBA</w:t>
            </w:r>
            <w:r w:rsidR="00251C8F" w:rsidRPr="003B6EEA">
              <w:rPr>
                <w:rFonts w:asciiTheme="minorHAnsi" w:hAnsiTheme="minorHAnsi"/>
                <w:b/>
                <w:sz w:val="16"/>
                <w:szCs w:val="16"/>
              </w:rPr>
              <w:t xml:space="preserve"> u projektů s CZV do 1 mil. EUR</w:t>
            </w:r>
            <w:r w:rsidRPr="003B6EEA">
              <w:rPr>
                <w:rFonts w:asciiTheme="minorHAnsi" w:hAnsiTheme="minorHAnsi"/>
                <w:sz w:val="16"/>
                <w:szCs w:val="16"/>
              </w:rPr>
              <w:t xml:space="preserve"> </w:t>
            </w:r>
            <w:r w:rsidR="00AD128D" w:rsidRPr="003B6EEA">
              <w:rPr>
                <w:rFonts w:asciiTheme="minorHAnsi" w:hAnsiTheme="minorHAnsi"/>
                <w:sz w:val="16"/>
                <w:szCs w:val="16"/>
              </w:rPr>
              <w:t xml:space="preserve">v souladu s článkem 61 Obecného nařízení. </w:t>
            </w:r>
            <w:r w:rsidRPr="003B6EEA">
              <w:rPr>
                <w:rFonts w:asciiTheme="minorHAnsi" w:hAnsiTheme="minorHAnsi"/>
                <w:sz w:val="16"/>
                <w:szCs w:val="16"/>
              </w:rPr>
              <w:t xml:space="preserve"> </w:t>
            </w:r>
          </w:p>
        </w:tc>
      </w:tr>
      <w:tr w:rsidR="00E22203" w:rsidRPr="00D40318" w14:paraId="7016056C" w14:textId="77777777" w:rsidTr="00E1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FFFFFF" w:themeColor="background1"/>
              <w:left w:val="none" w:sz="0" w:space="0" w:color="auto"/>
              <w:bottom w:val="single" w:sz="4" w:space="0" w:color="FFFFFF" w:themeColor="background1"/>
            </w:tcBorders>
          </w:tcPr>
          <w:p w14:paraId="0CA0BBD9" w14:textId="77777777" w:rsidR="00E22203" w:rsidRPr="003B6EEA" w:rsidRDefault="00E22203" w:rsidP="00E17889">
            <w:pPr>
              <w:pStyle w:val="BodyText1"/>
              <w:spacing w:after="120" w:line="240" w:lineRule="auto"/>
              <w:ind w:right="112"/>
              <w:rPr>
                <w:rFonts w:asciiTheme="minorHAnsi" w:hAnsiTheme="minorHAnsi"/>
                <w:color w:val="FFFFFF" w:themeColor="background1"/>
                <w:sz w:val="16"/>
                <w:szCs w:val="16"/>
              </w:rPr>
            </w:pPr>
            <w:r w:rsidRPr="003B6EEA">
              <w:rPr>
                <w:rFonts w:asciiTheme="minorHAnsi" w:hAnsiTheme="minorHAnsi"/>
                <w:color w:val="FFFFFF" w:themeColor="background1"/>
                <w:sz w:val="16"/>
                <w:szCs w:val="16"/>
              </w:rPr>
              <w:t>Očekávané výsledky zavedeného opatření a časový plán dopadu</w:t>
            </w:r>
          </w:p>
        </w:tc>
        <w:tc>
          <w:tcPr>
            <w:tcW w:w="3924" w:type="pct"/>
            <w:shd w:val="clear" w:color="auto" w:fill="auto"/>
          </w:tcPr>
          <w:p w14:paraId="4AE9A9EE" w14:textId="29BE9947"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Očekávaným výsledkem opatření je úspora času na straně žadatelů i pracovníků implementační struktury. Při očekávaném lineárním růstu počtu žádostí, lze předpokládat i podobný trend vývoje </w:t>
            </w:r>
            <w:r w:rsidR="00B04647">
              <w:rPr>
                <w:rFonts w:asciiTheme="minorHAnsi" w:hAnsiTheme="minorHAnsi"/>
                <w:sz w:val="16"/>
                <w:szCs w:val="16"/>
              </w:rPr>
              <w:t>žádostí o podporu</w:t>
            </w:r>
            <w:r w:rsidRPr="003B6EEA">
              <w:rPr>
                <w:rFonts w:asciiTheme="minorHAnsi" w:hAnsiTheme="minorHAnsi"/>
                <w:sz w:val="16"/>
                <w:szCs w:val="16"/>
              </w:rPr>
              <w:t xml:space="preserve"> s povinným hodnocením CBA. Zároveň je však nutné vzít v potaz úsporná opatření podnikatelů v souvislosti s pandemií COVID-19, omezováním velkých investičních projektů. Z těchto důvodů lze předpokládat menší nárůst počtu </w:t>
            </w:r>
            <w:r w:rsidR="00B04647">
              <w:rPr>
                <w:rFonts w:asciiTheme="minorHAnsi" w:hAnsiTheme="minorHAnsi"/>
                <w:sz w:val="16"/>
                <w:szCs w:val="16"/>
              </w:rPr>
              <w:t>žádostí o podporu</w:t>
            </w:r>
            <w:r w:rsidRPr="003B6EEA">
              <w:rPr>
                <w:rFonts w:asciiTheme="minorHAnsi" w:hAnsiTheme="minorHAnsi"/>
                <w:sz w:val="16"/>
                <w:szCs w:val="16"/>
              </w:rPr>
              <w:t xml:space="preserve"> s nutnou CBA, namísto dvou a půl tisíc dalších CBA lze očekávat propad až na jeden a půl tisíce. </w:t>
            </w:r>
          </w:p>
          <w:p w14:paraId="0128EEEC" w14:textId="77777777"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lastRenderedPageBreak/>
              <w:t xml:space="preserve">Při zrušení CBA do konce programového období by se tak při počtu 1 500 CBA mohlo jednat o </w:t>
            </w:r>
            <w:r w:rsidRPr="1B8B314C">
              <w:rPr>
                <w:rFonts w:asciiTheme="minorHAnsi" w:hAnsiTheme="minorHAnsi"/>
                <w:b/>
                <w:bCs/>
                <w:sz w:val="16"/>
                <w:szCs w:val="16"/>
              </w:rPr>
              <w:t>úsporu v rozmezí 375 až 750 pracovních hodin</w:t>
            </w:r>
            <w:r w:rsidRPr="00E105D8">
              <w:rPr>
                <w:rFonts w:asciiTheme="minorHAnsi" w:hAnsiTheme="minorHAnsi"/>
                <w:b/>
                <w:bCs/>
                <w:sz w:val="16"/>
                <w:szCs w:val="16"/>
              </w:rPr>
              <w:t>, tedy 46 až 93 pracovních dní.</w:t>
            </w:r>
            <w:r w:rsidRPr="1B8B314C">
              <w:rPr>
                <w:rFonts w:asciiTheme="minorHAnsi" w:hAnsiTheme="minorHAnsi"/>
                <w:sz w:val="16"/>
                <w:szCs w:val="16"/>
              </w:rPr>
              <w:t xml:space="preserve"> </w:t>
            </w:r>
          </w:p>
          <w:p w14:paraId="30107CD0" w14:textId="45CAD54D"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 těchto důvodů je možné přistoupit ke zrušení CBA ještě do konce současného programového období. </w:t>
            </w:r>
          </w:p>
          <w:p w14:paraId="0391166D" w14:textId="1013ADDA"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Dle dostupných informací bude CBA v dalším programovém období </w:t>
            </w:r>
            <w:r w:rsidR="00A92F37">
              <w:rPr>
                <w:rFonts w:asciiTheme="minorHAnsi" w:hAnsiTheme="minorHAnsi"/>
                <w:sz w:val="16"/>
                <w:szCs w:val="16"/>
              </w:rPr>
              <w:t>Zcela dobrovolná</w:t>
            </w:r>
            <w:r w:rsidRPr="003B6EEA">
              <w:rPr>
                <w:rFonts w:asciiTheme="minorHAnsi" w:hAnsiTheme="minorHAnsi"/>
                <w:sz w:val="16"/>
                <w:szCs w:val="16"/>
              </w:rPr>
              <w:t xml:space="preserve">. </w:t>
            </w:r>
          </w:p>
        </w:tc>
      </w:tr>
      <w:tr w:rsidR="00E22203" w:rsidRPr="00D40318" w14:paraId="2C3C5283" w14:textId="77777777" w:rsidTr="00E17889">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FFFFFF" w:themeColor="background1"/>
              <w:left w:val="none" w:sz="0" w:space="0" w:color="auto"/>
              <w:bottom w:val="single" w:sz="4" w:space="0" w:color="FFFFFF" w:themeColor="background1"/>
            </w:tcBorders>
          </w:tcPr>
          <w:p w14:paraId="17DAF86C" w14:textId="77777777" w:rsidR="00E22203" w:rsidRPr="003B6EEA" w:rsidRDefault="00E22203" w:rsidP="00E17889">
            <w:pPr>
              <w:pStyle w:val="BodyText1"/>
              <w:tabs>
                <w:tab w:val="left" w:pos="284"/>
              </w:tabs>
              <w:spacing w:after="120" w:line="240" w:lineRule="auto"/>
              <w:ind w:right="113"/>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lastRenderedPageBreak/>
              <w:t>Časová náročnost zavedení opatření v implementační struktuře</w:t>
            </w:r>
          </w:p>
        </w:tc>
        <w:tc>
          <w:tcPr>
            <w:tcW w:w="3924" w:type="pct"/>
            <w:shd w:val="clear" w:color="auto" w:fill="auto"/>
          </w:tcPr>
          <w:p w14:paraId="46790832" w14:textId="77777777" w:rsidR="00E22203" w:rsidRPr="003B6EEA" w:rsidDel="009C21B9" w:rsidRDefault="00E22203"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opatření není spojeno s časovou náročností, naopak dojde k úspoře času dle výše uvedené kalkulace. </w:t>
            </w:r>
          </w:p>
        </w:tc>
      </w:tr>
      <w:tr w:rsidR="00E22203" w:rsidRPr="00D40318" w14:paraId="40CFA5B4" w14:textId="77777777" w:rsidTr="00E1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FFFFFF" w:themeColor="background1"/>
              <w:left w:val="none" w:sz="0" w:space="0" w:color="auto"/>
              <w:bottom w:val="single" w:sz="4" w:space="0" w:color="FFFFFF" w:themeColor="background1"/>
            </w:tcBorders>
          </w:tcPr>
          <w:p w14:paraId="21363818" w14:textId="77777777" w:rsidR="00E22203" w:rsidRPr="003B6EEA" w:rsidRDefault="00E22203" w:rsidP="00E17889">
            <w:pPr>
              <w:pStyle w:val="BodyText1"/>
              <w:keepNext/>
              <w:keepLines/>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Personální náročnost zavedení opatření v implementační struktuře</w:t>
            </w:r>
          </w:p>
        </w:tc>
        <w:tc>
          <w:tcPr>
            <w:tcW w:w="3924" w:type="pct"/>
            <w:shd w:val="clear" w:color="auto" w:fill="auto"/>
          </w:tcPr>
          <w:p w14:paraId="3812B5A7" w14:textId="5E0136B2"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Zavedení opatření není spojeno s personální náročností v implementační struktuře. Naopak dojde k uvolnění kapacit</w:t>
            </w:r>
            <w:r w:rsidR="2DBE0C3E" w:rsidRPr="1B8B314C">
              <w:rPr>
                <w:rFonts w:asciiTheme="minorHAnsi" w:hAnsiTheme="minorHAnsi"/>
                <w:sz w:val="16"/>
                <w:szCs w:val="16"/>
              </w:rPr>
              <w:t>y</w:t>
            </w:r>
            <w:r w:rsidRPr="1B8B314C">
              <w:rPr>
                <w:rFonts w:asciiTheme="minorHAnsi" w:hAnsiTheme="minorHAnsi"/>
                <w:sz w:val="16"/>
                <w:szCs w:val="16"/>
              </w:rPr>
              <w:t xml:space="preserve"> analytika ratingu API, která může být využita na zjednodušení ekonomické</w:t>
            </w:r>
            <w:r w:rsidR="627B997E" w:rsidRPr="1B8B314C">
              <w:rPr>
                <w:rFonts w:asciiTheme="minorHAnsi" w:hAnsiTheme="minorHAnsi"/>
                <w:sz w:val="16"/>
                <w:szCs w:val="16"/>
              </w:rPr>
              <w:t>ho</w:t>
            </w:r>
            <w:r w:rsidRPr="1B8B314C">
              <w:rPr>
                <w:rFonts w:asciiTheme="minorHAnsi" w:hAnsiTheme="minorHAnsi"/>
                <w:sz w:val="16"/>
                <w:szCs w:val="16"/>
              </w:rPr>
              <w:t xml:space="preserve"> hodnocení </w:t>
            </w:r>
            <w:r w:rsidR="00B04647">
              <w:rPr>
                <w:rFonts w:asciiTheme="minorHAnsi" w:hAnsiTheme="minorHAnsi"/>
                <w:sz w:val="16"/>
                <w:szCs w:val="16"/>
              </w:rPr>
              <w:t>žádostí o podporu</w:t>
            </w:r>
            <w:r w:rsidRPr="1B8B314C">
              <w:rPr>
                <w:rFonts w:asciiTheme="minorHAnsi" w:hAnsiTheme="minorHAnsi"/>
                <w:sz w:val="16"/>
                <w:szCs w:val="16"/>
              </w:rPr>
              <w:t xml:space="preserve">. </w:t>
            </w:r>
          </w:p>
        </w:tc>
      </w:tr>
      <w:tr w:rsidR="00E22203" w:rsidRPr="00D40318" w14:paraId="3F407E92" w14:textId="77777777" w:rsidTr="00E17889">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FFFFFF" w:themeColor="background1"/>
              <w:left w:val="none" w:sz="0" w:space="0" w:color="auto"/>
              <w:bottom w:val="single" w:sz="4" w:space="0" w:color="FFFFFF" w:themeColor="background1"/>
            </w:tcBorders>
          </w:tcPr>
          <w:p w14:paraId="7914C2A7" w14:textId="77777777" w:rsidR="00E22203" w:rsidRPr="003B6EEA" w:rsidRDefault="00E22203" w:rsidP="00E17889">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 xml:space="preserve">Legislativní a metodická úprava </w:t>
            </w:r>
          </w:p>
        </w:tc>
        <w:tc>
          <w:tcPr>
            <w:tcW w:w="3924" w:type="pct"/>
            <w:shd w:val="clear" w:color="auto" w:fill="auto"/>
          </w:tcPr>
          <w:p w14:paraId="2C7C7FD3" w14:textId="6F9C34D6" w:rsidR="00E22203" w:rsidRPr="003B6EEA" w:rsidRDefault="00760B11"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Zvýšení limitů pro CBA je nutné upravit Metodickým stanoviskem ministra/yně MMR a následnou úpravou metodik v gesci ŘO. K</w:t>
            </w:r>
            <w:r w:rsidR="00E22203" w:rsidRPr="1B8B314C">
              <w:rPr>
                <w:rFonts w:asciiTheme="minorHAnsi" w:hAnsiTheme="minorHAnsi"/>
                <w:sz w:val="16"/>
                <w:szCs w:val="16"/>
              </w:rPr>
              <w:t>onkrétně aktualizací kapitoly T4B OM OP PIK a zrušení všech podmínek pro hodnocení CBA. Současně bude muset být upraveno znění všech výzev, s cílem vyjmutí hodnocení CBA z formálních podmínek přijatelnosti projektu. Dále si opatření vynutí úpravu Pravidel pro žadatele a příjemce – zvláštní část.</w:t>
            </w:r>
          </w:p>
        </w:tc>
      </w:tr>
      <w:tr w:rsidR="00E22203" w:rsidRPr="00D40318" w14:paraId="23B3C6CC" w14:textId="77777777" w:rsidTr="00E1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FFFFFF" w:themeColor="background1"/>
              <w:left w:val="none" w:sz="0" w:space="0" w:color="auto"/>
              <w:bottom w:val="single" w:sz="4" w:space="0" w:color="FFFFFF" w:themeColor="background1"/>
            </w:tcBorders>
          </w:tcPr>
          <w:p w14:paraId="2844745E" w14:textId="56A3DE57" w:rsidR="00E22203" w:rsidRPr="003B6EEA" w:rsidRDefault="00E22203" w:rsidP="00E17889">
            <w:pPr>
              <w:pStyle w:val="BodyText1"/>
              <w:spacing w:after="120" w:line="240" w:lineRule="auto"/>
              <w:ind w:right="112"/>
              <w:rPr>
                <w:rFonts w:asciiTheme="minorHAnsi" w:hAnsiTheme="minorHAnsi"/>
                <w:sz w:val="16"/>
                <w:szCs w:val="16"/>
              </w:rPr>
            </w:pPr>
            <w:r w:rsidRPr="1B8B314C">
              <w:rPr>
                <w:rFonts w:asciiTheme="minorHAnsi" w:hAnsiTheme="minorHAnsi"/>
                <w:color w:val="FFFFFF" w:themeColor="background1"/>
                <w:sz w:val="16"/>
                <w:szCs w:val="16"/>
              </w:rPr>
              <w:t>Časová a finanční náročnost zavedení opatření pro žadatele/příjemce</w:t>
            </w:r>
          </w:p>
        </w:tc>
        <w:tc>
          <w:tcPr>
            <w:tcW w:w="3924" w:type="pct"/>
            <w:shd w:val="clear" w:color="auto" w:fill="auto"/>
          </w:tcPr>
          <w:p w14:paraId="6530FF01" w14:textId="77777777"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Zavedení opatření povede k úspoře času na straně žadatelů. Ti, pokud se na ně vztahují podmínky pro hodnocení CBA, v současné době musí alokovat 30 až 90 min. studování příručky pro vyplnění CBA, přípravě a následně vyplnění CBA v ISKP14+. V případě očekávaných 1 500 projektů, na které by se vztahovala povinnost hodnocení CBA se tak může jednat o 750 až 2 000 hodin.</w:t>
            </w:r>
          </w:p>
        </w:tc>
      </w:tr>
      <w:tr w:rsidR="00E22203" w:rsidRPr="00D40318" w14:paraId="72A4DBED" w14:textId="77777777" w:rsidTr="00E17889">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FFFFFF" w:themeColor="background1"/>
              <w:left w:val="none" w:sz="0" w:space="0" w:color="auto"/>
              <w:bottom w:val="single" w:sz="4" w:space="0" w:color="FFFFFF" w:themeColor="background1"/>
            </w:tcBorders>
          </w:tcPr>
          <w:p w14:paraId="42DE3622" w14:textId="77777777" w:rsidR="00E22203" w:rsidRPr="003B6EEA" w:rsidRDefault="00E22203" w:rsidP="00E17889">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Rizika plynoucí z nezavedení opatření</w:t>
            </w:r>
          </w:p>
        </w:tc>
        <w:tc>
          <w:tcPr>
            <w:tcW w:w="3924" w:type="pct"/>
            <w:shd w:val="clear" w:color="auto" w:fill="auto"/>
          </w:tcPr>
          <w:p w14:paraId="61CF8EC4" w14:textId="61FA1FFE" w:rsidR="00E22203" w:rsidRPr="003B6EEA" w:rsidRDefault="00E22203"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Nezavedení opatření není spojeno s </w:t>
            </w:r>
            <w:r w:rsidR="00D40318" w:rsidRPr="003B6EEA">
              <w:rPr>
                <w:rFonts w:asciiTheme="minorHAnsi" w:hAnsiTheme="minorHAnsi"/>
                <w:sz w:val="16"/>
                <w:szCs w:val="16"/>
              </w:rPr>
              <w:t>významnějšími</w:t>
            </w:r>
            <w:r w:rsidRPr="003B6EEA">
              <w:rPr>
                <w:rFonts w:asciiTheme="minorHAnsi" w:hAnsiTheme="minorHAnsi"/>
                <w:sz w:val="16"/>
                <w:szCs w:val="16"/>
              </w:rPr>
              <w:t xml:space="preserve"> riziky. </w:t>
            </w:r>
          </w:p>
        </w:tc>
      </w:tr>
      <w:tr w:rsidR="00E22203" w:rsidRPr="00D40318" w14:paraId="3682816F" w14:textId="77777777" w:rsidTr="00E1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FFFFFF" w:themeColor="background1"/>
              <w:left w:val="none" w:sz="0" w:space="0" w:color="auto"/>
              <w:bottom w:val="single" w:sz="4" w:space="0" w:color="FFFFFF" w:themeColor="background1"/>
            </w:tcBorders>
          </w:tcPr>
          <w:p w14:paraId="3996146D" w14:textId="77777777" w:rsidR="00E22203" w:rsidRPr="003B6EEA" w:rsidRDefault="00E22203" w:rsidP="00E17889">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Rizika plynoucí ze zavedení opatření</w:t>
            </w:r>
          </w:p>
        </w:tc>
        <w:tc>
          <w:tcPr>
            <w:tcW w:w="3924" w:type="pct"/>
            <w:shd w:val="clear" w:color="auto" w:fill="auto"/>
          </w:tcPr>
          <w:p w14:paraId="4D9A60DB" w14:textId="77777777" w:rsidR="00E22203" w:rsidRPr="003B6EEA" w:rsidRDefault="00E22203" w:rsidP="00E17889">
            <w:pPr>
              <w:pStyle w:val="BodyText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EEA">
              <w:rPr>
                <w:rFonts w:asciiTheme="minorHAnsi" w:hAnsiTheme="minorHAnsi"/>
                <w:sz w:val="16"/>
                <w:szCs w:val="16"/>
              </w:rPr>
              <w:t xml:space="preserve">Zavedení opatření není spojeno s významnějšími riziky. Určitým rizikem může být narušení transparentnosti celého procesu podpory v horizontu programového období související s další změnou podmínek podpory. Opatření si vyžádá technické zásahy do monitorovacího systému, což může vést k prodlevám nebo komplikacím. </w:t>
            </w:r>
          </w:p>
        </w:tc>
      </w:tr>
      <w:tr w:rsidR="00E22203" w:rsidRPr="00D40318" w14:paraId="5A0DF9A0" w14:textId="77777777" w:rsidTr="00E17889">
        <w:tc>
          <w:tcPr>
            <w:cnfStyle w:val="001000000000" w:firstRow="0" w:lastRow="0" w:firstColumn="1" w:lastColumn="0" w:oddVBand="0" w:evenVBand="0" w:oddHBand="0" w:evenHBand="0" w:firstRowFirstColumn="0" w:firstRowLastColumn="0" w:lastRowFirstColumn="0" w:lastRowLastColumn="0"/>
            <w:tcW w:w="1070" w:type="pct"/>
            <w:tcBorders>
              <w:top w:val="single" w:sz="4" w:space="0" w:color="FFFFFF" w:themeColor="background1"/>
              <w:left w:val="none" w:sz="0" w:space="0" w:color="auto"/>
              <w:bottom w:val="none" w:sz="0" w:space="0" w:color="auto"/>
            </w:tcBorders>
          </w:tcPr>
          <w:p w14:paraId="47AC4AED" w14:textId="77777777" w:rsidR="00E22203" w:rsidRPr="003B6EEA" w:rsidRDefault="00E22203" w:rsidP="00E17889">
            <w:pPr>
              <w:pStyle w:val="BodyText1"/>
              <w:spacing w:after="120" w:line="240" w:lineRule="auto"/>
              <w:ind w:right="112"/>
              <w:rPr>
                <w:rFonts w:asciiTheme="minorHAnsi" w:hAnsiTheme="minorHAnsi"/>
                <w:b w:val="0"/>
                <w:color w:val="FFFFFF" w:themeColor="background1"/>
                <w:sz w:val="16"/>
                <w:szCs w:val="16"/>
              </w:rPr>
            </w:pPr>
            <w:r w:rsidRPr="003B6EEA">
              <w:rPr>
                <w:rFonts w:asciiTheme="minorHAnsi" w:hAnsiTheme="minorHAnsi"/>
                <w:color w:val="FFFFFF" w:themeColor="background1"/>
                <w:sz w:val="16"/>
                <w:szCs w:val="16"/>
              </w:rPr>
              <w:t xml:space="preserve">Personální zodpovědnost za zavedení opatření </w:t>
            </w:r>
          </w:p>
        </w:tc>
        <w:tc>
          <w:tcPr>
            <w:tcW w:w="3924" w:type="pct"/>
            <w:shd w:val="clear" w:color="auto" w:fill="auto"/>
          </w:tcPr>
          <w:p w14:paraId="37C34A81" w14:textId="67959F52" w:rsidR="00E22203" w:rsidRPr="003B6EEA" w:rsidRDefault="12967B6C" w:rsidP="00E17889">
            <w:pPr>
              <w:pStyle w:val="BodyText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1B8B314C">
              <w:rPr>
                <w:rFonts w:asciiTheme="minorHAnsi" w:hAnsiTheme="minorHAnsi"/>
                <w:sz w:val="16"/>
                <w:szCs w:val="16"/>
              </w:rPr>
              <w:t xml:space="preserve">Zvýšení limitů pro CBA je nutné upravit Metodickým stanoviskem ministra/yně MMR a následnou úpravou metodik </w:t>
            </w:r>
            <w:r w:rsidR="00760B11" w:rsidRPr="1B8B314C">
              <w:rPr>
                <w:rFonts w:asciiTheme="minorHAnsi" w:hAnsiTheme="minorHAnsi"/>
                <w:sz w:val="16"/>
                <w:szCs w:val="16"/>
              </w:rPr>
              <w:t>v gesci ŘO.</w:t>
            </w:r>
          </w:p>
        </w:tc>
      </w:tr>
    </w:tbl>
    <w:p w14:paraId="73A8E660" w14:textId="793F2FCF" w:rsidR="00D119C2" w:rsidRDefault="00D119C2" w:rsidP="00B050E8"/>
    <w:p w14:paraId="081A00A7" w14:textId="77777777" w:rsidR="00D119C2" w:rsidRPr="006D28EB" w:rsidRDefault="00D119C2" w:rsidP="00B050E8"/>
    <w:p w14:paraId="50206398" w14:textId="77777777" w:rsidR="00B050E8" w:rsidRPr="002A7D85" w:rsidRDefault="00B050E8" w:rsidP="00EB2730">
      <w:pPr>
        <w:jc w:val="both"/>
      </w:pPr>
    </w:p>
    <w:p w14:paraId="790B3A6B" w14:textId="354EA1D5" w:rsidR="00AC55EB" w:rsidRPr="00880699" w:rsidRDefault="006062A7" w:rsidP="00791621">
      <w:pPr>
        <w:pStyle w:val="Heading1"/>
        <w:spacing w:after="240" w:line="240" w:lineRule="auto"/>
        <w:jc w:val="both"/>
      </w:pPr>
      <w:bookmarkStart w:id="34" w:name="_Toc52532095"/>
      <w:r w:rsidRPr="00880699">
        <w:lastRenderedPageBreak/>
        <w:t>P</w:t>
      </w:r>
      <w:r w:rsidR="002B215D" w:rsidRPr="00880699">
        <w:t>říloh</w:t>
      </w:r>
      <w:r w:rsidR="00AC55EB" w:rsidRPr="00880699">
        <w:t>y</w:t>
      </w:r>
      <w:bookmarkEnd w:id="21"/>
      <w:bookmarkEnd w:id="34"/>
    </w:p>
    <w:p w14:paraId="3ECD2590" w14:textId="7E9DF204" w:rsidR="00AC55EB" w:rsidRPr="00880699" w:rsidRDefault="00AC55EB" w:rsidP="00C02105">
      <w:pPr>
        <w:pStyle w:val="Heading1"/>
        <w:numPr>
          <w:ilvl w:val="0"/>
          <w:numId w:val="0"/>
        </w:numPr>
        <w:spacing w:after="240" w:line="240" w:lineRule="auto"/>
      </w:pPr>
      <w:bookmarkStart w:id="35" w:name="_Ref24117639"/>
      <w:bookmarkStart w:id="36" w:name="_Toc52532096"/>
      <w:r w:rsidRPr="00880699">
        <w:lastRenderedPageBreak/>
        <w:t xml:space="preserve">Příloha </w:t>
      </w:r>
      <w:r w:rsidR="000276B9" w:rsidRPr="00880699">
        <w:t>1</w:t>
      </w:r>
      <w:r w:rsidRPr="00880699">
        <w:t xml:space="preserve">: </w:t>
      </w:r>
      <w:bookmarkEnd w:id="35"/>
      <w:r w:rsidR="00FF4D20" w:rsidRPr="00880699">
        <w:t>Seznam respondentů hloubkových rozhovorů</w:t>
      </w:r>
      <w:r w:rsidR="00DB5B02">
        <w:t>,</w:t>
      </w:r>
      <w:r w:rsidR="00FF4D20" w:rsidRPr="00880699">
        <w:t xml:space="preserve"> dotazníkového šetření</w:t>
      </w:r>
      <w:r w:rsidR="00C8075D">
        <w:t xml:space="preserve"> </w:t>
      </w:r>
      <w:r w:rsidR="00DB5B02">
        <w:t>a expertního panelu</w:t>
      </w:r>
      <w:bookmarkEnd w:id="36"/>
    </w:p>
    <w:p w14:paraId="5F26E78B" w14:textId="4070B540" w:rsidR="00A26A82" w:rsidRPr="00880699" w:rsidRDefault="00A26A82" w:rsidP="00461B29">
      <w:pPr>
        <w:pStyle w:val="Caption"/>
        <w:spacing w:before="240" w:after="120"/>
      </w:pPr>
      <w:bookmarkStart w:id="37" w:name="_Toc52532112"/>
      <w:r w:rsidRPr="00880699">
        <w:t xml:space="preserve">Tabulka </w:t>
      </w:r>
      <w:r w:rsidRPr="00880699">
        <w:fldChar w:fldCharType="begin"/>
      </w:r>
      <w:r w:rsidRPr="00880699">
        <w:instrText xml:space="preserve"> SEQ Tabulka \* ARABIC </w:instrText>
      </w:r>
      <w:r w:rsidRPr="00880699">
        <w:fldChar w:fldCharType="separate"/>
      </w:r>
      <w:r w:rsidR="008E1911">
        <w:rPr>
          <w:noProof/>
        </w:rPr>
        <w:t>14</w:t>
      </w:r>
      <w:r w:rsidRPr="00880699">
        <w:fldChar w:fldCharType="end"/>
      </w:r>
      <w:r w:rsidR="006545BF" w:rsidRPr="00880699">
        <w:t xml:space="preserve"> </w:t>
      </w:r>
      <w:r w:rsidRPr="00880699">
        <w:t>Respondenti dotazníkového šetření a hloubkových rozhovorů</w:t>
      </w:r>
      <w:bookmarkEnd w:id="37"/>
    </w:p>
    <w:tbl>
      <w:tblPr>
        <w:tblStyle w:val="Deloittetable"/>
        <w:tblW w:w="5000" w:type="pct"/>
        <w:tblLook w:val="04A0" w:firstRow="1" w:lastRow="0" w:firstColumn="1" w:lastColumn="0" w:noHBand="0" w:noVBand="1"/>
      </w:tblPr>
      <w:tblGrid>
        <w:gridCol w:w="368"/>
        <w:gridCol w:w="1472"/>
        <w:gridCol w:w="1692"/>
        <w:gridCol w:w="4325"/>
        <w:gridCol w:w="1889"/>
      </w:tblGrid>
      <w:tr w:rsidR="00DB5B02" w:rsidRPr="00880699" w14:paraId="56FCE33B" w14:textId="77777777" w:rsidTr="00140314">
        <w:trPr>
          <w:cnfStyle w:val="100000000000" w:firstRow="1" w:lastRow="0" w:firstColumn="0" w:lastColumn="0" w:oddVBand="0" w:evenVBand="0" w:oddHBand="0" w:evenHBand="0" w:firstRowFirstColumn="0" w:firstRowLastColumn="0" w:lastRowFirstColumn="0" w:lastRowLastColumn="0"/>
          <w:trHeight w:val="285"/>
          <w:tblHeader/>
        </w:trPr>
        <w:tc>
          <w:tcPr>
            <w:tcW w:w="189" w:type="pct"/>
            <w:vAlign w:val="center"/>
          </w:tcPr>
          <w:p w14:paraId="728D9E5A" w14:textId="77777777" w:rsidR="00DB5B02" w:rsidRPr="00880699" w:rsidRDefault="00DB5B02" w:rsidP="00D85B0C">
            <w:pPr>
              <w:ind w:left="-467" w:firstLine="467"/>
              <w:rPr>
                <w:b w:val="0"/>
                <w:sz w:val="16"/>
                <w:szCs w:val="16"/>
              </w:rPr>
            </w:pPr>
            <w:r w:rsidRPr="00880699">
              <w:rPr>
                <w:sz w:val="16"/>
                <w:szCs w:val="16"/>
              </w:rPr>
              <w:t>Č.</w:t>
            </w:r>
          </w:p>
        </w:tc>
        <w:tc>
          <w:tcPr>
            <w:tcW w:w="755" w:type="pct"/>
            <w:vAlign w:val="center"/>
          </w:tcPr>
          <w:p w14:paraId="3E00E140" w14:textId="77777777" w:rsidR="00DB5B02" w:rsidRPr="00880699" w:rsidRDefault="00DB5B02" w:rsidP="006461AA">
            <w:pPr>
              <w:jc w:val="center"/>
              <w:rPr>
                <w:b w:val="0"/>
                <w:sz w:val="16"/>
                <w:szCs w:val="16"/>
              </w:rPr>
            </w:pPr>
            <w:r w:rsidRPr="00880699">
              <w:rPr>
                <w:sz w:val="16"/>
                <w:szCs w:val="16"/>
              </w:rPr>
              <w:t>Metoda</w:t>
            </w:r>
          </w:p>
        </w:tc>
        <w:tc>
          <w:tcPr>
            <w:tcW w:w="868" w:type="pct"/>
            <w:vAlign w:val="center"/>
          </w:tcPr>
          <w:p w14:paraId="799A47BC" w14:textId="77777777" w:rsidR="00DB5B02" w:rsidRPr="00880699" w:rsidRDefault="00DB5B02" w:rsidP="00D85B0C">
            <w:pPr>
              <w:jc w:val="center"/>
              <w:rPr>
                <w:b w:val="0"/>
                <w:sz w:val="16"/>
                <w:szCs w:val="16"/>
              </w:rPr>
            </w:pPr>
            <w:r w:rsidRPr="00880699">
              <w:rPr>
                <w:sz w:val="16"/>
                <w:szCs w:val="16"/>
              </w:rPr>
              <w:t>Organizace</w:t>
            </w:r>
          </w:p>
        </w:tc>
        <w:tc>
          <w:tcPr>
            <w:tcW w:w="2219" w:type="pct"/>
            <w:vAlign w:val="center"/>
          </w:tcPr>
          <w:p w14:paraId="2EBEDF86" w14:textId="77777777" w:rsidR="00DB5B02" w:rsidRPr="00880699" w:rsidRDefault="00DB5B02" w:rsidP="00D85B0C">
            <w:pPr>
              <w:ind w:right="-632"/>
              <w:rPr>
                <w:b w:val="0"/>
                <w:sz w:val="16"/>
                <w:szCs w:val="16"/>
              </w:rPr>
            </w:pPr>
            <w:r w:rsidRPr="00880699">
              <w:rPr>
                <w:sz w:val="16"/>
                <w:szCs w:val="16"/>
              </w:rPr>
              <w:t>Sekce, oddělení</w:t>
            </w:r>
          </w:p>
        </w:tc>
        <w:tc>
          <w:tcPr>
            <w:tcW w:w="969" w:type="pct"/>
            <w:vAlign w:val="center"/>
          </w:tcPr>
          <w:p w14:paraId="6B91E4A1" w14:textId="77777777" w:rsidR="00DB5B02" w:rsidRPr="00880699" w:rsidRDefault="00DB5B02" w:rsidP="00D85B0C">
            <w:pPr>
              <w:jc w:val="center"/>
              <w:rPr>
                <w:b w:val="0"/>
                <w:sz w:val="16"/>
                <w:szCs w:val="16"/>
              </w:rPr>
            </w:pPr>
            <w:r w:rsidRPr="00880699">
              <w:rPr>
                <w:sz w:val="16"/>
                <w:szCs w:val="16"/>
              </w:rPr>
              <w:t>Datum</w:t>
            </w:r>
          </w:p>
        </w:tc>
      </w:tr>
      <w:tr w:rsidR="00DB5B02" w:rsidRPr="00880699" w14:paraId="629ADC05" w14:textId="77777777" w:rsidTr="00C02105">
        <w:tc>
          <w:tcPr>
            <w:tcW w:w="189" w:type="pct"/>
            <w:vAlign w:val="center"/>
          </w:tcPr>
          <w:p w14:paraId="3EA63A41" w14:textId="77777777" w:rsidR="00DB5B02" w:rsidRPr="00880699" w:rsidRDefault="00DB5B02" w:rsidP="00D85B0C">
            <w:pPr>
              <w:rPr>
                <w:sz w:val="16"/>
                <w:szCs w:val="16"/>
              </w:rPr>
            </w:pPr>
            <w:r w:rsidRPr="00880699">
              <w:rPr>
                <w:sz w:val="16"/>
                <w:szCs w:val="16"/>
              </w:rPr>
              <w:t>1</w:t>
            </w:r>
          </w:p>
        </w:tc>
        <w:tc>
          <w:tcPr>
            <w:tcW w:w="755" w:type="pct"/>
            <w:vAlign w:val="center"/>
          </w:tcPr>
          <w:p w14:paraId="0A15B811" w14:textId="77777777" w:rsidR="00DB5B02" w:rsidRPr="00880699" w:rsidRDefault="00DB5B02" w:rsidP="006461AA">
            <w:pPr>
              <w:jc w:val="center"/>
              <w:rPr>
                <w:sz w:val="16"/>
                <w:szCs w:val="16"/>
              </w:rPr>
            </w:pPr>
            <w:r w:rsidRPr="00880699">
              <w:rPr>
                <w:sz w:val="16"/>
                <w:szCs w:val="16"/>
              </w:rPr>
              <w:t>DŠ</w:t>
            </w:r>
          </w:p>
        </w:tc>
        <w:tc>
          <w:tcPr>
            <w:tcW w:w="868" w:type="pct"/>
            <w:vAlign w:val="center"/>
          </w:tcPr>
          <w:p w14:paraId="701FE5A1" w14:textId="77777777" w:rsidR="00DB5B02" w:rsidRPr="00880699" w:rsidRDefault="00DB5B02" w:rsidP="00D85B0C">
            <w:pPr>
              <w:jc w:val="center"/>
              <w:rPr>
                <w:sz w:val="16"/>
                <w:szCs w:val="16"/>
              </w:rPr>
            </w:pPr>
            <w:r w:rsidRPr="00880699">
              <w:rPr>
                <w:sz w:val="16"/>
                <w:szCs w:val="16"/>
              </w:rPr>
              <w:t>MPO, API, ČMZRB</w:t>
            </w:r>
          </w:p>
        </w:tc>
        <w:tc>
          <w:tcPr>
            <w:tcW w:w="2219" w:type="pct"/>
            <w:vAlign w:val="center"/>
          </w:tcPr>
          <w:p w14:paraId="12B94269" w14:textId="6532AF2A" w:rsidR="00DB5B02" w:rsidRPr="00880699" w:rsidRDefault="005D19E5" w:rsidP="00D85B0C">
            <w:pPr>
              <w:ind w:right="-632"/>
              <w:rPr>
                <w:sz w:val="16"/>
                <w:szCs w:val="16"/>
              </w:rPr>
            </w:pPr>
            <w:r>
              <w:rPr>
                <w:sz w:val="16"/>
                <w:szCs w:val="16"/>
              </w:rPr>
              <w:t>NA</w:t>
            </w:r>
          </w:p>
        </w:tc>
        <w:tc>
          <w:tcPr>
            <w:tcW w:w="969" w:type="pct"/>
            <w:vAlign w:val="center"/>
          </w:tcPr>
          <w:p w14:paraId="68355F6E" w14:textId="77777777" w:rsidR="00DB5B02" w:rsidRPr="00880699" w:rsidRDefault="00DB5B02" w:rsidP="00D85B0C">
            <w:pPr>
              <w:ind w:left="166"/>
              <w:jc w:val="center"/>
              <w:rPr>
                <w:sz w:val="16"/>
                <w:szCs w:val="16"/>
              </w:rPr>
            </w:pPr>
            <w:r w:rsidRPr="00880699">
              <w:rPr>
                <w:sz w:val="16"/>
                <w:szCs w:val="16"/>
              </w:rPr>
              <w:t>6. – 20. 12. 2020</w:t>
            </w:r>
          </w:p>
        </w:tc>
      </w:tr>
      <w:tr w:rsidR="00DB5B02" w:rsidRPr="00880699" w14:paraId="6239AEA8" w14:textId="77777777" w:rsidTr="00C02105">
        <w:tc>
          <w:tcPr>
            <w:tcW w:w="189" w:type="pct"/>
            <w:vAlign w:val="center"/>
          </w:tcPr>
          <w:p w14:paraId="69F79C95" w14:textId="77777777" w:rsidR="00DB5B02" w:rsidRPr="00880699" w:rsidRDefault="00DB5B02" w:rsidP="00D85B0C">
            <w:pPr>
              <w:rPr>
                <w:sz w:val="16"/>
                <w:szCs w:val="16"/>
              </w:rPr>
            </w:pPr>
            <w:r w:rsidRPr="00880699">
              <w:rPr>
                <w:sz w:val="16"/>
                <w:szCs w:val="16"/>
              </w:rPr>
              <w:t>2</w:t>
            </w:r>
          </w:p>
        </w:tc>
        <w:tc>
          <w:tcPr>
            <w:tcW w:w="755" w:type="pct"/>
            <w:vAlign w:val="center"/>
          </w:tcPr>
          <w:p w14:paraId="5B3EE821" w14:textId="77777777" w:rsidR="00DB5B02" w:rsidRPr="00880699" w:rsidRDefault="00DB5B02" w:rsidP="006461AA">
            <w:pPr>
              <w:jc w:val="center"/>
              <w:rPr>
                <w:sz w:val="16"/>
                <w:szCs w:val="16"/>
              </w:rPr>
            </w:pPr>
            <w:r w:rsidRPr="00880699">
              <w:rPr>
                <w:sz w:val="16"/>
                <w:szCs w:val="16"/>
              </w:rPr>
              <w:t>Rozhovor</w:t>
            </w:r>
          </w:p>
        </w:tc>
        <w:tc>
          <w:tcPr>
            <w:tcW w:w="868" w:type="pct"/>
            <w:vAlign w:val="center"/>
          </w:tcPr>
          <w:p w14:paraId="431DF5EE" w14:textId="77777777" w:rsidR="00DB5B02" w:rsidRPr="00880699" w:rsidRDefault="00DB5B02" w:rsidP="00D85B0C">
            <w:pPr>
              <w:jc w:val="center"/>
              <w:rPr>
                <w:sz w:val="16"/>
                <w:szCs w:val="16"/>
              </w:rPr>
            </w:pPr>
            <w:r w:rsidRPr="00880699">
              <w:rPr>
                <w:sz w:val="16"/>
                <w:szCs w:val="16"/>
              </w:rPr>
              <w:t>MPO</w:t>
            </w:r>
          </w:p>
        </w:tc>
        <w:tc>
          <w:tcPr>
            <w:tcW w:w="2219" w:type="pct"/>
            <w:vAlign w:val="center"/>
          </w:tcPr>
          <w:p w14:paraId="6F7073C4" w14:textId="73C23636" w:rsidR="00DB5B02" w:rsidRPr="00880699" w:rsidRDefault="00DB5B02" w:rsidP="00D85B0C">
            <w:pPr>
              <w:rPr>
                <w:sz w:val="16"/>
                <w:szCs w:val="16"/>
              </w:rPr>
            </w:pPr>
            <w:r>
              <w:rPr>
                <w:sz w:val="16"/>
                <w:szCs w:val="16"/>
              </w:rPr>
              <w:t xml:space="preserve">61140 </w:t>
            </w:r>
            <w:r w:rsidRPr="00880699">
              <w:rPr>
                <w:sz w:val="16"/>
                <w:szCs w:val="16"/>
              </w:rPr>
              <w:t>Odbor technické pomoci, oddělení technické a monitoringu</w:t>
            </w:r>
          </w:p>
        </w:tc>
        <w:tc>
          <w:tcPr>
            <w:tcW w:w="969" w:type="pct"/>
            <w:vAlign w:val="center"/>
          </w:tcPr>
          <w:p w14:paraId="48160AE8" w14:textId="77777777" w:rsidR="00DB5B02" w:rsidRPr="00880699" w:rsidRDefault="00DB5B02" w:rsidP="00D85B0C">
            <w:pPr>
              <w:jc w:val="center"/>
              <w:rPr>
                <w:sz w:val="16"/>
                <w:szCs w:val="16"/>
              </w:rPr>
            </w:pPr>
            <w:r w:rsidRPr="00880699">
              <w:rPr>
                <w:sz w:val="16"/>
                <w:szCs w:val="16"/>
              </w:rPr>
              <w:t>8. 1. 2020</w:t>
            </w:r>
          </w:p>
          <w:p w14:paraId="10AD44EB" w14:textId="77777777" w:rsidR="00DB5B02" w:rsidRPr="00880699" w:rsidRDefault="00DB5B02" w:rsidP="00D85B0C">
            <w:pPr>
              <w:jc w:val="center"/>
              <w:rPr>
                <w:sz w:val="16"/>
                <w:szCs w:val="16"/>
              </w:rPr>
            </w:pPr>
          </w:p>
        </w:tc>
      </w:tr>
      <w:tr w:rsidR="00DB5B02" w:rsidRPr="00880699" w14:paraId="3C1AB2FB" w14:textId="77777777" w:rsidTr="00C02105">
        <w:tc>
          <w:tcPr>
            <w:tcW w:w="189" w:type="pct"/>
            <w:vAlign w:val="center"/>
          </w:tcPr>
          <w:p w14:paraId="59EE4137" w14:textId="77777777" w:rsidR="00DB5B02" w:rsidRPr="00880699" w:rsidRDefault="00DB5B02" w:rsidP="00D85B0C">
            <w:pPr>
              <w:rPr>
                <w:sz w:val="16"/>
                <w:szCs w:val="16"/>
              </w:rPr>
            </w:pPr>
            <w:r w:rsidRPr="00880699">
              <w:rPr>
                <w:sz w:val="16"/>
                <w:szCs w:val="16"/>
              </w:rPr>
              <w:t>3</w:t>
            </w:r>
          </w:p>
        </w:tc>
        <w:tc>
          <w:tcPr>
            <w:tcW w:w="755" w:type="pct"/>
            <w:vAlign w:val="center"/>
          </w:tcPr>
          <w:p w14:paraId="2448C12F" w14:textId="77777777" w:rsidR="00DB5B02" w:rsidRPr="00880699" w:rsidRDefault="00DB5B02" w:rsidP="006461AA">
            <w:pPr>
              <w:jc w:val="center"/>
              <w:rPr>
                <w:sz w:val="16"/>
                <w:szCs w:val="16"/>
              </w:rPr>
            </w:pPr>
            <w:r w:rsidRPr="00880699">
              <w:rPr>
                <w:sz w:val="16"/>
                <w:szCs w:val="16"/>
              </w:rPr>
              <w:t>Rozhovor</w:t>
            </w:r>
          </w:p>
        </w:tc>
        <w:tc>
          <w:tcPr>
            <w:tcW w:w="868" w:type="pct"/>
            <w:vAlign w:val="center"/>
          </w:tcPr>
          <w:p w14:paraId="1679CFB8" w14:textId="77777777" w:rsidR="00DB5B02" w:rsidRPr="00880699" w:rsidRDefault="00DB5B02" w:rsidP="00D85B0C">
            <w:pPr>
              <w:jc w:val="center"/>
              <w:rPr>
                <w:sz w:val="16"/>
                <w:szCs w:val="16"/>
              </w:rPr>
            </w:pPr>
            <w:r w:rsidRPr="00880699">
              <w:rPr>
                <w:sz w:val="16"/>
                <w:szCs w:val="16"/>
              </w:rPr>
              <w:t>MPO</w:t>
            </w:r>
          </w:p>
        </w:tc>
        <w:tc>
          <w:tcPr>
            <w:tcW w:w="2219" w:type="pct"/>
            <w:vAlign w:val="center"/>
          </w:tcPr>
          <w:p w14:paraId="5A228528" w14:textId="0E5FD5D2" w:rsidR="00DB5B02" w:rsidRPr="00880699" w:rsidRDefault="00DB5B02" w:rsidP="00D85B0C">
            <w:pPr>
              <w:rPr>
                <w:sz w:val="16"/>
                <w:szCs w:val="16"/>
              </w:rPr>
            </w:pPr>
            <w:r>
              <w:rPr>
                <w:sz w:val="16"/>
                <w:szCs w:val="16"/>
              </w:rPr>
              <w:t>61300 Odbor kontroly</w:t>
            </w:r>
          </w:p>
        </w:tc>
        <w:tc>
          <w:tcPr>
            <w:tcW w:w="969" w:type="pct"/>
            <w:vAlign w:val="center"/>
          </w:tcPr>
          <w:p w14:paraId="795B3C06" w14:textId="77777777" w:rsidR="00DB5B02" w:rsidRPr="00880699" w:rsidRDefault="00DB5B02" w:rsidP="00D85B0C">
            <w:pPr>
              <w:jc w:val="center"/>
              <w:rPr>
                <w:sz w:val="16"/>
                <w:szCs w:val="16"/>
              </w:rPr>
            </w:pPr>
            <w:r w:rsidRPr="00880699">
              <w:rPr>
                <w:sz w:val="16"/>
                <w:szCs w:val="16"/>
              </w:rPr>
              <w:t>8. 1. 2020</w:t>
            </w:r>
          </w:p>
        </w:tc>
      </w:tr>
      <w:tr w:rsidR="00DB5B02" w:rsidRPr="00880699" w14:paraId="3BBF34FC" w14:textId="77777777" w:rsidTr="00C02105">
        <w:tc>
          <w:tcPr>
            <w:tcW w:w="189" w:type="pct"/>
            <w:vAlign w:val="center"/>
          </w:tcPr>
          <w:p w14:paraId="67512A50" w14:textId="77777777" w:rsidR="00DB5B02" w:rsidRPr="00880699" w:rsidRDefault="00DB5B02" w:rsidP="00D85B0C">
            <w:pPr>
              <w:rPr>
                <w:sz w:val="16"/>
                <w:szCs w:val="16"/>
              </w:rPr>
            </w:pPr>
            <w:r w:rsidRPr="00880699">
              <w:rPr>
                <w:sz w:val="16"/>
                <w:szCs w:val="16"/>
              </w:rPr>
              <w:t>4</w:t>
            </w:r>
          </w:p>
        </w:tc>
        <w:tc>
          <w:tcPr>
            <w:tcW w:w="755" w:type="pct"/>
            <w:vAlign w:val="center"/>
          </w:tcPr>
          <w:p w14:paraId="2FD124D1" w14:textId="77777777" w:rsidR="00DB5B02" w:rsidRPr="00880699" w:rsidRDefault="00DB5B02" w:rsidP="006461AA">
            <w:pPr>
              <w:jc w:val="center"/>
              <w:rPr>
                <w:sz w:val="16"/>
                <w:szCs w:val="16"/>
              </w:rPr>
            </w:pPr>
            <w:r w:rsidRPr="00880699">
              <w:rPr>
                <w:sz w:val="16"/>
                <w:szCs w:val="16"/>
              </w:rPr>
              <w:t>Rozhovor</w:t>
            </w:r>
          </w:p>
        </w:tc>
        <w:tc>
          <w:tcPr>
            <w:tcW w:w="868" w:type="pct"/>
            <w:vAlign w:val="center"/>
          </w:tcPr>
          <w:p w14:paraId="557869DC" w14:textId="77777777" w:rsidR="00DB5B02" w:rsidRPr="00880699" w:rsidRDefault="00DB5B02" w:rsidP="00D85B0C">
            <w:pPr>
              <w:jc w:val="center"/>
              <w:rPr>
                <w:sz w:val="16"/>
                <w:szCs w:val="16"/>
              </w:rPr>
            </w:pPr>
            <w:r w:rsidRPr="00880699">
              <w:rPr>
                <w:sz w:val="16"/>
                <w:szCs w:val="16"/>
              </w:rPr>
              <w:t>ČMZRB</w:t>
            </w:r>
          </w:p>
        </w:tc>
        <w:tc>
          <w:tcPr>
            <w:tcW w:w="2219" w:type="pct"/>
            <w:vAlign w:val="center"/>
          </w:tcPr>
          <w:p w14:paraId="0782005B" w14:textId="77777777" w:rsidR="00DB5B02" w:rsidRPr="00880699" w:rsidRDefault="00DB5B02" w:rsidP="00D85B0C">
            <w:pPr>
              <w:rPr>
                <w:sz w:val="16"/>
                <w:szCs w:val="16"/>
              </w:rPr>
            </w:pPr>
            <w:r w:rsidRPr="00880699">
              <w:rPr>
                <w:sz w:val="16"/>
                <w:szCs w:val="16"/>
              </w:rPr>
              <w:t>Odbor financování</w:t>
            </w:r>
          </w:p>
        </w:tc>
        <w:tc>
          <w:tcPr>
            <w:tcW w:w="969" w:type="pct"/>
            <w:vAlign w:val="center"/>
          </w:tcPr>
          <w:p w14:paraId="215457F6" w14:textId="77777777" w:rsidR="00DB5B02" w:rsidRPr="00880699" w:rsidRDefault="00DB5B02" w:rsidP="00D85B0C">
            <w:pPr>
              <w:jc w:val="center"/>
              <w:rPr>
                <w:sz w:val="16"/>
                <w:szCs w:val="16"/>
              </w:rPr>
            </w:pPr>
            <w:r w:rsidRPr="00880699">
              <w:rPr>
                <w:sz w:val="16"/>
                <w:szCs w:val="16"/>
              </w:rPr>
              <w:t>9. 1. 2020</w:t>
            </w:r>
          </w:p>
        </w:tc>
      </w:tr>
      <w:tr w:rsidR="00DB5B02" w:rsidRPr="00880699" w14:paraId="089ED6BF" w14:textId="77777777" w:rsidTr="00C02105">
        <w:tc>
          <w:tcPr>
            <w:tcW w:w="189" w:type="pct"/>
            <w:vAlign w:val="center"/>
          </w:tcPr>
          <w:p w14:paraId="31607F5D" w14:textId="77777777" w:rsidR="00DB5B02" w:rsidRPr="00880699" w:rsidRDefault="00DB5B02" w:rsidP="00D85B0C">
            <w:pPr>
              <w:rPr>
                <w:sz w:val="16"/>
                <w:szCs w:val="16"/>
              </w:rPr>
            </w:pPr>
            <w:r w:rsidRPr="00880699">
              <w:rPr>
                <w:sz w:val="16"/>
                <w:szCs w:val="16"/>
              </w:rPr>
              <w:t>5</w:t>
            </w:r>
          </w:p>
        </w:tc>
        <w:tc>
          <w:tcPr>
            <w:tcW w:w="755" w:type="pct"/>
            <w:vAlign w:val="center"/>
          </w:tcPr>
          <w:p w14:paraId="5E02E821" w14:textId="77777777" w:rsidR="00DB5B02" w:rsidRPr="00880699" w:rsidRDefault="00DB5B02" w:rsidP="006461AA">
            <w:pPr>
              <w:jc w:val="center"/>
              <w:rPr>
                <w:sz w:val="16"/>
                <w:szCs w:val="16"/>
              </w:rPr>
            </w:pPr>
            <w:r w:rsidRPr="00880699">
              <w:rPr>
                <w:sz w:val="16"/>
                <w:szCs w:val="16"/>
              </w:rPr>
              <w:t>Rozhovor</w:t>
            </w:r>
          </w:p>
        </w:tc>
        <w:tc>
          <w:tcPr>
            <w:tcW w:w="868" w:type="pct"/>
            <w:vAlign w:val="center"/>
          </w:tcPr>
          <w:p w14:paraId="21B1A510" w14:textId="77777777" w:rsidR="00DB5B02" w:rsidRPr="00880699" w:rsidRDefault="00DB5B02" w:rsidP="00D85B0C">
            <w:pPr>
              <w:jc w:val="center"/>
              <w:rPr>
                <w:sz w:val="16"/>
                <w:szCs w:val="16"/>
              </w:rPr>
            </w:pPr>
            <w:r w:rsidRPr="00880699">
              <w:rPr>
                <w:sz w:val="16"/>
                <w:szCs w:val="16"/>
              </w:rPr>
              <w:t>MPO</w:t>
            </w:r>
          </w:p>
        </w:tc>
        <w:tc>
          <w:tcPr>
            <w:tcW w:w="2219" w:type="pct"/>
            <w:vAlign w:val="center"/>
          </w:tcPr>
          <w:p w14:paraId="37160E8F" w14:textId="13B39213" w:rsidR="00DB5B02" w:rsidRPr="00880699" w:rsidRDefault="00DB5B02" w:rsidP="00D85B0C">
            <w:pPr>
              <w:rPr>
                <w:sz w:val="16"/>
                <w:szCs w:val="16"/>
              </w:rPr>
            </w:pPr>
            <w:r>
              <w:rPr>
                <w:sz w:val="16"/>
                <w:szCs w:val="16"/>
              </w:rPr>
              <w:t xml:space="preserve">61200 </w:t>
            </w:r>
            <w:r w:rsidRPr="00880699">
              <w:rPr>
                <w:sz w:val="16"/>
                <w:szCs w:val="16"/>
              </w:rPr>
              <w:t>Odbor PO1 a finančních nástrojů</w:t>
            </w:r>
          </w:p>
        </w:tc>
        <w:tc>
          <w:tcPr>
            <w:tcW w:w="969" w:type="pct"/>
            <w:vAlign w:val="center"/>
          </w:tcPr>
          <w:p w14:paraId="6439632E" w14:textId="77777777" w:rsidR="00DB5B02" w:rsidRPr="00880699" w:rsidRDefault="00DB5B02" w:rsidP="00D85B0C">
            <w:pPr>
              <w:jc w:val="center"/>
              <w:rPr>
                <w:sz w:val="16"/>
                <w:szCs w:val="16"/>
              </w:rPr>
            </w:pPr>
            <w:r w:rsidRPr="00880699">
              <w:rPr>
                <w:sz w:val="16"/>
                <w:szCs w:val="16"/>
              </w:rPr>
              <w:t>10. 1. 2020</w:t>
            </w:r>
          </w:p>
        </w:tc>
      </w:tr>
      <w:tr w:rsidR="00DB5B02" w:rsidRPr="00880699" w14:paraId="2528A5B1" w14:textId="77777777" w:rsidTr="00C02105">
        <w:tc>
          <w:tcPr>
            <w:tcW w:w="189" w:type="pct"/>
            <w:vAlign w:val="center"/>
          </w:tcPr>
          <w:p w14:paraId="50A11A9A" w14:textId="77777777" w:rsidR="00DB5B02" w:rsidRPr="00880699" w:rsidRDefault="00DB5B02" w:rsidP="00D85B0C">
            <w:pPr>
              <w:rPr>
                <w:sz w:val="16"/>
                <w:szCs w:val="16"/>
              </w:rPr>
            </w:pPr>
            <w:r w:rsidRPr="00880699">
              <w:rPr>
                <w:sz w:val="16"/>
                <w:szCs w:val="16"/>
              </w:rPr>
              <w:t>6</w:t>
            </w:r>
          </w:p>
        </w:tc>
        <w:tc>
          <w:tcPr>
            <w:tcW w:w="755" w:type="pct"/>
            <w:vAlign w:val="center"/>
          </w:tcPr>
          <w:p w14:paraId="4F866F25" w14:textId="77777777" w:rsidR="00DB5B02" w:rsidRPr="00880699" w:rsidRDefault="00DB5B02" w:rsidP="006461AA">
            <w:pPr>
              <w:jc w:val="center"/>
              <w:rPr>
                <w:sz w:val="16"/>
                <w:szCs w:val="16"/>
              </w:rPr>
            </w:pPr>
            <w:r w:rsidRPr="00880699">
              <w:rPr>
                <w:sz w:val="16"/>
                <w:szCs w:val="16"/>
              </w:rPr>
              <w:t>Rozhovor</w:t>
            </w:r>
          </w:p>
        </w:tc>
        <w:tc>
          <w:tcPr>
            <w:tcW w:w="868" w:type="pct"/>
            <w:vAlign w:val="center"/>
          </w:tcPr>
          <w:p w14:paraId="2D66F247" w14:textId="77777777" w:rsidR="00DB5B02" w:rsidRPr="00880699" w:rsidRDefault="00DB5B02" w:rsidP="00D85B0C">
            <w:pPr>
              <w:jc w:val="center"/>
              <w:rPr>
                <w:sz w:val="16"/>
                <w:szCs w:val="16"/>
              </w:rPr>
            </w:pPr>
            <w:r w:rsidRPr="00880699">
              <w:rPr>
                <w:sz w:val="16"/>
                <w:szCs w:val="16"/>
              </w:rPr>
              <w:t>MPO</w:t>
            </w:r>
          </w:p>
        </w:tc>
        <w:tc>
          <w:tcPr>
            <w:tcW w:w="2219" w:type="pct"/>
            <w:vAlign w:val="center"/>
          </w:tcPr>
          <w:p w14:paraId="61695C3E" w14:textId="0D9A99A8" w:rsidR="00DB5B02" w:rsidRPr="00880699" w:rsidRDefault="00DB5B02" w:rsidP="00D85B0C">
            <w:pPr>
              <w:rPr>
                <w:sz w:val="16"/>
                <w:szCs w:val="16"/>
              </w:rPr>
            </w:pPr>
            <w:r>
              <w:rPr>
                <w:sz w:val="16"/>
                <w:szCs w:val="16"/>
              </w:rPr>
              <w:t>61440 Oddělení PO4</w:t>
            </w:r>
          </w:p>
        </w:tc>
        <w:tc>
          <w:tcPr>
            <w:tcW w:w="969" w:type="pct"/>
            <w:vAlign w:val="center"/>
          </w:tcPr>
          <w:p w14:paraId="2204972F" w14:textId="77777777" w:rsidR="00DB5B02" w:rsidRPr="00880699" w:rsidRDefault="00DB5B02" w:rsidP="00D85B0C">
            <w:pPr>
              <w:jc w:val="center"/>
              <w:rPr>
                <w:sz w:val="16"/>
                <w:szCs w:val="16"/>
              </w:rPr>
            </w:pPr>
            <w:r w:rsidRPr="00880699">
              <w:rPr>
                <w:sz w:val="16"/>
                <w:szCs w:val="16"/>
              </w:rPr>
              <w:t>10. 1. 2020</w:t>
            </w:r>
          </w:p>
        </w:tc>
      </w:tr>
      <w:tr w:rsidR="00DB5B02" w:rsidRPr="00880699" w14:paraId="4912B684" w14:textId="77777777" w:rsidTr="00C02105">
        <w:tc>
          <w:tcPr>
            <w:tcW w:w="189" w:type="pct"/>
            <w:vAlign w:val="center"/>
          </w:tcPr>
          <w:p w14:paraId="236932F2" w14:textId="77777777" w:rsidR="00DB5B02" w:rsidRPr="00880699" w:rsidRDefault="00DB5B02" w:rsidP="00D85B0C">
            <w:pPr>
              <w:rPr>
                <w:sz w:val="16"/>
                <w:szCs w:val="16"/>
              </w:rPr>
            </w:pPr>
            <w:r w:rsidRPr="00880699">
              <w:rPr>
                <w:sz w:val="16"/>
                <w:szCs w:val="16"/>
              </w:rPr>
              <w:t>7</w:t>
            </w:r>
          </w:p>
        </w:tc>
        <w:tc>
          <w:tcPr>
            <w:tcW w:w="755" w:type="pct"/>
            <w:vAlign w:val="center"/>
          </w:tcPr>
          <w:p w14:paraId="15D437DF" w14:textId="77777777" w:rsidR="00DB5B02" w:rsidRPr="00880699" w:rsidRDefault="00DB5B02" w:rsidP="006461AA">
            <w:pPr>
              <w:jc w:val="center"/>
              <w:rPr>
                <w:sz w:val="16"/>
                <w:szCs w:val="16"/>
              </w:rPr>
            </w:pPr>
            <w:r w:rsidRPr="00880699">
              <w:rPr>
                <w:sz w:val="16"/>
                <w:szCs w:val="16"/>
              </w:rPr>
              <w:t>Rozhovor</w:t>
            </w:r>
          </w:p>
        </w:tc>
        <w:tc>
          <w:tcPr>
            <w:tcW w:w="868" w:type="pct"/>
            <w:vAlign w:val="center"/>
          </w:tcPr>
          <w:p w14:paraId="2E29AF97" w14:textId="77777777" w:rsidR="00DB5B02" w:rsidRPr="00880699" w:rsidRDefault="00DB5B02" w:rsidP="00D85B0C">
            <w:pPr>
              <w:jc w:val="center"/>
              <w:rPr>
                <w:sz w:val="16"/>
                <w:szCs w:val="16"/>
              </w:rPr>
            </w:pPr>
            <w:r w:rsidRPr="00880699">
              <w:rPr>
                <w:sz w:val="16"/>
                <w:szCs w:val="16"/>
              </w:rPr>
              <w:t>MPO</w:t>
            </w:r>
          </w:p>
        </w:tc>
        <w:tc>
          <w:tcPr>
            <w:tcW w:w="2219" w:type="pct"/>
            <w:vAlign w:val="center"/>
          </w:tcPr>
          <w:p w14:paraId="1041FF63" w14:textId="60CC7AE1" w:rsidR="00DB5B02" w:rsidRPr="00880699" w:rsidRDefault="00DB5B02" w:rsidP="00D85B0C">
            <w:pPr>
              <w:rPr>
                <w:sz w:val="16"/>
                <w:szCs w:val="16"/>
              </w:rPr>
            </w:pPr>
            <w:r>
              <w:rPr>
                <w:sz w:val="16"/>
                <w:szCs w:val="16"/>
              </w:rPr>
              <w:t xml:space="preserve">61240 </w:t>
            </w:r>
            <w:r w:rsidRPr="00880699">
              <w:rPr>
                <w:sz w:val="16"/>
                <w:szCs w:val="16"/>
              </w:rPr>
              <w:t>Oddělení infrastruktury VaV</w:t>
            </w:r>
          </w:p>
        </w:tc>
        <w:tc>
          <w:tcPr>
            <w:tcW w:w="969" w:type="pct"/>
            <w:vAlign w:val="center"/>
          </w:tcPr>
          <w:p w14:paraId="4EEF3009" w14:textId="77777777" w:rsidR="00DB5B02" w:rsidRPr="00880699" w:rsidRDefault="00DB5B02" w:rsidP="00D85B0C">
            <w:pPr>
              <w:jc w:val="center"/>
              <w:rPr>
                <w:sz w:val="16"/>
                <w:szCs w:val="16"/>
              </w:rPr>
            </w:pPr>
            <w:r w:rsidRPr="00880699">
              <w:rPr>
                <w:sz w:val="16"/>
                <w:szCs w:val="16"/>
              </w:rPr>
              <w:t>10. 1. 2020</w:t>
            </w:r>
          </w:p>
        </w:tc>
      </w:tr>
      <w:tr w:rsidR="00DB5B02" w:rsidRPr="00880699" w14:paraId="13A925CA" w14:textId="77777777" w:rsidTr="00C02105">
        <w:tc>
          <w:tcPr>
            <w:tcW w:w="189" w:type="pct"/>
            <w:vAlign w:val="center"/>
          </w:tcPr>
          <w:p w14:paraId="6DF0B959" w14:textId="77777777" w:rsidR="00DB5B02" w:rsidRPr="00880699" w:rsidRDefault="00DB5B02" w:rsidP="00D85B0C">
            <w:pPr>
              <w:rPr>
                <w:sz w:val="16"/>
                <w:szCs w:val="16"/>
              </w:rPr>
            </w:pPr>
            <w:r w:rsidRPr="00880699">
              <w:rPr>
                <w:sz w:val="16"/>
                <w:szCs w:val="16"/>
              </w:rPr>
              <w:t>8</w:t>
            </w:r>
          </w:p>
        </w:tc>
        <w:tc>
          <w:tcPr>
            <w:tcW w:w="755" w:type="pct"/>
            <w:vAlign w:val="center"/>
          </w:tcPr>
          <w:p w14:paraId="47036B8A" w14:textId="77777777" w:rsidR="00DB5B02" w:rsidRPr="00880699" w:rsidRDefault="00DB5B02" w:rsidP="006461AA">
            <w:pPr>
              <w:jc w:val="center"/>
              <w:rPr>
                <w:sz w:val="16"/>
                <w:szCs w:val="16"/>
              </w:rPr>
            </w:pPr>
            <w:r w:rsidRPr="00880699">
              <w:rPr>
                <w:sz w:val="16"/>
                <w:szCs w:val="16"/>
              </w:rPr>
              <w:t>Rozhovor</w:t>
            </w:r>
          </w:p>
        </w:tc>
        <w:tc>
          <w:tcPr>
            <w:tcW w:w="868" w:type="pct"/>
            <w:vMerge w:val="restart"/>
            <w:vAlign w:val="center"/>
          </w:tcPr>
          <w:p w14:paraId="0E65A121" w14:textId="77777777" w:rsidR="00DB5B02" w:rsidRPr="00880699" w:rsidRDefault="00DB5B02" w:rsidP="00D85B0C">
            <w:pPr>
              <w:jc w:val="center"/>
              <w:rPr>
                <w:sz w:val="16"/>
                <w:szCs w:val="16"/>
              </w:rPr>
            </w:pPr>
            <w:r w:rsidRPr="00880699">
              <w:rPr>
                <w:sz w:val="16"/>
                <w:szCs w:val="16"/>
              </w:rPr>
              <w:t>API</w:t>
            </w:r>
          </w:p>
        </w:tc>
        <w:tc>
          <w:tcPr>
            <w:tcW w:w="2219" w:type="pct"/>
            <w:vMerge w:val="restart"/>
            <w:vAlign w:val="center"/>
          </w:tcPr>
          <w:p w14:paraId="6BE336B1" w14:textId="77777777" w:rsidR="00DB5B02" w:rsidRPr="00880699" w:rsidRDefault="00DB5B02" w:rsidP="00D85B0C">
            <w:pPr>
              <w:rPr>
                <w:sz w:val="16"/>
                <w:szCs w:val="16"/>
              </w:rPr>
            </w:pPr>
            <w:r w:rsidRPr="00880699">
              <w:rPr>
                <w:sz w:val="16"/>
                <w:szCs w:val="16"/>
              </w:rPr>
              <w:t>Odbor podpory fondů EU</w:t>
            </w:r>
          </w:p>
        </w:tc>
        <w:tc>
          <w:tcPr>
            <w:tcW w:w="969" w:type="pct"/>
            <w:vMerge w:val="restart"/>
            <w:vAlign w:val="center"/>
          </w:tcPr>
          <w:p w14:paraId="06B61DFD" w14:textId="77777777" w:rsidR="00DB5B02" w:rsidRPr="00880699" w:rsidRDefault="00DB5B02" w:rsidP="00D85B0C">
            <w:pPr>
              <w:jc w:val="center"/>
              <w:rPr>
                <w:sz w:val="16"/>
                <w:szCs w:val="16"/>
              </w:rPr>
            </w:pPr>
            <w:r w:rsidRPr="00880699">
              <w:rPr>
                <w:sz w:val="16"/>
                <w:szCs w:val="16"/>
              </w:rPr>
              <w:t>13. 1. 2020</w:t>
            </w:r>
          </w:p>
        </w:tc>
      </w:tr>
      <w:tr w:rsidR="00DB5B02" w:rsidRPr="00880699" w14:paraId="5DAB7924" w14:textId="77777777" w:rsidTr="00C02105">
        <w:tc>
          <w:tcPr>
            <w:tcW w:w="189" w:type="pct"/>
            <w:vAlign w:val="center"/>
          </w:tcPr>
          <w:p w14:paraId="5B1B76AC" w14:textId="77777777" w:rsidR="00DB5B02" w:rsidRPr="00880699" w:rsidRDefault="00DB5B02" w:rsidP="00D85B0C">
            <w:pPr>
              <w:rPr>
                <w:sz w:val="16"/>
                <w:szCs w:val="16"/>
              </w:rPr>
            </w:pPr>
            <w:r w:rsidRPr="00880699">
              <w:rPr>
                <w:sz w:val="16"/>
                <w:szCs w:val="16"/>
              </w:rPr>
              <w:t>9</w:t>
            </w:r>
          </w:p>
        </w:tc>
        <w:tc>
          <w:tcPr>
            <w:tcW w:w="755" w:type="pct"/>
            <w:vAlign w:val="center"/>
          </w:tcPr>
          <w:p w14:paraId="47A4787B" w14:textId="77777777" w:rsidR="00DB5B02" w:rsidRPr="00880699" w:rsidRDefault="00DB5B02" w:rsidP="006461AA">
            <w:pPr>
              <w:jc w:val="center"/>
              <w:rPr>
                <w:sz w:val="16"/>
                <w:szCs w:val="16"/>
              </w:rPr>
            </w:pPr>
            <w:r w:rsidRPr="00880699">
              <w:rPr>
                <w:sz w:val="16"/>
                <w:szCs w:val="16"/>
              </w:rPr>
              <w:t>Rozhovor</w:t>
            </w:r>
          </w:p>
        </w:tc>
        <w:tc>
          <w:tcPr>
            <w:tcW w:w="868" w:type="pct"/>
            <w:vMerge/>
            <w:vAlign w:val="center"/>
          </w:tcPr>
          <w:p w14:paraId="4CB7BF92" w14:textId="77777777" w:rsidR="00DB5B02" w:rsidRPr="00880699" w:rsidRDefault="00DB5B02" w:rsidP="00D85B0C">
            <w:pPr>
              <w:jc w:val="center"/>
              <w:rPr>
                <w:sz w:val="16"/>
                <w:szCs w:val="16"/>
              </w:rPr>
            </w:pPr>
          </w:p>
        </w:tc>
        <w:tc>
          <w:tcPr>
            <w:tcW w:w="2219" w:type="pct"/>
            <w:vMerge/>
            <w:vAlign w:val="center"/>
          </w:tcPr>
          <w:p w14:paraId="403D1B68" w14:textId="77777777" w:rsidR="00DB5B02" w:rsidRPr="00880699" w:rsidRDefault="00DB5B02" w:rsidP="00D85B0C">
            <w:pPr>
              <w:rPr>
                <w:sz w:val="16"/>
                <w:szCs w:val="16"/>
              </w:rPr>
            </w:pPr>
          </w:p>
        </w:tc>
        <w:tc>
          <w:tcPr>
            <w:tcW w:w="969" w:type="pct"/>
            <w:vMerge/>
            <w:vAlign w:val="center"/>
          </w:tcPr>
          <w:p w14:paraId="035136AF" w14:textId="77777777" w:rsidR="00DB5B02" w:rsidRPr="00880699" w:rsidRDefault="00DB5B02" w:rsidP="00D85B0C">
            <w:pPr>
              <w:jc w:val="center"/>
              <w:rPr>
                <w:sz w:val="16"/>
                <w:szCs w:val="16"/>
              </w:rPr>
            </w:pPr>
          </w:p>
        </w:tc>
      </w:tr>
      <w:tr w:rsidR="00DB5B02" w:rsidRPr="00880699" w14:paraId="536B6421" w14:textId="77777777" w:rsidTr="00C02105">
        <w:tc>
          <w:tcPr>
            <w:tcW w:w="189" w:type="pct"/>
            <w:vAlign w:val="center"/>
          </w:tcPr>
          <w:p w14:paraId="1653424F" w14:textId="77777777" w:rsidR="00DB5B02" w:rsidRPr="00880699" w:rsidRDefault="00DB5B02" w:rsidP="00D85B0C">
            <w:pPr>
              <w:rPr>
                <w:sz w:val="16"/>
                <w:szCs w:val="16"/>
              </w:rPr>
            </w:pPr>
            <w:r w:rsidRPr="00880699">
              <w:rPr>
                <w:sz w:val="16"/>
                <w:szCs w:val="16"/>
              </w:rPr>
              <w:t>10</w:t>
            </w:r>
          </w:p>
        </w:tc>
        <w:tc>
          <w:tcPr>
            <w:tcW w:w="755" w:type="pct"/>
            <w:vAlign w:val="center"/>
          </w:tcPr>
          <w:p w14:paraId="13238E38" w14:textId="77777777" w:rsidR="00DB5B02" w:rsidRPr="00880699" w:rsidRDefault="00DB5B02" w:rsidP="006461AA">
            <w:pPr>
              <w:jc w:val="center"/>
              <w:rPr>
                <w:sz w:val="16"/>
                <w:szCs w:val="16"/>
              </w:rPr>
            </w:pPr>
            <w:r w:rsidRPr="00880699">
              <w:rPr>
                <w:sz w:val="16"/>
                <w:szCs w:val="16"/>
              </w:rPr>
              <w:t>Rozhovor</w:t>
            </w:r>
          </w:p>
        </w:tc>
        <w:tc>
          <w:tcPr>
            <w:tcW w:w="868" w:type="pct"/>
            <w:vAlign w:val="center"/>
          </w:tcPr>
          <w:p w14:paraId="4CBAFA8E" w14:textId="77777777" w:rsidR="00DB5B02" w:rsidRPr="00880699" w:rsidRDefault="00DB5B02" w:rsidP="00D85B0C">
            <w:pPr>
              <w:jc w:val="center"/>
              <w:rPr>
                <w:sz w:val="16"/>
                <w:szCs w:val="16"/>
              </w:rPr>
            </w:pPr>
            <w:r w:rsidRPr="00880699">
              <w:rPr>
                <w:sz w:val="16"/>
                <w:szCs w:val="16"/>
              </w:rPr>
              <w:t>MPO</w:t>
            </w:r>
          </w:p>
        </w:tc>
        <w:tc>
          <w:tcPr>
            <w:tcW w:w="2219" w:type="pct"/>
            <w:vAlign w:val="center"/>
          </w:tcPr>
          <w:p w14:paraId="3C2AF3A6" w14:textId="1E7DF8F8" w:rsidR="00DB5B02" w:rsidRPr="00880699" w:rsidRDefault="00DB5B02" w:rsidP="00D85B0C">
            <w:pPr>
              <w:tabs>
                <w:tab w:val="left" w:pos="1074"/>
              </w:tabs>
              <w:rPr>
                <w:sz w:val="16"/>
                <w:szCs w:val="16"/>
              </w:rPr>
            </w:pPr>
            <w:r>
              <w:rPr>
                <w:sz w:val="16"/>
                <w:szCs w:val="16"/>
              </w:rPr>
              <w:t xml:space="preserve">61400 </w:t>
            </w:r>
            <w:r w:rsidRPr="00880699">
              <w:rPr>
                <w:sz w:val="16"/>
                <w:szCs w:val="16"/>
              </w:rPr>
              <w:t>Odbor PO2, PO3, PO4</w:t>
            </w:r>
          </w:p>
        </w:tc>
        <w:tc>
          <w:tcPr>
            <w:tcW w:w="969" w:type="pct"/>
            <w:vAlign w:val="center"/>
          </w:tcPr>
          <w:p w14:paraId="56D20DE1" w14:textId="77777777" w:rsidR="00DB5B02" w:rsidRPr="00880699" w:rsidRDefault="00DB5B02" w:rsidP="00D85B0C">
            <w:pPr>
              <w:jc w:val="center"/>
              <w:rPr>
                <w:sz w:val="16"/>
                <w:szCs w:val="16"/>
              </w:rPr>
            </w:pPr>
            <w:r w:rsidRPr="00880699">
              <w:rPr>
                <w:sz w:val="16"/>
                <w:szCs w:val="16"/>
              </w:rPr>
              <w:t>13. 1. 2020</w:t>
            </w:r>
          </w:p>
        </w:tc>
      </w:tr>
      <w:tr w:rsidR="00DB5B02" w:rsidRPr="00880699" w14:paraId="4AEE9E87" w14:textId="77777777" w:rsidTr="00C02105">
        <w:tc>
          <w:tcPr>
            <w:tcW w:w="189" w:type="pct"/>
            <w:vAlign w:val="center"/>
          </w:tcPr>
          <w:p w14:paraId="59ED1556" w14:textId="77777777" w:rsidR="00DB5B02" w:rsidRPr="00880699" w:rsidRDefault="00DB5B02" w:rsidP="00D85B0C">
            <w:pPr>
              <w:rPr>
                <w:sz w:val="16"/>
                <w:szCs w:val="16"/>
              </w:rPr>
            </w:pPr>
            <w:r w:rsidRPr="00880699">
              <w:rPr>
                <w:sz w:val="16"/>
                <w:szCs w:val="16"/>
              </w:rPr>
              <w:t>11</w:t>
            </w:r>
          </w:p>
        </w:tc>
        <w:tc>
          <w:tcPr>
            <w:tcW w:w="755" w:type="pct"/>
            <w:vAlign w:val="center"/>
          </w:tcPr>
          <w:p w14:paraId="77586BCA" w14:textId="77777777" w:rsidR="00DB5B02" w:rsidRPr="00880699" w:rsidRDefault="00DB5B02" w:rsidP="006461AA">
            <w:pPr>
              <w:jc w:val="center"/>
              <w:rPr>
                <w:sz w:val="16"/>
                <w:szCs w:val="16"/>
              </w:rPr>
            </w:pPr>
            <w:r w:rsidRPr="00880699">
              <w:rPr>
                <w:sz w:val="16"/>
                <w:szCs w:val="16"/>
              </w:rPr>
              <w:t>Rozhovor</w:t>
            </w:r>
          </w:p>
        </w:tc>
        <w:tc>
          <w:tcPr>
            <w:tcW w:w="868" w:type="pct"/>
            <w:vMerge w:val="restart"/>
            <w:vAlign w:val="center"/>
          </w:tcPr>
          <w:p w14:paraId="36AC9E6E" w14:textId="77777777" w:rsidR="00DB5B02" w:rsidRPr="00880699" w:rsidRDefault="00DB5B02" w:rsidP="00D85B0C">
            <w:pPr>
              <w:jc w:val="center"/>
              <w:rPr>
                <w:sz w:val="16"/>
                <w:szCs w:val="16"/>
              </w:rPr>
            </w:pPr>
            <w:r w:rsidRPr="00880699">
              <w:rPr>
                <w:sz w:val="16"/>
                <w:szCs w:val="16"/>
              </w:rPr>
              <w:t>API</w:t>
            </w:r>
          </w:p>
        </w:tc>
        <w:tc>
          <w:tcPr>
            <w:tcW w:w="2219" w:type="pct"/>
            <w:vMerge w:val="restart"/>
            <w:vAlign w:val="center"/>
          </w:tcPr>
          <w:p w14:paraId="1746AEFD" w14:textId="77777777" w:rsidR="00DB5B02" w:rsidRPr="00880699" w:rsidRDefault="00DB5B02" w:rsidP="00D85B0C">
            <w:pPr>
              <w:rPr>
                <w:sz w:val="16"/>
                <w:szCs w:val="16"/>
              </w:rPr>
            </w:pPr>
            <w:r w:rsidRPr="00880699">
              <w:rPr>
                <w:sz w:val="16"/>
                <w:szCs w:val="16"/>
              </w:rPr>
              <w:t>Sekce řízení a podpory fondů EU</w:t>
            </w:r>
          </w:p>
        </w:tc>
        <w:tc>
          <w:tcPr>
            <w:tcW w:w="969" w:type="pct"/>
            <w:vMerge w:val="restart"/>
            <w:vAlign w:val="center"/>
          </w:tcPr>
          <w:p w14:paraId="0DB3EF43" w14:textId="77777777" w:rsidR="00DB5B02" w:rsidRPr="00880699" w:rsidRDefault="00DB5B02" w:rsidP="00D85B0C">
            <w:pPr>
              <w:jc w:val="center"/>
              <w:rPr>
                <w:sz w:val="16"/>
                <w:szCs w:val="16"/>
              </w:rPr>
            </w:pPr>
            <w:r w:rsidRPr="00880699">
              <w:rPr>
                <w:sz w:val="16"/>
                <w:szCs w:val="16"/>
              </w:rPr>
              <w:t>14. 1. 2020</w:t>
            </w:r>
          </w:p>
        </w:tc>
      </w:tr>
      <w:tr w:rsidR="00DB5B02" w:rsidRPr="00880699" w14:paraId="27E72A7B" w14:textId="77777777" w:rsidTr="00C02105">
        <w:tc>
          <w:tcPr>
            <w:tcW w:w="189" w:type="pct"/>
            <w:vAlign w:val="center"/>
          </w:tcPr>
          <w:p w14:paraId="3F447BEE" w14:textId="77777777" w:rsidR="00DB5B02" w:rsidRPr="00880699" w:rsidRDefault="00DB5B02" w:rsidP="00D85B0C">
            <w:pPr>
              <w:rPr>
                <w:sz w:val="16"/>
                <w:szCs w:val="16"/>
              </w:rPr>
            </w:pPr>
            <w:r w:rsidRPr="00880699">
              <w:rPr>
                <w:sz w:val="16"/>
                <w:szCs w:val="16"/>
              </w:rPr>
              <w:t>12</w:t>
            </w:r>
          </w:p>
        </w:tc>
        <w:tc>
          <w:tcPr>
            <w:tcW w:w="755" w:type="pct"/>
            <w:vAlign w:val="center"/>
          </w:tcPr>
          <w:p w14:paraId="41533FF7" w14:textId="77777777" w:rsidR="00DB5B02" w:rsidRPr="00880699" w:rsidRDefault="00DB5B02" w:rsidP="006461AA">
            <w:pPr>
              <w:jc w:val="center"/>
              <w:rPr>
                <w:sz w:val="16"/>
                <w:szCs w:val="16"/>
              </w:rPr>
            </w:pPr>
            <w:r w:rsidRPr="00880699">
              <w:rPr>
                <w:sz w:val="16"/>
                <w:szCs w:val="16"/>
              </w:rPr>
              <w:t>Rozhovor</w:t>
            </w:r>
          </w:p>
        </w:tc>
        <w:tc>
          <w:tcPr>
            <w:tcW w:w="868" w:type="pct"/>
            <w:vMerge/>
            <w:vAlign w:val="center"/>
          </w:tcPr>
          <w:p w14:paraId="20F694DB" w14:textId="77777777" w:rsidR="00DB5B02" w:rsidRPr="00880699" w:rsidRDefault="00DB5B02" w:rsidP="00D85B0C">
            <w:pPr>
              <w:jc w:val="center"/>
              <w:rPr>
                <w:sz w:val="16"/>
                <w:szCs w:val="16"/>
              </w:rPr>
            </w:pPr>
          </w:p>
        </w:tc>
        <w:tc>
          <w:tcPr>
            <w:tcW w:w="2219" w:type="pct"/>
            <w:vMerge/>
            <w:vAlign w:val="center"/>
          </w:tcPr>
          <w:p w14:paraId="2EB9565F" w14:textId="77777777" w:rsidR="00DB5B02" w:rsidRPr="00880699" w:rsidRDefault="00DB5B02" w:rsidP="00D85B0C">
            <w:pPr>
              <w:rPr>
                <w:sz w:val="16"/>
                <w:szCs w:val="16"/>
              </w:rPr>
            </w:pPr>
          </w:p>
        </w:tc>
        <w:tc>
          <w:tcPr>
            <w:tcW w:w="969" w:type="pct"/>
            <w:vMerge/>
            <w:vAlign w:val="center"/>
          </w:tcPr>
          <w:p w14:paraId="173358ED" w14:textId="77777777" w:rsidR="00DB5B02" w:rsidRPr="00880699" w:rsidRDefault="00DB5B02" w:rsidP="00D85B0C">
            <w:pPr>
              <w:jc w:val="center"/>
              <w:rPr>
                <w:sz w:val="16"/>
                <w:szCs w:val="16"/>
              </w:rPr>
            </w:pPr>
          </w:p>
        </w:tc>
      </w:tr>
      <w:tr w:rsidR="00DB5B02" w:rsidRPr="00880699" w14:paraId="4A34CC75" w14:textId="77777777" w:rsidTr="00C02105">
        <w:tc>
          <w:tcPr>
            <w:tcW w:w="189" w:type="pct"/>
            <w:vAlign w:val="center"/>
          </w:tcPr>
          <w:p w14:paraId="6A5574DE" w14:textId="77777777" w:rsidR="00DB5B02" w:rsidRPr="00880699" w:rsidRDefault="00DB5B02" w:rsidP="00D85B0C">
            <w:pPr>
              <w:rPr>
                <w:sz w:val="16"/>
                <w:szCs w:val="16"/>
              </w:rPr>
            </w:pPr>
            <w:r w:rsidRPr="00880699">
              <w:rPr>
                <w:sz w:val="16"/>
                <w:szCs w:val="16"/>
              </w:rPr>
              <w:t>13</w:t>
            </w:r>
          </w:p>
        </w:tc>
        <w:tc>
          <w:tcPr>
            <w:tcW w:w="755" w:type="pct"/>
            <w:vAlign w:val="center"/>
          </w:tcPr>
          <w:p w14:paraId="6B714DB9" w14:textId="77777777" w:rsidR="00DB5B02" w:rsidRPr="00880699" w:rsidRDefault="00DB5B02" w:rsidP="006461AA">
            <w:pPr>
              <w:jc w:val="center"/>
              <w:rPr>
                <w:sz w:val="16"/>
                <w:szCs w:val="16"/>
              </w:rPr>
            </w:pPr>
            <w:r w:rsidRPr="00880699">
              <w:rPr>
                <w:sz w:val="16"/>
                <w:szCs w:val="16"/>
              </w:rPr>
              <w:t>Rozhovor</w:t>
            </w:r>
          </w:p>
        </w:tc>
        <w:tc>
          <w:tcPr>
            <w:tcW w:w="868" w:type="pct"/>
            <w:vMerge/>
            <w:vAlign w:val="center"/>
          </w:tcPr>
          <w:p w14:paraId="795D159D" w14:textId="77777777" w:rsidR="00DB5B02" w:rsidRPr="00880699" w:rsidRDefault="00DB5B02" w:rsidP="00D85B0C">
            <w:pPr>
              <w:jc w:val="center"/>
              <w:rPr>
                <w:sz w:val="16"/>
                <w:szCs w:val="16"/>
              </w:rPr>
            </w:pPr>
          </w:p>
        </w:tc>
        <w:tc>
          <w:tcPr>
            <w:tcW w:w="2219" w:type="pct"/>
            <w:vMerge/>
            <w:vAlign w:val="center"/>
          </w:tcPr>
          <w:p w14:paraId="03132E89" w14:textId="77777777" w:rsidR="00DB5B02" w:rsidRPr="00880699" w:rsidRDefault="00DB5B02" w:rsidP="00D85B0C">
            <w:pPr>
              <w:rPr>
                <w:sz w:val="16"/>
                <w:szCs w:val="16"/>
              </w:rPr>
            </w:pPr>
          </w:p>
        </w:tc>
        <w:tc>
          <w:tcPr>
            <w:tcW w:w="969" w:type="pct"/>
            <w:vMerge/>
            <w:vAlign w:val="center"/>
          </w:tcPr>
          <w:p w14:paraId="11ECF30C" w14:textId="77777777" w:rsidR="00DB5B02" w:rsidRPr="00880699" w:rsidRDefault="00DB5B02" w:rsidP="00D85B0C">
            <w:pPr>
              <w:jc w:val="center"/>
              <w:rPr>
                <w:sz w:val="16"/>
                <w:szCs w:val="16"/>
              </w:rPr>
            </w:pPr>
          </w:p>
        </w:tc>
      </w:tr>
      <w:tr w:rsidR="00DB5B02" w:rsidRPr="00880699" w14:paraId="021A9FB1" w14:textId="77777777" w:rsidTr="00C02105">
        <w:tc>
          <w:tcPr>
            <w:tcW w:w="189" w:type="pct"/>
            <w:vAlign w:val="center"/>
          </w:tcPr>
          <w:p w14:paraId="66947EB7" w14:textId="77777777" w:rsidR="00DB5B02" w:rsidRPr="00880699" w:rsidRDefault="00DB5B02" w:rsidP="00D85B0C">
            <w:pPr>
              <w:rPr>
                <w:sz w:val="16"/>
                <w:szCs w:val="16"/>
              </w:rPr>
            </w:pPr>
            <w:r w:rsidRPr="00880699">
              <w:rPr>
                <w:sz w:val="16"/>
                <w:szCs w:val="16"/>
              </w:rPr>
              <w:t>14</w:t>
            </w:r>
          </w:p>
        </w:tc>
        <w:tc>
          <w:tcPr>
            <w:tcW w:w="755" w:type="pct"/>
            <w:vAlign w:val="center"/>
          </w:tcPr>
          <w:p w14:paraId="69CE26FE" w14:textId="77777777" w:rsidR="00DB5B02" w:rsidRPr="00880699" w:rsidRDefault="00DB5B02" w:rsidP="006461AA">
            <w:pPr>
              <w:jc w:val="center"/>
              <w:rPr>
                <w:sz w:val="16"/>
                <w:szCs w:val="16"/>
              </w:rPr>
            </w:pPr>
            <w:r w:rsidRPr="00880699">
              <w:rPr>
                <w:sz w:val="16"/>
                <w:szCs w:val="16"/>
              </w:rPr>
              <w:t>Rozhovor</w:t>
            </w:r>
          </w:p>
        </w:tc>
        <w:tc>
          <w:tcPr>
            <w:tcW w:w="868" w:type="pct"/>
            <w:vMerge w:val="restart"/>
            <w:vAlign w:val="center"/>
          </w:tcPr>
          <w:p w14:paraId="2CCE0456" w14:textId="77777777" w:rsidR="00DB5B02" w:rsidRPr="00880699" w:rsidRDefault="00DB5B02" w:rsidP="00D85B0C">
            <w:pPr>
              <w:jc w:val="center"/>
              <w:rPr>
                <w:sz w:val="16"/>
                <w:szCs w:val="16"/>
              </w:rPr>
            </w:pPr>
            <w:r w:rsidRPr="00880699">
              <w:rPr>
                <w:sz w:val="16"/>
                <w:szCs w:val="16"/>
              </w:rPr>
              <w:t>API</w:t>
            </w:r>
          </w:p>
        </w:tc>
        <w:tc>
          <w:tcPr>
            <w:tcW w:w="2219" w:type="pct"/>
            <w:vAlign w:val="center"/>
          </w:tcPr>
          <w:p w14:paraId="76891162" w14:textId="77777777" w:rsidR="00DB5B02" w:rsidRPr="00880699" w:rsidRDefault="00DB5B02" w:rsidP="00D85B0C">
            <w:pPr>
              <w:rPr>
                <w:sz w:val="16"/>
                <w:szCs w:val="16"/>
              </w:rPr>
            </w:pPr>
            <w:r w:rsidRPr="00880699">
              <w:rPr>
                <w:sz w:val="16"/>
                <w:szCs w:val="16"/>
              </w:rPr>
              <w:t>Odbor výzkumu, vývoje a inovací</w:t>
            </w:r>
          </w:p>
        </w:tc>
        <w:tc>
          <w:tcPr>
            <w:tcW w:w="969" w:type="pct"/>
            <w:vMerge w:val="restart"/>
            <w:vAlign w:val="center"/>
          </w:tcPr>
          <w:p w14:paraId="036CDB02" w14:textId="77777777" w:rsidR="00DB5B02" w:rsidRPr="00880699" w:rsidRDefault="00DB5B02" w:rsidP="00D85B0C">
            <w:pPr>
              <w:jc w:val="center"/>
              <w:rPr>
                <w:sz w:val="16"/>
                <w:szCs w:val="16"/>
              </w:rPr>
            </w:pPr>
            <w:r w:rsidRPr="00880699">
              <w:rPr>
                <w:sz w:val="16"/>
                <w:szCs w:val="16"/>
              </w:rPr>
              <w:t>14. 1. 2020</w:t>
            </w:r>
          </w:p>
        </w:tc>
      </w:tr>
      <w:tr w:rsidR="00DB5B02" w:rsidRPr="00880699" w14:paraId="7736ADD0" w14:textId="77777777" w:rsidTr="00C02105">
        <w:tc>
          <w:tcPr>
            <w:tcW w:w="189" w:type="pct"/>
            <w:vAlign w:val="center"/>
          </w:tcPr>
          <w:p w14:paraId="526CF31C" w14:textId="77777777" w:rsidR="00DB5B02" w:rsidRPr="00880699" w:rsidRDefault="00DB5B02" w:rsidP="00D85B0C">
            <w:pPr>
              <w:rPr>
                <w:sz w:val="16"/>
                <w:szCs w:val="16"/>
              </w:rPr>
            </w:pPr>
            <w:r w:rsidRPr="00880699">
              <w:rPr>
                <w:sz w:val="16"/>
                <w:szCs w:val="16"/>
              </w:rPr>
              <w:t>15</w:t>
            </w:r>
          </w:p>
        </w:tc>
        <w:tc>
          <w:tcPr>
            <w:tcW w:w="755" w:type="pct"/>
            <w:vAlign w:val="center"/>
          </w:tcPr>
          <w:p w14:paraId="38B760A7" w14:textId="77777777" w:rsidR="00DB5B02" w:rsidRPr="00880699" w:rsidRDefault="00DB5B02" w:rsidP="006461AA">
            <w:pPr>
              <w:jc w:val="center"/>
              <w:rPr>
                <w:sz w:val="16"/>
                <w:szCs w:val="16"/>
              </w:rPr>
            </w:pPr>
            <w:r w:rsidRPr="00880699">
              <w:rPr>
                <w:sz w:val="16"/>
                <w:szCs w:val="16"/>
              </w:rPr>
              <w:t>Rozhovor</w:t>
            </w:r>
          </w:p>
        </w:tc>
        <w:tc>
          <w:tcPr>
            <w:tcW w:w="868" w:type="pct"/>
            <w:vMerge/>
            <w:vAlign w:val="center"/>
          </w:tcPr>
          <w:p w14:paraId="1DCCB1A1" w14:textId="77777777" w:rsidR="00DB5B02" w:rsidRPr="00880699" w:rsidRDefault="00DB5B02" w:rsidP="00D85B0C">
            <w:pPr>
              <w:jc w:val="center"/>
              <w:rPr>
                <w:sz w:val="16"/>
                <w:szCs w:val="16"/>
              </w:rPr>
            </w:pPr>
          </w:p>
        </w:tc>
        <w:tc>
          <w:tcPr>
            <w:tcW w:w="2219" w:type="pct"/>
            <w:vAlign w:val="center"/>
          </w:tcPr>
          <w:p w14:paraId="50C73425" w14:textId="77777777" w:rsidR="00DB5B02" w:rsidRPr="00880699" w:rsidRDefault="00DB5B02" w:rsidP="00D85B0C">
            <w:pPr>
              <w:rPr>
                <w:sz w:val="16"/>
                <w:szCs w:val="16"/>
              </w:rPr>
            </w:pPr>
            <w:r w:rsidRPr="00880699">
              <w:rPr>
                <w:sz w:val="16"/>
                <w:szCs w:val="16"/>
              </w:rPr>
              <w:t>Odbor inovační infrastruktury</w:t>
            </w:r>
          </w:p>
        </w:tc>
        <w:tc>
          <w:tcPr>
            <w:tcW w:w="969" w:type="pct"/>
            <w:vMerge/>
            <w:vAlign w:val="center"/>
          </w:tcPr>
          <w:p w14:paraId="0528544C" w14:textId="77777777" w:rsidR="00DB5B02" w:rsidRPr="00880699" w:rsidRDefault="00DB5B02" w:rsidP="00D85B0C">
            <w:pPr>
              <w:jc w:val="center"/>
              <w:rPr>
                <w:sz w:val="16"/>
                <w:szCs w:val="16"/>
              </w:rPr>
            </w:pPr>
          </w:p>
        </w:tc>
      </w:tr>
      <w:tr w:rsidR="00DB5B02" w:rsidRPr="00880699" w14:paraId="59958EFC" w14:textId="77777777" w:rsidTr="00C02105">
        <w:tc>
          <w:tcPr>
            <w:tcW w:w="189" w:type="pct"/>
            <w:vAlign w:val="center"/>
          </w:tcPr>
          <w:p w14:paraId="07B70C56" w14:textId="77777777" w:rsidR="00DB5B02" w:rsidRPr="00880699" w:rsidRDefault="00DB5B02" w:rsidP="00D85B0C">
            <w:pPr>
              <w:rPr>
                <w:sz w:val="16"/>
                <w:szCs w:val="16"/>
              </w:rPr>
            </w:pPr>
            <w:r w:rsidRPr="00880699">
              <w:rPr>
                <w:bCs/>
                <w:sz w:val="16"/>
                <w:szCs w:val="16"/>
                <w:lang w:eastAsia="cs-CZ"/>
              </w:rPr>
              <w:t>16</w:t>
            </w:r>
          </w:p>
        </w:tc>
        <w:tc>
          <w:tcPr>
            <w:tcW w:w="755" w:type="pct"/>
            <w:vAlign w:val="center"/>
          </w:tcPr>
          <w:p w14:paraId="1460F7D1" w14:textId="77777777" w:rsidR="00DB5B02" w:rsidRPr="00880699" w:rsidRDefault="00DB5B02" w:rsidP="006461AA">
            <w:pPr>
              <w:jc w:val="center"/>
              <w:rPr>
                <w:sz w:val="16"/>
                <w:szCs w:val="16"/>
              </w:rPr>
            </w:pPr>
            <w:r w:rsidRPr="00880699">
              <w:rPr>
                <w:sz w:val="16"/>
                <w:szCs w:val="16"/>
              </w:rPr>
              <w:t>Rozhovor</w:t>
            </w:r>
          </w:p>
        </w:tc>
        <w:tc>
          <w:tcPr>
            <w:tcW w:w="868" w:type="pct"/>
            <w:vMerge/>
            <w:vAlign w:val="center"/>
          </w:tcPr>
          <w:p w14:paraId="632117E8" w14:textId="77777777" w:rsidR="00DB5B02" w:rsidRPr="00880699" w:rsidRDefault="00DB5B02" w:rsidP="00D85B0C">
            <w:pPr>
              <w:jc w:val="center"/>
              <w:rPr>
                <w:sz w:val="16"/>
                <w:szCs w:val="16"/>
              </w:rPr>
            </w:pPr>
          </w:p>
        </w:tc>
        <w:tc>
          <w:tcPr>
            <w:tcW w:w="2219" w:type="pct"/>
            <w:vAlign w:val="center"/>
          </w:tcPr>
          <w:p w14:paraId="079F06FC" w14:textId="77777777" w:rsidR="00DB5B02" w:rsidRPr="00880699" w:rsidRDefault="00DB5B02" w:rsidP="00D85B0C">
            <w:pPr>
              <w:rPr>
                <w:sz w:val="16"/>
                <w:szCs w:val="16"/>
              </w:rPr>
            </w:pPr>
            <w:r w:rsidRPr="00880699">
              <w:rPr>
                <w:sz w:val="16"/>
                <w:szCs w:val="16"/>
              </w:rPr>
              <w:t>Odbor ICT programů a podpory MSP</w:t>
            </w:r>
          </w:p>
        </w:tc>
        <w:tc>
          <w:tcPr>
            <w:tcW w:w="969" w:type="pct"/>
            <w:vMerge/>
            <w:vAlign w:val="center"/>
          </w:tcPr>
          <w:p w14:paraId="7ADBB401" w14:textId="77777777" w:rsidR="00DB5B02" w:rsidRPr="00880699" w:rsidRDefault="00DB5B02" w:rsidP="00D85B0C">
            <w:pPr>
              <w:jc w:val="center"/>
              <w:rPr>
                <w:sz w:val="16"/>
                <w:szCs w:val="16"/>
              </w:rPr>
            </w:pPr>
          </w:p>
        </w:tc>
      </w:tr>
      <w:tr w:rsidR="00DB5B02" w:rsidRPr="00880699" w14:paraId="1D3DA513" w14:textId="77777777" w:rsidTr="00C02105">
        <w:tc>
          <w:tcPr>
            <w:tcW w:w="189" w:type="pct"/>
            <w:vAlign w:val="center"/>
          </w:tcPr>
          <w:p w14:paraId="599B46DE" w14:textId="77777777" w:rsidR="00DB5B02" w:rsidRPr="00880699" w:rsidRDefault="00DB5B02" w:rsidP="00D85B0C">
            <w:pPr>
              <w:rPr>
                <w:bCs/>
                <w:sz w:val="16"/>
                <w:szCs w:val="16"/>
                <w:lang w:eastAsia="cs-CZ"/>
              </w:rPr>
            </w:pPr>
            <w:r w:rsidRPr="00880699">
              <w:rPr>
                <w:sz w:val="16"/>
                <w:szCs w:val="16"/>
              </w:rPr>
              <w:t>17</w:t>
            </w:r>
          </w:p>
        </w:tc>
        <w:tc>
          <w:tcPr>
            <w:tcW w:w="755" w:type="pct"/>
            <w:vAlign w:val="center"/>
          </w:tcPr>
          <w:p w14:paraId="34FA8D03" w14:textId="77777777" w:rsidR="00DB5B02" w:rsidRPr="00880699" w:rsidRDefault="00DB5B02" w:rsidP="006461AA">
            <w:pPr>
              <w:jc w:val="center"/>
              <w:rPr>
                <w:bCs/>
                <w:sz w:val="16"/>
                <w:szCs w:val="16"/>
                <w:lang w:eastAsia="cs-CZ"/>
              </w:rPr>
            </w:pPr>
            <w:r w:rsidRPr="00880699">
              <w:rPr>
                <w:sz w:val="16"/>
                <w:szCs w:val="16"/>
              </w:rPr>
              <w:t>Rozhovor</w:t>
            </w:r>
          </w:p>
        </w:tc>
        <w:tc>
          <w:tcPr>
            <w:tcW w:w="868" w:type="pct"/>
            <w:vMerge/>
            <w:vAlign w:val="center"/>
          </w:tcPr>
          <w:p w14:paraId="2E750941" w14:textId="77777777" w:rsidR="00DB5B02" w:rsidRPr="00880699" w:rsidRDefault="00DB5B02" w:rsidP="00D85B0C">
            <w:pPr>
              <w:jc w:val="center"/>
              <w:rPr>
                <w:sz w:val="16"/>
                <w:szCs w:val="16"/>
              </w:rPr>
            </w:pPr>
          </w:p>
        </w:tc>
        <w:tc>
          <w:tcPr>
            <w:tcW w:w="2219" w:type="pct"/>
            <w:vAlign w:val="center"/>
          </w:tcPr>
          <w:p w14:paraId="5AF0D376" w14:textId="77777777" w:rsidR="00DB5B02" w:rsidRPr="00880699" w:rsidRDefault="00DB5B02" w:rsidP="00D85B0C">
            <w:pPr>
              <w:rPr>
                <w:sz w:val="16"/>
                <w:szCs w:val="16"/>
              </w:rPr>
            </w:pPr>
            <w:r w:rsidRPr="00880699">
              <w:rPr>
                <w:sz w:val="16"/>
                <w:szCs w:val="16"/>
              </w:rPr>
              <w:t>Odbor energetických programů a podnikatelských nemovitostí</w:t>
            </w:r>
          </w:p>
        </w:tc>
        <w:tc>
          <w:tcPr>
            <w:tcW w:w="969" w:type="pct"/>
            <w:vMerge/>
            <w:vAlign w:val="center"/>
          </w:tcPr>
          <w:p w14:paraId="63ED2F54" w14:textId="77777777" w:rsidR="00DB5B02" w:rsidRPr="00880699" w:rsidRDefault="00DB5B02" w:rsidP="00D85B0C">
            <w:pPr>
              <w:jc w:val="center"/>
              <w:rPr>
                <w:sz w:val="16"/>
                <w:szCs w:val="16"/>
              </w:rPr>
            </w:pPr>
          </w:p>
        </w:tc>
      </w:tr>
      <w:tr w:rsidR="00DB5B02" w:rsidRPr="00880699" w14:paraId="6D930044" w14:textId="77777777" w:rsidTr="00C02105">
        <w:tc>
          <w:tcPr>
            <w:tcW w:w="189" w:type="pct"/>
            <w:vAlign w:val="center"/>
          </w:tcPr>
          <w:p w14:paraId="60F29188" w14:textId="77777777" w:rsidR="00DB5B02" w:rsidRPr="00880699" w:rsidRDefault="00DB5B02" w:rsidP="00D85B0C">
            <w:pPr>
              <w:rPr>
                <w:sz w:val="16"/>
                <w:szCs w:val="16"/>
              </w:rPr>
            </w:pPr>
            <w:r w:rsidRPr="00880699">
              <w:rPr>
                <w:sz w:val="16"/>
                <w:szCs w:val="16"/>
              </w:rPr>
              <w:t>18</w:t>
            </w:r>
          </w:p>
        </w:tc>
        <w:tc>
          <w:tcPr>
            <w:tcW w:w="755" w:type="pct"/>
            <w:vAlign w:val="center"/>
          </w:tcPr>
          <w:p w14:paraId="54C6011F" w14:textId="77777777" w:rsidR="00DB5B02" w:rsidRPr="00880699" w:rsidRDefault="00DB5B02" w:rsidP="006461AA">
            <w:pPr>
              <w:jc w:val="center"/>
              <w:rPr>
                <w:sz w:val="16"/>
                <w:szCs w:val="16"/>
              </w:rPr>
            </w:pPr>
            <w:r w:rsidRPr="00880699">
              <w:rPr>
                <w:sz w:val="16"/>
                <w:szCs w:val="16"/>
              </w:rPr>
              <w:t>Rozhovor</w:t>
            </w:r>
          </w:p>
        </w:tc>
        <w:tc>
          <w:tcPr>
            <w:tcW w:w="868" w:type="pct"/>
            <w:vAlign w:val="center"/>
          </w:tcPr>
          <w:p w14:paraId="0700BD0B" w14:textId="77777777" w:rsidR="00DB5B02" w:rsidRPr="00880699" w:rsidRDefault="00DB5B02" w:rsidP="00D85B0C">
            <w:pPr>
              <w:jc w:val="center"/>
              <w:rPr>
                <w:sz w:val="16"/>
                <w:szCs w:val="16"/>
              </w:rPr>
            </w:pPr>
            <w:r w:rsidRPr="00880699">
              <w:rPr>
                <w:sz w:val="16"/>
                <w:szCs w:val="16"/>
              </w:rPr>
              <w:t>ČMZRB</w:t>
            </w:r>
          </w:p>
        </w:tc>
        <w:tc>
          <w:tcPr>
            <w:tcW w:w="2219" w:type="pct"/>
            <w:vAlign w:val="center"/>
          </w:tcPr>
          <w:p w14:paraId="42610026" w14:textId="77777777" w:rsidR="00DB5B02" w:rsidRPr="00880699" w:rsidRDefault="00DB5B02" w:rsidP="00D85B0C">
            <w:pPr>
              <w:rPr>
                <w:sz w:val="16"/>
                <w:szCs w:val="16"/>
              </w:rPr>
            </w:pPr>
            <w:r w:rsidRPr="00880699">
              <w:rPr>
                <w:sz w:val="16"/>
                <w:szCs w:val="16"/>
              </w:rPr>
              <w:t>Metodické oddělení</w:t>
            </w:r>
          </w:p>
        </w:tc>
        <w:tc>
          <w:tcPr>
            <w:tcW w:w="969" w:type="pct"/>
            <w:vAlign w:val="center"/>
          </w:tcPr>
          <w:p w14:paraId="1E4F91A4" w14:textId="2CD7E95F" w:rsidR="00DB5B02" w:rsidRPr="00880699" w:rsidRDefault="00DB5B02" w:rsidP="00D85B0C">
            <w:pPr>
              <w:jc w:val="center"/>
              <w:rPr>
                <w:sz w:val="16"/>
                <w:szCs w:val="16"/>
              </w:rPr>
            </w:pPr>
            <w:r>
              <w:rPr>
                <w:sz w:val="16"/>
                <w:szCs w:val="16"/>
              </w:rPr>
              <w:t>14. 1. 2020</w:t>
            </w:r>
          </w:p>
        </w:tc>
      </w:tr>
      <w:tr w:rsidR="00DB5B02" w:rsidRPr="00880699" w14:paraId="08AFE1EE" w14:textId="77777777" w:rsidTr="00C02105">
        <w:tc>
          <w:tcPr>
            <w:tcW w:w="189" w:type="pct"/>
            <w:vAlign w:val="center"/>
          </w:tcPr>
          <w:p w14:paraId="3B7E19AE" w14:textId="77777777" w:rsidR="00DB5B02" w:rsidRPr="00880699" w:rsidRDefault="00DB5B02" w:rsidP="00D85B0C">
            <w:pPr>
              <w:rPr>
                <w:sz w:val="16"/>
                <w:szCs w:val="16"/>
              </w:rPr>
            </w:pPr>
            <w:r w:rsidRPr="00880699">
              <w:rPr>
                <w:sz w:val="16"/>
                <w:szCs w:val="16"/>
              </w:rPr>
              <w:t>19</w:t>
            </w:r>
          </w:p>
        </w:tc>
        <w:tc>
          <w:tcPr>
            <w:tcW w:w="755" w:type="pct"/>
            <w:vAlign w:val="center"/>
          </w:tcPr>
          <w:p w14:paraId="6FABEE1E" w14:textId="77777777" w:rsidR="00DB5B02" w:rsidRPr="00880699" w:rsidRDefault="00DB5B02" w:rsidP="006461AA">
            <w:pPr>
              <w:jc w:val="center"/>
              <w:rPr>
                <w:sz w:val="16"/>
                <w:szCs w:val="16"/>
              </w:rPr>
            </w:pPr>
            <w:r w:rsidRPr="00880699">
              <w:rPr>
                <w:sz w:val="16"/>
                <w:szCs w:val="16"/>
              </w:rPr>
              <w:t>Rozhovor</w:t>
            </w:r>
          </w:p>
        </w:tc>
        <w:tc>
          <w:tcPr>
            <w:tcW w:w="868" w:type="pct"/>
            <w:vMerge w:val="restart"/>
            <w:vAlign w:val="center"/>
          </w:tcPr>
          <w:p w14:paraId="34EEBB2A" w14:textId="77777777" w:rsidR="00DB5B02" w:rsidRPr="00880699" w:rsidRDefault="00DB5B02" w:rsidP="00D85B0C">
            <w:pPr>
              <w:jc w:val="center"/>
              <w:rPr>
                <w:sz w:val="16"/>
                <w:szCs w:val="16"/>
              </w:rPr>
            </w:pPr>
            <w:r w:rsidRPr="00880699">
              <w:rPr>
                <w:sz w:val="16"/>
                <w:szCs w:val="16"/>
              </w:rPr>
              <w:t>API</w:t>
            </w:r>
          </w:p>
        </w:tc>
        <w:tc>
          <w:tcPr>
            <w:tcW w:w="2219" w:type="pct"/>
            <w:vMerge w:val="restart"/>
            <w:vAlign w:val="center"/>
          </w:tcPr>
          <w:p w14:paraId="458F17EB" w14:textId="77777777" w:rsidR="00DB5B02" w:rsidRPr="00880699" w:rsidRDefault="00DB5B02" w:rsidP="00D85B0C">
            <w:pPr>
              <w:rPr>
                <w:sz w:val="16"/>
                <w:szCs w:val="16"/>
              </w:rPr>
            </w:pPr>
            <w:r w:rsidRPr="00880699">
              <w:rPr>
                <w:sz w:val="16"/>
                <w:szCs w:val="16"/>
              </w:rPr>
              <w:t>Odbor koordinace fondů EU a regionálních kanceláří</w:t>
            </w:r>
          </w:p>
        </w:tc>
        <w:tc>
          <w:tcPr>
            <w:tcW w:w="969" w:type="pct"/>
            <w:vMerge w:val="restart"/>
            <w:vAlign w:val="center"/>
          </w:tcPr>
          <w:p w14:paraId="1D956E29" w14:textId="77777777" w:rsidR="00DB5B02" w:rsidRPr="00880699" w:rsidRDefault="00DB5B02" w:rsidP="00D85B0C">
            <w:pPr>
              <w:jc w:val="center"/>
              <w:rPr>
                <w:sz w:val="16"/>
                <w:szCs w:val="16"/>
              </w:rPr>
            </w:pPr>
            <w:r w:rsidRPr="00880699">
              <w:rPr>
                <w:sz w:val="16"/>
                <w:szCs w:val="16"/>
              </w:rPr>
              <w:t>15. 1. 2020</w:t>
            </w:r>
          </w:p>
        </w:tc>
      </w:tr>
      <w:tr w:rsidR="00DB5B02" w:rsidRPr="00880699" w14:paraId="3E86B921" w14:textId="77777777" w:rsidTr="00C02105">
        <w:tc>
          <w:tcPr>
            <w:tcW w:w="189" w:type="pct"/>
            <w:vAlign w:val="center"/>
          </w:tcPr>
          <w:p w14:paraId="5E7B226E" w14:textId="77777777" w:rsidR="00DB5B02" w:rsidRPr="00880699" w:rsidRDefault="00DB5B02" w:rsidP="00D85B0C">
            <w:pPr>
              <w:rPr>
                <w:sz w:val="16"/>
                <w:szCs w:val="16"/>
              </w:rPr>
            </w:pPr>
            <w:r w:rsidRPr="00880699">
              <w:rPr>
                <w:sz w:val="16"/>
                <w:szCs w:val="16"/>
              </w:rPr>
              <w:t>20</w:t>
            </w:r>
          </w:p>
        </w:tc>
        <w:tc>
          <w:tcPr>
            <w:tcW w:w="755" w:type="pct"/>
            <w:vAlign w:val="center"/>
          </w:tcPr>
          <w:p w14:paraId="34E4ADEE" w14:textId="77777777" w:rsidR="00DB5B02" w:rsidRPr="00880699" w:rsidRDefault="00DB5B02" w:rsidP="006461AA">
            <w:pPr>
              <w:jc w:val="center"/>
              <w:rPr>
                <w:sz w:val="16"/>
                <w:szCs w:val="16"/>
              </w:rPr>
            </w:pPr>
            <w:r w:rsidRPr="00880699">
              <w:rPr>
                <w:sz w:val="16"/>
                <w:szCs w:val="16"/>
              </w:rPr>
              <w:t>Rozhovor</w:t>
            </w:r>
          </w:p>
        </w:tc>
        <w:tc>
          <w:tcPr>
            <w:tcW w:w="868" w:type="pct"/>
            <w:vMerge/>
            <w:vAlign w:val="center"/>
          </w:tcPr>
          <w:p w14:paraId="193F9691" w14:textId="77777777" w:rsidR="00DB5B02" w:rsidRPr="00880699" w:rsidRDefault="00DB5B02" w:rsidP="00D85B0C">
            <w:pPr>
              <w:jc w:val="center"/>
              <w:rPr>
                <w:sz w:val="16"/>
                <w:szCs w:val="16"/>
              </w:rPr>
            </w:pPr>
          </w:p>
        </w:tc>
        <w:tc>
          <w:tcPr>
            <w:tcW w:w="2219" w:type="pct"/>
            <w:vMerge/>
            <w:vAlign w:val="center"/>
          </w:tcPr>
          <w:p w14:paraId="377FFD89" w14:textId="77777777" w:rsidR="00DB5B02" w:rsidRPr="00880699" w:rsidRDefault="00DB5B02" w:rsidP="00D85B0C">
            <w:pPr>
              <w:rPr>
                <w:sz w:val="16"/>
                <w:szCs w:val="16"/>
              </w:rPr>
            </w:pPr>
          </w:p>
        </w:tc>
        <w:tc>
          <w:tcPr>
            <w:tcW w:w="969" w:type="pct"/>
            <w:vMerge/>
            <w:vAlign w:val="center"/>
          </w:tcPr>
          <w:p w14:paraId="442E47D6" w14:textId="77777777" w:rsidR="00DB5B02" w:rsidRPr="00880699" w:rsidRDefault="00DB5B02" w:rsidP="00D85B0C">
            <w:pPr>
              <w:jc w:val="center"/>
              <w:rPr>
                <w:sz w:val="16"/>
                <w:szCs w:val="16"/>
              </w:rPr>
            </w:pPr>
          </w:p>
        </w:tc>
      </w:tr>
      <w:tr w:rsidR="00DB5B02" w:rsidRPr="00880699" w14:paraId="2CEA1A04" w14:textId="77777777" w:rsidTr="00C02105">
        <w:tc>
          <w:tcPr>
            <w:tcW w:w="189" w:type="pct"/>
            <w:vAlign w:val="center"/>
          </w:tcPr>
          <w:p w14:paraId="5178FF67" w14:textId="77777777" w:rsidR="00DB5B02" w:rsidRPr="00880699" w:rsidRDefault="00DB5B02" w:rsidP="00D85B0C">
            <w:pPr>
              <w:rPr>
                <w:sz w:val="16"/>
                <w:szCs w:val="16"/>
              </w:rPr>
            </w:pPr>
            <w:r w:rsidRPr="00880699">
              <w:rPr>
                <w:sz w:val="16"/>
                <w:szCs w:val="16"/>
              </w:rPr>
              <w:t>21</w:t>
            </w:r>
          </w:p>
        </w:tc>
        <w:tc>
          <w:tcPr>
            <w:tcW w:w="755" w:type="pct"/>
            <w:vAlign w:val="center"/>
          </w:tcPr>
          <w:p w14:paraId="29EAF925" w14:textId="77777777" w:rsidR="00DB5B02" w:rsidRPr="00880699" w:rsidRDefault="00DB5B02" w:rsidP="006461AA">
            <w:pPr>
              <w:jc w:val="center"/>
              <w:rPr>
                <w:sz w:val="16"/>
                <w:szCs w:val="16"/>
              </w:rPr>
            </w:pPr>
            <w:r w:rsidRPr="00880699">
              <w:rPr>
                <w:sz w:val="16"/>
                <w:szCs w:val="16"/>
              </w:rPr>
              <w:t>Rozhovor</w:t>
            </w:r>
          </w:p>
        </w:tc>
        <w:tc>
          <w:tcPr>
            <w:tcW w:w="868" w:type="pct"/>
            <w:vMerge w:val="restart"/>
            <w:vAlign w:val="center"/>
          </w:tcPr>
          <w:p w14:paraId="5641EBE3" w14:textId="77777777" w:rsidR="00DB5B02" w:rsidRPr="00880699" w:rsidRDefault="00DB5B02" w:rsidP="00D85B0C">
            <w:pPr>
              <w:jc w:val="center"/>
              <w:rPr>
                <w:sz w:val="16"/>
                <w:szCs w:val="16"/>
              </w:rPr>
            </w:pPr>
            <w:r w:rsidRPr="00880699">
              <w:rPr>
                <w:sz w:val="16"/>
                <w:szCs w:val="16"/>
              </w:rPr>
              <w:t>MPO</w:t>
            </w:r>
          </w:p>
        </w:tc>
        <w:tc>
          <w:tcPr>
            <w:tcW w:w="2219" w:type="pct"/>
            <w:vMerge w:val="restart"/>
            <w:vAlign w:val="center"/>
          </w:tcPr>
          <w:p w14:paraId="3A034BC4" w14:textId="3ED4A18C" w:rsidR="00DB5B02" w:rsidRPr="00880699" w:rsidRDefault="00DB5B02" w:rsidP="00D85B0C">
            <w:pPr>
              <w:rPr>
                <w:sz w:val="16"/>
                <w:szCs w:val="16"/>
              </w:rPr>
            </w:pPr>
            <w:r>
              <w:rPr>
                <w:sz w:val="16"/>
                <w:szCs w:val="16"/>
              </w:rPr>
              <w:t xml:space="preserve">61460 </w:t>
            </w:r>
            <w:r w:rsidRPr="00880699">
              <w:rPr>
                <w:sz w:val="16"/>
                <w:szCs w:val="16"/>
              </w:rPr>
              <w:t>Odd. implementace OPPI a PO3 OPPIK</w:t>
            </w:r>
          </w:p>
        </w:tc>
        <w:tc>
          <w:tcPr>
            <w:tcW w:w="969" w:type="pct"/>
            <w:vMerge w:val="restart"/>
            <w:vAlign w:val="center"/>
          </w:tcPr>
          <w:p w14:paraId="2B7E720D" w14:textId="77777777" w:rsidR="00DB5B02" w:rsidRPr="00880699" w:rsidRDefault="00DB5B02" w:rsidP="00D85B0C">
            <w:pPr>
              <w:jc w:val="center"/>
              <w:rPr>
                <w:sz w:val="16"/>
                <w:szCs w:val="16"/>
              </w:rPr>
            </w:pPr>
            <w:r w:rsidRPr="00880699">
              <w:rPr>
                <w:sz w:val="16"/>
                <w:szCs w:val="16"/>
              </w:rPr>
              <w:t>16. 1. 2020</w:t>
            </w:r>
          </w:p>
        </w:tc>
      </w:tr>
      <w:tr w:rsidR="00DB5B02" w:rsidRPr="00880699" w14:paraId="736087BA" w14:textId="77777777" w:rsidTr="00C02105">
        <w:tc>
          <w:tcPr>
            <w:tcW w:w="189" w:type="pct"/>
            <w:vAlign w:val="center"/>
          </w:tcPr>
          <w:p w14:paraId="2BF4D542" w14:textId="77777777" w:rsidR="00DB5B02" w:rsidRPr="00880699" w:rsidRDefault="00DB5B02" w:rsidP="00D85B0C">
            <w:pPr>
              <w:rPr>
                <w:sz w:val="16"/>
                <w:szCs w:val="16"/>
              </w:rPr>
            </w:pPr>
            <w:r w:rsidRPr="00880699">
              <w:rPr>
                <w:sz w:val="16"/>
                <w:szCs w:val="16"/>
              </w:rPr>
              <w:t>22</w:t>
            </w:r>
          </w:p>
        </w:tc>
        <w:tc>
          <w:tcPr>
            <w:tcW w:w="755" w:type="pct"/>
            <w:vAlign w:val="center"/>
          </w:tcPr>
          <w:p w14:paraId="6AA61B97" w14:textId="77777777" w:rsidR="00DB5B02" w:rsidRPr="00880699" w:rsidRDefault="00DB5B02" w:rsidP="006461AA">
            <w:pPr>
              <w:jc w:val="center"/>
              <w:rPr>
                <w:sz w:val="16"/>
                <w:szCs w:val="16"/>
              </w:rPr>
            </w:pPr>
            <w:r w:rsidRPr="00880699">
              <w:rPr>
                <w:sz w:val="16"/>
                <w:szCs w:val="16"/>
              </w:rPr>
              <w:t>Rozhovor</w:t>
            </w:r>
          </w:p>
        </w:tc>
        <w:tc>
          <w:tcPr>
            <w:tcW w:w="868" w:type="pct"/>
            <w:vMerge/>
            <w:vAlign w:val="center"/>
          </w:tcPr>
          <w:p w14:paraId="441E42AC" w14:textId="77777777" w:rsidR="00DB5B02" w:rsidRPr="00880699" w:rsidRDefault="00DB5B02" w:rsidP="00D85B0C">
            <w:pPr>
              <w:jc w:val="center"/>
              <w:rPr>
                <w:sz w:val="16"/>
                <w:szCs w:val="16"/>
              </w:rPr>
            </w:pPr>
          </w:p>
        </w:tc>
        <w:tc>
          <w:tcPr>
            <w:tcW w:w="2219" w:type="pct"/>
            <w:vMerge/>
            <w:vAlign w:val="center"/>
          </w:tcPr>
          <w:p w14:paraId="57F0A4F7" w14:textId="77777777" w:rsidR="00DB5B02" w:rsidRPr="00880699" w:rsidRDefault="00DB5B02" w:rsidP="00D85B0C">
            <w:pPr>
              <w:rPr>
                <w:sz w:val="16"/>
                <w:szCs w:val="16"/>
              </w:rPr>
            </w:pPr>
          </w:p>
        </w:tc>
        <w:tc>
          <w:tcPr>
            <w:tcW w:w="969" w:type="pct"/>
            <w:vMerge/>
            <w:vAlign w:val="center"/>
          </w:tcPr>
          <w:p w14:paraId="45F56CED" w14:textId="77777777" w:rsidR="00DB5B02" w:rsidRPr="00880699" w:rsidRDefault="00DB5B02" w:rsidP="00D85B0C">
            <w:pPr>
              <w:jc w:val="center"/>
              <w:rPr>
                <w:sz w:val="16"/>
                <w:szCs w:val="16"/>
              </w:rPr>
            </w:pPr>
          </w:p>
        </w:tc>
      </w:tr>
      <w:tr w:rsidR="00DB5B02" w:rsidRPr="00880699" w14:paraId="10E2FCC4" w14:textId="77777777" w:rsidTr="00C02105">
        <w:tc>
          <w:tcPr>
            <w:tcW w:w="189" w:type="pct"/>
            <w:vAlign w:val="center"/>
          </w:tcPr>
          <w:p w14:paraId="5943DD49" w14:textId="77777777" w:rsidR="00DB5B02" w:rsidRPr="00880699" w:rsidRDefault="00DB5B02" w:rsidP="00D85B0C">
            <w:pPr>
              <w:rPr>
                <w:sz w:val="16"/>
                <w:szCs w:val="16"/>
              </w:rPr>
            </w:pPr>
            <w:r w:rsidRPr="00880699">
              <w:rPr>
                <w:sz w:val="16"/>
                <w:szCs w:val="16"/>
              </w:rPr>
              <w:t>23</w:t>
            </w:r>
          </w:p>
        </w:tc>
        <w:tc>
          <w:tcPr>
            <w:tcW w:w="755" w:type="pct"/>
            <w:vAlign w:val="center"/>
          </w:tcPr>
          <w:p w14:paraId="1B8D16F5" w14:textId="77777777" w:rsidR="00DB5B02" w:rsidRPr="00880699" w:rsidRDefault="00DB5B02" w:rsidP="006461AA">
            <w:pPr>
              <w:jc w:val="center"/>
              <w:rPr>
                <w:sz w:val="16"/>
                <w:szCs w:val="16"/>
              </w:rPr>
            </w:pPr>
            <w:r w:rsidRPr="00880699">
              <w:rPr>
                <w:sz w:val="16"/>
                <w:szCs w:val="16"/>
              </w:rPr>
              <w:t>Rozhovor</w:t>
            </w:r>
          </w:p>
        </w:tc>
        <w:tc>
          <w:tcPr>
            <w:tcW w:w="868" w:type="pct"/>
            <w:vMerge w:val="restart"/>
            <w:vAlign w:val="center"/>
          </w:tcPr>
          <w:p w14:paraId="09BB86DD" w14:textId="77777777" w:rsidR="00DB5B02" w:rsidRPr="00880699" w:rsidRDefault="00DB5B02" w:rsidP="00D85B0C">
            <w:pPr>
              <w:jc w:val="center"/>
              <w:rPr>
                <w:sz w:val="16"/>
                <w:szCs w:val="16"/>
              </w:rPr>
            </w:pPr>
            <w:r w:rsidRPr="00880699">
              <w:rPr>
                <w:sz w:val="16"/>
                <w:szCs w:val="16"/>
              </w:rPr>
              <w:t>MPO</w:t>
            </w:r>
          </w:p>
        </w:tc>
        <w:tc>
          <w:tcPr>
            <w:tcW w:w="2219" w:type="pct"/>
            <w:vMerge w:val="restart"/>
            <w:vAlign w:val="center"/>
          </w:tcPr>
          <w:p w14:paraId="7A318620" w14:textId="1D92510E" w:rsidR="00DB5B02" w:rsidRPr="00880699" w:rsidRDefault="00DB5B02" w:rsidP="00D85B0C">
            <w:pPr>
              <w:rPr>
                <w:sz w:val="16"/>
                <w:szCs w:val="16"/>
              </w:rPr>
            </w:pPr>
            <w:r>
              <w:rPr>
                <w:sz w:val="16"/>
                <w:szCs w:val="16"/>
              </w:rPr>
              <w:t xml:space="preserve">61010 </w:t>
            </w:r>
            <w:r w:rsidRPr="00880699">
              <w:rPr>
                <w:sz w:val="16"/>
                <w:szCs w:val="16"/>
              </w:rPr>
              <w:t>Oddělení metodické a právní podpory</w:t>
            </w:r>
          </w:p>
        </w:tc>
        <w:tc>
          <w:tcPr>
            <w:tcW w:w="969" w:type="pct"/>
            <w:vMerge w:val="restart"/>
            <w:vAlign w:val="center"/>
          </w:tcPr>
          <w:p w14:paraId="58F38285" w14:textId="77777777" w:rsidR="00DB5B02" w:rsidRPr="00880699" w:rsidRDefault="00DB5B02" w:rsidP="00D85B0C">
            <w:pPr>
              <w:jc w:val="center"/>
              <w:rPr>
                <w:sz w:val="16"/>
                <w:szCs w:val="16"/>
              </w:rPr>
            </w:pPr>
            <w:r w:rsidRPr="00880699">
              <w:rPr>
                <w:sz w:val="16"/>
                <w:szCs w:val="16"/>
              </w:rPr>
              <w:t>16. 1. 2020</w:t>
            </w:r>
          </w:p>
        </w:tc>
      </w:tr>
      <w:tr w:rsidR="00DB5B02" w:rsidRPr="00880699" w14:paraId="3074C777" w14:textId="77777777" w:rsidTr="00C02105">
        <w:tc>
          <w:tcPr>
            <w:tcW w:w="189" w:type="pct"/>
            <w:vAlign w:val="center"/>
          </w:tcPr>
          <w:p w14:paraId="6F079383" w14:textId="77777777" w:rsidR="00DB5B02" w:rsidRPr="00880699" w:rsidRDefault="00DB5B02" w:rsidP="00D85B0C">
            <w:pPr>
              <w:rPr>
                <w:sz w:val="16"/>
                <w:szCs w:val="16"/>
              </w:rPr>
            </w:pPr>
            <w:r w:rsidRPr="00880699">
              <w:rPr>
                <w:sz w:val="16"/>
                <w:szCs w:val="16"/>
              </w:rPr>
              <w:t>24</w:t>
            </w:r>
          </w:p>
        </w:tc>
        <w:tc>
          <w:tcPr>
            <w:tcW w:w="755" w:type="pct"/>
            <w:vAlign w:val="center"/>
          </w:tcPr>
          <w:p w14:paraId="10B2FE28" w14:textId="77777777" w:rsidR="00DB5B02" w:rsidRPr="00880699" w:rsidRDefault="00DB5B02" w:rsidP="006461AA">
            <w:pPr>
              <w:jc w:val="center"/>
              <w:rPr>
                <w:sz w:val="16"/>
                <w:szCs w:val="16"/>
              </w:rPr>
            </w:pPr>
            <w:r w:rsidRPr="00880699">
              <w:rPr>
                <w:sz w:val="16"/>
                <w:szCs w:val="16"/>
              </w:rPr>
              <w:t>Rozhovor</w:t>
            </w:r>
          </w:p>
        </w:tc>
        <w:tc>
          <w:tcPr>
            <w:tcW w:w="868" w:type="pct"/>
            <w:vMerge/>
            <w:vAlign w:val="center"/>
          </w:tcPr>
          <w:p w14:paraId="7B4D76A7" w14:textId="77777777" w:rsidR="00DB5B02" w:rsidRPr="00880699" w:rsidRDefault="00DB5B02" w:rsidP="00D85B0C">
            <w:pPr>
              <w:jc w:val="center"/>
              <w:rPr>
                <w:sz w:val="16"/>
                <w:szCs w:val="16"/>
              </w:rPr>
            </w:pPr>
          </w:p>
        </w:tc>
        <w:tc>
          <w:tcPr>
            <w:tcW w:w="2219" w:type="pct"/>
            <w:vMerge/>
            <w:vAlign w:val="center"/>
          </w:tcPr>
          <w:p w14:paraId="65CDECA9" w14:textId="77777777" w:rsidR="00DB5B02" w:rsidRPr="00880699" w:rsidRDefault="00DB5B02" w:rsidP="00D85B0C">
            <w:pPr>
              <w:rPr>
                <w:sz w:val="16"/>
                <w:szCs w:val="16"/>
              </w:rPr>
            </w:pPr>
          </w:p>
        </w:tc>
        <w:tc>
          <w:tcPr>
            <w:tcW w:w="969" w:type="pct"/>
            <w:vMerge/>
            <w:vAlign w:val="center"/>
          </w:tcPr>
          <w:p w14:paraId="27FD034F" w14:textId="77777777" w:rsidR="00DB5B02" w:rsidRPr="00880699" w:rsidRDefault="00DB5B02" w:rsidP="00D85B0C">
            <w:pPr>
              <w:jc w:val="center"/>
              <w:rPr>
                <w:sz w:val="16"/>
                <w:szCs w:val="16"/>
              </w:rPr>
            </w:pPr>
          </w:p>
        </w:tc>
      </w:tr>
      <w:tr w:rsidR="00DB5B02" w:rsidRPr="00880699" w14:paraId="4D954895" w14:textId="77777777" w:rsidTr="00C02105">
        <w:tc>
          <w:tcPr>
            <w:tcW w:w="189" w:type="pct"/>
            <w:vAlign w:val="center"/>
          </w:tcPr>
          <w:p w14:paraId="0B14EAF0" w14:textId="77777777" w:rsidR="00DB5B02" w:rsidRPr="00880699" w:rsidRDefault="00DB5B02" w:rsidP="00D85B0C">
            <w:pPr>
              <w:rPr>
                <w:sz w:val="16"/>
                <w:szCs w:val="16"/>
              </w:rPr>
            </w:pPr>
            <w:r w:rsidRPr="00880699">
              <w:rPr>
                <w:sz w:val="16"/>
                <w:szCs w:val="16"/>
              </w:rPr>
              <w:t>25</w:t>
            </w:r>
          </w:p>
        </w:tc>
        <w:tc>
          <w:tcPr>
            <w:tcW w:w="755" w:type="pct"/>
            <w:vAlign w:val="center"/>
          </w:tcPr>
          <w:p w14:paraId="3C85B056" w14:textId="77777777" w:rsidR="00DB5B02" w:rsidRPr="00880699" w:rsidRDefault="00DB5B02" w:rsidP="006461AA">
            <w:pPr>
              <w:jc w:val="center"/>
              <w:rPr>
                <w:sz w:val="16"/>
                <w:szCs w:val="16"/>
              </w:rPr>
            </w:pPr>
            <w:r w:rsidRPr="00880699">
              <w:rPr>
                <w:sz w:val="16"/>
                <w:szCs w:val="16"/>
              </w:rPr>
              <w:t xml:space="preserve">Tel. </w:t>
            </w:r>
            <w:r w:rsidRPr="00880699">
              <w:rPr>
                <w:sz w:val="16"/>
                <w:szCs w:val="16"/>
              </w:rPr>
              <w:br/>
              <w:t>rozhovor</w:t>
            </w:r>
          </w:p>
        </w:tc>
        <w:tc>
          <w:tcPr>
            <w:tcW w:w="868" w:type="pct"/>
            <w:vAlign w:val="center"/>
          </w:tcPr>
          <w:p w14:paraId="4B92E4FE" w14:textId="77777777" w:rsidR="00DB5B02" w:rsidRPr="00880699" w:rsidRDefault="00DB5B02" w:rsidP="00D85B0C">
            <w:pPr>
              <w:jc w:val="center"/>
              <w:rPr>
                <w:sz w:val="16"/>
                <w:szCs w:val="16"/>
              </w:rPr>
            </w:pPr>
            <w:r w:rsidRPr="00880699">
              <w:rPr>
                <w:sz w:val="16"/>
                <w:szCs w:val="16"/>
              </w:rPr>
              <w:t>ČMZRB</w:t>
            </w:r>
          </w:p>
        </w:tc>
        <w:tc>
          <w:tcPr>
            <w:tcW w:w="2219" w:type="pct"/>
            <w:vAlign w:val="center"/>
          </w:tcPr>
          <w:p w14:paraId="5D67C501" w14:textId="77777777" w:rsidR="00DB5B02" w:rsidRPr="00880699" w:rsidRDefault="00DB5B02" w:rsidP="00D85B0C">
            <w:pPr>
              <w:rPr>
                <w:sz w:val="16"/>
                <w:szCs w:val="16"/>
              </w:rPr>
            </w:pPr>
            <w:r w:rsidRPr="00880699">
              <w:rPr>
                <w:sz w:val="16"/>
                <w:szCs w:val="16"/>
              </w:rPr>
              <w:t>Marketing, komunikace</w:t>
            </w:r>
          </w:p>
        </w:tc>
        <w:tc>
          <w:tcPr>
            <w:tcW w:w="969" w:type="pct"/>
            <w:vAlign w:val="center"/>
          </w:tcPr>
          <w:p w14:paraId="70FDA44E" w14:textId="77777777" w:rsidR="00DB5B02" w:rsidRPr="00880699" w:rsidRDefault="00DB5B02" w:rsidP="00D85B0C">
            <w:pPr>
              <w:jc w:val="center"/>
              <w:rPr>
                <w:sz w:val="16"/>
                <w:szCs w:val="16"/>
              </w:rPr>
            </w:pPr>
            <w:r w:rsidRPr="00880699">
              <w:rPr>
                <w:sz w:val="16"/>
                <w:szCs w:val="16"/>
              </w:rPr>
              <w:t>23. 1. 2020</w:t>
            </w:r>
          </w:p>
        </w:tc>
      </w:tr>
      <w:tr w:rsidR="00FD5ACA" w:rsidRPr="00880699" w14:paraId="21898A85" w14:textId="77777777" w:rsidTr="00C02105">
        <w:tc>
          <w:tcPr>
            <w:tcW w:w="189" w:type="pct"/>
            <w:vAlign w:val="center"/>
          </w:tcPr>
          <w:p w14:paraId="3AE528E9" w14:textId="7B45554A" w:rsidR="00FD5ACA" w:rsidRPr="00880699" w:rsidRDefault="00C02105" w:rsidP="00D85B0C">
            <w:pPr>
              <w:rPr>
                <w:sz w:val="16"/>
                <w:szCs w:val="16"/>
              </w:rPr>
            </w:pPr>
            <w:r>
              <w:rPr>
                <w:sz w:val="16"/>
                <w:szCs w:val="16"/>
              </w:rPr>
              <w:t>26 - 32</w:t>
            </w:r>
          </w:p>
        </w:tc>
        <w:tc>
          <w:tcPr>
            <w:tcW w:w="755" w:type="pct"/>
            <w:vAlign w:val="center"/>
          </w:tcPr>
          <w:p w14:paraId="045F38B5" w14:textId="411D783B" w:rsidR="00FD5ACA" w:rsidRPr="00880699" w:rsidRDefault="00C02105" w:rsidP="006461AA">
            <w:pPr>
              <w:jc w:val="center"/>
              <w:rPr>
                <w:sz w:val="16"/>
                <w:szCs w:val="16"/>
              </w:rPr>
            </w:pPr>
            <w:r>
              <w:rPr>
                <w:sz w:val="16"/>
                <w:szCs w:val="16"/>
              </w:rPr>
              <w:t>Tel. rozhovor</w:t>
            </w:r>
          </w:p>
        </w:tc>
        <w:tc>
          <w:tcPr>
            <w:tcW w:w="868" w:type="pct"/>
            <w:vAlign w:val="center"/>
          </w:tcPr>
          <w:p w14:paraId="540F24DC" w14:textId="4646EB98" w:rsidR="00FD5ACA" w:rsidRPr="00880699" w:rsidRDefault="00C02105" w:rsidP="00D85B0C">
            <w:pPr>
              <w:jc w:val="center"/>
              <w:rPr>
                <w:sz w:val="16"/>
                <w:szCs w:val="16"/>
              </w:rPr>
            </w:pPr>
            <w:r>
              <w:rPr>
                <w:sz w:val="16"/>
                <w:szCs w:val="16"/>
              </w:rPr>
              <w:t>Příjemci podpory</w:t>
            </w:r>
          </w:p>
        </w:tc>
        <w:tc>
          <w:tcPr>
            <w:tcW w:w="2219" w:type="pct"/>
            <w:vAlign w:val="center"/>
          </w:tcPr>
          <w:p w14:paraId="6405F319" w14:textId="31612D3A" w:rsidR="00FD5ACA" w:rsidRPr="00880699" w:rsidRDefault="00C02105" w:rsidP="00D85B0C">
            <w:pPr>
              <w:rPr>
                <w:sz w:val="16"/>
                <w:szCs w:val="16"/>
              </w:rPr>
            </w:pPr>
            <w:r>
              <w:rPr>
                <w:sz w:val="16"/>
                <w:szCs w:val="16"/>
              </w:rPr>
              <w:t>NA</w:t>
            </w:r>
          </w:p>
        </w:tc>
        <w:tc>
          <w:tcPr>
            <w:tcW w:w="969" w:type="pct"/>
            <w:vAlign w:val="center"/>
          </w:tcPr>
          <w:p w14:paraId="534BE47E" w14:textId="40DD65FF" w:rsidR="00FD5ACA" w:rsidRPr="00880699" w:rsidRDefault="00C02105" w:rsidP="00D85B0C">
            <w:pPr>
              <w:jc w:val="center"/>
              <w:rPr>
                <w:sz w:val="16"/>
                <w:szCs w:val="16"/>
              </w:rPr>
            </w:pPr>
            <w:r>
              <w:rPr>
                <w:sz w:val="16"/>
                <w:szCs w:val="16"/>
              </w:rPr>
              <w:t>03/04 2020</w:t>
            </w:r>
          </w:p>
        </w:tc>
      </w:tr>
      <w:tr w:rsidR="00FD5ACA" w:rsidRPr="00880699" w14:paraId="55C9F3BD" w14:textId="77777777" w:rsidTr="00C02105">
        <w:tc>
          <w:tcPr>
            <w:tcW w:w="189" w:type="pct"/>
            <w:vAlign w:val="center"/>
          </w:tcPr>
          <w:p w14:paraId="27428B26" w14:textId="12CC2C1B" w:rsidR="00FD5ACA" w:rsidRPr="00880699" w:rsidRDefault="00C02105" w:rsidP="00D85B0C">
            <w:pPr>
              <w:rPr>
                <w:sz w:val="16"/>
                <w:szCs w:val="16"/>
              </w:rPr>
            </w:pPr>
            <w:r>
              <w:rPr>
                <w:sz w:val="16"/>
                <w:szCs w:val="16"/>
              </w:rPr>
              <w:t>33</w:t>
            </w:r>
          </w:p>
        </w:tc>
        <w:tc>
          <w:tcPr>
            <w:tcW w:w="755" w:type="pct"/>
            <w:vAlign w:val="center"/>
          </w:tcPr>
          <w:p w14:paraId="3EE0F870" w14:textId="0F48C6AE" w:rsidR="00FD5ACA" w:rsidRPr="00880699" w:rsidRDefault="00C02105" w:rsidP="006461AA">
            <w:pPr>
              <w:jc w:val="center"/>
              <w:rPr>
                <w:sz w:val="16"/>
                <w:szCs w:val="16"/>
              </w:rPr>
            </w:pPr>
            <w:r>
              <w:rPr>
                <w:sz w:val="16"/>
                <w:szCs w:val="16"/>
              </w:rPr>
              <w:t>Tel. rozhovor</w:t>
            </w:r>
          </w:p>
        </w:tc>
        <w:tc>
          <w:tcPr>
            <w:tcW w:w="868" w:type="pct"/>
            <w:vAlign w:val="center"/>
          </w:tcPr>
          <w:p w14:paraId="57A7AD0A" w14:textId="6573AE38" w:rsidR="00FD5ACA" w:rsidRPr="00880699" w:rsidRDefault="00C02105" w:rsidP="00D85B0C">
            <w:pPr>
              <w:jc w:val="center"/>
              <w:rPr>
                <w:sz w:val="16"/>
                <w:szCs w:val="16"/>
              </w:rPr>
            </w:pPr>
            <w:r>
              <w:rPr>
                <w:sz w:val="16"/>
                <w:szCs w:val="16"/>
              </w:rPr>
              <w:t>Poradenská společnost</w:t>
            </w:r>
          </w:p>
        </w:tc>
        <w:tc>
          <w:tcPr>
            <w:tcW w:w="2219" w:type="pct"/>
            <w:vAlign w:val="center"/>
          </w:tcPr>
          <w:p w14:paraId="56A635FE" w14:textId="7321249A" w:rsidR="00FD5ACA" w:rsidRPr="00880699" w:rsidRDefault="00C02105" w:rsidP="00D85B0C">
            <w:pPr>
              <w:rPr>
                <w:sz w:val="16"/>
                <w:szCs w:val="16"/>
              </w:rPr>
            </w:pPr>
            <w:r>
              <w:rPr>
                <w:sz w:val="16"/>
                <w:szCs w:val="16"/>
              </w:rPr>
              <w:t>NA</w:t>
            </w:r>
          </w:p>
        </w:tc>
        <w:tc>
          <w:tcPr>
            <w:tcW w:w="969" w:type="pct"/>
            <w:vAlign w:val="center"/>
          </w:tcPr>
          <w:p w14:paraId="4172378D" w14:textId="4437F6EA" w:rsidR="00FD5ACA" w:rsidRPr="00880699" w:rsidRDefault="00C02105" w:rsidP="00D85B0C">
            <w:pPr>
              <w:jc w:val="center"/>
              <w:rPr>
                <w:sz w:val="16"/>
                <w:szCs w:val="16"/>
              </w:rPr>
            </w:pPr>
            <w:r>
              <w:rPr>
                <w:sz w:val="16"/>
                <w:szCs w:val="16"/>
              </w:rPr>
              <w:t>03/2020</w:t>
            </w:r>
          </w:p>
        </w:tc>
      </w:tr>
      <w:tr w:rsidR="00FD5ACA" w:rsidRPr="00880699" w14:paraId="775F600F" w14:textId="77777777" w:rsidTr="00C02105">
        <w:tc>
          <w:tcPr>
            <w:tcW w:w="189" w:type="pct"/>
            <w:vAlign w:val="center"/>
          </w:tcPr>
          <w:p w14:paraId="52765DA6" w14:textId="272B3A94" w:rsidR="00FD5ACA" w:rsidRPr="00880699" w:rsidRDefault="00C02105" w:rsidP="00D85B0C">
            <w:pPr>
              <w:rPr>
                <w:sz w:val="16"/>
                <w:szCs w:val="16"/>
              </w:rPr>
            </w:pPr>
            <w:r>
              <w:rPr>
                <w:sz w:val="16"/>
                <w:szCs w:val="16"/>
              </w:rPr>
              <w:lastRenderedPageBreak/>
              <w:t>34</w:t>
            </w:r>
          </w:p>
        </w:tc>
        <w:tc>
          <w:tcPr>
            <w:tcW w:w="755" w:type="pct"/>
            <w:vAlign w:val="center"/>
          </w:tcPr>
          <w:p w14:paraId="21F390C8" w14:textId="7AE1390C" w:rsidR="00FD5ACA" w:rsidRPr="00880699" w:rsidRDefault="00C02105" w:rsidP="006461AA">
            <w:pPr>
              <w:jc w:val="center"/>
              <w:rPr>
                <w:sz w:val="16"/>
                <w:szCs w:val="16"/>
              </w:rPr>
            </w:pPr>
            <w:r>
              <w:rPr>
                <w:sz w:val="16"/>
                <w:szCs w:val="16"/>
              </w:rPr>
              <w:t>Expertní panel</w:t>
            </w:r>
          </w:p>
        </w:tc>
        <w:tc>
          <w:tcPr>
            <w:tcW w:w="868" w:type="pct"/>
            <w:vAlign w:val="center"/>
          </w:tcPr>
          <w:p w14:paraId="18061C94" w14:textId="22A75033" w:rsidR="00FD5ACA" w:rsidRPr="00880699" w:rsidRDefault="00C02105" w:rsidP="00D85B0C">
            <w:pPr>
              <w:jc w:val="center"/>
              <w:rPr>
                <w:sz w:val="16"/>
                <w:szCs w:val="16"/>
              </w:rPr>
            </w:pPr>
            <w:r>
              <w:rPr>
                <w:sz w:val="16"/>
                <w:szCs w:val="16"/>
              </w:rPr>
              <w:t>MPO, API</w:t>
            </w:r>
          </w:p>
        </w:tc>
        <w:tc>
          <w:tcPr>
            <w:tcW w:w="2219" w:type="pct"/>
            <w:vAlign w:val="center"/>
          </w:tcPr>
          <w:p w14:paraId="3D831E07" w14:textId="73029C2B" w:rsidR="00FD5ACA" w:rsidRPr="00880699" w:rsidRDefault="00C02105" w:rsidP="00D85B0C">
            <w:pPr>
              <w:rPr>
                <w:sz w:val="16"/>
                <w:szCs w:val="16"/>
              </w:rPr>
            </w:pPr>
            <w:r>
              <w:rPr>
                <w:sz w:val="16"/>
                <w:szCs w:val="16"/>
              </w:rPr>
              <w:t>Odbor strukturálních fondů, Odbor pr</w:t>
            </w:r>
            <w:r w:rsidR="005D19E5">
              <w:rPr>
                <w:sz w:val="16"/>
                <w:szCs w:val="16"/>
              </w:rPr>
              <w:t xml:space="preserve">ávní a metodické podpory, </w:t>
            </w:r>
            <w:r w:rsidR="005D19E5" w:rsidRPr="00880699">
              <w:rPr>
                <w:sz w:val="16"/>
                <w:szCs w:val="16"/>
              </w:rPr>
              <w:t>Sekce řízení a podpory fondů EU</w:t>
            </w:r>
          </w:p>
        </w:tc>
        <w:tc>
          <w:tcPr>
            <w:tcW w:w="969" w:type="pct"/>
            <w:vAlign w:val="center"/>
          </w:tcPr>
          <w:p w14:paraId="6A23B839" w14:textId="6D6BFC0A" w:rsidR="00FD5ACA" w:rsidRPr="00880699" w:rsidRDefault="005D19E5" w:rsidP="00D85B0C">
            <w:pPr>
              <w:jc w:val="center"/>
              <w:rPr>
                <w:sz w:val="16"/>
                <w:szCs w:val="16"/>
              </w:rPr>
            </w:pPr>
            <w:r>
              <w:rPr>
                <w:sz w:val="16"/>
                <w:szCs w:val="16"/>
              </w:rPr>
              <w:t>28. 5. 2020</w:t>
            </w:r>
          </w:p>
        </w:tc>
      </w:tr>
      <w:tr w:rsidR="00C02105" w:rsidRPr="00880699" w14:paraId="4EB3B653" w14:textId="77777777" w:rsidTr="00C02105">
        <w:tc>
          <w:tcPr>
            <w:tcW w:w="189" w:type="pct"/>
            <w:vAlign w:val="center"/>
          </w:tcPr>
          <w:p w14:paraId="6BCCFC6D" w14:textId="1B8CB468" w:rsidR="00C02105" w:rsidRPr="00880699" w:rsidRDefault="00B21D6A" w:rsidP="00D85B0C">
            <w:pPr>
              <w:rPr>
                <w:sz w:val="16"/>
                <w:szCs w:val="16"/>
              </w:rPr>
            </w:pPr>
            <w:r>
              <w:rPr>
                <w:sz w:val="16"/>
                <w:szCs w:val="16"/>
              </w:rPr>
              <w:t>35</w:t>
            </w:r>
          </w:p>
        </w:tc>
        <w:tc>
          <w:tcPr>
            <w:tcW w:w="755" w:type="pct"/>
            <w:vAlign w:val="center"/>
          </w:tcPr>
          <w:p w14:paraId="31FCCE52" w14:textId="188E3DC0" w:rsidR="00C02105" w:rsidRPr="00880699" w:rsidRDefault="00B21D6A" w:rsidP="006461AA">
            <w:pPr>
              <w:jc w:val="center"/>
              <w:rPr>
                <w:sz w:val="16"/>
                <w:szCs w:val="16"/>
              </w:rPr>
            </w:pPr>
            <w:r>
              <w:rPr>
                <w:sz w:val="16"/>
                <w:szCs w:val="16"/>
              </w:rPr>
              <w:t>Skupinová diskuse</w:t>
            </w:r>
          </w:p>
        </w:tc>
        <w:tc>
          <w:tcPr>
            <w:tcW w:w="868" w:type="pct"/>
            <w:vAlign w:val="center"/>
          </w:tcPr>
          <w:p w14:paraId="4A83E8D8" w14:textId="7A35C00B" w:rsidR="00C02105" w:rsidRPr="00880699" w:rsidRDefault="00B21D6A" w:rsidP="00D85B0C">
            <w:pPr>
              <w:jc w:val="center"/>
              <w:rPr>
                <w:sz w:val="16"/>
                <w:szCs w:val="16"/>
              </w:rPr>
            </w:pPr>
            <w:r>
              <w:rPr>
                <w:sz w:val="16"/>
                <w:szCs w:val="16"/>
              </w:rPr>
              <w:t>MPO/API</w:t>
            </w:r>
          </w:p>
        </w:tc>
        <w:tc>
          <w:tcPr>
            <w:tcW w:w="2219" w:type="pct"/>
            <w:vAlign w:val="center"/>
          </w:tcPr>
          <w:p w14:paraId="41888421" w14:textId="2C612A9C" w:rsidR="00C02105" w:rsidRPr="00880699" w:rsidRDefault="00B21D6A" w:rsidP="00D85B0C">
            <w:pPr>
              <w:rPr>
                <w:sz w:val="16"/>
                <w:szCs w:val="16"/>
              </w:rPr>
            </w:pPr>
            <w:r>
              <w:rPr>
                <w:sz w:val="16"/>
                <w:szCs w:val="16"/>
              </w:rPr>
              <w:t>Odbor kontrol a nesrovnalostí</w:t>
            </w:r>
          </w:p>
        </w:tc>
        <w:tc>
          <w:tcPr>
            <w:tcW w:w="969" w:type="pct"/>
            <w:vAlign w:val="center"/>
          </w:tcPr>
          <w:p w14:paraId="2D41C1C7" w14:textId="66E13B91" w:rsidR="00C02105" w:rsidRPr="00880699" w:rsidRDefault="00B21D6A" w:rsidP="00D85B0C">
            <w:pPr>
              <w:jc w:val="center"/>
              <w:rPr>
                <w:sz w:val="16"/>
                <w:szCs w:val="16"/>
              </w:rPr>
            </w:pPr>
            <w:r>
              <w:rPr>
                <w:sz w:val="16"/>
                <w:szCs w:val="16"/>
              </w:rPr>
              <w:t>29. 6. 2020</w:t>
            </w:r>
          </w:p>
        </w:tc>
      </w:tr>
      <w:tr w:rsidR="00B21D6A" w:rsidRPr="00880699" w14:paraId="28F898F2" w14:textId="77777777" w:rsidTr="00C02105">
        <w:tc>
          <w:tcPr>
            <w:tcW w:w="189" w:type="pct"/>
            <w:vAlign w:val="center"/>
          </w:tcPr>
          <w:p w14:paraId="314322EA" w14:textId="7B406A49" w:rsidR="00B21D6A" w:rsidRPr="00880699" w:rsidRDefault="00B21D6A" w:rsidP="00B21D6A">
            <w:pPr>
              <w:rPr>
                <w:sz w:val="16"/>
                <w:szCs w:val="16"/>
              </w:rPr>
            </w:pPr>
            <w:r>
              <w:rPr>
                <w:sz w:val="16"/>
                <w:szCs w:val="16"/>
              </w:rPr>
              <w:t>36</w:t>
            </w:r>
          </w:p>
        </w:tc>
        <w:tc>
          <w:tcPr>
            <w:tcW w:w="755" w:type="pct"/>
            <w:vAlign w:val="center"/>
          </w:tcPr>
          <w:p w14:paraId="779F2812" w14:textId="0EB62470" w:rsidR="00B21D6A" w:rsidRPr="00880699" w:rsidRDefault="00B21D6A" w:rsidP="00B21D6A">
            <w:pPr>
              <w:jc w:val="center"/>
              <w:rPr>
                <w:sz w:val="16"/>
                <w:szCs w:val="16"/>
              </w:rPr>
            </w:pPr>
            <w:r>
              <w:rPr>
                <w:sz w:val="16"/>
                <w:szCs w:val="16"/>
              </w:rPr>
              <w:t>Skupinová diskuse</w:t>
            </w:r>
          </w:p>
        </w:tc>
        <w:tc>
          <w:tcPr>
            <w:tcW w:w="868" w:type="pct"/>
            <w:vAlign w:val="center"/>
          </w:tcPr>
          <w:p w14:paraId="2FD13C2B" w14:textId="0D5BE27E" w:rsidR="00B21D6A" w:rsidRPr="00880699" w:rsidRDefault="00B21D6A" w:rsidP="00B21D6A">
            <w:pPr>
              <w:jc w:val="center"/>
              <w:rPr>
                <w:sz w:val="16"/>
                <w:szCs w:val="16"/>
              </w:rPr>
            </w:pPr>
            <w:r>
              <w:rPr>
                <w:sz w:val="16"/>
                <w:szCs w:val="16"/>
              </w:rPr>
              <w:t>MPO/API</w:t>
            </w:r>
          </w:p>
        </w:tc>
        <w:tc>
          <w:tcPr>
            <w:tcW w:w="2219" w:type="pct"/>
            <w:vAlign w:val="center"/>
          </w:tcPr>
          <w:p w14:paraId="08FDFA64" w14:textId="2F974EDC" w:rsidR="00B21D6A" w:rsidRPr="00880699" w:rsidRDefault="00B21D6A" w:rsidP="00B21D6A">
            <w:pPr>
              <w:rPr>
                <w:sz w:val="16"/>
                <w:szCs w:val="16"/>
              </w:rPr>
            </w:pPr>
            <w:r>
              <w:rPr>
                <w:sz w:val="16"/>
                <w:szCs w:val="16"/>
              </w:rPr>
              <w:t xml:space="preserve">Odbor právní a metodické podpory MPO, Sekce </w:t>
            </w:r>
            <w:r w:rsidRPr="00880699">
              <w:rPr>
                <w:sz w:val="16"/>
                <w:szCs w:val="16"/>
              </w:rPr>
              <w:t>řízení a podpory fondů EU</w:t>
            </w:r>
            <w:r>
              <w:rPr>
                <w:sz w:val="16"/>
                <w:szCs w:val="16"/>
              </w:rPr>
              <w:t xml:space="preserve"> API</w:t>
            </w:r>
          </w:p>
        </w:tc>
        <w:tc>
          <w:tcPr>
            <w:tcW w:w="969" w:type="pct"/>
            <w:vAlign w:val="center"/>
          </w:tcPr>
          <w:p w14:paraId="127B8DB8" w14:textId="7F17F293" w:rsidR="00B21D6A" w:rsidRPr="00880699" w:rsidRDefault="00B21D6A" w:rsidP="00B21D6A">
            <w:pPr>
              <w:jc w:val="center"/>
              <w:rPr>
                <w:sz w:val="16"/>
                <w:szCs w:val="16"/>
              </w:rPr>
            </w:pPr>
            <w:r>
              <w:rPr>
                <w:sz w:val="16"/>
                <w:szCs w:val="16"/>
              </w:rPr>
              <w:t>2. 7. 2020</w:t>
            </w:r>
          </w:p>
        </w:tc>
      </w:tr>
      <w:tr w:rsidR="00B21D6A" w:rsidRPr="00880699" w14:paraId="23D160A5" w14:textId="77777777" w:rsidTr="00C02105">
        <w:tc>
          <w:tcPr>
            <w:tcW w:w="189" w:type="pct"/>
            <w:vAlign w:val="center"/>
          </w:tcPr>
          <w:p w14:paraId="54091002" w14:textId="6AEC3EB8" w:rsidR="00B21D6A" w:rsidRPr="00880699" w:rsidRDefault="00B21D6A" w:rsidP="00B21D6A">
            <w:pPr>
              <w:rPr>
                <w:sz w:val="16"/>
                <w:szCs w:val="16"/>
              </w:rPr>
            </w:pPr>
            <w:r>
              <w:rPr>
                <w:sz w:val="16"/>
                <w:szCs w:val="16"/>
              </w:rPr>
              <w:t>37</w:t>
            </w:r>
          </w:p>
        </w:tc>
        <w:tc>
          <w:tcPr>
            <w:tcW w:w="755" w:type="pct"/>
            <w:vAlign w:val="center"/>
          </w:tcPr>
          <w:p w14:paraId="7AB80B8B" w14:textId="0C075AA6" w:rsidR="00B21D6A" w:rsidRPr="00880699" w:rsidRDefault="00B21D6A" w:rsidP="00B21D6A">
            <w:pPr>
              <w:jc w:val="center"/>
              <w:rPr>
                <w:sz w:val="16"/>
                <w:szCs w:val="16"/>
              </w:rPr>
            </w:pPr>
            <w:r>
              <w:rPr>
                <w:sz w:val="16"/>
                <w:szCs w:val="16"/>
              </w:rPr>
              <w:t>Hloubkový rozhovor</w:t>
            </w:r>
          </w:p>
        </w:tc>
        <w:tc>
          <w:tcPr>
            <w:tcW w:w="868" w:type="pct"/>
            <w:vAlign w:val="center"/>
          </w:tcPr>
          <w:p w14:paraId="019FC624" w14:textId="6A1975F4" w:rsidR="00B21D6A" w:rsidRPr="00880699" w:rsidRDefault="00B21D6A" w:rsidP="00B21D6A">
            <w:pPr>
              <w:jc w:val="center"/>
              <w:rPr>
                <w:sz w:val="16"/>
                <w:szCs w:val="16"/>
              </w:rPr>
            </w:pPr>
            <w:r>
              <w:rPr>
                <w:sz w:val="16"/>
                <w:szCs w:val="16"/>
              </w:rPr>
              <w:t>API</w:t>
            </w:r>
          </w:p>
        </w:tc>
        <w:tc>
          <w:tcPr>
            <w:tcW w:w="2219" w:type="pct"/>
            <w:vAlign w:val="center"/>
          </w:tcPr>
          <w:p w14:paraId="69810341" w14:textId="4D8DB1C6" w:rsidR="00B21D6A" w:rsidRPr="00880699" w:rsidRDefault="00B21D6A" w:rsidP="00B21D6A">
            <w:pPr>
              <w:rPr>
                <w:sz w:val="16"/>
                <w:szCs w:val="16"/>
              </w:rPr>
            </w:pPr>
            <w:r w:rsidRPr="00B21D6A">
              <w:rPr>
                <w:sz w:val="16"/>
                <w:szCs w:val="16"/>
              </w:rPr>
              <w:t>Odboru výzkumu, vývoje a inovací</w:t>
            </w:r>
          </w:p>
        </w:tc>
        <w:tc>
          <w:tcPr>
            <w:tcW w:w="969" w:type="pct"/>
            <w:vAlign w:val="center"/>
          </w:tcPr>
          <w:p w14:paraId="1566CCF4" w14:textId="58E99CC3" w:rsidR="00B21D6A" w:rsidRPr="00880699" w:rsidRDefault="00B21D6A" w:rsidP="00B21D6A">
            <w:pPr>
              <w:jc w:val="center"/>
              <w:rPr>
                <w:sz w:val="16"/>
                <w:szCs w:val="16"/>
              </w:rPr>
            </w:pPr>
            <w:r>
              <w:rPr>
                <w:sz w:val="16"/>
                <w:szCs w:val="16"/>
              </w:rPr>
              <w:t>8. 7. 2020</w:t>
            </w:r>
          </w:p>
        </w:tc>
      </w:tr>
      <w:tr w:rsidR="00B21D6A" w:rsidRPr="00880699" w14:paraId="528F7403" w14:textId="77777777" w:rsidTr="00C02105">
        <w:tc>
          <w:tcPr>
            <w:tcW w:w="189" w:type="pct"/>
            <w:vAlign w:val="center"/>
          </w:tcPr>
          <w:p w14:paraId="15AFF9AA" w14:textId="66428655" w:rsidR="00B21D6A" w:rsidRPr="00880699" w:rsidRDefault="00B21D6A" w:rsidP="00B21D6A">
            <w:pPr>
              <w:rPr>
                <w:sz w:val="16"/>
                <w:szCs w:val="16"/>
              </w:rPr>
            </w:pPr>
            <w:r>
              <w:rPr>
                <w:sz w:val="16"/>
                <w:szCs w:val="16"/>
              </w:rPr>
              <w:t>38</w:t>
            </w:r>
          </w:p>
        </w:tc>
        <w:tc>
          <w:tcPr>
            <w:tcW w:w="755" w:type="pct"/>
            <w:vAlign w:val="center"/>
          </w:tcPr>
          <w:p w14:paraId="1B09A456" w14:textId="6E6D6E2B" w:rsidR="00B21D6A" w:rsidRPr="00880699" w:rsidRDefault="00B21D6A" w:rsidP="00B21D6A">
            <w:pPr>
              <w:jc w:val="center"/>
              <w:rPr>
                <w:sz w:val="16"/>
                <w:szCs w:val="16"/>
              </w:rPr>
            </w:pPr>
            <w:r>
              <w:rPr>
                <w:sz w:val="16"/>
                <w:szCs w:val="16"/>
              </w:rPr>
              <w:t>Skupinová diskuse</w:t>
            </w:r>
          </w:p>
        </w:tc>
        <w:tc>
          <w:tcPr>
            <w:tcW w:w="868" w:type="pct"/>
            <w:vAlign w:val="center"/>
          </w:tcPr>
          <w:p w14:paraId="5BF225D9" w14:textId="77285AB5" w:rsidR="00B21D6A" w:rsidRPr="00880699" w:rsidRDefault="00B21D6A" w:rsidP="00B21D6A">
            <w:pPr>
              <w:jc w:val="center"/>
              <w:rPr>
                <w:sz w:val="16"/>
                <w:szCs w:val="16"/>
              </w:rPr>
            </w:pPr>
            <w:r>
              <w:rPr>
                <w:sz w:val="16"/>
                <w:szCs w:val="16"/>
              </w:rPr>
              <w:t>MPO</w:t>
            </w:r>
          </w:p>
        </w:tc>
        <w:tc>
          <w:tcPr>
            <w:tcW w:w="2219" w:type="pct"/>
            <w:vAlign w:val="center"/>
          </w:tcPr>
          <w:p w14:paraId="73A2CEEB" w14:textId="6F4C3447" w:rsidR="00B21D6A" w:rsidRPr="00880699" w:rsidRDefault="00140314" w:rsidP="00B21D6A">
            <w:pPr>
              <w:rPr>
                <w:sz w:val="16"/>
                <w:szCs w:val="16"/>
              </w:rPr>
            </w:pPr>
            <w:r>
              <w:rPr>
                <w:sz w:val="16"/>
                <w:szCs w:val="16"/>
              </w:rPr>
              <w:t>Oddělení podpory MSP</w:t>
            </w:r>
          </w:p>
        </w:tc>
        <w:tc>
          <w:tcPr>
            <w:tcW w:w="969" w:type="pct"/>
            <w:vAlign w:val="center"/>
          </w:tcPr>
          <w:p w14:paraId="47E90C73" w14:textId="6B442F28" w:rsidR="00B21D6A" w:rsidRPr="00880699" w:rsidRDefault="00B21D6A" w:rsidP="00B21D6A">
            <w:pPr>
              <w:jc w:val="center"/>
              <w:rPr>
                <w:sz w:val="16"/>
                <w:szCs w:val="16"/>
              </w:rPr>
            </w:pPr>
            <w:r>
              <w:rPr>
                <w:sz w:val="16"/>
                <w:szCs w:val="16"/>
              </w:rPr>
              <w:t>9. 7. 2020</w:t>
            </w:r>
          </w:p>
        </w:tc>
      </w:tr>
    </w:tbl>
    <w:p w14:paraId="730E6CE5" w14:textId="77777777" w:rsidR="00AC55EB" w:rsidRPr="00880699" w:rsidRDefault="00AC55EB" w:rsidP="0017475C">
      <w:pPr>
        <w:pStyle w:val="Heading2"/>
        <w:numPr>
          <w:ilvl w:val="0"/>
          <w:numId w:val="0"/>
        </w:numPr>
      </w:pPr>
      <w:r w:rsidRPr="00880699">
        <w:br w:type="page"/>
      </w:r>
    </w:p>
    <w:p w14:paraId="0B747532" w14:textId="77777777" w:rsidR="002E4237" w:rsidRPr="00880699" w:rsidRDefault="00C37417" w:rsidP="00461B29">
      <w:pPr>
        <w:pStyle w:val="Heading1"/>
        <w:numPr>
          <w:ilvl w:val="0"/>
          <w:numId w:val="0"/>
        </w:numPr>
        <w:spacing w:line="240" w:lineRule="auto"/>
      </w:pPr>
      <w:bookmarkStart w:id="38" w:name="_Toc52532097"/>
      <w:r w:rsidRPr="00880699">
        <w:lastRenderedPageBreak/>
        <w:t xml:space="preserve">Příloha </w:t>
      </w:r>
      <w:r w:rsidR="000276B9" w:rsidRPr="00880699">
        <w:t>2</w:t>
      </w:r>
      <w:r w:rsidRPr="00880699">
        <w:t xml:space="preserve">: </w:t>
      </w:r>
      <w:r w:rsidR="007716AE" w:rsidRPr="00880699">
        <w:t>Přehled n</w:t>
      </w:r>
      <w:r w:rsidR="0018497D" w:rsidRPr="00880699">
        <w:t>ejčastější</w:t>
      </w:r>
      <w:r w:rsidR="007716AE" w:rsidRPr="00880699">
        <w:t>ch</w:t>
      </w:r>
      <w:r w:rsidR="0018497D" w:rsidRPr="00880699">
        <w:t xml:space="preserve"> pochybení u</w:t>
      </w:r>
      <w:r w:rsidR="007716AE" w:rsidRPr="00880699">
        <w:t> </w:t>
      </w:r>
      <w:r w:rsidR="0018497D" w:rsidRPr="00880699">
        <w:t>příjemců podpory</w:t>
      </w:r>
      <w:bookmarkEnd w:id="38"/>
    </w:p>
    <w:p w14:paraId="0DC0B724" w14:textId="0A2E4AED" w:rsidR="00021A08" w:rsidRPr="00880699" w:rsidRDefault="00021A08" w:rsidP="00461B29">
      <w:pPr>
        <w:spacing w:after="120" w:line="240" w:lineRule="auto"/>
        <w:jc w:val="both"/>
      </w:pPr>
      <w:r w:rsidRPr="00880699">
        <w:t xml:space="preserve">Následující přehled zjištěných nedostatků představuje syntézu zjištění z kontrol na místě </w:t>
      </w:r>
      <w:r w:rsidR="00B53B73" w:rsidRPr="00880699">
        <w:t xml:space="preserve">realizovaných Odborem kontrol a nesrovnalostí </w:t>
      </w:r>
      <w:r w:rsidR="00566E3B">
        <w:t xml:space="preserve">MPO </w:t>
      </w:r>
      <w:r w:rsidR="00B53B73" w:rsidRPr="00880699">
        <w:t>u příjemců podpory v průběhu realizace podpořených projektů</w:t>
      </w:r>
      <w:r w:rsidRPr="00880699">
        <w:t>.</w:t>
      </w:r>
    </w:p>
    <w:p w14:paraId="3AE0B514" w14:textId="22518602" w:rsidR="00021A08" w:rsidRPr="00880699" w:rsidRDefault="00021A08" w:rsidP="00461B29">
      <w:pPr>
        <w:pStyle w:val="Caption"/>
        <w:spacing w:before="240" w:after="120"/>
      </w:pPr>
      <w:bookmarkStart w:id="39" w:name="_Toc52532113"/>
      <w:r w:rsidRPr="00880699">
        <w:t xml:space="preserve">Tabulka </w:t>
      </w:r>
      <w:r w:rsidRPr="00880699">
        <w:fldChar w:fldCharType="begin"/>
      </w:r>
      <w:r w:rsidRPr="00880699">
        <w:instrText xml:space="preserve"> SEQ Tabulka \* ARABIC </w:instrText>
      </w:r>
      <w:r w:rsidRPr="00880699">
        <w:fldChar w:fldCharType="separate"/>
      </w:r>
      <w:r w:rsidR="008E1911">
        <w:rPr>
          <w:noProof/>
        </w:rPr>
        <w:t>15</w:t>
      </w:r>
      <w:r w:rsidRPr="00880699">
        <w:fldChar w:fldCharType="end"/>
      </w:r>
      <w:r w:rsidRPr="00880699">
        <w:t xml:space="preserve"> Přehled zjištěných pochybení a nedostatků </w:t>
      </w:r>
      <w:r w:rsidR="0030009B" w:rsidRPr="00880699">
        <w:t xml:space="preserve">příjemců podpory </w:t>
      </w:r>
      <w:r w:rsidRPr="00880699">
        <w:t>při realizaci projektů</w:t>
      </w:r>
      <w:bookmarkEnd w:id="39"/>
    </w:p>
    <w:tbl>
      <w:tblPr>
        <w:tblStyle w:val="Deloittetable"/>
        <w:tblW w:w="5000" w:type="pct"/>
        <w:tblLook w:val="04A0" w:firstRow="1" w:lastRow="0" w:firstColumn="1" w:lastColumn="0" w:noHBand="0" w:noVBand="1"/>
      </w:tblPr>
      <w:tblGrid>
        <w:gridCol w:w="1433"/>
        <w:gridCol w:w="8313"/>
      </w:tblGrid>
      <w:tr w:rsidR="0018497D" w:rsidRPr="001F2DCC" w14:paraId="23617539" w14:textId="77777777" w:rsidTr="00461B29">
        <w:trPr>
          <w:cnfStyle w:val="100000000000" w:firstRow="1" w:lastRow="0" w:firstColumn="0" w:lastColumn="0" w:oddVBand="0" w:evenVBand="0" w:oddHBand="0" w:evenHBand="0" w:firstRowFirstColumn="0" w:firstRowLastColumn="0" w:lastRowFirstColumn="0" w:lastRowLastColumn="0"/>
          <w:tblHeader/>
        </w:trPr>
        <w:tc>
          <w:tcPr>
            <w:tcW w:w="735" w:type="pct"/>
          </w:tcPr>
          <w:p w14:paraId="598FA4F8" w14:textId="77777777" w:rsidR="0018497D" w:rsidRPr="00E105D8" w:rsidRDefault="0018497D" w:rsidP="00B71517">
            <w:pPr>
              <w:rPr>
                <w:rFonts w:asciiTheme="minorHAnsi" w:hAnsiTheme="minorHAnsi"/>
                <w:sz w:val="16"/>
                <w:szCs w:val="16"/>
              </w:rPr>
            </w:pPr>
            <w:r w:rsidRPr="00E105D8">
              <w:rPr>
                <w:sz w:val="16"/>
                <w:szCs w:val="16"/>
              </w:rPr>
              <w:t>Oblast</w:t>
            </w:r>
          </w:p>
        </w:tc>
        <w:tc>
          <w:tcPr>
            <w:tcW w:w="4265" w:type="pct"/>
          </w:tcPr>
          <w:p w14:paraId="76B89CBA" w14:textId="77777777" w:rsidR="0018497D" w:rsidRPr="00E105D8" w:rsidRDefault="0018497D" w:rsidP="00B71517">
            <w:pPr>
              <w:rPr>
                <w:rFonts w:asciiTheme="minorHAnsi" w:hAnsiTheme="minorHAnsi"/>
                <w:sz w:val="16"/>
                <w:szCs w:val="16"/>
              </w:rPr>
            </w:pPr>
            <w:r w:rsidRPr="00E105D8">
              <w:rPr>
                <w:sz w:val="16"/>
                <w:szCs w:val="16"/>
              </w:rPr>
              <w:t>Pochybení</w:t>
            </w:r>
          </w:p>
        </w:tc>
      </w:tr>
      <w:tr w:rsidR="0018497D" w:rsidRPr="001F2DCC" w14:paraId="248C1B6D" w14:textId="77777777" w:rsidTr="00265C3D">
        <w:tc>
          <w:tcPr>
            <w:tcW w:w="735" w:type="pct"/>
          </w:tcPr>
          <w:p w14:paraId="6CDAC3AD" w14:textId="77777777" w:rsidR="0018497D" w:rsidRPr="00E105D8" w:rsidRDefault="0018497D" w:rsidP="00B71517">
            <w:pPr>
              <w:rPr>
                <w:b/>
                <w:sz w:val="16"/>
                <w:szCs w:val="16"/>
              </w:rPr>
            </w:pPr>
            <w:r w:rsidRPr="00E105D8">
              <w:rPr>
                <w:b/>
                <w:sz w:val="16"/>
                <w:szCs w:val="16"/>
              </w:rPr>
              <w:t>Finanční řízení projektu</w:t>
            </w:r>
          </w:p>
        </w:tc>
        <w:tc>
          <w:tcPr>
            <w:tcW w:w="4265" w:type="pct"/>
          </w:tcPr>
          <w:p w14:paraId="1F91B7FD" w14:textId="6DECB047" w:rsidR="00021A08" w:rsidRPr="00E105D8" w:rsidRDefault="00021A08" w:rsidP="00A84E03">
            <w:pPr>
              <w:pStyle w:val="ListParagraph"/>
              <w:numPr>
                <w:ilvl w:val="0"/>
                <w:numId w:val="13"/>
              </w:numPr>
              <w:spacing w:after="160"/>
              <w:ind w:left="501"/>
              <w:rPr>
                <w:sz w:val="16"/>
                <w:szCs w:val="16"/>
              </w:rPr>
            </w:pPr>
            <w:r w:rsidRPr="00E105D8">
              <w:rPr>
                <w:sz w:val="16"/>
                <w:szCs w:val="16"/>
              </w:rPr>
              <w:t>Nedostatečně vedená analytika, oddělení účetnictví pro projekt, výjimečně zahrnuty i</w:t>
            </w:r>
            <w:r w:rsidR="00E978D5" w:rsidRPr="00E105D8">
              <w:rPr>
                <w:sz w:val="16"/>
                <w:szCs w:val="16"/>
              </w:rPr>
              <w:t> </w:t>
            </w:r>
            <w:r w:rsidRPr="00E105D8">
              <w:rPr>
                <w:sz w:val="16"/>
                <w:szCs w:val="16"/>
              </w:rPr>
              <w:t>výdaje nesouvisící s projektem</w:t>
            </w:r>
          </w:p>
          <w:p w14:paraId="344C2D5E" w14:textId="77777777" w:rsidR="00021A08" w:rsidRPr="00E105D8" w:rsidRDefault="00021A08" w:rsidP="00A84E03">
            <w:pPr>
              <w:pStyle w:val="ListParagraph"/>
              <w:numPr>
                <w:ilvl w:val="0"/>
                <w:numId w:val="13"/>
              </w:numPr>
              <w:spacing w:after="160"/>
              <w:ind w:left="501"/>
              <w:rPr>
                <w:sz w:val="16"/>
                <w:szCs w:val="16"/>
              </w:rPr>
            </w:pPr>
            <w:r w:rsidRPr="00E105D8">
              <w:rPr>
                <w:sz w:val="16"/>
                <w:szCs w:val="16"/>
              </w:rPr>
              <w:t>Chybné účtování výdajů v projektu – investiční vs</w:t>
            </w:r>
            <w:r w:rsidR="00E978D5" w:rsidRPr="00E105D8">
              <w:rPr>
                <w:sz w:val="16"/>
                <w:szCs w:val="16"/>
              </w:rPr>
              <w:t>.</w:t>
            </w:r>
            <w:r w:rsidRPr="00E105D8">
              <w:rPr>
                <w:sz w:val="16"/>
                <w:szCs w:val="16"/>
              </w:rPr>
              <w:t xml:space="preserve"> neinvestiční (dlouhodobý majetek, náklady) </w:t>
            </w:r>
          </w:p>
          <w:p w14:paraId="69753B6C" w14:textId="77777777" w:rsidR="00E978D5" w:rsidRPr="00E105D8" w:rsidRDefault="00021A08" w:rsidP="00A84E03">
            <w:pPr>
              <w:pStyle w:val="ListParagraph"/>
              <w:numPr>
                <w:ilvl w:val="0"/>
                <w:numId w:val="13"/>
              </w:numPr>
              <w:spacing w:after="160"/>
              <w:ind w:left="501"/>
              <w:rPr>
                <w:sz w:val="16"/>
                <w:szCs w:val="16"/>
              </w:rPr>
            </w:pPr>
            <w:r w:rsidRPr="00E105D8">
              <w:rPr>
                <w:sz w:val="16"/>
                <w:szCs w:val="16"/>
              </w:rPr>
              <w:t>Chybné účtování o dotaci (předpis dotace) – rozlišení dotace na investiční a neinvestiční výdaje</w:t>
            </w:r>
          </w:p>
          <w:p w14:paraId="51759AFD" w14:textId="5B19BAA4" w:rsidR="00021A08" w:rsidRPr="00E105D8" w:rsidRDefault="00021A08" w:rsidP="00A84E03">
            <w:pPr>
              <w:pStyle w:val="ListParagraph"/>
              <w:numPr>
                <w:ilvl w:val="0"/>
                <w:numId w:val="13"/>
              </w:numPr>
              <w:spacing w:after="160"/>
              <w:ind w:left="501"/>
              <w:rPr>
                <w:sz w:val="16"/>
                <w:szCs w:val="16"/>
              </w:rPr>
            </w:pPr>
            <w:r w:rsidRPr="00E105D8">
              <w:rPr>
                <w:sz w:val="16"/>
                <w:szCs w:val="16"/>
              </w:rPr>
              <w:t xml:space="preserve">Nepřiřazení výdajů do rozpočtové položky v souladu s Podnikatelským záměrem </w:t>
            </w:r>
            <w:r w:rsidR="00566E3B" w:rsidRPr="00E105D8">
              <w:rPr>
                <w:sz w:val="16"/>
                <w:szCs w:val="16"/>
              </w:rPr>
              <w:br/>
            </w:r>
            <w:r w:rsidRPr="00E105D8">
              <w:rPr>
                <w:sz w:val="16"/>
                <w:szCs w:val="16"/>
              </w:rPr>
              <w:t>a Rozhodnutím o poskytnutí dotace při nárokování v Žádosti o platbu</w:t>
            </w:r>
          </w:p>
          <w:p w14:paraId="27C7C64F" w14:textId="77777777" w:rsidR="00021A08" w:rsidRPr="00E105D8" w:rsidRDefault="00021A08" w:rsidP="00A84E03">
            <w:pPr>
              <w:pStyle w:val="ListParagraph"/>
              <w:numPr>
                <w:ilvl w:val="0"/>
                <w:numId w:val="13"/>
              </w:numPr>
              <w:spacing w:after="160"/>
              <w:ind w:left="501"/>
              <w:rPr>
                <w:sz w:val="16"/>
                <w:szCs w:val="16"/>
              </w:rPr>
            </w:pPr>
            <w:r w:rsidRPr="00E105D8">
              <w:rPr>
                <w:sz w:val="16"/>
                <w:szCs w:val="16"/>
              </w:rPr>
              <w:t>Neuvedení povinných údajů na účetních dokladech, Soupiska dokladů není v souladu s předloženými účetními doklady</w:t>
            </w:r>
          </w:p>
          <w:p w14:paraId="360F9BD7" w14:textId="77777777" w:rsidR="00021A08" w:rsidRPr="00E105D8" w:rsidRDefault="00021A08" w:rsidP="00A84E03">
            <w:pPr>
              <w:pStyle w:val="ListParagraph"/>
              <w:numPr>
                <w:ilvl w:val="0"/>
                <w:numId w:val="13"/>
              </w:numPr>
              <w:spacing w:after="160"/>
              <w:ind w:left="501"/>
              <w:rPr>
                <w:sz w:val="16"/>
                <w:szCs w:val="16"/>
              </w:rPr>
            </w:pPr>
            <w:r w:rsidRPr="00E105D8">
              <w:rPr>
                <w:sz w:val="16"/>
                <w:szCs w:val="16"/>
              </w:rPr>
              <w:t>Chybné přepočty způsobilých výdajů – nepoužívání kurzu v den úhrady dle ČNB pro stanovení způsobilých výdajů</w:t>
            </w:r>
          </w:p>
          <w:p w14:paraId="0FDA6A77" w14:textId="2C338DA1" w:rsidR="00021A08" w:rsidRPr="00E105D8" w:rsidRDefault="00021A08" w:rsidP="00A84E03">
            <w:pPr>
              <w:pStyle w:val="ListParagraph"/>
              <w:numPr>
                <w:ilvl w:val="0"/>
                <w:numId w:val="13"/>
              </w:numPr>
              <w:spacing w:after="160"/>
              <w:ind w:left="501"/>
              <w:rPr>
                <w:sz w:val="16"/>
                <w:szCs w:val="16"/>
              </w:rPr>
            </w:pPr>
            <w:r w:rsidRPr="00E105D8">
              <w:rPr>
                <w:sz w:val="16"/>
                <w:szCs w:val="16"/>
              </w:rPr>
              <w:t>Chybějící údaje na výpisech z bankovního účtu a na výdajových dokladech jako variabilní symbol, č</w:t>
            </w:r>
            <w:r w:rsidR="00E978D5" w:rsidRPr="00E105D8">
              <w:rPr>
                <w:sz w:val="16"/>
                <w:szCs w:val="16"/>
              </w:rPr>
              <w:t>íslo</w:t>
            </w:r>
            <w:r w:rsidRPr="00E105D8">
              <w:rPr>
                <w:sz w:val="16"/>
                <w:szCs w:val="16"/>
              </w:rPr>
              <w:t xml:space="preserve"> účtu dodavatele – avíza k platbám, potvrzení dodavatele, případně potvrzení banky</w:t>
            </w:r>
          </w:p>
          <w:p w14:paraId="49330529" w14:textId="77777777" w:rsidR="00021A08" w:rsidRPr="00E105D8" w:rsidRDefault="00021A08" w:rsidP="00A84E03">
            <w:pPr>
              <w:pStyle w:val="ListParagraph"/>
              <w:numPr>
                <w:ilvl w:val="0"/>
                <w:numId w:val="13"/>
              </w:numPr>
              <w:spacing w:after="160"/>
              <w:ind w:left="501"/>
              <w:rPr>
                <w:sz w:val="16"/>
                <w:szCs w:val="16"/>
              </w:rPr>
            </w:pPr>
            <w:r w:rsidRPr="00E105D8">
              <w:rPr>
                <w:sz w:val="16"/>
                <w:szCs w:val="16"/>
              </w:rPr>
              <w:t>Nedokládání objednávek, dodacích listů (soupisů prací), předávacích protokolů, smluv</w:t>
            </w:r>
          </w:p>
          <w:p w14:paraId="4559DCFF" w14:textId="77777777" w:rsidR="00021A08" w:rsidRPr="00E105D8" w:rsidRDefault="00021A08" w:rsidP="00A84E03">
            <w:pPr>
              <w:pStyle w:val="ListParagraph"/>
              <w:numPr>
                <w:ilvl w:val="0"/>
                <w:numId w:val="13"/>
              </w:numPr>
              <w:spacing w:after="160"/>
              <w:ind w:left="501"/>
              <w:rPr>
                <w:sz w:val="16"/>
                <w:szCs w:val="16"/>
              </w:rPr>
            </w:pPr>
            <w:r w:rsidRPr="00E105D8">
              <w:rPr>
                <w:sz w:val="16"/>
                <w:szCs w:val="16"/>
              </w:rPr>
              <w:t>Nedoložení důvodů a podkladů, případně faktur na sankci z prodlení v případě nedodržení termínu dodání v souladu se smlouvou</w:t>
            </w:r>
          </w:p>
          <w:p w14:paraId="237FFA15" w14:textId="77777777" w:rsidR="00021A08" w:rsidRPr="00E105D8" w:rsidRDefault="00021A08" w:rsidP="00A84E03">
            <w:pPr>
              <w:pStyle w:val="ListParagraph"/>
              <w:numPr>
                <w:ilvl w:val="0"/>
                <w:numId w:val="13"/>
              </w:numPr>
              <w:spacing w:after="160"/>
              <w:ind w:left="501"/>
              <w:rPr>
                <w:sz w:val="16"/>
                <w:szCs w:val="16"/>
              </w:rPr>
            </w:pPr>
            <w:r w:rsidRPr="00E105D8">
              <w:rPr>
                <w:sz w:val="16"/>
                <w:szCs w:val="16"/>
              </w:rPr>
              <w:t>Nedodržení termínu dodání a vystavení faktury (DUZP), případně úhrady faktur do konce termínu ukončení pr</w:t>
            </w:r>
            <w:r w:rsidR="00A97B7A" w:rsidRPr="00E105D8">
              <w:rPr>
                <w:sz w:val="16"/>
                <w:szCs w:val="16"/>
              </w:rPr>
              <w:t>ojektu v souladu s výzvou</w:t>
            </w:r>
          </w:p>
          <w:p w14:paraId="7FA9AA21" w14:textId="62B3C2ED" w:rsidR="00021A08" w:rsidRPr="00E105D8" w:rsidRDefault="00A97B7A" w:rsidP="00A84E03">
            <w:pPr>
              <w:pStyle w:val="ListParagraph"/>
              <w:numPr>
                <w:ilvl w:val="0"/>
                <w:numId w:val="13"/>
              </w:numPr>
              <w:spacing w:after="160"/>
              <w:ind w:left="501"/>
              <w:rPr>
                <w:sz w:val="16"/>
                <w:szCs w:val="16"/>
              </w:rPr>
            </w:pPr>
            <w:r w:rsidRPr="00E105D8">
              <w:rPr>
                <w:sz w:val="16"/>
                <w:szCs w:val="16"/>
              </w:rPr>
              <w:t>C</w:t>
            </w:r>
            <w:r w:rsidR="00021A08" w:rsidRPr="00E105D8">
              <w:rPr>
                <w:sz w:val="16"/>
                <w:szCs w:val="16"/>
              </w:rPr>
              <w:t>hybné nárokování způsobilých výdajů a výše dotace v Žádosti o platbu</w:t>
            </w:r>
            <w:r w:rsidRPr="00E105D8">
              <w:rPr>
                <w:sz w:val="16"/>
                <w:szCs w:val="16"/>
              </w:rPr>
              <w:t xml:space="preserve">, </w:t>
            </w:r>
            <w:r w:rsidR="00021A08" w:rsidRPr="00E105D8">
              <w:rPr>
                <w:sz w:val="16"/>
                <w:szCs w:val="16"/>
              </w:rPr>
              <w:t>převyšují</w:t>
            </w:r>
            <w:r w:rsidRPr="00E105D8">
              <w:rPr>
                <w:sz w:val="16"/>
                <w:szCs w:val="16"/>
              </w:rPr>
              <w:t>cí</w:t>
            </w:r>
            <w:r w:rsidR="00021A08" w:rsidRPr="00E105D8">
              <w:rPr>
                <w:sz w:val="16"/>
                <w:szCs w:val="16"/>
              </w:rPr>
              <w:t xml:space="preserve"> rozpočet uvedený v</w:t>
            </w:r>
            <w:r w:rsidRPr="00E105D8">
              <w:rPr>
                <w:sz w:val="16"/>
                <w:szCs w:val="16"/>
              </w:rPr>
              <w:t> Rozhodnutí o poskytnutí dotace</w:t>
            </w:r>
          </w:p>
          <w:p w14:paraId="2AF09E2A" w14:textId="77777777" w:rsidR="00021A08" w:rsidRPr="00E105D8" w:rsidRDefault="00A97B7A" w:rsidP="00A84E03">
            <w:pPr>
              <w:pStyle w:val="ListParagraph"/>
              <w:numPr>
                <w:ilvl w:val="0"/>
                <w:numId w:val="13"/>
              </w:numPr>
              <w:spacing w:after="160"/>
              <w:ind w:left="501"/>
              <w:rPr>
                <w:sz w:val="16"/>
                <w:szCs w:val="16"/>
              </w:rPr>
            </w:pPr>
            <w:r w:rsidRPr="00E105D8">
              <w:rPr>
                <w:sz w:val="16"/>
                <w:szCs w:val="16"/>
              </w:rPr>
              <w:t>Realizace úhrady</w:t>
            </w:r>
            <w:r w:rsidR="00021A08" w:rsidRPr="00E105D8">
              <w:rPr>
                <w:sz w:val="16"/>
                <w:szCs w:val="16"/>
              </w:rPr>
              <w:t xml:space="preserve"> z bankovního účtu, který n</w:t>
            </w:r>
            <w:r w:rsidRPr="00E105D8">
              <w:rPr>
                <w:sz w:val="16"/>
                <w:szCs w:val="16"/>
              </w:rPr>
              <w:t>ebyl uveden v Žádosti o podporu</w:t>
            </w:r>
          </w:p>
          <w:p w14:paraId="6BF07391" w14:textId="77777777" w:rsidR="00021A08" w:rsidRPr="00E105D8" w:rsidRDefault="00A97B7A" w:rsidP="00A84E03">
            <w:pPr>
              <w:pStyle w:val="ListParagraph"/>
              <w:numPr>
                <w:ilvl w:val="0"/>
                <w:numId w:val="13"/>
              </w:numPr>
              <w:spacing w:after="160"/>
              <w:ind w:left="501"/>
              <w:rPr>
                <w:sz w:val="16"/>
                <w:szCs w:val="16"/>
              </w:rPr>
            </w:pPr>
            <w:r w:rsidRPr="00E105D8">
              <w:rPr>
                <w:sz w:val="16"/>
                <w:szCs w:val="16"/>
              </w:rPr>
              <w:t>Nedoložení karty majetku</w:t>
            </w:r>
          </w:p>
          <w:p w14:paraId="028E785E" w14:textId="77777777" w:rsidR="00021A08" w:rsidRPr="00E105D8" w:rsidRDefault="00A97B7A" w:rsidP="00A84E03">
            <w:pPr>
              <w:pStyle w:val="ListParagraph"/>
              <w:numPr>
                <w:ilvl w:val="0"/>
                <w:numId w:val="13"/>
              </w:numPr>
              <w:spacing w:after="160"/>
              <w:ind w:left="501"/>
              <w:rPr>
                <w:sz w:val="16"/>
                <w:szCs w:val="16"/>
              </w:rPr>
            </w:pPr>
            <w:r w:rsidRPr="00E105D8">
              <w:rPr>
                <w:sz w:val="16"/>
                <w:szCs w:val="16"/>
              </w:rPr>
              <w:t>N</w:t>
            </w:r>
            <w:r w:rsidR="00021A08" w:rsidRPr="00E105D8">
              <w:rPr>
                <w:sz w:val="16"/>
                <w:szCs w:val="16"/>
              </w:rPr>
              <w:t>esoulad mezi údaji uvedenými na faktuře a údaji uve</w:t>
            </w:r>
            <w:r w:rsidRPr="00E105D8">
              <w:rPr>
                <w:sz w:val="16"/>
                <w:szCs w:val="16"/>
              </w:rPr>
              <w:t>denými v podkladech k fakturaci</w:t>
            </w:r>
          </w:p>
          <w:p w14:paraId="2EAC56D6" w14:textId="77777777" w:rsidR="0018497D" w:rsidRPr="00E105D8" w:rsidRDefault="00A97B7A" w:rsidP="00A84E03">
            <w:pPr>
              <w:pStyle w:val="ListParagraph"/>
              <w:numPr>
                <w:ilvl w:val="0"/>
                <w:numId w:val="13"/>
              </w:numPr>
              <w:spacing w:after="160"/>
              <w:ind w:left="501"/>
              <w:rPr>
                <w:sz w:val="16"/>
                <w:szCs w:val="16"/>
              </w:rPr>
            </w:pPr>
            <w:r w:rsidRPr="00E105D8">
              <w:rPr>
                <w:sz w:val="16"/>
                <w:szCs w:val="16"/>
              </w:rPr>
              <w:t>O</w:t>
            </w:r>
            <w:r w:rsidR="00021A08" w:rsidRPr="00E105D8">
              <w:rPr>
                <w:sz w:val="16"/>
                <w:szCs w:val="16"/>
              </w:rPr>
              <w:t>sobní náklady: chybně vyplněný Výkaz práce – Roz</w:t>
            </w:r>
            <w:r w:rsidRPr="00E105D8">
              <w:rPr>
                <w:sz w:val="16"/>
                <w:szCs w:val="16"/>
              </w:rPr>
              <w:t>pis mzdových nákladů a dovolené</w:t>
            </w:r>
          </w:p>
        </w:tc>
      </w:tr>
      <w:tr w:rsidR="0018497D" w:rsidRPr="001F2DCC" w14:paraId="71145694" w14:textId="77777777" w:rsidTr="00265C3D">
        <w:tc>
          <w:tcPr>
            <w:tcW w:w="735" w:type="pct"/>
          </w:tcPr>
          <w:p w14:paraId="2E04DA3F" w14:textId="77777777" w:rsidR="0018497D" w:rsidRPr="00E105D8" w:rsidRDefault="00A97B7A" w:rsidP="00B71517">
            <w:pPr>
              <w:rPr>
                <w:b/>
                <w:sz w:val="16"/>
                <w:szCs w:val="16"/>
              </w:rPr>
            </w:pPr>
            <w:r w:rsidRPr="00E105D8">
              <w:rPr>
                <w:b/>
                <w:sz w:val="16"/>
                <w:szCs w:val="16"/>
              </w:rPr>
              <w:t>Výběrová řízení na Dodavatele</w:t>
            </w:r>
          </w:p>
        </w:tc>
        <w:tc>
          <w:tcPr>
            <w:tcW w:w="4265" w:type="pct"/>
          </w:tcPr>
          <w:p w14:paraId="0B357ED4" w14:textId="77777777" w:rsidR="00A97B7A" w:rsidRPr="00E105D8" w:rsidRDefault="00A97B7A" w:rsidP="00A84E03">
            <w:pPr>
              <w:pStyle w:val="ListParagraph"/>
              <w:numPr>
                <w:ilvl w:val="0"/>
                <w:numId w:val="12"/>
              </w:numPr>
              <w:spacing w:after="160"/>
              <w:ind w:left="501"/>
              <w:rPr>
                <w:sz w:val="16"/>
                <w:szCs w:val="16"/>
              </w:rPr>
            </w:pPr>
            <w:r w:rsidRPr="00E105D8">
              <w:rPr>
                <w:sz w:val="16"/>
                <w:szCs w:val="16"/>
              </w:rPr>
              <w:t>Nesprávné zvolení druhu zadavatele</w:t>
            </w:r>
          </w:p>
          <w:p w14:paraId="1E4F39A0" w14:textId="32318A21" w:rsidR="00A97B7A" w:rsidRPr="00E105D8" w:rsidRDefault="00E978D5" w:rsidP="00A84E03">
            <w:pPr>
              <w:pStyle w:val="ListParagraph"/>
              <w:numPr>
                <w:ilvl w:val="0"/>
                <w:numId w:val="12"/>
              </w:numPr>
              <w:spacing w:after="160"/>
              <w:ind w:left="501"/>
              <w:rPr>
                <w:sz w:val="16"/>
                <w:szCs w:val="16"/>
              </w:rPr>
            </w:pPr>
            <w:r w:rsidRPr="00E105D8">
              <w:rPr>
                <w:sz w:val="16"/>
                <w:szCs w:val="16"/>
              </w:rPr>
              <w:t>Nesprávně stanovená p</w:t>
            </w:r>
            <w:r w:rsidR="00A97B7A" w:rsidRPr="00E105D8">
              <w:rPr>
                <w:sz w:val="16"/>
                <w:szCs w:val="16"/>
              </w:rPr>
              <w:t>ředpokládaná hodnota zakázky</w:t>
            </w:r>
          </w:p>
          <w:p w14:paraId="606261DA" w14:textId="036AB3C6" w:rsidR="00A97B7A" w:rsidRPr="00E105D8" w:rsidRDefault="00E978D5" w:rsidP="00A84E03">
            <w:pPr>
              <w:pStyle w:val="ListParagraph"/>
              <w:numPr>
                <w:ilvl w:val="0"/>
                <w:numId w:val="12"/>
              </w:numPr>
              <w:spacing w:after="160"/>
              <w:ind w:left="501"/>
              <w:rPr>
                <w:sz w:val="16"/>
                <w:szCs w:val="16"/>
              </w:rPr>
            </w:pPr>
            <w:r w:rsidRPr="00E105D8">
              <w:rPr>
                <w:sz w:val="16"/>
                <w:szCs w:val="16"/>
              </w:rPr>
              <w:t xml:space="preserve">Nedodržení </w:t>
            </w:r>
            <w:r w:rsidR="00A97B7A" w:rsidRPr="00E105D8">
              <w:rPr>
                <w:sz w:val="16"/>
                <w:szCs w:val="16"/>
              </w:rPr>
              <w:t xml:space="preserve">povinné lhůty </w:t>
            </w:r>
            <w:r w:rsidRPr="00E105D8">
              <w:rPr>
                <w:sz w:val="16"/>
                <w:szCs w:val="16"/>
              </w:rPr>
              <w:t xml:space="preserve">příjemcem </w:t>
            </w:r>
            <w:r w:rsidR="00A97B7A" w:rsidRPr="00E105D8">
              <w:rPr>
                <w:sz w:val="16"/>
                <w:szCs w:val="16"/>
              </w:rPr>
              <w:t>(dle Pravidel pro výběr dodavatelů - PpVD, dle Zákona)</w:t>
            </w:r>
          </w:p>
          <w:p w14:paraId="3950C0E9" w14:textId="77777777" w:rsidR="0018497D" w:rsidRPr="00E105D8" w:rsidRDefault="00A97B7A" w:rsidP="00A84E03">
            <w:pPr>
              <w:pStyle w:val="ListParagraph"/>
              <w:numPr>
                <w:ilvl w:val="0"/>
                <w:numId w:val="12"/>
              </w:numPr>
              <w:spacing w:after="160"/>
              <w:ind w:left="501"/>
              <w:rPr>
                <w:sz w:val="16"/>
                <w:szCs w:val="16"/>
              </w:rPr>
            </w:pPr>
            <w:r w:rsidRPr="00E105D8">
              <w:rPr>
                <w:sz w:val="16"/>
                <w:szCs w:val="16"/>
              </w:rPr>
              <w:t>Nefunkční Profil zadavatele</w:t>
            </w:r>
          </w:p>
          <w:p w14:paraId="6A0586E1" w14:textId="77777777" w:rsidR="00A97B7A" w:rsidRPr="00E105D8" w:rsidRDefault="0092167E" w:rsidP="00A84E03">
            <w:pPr>
              <w:pStyle w:val="ListParagraph"/>
              <w:numPr>
                <w:ilvl w:val="0"/>
                <w:numId w:val="12"/>
              </w:numPr>
              <w:ind w:left="501"/>
              <w:rPr>
                <w:sz w:val="16"/>
                <w:szCs w:val="16"/>
              </w:rPr>
            </w:pPr>
            <w:r w:rsidRPr="00E105D8">
              <w:rPr>
                <w:sz w:val="16"/>
                <w:szCs w:val="16"/>
              </w:rPr>
              <w:t>Neúplnost oznámení (např. umělé rozdělení zakázek na služby/dodávky/stavební práce)</w:t>
            </w:r>
          </w:p>
        </w:tc>
      </w:tr>
      <w:tr w:rsidR="0018497D" w:rsidRPr="001F2DCC" w14:paraId="60C84150" w14:textId="77777777" w:rsidTr="00265C3D">
        <w:tc>
          <w:tcPr>
            <w:tcW w:w="735" w:type="pct"/>
          </w:tcPr>
          <w:p w14:paraId="344A5ABC" w14:textId="77777777" w:rsidR="0018497D" w:rsidRPr="00E105D8" w:rsidRDefault="0092167E" w:rsidP="00B71517">
            <w:pPr>
              <w:rPr>
                <w:b/>
                <w:sz w:val="16"/>
                <w:szCs w:val="16"/>
              </w:rPr>
            </w:pPr>
            <w:r w:rsidRPr="00E105D8">
              <w:rPr>
                <w:b/>
                <w:sz w:val="16"/>
                <w:szCs w:val="16"/>
              </w:rPr>
              <w:t>Zadávací dokumentace</w:t>
            </w:r>
          </w:p>
        </w:tc>
        <w:tc>
          <w:tcPr>
            <w:tcW w:w="4265" w:type="pct"/>
          </w:tcPr>
          <w:p w14:paraId="2387B896" w14:textId="77777777" w:rsidR="0092167E" w:rsidRPr="00E105D8" w:rsidRDefault="0092167E" w:rsidP="00A84E03">
            <w:pPr>
              <w:pStyle w:val="ListParagraph"/>
              <w:numPr>
                <w:ilvl w:val="0"/>
                <w:numId w:val="13"/>
              </w:numPr>
              <w:spacing w:after="160"/>
              <w:ind w:left="501"/>
              <w:rPr>
                <w:sz w:val="16"/>
                <w:szCs w:val="16"/>
              </w:rPr>
            </w:pPr>
            <w:r w:rsidRPr="00E105D8">
              <w:rPr>
                <w:sz w:val="16"/>
                <w:szCs w:val="16"/>
              </w:rPr>
              <w:t>Chybně zvolená PpVD zadavatelem</w:t>
            </w:r>
          </w:p>
          <w:p w14:paraId="28C1279D" w14:textId="77777777" w:rsidR="0092167E" w:rsidRPr="00E105D8" w:rsidRDefault="0092167E" w:rsidP="00A84E03">
            <w:pPr>
              <w:pStyle w:val="ListParagraph"/>
              <w:numPr>
                <w:ilvl w:val="0"/>
                <w:numId w:val="13"/>
              </w:numPr>
              <w:spacing w:after="160"/>
              <w:ind w:left="501"/>
              <w:rPr>
                <w:sz w:val="16"/>
                <w:szCs w:val="16"/>
              </w:rPr>
            </w:pPr>
            <w:r w:rsidRPr="00E105D8">
              <w:rPr>
                <w:sz w:val="16"/>
                <w:szCs w:val="16"/>
              </w:rPr>
              <w:t>ZD nebyla předložena při</w:t>
            </w:r>
            <w:r w:rsidR="00AB364A" w:rsidRPr="00E105D8">
              <w:rPr>
                <w:sz w:val="16"/>
                <w:szCs w:val="16"/>
              </w:rPr>
              <w:t xml:space="preserve"> kontrole na místě</w:t>
            </w:r>
          </w:p>
          <w:p w14:paraId="151972B4" w14:textId="77777777" w:rsidR="0092167E" w:rsidRPr="00E105D8" w:rsidRDefault="00AB364A" w:rsidP="00A84E03">
            <w:pPr>
              <w:pStyle w:val="ListParagraph"/>
              <w:numPr>
                <w:ilvl w:val="0"/>
                <w:numId w:val="13"/>
              </w:numPr>
              <w:spacing w:after="160"/>
              <w:ind w:left="501"/>
              <w:rPr>
                <w:sz w:val="16"/>
                <w:szCs w:val="16"/>
              </w:rPr>
            </w:pPr>
            <w:r w:rsidRPr="00E105D8">
              <w:rPr>
                <w:sz w:val="16"/>
                <w:szCs w:val="16"/>
              </w:rPr>
              <w:t xml:space="preserve">Nezveřejnění </w:t>
            </w:r>
            <w:r w:rsidR="0092167E" w:rsidRPr="00E105D8">
              <w:rPr>
                <w:sz w:val="16"/>
                <w:szCs w:val="16"/>
              </w:rPr>
              <w:t>příloh</w:t>
            </w:r>
            <w:r w:rsidRPr="00E105D8">
              <w:rPr>
                <w:sz w:val="16"/>
                <w:szCs w:val="16"/>
              </w:rPr>
              <w:t xml:space="preserve"> ZD</w:t>
            </w:r>
            <w:r w:rsidR="0092167E" w:rsidRPr="00E105D8">
              <w:rPr>
                <w:sz w:val="16"/>
                <w:szCs w:val="16"/>
              </w:rPr>
              <w:t xml:space="preserve"> v MS2014+ </w:t>
            </w:r>
            <w:r w:rsidRPr="00E105D8">
              <w:rPr>
                <w:sz w:val="16"/>
                <w:szCs w:val="16"/>
              </w:rPr>
              <w:t>a/nebo na profilu zadavatele</w:t>
            </w:r>
          </w:p>
          <w:p w14:paraId="0C520D81" w14:textId="77777777" w:rsidR="0092167E" w:rsidRPr="00E105D8" w:rsidRDefault="00AB364A" w:rsidP="00A84E03">
            <w:pPr>
              <w:pStyle w:val="ListParagraph"/>
              <w:numPr>
                <w:ilvl w:val="0"/>
                <w:numId w:val="13"/>
              </w:numPr>
              <w:spacing w:after="160"/>
              <w:ind w:left="501"/>
              <w:rPr>
                <w:sz w:val="16"/>
                <w:szCs w:val="16"/>
              </w:rPr>
            </w:pPr>
            <w:r w:rsidRPr="00E105D8">
              <w:rPr>
                <w:sz w:val="16"/>
                <w:szCs w:val="16"/>
              </w:rPr>
              <w:t>Nedoložení</w:t>
            </w:r>
            <w:r w:rsidR="0092167E" w:rsidRPr="00E105D8">
              <w:rPr>
                <w:sz w:val="16"/>
                <w:szCs w:val="16"/>
              </w:rPr>
              <w:t xml:space="preserve"> korespondence s účastníky – vyžádání ZD, dotazy, dodatečné informace, v případě požadavku zadávacích podmínek na poskytnutí ZD prohlášení o mlčenlivosti</w:t>
            </w:r>
          </w:p>
          <w:p w14:paraId="42DCC47C" w14:textId="77777777" w:rsidR="0092167E" w:rsidRPr="00E105D8" w:rsidRDefault="004619AD" w:rsidP="00A84E03">
            <w:pPr>
              <w:pStyle w:val="ListParagraph"/>
              <w:numPr>
                <w:ilvl w:val="0"/>
                <w:numId w:val="13"/>
              </w:numPr>
              <w:spacing w:after="160"/>
              <w:ind w:left="501"/>
              <w:rPr>
                <w:sz w:val="16"/>
                <w:szCs w:val="16"/>
              </w:rPr>
            </w:pPr>
            <w:r w:rsidRPr="00E105D8">
              <w:rPr>
                <w:sz w:val="16"/>
                <w:szCs w:val="16"/>
              </w:rPr>
              <w:t>Chybovost při identifikaci dílčího plnění dle P</w:t>
            </w:r>
            <w:r w:rsidR="00AB364A" w:rsidRPr="00E105D8">
              <w:rPr>
                <w:sz w:val="16"/>
                <w:szCs w:val="16"/>
              </w:rPr>
              <w:t>ravidel</w:t>
            </w:r>
            <w:r w:rsidRPr="00E105D8">
              <w:rPr>
                <w:sz w:val="16"/>
                <w:szCs w:val="16"/>
              </w:rPr>
              <w:t xml:space="preserve"> pro výběr</w:t>
            </w:r>
            <w:r w:rsidR="00AB364A" w:rsidRPr="00E105D8">
              <w:rPr>
                <w:sz w:val="16"/>
                <w:szCs w:val="16"/>
              </w:rPr>
              <w:t xml:space="preserve"> dodavatele</w:t>
            </w:r>
            <w:r w:rsidRPr="00E105D8">
              <w:rPr>
                <w:rStyle w:val="FootnoteReference"/>
                <w:sz w:val="16"/>
                <w:szCs w:val="16"/>
              </w:rPr>
              <w:footnoteReference w:id="40"/>
            </w:r>
          </w:p>
          <w:p w14:paraId="2A6AB2D9" w14:textId="77777777" w:rsidR="0092167E" w:rsidRPr="00E105D8" w:rsidRDefault="004619AD" w:rsidP="00A84E03">
            <w:pPr>
              <w:pStyle w:val="ListParagraph"/>
              <w:numPr>
                <w:ilvl w:val="0"/>
                <w:numId w:val="13"/>
              </w:numPr>
              <w:spacing w:after="160"/>
              <w:ind w:left="501"/>
              <w:rPr>
                <w:sz w:val="16"/>
                <w:szCs w:val="16"/>
              </w:rPr>
            </w:pPr>
            <w:r w:rsidRPr="00E105D8">
              <w:rPr>
                <w:sz w:val="16"/>
                <w:szCs w:val="16"/>
              </w:rPr>
              <w:t>Započítávání posledního dne lhůty do termínu</w:t>
            </w:r>
            <w:r w:rsidR="0092167E" w:rsidRPr="00E105D8">
              <w:rPr>
                <w:sz w:val="16"/>
                <w:szCs w:val="16"/>
              </w:rPr>
              <w:t xml:space="preserve"> pro podání nabídek</w:t>
            </w:r>
            <w:r w:rsidRPr="00E105D8">
              <w:rPr>
                <w:sz w:val="16"/>
                <w:szCs w:val="16"/>
              </w:rPr>
              <w:t xml:space="preserve"> (např. pokud</w:t>
            </w:r>
            <w:r w:rsidR="0092167E" w:rsidRPr="00E105D8">
              <w:rPr>
                <w:sz w:val="16"/>
                <w:szCs w:val="16"/>
              </w:rPr>
              <w:t xml:space="preserve"> te</w:t>
            </w:r>
            <w:r w:rsidRPr="00E105D8">
              <w:rPr>
                <w:sz w:val="16"/>
                <w:szCs w:val="16"/>
              </w:rPr>
              <w:t>n den končila např. ve 12 hodin)</w:t>
            </w:r>
          </w:p>
          <w:p w14:paraId="5A5BF497" w14:textId="77777777" w:rsidR="0092167E" w:rsidRPr="00E105D8" w:rsidRDefault="004619AD" w:rsidP="00A84E03">
            <w:pPr>
              <w:pStyle w:val="ListParagraph"/>
              <w:numPr>
                <w:ilvl w:val="0"/>
                <w:numId w:val="13"/>
              </w:numPr>
              <w:spacing w:after="160"/>
              <w:ind w:left="501"/>
              <w:rPr>
                <w:sz w:val="16"/>
                <w:szCs w:val="16"/>
              </w:rPr>
            </w:pPr>
            <w:r w:rsidRPr="00E105D8">
              <w:rPr>
                <w:sz w:val="16"/>
                <w:szCs w:val="16"/>
              </w:rPr>
              <w:t>N</w:t>
            </w:r>
            <w:r w:rsidR="0092167E" w:rsidRPr="00E105D8">
              <w:rPr>
                <w:sz w:val="16"/>
                <w:szCs w:val="16"/>
              </w:rPr>
              <w:t>esoulad oznám</w:t>
            </w:r>
            <w:r w:rsidRPr="00E105D8">
              <w:rPr>
                <w:sz w:val="16"/>
                <w:szCs w:val="16"/>
              </w:rPr>
              <w:t>ení a ZD (většinou v termínech)</w:t>
            </w:r>
          </w:p>
          <w:p w14:paraId="14C322D2" w14:textId="77777777" w:rsidR="0092167E" w:rsidRPr="00E105D8" w:rsidRDefault="004619AD" w:rsidP="00A84E03">
            <w:pPr>
              <w:pStyle w:val="ListParagraph"/>
              <w:numPr>
                <w:ilvl w:val="0"/>
                <w:numId w:val="13"/>
              </w:numPr>
              <w:spacing w:after="160"/>
              <w:ind w:left="501"/>
              <w:rPr>
                <w:sz w:val="16"/>
                <w:szCs w:val="16"/>
              </w:rPr>
            </w:pPr>
            <w:r w:rsidRPr="00E105D8">
              <w:rPr>
                <w:sz w:val="16"/>
                <w:szCs w:val="16"/>
              </w:rPr>
              <w:t>N</w:t>
            </w:r>
            <w:r w:rsidR="0092167E" w:rsidRPr="00E105D8">
              <w:rPr>
                <w:sz w:val="16"/>
                <w:szCs w:val="16"/>
              </w:rPr>
              <w:t>edostatečné prodloužení lhůty pro podání nabíde</w:t>
            </w:r>
            <w:r w:rsidRPr="00E105D8">
              <w:rPr>
                <w:sz w:val="16"/>
                <w:szCs w:val="16"/>
              </w:rPr>
              <w:t>k při změně zadávacích podmínek</w:t>
            </w:r>
          </w:p>
          <w:p w14:paraId="1D1B7D3A" w14:textId="77777777" w:rsidR="0092167E" w:rsidRPr="00E105D8" w:rsidRDefault="004619AD" w:rsidP="00A84E03">
            <w:pPr>
              <w:pStyle w:val="ListParagraph"/>
              <w:numPr>
                <w:ilvl w:val="0"/>
                <w:numId w:val="13"/>
              </w:numPr>
              <w:spacing w:after="160"/>
              <w:ind w:left="501"/>
              <w:rPr>
                <w:sz w:val="16"/>
                <w:szCs w:val="16"/>
              </w:rPr>
            </w:pPr>
            <w:r w:rsidRPr="00E105D8">
              <w:rPr>
                <w:sz w:val="16"/>
                <w:szCs w:val="16"/>
              </w:rPr>
              <w:t>Nezveřejnění dodatečných informací</w:t>
            </w:r>
            <w:r w:rsidR="0092167E" w:rsidRPr="00E105D8">
              <w:rPr>
                <w:sz w:val="16"/>
                <w:szCs w:val="16"/>
              </w:rPr>
              <w:t xml:space="preserve"> na profilu zadavatele či neodeslán</w:t>
            </w:r>
            <w:r w:rsidR="00732E2A" w:rsidRPr="00E105D8">
              <w:rPr>
                <w:sz w:val="16"/>
                <w:szCs w:val="16"/>
              </w:rPr>
              <w:t>í všem uchazečům</w:t>
            </w:r>
          </w:p>
          <w:p w14:paraId="429FD09E" w14:textId="2CA358C0" w:rsidR="0092167E" w:rsidRPr="00E105D8" w:rsidRDefault="00732E2A" w:rsidP="00A84E03">
            <w:pPr>
              <w:pStyle w:val="ListParagraph"/>
              <w:numPr>
                <w:ilvl w:val="0"/>
                <w:numId w:val="13"/>
              </w:numPr>
              <w:spacing w:after="160"/>
              <w:ind w:left="501"/>
              <w:rPr>
                <w:sz w:val="16"/>
                <w:szCs w:val="16"/>
              </w:rPr>
            </w:pPr>
            <w:r w:rsidRPr="00E105D8">
              <w:rPr>
                <w:sz w:val="16"/>
                <w:szCs w:val="16"/>
              </w:rPr>
              <w:t xml:space="preserve">Nedostatečné </w:t>
            </w:r>
            <w:r w:rsidR="0092167E" w:rsidRPr="00E105D8">
              <w:rPr>
                <w:sz w:val="16"/>
                <w:szCs w:val="16"/>
              </w:rPr>
              <w:t xml:space="preserve">stanovení hodnotících kritérií (bližší specifikace, některá mohou být </w:t>
            </w:r>
            <w:r w:rsidR="00566E3B" w:rsidRPr="00E105D8">
              <w:rPr>
                <w:sz w:val="16"/>
                <w:szCs w:val="16"/>
              </w:rPr>
              <w:br/>
            </w:r>
            <w:r w:rsidR="0092167E" w:rsidRPr="00E105D8">
              <w:rPr>
                <w:sz w:val="16"/>
                <w:szCs w:val="16"/>
              </w:rPr>
              <w:t>i diskriminační nebo se nedají měřit – např. technická kr</w:t>
            </w:r>
            <w:r w:rsidRPr="00E105D8">
              <w:rPr>
                <w:sz w:val="16"/>
                <w:szCs w:val="16"/>
              </w:rPr>
              <w:t>itéria, která jsou neměřitelná)</w:t>
            </w:r>
          </w:p>
          <w:p w14:paraId="0813203C" w14:textId="77777777" w:rsidR="0018497D" w:rsidRPr="00E105D8" w:rsidRDefault="00732E2A" w:rsidP="00A84E03">
            <w:pPr>
              <w:pStyle w:val="ListParagraph"/>
              <w:numPr>
                <w:ilvl w:val="0"/>
                <w:numId w:val="13"/>
              </w:numPr>
              <w:spacing w:after="160"/>
              <w:ind w:left="501"/>
              <w:rPr>
                <w:sz w:val="16"/>
                <w:szCs w:val="16"/>
              </w:rPr>
            </w:pPr>
            <w:r w:rsidRPr="00E105D8">
              <w:rPr>
                <w:sz w:val="16"/>
                <w:szCs w:val="16"/>
              </w:rPr>
              <w:lastRenderedPageBreak/>
              <w:t>Bezdůvodné omezení specifikace předmětu v ZD</w:t>
            </w:r>
            <w:r w:rsidR="0092167E" w:rsidRPr="00E105D8">
              <w:rPr>
                <w:sz w:val="16"/>
                <w:szCs w:val="16"/>
              </w:rPr>
              <w:t xml:space="preserve"> konkrétní technologi</w:t>
            </w:r>
            <w:r w:rsidRPr="00E105D8">
              <w:rPr>
                <w:sz w:val="16"/>
                <w:szCs w:val="16"/>
              </w:rPr>
              <w:t>í</w:t>
            </w:r>
            <w:r w:rsidR="0092167E" w:rsidRPr="00E105D8">
              <w:rPr>
                <w:sz w:val="16"/>
                <w:szCs w:val="16"/>
              </w:rPr>
              <w:t xml:space="preserve"> </w:t>
            </w:r>
            <w:r w:rsidRPr="00E105D8">
              <w:rPr>
                <w:sz w:val="16"/>
                <w:szCs w:val="16"/>
              </w:rPr>
              <w:t xml:space="preserve">bez relevantního </w:t>
            </w:r>
            <w:r w:rsidR="0092167E" w:rsidRPr="00E105D8">
              <w:rPr>
                <w:sz w:val="16"/>
                <w:szCs w:val="16"/>
              </w:rPr>
              <w:t>technologick</w:t>
            </w:r>
            <w:r w:rsidRPr="00E105D8">
              <w:rPr>
                <w:sz w:val="16"/>
                <w:szCs w:val="16"/>
              </w:rPr>
              <w:t>ého</w:t>
            </w:r>
            <w:r w:rsidR="0092167E" w:rsidRPr="00E105D8">
              <w:rPr>
                <w:sz w:val="16"/>
                <w:szCs w:val="16"/>
              </w:rPr>
              <w:t xml:space="preserve"> důvod</w:t>
            </w:r>
            <w:r w:rsidRPr="00E105D8">
              <w:rPr>
                <w:sz w:val="16"/>
                <w:szCs w:val="16"/>
              </w:rPr>
              <w:t>u</w:t>
            </w:r>
          </w:p>
        </w:tc>
      </w:tr>
      <w:tr w:rsidR="0018497D" w:rsidRPr="001F2DCC" w14:paraId="03B4E1BC" w14:textId="77777777" w:rsidTr="00265C3D">
        <w:tc>
          <w:tcPr>
            <w:tcW w:w="735" w:type="pct"/>
          </w:tcPr>
          <w:p w14:paraId="7D7E77A5" w14:textId="77777777" w:rsidR="0018497D" w:rsidRPr="00E105D8" w:rsidRDefault="0092167E" w:rsidP="00B71517">
            <w:pPr>
              <w:rPr>
                <w:b/>
                <w:sz w:val="16"/>
                <w:szCs w:val="16"/>
              </w:rPr>
            </w:pPr>
            <w:r w:rsidRPr="00E105D8">
              <w:rPr>
                <w:b/>
                <w:sz w:val="16"/>
                <w:szCs w:val="16"/>
              </w:rPr>
              <w:lastRenderedPageBreak/>
              <w:t>Hodnocení nabídek</w:t>
            </w:r>
          </w:p>
        </w:tc>
        <w:tc>
          <w:tcPr>
            <w:tcW w:w="4265" w:type="pct"/>
          </w:tcPr>
          <w:p w14:paraId="77C0F01F" w14:textId="77777777" w:rsidR="0092167E" w:rsidRPr="00E105D8" w:rsidRDefault="00732E2A" w:rsidP="00A84E03">
            <w:pPr>
              <w:pStyle w:val="ListParagraph"/>
              <w:numPr>
                <w:ilvl w:val="0"/>
                <w:numId w:val="14"/>
              </w:numPr>
              <w:spacing w:after="160"/>
              <w:ind w:left="501"/>
              <w:rPr>
                <w:sz w:val="16"/>
                <w:szCs w:val="16"/>
              </w:rPr>
            </w:pPr>
            <w:r w:rsidRPr="00E105D8">
              <w:rPr>
                <w:sz w:val="16"/>
                <w:szCs w:val="16"/>
              </w:rPr>
              <w:t xml:space="preserve">Nedodržování </w:t>
            </w:r>
            <w:r w:rsidR="0092167E" w:rsidRPr="00E105D8">
              <w:rPr>
                <w:sz w:val="16"/>
                <w:szCs w:val="16"/>
              </w:rPr>
              <w:t>termín</w:t>
            </w:r>
            <w:r w:rsidRPr="00E105D8">
              <w:rPr>
                <w:sz w:val="16"/>
                <w:szCs w:val="16"/>
              </w:rPr>
              <w:t>u</w:t>
            </w:r>
            <w:r w:rsidR="0092167E" w:rsidRPr="00E105D8">
              <w:rPr>
                <w:sz w:val="16"/>
                <w:szCs w:val="16"/>
              </w:rPr>
              <w:t xml:space="preserve"> </w:t>
            </w:r>
            <w:r w:rsidRPr="00E105D8">
              <w:rPr>
                <w:sz w:val="16"/>
                <w:szCs w:val="16"/>
              </w:rPr>
              <w:t xml:space="preserve">pro </w:t>
            </w:r>
            <w:r w:rsidR="0092167E" w:rsidRPr="00E105D8">
              <w:rPr>
                <w:sz w:val="16"/>
                <w:szCs w:val="16"/>
              </w:rPr>
              <w:t xml:space="preserve">otevírání obálek </w:t>
            </w:r>
            <w:r w:rsidRPr="00E105D8">
              <w:rPr>
                <w:sz w:val="16"/>
                <w:szCs w:val="16"/>
              </w:rPr>
              <w:t>(</w:t>
            </w:r>
            <w:r w:rsidR="0092167E" w:rsidRPr="00E105D8">
              <w:rPr>
                <w:sz w:val="16"/>
                <w:szCs w:val="16"/>
              </w:rPr>
              <w:t>bezprostředně po uk</w:t>
            </w:r>
            <w:r w:rsidRPr="00E105D8">
              <w:rPr>
                <w:sz w:val="16"/>
                <w:szCs w:val="16"/>
              </w:rPr>
              <w:t>ončení lhůty pro podání nabídek)</w:t>
            </w:r>
          </w:p>
          <w:p w14:paraId="3FC8C6C7" w14:textId="77777777" w:rsidR="0092167E" w:rsidRPr="00E105D8" w:rsidRDefault="00732E2A" w:rsidP="00A84E03">
            <w:pPr>
              <w:pStyle w:val="ListParagraph"/>
              <w:numPr>
                <w:ilvl w:val="0"/>
                <w:numId w:val="14"/>
              </w:numPr>
              <w:spacing w:after="160"/>
              <w:ind w:left="501"/>
              <w:rPr>
                <w:sz w:val="16"/>
                <w:szCs w:val="16"/>
              </w:rPr>
            </w:pPr>
            <w:r w:rsidRPr="00E105D8">
              <w:rPr>
                <w:sz w:val="16"/>
                <w:szCs w:val="16"/>
              </w:rPr>
              <w:t>U</w:t>
            </w:r>
            <w:r w:rsidR="0092167E" w:rsidRPr="00E105D8">
              <w:rPr>
                <w:sz w:val="16"/>
                <w:szCs w:val="16"/>
              </w:rPr>
              <w:t xml:space="preserve"> subjektivních hodnotících kritérií (např. technická specifikace) není uvedeno, jakým způsobem se body přidělují, popř. uveden vzorec pro výpočet, případně d</w:t>
            </w:r>
            <w:r w:rsidRPr="00E105D8">
              <w:rPr>
                <w:sz w:val="16"/>
                <w:szCs w:val="16"/>
              </w:rPr>
              <w:t>iskriminačně nastavena kritéria</w:t>
            </w:r>
          </w:p>
          <w:p w14:paraId="147EA154" w14:textId="77777777" w:rsidR="0092167E" w:rsidRPr="00E105D8" w:rsidRDefault="00732E2A" w:rsidP="00A84E03">
            <w:pPr>
              <w:pStyle w:val="ListParagraph"/>
              <w:numPr>
                <w:ilvl w:val="0"/>
                <w:numId w:val="14"/>
              </w:numPr>
              <w:spacing w:after="160"/>
              <w:ind w:left="501"/>
              <w:rPr>
                <w:sz w:val="16"/>
                <w:szCs w:val="16"/>
              </w:rPr>
            </w:pPr>
            <w:r w:rsidRPr="00E105D8">
              <w:rPr>
                <w:sz w:val="16"/>
                <w:szCs w:val="16"/>
              </w:rPr>
              <w:t>N</w:t>
            </w:r>
            <w:r w:rsidR="0092167E" w:rsidRPr="00E105D8">
              <w:rPr>
                <w:sz w:val="16"/>
                <w:szCs w:val="16"/>
              </w:rPr>
              <w:t xml:space="preserve">umerické a formální chyby </w:t>
            </w:r>
            <w:r w:rsidRPr="00E105D8">
              <w:rPr>
                <w:sz w:val="16"/>
                <w:szCs w:val="16"/>
              </w:rPr>
              <w:t xml:space="preserve">při hodnocení více nabídek </w:t>
            </w:r>
            <w:r w:rsidR="0092167E" w:rsidRPr="00E105D8">
              <w:rPr>
                <w:sz w:val="16"/>
                <w:szCs w:val="16"/>
              </w:rPr>
              <w:t>(špatný součet, š</w:t>
            </w:r>
            <w:r w:rsidRPr="00E105D8">
              <w:rPr>
                <w:sz w:val="16"/>
                <w:szCs w:val="16"/>
              </w:rPr>
              <w:t>patně opsané hodnoty z nabídek)</w:t>
            </w:r>
          </w:p>
          <w:p w14:paraId="58FFCF9B" w14:textId="77777777" w:rsidR="0092167E" w:rsidRPr="00E105D8" w:rsidRDefault="00732E2A" w:rsidP="00A84E03">
            <w:pPr>
              <w:pStyle w:val="ListParagraph"/>
              <w:numPr>
                <w:ilvl w:val="0"/>
                <w:numId w:val="14"/>
              </w:numPr>
              <w:spacing w:after="160"/>
              <w:ind w:left="501"/>
              <w:rPr>
                <w:sz w:val="16"/>
                <w:szCs w:val="16"/>
              </w:rPr>
            </w:pPr>
            <w:r w:rsidRPr="00E105D8">
              <w:rPr>
                <w:sz w:val="16"/>
                <w:szCs w:val="16"/>
              </w:rPr>
              <w:t>Nevyřazení nabídek nesplňujících podmínky zadávací dokumentace</w:t>
            </w:r>
            <w:r w:rsidR="0092167E" w:rsidRPr="00E105D8">
              <w:rPr>
                <w:sz w:val="16"/>
                <w:szCs w:val="16"/>
              </w:rPr>
              <w:t xml:space="preserve"> (kvalifikace,</w:t>
            </w:r>
            <w:r w:rsidRPr="00E105D8">
              <w:rPr>
                <w:sz w:val="16"/>
                <w:szCs w:val="16"/>
              </w:rPr>
              <w:t xml:space="preserve"> technická specifikace)</w:t>
            </w:r>
          </w:p>
          <w:p w14:paraId="68CC6112" w14:textId="77777777" w:rsidR="0018497D" w:rsidRPr="00E105D8" w:rsidRDefault="00F97BC0" w:rsidP="00A84E03">
            <w:pPr>
              <w:pStyle w:val="ListParagraph"/>
              <w:numPr>
                <w:ilvl w:val="0"/>
                <w:numId w:val="14"/>
              </w:numPr>
              <w:spacing w:after="160"/>
              <w:ind w:left="501"/>
              <w:rPr>
                <w:sz w:val="16"/>
                <w:szCs w:val="16"/>
              </w:rPr>
            </w:pPr>
            <w:r w:rsidRPr="00E105D8">
              <w:rPr>
                <w:sz w:val="16"/>
                <w:szCs w:val="16"/>
              </w:rPr>
              <w:t>Nevyřazování nabídek ve</w:t>
            </w:r>
            <w:r w:rsidR="00732E2A" w:rsidRPr="00E105D8">
              <w:rPr>
                <w:sz w:val="16"/>
                <w:szCs w:val="16"/>
              </w:rPr>
              <w:t xml:space="preserve"> </w:t>
            </w:r>
            <w:r w:rsidRPr="00E105D8">
              <w:rPr>
                <w:sz w:val="16"/>
                <w:szCs w:val="16"/>
              </w:rPr>
              <w:t>střetu zájmů</w:t>
            </w:r>
          </w:p>
        </w:tc>
      </w:tr>
      <w:tr w:rsidR="0018497D" w:rsidRPr="001F2DCC" w14:paraId="42C428D0" w14:textId="77777777" w:rsidTr="00C1081E">
        <w:trPr>
          <w:trHeight w:val="814"/>
        </w:trPr>
        <w:tc>
          <w:tcPr>
            <w:tcW w:w="735" w:type="pct"/>
          </w:tcPr>
          <w:p w14:paraId="4D4495E1" w14:textId="77777777" w:rsidR="0018497D" w:rsidRPr="00E105D8" w:rsidRDefault="0092167E" w:rsidP="00B71517">
            <w:pPr>
              <w:rPr>
                <w:b/>
                <w:sz w:val="16"/>
                <w:szCs w:val="16"/>
              </w:rPr>
            </w:pPr>
            <w:r w:rsidRPr="00E105D8">
              <w:rPr>
                <w:b/>
                <w:sz w:val="16"/>
                <w:szCs w:val="16"/>
              </w:rPr>
              <w:t>Uzavírání smluv</w:t>
            </w:r>
          </w:p>
        </w:tc>
        <w:tc>
          <w:tcPr>
            <w:tcW w:w="4265" w:type="pct"/>
          </w:tcPr>
          <w:p w14:paraId="5B36B580" w14:textId="77777777" w:rsidR="0092167E" w:rsidRPr="00E105D8" w:rsidRDefault="00F97BC0" w:rsidP="00A84E03">
            <w:pPr>
              <w:pStyle w:val="ListParagraph"/>
              <w:numPr>
                <w:ilvl w:val="0"/>
                <w:numId w:val="15"/>
              </w:numPr>
              <w:spacing w:after="160"/>
              <w:ind w:left="501"/>
              <w:rPr>
                <w:sz w:val="16"/>
                <w:szCs w:val="16"/>
              </w:rPr>
            </w:pPr>
            <w:r w:rsidRPr="00E105D8">
              <w:rPr>
                <w:sz w:val="16"/>
                <w:szCs w:val="16"/>
              </w:rPr>
              <w:t xml:space="preserve">Prodlužování termínů realizace i v případech, kdy byl </w:t>
            </w:r>
            <w:r w:rsidR="0092167E" w:rsidRPr="00E105D8">
              <w:rPr>
                <w:sz w:val="16"/>
                <w:szCs w:val="16"/>
              </w:rPr>
              <w:t xml:space="preserve">jako hodnotící kritérium uveden termín dodání </w:t>
            </w:r>
          </w:p>
          <w:p w14:paraId="5CDDC464" w14:textId="77777777" w:rsidR="0018497D" w:rsidRPr="00E105D8" w:rsidRDefault="00F97BC0" w:rsidP="00A84E03">
            <w:pPr>
              <w:pStyle w:val="ListParagraph"/>
              <w:numPr>
                <w:ilvl w:val="0"/>
                <w:numId w:val="15"/>
              </w:numPr>
              <w:spacing w:after="160"/>
              <w:ind w:left="501"/>
              <w:rPr>
                <w:sz w:val="16"/>
                <w:szCs w:val="16"/>
              </w:rPr>
            </w:pPr>
            <w:r w:rsidRPr="00E105D8">
              <w:rPr>
                <w:sz w:val="16"/>
                <w:szCs w:val="16"/>
              </w:rPr>
              <w:t>Provádění podstatných</w:t>
            </w:r>
            <w:r w:rsidR="0092167E" w:rsidRPr="00E105D8">
              <w:rPr>
                <w:sz w:val="16"/>
                <w:szCs w:val="16"/>
              </w:rPr>
              <w:t xml:space="preserve"> změn smlouvy</w:t>
            </w:r>
            <w:r w:rsidRPr="00E105D8">
              <w:rPr>
                <w:rStyle w:val="FootnoteReference"/>
                <w:sz w:val="16"/>
                <w:szCs w:val="16"/>
              </w:rPr>
              <w:footnoteReference w:id="41"/>
            </w:r>
          </w:p>
        </w:tc>
      </w:tr>
      <w:tr w:rsidR="0018497D" w:rsidRPr="001F2DCC" w14:paraId="76502985" w14:textId="77777777" w:rsidTr="00265C3D">
        <w:tc>
          <w:tcPr>
            <w:tcW w:w="735" w:type="pct"/>
          </w:tcPr>
          <w:p w14:paraId="7A5E9065" w14:textId="77777777" w:rsidR="0018497D" w:rsidRPr="00E105D8" w:rsidRDefault="00A97B7A" w:rsidP="00B71517">
            <w:pPr>
              <w:rPr>
                <w:b/>
                <w:sz w:val="16"/>
                <w:szCs w:val="16"/>
              </w:rPr>
            </w:pPr>
            <w:r w:rsidRPr="00E105D8">
              <w:rPr>
                <w:b/>
                <w:sz w:val="16"/>
                <w:szCs w:val="16"/>
              </w:rPr>
              <w:t>Indikátory</w:t>
            </w:r>
          </w:p>
        </w:tc>
        <w:tc>
          <w:tcPr>
            <w:tcW w:w="4265" w:type="pct"/>
          </w:tcPr>
          <w:p w14:paraId="18D674EB" w14:textId="19AFB5EF" w:rsidR="0018497D" w:rsidRPr="00E105D8" w:rsidRDefault="00A97B7A" w:rsidP="00A84E03">
            <w:pPr>
              <w:pStyle w:val="ListParagraph"/>
              <w:numPr>
                <w:ilvl w:val="0"/>
                <w:numId w:val="11"/>
              </w:numPr>
              <w:ind w:left="501"/>
              <w:rPr>
                <w:sz w:val="16"/>
                <w:szCs w:val="16"/>
              </w:rPr>
            </w:pPr>
            <w:r w:rsidRPr="00E105D8">
              <w:rPr>
                <w:rFonts w:eastAsia="Times New Roman"/>
                <w:sz w:val="16"/>
                <w:szCs w:val="16"/>
              </w:rPr>
              <w:t>Ne</w:t>
            </w:r>
            <w:r w:rsidR="00F97BC0" w:rsidRPr="00E105D8">
              <w:rPr>
                <w:rFonts w:eastAsia="Times New Roman"/>
                <w:sz w:val="16"/>
                <w:szCs w:val="16"/>
              </w:rPr>
              <w:t>doložení</w:t>
            </w:r>
            <w:r w:rsidRPr="00E105D8">
              <w:rPr>
                <w:rFonts w:eastAsia="Times New Roman"/>
                <w:sz w:val="16"/>
                <w:szCs w:val="16"/>
              </w:rPr>
              <w:t xml:space="preserve"> podklad</w:t>
            </w:r>
            <w:r w:rsidR="00F97BC0" w:rsidRPr="00E105D8">
              <w:rPr>
                <w:rFonts w:eastAsia="Times New Roman"/>
                <w:sz w:val="16"/>
                <w:szCs w:val="16"/>
              </w:rPr>
              <w:t>ů</w:t>
            </w:r>
            <w:r w:rsidRPr="00E105D8">
              <w:rPr>
                <w:rFonts w:eastAsia="Times New Roman"/>
                <w:sz w:val="16"/>
                <w:szCs w:val="16"/>
              </w:rPr>
              <w:t xml:space="preserve"> pro splnění indikátorů povinných k naplnění v souladu </w:t>
            </w:r>
            <w:r w:rsidR="00566E3B" w:rsidRPr="00E105D8">
              <w:rPr>
                <w:rFonts w:eastAsia="Times New Roman"/>
                <w:sz w:val="16"/>
                <w:szCs w:val="16"/>
              </w:rPr>
              <w:br/>
            </w:r>
            <w:r w:rsidRPr="00E105D8">
              <w:rPr>
                <w:rFonts w:eastAsia="Times New Roman"/>
                <w:sz w:val="16"/>
                <w:szCs w:val="16"/>
              </w:rPr>
              <w:t>s Rozhodnutím o poskytnutí dotace</w:t>
            </w:r>
            <w:r w:rsidR="00F97BC0" w:rsidRPr="00E105D8">
              <w:rPr>
                <w:rFonts w:eastAsia="Times New Roman"/>
                <w:sz w:val="16"/>
                <w:szCs w:val="16"/>
              </w:rPr>
              <w:t xml:space="preserve"> nebo jejich nesplnění v termínu</w:t>
            </w:r>
          </w:p>
        </w:tc>
      </w:tr>
      <w:tr w:rsidR="0018497D" w:rsidRPr="001F2DCC" w14:paraId="2184EFE0" w14:textId="77777777" w:rsidTr="00265C3D">
        <w:tc>
          <w:tcPr>
            <w:tcW w:w="735" w:type="pct"/>
          </w:tcPr>
          <w:p w14:paraId="7C55BE76" w14:textId="77777777" w:rsidR="0018497D" w:rsidRPr="00E105D8" w:rsidRDefault="0092167E" w:rsidP="00B71517">
            <w:pPr>
              <w:rPr>
                <w:b/>
                <w:sz w:val="16"/>
                <w:szCs w:val="16"/>
              </w:rPr>
            </w:pPr>
            <w:r w:rsidRPr="00E105D8">
              <w:rPr>
                <w:b/>
                <w:sz w:val="16"/>
                <w:szCs w:val="16"/>
              </w:rPr>
              <w:t>Kontrola MSP</w:t>
            </w:r>
          </w:p>
        </w:tc>
        <w:tc>
          <w:tcPr>
            <w:tcW w:w="4265" w:type="pct"/>
          </w:tcPr>
          <w:p w14:paraId="0078AB7C" w14:textId="77777777" w:rsidR="0092167E" w:rsidRPr="00E105D8" w:rsidRDefault="00F97BC0" w:rsidP="00A84E03">
            <w:pPr>
              <w:pStyle w:val="ListParagraph"/>
              <w:numPr>
                <w:ilvl w:val="0"/>
                <w:numId w:val="16"/>
              </w:numPr>
              <w:spacing w:after="160"/>
              <w:ind w:left="501"/>
              <w:rPr>
                <w:b/>
                <w:bCs/>
                <w:sz w:val="16"/>
                <w:szCs w:val="16"/>
              </w:rPr>
            </w:pPr>
            <w:r w:rsidRPr="00E105D8">
              <w:rPr>
                <w:sz w:val="16"/>
                <w:szCs w:val="16"/>
              </w:rPr>
              <w:t xml:space="preserve">Neuvedení </w:t>
            </w:r>
            <w:r w:rsidR="0092167E" w:rsidRPr="00E105D8">
              <w:rPr>
                <w:sz w:val="16"/>
                <w:szCs w:val="16"/>
              </w:rPr>
              <w:t>další</w:t>
            </w:r>
            <w:r w:rsidRPr="00E105D8">
              <w:rPr>
                <w:sz w:val="16"/>
                <w:szCs w:val="16"/>
              </w:rPr>
              <w:t>ch</w:t>
            </w:r>
            <w:r w:rsidR="0092167E" w:rsidRPr="00E105D8">
              <w:rPr>
                <w:sz w:val="16"/>
                <w:szCs w:val="16"/>
              </w:rPr>
              <w:t xml:space="preserve"> partnersk</w:t>
            </w:r>
            <w:r w:rsidRPr="00E105D8">
              <w:rPr>
                <w:sz w:val="16"/>
                <w:szCs w:val="16"/>
              </w:rPr>
              <w:t>ých</w:t>
            </w:r>
            <w:r w:rsidR="0092167E" w:rsidRPr="00E105D8">
              <w:rPr>
                <w:sz w:val="16"/>
                <w:szCs w:val="16"/>
              </w:rPr>
              <w:t xml:space="preserve"> či propojen</w:t>
            </w:r>
            <w:r w:rsidRPr="00E105D8">
              <w:rPr>
                <w:sz w:val="16"/>
                <w:szCs w:val="16"/>
              </w:rPr>
              <w:t>ých podniků</w:t>
            </w:r>
          </w:p>
          <w:p w14:paraId="305755D7" w14:textId="77777777" w:rsidR="0018497D" w:rsidRPr="00E105D8" w:rsidRDefault="00F97BC0" w:rsidP="00A84E03">
            <w:pPr>
              <w:pStyle w:val="ListParagraph"/>
              <w:numPr>
                <w:ilvl w:val="0"/>
                <w:numId w:val="16"/>
              </w:numPr>
              <w:spacing w:after="160"/>
              <w:ind w:left="501"/>
              <w:rPr>
                <w:sz w:val="16"/>
                <w:szCs w:val="16"/>
              </w:rPr>
            </w:pPr>
            <w:r w:rsidRPr="00E105D8">
              <w:rPr>
                <w:sz w:val="16"/>
                <w:szCs w:val="16"/>
              </w:rPr>
              <w:t>N</w:t>
            </w:r>
            <w:r w:rsidR="0092167E" w:rsidRPr="00E105D8">
              <w:rPr>
                <w:sz w:val="16"/>
                <w:szCs w:val="16"/>
              </w:rPr>
              <w:t>e</w:t>
            </w:r>
            <w:r w:rsidRPr="00E105D8">
              <w:rPr>
                <w:sz w:val="16"/>
                <w:szCs w:val="16"/>
              </w:rPr>
              <w:t>doložení údajů</w:t>
            </w:r>
            <w:r w:rsidR="0092167E" w:rsidRPr="00E105D8">
              <w:rPr>
                <w:sz w:val="16"/>
                <w:szCs w:val="16"/>
              </w:rPr>
              <w:t xml:space="preserve"> za partnerské či propoj</w:t>
            </w:r>
            <w:r w:rsidRPr="00E105D8">
              <w:rPr>
                <w:sz w:val="16"/>
                <w:szCs w:val="16"/>
              </w:rPr>
              <w:t>ené podniky ze zahraničí</w:t>
            </w:r>
          </w:p>
        </w:tc>
      </w:tr>
    </w:tbl>
    <w:p w14:paraId="03F33065" w14:textId="77777777" w:rsidR="0018497D" w:rsidRPr="00880699" w:rsidRDefault="0018497D" w:rsidP="00B71517">
      <w:pPr>
        <w:spacing w:line="240" w:lineRule="auto"/>
      </w:pPr>
    </w:p>
    <w:p w14:paraId="23943D84" w14:textId="77777777" w:rsidR="00E93F30" w:rsidRPr="00880699" w:rsidRDefault="00E93F30" w:rsidP="00B71517">
      <w:pPr>
        <w:spacing w:line="240" w:lineRule="auto"/>
        <w:jc w:val="both"/>
        <w:rPr>
          <w:highlight w:val="yellow"/>
        </w:rPr>
      </w:pPr>
    </w:p>
    <w:p w14:paraId="0908B03C" w14:textId="77777777" w:rsidR="00E61437" w:rsidRPr="00880699" w:rsidRDefault="00747426" w:rsidP="00B71517">
      <w:pPr>
        <w:pStyle w:val="Bntext"/>
      </w:pPr>
      <w:r w:rsidRPr="00880699">
        <w:t xml:space="preserve"> </w:t>
      </w:r>
    </w:p>
    <w:p w14:paraId="2D5D9D44" w14:textId="77777777" w:rsidR="00E61437" w:rsidRPr="00880699" w:rsidRDefault="00E61437" w:rsidP="00B71517">
      <w:pPr>
        <w:spacing w:line="240" w:lineRule="auto"/>
        <w:jc w:val="both"/>
        <w:rPr>
          <w:highlight w:val="yellow"/>
        </w:rPr>
        <w:sectPr w:rsidR="00E61437" w:rsidRPr="00880699" w:rsidSect="004771E4">
          <w:pgSz w:w="11906" w:h="16838" w:code="9"/>
          <w:pgMar w:top="1440" w:right="1080" w:bottom="1440" w:left="1080" w:header="680" w:footer="567" w:gutter="0"/>
          <w:cols w:space="284"/>
          <w:titlePg/>
          <w:docGrid w:linePitch="360"/>
        </w:sectPr>
      </w:pPr>
    </w:p>
    <w:p w14:paraId="7B670304" w14:textId="37A5E96B" w:rsidR="00E93F30" w:rsidRDefault="0092664E" w:rsidP="007E2418">
      <w:pPr>
        <w:pStyle w:val="Heading1"/>
        <w:numPr>
          <w:ilvl w:val="0"/>
          <w:numId w:val="0"/>
        </w:numPr>
        <w:spacing w:after="240" w:line="240" w:lineRule="auto"/>
      </w:pPr>
      <w:bookmarkStart w:id="40" w:name="_Toc52532098"/>
      <w:r w:rsidRPr="00880699">
        <w:lastRenderedPageBreak/>
        <w:t xml:space="preserve">Příloha </w:t>
      </w:r>
      <w:r w:rsidR="009B0D06" w:rsidRPr="00880699">
        <w:t>3</w:t>
      </w:r>
      <w:r w:rsidRPr="00880699">
        <w:t xml:space="preserve">: </w:t>
      </w:r>
      <w:r w:rsidR="0064240C">
        <w:t>Přehled procesů s potenciálem využití RPA</w:t>
      </w:r>
      <w:bookmarkEnd w:id="40"/>
    </w:p>
    <w:p w14:paraId="72F87593" w14:textId="159C0FFB" w:rsidR="0064240C" w:rsidRDefault="0064240C" w:rsidP="0064240C">
      <w:r>
        <w:t xml:space="preserve">Následující tabulka obsahuje přehled procesů a subprocesů, které Zpracovatel identifikoval jako vhodné pro potenciální využití robotické automatizace (RPA). </w:t>
      </w:r>
    </w:p>
    <w:p w14:paraId="77202116" w14:textId="241BA3D5" w:rsidR="007E2418" w:rsidRDefault="007E2418" w:rsidP="007E2418">
      <w:pPr>
        <w:pStyle w:val="Caption"/>
      </w:pPr>
      <w:bookmarkStart w:id="41" w:name="_Toc52532114"/>
      <w:r>
        <w:t xml:space="preserve">Tabulka </w:t>
      </w:r>
      <w:r>
        <w:fldChar w:fldCharType="begin"/>
      </w:r>
      <w:r>
        <w:instrText xml:space="preserve"> SEQ Tabulka \* ARABIC </w:instrText>
      </w:r>
      <w:r>
        <w:fldChar w:fldCharType="separate"/>
      </w:r>
      <w:r w:rsidR="008E1911">
        <w:rPr>
          <w:noProof/>
        </w:rPr>
        <w:t>16</w:t>
      </w:r>
      <w:r>
        <w:fldChar w:fldCharType="end"/>
      </w:r>
      <w:r>
        <w:t xml:space="preserve"> Přehled procesů s potenciálem využití RPA</w:t>
      </w:r>
      <w:bookmarkEnd w:id="41"/>
    </w:p>
    <w:tbl>
      <w:tblPr>
        <w:tblStyle w:val="Deloittetable23"/>
        <w:tblW w:w="5000" w:type="pct"/>
        <w:tblCellMar>
          <w:top w:w="29" w:type="dxa"/>
          <w:left w:w="29" w:type="dxa"/>
          <w:bottom w:w="29" w:type="dxa"/>
          <w:right w:w="29" w:type="dxa"/>
        </w:tblCellMar>
        <w:tblLook w:val="04A0" w:firstRow="1" w:lastRow="0" w:firstColumn="1" w:lastColumn="0" w:noHBand="0" w:noVBand="1"/>
      </w:tblPr>
      <w:tblGrid>
        <w:gridCol w:w="1246"/>
        <w:gridCol w:w="2725"/>
        <w:gridCol w:w="3596"/>
        <w:gridCol w:w="2179"/>
      </w:tblGrid>
      <w:tr w:rsidR="008A0191" w:rsidRPr="008A0191" w14:paraId="0896F63D" w14:textId="77777777" w:rsidTr="1B8B314C">
        <w:trPr>
          <w:cnfStyle w:val="100000000000" w:firstRow="1" w:lastRow="0" w:firstColumn="0" w:lastColumn="0" w:oddVBand="0" w:evenVBand="0" w:oddHBand="0" w:evenHBand="0" w:firstRowFirstColumn="0" w:firstRowLastColumn="0" w:lastRowFirstColumn="0" w:lastRowLastColumn="0"/>
          <w:trHeight w:val="288"/>
          <w:tblHeader/>
        </w:trPr>
        <w:tc>
          <w:tcPr>
            <w:tcW w:w="639" w:type="pct"/>
            <w:tcBorders>
              <w:bottom w:val="single" w:sz="4" w:space="0" w:color="86BC25" w:themeColor="accent1"/>
            </w:tcBorders>
          </w:tcPr>
          <w:p w14:paraId="7A98BE5E" w14:textId="77777777" w:rsidR="008A0191" w:rsidRPr="008A0191" w:rsidRDefault="008A0191" w:rsidP="008A0191">
            <w:pPr>
              <w:rPr>
                <w:sz w:val="16"/>
                <w:szCs w:val="16"/>
              </w:rPr>
            </w:pPr>
            <w:r w:rsidRPr="008A0191">
              <w:rPr>
                <w:sz w:val="16"/>
                <w:szCs w:val="16"/>
              </w:rPr>
              <w:t>Oblast</w:t>
            </w:r>
          </w:p>
        </w:tc>
        <w:tc>
          <w:tcPr>
            <w:tcW w:w="1398" w:type="pct"/>
            <w:tcBorders>
              <w:bottom w:val="single" w:sz="4" w:space="0" w:color="86BC25" w:themeColor="accent1"/>
            </w:tcBorders>
          </w:tcPr>
          <w:p w14:paraId="50CC0BB7" w14:textId="77777777" w:rsidR="008A0191" w:rsidRPr="008A0191" w:rsidRDefault="008A0191" w:rsidP="008A0191">
            <w:pPr>
              <w:rPr>
                <w:sz w:val="16"/>
                <w:szCs w:val="16"/>
              </w:rPr>
            </w:pPr>
            <w:r w:rsidRPr="008A0191">
              <w:rPr>
                <w:sz w:val="16"/>
                <w:szCs w:val="16"/>
              </w:rPr>
              <w:t>Proces</w:t>
            </w:r>
          </w:p>
        </w:tc>
        <w:tc>
          <w:tcPr>
            <w:tcW w:w="1845" w:type="pct"/>
            <w:tcBorders>
              <w:bottom w:val="single" w:sz="4" w:space="0" w:color="86BC25" w:themeColor="accent1"/>
            </w:tcBorders>
          </w:tcPr>
          <w:p w14:paraId="3EEA5727" w14:textId="77777777" w:rsidR="008A0191" w:rsidRPr="008A0191" w:rsidRDefault="008A0191" w:rsidP="008A0191">
            <w:pPr>
              <w:rPr>
                <w:sz w:val="16"/>
                <w:szCs w:val="16"/>
              </w:rPr>
            </w:pPr>
            <w:r w:rsidRPr="008A0191">
              <w:rPr>
                <w:sz w:val="16"/>
                <w:szCs w:val="16"/>
              </w:rPr>
              <w:t>Současný stav</w:t>
            </w:r>
          </w:p>
        </w:tc>
        <w:tc>
          <w:tcPr>
            <w:tcW w:w="1118" w:type="pct"/>
            <w:tcBorders>
              <w:bottom w:val="single" w:sz="4" w:space="0" w:color="86BC25" w:themeColor="accent1"/>
            </w:tcBorders>
          </w:tcPr>
          <w:p w14:paraId="3F1E4DAF" w14:textId="77777777" w:rsidR="008A0191" w:rsidRPr="008A0191" w:rsidRDefault="008A0191" w:rsidP="008A0191">
            <w:pPr>
              <w:rPr>
                <w:sz w:val="16"/>
                <w:szCs w:val="16"/>
              </w:rPr>
            </w:pPr>
            <w:r w:rsidRPr="008A0191">
              <w:rPr>
                <w:sz w:val="16"/>
                <w:szCs w:val="16"/>
              </w:rPr>
              <w:t>Návrh automatizace</w:t>
            </w:r>
          </w:p>
        </w:tc>
      </w:tr>
      <w:tr w:rsidR="008A0191" w:rsidRPr="008A0191" w14:paraId="57BD3107" w14:textId="77777777" w:rsidTr="1B8B314C">
        <w:trPr>
          <w:trHeight w:val="288"/>
        </w:trPr>
        <w:tc>
          <w:tcPr>
            <w:tcW w:w="639" w:type="pct"/>
            <w:vMerge w:val="restart"/>
            <w:tcBorders>
              <w:top w:val="single" w:sz="4" w:space="0" w:color="86BC25" w:themeColor="accent1"/>
            </w:tcBorders>
          </w:tcPr>
          <w:p w14:paraId="22713676" w14:textId="77777777" w:rsidR="008A0191" w:rsidRPr="008A0191" w:rsidRDefault="008A0191" w:rsidP="008A0191">
            <w:pPr>
              <w:rPr>
                <w:b/>
                <w:sz w:val="16"/>
                <w:szCs w:val="16"/>
              </w:rPr>
            </w:pPr>
            <w:r w:rsidRPr="008A0191">
              <w:rPr>
                <w:b/>
                <w:sz w:val="16"/>
                <w:szCs w:val="16"/>
              </w:rPr>
              <w:t>Formální kontrola náležitostí a přijatelnosti</w:t>
            </w:r>
          </w:p>
          <w:p w14:paraId="6C431E76" w14:textId="77777777" w:rsidR="008A0191" w:rsidRPr="008A0191" w:rsidRDefault="008A0191" w:rsidP="008A0191">
            <w:pPr>
              <w:rPr>
                <w:b/>
                <w:sz w:val="16"/>
                <w:szCs w:val="16"/>
              </w:rPr>
            </w:pPr>
          </w:p>
        </w:tc>
        <w:tc>
          <w:tcPr>
            <w:tcW w:w="1398" w:type="pct"/>
            <w:tcBorders>
              <w:top w:val="single" w:sz="4" w:space="0" w:color="86BC25" w:themeColor="accent1"/>
            </w:tcBorders>
          </w:tcPr>
          <w:p w14:paraId="65F48DA6" w14:textId="77777777" w:rsidR="008A0191" w:rsidRPr="008A0191" w:rsidRDefault="008A0191" w:rsidP="008A0191">
            <w:pPr>
              <w:rPr>
                <w:sz w:val="16"/>
                <w:szCs w:val="16"/>
              </w:rPr>
            </w:pPr>
            <w:r w:rsidRPr="008A0191">
              <w:rPr>
                <w:sz w:val="16"/>
                <w:szCs w:val="16"/>
              </w:rPr>
              <w:t xml:space="preserve">Kontrola de minimis  </w:t>
            </w:r>
          </w:p>
        </w:tc>
        <w:tc>
          <w:tcPr>
            <w:tcW w:w="1845" w:type="pct"/>
            <w:tcBorders>
              <w:top w:val="single" w:sz="4" w:space="0" w:color="86BC25" w:themeColor="accent1"/>
            </w:tcBorders>
          </w:tcPr>
          <w:p w14:paraId="71EB1203" w14:textId="77777777" w:rsidR="008A0191" w:rsidRPr="008A0191" w:rsidRDefault="008A0191" w:rsidP="008A0191">
            <w:pPr>
              <w:rPr>
                <w:sz w:val="16"/>
                <w:szCs w:val="16"/>
              </w:rPr>
            </w:pPr>
            <w:r w:rsidRPr="008A0191">
              <w:rPr>
                <w:sz w:val="16"/>
                <w:szCs w:val="16"/>
              </w:rPr>
              <w:t>Probíhá doložením Prohlášení žadatele</w:t>
            </w:r>
          </w:p>
        </w:tc>
        <w:tc>
          <w:tcPr>
            <w:tcW w:w="1118" w:type="pct"/>
            <w:tcBorders>
              <w:top w:val="single" w:sz="4" w:space="0" w:color="86BC25" w:themeColor="accent1"/>
            </w:tcBorders>
          </w:tcPr>
          <w:p w14:paraId="621EEED4" w14:textId="229E2408" w:rsidR="008A0191" w:rsidRPr="008A0191" w:rsidRDefault="008A0191" w:rsidP="008A0191">
            <w:pPr>
              <w:rPr>
                <w:sz w:val="16"/>
                <w:szCs w:val="16"/>
              </w:rPr>
            </w:pPr>
            <w:r>
              <w:rPr>
                <w:sz w:val="16"/>
                <w:szCs w:val="16"/>
              </w:rPr>
              <w:t>Robotická k</w:t>
            </w:r>
            <w:r w:rsidRPr="008A0191">
              <w:rPr>
                <w:sz w:val="16"/>
                <w:szCs w:val="16"/>
              </w:rPr>
              <w:t>ontrola de minimis z Portálu eAGRI</w:t>
            </w:r>
          </w:p>
        </w:tc>
      </w:tr>
      <w:tr w:rsidR="008A0191" w:rsidRPr="008A0191" w14:paraId="10C55C93" w14:textId="77777777" w:rsidTr="1B8B314C">
        <w:trPr>
          <w:trHeight w:val="288"/>
        </w:trPr>
        <w:tc>
          <w:tcPr>
            <w:tcW w:w="639" w:type="pct"/>
            <w:vMerge/>
          </w:tcPr>
          <w:p w14:paraId="100EB69B" w14:textId="77777777" w:rsidR="008A0191" w:rsidRPr="008A0191" w:rsidRDefault="008A0191" w:rsidP="008A0191">
            <w:pPr>
              <w:rPr>
                <w:b/>
                <w:sz w:val="16"/>
                <w:szCs w:val="16"/>
              </w:rPr>
            </w:pPr>
          </w:p>
        </w:tc>
        <w:tc>
          <w:tcPr>
            <w:tcW w:w="1398" w:type="pct"/>
          </w:tcPr>
          <w:p w14:paraId="1F8022B7" w14:textId="77777777" w:rsidR="008A0191" w:rsidRPr="008A0191" w:rsidRDefault="008A0191" w:rsidP="008A0191">
            <w:pPr>
              <w:rPr>
                <w:sz w:val="16"/>
                <w:szCs w:val="16"/>
              </w:rPr>
            </w:pPr>
            <w:r w:rsidRPr="008A0191">
              <w:rPr>
                <w:sz w:val="16"/>
                <w:szCs w:val="16"/>
              </w:rPr>
              <w:t>Kontrola úpadku žadatele</w:t>
            </w:r>
          </w:p>
        </w:tc>
        <w:tc>
          <w:tcPr>
            <w:tcW w:w="1845" w:type="pct"/>
          </w:tcPr>
          <w:p w14:paraId="11C0881F" w14:textId="77777777" w:rsidR="008A0191" w:rsidRPr="008A0191" w:rsidRDefault="008A0191" w:rsidP="008A0191">
            <w:pPr>
              <w:rPr>
                <w:sz w:val="16"/>
                <w:szCs w:val="16"/>
              </w:rPr>
            </w:pPr>
            <w:r w:rsidRPr="008A0191">
              <w:rPr>
                <w:sz w:val="16"/>
                <w:szCs w:val="16"/>
              </w:rPr>
              <w:t>Kontroluje PM ručně v OR a IR.</w:t>
            </w:r>
          </w:p>
        </w:tc>
        <w:tc>
          <w:tcPr>
            <w:tcW w:w="1118" w:type="pct"/>
          </w:tcPr>
          <w:p w14:paraId="2232C53C" w14:textId="2603782E" w:rsidR="008A0191" w:rsidRPr="008A0191" w:rsidRDefault="008A0191" w:rsidP="008A0191">
            <w:pPr>
              <w:rPr>
                <w:sz w:val="16"/>
                <w:szCs w:val="16"/>
              </w:rPr>
            </w:pPr>
            <w:r>
              <w:rPr>
                <w:sz w:val="16"/>
                <w:szCs w:val="16"/>
              </w:rPr>
              <w:t>Robotická k</w:t>
            </w:r>
            <w:r w:rsidRPr="008A0191">
              <w:rPr>
                <w:sz w:val="16"/>
                <w:szCs w:val="16"/>
              </w:rPr>
              <w:t>ontrola úpadku z Insolvenčního rejstříku, Obchodní rejstřík</w:t>
            </w:r>
          </w:p>
        </w:tc>
      </w:tr>
      <w:tr w:rsidR="008A0191" w:rsidRPr="008A0191" w14:paraId="566F73F8" w14:textId="77777777" w:rsidTr="1B8B314C">
        <w:trPr>
          <w:trHeight w:val="288"/>
        </w:trPr>
        <w:tc>
          <w:tcPr>
            <w:tcW w:w="639" w:type="pct"/>
            <w:vMerge/>
          </w:tcPr>
          <w:p w14:paraId="7E7D3BB4" w14:textId="77777777" w:rsidR="008A0191" w:rsidRPr="008A0191" w:rsidRDefault="008A0191" w:rsidP="008A0191">
            <w:pPr>
              <w:rPr>
                <w:b/>
                <w:sz w:val="16"/>
                <w:szCs w:val="16"/>
              </w:rPr>
            </w:pPr>
          </w:p>
        </w:tc>
        <w:tc>
          <w:tcPr>
            <w:tcW w:w="1398" w:type="pct"/>
          </w:tcPr>
          <w:p w14:paraId="25687376" w14:textId="77777777" w:rsidR="008A0191" w:rsidRPr="008A0191" w:rsidRDefault="008A0191" w:rsidP="008A0191">
            <w:pPr>
              <w:rPr>
                <w:sz w:val="16"/>
                <w:szCs w:val="16"/>
              </w:rPr>
            </w:pPr>
            <w:r w:rsidRPr="008A0191">
              <w:rPr>
                <w:sz w:val="16"/>
                <w:szCs w:val="16"/>
              </w:rPr>
              <w:t>Kontrola podniku v obtížích</w:t>
            </w:r>
          </w:p>
        </w:tc>
        <w:tc>
          <w:tcPr>
            <w:tcW w:w="1845" w:type="pct"/>
          </w:tcPr>
          <w:p w14:paraId="33222E24" w14:textId="780FE600" w:rsidR="008A0191" w:rsidRPr="008A0191" w:rsidRDefault="008A0191" w:rsidP="008A0191">
            <w:pPr>
              <w:rPr>
                <w:sz w:val="16"/>
                <w:szCs w:val="16"/>
              </w:rPr>
            </w:pPr>
            <w:r w:rsidRPr="008A0191">
              <w:rPr>
                <w:sz w:val="16"/>
                <w:szCs w:val="16"/>
              </w:rPr>
              <w:t>Manuá</w:t>
            </w:r>
            <w:r w:rsidR="007E2418">
              <w:rPr>
                <w:sz w:val="16"/>
                <w:szCs w:val="16"/>
              </w:rPr>
              <w:t xml:space="preserve">lní kontrola údajů vyplněných v </w:t>
            </w:r>
            <w:r w:rsidRPr="008A0191">
              <w:rPr>
                <w:sz w:val="16"/>
                <w:szCs w:val="16"/>
              </w:rPr>
              <w:t>.xls tabulce. Kontrola je pouze orientační a u projektů s dotací nad 20 mil. Kč.</w:t>
            </w:r>
          </w:p>
        </w:tc>
        <w:tc>
          <w:tcPr>
            <w:tcW w:w="1118" w:type="pct"/>
          </w:tcPr>
          <w:p w14:paraId="4150DE5D" w14:textId="77777777" w:rsidR="008A0191" w:rsidRPr="008A0191" w:rsidRDefault="008A0191" w:rsidP="008A0191">
            <w:pPr>
              <w:rPr>
                <w:sz w:val="16"/>
                <w:szCs w:val="16"/>
              </w:rPr>
            </w:pPr>
            <w:r w:rsidRPr="008A0191">
              <w:rPr>
                <w:sz w:val="16"/>
                <w:szCs w:val="16"/>
              </w:rPr>
              <w:t>Robotizace</w:t>
            </w:r>
          </w:p>
        </w:tc>
      </w:tr>
      <w:tr w:rsidR="008A0191" w:rsidRPr="008A0191" w14:paraId="1E6AF4B5" w14:textId="77777777" w:rsidTr="1B8B314C">
        <w:trPr>
          <w:trHeight w:val="288"/>
        </w:trPr>
        <w:tc>
          <w:tcPr>
            <w:tcW w:w="639" w:type="pct"/>
            <w:vMerge/>
          </w:tcPr>
          <w:p w14:paraId="0CC0D74D" w14:textId="77777777" w:rsidR="008A0191" w:rsidRPr="008A0191" w:rsidRDefault="008A0191" w:rsidP="008A0191">
            <w:pPr>
              <w:rPr>
                <w:b/>
                <w:sz w:val="16"/>
                <w:szCs w:val="16"/>
              </w:rPr>
            </w:pPr>
          </w:p>
        </w:tc>
        <w:tc>
          <w:tcPr>
            <w:tcW w:w="1398" w:type="pct"/>
          </w:tcPr>
          <w:p w14:paraId="5D104F28" w14:textId="77777777" w:rsidR="008A0191" w:rsidRPr="008A0191" w:rsidRDefault="008A0191" w:rsidP="008A0191">
            <w:pPr>
              <w:rPr>
                <w:sz w:val="16"/>
                <w:szCs w:val="16"/>
              </w:rPr>
            </w:pPr>
            <w:r w:rsidRPr="008A0191">
              <w:rPr>
                <w:sz w:val="16"/>
                <w:szCs w:val="16"/>
              </w:rPr>
              <w:t>Komunikace mezi Analytikem ratingu a PM, kontrola a vyjádření k CBA</w:t>
            </w:r>
          </w:p>
        </w:tc>
        <w:tc>
          <w:tcPr>
            <w:tcW w:w="1845" w:type="pct"/>
          </w:tcPr>
          <w:p w14:paraId="55B9957C" w14:textId="73CC53EF" w:rsidR="008A0191" w:rsidRPr="008A0191" w:rsidRDefault="40377960" w:rsidP="008A0191">
            <w:pPr>
              <w:rPr>
                <w:sz w:val="16"/>
                <w:szCs w:val="16"/>
              </w:rPr>
            </w:pPr>
            <w:r w:rsidRPr="1B8B314C">
              <w:rPr>
                <w:sz w:val="16"/>
                <w:szCs w:val="16"/>
              </w:rPr>
              <w:t>Probíhá v </w:t>
            </w:r>
            <w:r w:rsidR="7714101A" w:rsidRPr="1B8B314C">
              <w:rPr>
                <w:sz w:val="16"/>
                <w:szCs w:val="16"/>
              </w:rPr>
              <w:t>.</w:t>
            </w:r>
            <w:r w:rsidRPr="1B8B314C">
              <w:rPr>
                <w:sz w:val="16"/>
                <w:szCs w:val="16"/>
              </w:rPr>
              <w:t>xls excelových tabulkách na sdílených discích.</w:t>
            </w:r>
          </w:p>
        </w:tc>
        <w:tc>
          <w:tcPr>
            <w:tcW w:w="1118" w:type="pct"/>
          </w:tcPr>
          <w:p w14:paraId="4BA89BB9" w14:textId="77777777" w:rsidR="008A0191" w:rsidRPr="008A0191" w:rsidRDefault="008A0191" w:rsidP="008A0191">
            <w:pPr>
              <w:rPr>
                <w:sz w:val="16"/>
                <w:szCs w:val="16"/>
              </w:rPr>
            </w:pPr>
            <w:r w:rsidRPr="008A0191">
              <w:rPr>
                <w:sz w:val="16"/>
                <w:szCs w:val="16"/>
              </w:rPr>
              <w:t>Automatizace v MS2014+</w:t>
            </w:r>
          </w:p>
        </w:tc>
      </w:tr>
      <w:tr w:rsidR="008A0191" w:rsidRPr="008A0191" w14:paraId="1FEF1DD2" w14:textId="77777777" w:rsidTr="1B8B314C">
        <w:trPr>
          <w:trHeight w:val="288"/>
        </w:trPr>
        <w:tc>
          <w:tcPr>
            <w:tcW w:w="639" w:type="pct"/>
            <w:vMerge/>
          </w:tcPr>
          <w:p w14:paraId="083A77D5" w14:textId="77777777" w:rsidR="008A0191" w:rsidRPr="008A0191" w:rsidRDefault="008A0191" w:rsidP="008A0191">
            <w:pPr>
              <w:rPr>
                <w:b/>
                <w:sz w:val="16"/>
                <w:szCs w:val="16"/>
              </w:rPr>
            </w:pPr>
          </w:p>
        </w:tc>
        <w:tc>
          <w:tcPr>
            <w:tcW w:w="1398" w:type="pct"/>
          </w:tcPr>
          <w:p w14:paraId="4613E312" w14:textId="77777777" w:rsidR="008A0191" w:rsidRPr="008A0191" w:rsidRDefault="008A0191" w:rsidP="008A0191">
            <w:pPr>
              <w:rPr>
                <w:sz w:val="16"/>
                <w:szCs w:val="16"/>
              </w:rPr>
            </w:pPr>
            <w:r w:rsidRPr="008A0191">
              <w:rPr>
                <w:sz w:val="16"/>
                <w:szCs w:val="16"/>
              </w:rPr>
              <w:t>Založení Administrativního ověření v MS2014+</w:t>
            </w:r>
          </w:p>
        </w:tc>
        <w:tc>
          <w:tcPr>
            <w:tcW w:w="1845" w:type="pct"/>
          </w:tcPr>
          <w:p w14:paraId="03FB0854" w14:textId="77777777" w:rsidR="008A0191" w:rsidRPr="008A0191" w:rsidRDefault="008A0191" w:rsidP="008A0191">
            <w:pPr>
              <w:rPr>
                <w:sz w:val="16"/>
                <w:szCs w:val="16"/>
              </w:rPr>
            </w:pPr>
            <w:r w:rsidRPr="008A0191">
              <w:rPr>
                <w:sz w:val="16"/>
                <w:szCs w:val="16"/>
              </w:rPr>
              <w:t>PM vygeneruje a manuálně doplní KL, naskenuje vlastnickou strukturu, schémata, náhled z Arachne apod. do příloh AO</w:t>
            </w:r>
          </w:p>
        </w:tc>
        <w:tc>
          <w:tcPr>
            <w:tcW w:w="1118" w:type="pct"/>
          </w:tcPr>
          <w:p w14:paraId="507B2960" w14:textId="01CB6A5D" w:rsidR="008A0191" w:rsidRPr="008A0191" w:rsidRDefault="40377960" w:rsidP="008A0191">
            <w:pPr>
              <w:rPr>
                <w:sz w:val="16"/>
                <w:szCs w:val="16"/>
              </w:rPr>
            </w:pPr>
            <w:r w:rsidRPr="1B8B314C">
              <w:rPr>
                <w:sz w:val="16"/>
                <w:szCs w:val="16"/>
              </w:rPr>
              <w:t xml:space="preserve">Automatizace v MS2014+, vygenerování záložky pro VŘ, </w:t>
            </w:r>
            <w:r w:rsidR="00825645" w:rsidRPr="1B8B314C">
              <w:rPr>
                <w:sz w:val="16"/>
                <w:szCs w:val="16"/>
              </w:rPr>
              <w:t>ŽoPl</w:t>
            </w:r>
            <w:r w:rsidRPr="1B8B314C">
              <w:rPr>
                <w:sz w:val="16"/>
                <w:szCs w:val="16"/>
              </w:rPr>
              <w:t>, MSP</w:t>
            </w:r>
          </w:p>
        </w:tc>
      </w:tr>
      <w:tr w:rsidR="008A0191" w:rsidRPr="008A0191" w14:paraId="371CF85D" w14:textId="77777777" w:rsidTr="1B8B314C">
        <w:trPr>
          <w:trHeight w:val="288"/>
        </w:trPr>
        <w:tc>
          <w:tcPr>
            <w:tcW w:w="639" w:type="pct"/>
            <w:vMerge/>
          </w:tcPr>
          <w:p w14:paraId="3357C1E1" w14:textId="77777777" w:rsidR="008A0191" w:rsidRPr="008A0191" w:rsidRDefault="008A0191" w:rsidP="008A0191">
            <w:pPr>
              <w:rPr>
                <w:b/>
                <w:sz w:val="16"/>
                <w:szCs w:val="16"/>
              </w:rPr>
            </w:pPr>
          </w:p>
        </w:tc>
        <w:tc>
          <w:tcPr>
            <w:tcW w:w="1398" w:type="pct"/>
          </w:tcPr>
          <w:p w14:paraId="48B59E3E" w14:textId="77777777" w:rsidR="008A0191" w:rsidRPr="008A0191" w:rsidRDefault="008A0191" w:rsidP="008A0191">
            <w:pPr>
              <w:rPr>
                <w:sz w:val="16"/>
                <w:szCs w:val="16"/>
              </w:rPr>
            </w:pPr>
            <w:r w:rsidRPr="008A0191">
              <w:rPr>
                <w:sz w:val="16"/>
                <w:szCs w:val="16"/>
              </w:rPr>
              <w:t>Vydání Rozhodnutí v případě negativního hodnocení formálních náležitostí a přijatelnosti</w:t>
            </w:r>
          </w:p>
        </w:tc>
        <w:tc>
          <w:tcPr>
            <w:tcW w:w="1845" w:type="pct"/>
          </w:tcPr>
          <w:p w14:paraId="7A8491A1" w14:textId="77777777" w:rsidR="008A0191" w:rsidRPr="008A0191" w:rsidRDefault="008A0191" w:rsidP="008A0191">
            <w:pPr>
              <w:rPr>
                <w:sz w:val="16"/>
                <w:szCs w:val="16"/>
              </w:rPr>
            </w:pPr>
            <w:r w:rsidRPr="008A0191">
              <w:rPr>
                <w:sz w:val="16"/>
                <w:szCs w:val="16"/>
              </w:rPr>
              <w:t>Probíhá manuálně vygenerováním a doplněním D5_01_F_Rozhodnutí.</w:t>
            </w:r>
          </w:p>
        </w:tc>
        <w:tc>
          <w:tcPr>
            <w:tcW w:w="1118" w:type="pct"/>
          </w:tcPr>
          <w:p w14:paraId="4AD3B6E9" w14:textId="77777777" w:rsidR="008A0191" w:rsidRPr="008A0191" w:rsidRDefault="008A0191" w:rsidP="008A0191">
            <w:pPr>
              <w:rPr>
                <w:sz w:val="16"/>
                <w:szCs w:val="16"/>
              </w:rPr>
            </w:pPr>
            <w:r w:rsidRPr="008A0191">
              <w:rPr>
                <w:sz w:val="16"/>
                <w:szCs w:val="16"/>
              </w:rPr>
              <w:t>Automatizace v MS2014+</w:t>
            </w:r>
          </w:p>
        </w:tc>
      </w:tr>
      <w:tr w:rsidR="008A0191" w:rsidRPr="008A0191" w14:paraId="0859EDC9" w14:textId="77777777" w:rsidTr="1B8B314C">
        <w:trPr>
          <w:trHeight w:val="288"/>
        </w:trPr>
        <w:tc>
          <w:tcPr>
            <w:tcW w:w="639" w:type="pct"/>
            <w:vMerge w:val="restart"/>
          </w:tcPr>
          <w:p w14:paraId="6D70DAF4" w14:textId="77777777" w:rsidR="008A0191" w:rsidRPr="008A0191" w:rsidRDefault="008A0191" w:rsidP="008A0191">
            <w:pPr>
              <w:rPr>
                <w:b/>
                <w:sz w:val="16"/>
                <w:szCs w:val="16"/>
              </w:rPr>
            </w:pPr>
            <w:r w:rsidRPr="008A0191">
              <w:rPr>
                <w:b/>
                <w:sz w:val="16"/>
                <w:szCs w:val="16"/>
              </w:rPr>
              <w:t>Administrace projektů</w:t>
            </w:r>
          </w:p>
          <w:p w14:paraId="1D8CB44F" w14:textId="77777777" w:rsidR="008A0191" w:rsidRPr="008A0191" w:rsidRDefault="008A0191" w:rsidP="008A0191">
            <w:pPr>
              <w:rPr>
                <w:b/>
                <w:sz w:val="16"/>
                <w:szCs w:val="16"/>
              </w:rPr>
            </w:pPr>
          </w:p>
          <w:p w14:paraId="39EE034E" w14:textId="77777777" w:rsidR="008A0191" w:rsidRPr="008A0191" w:rsidRDefault="008A0191" w:rsidP="008A0191">
            <w:pPr>
              <w:spacing w:after="240" w:line="240" w:lineRule="atLeast"/>
              <w:jc w:val="center"/>
              <w:rPr>
                <w:b/>
                <w:sz w:val="16"/>
                <w:szCs w:val="16"/>
              </w:rPr>
            </w:pPr>
          </w:p>
        </w:tc>
        <w:tc>
          <w:tcPr>
            <w:tcW w:w="1398" w:type="pct"/>
          </w:tcPr>
          <w:p w14:paraId="7B01A18C" w14:textId="77777777" w:rsidR="008A0191" w:rsidRPr="008A0191" w:rsidRDefault="008A0191" w:rsidP="008A0191">
            <w:pPr>
              <w:rPr>
                <w:sz w:val="16"/>
                <w:szCs w:val="16"/>
              </w:rPr>
            </w:pPr>
            <w:r w:rsidRPr="008A0191">
              <w:rPr>
                <w:sz w:val="16"/>
                <w:szCs w:val="16"/>
              </w:rPr>
              <w:t xml:space="preserve">Řízení administrace projektů: </w:t>
            </w:r>
          </w:p>
          <w:p w14:paraId="089F6C60" w14:textId="77777777" w:rsidR="008A0191" w:rsidRPr="008A0191" w:rsidRDefault="008A0191" w:rsidP="00A84E03">
            <w:pPr>
              <w:numPr>
                <w:ilvl w:val="1"/>
                <w:numId w:val="34"/>
              </w:numPr>
              <w:spacing w:after="240" w:line="240" w:lineRule="atLeast"/>
              <w:ind w:left="454"/>
              <w:contextualSpacing/>
              <w:rPr>
                <w:sz w:val="16"/>
                <w:szCs w:val="16"/>
              </w:rPr>
            </w:pPr>
            <w:r w:rsidRPr="008A0191">
              <w:rPr>
                <w:sz w:val="16"/>
                <w:szCs w:val="16"/>
              </w:rPr>
              <w:t>Přidělování projektů PM</w:t>
            </w:r>
          </w:p>
          <w:p w14:paraId="670D63BB" w14:textId="10D7D095" w:rsidR="008A0191" w:rsidRPr="008A0191" w:rsidRDefault="008A0191" w:rsidP="00A84E03">
            <w:pPr>
              <w:numPr>
                <w:ilvl w:val="1"/>
                <w:numId w:val="34"/>
              </w:numPr>
              <w:spacing w:after="240" w:line="240" w:lineRule="atLeast"/>
              <w:ind w:left="454"/>
              <w:contextualSpacing/>
              <w:rPr>
                <w:sz w:val="16"/>
                <w:szCs w:val="16"/>
              </w:rPr>
            </w:pPr>
            <w:r w:rsidRPr="008A0191">
              <w:rPr>
                <w:sz w:val="16"/>
                <w:szCs w:val="16"/>
              </w:rPr>
              <w:t xml:space="preserve">Sledování výkonu PM (počet zrealizovaných formálních hodnocení, počet schválených </w:t>
            </w:r>
            <w:r w:rsidR="00825645">
              <w:rPr>
                <w:sz w:val="16"/>
                <w:szCs w:val="16"/>
              </w:rPr>
              <w:t>ŽoPl</w:t>
            </w:r>
            <w:r w:rsidRPr="008A0191">
              <w:rPr>
                <w:sz w:val="16"/>
                <w:szCs w:val="16"/>
              </w:rPr>
              <w:t>, zkontrolovaných VŘ apod.)</w:t>
            </w:r>
          </w:p>
          <w:p w14:paraId="07B7FA5E" w14:textId="77777777" w:rsidR="008A0191" w:rsidRPr="008A0191" w:rsidRDefault="008A0191" w:rsidP="00A84E03">
            <w:pPr>
              <w:numPr>
                <w:ilvl w:val="1"/>
                <w:numId w:val="34"/>
              </w:numPr>
              <w:spacing w:after="240" w:line="240" w:lineRule="atLeast"/>
              <w:ind w:left="454"/>
              <w:contextualSpacing/>
              <w:rPr>
                <w:sz w:val="16"/>
                <w:szCs w:val="16"/>
              </w:rPr>
            </w:pPr>
            <w:r w:rsidRPr="008A0191">
              <w:rPr>
                <w:sz w:val="16"/>
                <w:szCs w:val="16"/>
              </w:rPr>
              <w:t>Projektový management jednotlivých PM</w:t>
            </w:r>
          </w:p>
        </w:tc>
        <w:tc>
          <w:tcPr>
            <w:tcW w:w="1845" w:type="pct"/>
          </w:tcPr>
          <w:p w14:paraId="380C9E2C" w14:textId="34A36380" w:rsidR="008A0191" w:rsidRPr="008A0191" w:rsidRDefault="40377960" w:rsidP="008A0191">
            <w:pPr>
              <w:rPr>
                <w:sz w:val="16"/>
                <w:szCs w:val="16"/>
              </w:rPr>
            </w:pPr>
            <w:r w:rsidRPr="1B8B314C">
              <w:rPr>
                <w:sz w:val="16"/>
                <w:szCs w:val="16"/>
              </w:rPr>
              <w:t xml:space="preserve">Probíhá manuálně v externích </w:t>
            </w:r>
            <w:r w:rsidR="02E7D7D2" w:rsidRPr="1B8B314C">
              <w:rPr>
                <w:sz w:val="16"/>
                <w:szCs w:val="16"/>
              </w:rPr>
              <w:t>.</w:t>
            </w:r>
            <w:r w:rsidRPr="1B8B314C">
              <w:rPr>
                <w:sz w:val="16"/>
                <w:szCs w:val="16"/>
              </w:rPr>
              <w:t>xls souborech.</w:t>
            </w:r>
          </w:p>
        </w:tc>
        <w:tc>
          <w:tcPr>
            <w:tcW w:w="1118" w:type="pct"/>
          </w:tcPr>
          <w:p w14:paraId="571CD666" w14:textId="77777777" w:rsidR="008A0191" w:rsidRPr="008A0191" w:rsidRDefault="008A0191" w:rsidP="008A0191">
            <w:pPr>
              <w:rPr>
                <w:sz w:val="16"/>
                <w:szCs w:val="16"/>
              </w:rPr>
            </w:pPr>
            <w:r w:rsidRPr="008A0191">
              <w:rPr>
                <w:sz w:val="16"/>
                <w:szCs w:val="16"/>
              </w:rPr>
              <w:t>Automatizace v MS2014+</w:t>
            </w:r>
          </w:p>
        </w:tc>
      </w:tr>
      <w:tr w:rsidR="008A0191" w:rsidRPr="008A0191" w14:paraId="2D5AB2CF" w14:textId="77777777" w:rsidTr="1B8B314C">
        <w:trPr>
          <w:trHeight w:val="288"/>
        </w:trPr>
        <w:tc>
          <w:tcPr>
            <w:tcW w:w="639" w:type="pct"/>
            <w:vMerge/>
          </w:tcPr>
          <w:p w14:paraId="7D03EC9E" w14:textId="77777777" w:rsidR="008A0191" w:rsidRPr="008A0191" w:rsidRDefault="008A0191" w:rsidP="008A0191">
            <w:pPr>
              <w:rPr>
                <w:b/>
                <w:sz w:val="16"/>
                <w:szCs w:val="16"/>
              </w:rPr>
            </w:pPr>
          </w:p>
        </w:tc>
        <w:tc>
          <w:tcPr>
            <w:tcW w:w="1398" w:type="pct"/>
          </w:tcPr>
          <w:p w14:paraId="1A9956DF" w14:textId="77777777" w:rsidR="008A0191" w:rsidRPr="008A0191" w:rsidRDefault="008A0191" w:rsidP="008A0191">
            <w:pPr>
              <w:rPr>
                <w:sz w:val="16"/>
                <w:szCs w:val="16"/>
              </w:rPr>
            </w:pPr>
            <w:r w:rsidRPr="008A0191">
              <w:rPr>
                <w:sz w:val="16"/>
                <w:szCs w:val="16"/>
              </w:rPr>
              <w:t>Přidělování interních hodnotitelů</w:t>
            </w:r>
          </w:p>
        </w:tc>
        <w:tc>
          <w:tcPr>
            <w:tcW w:w="1845" w:type="pct"/>
          </w:tcPr>
          <w:p w14:paraId="07A66B07" w14:textId="3E00400E" w:rsidR="008A0191" w:rsidRPr="008A0191" w:rsidRDefault="40377960" w:rsidP="008A0191">
            <w:pPr>
              <w:rPr>
                <w:sz w:val="16"/>
                <w:szCs w:val="16"/>
              </w:rPr>
            </w:pPr>
            <w:r w:rsidRPr="1B8B314C">
              <w:rPr>
                <w:sz w:val="16"/>
                <w:szCs w:val="16"/>
              </w:rPr>
              <w:t xml:space="preserve">Probíhá v externích </w:t>
            </w:r>
            <w:r w:rsidR="4BB4B1BD" w:rsidRPr="1B8B314C">
              <w:rPr>
                <w:sz w:val="16"/>
                <w:szCs w:val="16"/>
              </w:rPr>
              <w:t>.</w:t>
            </w:r>
            <w:r w:rsidRPr="1B8B314C">
              <w:rPr>
                <w:sz w:val="16"/>
                <w:szCs w:val="16"/>
              </w:rPr>
              <w:t>xls souborech</w:t>
            </w:r>
          </w:p>
        </w:tc>
        <w:tc>
          <w:tcPr>
            <w:tcW w:w="1118" w:type="pct"/>
          </w:tcPr>
          <w:p w14:paraId="16649FFF" w14:textId="77777777" w:rsidR="008A0191" w:rsidRPr="008A0191" w:rsidRDefault="008A0191" w:rsidP="008A0191">
            <w:pPr>
              <w:rPr>
                <w:sz w:val="16"/>
                <w:szCs w:val="16"/>
              </w:rPr>
            </w:pPr>
            <w:r w:rsidRPr="008A0191">
              <w:rPr>
                <w:sz w:val="16"/>
                <w:szCs w:val="16"/>
              </w:rPr>
              <w:t>Automatizace v MS2014+</w:t>
            </w:r>
          </w:p>
        </w:tc>
      </w:tr>
      <w:tr w:rsidR="008A0191" w:rsidRPr="008A0191" w14:paraId="768161BD" w14:textId="77777777" w:rsidTr="1B8B314C">
        <w:trPr>
          <w:trHeight w:val="288"/>
        </w:trPr>
        <w:tc>
          <w:tcPr>
            <w:tcW w:w="639" w:type="pct"/>
            <w:vMerge/>
          </w:tcPr>
          <w:p w14:paraId="0B8A7962" w14:textId="77777777" w:rsidR="008A0191" w:rsidRPr="008A0191" w:rsidRDefault="008A0191" w:rsidP="008A0191">
            <w:pPr>
              <w:rPr>
                <w:b/>
                <w:sz w:val="16"/>
                <w:szCs w:val="16"/>
              </w:rPr>
            </w:pPr>
          </w:p>
        </w:tc>
        <w:tc>
          <w:tcPr>
            <w:tcW w:w="1398" w:type="pct"/>
          </w:tcPr>
          <w:p w14:paraId="5A5F5155" w14:textId="77777777" w:rsidR="008A0191" w:rsidRPr="008A0191" w:rsidRDefault="008A0191" w:rsidP="008A0191">
            <w:pPr>
              <w:rPr>
                <w:sz w:val="16"/>
                <w:szCs w:val="16"/>
              </w:rPr>
            </w:pPr>
            <w:r w:rsidRPr="008A0191">
              <w:rPr>
                <w:sz w:val="16"/>
                <w:szCs w:val="16"/>
              </w:rPr>
              <w:t>Administrace VŘ</w:t>
            </w:r>
          </w:p>
        </w:tc>
        <w:tc>
          <w:tcPr>
            <w:tcW w:w="1845" w:type="pct"/>
          </w:tcPr>
          <w:p w14:paraId="15C01494" w14:textId="77777777" w:rsidR="008A0191" w:rsidRPr="008A0191" w:rsidRDefault="008A0191" w:rsidP="008A0191">
            <w:pPr>
              <w:rPr>
                <w:sz w:val="16"/>
                <w:szCs w:val="16"/>
              </w:rPr>
            </w:pPr>
            <w:r w:rsidRPr="008A0191">
              <w:rPr>
                <w:sz w:val="16"/>
                <w:szCs w:val="16"/>
              </w:rPr>
              <w:t xml:space="preserve">Každý PM si vede vlastní evidenci VŘ. </w:t>
            </w:r>
          </w:p>
        </w:tc>
        <w:tc>
          <w:tcPr>
            <w:tcW w:w="1118" w:type="pct"/>
          </w:tcPr>
          <w:p w14:paraId="04E23E6C" w14:textId="77777777" w:rsidR="008A0191" w:rsidRPr="008A0191" w:rsidRDefault="008A0191" w:rsidP="008A0191">
            <w:pPr>
              <w:rPr>
                <w:sz w:val="16"/>
                <w:szCs w:val="16"/>
              </w:rPr>
            </w:pPr>
            <w:r w:rsidRPr="008A0191">
              <w:rPr>
                <w:sz w:val="16"/>
                <w:szCs w:val="16"/>
              </w:rPr>
              <w:t>Automatizace v monitorovacím systému nebo plné vyhodnocování rizik v automatizovaném systému.</w:t>
            </w:r>
          </w:p>
        </w:tc>
      </w:tr>
      <w:tr w:rsidR="008A0191" w:rsidRPr="008A0191" w14:paraId="33E98F67" w14:textId="77777777" w:rsidTr="1B8B314C">
        <w:trPr>
          <w:trHeight w:val="288"/>
        </w:trPr>
        <w:tc>
          <w:tcPr>
            <w:tcW w:w="639" w:type="pct"/>
            <w:vMerge/>
          </w:tcPr>
          <w:p w14:paraId="5C8F8BD1" w14:textId="77777777" w:rsidR="008A0191" w:rsidRPr="008A0191" w:rsidRDefault="008A0191" w:rsidP="008A0191">
            <w:pPr>
              <w:rPr>
                <w:b/>
                <w:sz w:val="16"/>
                <w:szCs w:val="16"/>
              </w:rPr>
            </w:pPr>
          </w:p>
        </w:tc>
        <w:tc>
          <w:tcPr>
            <w:tcW w:w="1398" w:type="pct"/>
          </w:tcPr>
          <w:p w14:paraId="09F3AA05" w14:textId="77777777" w:rsidR="008A0191" w:rsidRPr="008A0191" w:rsidRDefault="008A0191" w:rsidP="008A0191">
            <w:pPr>
              <w:rPr>
                <w:sz w:val="16"/>
                <w:szCs w:val="16"/>
              </w:rPr>
            </w:pPr>
            <w:r w:rsidRPr="008A0191">
              <w:rPr>
                <w:sz w:val="16"/>
                <w:szCs w:val="16"/>
              </w:rPr>
              <w:t>Udělování sankcí</w:t>
            </w:r>
          </w:p>
        </w:tc>
        <w:tc>
          <w:tcPr>
            <w:tcW w:w="1845" w:type="pct"/>
          </w:tcPr>
          <w:p w14:paraId="63CE342B" w14:textId="77777777" w:rsidR="008A0191" w:rsidRPr="008A0191" w:rsidRDefault="008A0191" w:rsidP="008A0191">
            <w:pPr>
              <w:rPr>
                <w:sz w:val="16"/>
                <w:szCs w:val="16"/>
              </w:rPr>
            </w:pPr>
            <w:r w:rsidRPr="008A0191">
              <w:rPr>
                <w:sz w:val="16"/>
                <w:szCs w:val="16"/>
              </w:rPr>
              <w:t xml:space="preserve">Udělování sankcí probíhá individuálně, nikoli automatickým generováním ze systému. </w:t>
            </w:r>
          </w:p>
        </w:tc>
        <w:tc>
          <w:tcPr>
            <w:tcW w:w="1118" w:type="pct"/>
          </w:tcPr>
          <w:p w14:paraId="78B431DB" w14:textId="77777777" w:rsidR="008A0191" w:rsidRPr="008A0191" w:rsidRDefault="008A0191" w:rsidP="008A0191">
            <w:pPr>
              <w:rPr>
                <w:sz w:val="16"/>
                <w:szCs w:val="16"/>
              </w:rPr>
            </w:pPr>
            <w:r w:rsidRPr="008A0191">
              <w:rPr>
                <w:sz w:val="16"/>
                <w:szCs w:val="16"/>
              </w:rPr>
              <w:t xml:space="preserve">Automatizace udělování sankcí z monitorovacího systému. </w:t>
            </w:r>
          </w:p>
        </w:tc>
      </w:tr>
      <w:tr w:rsidR="008A0191" w:rsidRPr="008A0191" w14:paraId="6F1F9F6F" w14:textId="77777777" w:rsidTr="1B8B314C">
        <w:trPr>
          <w:trHeight w:val="288"/>
        </w:trPr>
        <w:tc>
          <w:tcPr>
            <w:tcW w:w="639" w:type="pct"/>
            <w:vMerge/>
          </w:tcPr>
          <w:p w14:paraId="222F2B2D" w14:textId="77777777" w:rsidR="008A0191" w:rsidRPr="008A0191" w:rsidRDefault="008A0191" w:rsidP="008A0191">
            <w:pPr>
              <w:rPr>
                <w:b/>
                <w:sz w:val="16"/>
                <w:szCs w:val="16"/>
              </w:rPr>
            </w:pPr>
          </w:p>
        </w:tc>
        <w:tc>
          <w:tcPr>
            <w:tcW w:w="1398" w:type="pct"/>
          </w:tcPr>
          <w:p w14:paraId="06981F23" w14:textId="77777777" w:rsidR="008A0191" w:rsidRPr="008A0191" w:rsidRDefault="008A0191" w:rsidP="008A0191">
            <w:pPr>
              <w:rPr>
                <w:sz w:val="16"/>
                <w:szCs w:val="16"/>
              </w:rPr>
            </w:pPr>
            <w:r w:rsidRPr="008A0191">
              <w:rPr>
                <w:sz w:val="16"/>
                <w:szCs w:val="16"/>
              </w:rPr>
              <w:t xml:space="preserve">Vypočítávání limitů směsných poměrů - vážený poměr z více měr podpory vztaženým k předmětným výdajům, dle kategorií experimentální vývoj, průmyslový výzkum a podle kategorií příjemců (malý, střední a velký podnik) a způsobilých výdajů. </w:t>
            </w:r>
          </w:p>
        </w:tc>
        <w:tc>
          <w:tcPr>
            <w:tcW w:w="1845" w:type="pct"/>
          </w:tcPr>
          <w:p w14:paraId="14EF47A0" w14:textId="7E2C46CD" w:rsidR="008A0191" w:rsidRPr="008A0191" w:rsidRDefault="40377960" w:rsidP="008A0191">
            <w:pPr>
              <w:rPr>
                <w:sz w:val="16"/>
                <w:szCs w:val="16"/>
              </w:rPr>
            </w:pPr>
            <w:r w:rsidRPr="1B8B314C">
              <w:rPr>
                <w:sz w:val="16"/>
                <w:szCs w:val="16"/>
              </w:rPr>
              <w:t xml:space="preserve">Probíhá v externích </w:t>
            </w:r>
            <w:r w:rsidR="394CE679" w:rsidRPr="1B8B314C">
              <w:rPr>
                <w:sz w:val="16"/>
                <w:szCs w:val="16"/>
              </w:rPr>
              <w:t>.</w:t>
            </w:r>
            <w:r w:rsidRPr="1B8B314C">
              <w:rPr>
                <w:sz w:val="16"/>
                <w:szCs w:val="16"/>
              </w:rPr>
              <w:t xml:space="preserve">xls souborech, s manuálním zadáváním a kontrolou dat. </w:t>
            </w:r>
          </w:p>
          <w:p w14:paraId="3A9B8AA9" w14:textId="77777777" w:rsidR="008A0191" w:rsidRPr="008A0191" w:rsidRDefault="008A0191" w:rsidP="008A0191">
            <w:pPr>
              <w:rPr>
                <w:sz w:val="16"/>
                <w:szCs w:val="16"/>
              </w:rPr>
            </w:pPr>
            <w:r w:rsidRPr="008A0191">
              <w:rPr>
                <w:sz w:val="16"/>
                <w:szCs w:val="16"/>
              </w:rPr>
              <w:t xml:space="preserve">Ruční přepočítávání překročení celkových způsobilých výdajů v případě krácení dotace. </w:t>
            </w:r>
          </w:p>
        </w:tc>
        <w:tc>
          <w:tcPr>
            <w:tcW w:w="1118" w:type="pct"/>
          </w:tcPr>
          <w:p w14:paraId="7C233E72" w14:textId="68A79E71" w:rsidR="008A0191" w:rsidRPr="008A0191" w:rsidRDefault="007E2418" w:rsidP="007E2418">
            <w:pPr>
              <w:rPr>
                <w:sz w:val="16"/>
                <w:szCs w:val="16"/>
              </w:rPr>
            </w:pPr>
            <w:r>
              <w:rPr>
                <w:sz w:val="16"/>
                <w:szCs w:val="16"/>
              </w:rPr>
              <w:t>Robotizace přepoč</w:t>
            </w:r>
            <w:r w:rsidR="008A0191" w:rsidRPr="008A0191">
              <w:rPr>
                <w:sz w:val="16"/>
                <w:szCs w:val="16"/>
              </w:rPr>
              <w:t>t</w:t>
            </w:r>
            <w:r>
              <w:rPr>
                <w:sz w:val="16"/>
                <w:szCs w:val="16"/>
              </w:rPr>
              <w:t>u</w:t>
            </w:r>
            <w:r w:rsidR="008A0191" w:rsidRPr="008A0191">
              <w:rPr>
                <w:sz w:val="16"/>
                <w:szCs w:val="16"/>
              </w:rPr>
              <w:t xml:space="preserve"> limitů směsných poměrů a způsobilých výdajů, převedení vypočteného směsného poměru do </w:t>
            </w:r>
            <w:r w:rsidR="00825645">
              <w:rPr>
                <w:sz w:val="16"/>
                <w:szCs w:val="16"/>
              </w:rPr>
              <w:t>ŽoPl</w:t>
            </w:r>
            <w:r w:rsidR="008A0191" w:rsidRPr="008A0191">
              <w:rPr>
                <w:sz w:val="16"/>
                <w:szCs w:val="16"/>
              </w:rPr>
              <w:t xml:space="preserve">. </w:t>
            </w:r>
          </w:p>
        </w:tc>
      </w:tr>
      <w:tr w:rsidR="008A0191" w:rsidRPr="008A0191" w14:paraId="54386172" w14:textId="77777777" w:rsidTr="1B8B314C">
        <w:trPr>
          <w:trHeight w:val="288"/>
        </w:trPr>
        <w:tc>
          <w:tcPr>
            <w:tcW w:w="639" w:type="pct"/>
            <w:vMerge/>
          </w:tcPr>
          <w:p w14:paraId="2B3467A0" w14:textId="77777777" w:rsidR="008A0191" w:rsidRPr="008A0191" w:rsidRDefault="008A0191" w:rsidP="008A0191">
            <w:pPr>
              <w:rPr>
                <w:b/>
                <w:sz w:val="16"/>
                <w:szCs w:val="16"/>
              </w:rPr>
            </w:pPr>
          </w:p>
        </w:tc>
        <w:tc>
          <w:tcPr>
            <w:tcW w:w="1398" w:type="pct"/>
          </w:tcPr>
          <w:p w14:paraId="14783A2C" w14:textId="720E0652" w:rsidR="008A0191" w:rsidRPr="008A0191" w:rsidRDefault="008A0191" w:rsidP="00266628">
            <w:pPr>
              <w:rPr>
                <w:sz w:val="16"/>
                <w:szCs w:val="16"/>
              </w:rPr>
            </w:pPr>
            <w:r w:rsidRPr="008A0191">
              <w:rPr>
                <w:sz w:val="16"/>
                <w:szCs w:val="16"/>
              </w:rPr>
              <w:t>Dodatky k </w:t>
            </w:r>
            <w:r w:rsidR="00B04647">
              <w:rPr>
                <w:sz w:val="16"/>
                <w:szCs w:val="16"/>
              </w:rPr>
              <w:t>RoPD</w:t>
            </w:r>
          </w:p>
        </w:tc>
        <w:tc>
          <w:tcPr>
            <w:tcW w:w="1845" w:type="pct"/>
          </w:tcPr>
          <w:p w14:paraId="635C63AD" w14:textId="137B761D" w:rsidR="008A0191" w:rsidRPr="008A0191" w:rsidRDefault="40377960" w:rsidP="00800E8F">
            <w:pPr>
              <w:rPr>
                <w:sz w:val="16"/>
                <w:szCs w:val="16"/>
              </w:rPr>
            </w:pPr>
            <w:r w:rsidRPr="1B8B314C">
              <w:rPr>
                <w:sz w:val="16"/>
                <w:szCs w:val="16"/>
              </w:rPr>
              <w:t xml:space="preserve">Vygenerovaná šablona z MS2014+ je nedostatečná a vyžaduje manuální korekce, následně se ukládá mimo systém MS2014+, předkládá k podpisu </w:t>
            </w:r>
            <w:r w:rsidR="00800E8F">
              <w:rPr>
                <w:sz w:val="16"/>
                <w:szCs w:val="16"/>
              </w:rPr>
              <w:t>řediteli odboru</w:t>
            </w:r>
            <w:r w:rsidR="00800E8F" w:rsidRPr="1B8B314C">
              <w:rPr>
                <w:sz w:val="16"/>
                <w:szCs w:val="16"/>
              </w:rPr>
              <w:t xml:space="preserve"> </w:t>
            </w:r>
            <w:r w:rsidRPr="1B8B314C">
              <w:rPr>
                <w:sz w:val="16"/>
                <w:szCs w:val="16"/>
              </w:rPr>
              <w:t xml:space="preserve">a následně se </w:t>
            </w:r>
            <w:r w:rsidR="5C4D9307" w:rsidRPr="1B8B314C">
              <w:rPr>
                <w:sz w:val="16"/>
                <w:szCs w:val="16"/>
              </w:rPr>
              <w:t>o</w:t>
            </w:r>
            <w:r w:rsidRPr="1B8B314C">
              <w:rPr>
                <w:sz w:val="16"/>
                <w:szCs w:val="16"/>
              </w:rPr>
              <w:t>skenov</w:t>
            </w:r>
            <w:r w:rsidR="7BBCD7B7" w:rsidRPr="1B8B314C">
              <w:rPr>
                <w:sz w:val="16"/>
                <w:szCs w:val="16"/>
              </w:rPr>
              <w:t>aná</w:t>
            </w:r>
            <w:r w:rsidRPr="1B8B314C">
              <w:rPr>
                <w:sz w:val="16"/>
                <w:szCs w:val="16"/>
              </w:rPr>
              <w:t xml:space="preserve"> kopie uloží do MS</w:t>
            </w:r>
          </w:p>
        </w:tc>
        <w:tc>
          <w:tcPr>
            <w:tcW w:w="1118" w:type="pct"/>
          </w:tcPr>
          <w:p w14:paraId="6A68DECD" w14:textId="77777777" w:rsidR="008A0191" w:rsidRPr="008A0191" w:rsidRDefault="008A0191" w:rsidP="008A0191">
            <w:pPr>
              <w:rPr>
                <w:sz w:val="16"/>
                <w:szCs w:val="16"/>
              </w:rPr>
            </w:pPr>
            <w:r w:rsidRPr="008A0191">
              <w:rPr>
                <w:sz w:val="16"/>
                <w:szCs w:val="16"/>
              </w:rPr>
              <w:t>Plná digitalizace a automatizace vygenerovaných dokumentů</w:t>
            </w:r>
          </w:p>
        </w:tc>
      </w:tr>
      <w:tr w:rsidR="008A0191" w:rsidRPr="008A0191" w14:paraId="08219CDC" w14:textId="77777777" w:rsidTr="1B8B314C">
        <w:trPr>
          <w:trHeight w:val="288"/>
        </w:trPr>
        <w:tc>
          <w:tcPr>
            <w:tcW w:w="639" w:type="pct"/>
            <w:vMerge/>
          </w:tcPr>
          <w:p w14:paraId="11FF3FBD" w14:textId="77777777" w:rsidR="008A0191" w:rsidRPr="008A0191" w:rsidRDefault="008A0191" w:rsidP="008A0191">
            <w:pPr>
              <w:rPr>
                <w:b/>
                <w:sz w:val="16"/>
                <w:szCs w:val="16"/>
              </w:rPr>
            </w:pPr>
          </w:p>
        </w:tc>
        <w:tc>
          <w:tcPr>
            <w:tcW w:w="1398" w:type="pct"/>
          </w:tcPr>
          <w:p w14:paraId="083CE9AA" w14:textId="77777777" w:rsidR="008A0191" w:rsidRPr="008A0191" w:rsidRDefault="008A0191" w:rsidP="008A0191">
            <w:pPr>
              <w:rPr>
                <w:sz w:val="16"/>
                <w:szCs w:val="16"/>
              </w:rPr>
            </w:pPr>
            <w:r w:rsidRPr="008A0191">
              <w:rPr>
                <w:sz w:val="16"/>
                <w:szCs w:val="16"/>
              </w:rPr>
              <w:t xml:space="preserve">KL k vydání RoPD </w:t>
            </w:r>
          </w:p>
          <w:p w14:paraId="23DCD47C" w14:textId="77777777" w:rsidR="008A0191" w:rsidRPr="008A0191" w:rsidRDefault="008A0191" w:rsidP="008A0191">
            <w:pPr>
              <w:rPr>
                <w:sz w:val="16"/>
                <w:szCs w:val="16"/>
              </w:rPr>
            </w:pPr>
          </w:p>
        </w:tc>
        <w:tc>
          <w:tcPr>
            <w:tcW w:w="1845" w:type="pct"/>
          </w:tcPr>
          <w:p w14:paraId="69D05596" w14:textId="77777777" w:rsidR="008A0191" w:rsidRPr="008A0191" w:rsidRDefault="008A0191" w:rsidP="008A0191">
            <w:pPr>
              <w:rPr>
                <w:sz w:val="16"/>
                <w:szCs w:val="16"/>
              </w:rPr>
            </w:pPr>
            <w:r w:rsidRPr="008A0191">
              <w:rPr>
                <w:sz w:val="16"/>
                <w:szCs w:val="16"/>
              </w:rPr>
              <w:t xml:space="preserve">KL se vyplňuje ručně, po podpisu vedoucího se skenuje a ukládá do spisů. </w:t>
            </w:r>
          </w:p>
        </w:tc>
        <w:tc>
          <w:tcPr>
            <w:tcW w:w="1118" w:type="pct"/>
          </w:tcPr>
          <w:p w14:paraId="787052B3" w14:textId="77777777" w:rsidR="008A0191" w:rsidRPr="008A0191" w:rsidRDefault="008A0191" w:rsidP="008A0191">
            <w:pPr>
              <w:rPr>
                <w:sz w:val="16"/>
                <w:szCs w:val="16"/>
              </w:rPr>
            </w:pPr>
            <w:r w:rsidRPr="008A0191">
              <w:rPr>
                <w:sz w:val="16"/>
                <w:szCs w:val="16"/>
              </w:rPr>
              <w:t>Digitalizace KL</w:t>
            </w:r>
          </w:p>
        </w:tc>
      </w:tr>
      <w:tr w:rsidR="008A0191" w:rsidRPr="008A0191" w14:paraId="104E38D6" w14:textId="77777777" w:rsidTr="1B8B314C">
        <w:trPr>
          <w:trHeight w:val="288"/>
        </w:trPr>
        <w:tc>
          <w:tcPr>
            <w:tcW w:w="639" w:type="pct"/>
            <w:vMerge/>
          </w:tcPr>
          <w:p w14:paraId="0C8B52E8" w14:textId="77777777" w:rsidR="008A0191" w:rsidRPr="008A0191" w:rsidRDefault="008A0191" w:rsidP="008A0191">
            <w:pPr>
              <w:rPr>
                <w:b/>
                <w:sz w:val="16"/>
                <w:szCs w:val="16"/>
              </w:rPr>
            </w:pPr>
          </w:p>
        </w:tc>
        <w:tc>
          <w:tcPr>
            <w:tcW w:w="1398" w:type="pct"/>
          </w:tcPr>
          <w:p w14:paraId="57F83D7C" w14:textId="77777777" w:rsidR="008A0191" w:rsidRPr="008A0191" w:rsidRDefault="008A0191" w:rsidP="008A0191">
            <w:pPr>
              <w:rPr>
                <w:sz w:val="16"/>
                <w:szCs w:val="16"/>
              </w:rPr>
            </w:pPr>
            <w:r w:rsidRPr="008A0191">
              <w:rPr>
                <w:sz w:val="16"/>
                <w:szCs w:val="16"/>
              </w:rPr>
              <w:t>Podklady pro výběrovou komisi na základě schváleného věcného hodnocení</w:t>
            </w:r>
          </w:p>
        </w:tc>
        <w:tc>
          <w:tcPr>
            <w:tcW w:w="1845" w:type="pct"/>
          </w:tcPr>
          <w:p w14:paraId="695BA885" w14:textId="77777777" w:rsidR="008A0191" w:rsidRPr="008A0191" w:rsidRDefault="008A0191" w:rsidP="008A0191">
            <w:pPr>
              <w:rPr>
                <w:sz w:val="16"/>
                <w:szCs w:val="16"/>
              </w:rPr>
            </w:pPr>
            <w:r w:rsidRPr="008A0191">
              <w:rPr>
                <w:sz w:val="16"/>
                <w:szCs w:val="16"/>
              </w:rPr>
              <w:t>Nelze generovat automaticky ze systému MS, musí se připravovat manuálně</w:t>
            </w:r>
          </w:p>
        </w:tc>
        <w:tc>
          <w:tcPr>
            <w:tcW w:w="1118" w:type="pct"/>
          </w:tcPr>
          <w:p w14:paraId="7C5CD46C" w14:textId="77777777" w:rsidR="008A0191" w:rsidRPr="008A0191" w:rsidRDefault="008A0191" w:rsidP="008A0191">
            <w:pPr>
              <w:rPr>
                <w:sz w:val="16"/>
                <w:szCs w:val="16"/>
              </w:rPr>
            </w:pPr>
            <w:r w:rsidRPr="008A0191">
              <w:rPr>
                <w:sz w:val="16"/>
                <w:szCs w:val="16"/>
              </w:rPr>
              <w:t>Automatizace generování podkladů ze systému</w:t>
            </w:r>
          </w:p>
        </w:tc>
      </w:tr>
      <w:tr w:rsidR="008A0191" w:rsidRPr="008A0191" w14:paraId="4860C399" w14:textId="77777777" w:rsidTr="1B8B314C">
        <w:trPr>
          <w:trHeight w:val="288"/>
        </w:trPr>
        <w:tc>
          <w:tcPr>
            <w:tcW w:w="639" w:type="pct"/>
            <w:vMerge/>
          </w:tcPr>
          <w:p w14:paraId="23E71820" w14:textId="77777777" w:rsidR="008A0191" w:rsidRPr="008A0191" w:rsidRDefault="008A0191" w:rsidP="008A0191">
            <w:pPr>
              <w:rPr>
                <w:b/>
                <w:sz w:val="16"/>
                <w:szCs w:val="16"/>
              </w:rPr>
            </w:pPr>
          </w:p>
        </w:tc>
        <w:tc>
          <w:tcPr>
            <w:tcW w:w="1398" w:type="pct"/>
          </w:tcPr>
          <w:p w14:paraId="739547CF" w14:textId="77777777" w:rsidR="008A0191" w:rsidRPr="008A0191" w:rsidRDefault="008A0191" w:rsidP="008A0191">
            <w:pPr>
              <w:rPr>
                <w:sz w:val="16"/>
                <w:szCs w:val="16"/>
              </w:rPr>
            </w:pPr>
            <w:r w:rsidRPr="008A0191">
              <w:rPr>
                <w:sz w:val="16"/>
                <w:szCs w:val="16"/>
              </w:rPr>
              <w:t>Výběr projektů ke KnM:</w:t>
            </w:r>
          </w:p>
          <w:p w14:paraId="40F0B547" w14:textId="331BF703" w:rsidR="008A0191" w:rsidRPr="008A0191" w:rsidRDefault="40377960" w:rsidP="00A84E03">
            <w:pPr>
              <w:numPr>
                <w:ilvl w:val="1"/>
                <w:numId w:val="34"/>
              </w:numPr>
              <w:spacing w:after="240" w:line="240" w:lineRule="atLeast"/>
              <w:ind w:left="430"/>
              <w:contextualSpacing/>
              <w:rPr>
                <w:sz w:val="16"/>
                <w:szCs w:val="16"/>
              </w:rPr>
            </w:pPr>
            <w:r w:rsidRPr="1B8B314C">
              <w:rPr>
                <w:sz w:val="16"/>
                <w:szCs w:val="16"/>
              </w:rPr>
              <w:t xml:space="preserve">Sledování projektů dle termínu </w:t>
            </w:r>
            <w:r w:rsidR="00825645" w:rsidRPr="1B8B314C">
              <w:rPr>
                <w:sz w:val="16"/>
                <w:szCs w:val="16"/>
              </w:rPr>
              <w:t>ŽoPl</w:t>
            </w:r>
          </w:p>
          <w:p w14:paraId="6D673FFA" w14:textId="77777777" w:rsidR="008A0191" w:rsidRPr="008A0191" w:rsidRDefault="008A0191" w:rsidP="00A84E03">
            <w:pPr>
              <w:numPr>
                <w:ilvl w:val="1"/>
                <w:numId w:val="34"/>
              </w:numPr>
              <w:spacing w:after="240" w:line="240" w:lineRule="atLeast"/>
              <w:ind w:left="430"/>
              <w:contextualSpacing/>
              <w:rPr>
                <w:sz w:val="16"/>
                <w:szCs w:val="16"/>
              </w:rPr>
            </w:pPr>
            <w:r w:rsidRPr="008A0191">
              <w:rPr>
                <w:sz w:val="16"/>
                <w:szCs w:val="16"/>
              </w:rPr>
              <w:t>Sledování rizikových projektů</w:t>
            </w:r>
          </w:p>
          <w:p w14:paraId="2D0E5C32" w14:textId="77777777" w:rsidR="008A0191" w:rsidRPr="008A0191" w:rsidRDefault="008A0191" w:rsidP="00A84E03">
            <w:pPr>
              <w:numPr>
                <w:ilvl w:val="1"/>
                <w:numId w:val="34"/>
              </w:numPr>
              <w:spacing w:after="240" w:line="240" w:lineRule="atLeast"/>
              <w:ind w:left="430"/>
              <w:contextualSpacing/>
              <w:rPr>
                <w:sz w:val="16"/>
                <w:szCs w:val="16"/>
              </w:rPr>
            </w:pPr>
            <w:r w:rsidRPr="008A0191">
              <w:rPr>
                <w:sz w:val="16"/>
                <w:szCs w:val="16"/>
              </w:rPr>
              <w:t>Přidělování projektů ke kontrole</w:t>
            </w:r>
          </w:p>
        </w:tc>
        <w:tc>
          <w:tcPr>
            <w:tcW w:w="1845" w:type="pct"/>
          </w:tcPr>
          <w:p w14:paraId="1AF3C61B" w14:textId="4FC4DB9B" w:rsidR="008A0191" w:rsidRPr="008A0191" w:rsidRDefault="40377960" w:rsidP="008A0191">
            <w:pPr>
              <w:rPr>
                <w:sz w:val="16"/>
                <w:szCs w:val="16"/>
              </w:rPr>
            </w:pPr>
            <w:r w:rsidRPr="1B8B314C">
              <w:rPr>
                <w:sz w:val="16"/>
                <w:szCs w:val="16"/>
              </w:rPr>
              <w:t xml:space="preserve">Probíhá v externích </w:t>
            </w:r>
            <w:r w:rsidR="7E8C8807" w:rsidRPr="1B8B314C">
              <w:rPr>
                <w:sz w:val="16"/>
                <w:szCs w:val="16"/>
              </w:rPr>
              <w:t>.</w:t>
            </w:r>
            <w:r w:rsidRPr="1B8B314C">
              <w:rPr>
                <w:sz w:val="16"/>
                <w:szCs w:val="16"/>
              </w:rPr>
              <w:t>xls souborech</w:t>
            </w:r>
          </w:p>
        </w:tc>
        <w:tc>
          <w:tcPr>
            <w:tcW w:w="1118" w:type="pct"/>
          </w:tcPr>
          <w:p w14:paraId="1503A86B" w14:textId="4ECAF755" w:rsidR="008A0191" w:rsidRPr="008A0191" w:rsidRDefault="008A0191" w:rsidP="008A0191">
            <w:pPr>
              <w:rPr>
                <w:sz w:val="16"/>
                <w:szCs w:val="16"/>
              </w:rPr>
            </w:pPr>
            <w:r w:rsidRPr="008A0191">
              <w:rPr>
                <w:sz w:val="16"/>
                <w:szCs w:val="16"/>
              </w:rPr>
              <w:t>Automatizace</w:t>
            </w:r>
            <w:r>
              <w:rPr>
                <w:sz w:val="16"/>
                <w:szCs w:val="16"/>
              </w:rPr>
              <w:t xml:space="preserve"> v MS2014+</w:t>
            </w:r>
          </w:p>
        </w:tc>
      </w:tr>
      <w:tr w:rsidR="008A0191" w:rsidRPr="008A0191" w14:paraId="4D825381" w14:textId="77777777" w:rsidTr="1B8B314C">
        <w:trPr>
          <w:trHeight w:val="288"/>
        </w:trPr>
        <w:tc>
          <w:tcPr>
            <w:tcW w:w="639" w:type="pct"/>
            <w:vMerge w:val="restart"/>
          </w:tcPr>
          <w:p w14:paraId="433C9D4C" w14:textId="77777777" w:rsidR="008A0191" w:rsidRPr="008A0191" w:rsidRDefault="008A0191" w:rsidP="008A0191">
            <w:pPr>
              <w:rPr>
                <w:b/>
                <w:sz w:val="16"/>
                <w:szCs w:val="16"/>
              </w:rPr>
            </w:pPr>
            <w:r w:rsidRPr="008A0191">
              <w:rPr>
                <w:b/>
                <w:sz w:val="16"/>
                <w:szCs w:val="16"/>
              </w:rPr>
              <w:t>Kontrola statusu MSP</w:t>
            </w:r>
            <w:r w:rsidRPr="008A0191">
              <w:rPr>
                <w:b/>
                <w:sz w:val="16"/>
                <w:szCs w:val="16"/>
                <w:vertAlign w:val="superscript"/>
              </w:rPr>
              <w:footnoteReference w:id="42"/>
            </w:r>
          </w:p>
        </w:tc>
        <w:tc>
          <w:tcPr>
            <w:tcW w:w="1398" w:type="pct"/>
          </w:tcPr>
          <w:p w14:paraId="076B48DA" w14:textId="77777777" w:rsidR="008A0191" w:rsidRPr="008A0191" w:rsidRDefault="008A0191" w:rsidP="008A0191">
            <w:pPr>
              <w:rPr>
                <w:sz w:val="16"/>
                <w:szCs w:val="16"/>
              </w:rPr>
            </w:pPr>
            <w:r w:rsidRPr="008A0191">
              <w:rPr>
                <w:sz w:val="16"/>
                <w:szCs w:val="16"/>
              </w:rPr>
              <w:t>Kontrola výpisů z rejstříků</w:t>
            </w:r>
          </w:p>
        </w:tc>
        <w:tc>
          <w:tcPr>
            <w:tcW w:w="1845" w:type="pct"/>
          </w:tcPr>
          <w:p w14:paraId="39D67750" w14:textId="77777777" w:rsidR="008A0191" w:rsidRPr="008A0191" w:rsidRDefault="008A0191" w:rsidP="008A0191">
            <w:pPr>
              <w:rPr>
                <w:sz w:val="16"/>
                <w:szCs w:val="16"/>
              </w:rPr>
            </w:pPr>
            <w:r w:rsidRPr="008A0191">
              <w:rPr>
                <w:sz w:val="16"/>
                <w:szCs w:val="16"/>
              </w:rPr>
              <w:t>Manuální kontrola údajů v:</w:t>
            </w:r>
          </w:p>
          <w:p w14:paraId="73AC00AA" w14:textId="77777777" w:rsidR="008A0191" w:rsidRPr="008A0191" w:rsidRDefault="008A0191" w:rsidP="00A84E03">
            <w:pPr>
              <w:numPr>
                <w:ilvl w:val="1"/>
                <w:numId w:val="35"/>
              </w:numPr>
              <w:spacing w:after="240" w:line="240" w:lineRule="atLeast"/>
              <w:ind w:left="285" w:hanging="270"/>
              <w:contextualSpacing/>
              <w:rPr>
                <w:sz w:val="16"/>
                <w:szCs w:val="16"/>
              </w:rPr>
            </w:pPr>
            <w:r w:rsidRPr="008A0191">
              <w:rPr>
                <w:sz w:val="16"/>
                <w:szCs w:val="16"/>
              </w:rPr>
              <w:t>Obchodní rejstřík (včetně Sbírky listin – Výroční zpráva, Zpráva o vztazích, atd.; kontrola fyzických osob v angažmá – identifikace společníka přes jméno a datum narození)</w:t>
            </w:r>
          </w:p>
          <w:p w14:paraId="28A27A56" w14:textId="77777777" w:rsidR="008A0191" w:rsidRPr="008A0191" w:rsidRDefault="008A0191" w:rsidP="00A84E03">
            <w:pPr>
              <w:numPr>
                <w:ilvl w:val="1"/>
                <w:numId w:val="35"/>
              </w:numPr>
              <w:spacing w:after="240" w:line="240" w:lineRule="atLeast"/>
              <w:ind w:left="285" w:hanging="270"/>
              <w:contextualSpacing/>
              <w:rPr>
                <w:sz w:val="16"/>
                <w:szCs w:val="16"/>
              </w:rPr>
            </w:pPr>
            <w:r w:rsidRPr="008A0191">
              <w:rPr>
                <w:sz w:val="16"/>
                <w:szCs w:val="16"/>
              </w:rPr>
              <w:t xml:space="preserve">Administrativní Registr </w:t>
            </w:r>
            <w:r w:rsidRPr="00E96E24">
              <w:rPr>
                <w:sz w:val="16"/>
                <w:szCs w:val="16"/>
              </w:rPr>
              <w:t>Ekonomických Subjektů</w:t>
            </w:r>
            <w:r w:rsidRPr="008A0191">
              <w:rPr>
                <w:sz w:val="16"/>
                <w:szCs w:val="16"/>
              </w:rPr>
              <w:t xml:space="preserve"> ARES</w:t>
            </w:r>
          </w:p>
          <w:p w14:paraId="7C3C0364" w14:textId="77777777" w:rsidR="008A0191" w:rsidRPr="008A0191" w:rsidRDefault="008A0191" w:rsidP="00A84E03">
            <w:pPr>
              <w:numPr>
                <w:ilvl w:val="1"/>
                <w:numId w:val="35"/>
              </w:numPr>
              <w:spacing w:after="240" w:line="240" w:lineRule="atLeast"/>
              <w:ind w:left="285" w:hanging="270"/>
              <w:contextualSpacing/>
              <w:rPr>
                <w:sz w:val="16"/>
                <w:szCs w:val="16"/>
              </w:rPr>
            </w:pPr>
            <w:r w:rsidRPr="008A0191">
              <w:rPr>
                <w:sz w:val="16"/>
                <w:szCs w:val="16"/>
              </w:rPr>
              <w:t>Registr živnostenského podnikání RŽP – ověřování společníka coby osoby (ne)podnikající – následně probíhá ověřování o aktivech (majetku), obratu (příjmech) a počtu zaměstnanců</w:t>
            </w:r>
          </w:p>
          <w:p w14:paraId="255AFE7A" w14:textId="77777777" w:rsidR="008A0191" w:rsidRPr="008A0191" w:rsidRDefault="008A0191" w:rsidP="00A84E03">
            <w:pPr>
              <w:numPr>
                <w:ilvl w:val="1"/>
                <w:numId w:val="35"/>
              </w:numPr>
              <w:spacing w:after="240" w:line="240" w:lineRule="atLeast"/>
              <w:ind w:left="285" w:hanging="270"/>
              <w:contextualSpacing/>
              <w:rPr>
                <w:sz w:val="16"/>
                <w:szCs w:val="16"/>
              </w:rPr>
            </w:pPr>
            <w:r w:rsidRPr="008A0191">
              <w:rPr>
                <w:sz w:val="16"/>
                <w:szCs w:val="16"/>
              </w:rPr>
              <w:t>Veřejný rejstřík podle subjektů</w:t>
            </w:r>
          </w:p>
          <w:p w14:paraId="2EE15E92" w14:textId="77777777" w:rsidR="008A0191" w:rsidRPr="008A0191" w:rsidRDefault="008A0191" w:rsidP="00A84E03">
            <w:pPr>
              <w:numPr>
                <w:ilvl w:val="1"/>
                <w:numId w:val="35"/>
              </w:numPr>
              <w:spacing w:after="240" w:line="240" w:lineRule="atLeast"/>
              <w:ind w:left="285" w:hanging="270"/>
              <w:contextualSpacing/>
              <w:rPr>
                <w:sz w:val="16"/>
                <w:szCs w:val="16"/>
              </w:rPr>
            </w:pPr>
            <w:r w:rsidRPr="008A0191">
              <w:rPr>
                <w:sz w:val="16"/>
                <w:szCs w:val="16"/>
              </w:rPr>
              <w:t>Veřejný rejstřík podle právnických osob v angažmá</w:t>
            </w:r>
          </w:p>
          <w:p w14:paraId="16F5CF1F" w14:textId="77777777" w:rsidR="008A0191" w:rsidRPr="008A0191" w:rsidRDefault="008A0191" w:rsidP="00A84E03">
            <w:pPr>
              <w:numPr>
                <w:ilvl w:val="1"/>
                <w:numId w:val="35"/>
              </w:numPr>
              <w:spacing w:after="240" w:line="240" w:lineRule="atLeast"/>
              <w:ind w:left="285" w:hanging="270"/>
              <w:contextualSpacing/>
              <w:rPr>
                <w:sz w:val="16"/>
                <w:szCs w:val="16"/>
              </w:rPr>
            </w:pPr>
            <w:r w:rsidRPr="008A0191">
              <w:rPr>
                <w:sz w:val="16"/>
                <w:szCs w:val="16"/>
              </w:rPr>
              <w:t>Veřejný rejstřík podle fyzických osob v angažmá</w:t>
            </w:r>
          </w:p>
          <w:p w14:paraId="6F17A80F" w14:textId="77777777" w:rsidR="008A0191" w:rsidRPr="008A0191" w:rsidRDefault="008A0191" w:rsidP="00A84E03">
            <w:pPr>
              <w:numPr>
                <w:ilvl w:val="1"/>
                <w:numId w:val="35"/>
              </w:numPr>
              <w:spacing w:after="240" w:line="240" w:lineRule="atLeast"/>
              <w:ind w:left="285" w:hanging="270"/>
              <w:contextualSpacing/>
              <w:rPr>
                <w:sz w:val="16"/>
                <w:szCs w:val="16"/>
              </w:rPr>
            </w:pPr>
            <w:r w:rsidRPr="008A0191">
              <w:rPr>
                <w:sz w:val="16"/>
                <w:szCs w:val="16"/>
              </w:rPr>
              <w:t>European e-justice</w:t>
            </w:r>
          </w:p>
          <w:p w14:paraId="79973272" w14:textId="77777777" w:rsidR="008A0191" w:rsidRPr="008A0191" w:rsidRDefault="008A0191" w:rsidP="00A84E03">
            <w:pPr>
              <w:numPr>
                <w:ilvl w:val="1"/>
                <w:numId w:val="35"/>
              </w:numPr>
              <w:spacing w:after="240" w:line="240" w:lineRule="atLeast"/>
              <w:ind w:left="285" w:hanging="270"/>
              <w:contextualSpacing/>
              <w:rPr>
                <w:sz w:val="16"/>
                <w:szCs w:val="16"/>
              </w:rPr>
            </w:pPr>
            <w:r w:rsidRPr="008A0191">
              <w:rPr>
                <w:sz w:val="16"/>
                <w:szCs w:val="16"/>
              </w:rPr>
              <w:t>Arachne</w:t>
            </w:r>
          </w:p>
          <w:p w14:paraId="387727F1" w14:textId="77777777" w:rsidR="008A0191" w:rsidRPr="008A0191" w:rsidRDefault="008A0191" w:rsidP="00A84E03">
            <w:pPr>
              <w:numPr>
                <w:ilvl w:val="1"/>
                <w:numId w:val="35"/>
              </w:numPr>
              <w:spacing w:after="240" w:line="240" w:lineRule="atLeast"/>
              <w:ind w:left="285" w:hanging="270"/>
              <w:contextualSpacing/>
              <w:rPr>
                <w:sz w:val="16"/>
                <w:szCs w:val="16"/>
              </w:rPr>
            </w:pPr>
            <w:r w:rsidRPr="008A0191">
              <w:rPr>
                <w:sz w:val="16"/>
                <w:szCs w:val="16"/>
              </w:rPr>
              <w:t>Volně dostupné databáze</w:t>
            </w:r>
          </w:p>
          <w:p w14:paraId="4E440B03" w14:textId="77777777" w:rsidR="008A0191" w:rsidRPr="008A0191" w:rsidRDefault="008A0191" w:rsidP="00A84E03">
            <w:pPr>
              <w:numPr>
                <w:ilvl w:val="1"/>
                <w:numId w:val="35"/>
              </w:numPr>
              <w:spacing w:after="240" w:line="240" w:lineRule="atLeast"/>
              <w:ind w:left="285" w:hanging="270"/>
              <w:contextualSpacing/>
              <w:rPr>
                <w:sz w:val="16"/>
                <w:szCs w:val="16"/>
              </w:rPr>
            </w:pPr>
            <w:r w:rsidRPr="008A0191">
              <w:rPr>
                <w:sz w:val="16"/>
                <w:szCs w:val="16"/>
              </w:rPr>
              <w:t>Výpisy obchodních rejstříků cizích zemí</w:t>
            </w:r>
          </w:p>
        </w:tc>
        <w:tc>
          <w:tcPr>
            <w:tcW w:w="1118" w:type="pct"/>
          </w:tcPr>
          <w:p w14:paraId="2367505A" w14:textId="0EAAE6FC" w:rsidR="008A0191" w:rsidRPr="008A0191" w:rsidRDefault="008A0191" w:rsidP="008A0191">
            <w:pPr>
              <w:rPr>
                <w:sz w:val="16"/>
                <w:szCs w:val="16"/>
              </w:rPr>
            </w:pPr>
            <w:r>
              <w:rPr>
                <w:sz w:val="16"/>
                <w:szCs w:val="16"/>
              </w:rPr>
              <w:t>Automatická nebo robotická</w:t>
            </w:r>
            <w:r w:rsidRPr="008A0191">
              <w:rPr>
                <w:sz w:val="16"/>
                <w:szCs w:val="16"/>
              </w:rPr>
              <w:t xml:space="preserve"> kontrola z centrálních registrů</w:t>
            </w:r>
          </w:p>
        </w:tc>
      </w:tr>
      <w:tr w:rsidR="008A0191" w:rsidRPr="008A0191" w14:paraId="07091B9B" w14:textId="77777777" w:rsidTr="1B8B314C">
        <w:trPr>
          <w:trHeight w:val="288"/>
        </w:trPr>
        <w:tc>
          <w:tcPr>
            <w:tcW w:w="639" w:type="pct"/>
            <w:vMerge/>
          </w:tcPr>
          <w:p w14:paraId="1BCA484B" w14:textId="77777777" w:rsidR="008A0191" w:rsidRPr="008A0191" w:rsidRDefault="008A0191" w:rsidP="008A0191">
            <w:pPr>
              <w:rPr>
                <w:b/>
                <w:sz w:val="16"/>
                <w:szCs w:val="16"/>
              </w:rPr>
            </w:pPr>
          </w:p>
        </w:tc>
        <w:tc>
          <w:tcPr>
            <w:tcW w:w="1398" w:type="pct"/>
          </w:tcPr>
          <w:p w14:paraId="3A442336" w14:textId="77777777" w:rsidR="008A0191" w:rsidRPr="008A0191" w:rsidRDefault="008A0191" w:rsidP="008A0191">
            <w:pPr>
              <w:rPr>
                <w:sz w:val="16"/>
                <w:szCs w:val="16"/>
              </w:rPr>
            </w:pPr>
            <w:r w:rsidRPr="008A0191">
              <w:rPr>
                <w:sz w:val="16"/>
                <w:szCs w:val="16"/>
              </w:rPr>
              <w:t>Porovnání s dříve hlášeným statusem MSP v rámci předchozích žádostí, realizace</w:t>
            </w:r>
          </w:p>
        </w:tc>
        <w:tc>
          <w:tcPr>
            <w:tcW w:w="1845" w:type="pct"/>
          </w:tcPr>
          <w:p w14:paraId="6307B0C5" w14:textId="77777777" w:rsidR="008A0191" w:rsidRPr="008A0191" w:rsidRDefault="008A0191" w:rsidP="008A0191">
            <w:pPr>
              <w:rPr>
                <w:sz w:val="16"/>
                <w:szCs w:val="16"/>
              </w:rPr>
            </w:pPr>
            <w:r w:rsidRPr="008A0191">
              <w:rPr>
                <w:sz w:val="16"/>
                <w:szCs w:val="16"/>
              </w:rPr>
              <w:t>Probíhá manuálně</w:t>
            </w:r>
          </w:p>
        </w:tc>
        <w:tc>
          <w:tcPr>
            <w:tcW w:w="1118" w:type="pct"/>
          </w:tcPr>
          <w:p w14:paraId="391573D2" w14:textId="20641F39" w:rsidR="008A0191" w:rsidRPr="008A0191" w:rsidRDefault="008A0191" w:rsidP="008A0191">
            <w:pPr>
              <w:rPr>
                <w:sz w:val="16"/>
                <w:szCs w:val="16"/>
              </w:rPr>
            </w:pPr>
            <w:r w:rsidRPr="008A0191">
              <w:rPr>
                <w:sz w:val="16"/>
                <w:szCs w:val="16"/>
              </w:rPr>
              <w:t>Automatizovaná</w:t>
            </w:r>
            <w:r w:rsidR="007E2418">
              <w:rPr>
                <w:sz w:val="16"/>
                <w:szCs w:val="16"/>
              </w:rPr>
              <w:t>/robotická</w:t>
            </w:r>
            <w:r w:rsidRPr="008A0191">
              <w:rPr>
                <w:sz w:val="16"/>
                <w:szCs w:val="16"/>
              </w:rPr>
              <w:t xml:space="preserve"> kontrola MS2014+</w:t>
            </w:r>
          </w:p>
        </w:tc>
      </w:tr>
      <w:tr w:rsidR="008A0191" w:rsidRPr="008A0191" w14:paraId="59D91477" w14:textId="77777777" w:rsidTr="1B8B314C">
        <w:trPr>
          <w:trHeight w:val="288"/>
        </w:trPr>
        <w:tc>
          <w:tcPr>
            <w:tcW w:w="639" w:type="pct"/>
            <w:vMerge/>
          </w:tcPr>
          <w:p w14:paraId="0374B465" w14:textId="77777777" w:rsidR="008A0191" w:rsidRPr="008A0191" w:rsidRDefault="008A0191" w:rsidP="008A0191">
            <w:pPr>
              <w:rPr>
                <w:b/>
                <w:sz w:val="16"/>
                <w:szCs w:val="16"/>
              </w:rPr>
            </w:pPr>
          </w:p>
        </w:tc>
        <w:tc>
          <w:tcPr>
            <w:tcW w:w="1398" w:type="pct"/>
          </w:tcPr>
          <w:p w14:paraId="2F394B2D" w14:textId="77777777" w:rsidR="008A0191" w:rsidRPr="008A0191" w:rsidRDefault="008A0191" w:rsidP="008A0191">
            <w:pPr>
              <w:rPr>
                <w:sz w:val="16"/>
                <w:szCs w:val="16"/>
              </w:rPr>
            </w:pPr>
            <w:r w:rsidRPr="008A0191">
              <w:rPr>
                <w:sz w:val="16"/>
                <w:szCs w:val="16"/>
              </w:rPr>
              <w:t>Evidence projektů s nejasnou vlastnickou strukturou</w:t>
            </w:r>
          </w:p>
        </w:tc>
        <w:tc>
          <w:tcPr>
            <w:tcW w:w="1845" w:type="pct"/>
          </w:tcPr>
          <w:p w14:paraId="4405D7F0" w14:textId="026EEA64" w:rsidR="008A0191" w:rsidRPr="008A0191" w:rsidRDefault="40377960" w:rsidP="008A0191">
            <w:pPr>
              <w:rPr>
                <w:sz w:val="16"/>
                <w:szCs w:val="16"/>
              </w:rPr>
            </w:pPr>
            <w:r w:rsidRPr="1B8B314C">
              <w:rPr>
                <w:sz w:val="16"/>
                <w:szCs w:val="16"/>
              </w:rPr>
              <w:t xml:space="preserve">Manuálně v externí </w:t>
            </w:r>
            <w:r w:rsidR="213F7F7E" w:rsidRPr="1B8B314C">
              <w:rPr>
                <w:sz w:val="16"/>
                <w:szCs w:val="16"/>
              </w:rPr>
              <w:t>.</w:t>
            </w:r>
            <w:r w:rsidRPr="1B8B314C">
              <w:rPr>
                <w:sz w:val="16"/>
                <w:szCs w:val="16"/>
              </w:rPr>
              <w:t>xls tabulce</w:t>
            </w:r>
          </w:p>
        </w:tc>
        <w:tc>
          <w:tcPr>
            <w:tcW w:w="1118" w:type="pct"/>
          </w:tcPr>
          <w:p w14:paraId="2F39DCD1" w14:textId="77777777" w:rsidR="008A0191" w:rsidRPr="008A0191" w:rsidRDefault="008A0191" w:rsidP="008A0191">
            <w:pPr>
              <w:rPr>
                <w:sz w:val="16"/>
                <w:szCs w:val="16"/>
              </w:rPr>
            </w:pPr>
            <w:r w:rsidRPr="008A0191">
              <w:rPr>
                <w:sz w:val="16"/>
                <w:szCs w:val="16"/>
              </w:rPr>
              <w:t>Integrovat do MS2014+</w:t>
            </w:r>
          </w:p>
        </w:tc>
      </w:tr>
      <w:tr w:rsidR="008A0191" w:rsidRPr="008A0191" w14:paraId="39E4E3CB" w14:textId="77777777" w:rsidTr="1B8B314C">
        <w:trPr>
          <w:trHeight w:val="288"/>
        </w:trPr>
        <w:tc>
          <w:tcPr>
            <w:tcW w:w="639" w:type="pct"/>
            <w:vMerge/>
          </w:tcPr>
          <w:p w14:paraId="77F31190" w14:textId="77777777" w:rsidR="008A0191" w:rsidRPr="008A0191" w:rsidRDefault="008A0191" w:rsidP="008A0191">
            <w:pPr>
              <w:rPr>
                <w:b/>
                <w:sz w:val="16"/>
                <w:szCs w:val="16"/>
              </w:rPr>
            </w:pPr>
          </w:p>
        </w:tc>
        <w:tc>
          <w:tcPr>
            <w:tcW w:w="1398" w:type="pct"/>
          </w:tcPr>
          <w:p w14:paraId="42F5B693" w14:textId="77777777" w:rsidR="008A0191" w:rsidRPr="008A0191" w:rsidRDefault="008A0191" w:rsidP="008A0191">
            <w:pPr>
              <w:rPr>
                <w:sz w:val="16"/>
                <w:szCs w:val="16"/>
              </w:rPr>
            </w:pPr>
            <w:r w:rsidRPr="008A0191">
              <w:rPr>
                <w:sz w:val="16"/>
                <w:szCs w:val="16"/>
              </w:rPr>
              <w:t xml:space="preserve">Kontrola poměru propojení pro započítávání vztahů přes podnik (od 25 %) a přes fyzickou osobu (od 50 % a podnikajících na </w:t>
            </w:r>
            <w:r w:rsidRPr="008A0191">
              <w:rPr>
                <w:sz w:val="16"/>
                <w:szCs w:val="16"/>
                <w:u w:val="single"/>
              </w:rPr>
              <w:t>stejných</w:t>
            </w:r>
            <w:r w:rsidRPr="008A0191">
              <w:rPr>
                <w:sz w:val="16"/>
                <w:szCs w:val="16"/>
              </w:rPr>
              <w:t xml:space="preserve"> nebo </w:t>
            </w:r>
            <w:r w:rsidRPr="008A0191">
              <w:rPr>
                <w:sz w:val="16"/>
                <w:szCs w:val="16"/>
                <w:u w:val="single"/>
              </w:rPr>
              <w:t>navazujících trzích</w:t>
            </w:r>
            <w:r w:rsidRPr="008A0191">
              <w:rPr>
                <w:sz w:val="16"/>
                <w:szCs w:val="16"/>
              </w:rPr>
              <w:t>).</w:t>
            </w:r>
          </w:p>
        </w:tc>
        <w:tc>
          <w:tcPr>
            <w:tcW w:w="1845" w:type="pct"/>
          </w:tcPr>
          <w:p w14:paraId="676A0994" w14:textId="77777777" w:rsidR="008A0191" w:rsidRPr="008A0191" w:rsidRDefault="008A0191" w:rsidP="008A0191">
            <w:pPr>
              <w:rPr>
                <w:sz w:val="16"/>
                <w:szCs w:val="16"/>
              </w:rPr>
            </w:pPr>
            <w:r w:rsidRPr="008A0191">
              <w:rPr>
                <w:sz w:val="16"/>
                <w:szCs w:val="16"/>
              </w:rPr>
              <w:t xml:space="preserve">Manuálně PM v rejstřících. Náročné a nejasné. </w:t>
            </w:r>
          </w:p>
          <w:p w14:paraId="69FE6D59" w14:textId="77777777" w:rsidR="008A0191" w:rsidRPr="008A0191" w:rsidRDefault="008A0191" w:rsidP="008A0191">
            <w:pPr>
              <w:rPr>
                <w:sz w:val="16"/>
                <w:szCs w:val="16"/>
              </w:rPr>
            </w:pPr>
          </w:p>
        </w:tc>
        <w:tc>
          <w:tcPr>
            <w:tcW w:w="1118" w:type="pct"/>
          </w:tcPr>
          <w:p w14:paraId="60B5CF77" w14:textId="1B6ECBDB" w:rsidR="008A0191" w:rsidRPr="008A0191" w:rsidRDefault="008A0191" w:rsidP="008A0191">
            <w:pPr>
              <w:rPr>
                <w:sz w:val="16"/>
                <w:szCs w:val="16"/>
              </w:rPr>
            </w:pPr>
            <w:r w:rsidRPr="008A0191">
              <w:rPr>
                <w:sz w:val="16"/>
                <w:szCs w:val="16"/>
              </w:rPr>
              <w:t>Automatická</w:t>
            </w:r>
            <w:r w:rsidR="007E2418">
              <w:rPr>
                <w:sz w:val="16"/>
                <w:szCs w:val="16"/>
              </w:rPr>
              <w:t>/robotická</w:t>
            </w:r>
            <w:r w:rsidRPr="008A0191">
              <w:rPr>
                <w:sz w:val="16"/>
                <w:szCs w:val="16"/>
              </w:rPr>
              <w:t xml:space="preserve"> kontrola z centrálních registrů</w:t>
            </w:r>
          </w:p>
        </w:tc>
      </w:tr>
    </w:tbl>
    <w:p w14:paraId="04FB91EF" w14:textId="29FB1754" w:rsidR="00DB5B02" w:rsidRDefault="00DB5B02">
      <w:r>
        <w:br w:type="page"/>
      </w:r>
    </w:p>
    <w:p w14:paraId="20BAB4E1" w14:textId="77777777" w:rsidR="00DB5B02" w:rsidRPr="00DB5B02" w:rsidRDefault="00DB5B02" w:rsidP="00DB5B02"/>
    <w:p w14:paraId="75BBE3FD" w14:textId="77777777" w:rsidR="00C74C9F" w:rsidRPr="00880699" w:rsidRDefault="00C74C9F" w:rsidP="00B71517">
      <w:pPr>
        <w:spacing w:line="240" w:lineRule="auto"/>
        <w:jc w:val="both"/>
        <w:rPr>
          <w:highlight w:val="yellow"/>
        </w:rPr>
      </w:pPr>
    </w:p>
    <w:bookmarkEnd w:id="3"/>
    <w:p w14:paraId="44265B31" w14:textId="77777777" w:rsidR="00BF6F8B" w:rsidRPr="00880699" w:rsidRDefault="00BF6F8B" w:rsidP="00B71517">
      <w:pPr>
        <w:spacing w:line="240" w:lineRule="auto"/>
        <w:jc w:val="both"/>
        <w:rPr>
          <w:rFonts w:asciiTheme="majorHAnsi" w:hAnsiTheme="majorHAnsi"/>
        </w:rPr>
      </w:pPr>
      <w:r w:rsidRPr="00880699">
        <w:rPr>
          <w:rFonts w:asciiTheme="majorHAnsi" w:hAnsiTheme="majorHAnsi"/>
          <w:noProof/>
          <w:lang w:eastAsia="cs-CZ"/>
        </w:rPr>
        <mc:AlternateContent>
          <mc:Choice Requires="wps">
            <w:drawing>
              <wp:anchor distT="0" distB="0" distL="114300" distR="114300" simplePos="0" relativeHeight="251664384" behindDoc="1" locked="1" layoutInCell="1" allowOverlap="1" wp14:anchorId="5F217F53" wp14:editId="231E6AF8">
                <wp:simplePos x="0" y="0"/>
                <wp:positionH relativeFrom="page">
                  <wp:posOffset>0</wp:posOffset>
                </wp:positionH>
                <wp:positionV relativeFrom="page">
                  <wp:posOffset>0</wp:posOffset>
                </wp:positionV>
                <wp:extent cx="7596000" cy="10728000"/>
                <wp:effectExtent l="0" t="0" r="5080" b="0"/>
                <wp:wrapNone/>
                <wp:docPr id="2" name="Rectangle 2"/>
                <wp:cNvGraphicFramePr/>
                <a:graphic xmlns:a="http://schemas.openxmlformats.org/drawingml/2006/main">
                  <a:graphicData uri="http://schemas.microsoft.com/office/word/2010/wordprocessingShape">
                    <wps:wsp>
                      <wps:cNvSpPr/>
                      <wps:spPr>
                        <a:xfrm>
                          <a:off x="0" y="0"/>
                          <a:ext cx="7596000" cy="10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BF3FA" w14:textId="77777777" w:rsidR="00BB343F" w:rsidRDefault="00BB343F" w:rsidP="00BF6F8B">
                            <w:pPr>
                              <w:pStyle w:val="Legaltext"/>
                              <w:rPr>
                                <w:noProof/>
                                <w:lang w:eastAsia="cs-CZ"/>
                              </w:rPr>
                            </w:pPr>
                          </w:p>
                          <w:p w14:paraId="07EBB51C" w14:textId="77777777" w:rsidR="00BB343F" w:rsidRDefault="00BB343F" w:rsidP="00BF6F8B">
                            <w:pPr>
                              <w:pStyle w:val="Legaltext"/>
                              <w:rPr>
                                <w:noProof/>
                                <w:lang w:eastAsia="cs-CZ"/>
                              </w:rPr>
                            </w:pPr>
                          </w:p>
                          <w:p w14:paraId="788FAD3D" w14:textId="77777777" w:rsidR="00BB343F" w:rsidRDefault="00BB343F" w:rsidP="00BF6F8B">
                            <w:pPr>
                              <w:pStyle w:val="Legaltext"/>
                              <w:rPr>
                                <w:noProof/>
                                <w:lang w:eastAsia="cs-CZ"/>
                              </w:rPr>
                            </w:pPr>
                          </w:p>
                          <w:p w14:paraId="3AF5F499" w14:textId="77777777" w:rsidR="00BB343F" w:rsidRDefault="00BB343F" w:rsidP="00BF6F8B">
                            <w:pPr>
                              <w:pStyle w:val="Legaltext"/>
                              <w:rPr>
                                <w:noProof/>
                                <w:lang w:eastAsia="cs-CZ"/>
                              </w:rPr>
                            </w:pPr>
                          </w:p>
                          <w:p w14:paraId="08B559BE" w14:textId="77777777" w:rsidR="00BB343F" w:rsidRDefault="00BB343F" w:rsidP="00BF6F8B">
                            <w:pPr>
                              <w:pStyle w:val="Legaltext"/>
                              <w:rPr>
                                <w:noProof/>
                                <w:lang w:eastAsia="cs-CZ"/>
                              </w:rPr>
                            </w:pPr>
                          </w:p>
                          <w:p w14:paraId="30407E6E" w14:textId="77777777" w:rsidR="00BB343F" w:rsidRDefault="00BB343F" w:rsidP="00BF6F8B">
                            <w:pPr>
                              <w:pStyle w:val="Legaltext"/>
                              <w:rPr>
                                <w:noProof/>
                                <w:lang w:eastAsia="cs-CZ"/>
                              </w:rPr>
                            </w:pPr>
                          </w:p>
                          <w:p w14:paraId="353F027A" w14:textId="77777777" w:rsidR="00BB343F" w:rsidRDefault="00BB343F" w:rsidP="00BF6F8B">
                            <w:pPr>
                              <w:pStyle w:val="Legaltext"/>
                              <w:rPr>
                                <w:noProof/>
                                <w:lang w:eastAsia="cs-CZ"/>
                              </w:rPr>
                            </w:pPr>
                          </w:p>
                          <w:p w14:paraId="4D4EC4DB" w14:textId="77777777" w:rsidR="00BB343F" w:rsidRDefault="00BB343F" w:rsidP="00BF6F8B">
                            <w:pPr>
                              <w:pStyle w:val="Legaltext"/>
                              <w:rPr>
                                <w:noProof/>
                                <w:lang w:eastAsia="cs-CZ"/>
                              </w:rPr>
                            </w:pPr>
                          </w:p>
                          <w:p w14:paraId="61E2EAC9" w14:textId="77777777" w:rsidR="00BB343F" w:rsidRPr="00E373D2" w:rsidRDefault="00BB343F" w:rsidP="00BF6F8B">
                            <w:pPr>
                              <w:pStyle w:val="Legaltext"/>
                              <w:rPr>
                                <w:color w:val="000000" w:themeColor="text1"/>
                              </w:rPr>
                            </w:pPr>
                            <w:r w:rsidRPr="00E373D2">
                              <w:rPr>
                                <w:noProof/>
                                <w:lang w:eastAsia="cs-CZ"/>
                              </w:rPr>
                              <w:drawing>
                                <wp:inline distT="0" distB="0" distL="0" distR="0" wp14:anchorId="1D139C32" wp14:editId="145BF326">
                                  <wp:extent cx="1831975" cy="3454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59560A11" w14:textId="77777777" w:rsidR="00BB343F" w:rsidRPr="00E373D2" w:rsidRDefault="00BB343F" w:rsidP="00BF6F8B">
                            <w:pPr>
                              <w:pStyle w:val="Legaltext"/>
                              <w:rPr>
                                <w:color w:val="000000" w:themeColor="text1"/>
                              </w:rPr>
                            </w:pPr>
                          </w:p>
                          <w:p w14:paraId="54CD2157" w14:textId="77777777" w:rsidR="00BB343F" w:rsidRPr="00E373D2" w:rsidRDefault="00BB343F" w:rsidP="00BF6F8B">
                            <w:pPr>
                              <w:pStyle w:val="Legaltext"/>
                              <w:rPr>
                                <w:color w:val="000000" w:themeColor="text1"/>
                              </w:rPr>
                            </w:pPr>
                          </w:p>
                          <w:p w14:paraId="5C84E769" w14:textId="77777777" w:rsidR="00BB343F" w:rsidRPr="00E373D2" w:rsidRDefault="00BB343F" w:rsidP="000A41D8">
                            <w:pPr>
                              <w:pStyle w:val="Legaltext"/>
                              <w:ind w:right="4909"/>
                              <w:rPr>
                                <w:color w:val="000000" w:themeColor="text1"/>
                              </w:rPr>
                            </w:pPr>
                          </w:p>
                          <w:p w14:paraId="71AE9B0E" w14:textId="77777777" w:rsidR="00BB343F" w:rsidRDefault="00BB343F" w:rsidP="007309F5">
                            <w:pPr>
                              <w:pStyle w:val="Legaltext"/>
                              <w:ind w:right="4890"/>
                              <w:rPr>
                                <w:color w:val="000000" w:themeColor="text1"/>
                              </w:rPr>
                            </w:pPr>
                            <w:r w:rsidRPr="007263EA">
                              <w:rPr>
                                <w:color w:val="000000" w:themeColor="text1"/>
                              </w:rPr>
                              <w:t>Deloitte označuje jednu či více společností Deloitte Touche Tohmatsu Limited, britské privátní společnosti s ručením omezeným zárukou („DTTL“), síť jejích členských firem a jejich spřízněných subjektů. Společnost DTTL a každá z jejích členských firem představuje samostatný a nezávislý právní subjekt. Společnost DTTL (rovněž označovaná jako „Deloitte Global“) služby klientům neposkytuje. Více informací o naší globální síti členských firem je uvedeno na adrese www.deloitte.com/cz/onas.</w:t>
                            </w:r>
                          </w:p>
                          <w:p w14:paraId="527F6836" w14:textId="77777777" w:rsidR="00BB343F" w:rsidRPr="00745BE8" w:rsidRDefault="00BB343F" w:rsidP="007309F5">
                            <w:pPr>
                              <w:pStyle w:val="Legaltext"/>
                              <w:ind w:right="4890"/>
                              <w:rPr>
                                <w:color w:val="000000" w:themeColor="text1"/>
                              </w:rPr>
                            </w:pPr>
                          </w:p>
                          <w:p w14:paraId="7CCDD0D5" w14:textId="77777777" w:rsidR="00BB343F" w:rsidRPr="00745BE8" w:rsidRDefault="00BB343F" w:rsidP="007309F5">
                            <w:pPr>
                              <w:pStyle w:val="Legaltext"/>
                              <w:ind w:right="4890"/>
                              <w:rPr>
                                <w:color w:val="000000" w:themeColor="text1"/>
                              </w:rPr>
                            </w:pPr>
                            <w:r w:rsidRPr="00745BE8">
                              <w:rPr>
                                <w:color w:val="000000" w:themeColor="text1"/>
                              </w:rPr>
                              <w:t>Společnost Deloitte poskytuje služby v oblasti auditu, poradenství, právního a</w:t>
                            </w:r>
                            <w:r>
                              <w:rPr>
                                <w:color w:val="000000" w:themeColor="text1"/>
                              </w:rPr>
                              <w:t> </w:t>
                            </w:r>
                            <w:r w:rsidRPr="00745BE8">
                              <w:rPr>
                                <w:color w:val="000000" w:themeColor="text1"/>
                              </w:rPr>
                              <w:t xml:space="preserve">finančního poradenství, poradenství v oblasti rizik a daní a související služby klientům v celé řadě odvětví veřejného a soukromého sektoru. Díky globálně propojené síti členských firem ve více než 150 zemích a teritoriích má společnost Deloitte světové možnosti a poznatky a poskytuje svým klientům, mezi něž patří čtyři z pěti společností figurujících v žebříčku Fortune Global 500 ®, vysoce kvalitní služby v oblastech, ve kterých klienti řeší své nejkomplexnější podnikatelské výzvy. Chcete-li se dozvědět více o způsobu, jakým zhruba </w:t>
                            </w:r>
                            <w:r>
                              <w:rPr>
                                <w:color w:val="000000" w:themeColor="text1"/>
                              </w:rPr>
                              <w:t>245</w:t>
                            </w:r>
                            <w:r w:rsidRPr="00745BE8">
                              <w:rPr>
                                <w:color w:val="000000" w:themeColor="text1"/>
                              </w:rPr>
                              <w:t xml:space="preserve"> 000 odborníků dělá to, co má pro klienty smysl, kontaktujte ná</w:t>
                            </w:r>
                            <w:r>
                              <w:rPr>
                                <w:color w:val="000000" w:themeColor="text1"/>
                              </w:rPr>
                              <w:t>s</w:t>
                            </w:r>
                            <w:r w:rsidRPr="00745BE8">
                              <w:rPr>
                                <w:color w:val="000000" w:themeColor="text1"/>
                              </w:rPr>
                              <w:t xml:space="preserve"> prostřednictvím sociálních sítí Facebook, LinkedIn či Twitter. </w:t>
                            </w:r>
                          </w:p>
                          <w:p w14:paraId="7ED166D3" w14:textId="77777777" w:rsidR="00BB343F" w:rsidRPr="00745BE8" w:rsidRDefault="00BB343F" w:rsidP="007309F5">
                            <w:pPr>
                              <w:pStyle w:val="Legaltext"/>
                              <w:ind w:right="4890"/>
                              <w:rPr>
                                <w:color w:val="000000" w:themeColor="text1"/>
                              </w:rPr>
                            </w:pPr>
                          </w:p>
                          <w:p w14:paraId="426298C6" w14:textId="77777777" w:rsidR="00BB343F" w:rsidRPr="00745BE8" w:rsidRDefault="00BB343F" w:rsidP="007309F5">
                            <w:pPr>
                              <w:pStyle w:val="Legaltext"/>
                              <w:ind w:right="4890"/>
                              <w:rPr>
                                <w:color w:val="000000" w:themeColor="text1"/>
                              </w:rPr>
                            </w:pPr>
                            <w:r w:rsidRPr="00745BE8">
                              <w:rPr>
                                <w:color w:val="000000" w:themeColor="text1"/>
                              </w:rPr>
                              <w:t xml:space="preserve">Společnost Deloitte ve střední Evropě je regionální organizací subjektů sdružených ve společnosti Deloitte Central Europe Holdings Limited, která je členskou firmou sdružení Deloitte Touche Tohmatsu Limited ve střední Evropě. Odborné služby poskytují dceřiné a přidružené podniky společnosti Deloitte Central Europe Holdings Limited, které jsou samostatnými a nezávislými právními subjekty. Dceřiné a přidružené podniky společnosti Deloitte Central Europe Holdings Limited patří ve středoevropském regionu k předním firmám poskytujícím služby prostřednictvím </w:t>
                            </w:r>
                            <w:r>
                              <w:rPr>
                                <w:color w:val="000000" w:themeColor="text1"/>
                              </w:rPr>
                              <w:t>více než</w:t>
                            </w:r>
                            <w:r w:rsidRPr="00745BE8">
                              <w:rPr>
                                <w:color w:val="000000" w:themeColor="text1"/>
                              </w:rPr>
                              <w:t xml:space="preserve"> 6 000 zaměstnanců ze</w:t>
                            </w:r>
                            <w:r>
                              <w:rPr>
                                <w:color w:val="000000" w:themeColor="text1"/>
                              </w:rPr>
                              <w:t> </w:t>
                            </w:r>
                            <w:r w:rsidRPr="00745BE8">
                              <w:rPr>
                                <w:color w:val="000000" w:themeColor="text1"/>
                              </w:rPr>
                              <w:t>4</w:t>
                            </w:r>
                            <w:r>
                              <w:rPr>
                                <w:color w:val="000000" w:themeColor="text1"/>
                              </w:rPr>
                              <w:t>4 </w:t>
                            </w:r>
                            <w:r w:rsidRPr="00745BE8">
                              <w:rPr>
                                <w:color w:val="000000" w:themeColor="text1"/>
                              </w:rPr>
                              <w:t>pracovišť v 18 zemích.</w:t>
                            </w:r>
                          </w:p>
                          <w:p w14:paraId="5B8BC1F7" w14:textId="77777777" w:rsidR="00BB343F" w:rsidRPr="00745BE8" w:rsidRDefault="00BB343F" w:rsidP="007309F5">
                            <w:pPr>
                              <w:pStyle w:val="Legaltext"/>
                              <w:ind w:right="4890"/>
                              <w:rPr>
                                <w:color w:val="000000" w:themeColor="text1"/>
                              </w:rPr>
                            </w:pPr>
                          </w:p>
                          <w:p w14:paraId="1B9CF900" w14:textId="2EE2F2E7" w:rsidR="00BB343F" w:rsidRPr="00E373D2" w:rsidRDefault="00BB343F" w:rsidP="007309F5">
                            <w:pPr>
                              <w:pStyle w:val="Legaltext"/>
                              <w:ind w:right="4890"/>
                              <w:rPr>
                                <w:color w:val="000000" w:themeColor="text1"/>
                              </w:rPr>
                            </w:pPr>
                            <w:r w:rsidRPr="00745BE8">
                              <w:rPr>
                                <w:color w:val="000000" w:themeColor="text1"/>
                              </w:rPr>
                              <w:t>© 20</w:t>
                            </w:r>
                            <w:r>
                              <w:rPr>
                                <w:color w:val="000000" w:themeColor="text1"/>
                              </w:rPr>
                              <w:t>20</w:t>
                            </w:r>
                            <w:r w:rsidRPr="00745BE8">
                              <w:rPr>
                                <w:color w:val="000000" w:themeColor="text1"/>
                              </w:rPr>
                              <w:t xml:space="preserve"> Pro více informací kontaktujte Deloitte Česká republika</w:t>
                            </w:r>
                            <w:r w:rsidRPr="00E373D2">
                              <w:rPr>
                                <w:color w:val="000000" w:themeColor="text1"/>
                              </w:rPr>
                              <w:t>.</w:t>
                            </w:r>
                          </w:p>
                        </w:txbxContent>
                      </wps:txbx>
                      <wps:bodyPr rot="0" spcFirstLastPara="0" vertOverflow="overflow" horzOverflow="overflow" vert="horz" wrap="square" lIns="432000" tIns="43200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17F53" id="Rectangle 2" o:spid="_x0000_s1026" style="position:absolute;left:0;text-align:left;margin-left:0;margin-top:0;width:598.1pt;height:844.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" fillcolor="white [3212]" stroked="f" strokeweight="2pt">
                <v:textbox inset="12mm,12mm,12mm,12mm">
                  <w:txbxContent>
                    <w:p w14:paraId="669BF3FA" w14:textId="77777777" w:rsidR="00BB343F" w:rsidRDefault="00BB343F" w:rsidP="00BF6F8B">
                      <w:pPr>
                        <w:pStyle w:val="Legaltext"/>
                        <w:rPr>
                          <w:noProof/>
                          <w:lang w:eastAsia="cs-CZ"/>
                        </w:rPr>
                      </w:pPr>
                    </w:p>
                    <w:p w14:paraId="07EBB51C" w14:textId="77777777" w:rsidR="00BB343F" w:rsidRDefault="00BB343F" w:rsidP="00BF6F8B">
                      <w:pPr>
                        <w:pStyle w:val="Legaltext"/>
                        <w:rPr>
                          <w:noProof/>
                          <w:lang w:eastAsia="cs-CZ"/>
                        </w:rPr>
                      </w:pPr>
                    </w:p>
                    <w:p w14:paraId="788FAD3D" w14:textId="77777777" w:rsidR="00BB343F" w:rsidRDefault="00BB343F" w:rsidP="00BF6F8B">
                      <w:pPr>
                        <w:pStyle w:val="Legaltext"/>
                        <w:rPr>
                          <w:noProof/>
                          <w:lang w:eastAsia="cs-CZ"/>
                        </w:rPr>
                      </w:pPr>
                    </w:p>
                    <w:p w14:paraId="3AF5F499" w14:textId="77777777" w:rsidR="00BB343F" w:rsidRDefault="00BB343F" w:rsidP="00BF6F8B">
                      <w:pPr>
                        <w:pStyle w:val="Legaltext"/>
                        <w:rPr>
                          <w:noProof/>
                          <w:lang w:eastAsia="cs-CZ"/>
                        </w:rPr>
                      </w:pPr>
                    </w:p>
                    <w:p w14:paraId="08B559BE" w14:textId="77777777" w:rsidR="00BB343F" w:rsidRDefault="00BB343F" w:rsidP="00BF6F8B">
                      <w:pPr>
                        <w:pStyle w:val="Legaltext"/>
                        <w:rPr>
                          <w:noProof/>
                          <w:lang w:eastAsia="cs-CZ"/>
                        </w:rPr>
                      </w:pPr>
                    </w:p>
                    <w:p w14:paraId="30407E6E" w14:textId="77777777" w:rsidR="00BB343F" w:rsidRDefault="00BB343F" w:rsidP="00BF6F8B">
                      <w:pPr>
                        <w:pStyle w:val="Legaltext"/>
                        <w:rPr>
                          <w:noProof/>
                          <w:lang w:eastAsia="cs-CZ"/>
                        </w:rPr>
                      </w:pPr>
                    </w:p>
                    <w:p w14:paraId="353F027A" w14:textId="77777777" w:rsidR="00BB343F" w:rsidRDefault="00BB343F" w:rsidP="00BF6F8B">
                      <w:pPr>
                        <w:pStyle w:val="Legaltext"/>
                        <w:rPr>
                          <w:noProof/>
                          <w:lang w:eastAsia="cs-CZ"/>
                        </w:rPr>
                      </w:pPr>
                    </w:p>
                    <w:p w14:paraId="4D4EC4DB" w14:textId="77777777" w:rsidR="00BB343F" w:rsidRDefault="00BB343F" w:rsidP="00BF6F8B">
                      <w:pPr>
                        <w:pStyle w:val="Legaltext"/>
                        <w:rPr>
                          <w:noProof/>
                          <w:lang w:eastAsia="cs-CZ"/>
                        </w:rPr>
                      </w:pPr>
                    </w:p>
                    <w:p w14:paraId="61E2EAC9" w14:textId="77777777" w:rsidR="00BB343F" w:rsidRPr="00E373D2" w:rsidRDefault="00BB343F" w:rsidP="00BF6F8B">
                      <w:pPr>
                        <w:pStyle w:val="Legaltext"/>
                        <w:rPr>
                          <w:color w:val="000000" w:themeColor="text1"/>
                        </w:rPr>
                      </w:pPr>
                      <w:r w:rsidRPr="00E373D2">
                        <w:rPr>
                          <w:noProof/>
                          <w:lang w:eastAsia="cs-CZ"/>
                        </w:rPr>
                        <w:drawing>
                          <wp:inline distT="0" distB="0" distL="0" distR="0" wp14:anchorId="1D139C32" wp14:editId="145BF326">
                            <wp:extent cx="1831975" cy="3454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59560A11" w14:textId="77777777" w:rsidR="00BB343F" w:rsidRPr="00E373D2" w:rsidRDefault="00BB343F" w:rsidP="00BF6F8B">
                      <w:pPr>
                        <w:pStyle w:val="Legaltext"/>
                        <w:rPr>
                          <w:color w:val="000000" w:themeColor="text1"/>
                        </w:rPr>
                      </w:pPr>
                    </w:p>
                    <w:p w14:paraId="54CD2157" w14:textId="77777777" w:rsidR="00BB343F" w:rsidRPr="00E373D2" w:rsidRDefault="00BB343F" w:rsidP="00BF6F8B">
                      <w:pPr>
                        <w:pStyle w:val="Legaltext"/>
                        <w:rPr>
                          <w:color w:val="000000" w:themeColor="text1"/>
                        </w:rPr>
                      </w:pPr>
                    </w:p>
                    <w:p w14:paraId="5C84E769" w14:textId="77777777" w:rsidR="00BB343F" w:rsidRPr="00E373D2" w:rsidRDefault="00BB343F" w:rsidP="000A41D8">
                      <w:pPr>
                        <w:pStyle w:val="Legaltext"/>
                        <w:ind w:right="4909"/>
                        <w:rPr>
                          <w:color w:val="000000" w:themeColor="text1"/>
                        </w:rPr>
                      </w:pPr>
                    </w:p>
                    <w:p w14:paraId="71AE9B0E" w14:textId="77777777" w:rsidR="00BB343F" w:rsidRDefault="00BB343F" w:rsidP="007309F5">
                      <w:pPr>
                        <w:pStyle w:val="Legaltext"/>
                        <w:ind w:right="4890"/>
                        <w:rPr>
                          <w:color w:val="000000" w:themeColor="text1"/>
                        </w:rPr>
                      </w:pPr>
                      <w:r w:rsidRPr="007263EA">
                        <w:rPr>
                          <w:color w:val="000000" w:themeColor="text1"/>
                        </w:rPr>
                        <w:t>Deloitte označuje jednu či více společností Deloitte Touche Tohmatsu Limited, britské privátní společnosti s ručením omezeným zárukou („DTTL“), síť jejích členských firem a jejich spřízněných subjektů. Společnost DTTL a každá z jejích členských firem představuje samostatný a nezávislý právní subjekt. Společnost DTTL (rovněž označovaná jako „Deloitte Global“) služby klientům neposkytuje. Více informací o naší globální síti členských firem je uvedeno na adrese www.deloitte.com/cz/onas.</w:t>
                      </w:r>
                    </w:p>
                    <w:p w14:paraId="527F6836" w14:textId="77777777" w:rsidR="00BB343F" w:rsidRPr="00745BE8" w:rsidRDefault="00BB343F" w:rsidP="007309F5">
                      <w:pPr>
                        <w:pStyle w:val="Legaltext"/>
                        <w:ind w:right="4890"/>
                        <w:rPr>
                          <w:color w:val="000000" w:themeColor="text1"/>
                        </w:rPr>
                      </w:pPr>
                    </w:p>
                    <w:p w14:paraId="7CCDD0D5" w14:textId="77777777" w:rsidR="00BB343F" w:rsidRPr="00745BE8" w:rsidRDefault="00BB343F" w:rsidP="007309F5">
                      <w:pPr>
                        <w:pStyle w:val="Legaltext"/>
                        <w:ind w:right="4890"/>
                        <w:rPr>
                          <w:color w:val="000000" w:themeColor="text1"/>
                        </w:rPr>
                      </w:pPr>
                      <w:r w:rsidRPr="00745BE8">
                        <w:rPr>
                          <w:color w:val="000000" w:themeColor="text1"/>
                        </w:rPr>
                        <w:t>Společnost Deloitte poskytuje služby v oblasti auditu, poradenství, právního a</w:t>
                      </w:r>
                      <w:r>
                        <w:rPr>
                          <w:color w:val="000000" w:themeColor="text1"/>
                        </w:rPr>
                        <w:t> </w:t>
                      </w:r>
                      <w:r w:rsidRPr="00745BE8">
                        <w:rPr>
                          <w:color w:val="000000" w:themeColor="text1"/>
                        </w:rPr>
                        <w:t xml:space="preserve">finančního poradenství, poradenství v oblasti rizik a daní a související služby klientům v celé řadě odvětví veřejného a soukromého sektoru. Díky globálně propojené síti členských firem ve více než 150 zemích a teritoriích má společnost Deloitte světové možnosti a poznatky a poskytuje svým klientům, mezi něž patří čtyři z pěti společností figurujících v žebříčku Fortune Global 500 ®, vysoce kvalitní služby v oblastech, ve kterých klienti řeší své nejkomplexnější podnikatelské výzvy. Chcete-li se dozvědět více o způsobu, jakým zhruba </w:t>
                      </w:r>
                      <w:r>
                        <w:rPr>
                          <w:color w:val="000000" w:themeColor="text1"/>
                        </w:rPr>
                        <w:t>245</w:t>
                      </w:r>
                      <w:r w:rsidRPr="00745BE8">
                        <w:rPr>
                          <w:color w:val="000000" w:themeColor="text1"/>
                        </w:rPr>
                        <w:t xml:space="preserve"> 000 odborníků dělá to, co má pro klienty smysl, kontaktujte ná</w:t>
                      </w:r>
                      <w:r>
                        <w:rPr>
                          <w:color w:val="000000" w:themeColor="text1"/>
                        </w:rPr>
                        <w:t>s</w:t>
                      </w:r>
                      <w:r w:rsidRPr="00745BE8">
                        <w:rPr>
                          <w:color w:val="000000" w:themeColor="text1"/>
                        </w:rPr>
                        <w:t xml:space="preserve"> prostřednictvím sociálních sítí Facebook, LinkedIn či Twitter. </w:t>
                      </w:r>
                    </w:p>
                    <w:p w14:paraId="7ED166D3" w14:textId="77777777" w:rsidR="00BB343F" w:rsidRPr="00745BE8" w:rsidRDefault="00BB343F" w:rsidP="007309F5">
                      <w:pPr>
                        <w:pStyle w:val="Legaltext"/>
                        <w:ind w:right="4890"/>
                        <w:rPr>
                          <w:color w:val="000000" w:themeColor="text1"/>
                        </w:rPr>
                      </w:pPr>
                    </w:p>
                    <w:p w14:paraId="426298C6" w14:textId="77777777" w:rsidR="00BB343F" w:rsidRPr="00745BE8" w:rsidRDefault="00BB343F" w:rsidP="007309F5">
                      <w:pPr>
                        <w:pStyle w:val="Legaltext"/>
                        <w:ind w:right="4890"/>
                        <w:rPr>
                          <w:color w:val="000000" w:themeColor="text1"/>
                        </w:rPr>
                      </w:pPr>
                      <w:r w:rsidRPr="00745BE8">
                        <w:rPr>
                          <w:color w:val="000000" w:themeColor="text1"/>
                        </w:rPr>
                        <w:t xml:space="preserve">Společnost Deloitte ve střední Evropě je regionální organizací subjektů sdružených ve společnosti Deloitte Central Europe Holdings Limited, která je členskou firmou sdružení Deloitte Touche Tohmatsu Limited ve střední Evropě. Odborné služby poskytují dceřiné a přidružené podniky společnosti Deloitte Central Europe Holdings Limited, které jsou samostatnými a nezávislými právními subjekty. Dceřiné a přidružené podniky společnosti Deloitte Central Europe Holdings Limited patří ve středoevropském regionu k předním firmám poskytujícím služby prostřednictvím </w:t>
                      </w:r>
                      <w:r>
                        <w:rPr>
                          <w:color w:val="000000" w:themeColor="text1"/>
                        </w:rPr>
                        <w:t>více než</w:t>
                      </w:r>
                      <w:r w:rsidRPr="00745BE8">
                        <w:rPr>
                          <w:color w:val="000000" w:themeColor="text1"/>
                        </w:rPr>
                        <w:t xml:space="preserve"> 6 000 zaměstnanců ze</w:t>
                      </w:r>
                      <w:r>
                        <w:rPr>
                          <w:color w:val="000000" w:themeColor="text1"/>
                        </w:rPr>
                        <w:t> </w:t>
                      </w:r>
                      <w:r w:rsidRPr="00745BE8">
                        <w:rPr>
                          <w:color w:val="000000" w:themeColor="text1"/>
                        </w:rPr>
                        <w:t>4</w:t>
                      </w:r>
                      <w:r>
                        <w:rPr>
                          <w:color w:val="000000" w:themeColor="text1"/>
                        </w:rPr>
                        <w:t>4 </w:t>
                      </w:r>
                      <w:r w:rsidRPr="00745BE8">
                        <w:rPr>
                          <w:color w:val="000000" w:themeColor="text1"/>
                        </w:rPr>
                        <w:t>pracovišť v 18 zemích.</w:t>
                      </w:r>
                    </w:p>
                    <w:p w14:paraId="5B8BC1F7" w14:textId="77777777" w:rsidR="00BB343F" w:rsidRPr="00745BE8" w:rsidRDefault="00BB343F" w:rsidP="007309F5">
                      <w:pPr>
                        <w:pStyle w:val="Legaltext"/>
                        <w:ind w:right="4890"/>
                        <w:rPr>
                          <w:color w:val="000000" w:themeColor="text1"/>
                        </w:rPr>
                      </w:pPr>
                    </w:p>
                    <w:p w14:paraId="1B9CF900" w14:textId="2EE2F2E7" w:rsidR="00BB343F" w:rsidRPr="00E373D2" w:rsidRDefault="00BB343F" w:rsidP="007309F5">
                      <w:pPr>
                        <w:pStyle w:val="Legaltext"/>
                        <w:ind w:right="4890"/>
                        <w:rPr>
                          <w:color w:val="000000" w:themeColor="text1"/>
                        </w:rPr>
                      </w:pPr>
                      <w:r w:rsidRPr="00745BE8">
                        <w:rPr>
                          <w:color w:val="000000" w:themeColor="text1"/>
                        </w:rPr>
                        <w:t>© 20</w:t>
                      </w:r>
                      <w:r>
                        <w:rPr>
                          <w:color w:val="000000" w:themeColor="text1"/>
                        </w:rPr>
                        <w:t>20</w:t>
                      </w:r>
                      <w:r w:rsidRPr="00745BE8">
                        <w:rPr>
                          <w:color w:val="000000" w:themeColor="text1"/>
                        </w:rPr>
                        <w:t xml:space="preserve"> Pro více informací kontaktujte Deloitte Česká republika</w:t>
                      </w:r>
                      <w:r w:rsidRPr="00E373D2">
                        <w:rPr>
                          <w:color w:val="000000" w:themeColor="text1"/>
                        </w:rPr>
                        <w:t>.</w:t>
                      </w:r>
                    </w:p>
                  </w:txbxContent>
                </v:textbox>
                <w10:wrap anchorx="page" anchory="page"/>
                <w10:anchorlock/>
              </v:rect>
            </w:pict>
          </mc:Fallback>
        </mc:AlternateContent>
      </w:r>
    </w:p>
    <w:sectPr w:rsidR="00BF6F8B" w:rsidRPr="00880699" w:rsidSect="00EA5475">
      <w:type w:val="continuous"/>
      <w:pgSz w:w="11906" w:h="16838" w:code="9"/>
      <w:pgMar w:top="1440" w:right="1080" w:bottom="1440" w:left="1080" w:header="680" w:footer="567" w:gutter="0"/>
      <w:cols w:space="28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6EDBA5" w16cid:durableId="23258C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EE44D" w14:textId="77777777" w:rsidR="007378D7" w:rsidRDefault="007378D7" w:rsidP="00C702C7">
      <w:pPr>
        <w:spacing w:after="0" w:line="240" w:lineRule="auto"/>
      </w:pPr>
      <w:r>
        <w:separator/>
      </w:r>
    </w:p>
    <w:p w14:paraId="2E193D35" w14:textId="77777777" w:rsidR="007378D7" w:rsidRDefault="007378D7"/>
  </w:endnote>
  <w:endnote w:type="continuationSeparator" w:id="0">
    <w:p w14:paraId="5DD3B750" w14:textId="77777777" w:rsidR="007378D7" w:rsidRDefault="007378D7" w:rsidP="00C702C7">
      <w:pPr>
        <w:spacing w:after="0" w:line="240" w:lineRule="auto"/>
      </w:pPr>
      <w:r>
        <w:continuationSeparator/>
      </w:r>
    </w:p>
    <w:p w14:paraId="1E2C6144" w14:textId="77777777" w:rsidR="007378D7" w:rsidRDefault="00737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oby?ejné">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29A6" w14:textId="77777777" w:rsidR="00180782" w:rsidRDefault="00180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216161"/>
      <w:docPartObj>
        <w:docPartGallery w:val="Page Numbers (Bottom of Page)"/>
        <w:docPartUnique/>
      </w:docPartObj>
    </w:sdtPr>
    <w:sdtEndPr>
      <w:rPr>
        <w:noProof/>
      </w:rPr>
    </w:sdtEndPr>
    <w:sdtContent>
      <w:p w14:paraId="03B0D7A8" w14:textId="40B846DD" w:rsidR="00BB343F" w:rsidRDefault="00BB343F">
        <w:pPr>
          <w:pStyle w:val="Footer"/>
          <w:jc w:val="right"/>
        </w:pPr>
        <w:r>
          <w:fldChar w:fldCharType="begin"/>
        </w:r>
        <w:r>
          <w:instrText xml:space="preserve"> PAGE   \* MERGEFORMAT </w:instrText>
        </w:r>
        <w:r>
          <w:fldChar w:fldCharType="separate"/>
        </w:r>
        <w:r w:rsidR="00CB39BC">
          <w:rPr>
            <w:noProof/>
          </w:rPr>
          <w:t>8</w:t>
        </w:r>
        <w:r>
          <w:rPr>
            <w:noProof/>
          </w:rPr>
          <w:fldChar w:fldCharType="end"/>
        </w:r>
      </w:p>
    </w:sdtContent>
  </w:sdt>
  <w:p w14:paraId="324DF9A3" w14:textId="77777777" w:rsidR="00BB343F" w:rsidRPr="00904097" w:rsidRDefault="00BB343F" w:rsidP="00904097">
    <w:pPr>
      <w:pStyle w:val="Footer"/>
      <w:spacing w:line="240"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4372"/>
      <w:docPartObj>
        <w:docPartGallery w:val="Page Numbers (Bottom of Page)"/>
        <w:docPartUnique/>
      </w:docPartObj>
    </w:sdtPr>
    <w:sdtEndPr>
      <w:rPr>
        <w:noProof/>
      </w:rPr>
    </w:sdtEndPr>
    <w:sdtContent>
      <w:p w14:paraId="4DBAE99B" w14:textId="01E0EE2A" w:rsidR="00BB343F" w:rsidRDefault="00BB343F">
        <w:pPr>
          <w:pStyle w:val="Footer"/>
          <w:jc w:val="right"/>
        </w:pPr>
        <w:r>
          <w:fldChar w:fldCharType="begin"/>
        </w:r>
        <w:r>
          <w:instrText xml:space="preserve"> PAGE   \* MERGEFORMAT </w:instrText>
        </w:r>
        <w:r>
          <w:fldChar w:fldCharType="separate"/>
        </w:r>
        <w:r w:rsidR="00CB39BC">
          <w:rPr>
            <w:noProof/>
          </w:rPr>
          <w:t>10</w:t>
        </w:r>
        <w:r>
          <w:rPr>
            <w:noProof/>
          </w:rPr>
          <w:fldChar w:fldCharType="end"/>
        </w:r>
      </w:p>
    </w:sdtContent>
  </w:sdt>
  <w:p w14:paraId="16A0BBB3" w14:textId="77777777" w:rsidR="00BB343F" w:rsidRPr="00904097" w:rsidRDefault="00BB343F" w:rsidP="00904097">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B16D7" w14:textId="77777777" w:rsidR="007378D7" w:rsidRDefault="007378D7" w:rsidP="00C702C7">
      <w:pPr>
        <w:spacing w:after="0" w:line="240" w:lineRule="auto"/>
      </w:pPr>
      <w:r>
        <w:separator/>
      </w:r>
    </w:p>
    <w:p w14:paraId="2F1812F1" w14:textId="77777777" w:rsidR="007378D7" w:rsidRDefault="007378D7"/>
  </w:footnote>
  <w:footnote w:type="continuationSeparator" w:id="0">
    <w:p w14:paraId="6E0D4781" w14:textId="77777777" w:rsidR="007378D7" w:rsidRDefault="007378D7" w:rsidP="00C702C7">
      <w:pPr>
        <w:spacing w:after="0" w:line="240" w:lineRule="auto"/>
      </w:pPr>
      <w:r>
        <w:continuationSeparator/>
      </w:r>
    </w:p>
    <w:p w14:paraId="0E7D2371" w14:textId="77777777" w:rsidR="007378D7" w:rsidRDefault="007378D7"/>
  </w:footnote>
  <w:footnote w:id="1">
    <w:p w14:paraId="770F9066" w14:textId="1FC28180" w:rsidR="00BB343F" w:rsidRDefault="00BB343F">
      <w:pPr>
        <w:pStyle w:val="FootnoteText"/>
      </w:pPr>
      <w:r>
        <w:rPr>
          <w:rStyle w:val="FootnoteReference"/>
        </w:rPr>
        <w:footnoteRef/>
      </w:r>
      <w:r>
        <w:t xml:space="preserve"> </w:t>
      </w:r>
      <w:r w:rsidRPr="003B6EEA">
        <w:rPr>
          <w:szCs w:val="16"/>
        </w:rPr>
        <w:t xml:space="preserve">Dle dostupných informací bude CBA v dalším programovém období </w:t>
      </w:r>
      <w:r>
        <w:rPr>
          <w:szCs w:val="16"/>
        </w:rPr>
        <w:t>Zcela dobrovolná</w:t>
      </w:r>
      <w:r w:rsidRPr="003B6EEA">
        <w:rPr>
          <w:szCs w:val="16"/>
        </w:rPr>
        <w:t>.</w:t>
      </w:r>
    </w:p>
  </w:footnote>
  <w:footnote w:id="2">
    <w:p w14:paraId="2A6B303D" w14:textId="73DC905E"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Hloubkové individuální a skupinové rozhovory Dodavatel realizoval s celkem 26 respondenty z řad implementační struktury v rámci řídícího orgánu, zprostředkujícího subjektu (API) a správce finančních nástrojů (ČMZRB), nominovanými Zadavatelem. </w:t>
      </w:r>
    </w:p>
  </w:footnote>
  <w:footnote w:id="3">
    <w:p w14:paraId="6D265B44"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Dotazníkového šetření se zúčastnilo 83 pracovníků MPO, 36 pracovníků API a 3 pracovníci ČMZRB.</w:t>
      </w:r>
    </w:p>
  </w:footnote>
  <w:footnote w:id="4">
    <w:p w14:paraId="3BB35362" w14:textId="1470528B" w:rsidR="00BB343F" w:rsidRDefault="00BB343F">
      <w:pPr>
        <w:pStyle w:val="FootnoteText"/>
      </w:pPr>
      <w:r>
        <w:rPr>
          <w:rStyle w:val="FootnoteReference"/>
        </w:rPr>
        <w:footnoteRef/>
      </w:r>
      <w:r>
        <w:t xml:space="preserve"> Notifikace je příjemci systémem zasílána 14 dnů před termínem „události“ (např. předkládání zprávy, indikátorů apod.). Pokud nedojde k realizaci „události“ (např. dodání zprávy, hodnot indikátorů apod.), je následující den odeslána druhá notifikace. Druhá notifikace prodlužuje termín realizace „události“ o dalších 7 kalendářních dnů bez uplatnění sankčních mechanismů. Pokud nedojde k nápravě ani během těchto 7 dnů, dochází k uplatnění procesu hlášení nesrovnalostí. </w:t>
      </w:r>
    </w:p>
  </w:footnote>
  <w:footnote w:id="5">
    <w:p w14:paraId="5FC43F3F" w14:textId="26949910" w:rsidR="00BB343F" w:rsidRDefault="00BB343F">
      <w:pPr>
        <w:pStyle w:val="FootnoteText"/>
      </w:pPr>
      <w:r>
        <w:rPr>
          <w:rStyle w:val="FootnoteReference"/>
        </w:rPr>
        <w:footnoteRef/>
      </w:r>
      <w:r>
        <w:t xml:space="preserve"> Mimo jiné např. z důvodu, že v případě ZoU rok po ukončení projektu již nesledují ISKP2014+, nejsou již v kontaktu s poradenskou společností apod. </w:t>
      </w:r>
    </w:p>
  </w:footnote>
  <w:footnote w:id="6">
    <w:p w14:paraId="4DD953C9" w14:textId="77777777" w:rsidR="00BB343F" w:rsidRPr="008A0D6C" w:rsidRDefault="00BB343F" w:rsidP="008A0D6C">
      <w:pPr>
        <w:pStyle w:val="Default"/>
        <w:jc w:val="both"/>
        <w:rPr>
          <w:rFonts w:asciiTheme="minorHAnsi" w:hAnsiTheme="minorHAnsi"/>
          <w:sz w:val="16"/>
          <w:szCs w:val="16"/>
        </w:rPr>
      </w:pPr>
      <w:r w:rsidRPr="008A0D6C">
        <w:rPr>
          <w:rFonts w:asciiTheme="minorHAnsi" w:hAnsiTheme="minorHAnsi"/>
          <w:sz w:val="16"/>
          <w:szCs w:val="16"/>
          <w:vertAlign w:val="superscript"/>
        </w:rPr>
        <w:footnoteRef/>
      </w:r>
      <w:r w:rsidRPr="008A0D6C">
        <w:rPr>
          <w:rFonts w:asciiTheme="minorHAnsi" w:hAnsiTheme="minorHAnsi"/>
          <w:sz w:val="16"/>
          <w:szCs w:val="16"/>
        </w:rPr>
        <w:t xml:space="preserve"> OM OP PIK ukládá elektronickou archivaci, S8A, str. 54: „Archivace veškeré ostatní dokumentace vytvořené na úrovni MPO nebo API probíhá elektronicky v systému sdílených disků MPO/CI po nezbytně dlouhou dobu k zachování auditní stopy, nejméně však po dobu tří let od 31. prosince následujícího po předložení účetní závěrky, v níž jsou výdaje na operaci uvedeny.“</w:t>
      </w:r>
    </w:p>
  </w:footnote>
  <w:footnote w:id="7">
    <w:p w14:paraId="25701AC4" w14:textId="77777777" w:rsidR="00BB343F" w:rsidRPr="008A0D6C" w:rsidRDefault="00BB343F" w:rsidP="008A0D6C">
      <w:pPr>
        <w:pStyle w:val="FootnoteText"/>
        <w:jc w:val="both"/>
        <w:rPr>
          <w:szCs w:val="16"/>
        </w:rPr>
      </w:pPr>
      <w:r w:rsidRPr="008A0D6C">
        <w:rPr>
          <w:szCs w:val="16"/>
          <w:vertAlign w:val="superscript"/>
        </w:rPr>
        <w:footnoteRef/>
      </w:r>
      <w:r w:rsidRPr="008A0D6C">
        <w:rPr>
          <w:szCs w:val="16"/>
        </w:rPr>
        <w:t xml:space="preserve"> Vnímání nedostatečného informování může pramenit právě z vysoké četnosti změn.</w:t>
      </w:r>
    </w:p>
  </w:footnote>
  <w:footnote w:id="8">
    <w:p w14:paraId="48D2DC0B" w14:textId="47313E3A" w:rsidR="00BB343F" w:rsidRPr="008A0D6C" w:rsidRDefault="00BB343F" w:rsidP="008A0D6C">
      <w:pPr>
        <w:pStyle w:val="FootnoteText"/>
        <w:jc w:val="both"/>
        <w:rPr>
          <w:szCs w:val="16"/>
        </w:rPr>
      </w:pPr>
      <w:r w:rsidRPr="008A0D6C">
        <w:rPr>
          <w:szCs w:val="16"/>
          <w:vertAlign w:val="superscript"/>
        </w:rPr>
        <w:footnoteRef/>
      </w:r>
      <w:r w:rsidRPr="008A0D6C">
        <w:rPr>
          <w:szCs w:val="16"/>
        </w:rPr>
        <w:t xml:space="preserve"> Cílem skupiny by mělo být definovat prioritizaci a nutnost změn metodického prostředí, nastavit frekvenci změn, optimalizovat procesy komunikace změn, sledovat a řídit pomocí evidence „pipeline“ chystaných změn. Vyhodnotit dopad změn na implementační strukturu a efektivitu čerpání prostředků. Navrhované složení: ŘO: Oddělení metodické a právní podpory, Odbor strukturálních fondů, Odbor kontroly a interního auditu (01200); API: Odbor podpory fondů EU, Sekce řízení a podpory fondů EU, zástupci Oddělení interního auditu;</w:t>
      </w:r>
    </w:p>
  </w:footnote>
  <w:footnote w:id="9">
    <w:p w14:paraId="091EBE9F" w14:textId="4021DE0B" w:rsidR="00BB343F" w:rsidRDefault="00BB343F">
      <w:pPr>
        <w:pStyle w:val="FootnoteText"/>
      </w:pPr>
      <w:r>
        <w:rPr>
          <w:rStyle w:val="FootnoteReference"/>
        </w:rPr>
        <w:footnoteRef/>
      </w:r>
      <w:r>
        <w:t xml:space="preserve"> Např. formou sdílení modelových příkladů hodnocení, formou workshopů a školení, sjednocování přístupů k hodnocení inovativnosti apod. </w:t>
      </w:r>
    </w:p>
  </w:footnote>
  <w:footnote w:id="10">
    <w:p w14:paraId="2FDAF145" w14:textId="4943CCD4" w:rsidR="00BB343F" w:rsidRPr="008A0D6C" w:rsidRDefault="00BB343F" w:rsidP="008A0D6C">
      <w:pPr>
        <w:autoSpaceDE w:val="0"/>
        <w:autoSpaceDN w:val="0"/>
        <w:adjustRightInd w:val="0"/>
        <w:spacing w:after="0" w:line="240" w:lineRule="auto"/>
        <w:jc w:val="both"/>
        <w:rPr>
          <w:sz w:val="16"/>
          <w:szCs w:val="16"/>
        </w:rPr>
      </w:pPr>
      <w:r w:rsidRPr="008A0D6C">
        <w:rPr>
          <w:rStyle w:val="FootnoteReference"/>
          <w:sz w:val="16"/>
          <w:szCs w:val="16"/>
        </w:rPr>
        <w:footnoteRef/>
      </w:r>
      <w:r w:rsidRPr="008A0D6C">
        <w:rPr>
          <w:sz w:val="16"/>
          <w:szCs w:val="16"/>
        </w:rPr>
        <w:t xml:space="preserve"> Další: </w:t>
      </w:r>
      <w:r w:rsidRPr="008A0D6C">
        <w:rPr>
          <w:rFonts w:cs="Arialoby?ejné"/>
          <w:sz w:val="16"/>
          <w:szCs w:val="16"/>
        </w:rPr>
        <w:t>Automatické přechody stavů a provázanost modulů – např. shodné chování modulu dokumentace napříč systémem, provázanost objektů - při přechodu do negativního stavu projektu ukončovat i administraci zpráv, zakázek, žádostí o platbu.</w:t>
      </w:r>
    </w:p>
  </w:footnote>
  <w:footnote w:id="11">
    <w:p w14:paraId="5C506D1C" w14:textId="77777777" w:rsidR="00BB343F" w:rsidRPr="008A0D6C" w:rsidRDefault="00BB343F" w:rsidP="008A0D6C">
      <w:pPr>
        <w:pStyle w:val="FootnoteText"/>
        <w:jc w:val="both"/>
        <w:rPr>
          <w:szCs w:val="16"/>
        </w:rPr>
      </w:pPr>
      <w:r w:rsidRPr="008A0D6C">
        <w:rPr>
          <w:szCs w:val="16"/>
          <w:vertAlign w:val="superscript"/>
        </w:rPr>
        <w:footnoteRef/>
      </w:r>
      <w:r w:rsidRPr="008A0D6C">
        <w:rPr>
          <w:szCs w:val="16"/>
        </w:rPr>
        <w:t xml:space="preserve"> Meziresortní skupinu by na základě návrhu MPO nebo MMR měla zřídit Vláda ČR jako svůj koordinační orgán pro výkon veřejné kontroly. Členy této skupiny by měli být zástupci MFCR, NKÚ, MMR-NOK, MPO a dalších dotčených resortů. Cílem je sjednocení pravidel pro výkon kontroly a nastavení superiority. </w:t>
      </w:r>
    </w:p>
  </w:footnote>
  <w:footnote w:id="12">
    <w:p w14:paraId="5CA80195" w14:textId="77777777" w:rsidR="00BB343F" w:rsidRPr="008A0D6C" w:rsidRDefault="00BB343F" w:rsidP="008A0D6C">
      <w:pPr>
        <w:pStyle w:val="FootnoteText"/>
        <w:contextualSpacing/>
        <w:jc w:val="both"/>
        <w:rPr>
          <w:szCs w:val="16"/>
        </w:rPr>
      </w:pPr>
      <w:r w:rsidRPr="008A0D6C">
        <w:rPr>
          <w:rStyle w:val="FootnoteReference"/>
          <w:szCs w:val="16"/>
        </w:rPr>
        <w:footnoteRef/>
      </w:r>
      <w:r w:rsidRPr="008A0D6C">
        <w:rPr>
          <w:szCs w:val="16"/>
        </w:rPr>
        <w:t xml:space="preserve"> </w:t>
      </w:r>
      <w:r w:rsidRPr="008A0D6C">
        <w:rPr>
          <w:rFonts w:eastAsia="Times New Roman" w:cs="Calibri"/>
          <w:color w:val="000000"/>
          <w:szCs w:val="16"/>
          <w:lang w:eastAsia="cs-CZ"/>
        </w:rPr>
        <w:t>Dodavatel provede analýzu toho, zda nedochází k častým změnám metodik, různým výkladům a z toho plynoucím pochybením, ať už na straně pracovníků implementační struktury, tak na straně žadatelů/příjemců.</w:t>
      </w:r>
    </w:p>
  </w:footnote>
  <w:footnote w:id="13">
    <w:p w14:paraId="4D0C9C7E" w14:textId="542F6EF7" w:rsidR="00BB343F" w:rsidRDefault="00BB343F">
      <w:pPr>
        <w:pStyle w:val="FootnoteText"/>
        <w:contextualSpacing/>
      </w:pPr>
      <w:r>
        <w:rPr>
          <w:rStyle w:val="FootnoteReference"/>
        </w:rPr>
        <w:footnoteRef/>
      </w:r>
      <w:r>
        <w:t xml:space="preserve"> V DŠ mezi pracovníky implementační struktury hodnotilo přehlednost metodického prostředí pro ně samotné přesně z 50 % respondentů jako přehledné a z 50 % jako nepřehledné. V druhém případě tvořili celou 1/3 respondentů projektové manažeři. Většina respondentů DŠ (46 %) zároveň hodnotila metodické prostředí jako (spíše) nepřehledné pro příjemce. </w:t>
      </w:r>
    </w:p>
  </w:footnote>
  <w:footnote w:id="14">
    <w:p w14:paraId="17BC100D" w14:textId="77777777" w:rsidR="00BB343F" w:rsidRPr="008A0D6C" w:rsidRDefault="00BB343F" w:rsidP="00B85824">
      <w:pPr>
        <w:pStyle w:val="FootnoteText"/>
        <w:contextualSpacing/>
        <w:jc w:val="both"/>
        <w:rPr>
          <w:szCs w:val="16"/>
        </w:rPr>
      </w:pPr>
      <w:r w:rsidRPr="008A0D6C">
        <w:rPr>
          <w:rStyle w:val="FootnoteReference"/>
          <w:szCs w:val="16"/>
        </w:rPr>
        <w:footnoteRef/>
      </w:r>
      <w:r w:rsidRPr="008A0D6C">
        <w:rPr>
          <w:szCs w:val="16"/>
        </w:rPr>
        <w:t xml:space="preserve"> </w:t>
      </w:r>
      <w:r w:rsidRPr="008A0D6C">
        <w:rPr>
          <w:rFonts w:eastAsia="Times New Roman" w:cs="Calibri"/>
          <w:color w:val="000000"/>
          <w:szCs w:val="16"/>
          <w:lang w:eastAsia="cs-CZ"/>
        </w:rPr>
        <w:t>74 % respondentů DŠ mezi pracovníky implementační struktury nevidí v četnosti změn metodického prostředí žádnou přidanou hodnotu.</w:t>
      </w:r>
      <w:r w:rsidRPr="008A0D6C">
        <w:rPr>
          <w:szCs w:val="16"/>
        </w:rPr>
        <w:t xml:space="preserve"> </w:t>
      </w:r>
    </w:p>
  </w:footnote>
  <w:footnote w:id="15">
    <w:p w14:paraId="4B54BE32" w14:textId="06CC9797" w:rsidR="00BB343F" w:rsidRDefault="00BB343F">
      <w:pPr>
        <w:pStyle w:val="FootnoteText"/>
        <w:contextualSpacing/>
      </w:pPr>
      <w:r>
        <w:rPr>
          <w:rStyle w:val="FootnoteReference"/>
        </w:rPr>
        <w:footnoteRef/>
      </w:r>
      <w:r>
        <w:t xml:space="preserve"> Jedná se o odhad pracovníků implementační struktury.</w:t>
      </w:r>
    </w:p>
  </w:footnote>
  <w:footnote w:id="16">
    <w:p w14:paraId="3C38251F" w14:textId="77777777" w:rsidR="00BB343F" w:rsidRPr="008A0D6C" w:rsidRDefault="00BB343F" w:rsidP="008A0D6C">
      <w:pPr>
        <w:pStyle w:val="FootnoteText"/>
        <w:contextualSpacing/>
        <w:jc w:val="both"/>
        <w:rPr>
          <w:szCs w:val="16"/>
        </w:rPr>
      </w:pPr>
      <w:r w:rsidRPr="008A0D6C">
        <w:rPr>
          <w:rStyle w:val="FootnoteReference"/>
          <w:szCs w:val="16"/>
        </w:rPr>
        <w:footnoteRef/>
      </w:r>
      <w:r w:rsidRPr="008A0D6C">
        <w:rPr>
          <w:szCs w:val="16"/>
        </w:rPr>
        <w:t xml:space="preserve"> </w:t>
      </w:r>
      <w:r w:rsidRPr="008A0D6C">
        <w:rPr>
          <w:rFonts w:eastAsia="Times New Roman" w:cs="Calibri"/>
          <w:color w:val="000000"/>
          <w:szCs w:val="16"/>
          <w:lang w:eastAsia="cs-CZ"/>
        </w:rPr>
        <w:t>Může jít např. o činnosti s nízkou přidanou hodnotou a vysokou zátěží pro jejich vykonavatele (zejména žadatele/příjemci, ale i pracovníky implementační struktury), o práci vykonávanou znovu, protože napoprvé nebyla vykonána správně, duplicitní činnosti vykonávané více lidmi, řešení problémů místo příčin, organizování a navštěvování nepotřebných jednání apod.</w:t>
      </w:r>
    </w:p>
  </w:footnote>
  <w:footnote w:id="17">
    <w:p w14:paraId="50F4EDB4"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Ve výzvách akceptovaná 1 cenová nabídka nebývá vždy akceptována při kontrole finančními úřady. </w:t>
      </w:r>
    </w:p>
  </w:footnote>
  <w:footnote w:id="18">
    <w:p w14:paraId="5F4FEB41"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Nařízení Komise (EU) č. 651/2014, tzv. obecné nařízení o blokových výjimkách</w:t>
      </w:r>
    </w:p>
  </w:footnote>
  <w:footnote w:id="19">
    <w:p w14:paraId="0C61C881" w14:textId="6B441492" w:rsidR="00BB343F" w:rsidRDefault="00BB343F">
      <w:pPr>
        <w:pStyle w:val="FootnoteText"/>
      </w:pPr>
      <w:r>
        <w:rPr>
          <w:rStyle w:val="FootnoteReference"/>
        </w:rPr>
        <w:footnoteRef/>
      </w:r>
      <w:r>
        <w:t xml:space="preserve"> Nutno dodat, že významná část respondentů neuměla tyto otázky kvalifikovaně posoudit.</w:t>
      </w:r>
    </w:p>
  </w:footnote>
  <w:footnote w:id="20">
    <w:p w14:paraId="5B7BA94B" w14:textId="356E90CC" w:rsidR="00BB343F" w:rsidRDefault="00BB343F">
      <w:pPr>
        <w:pStyle w:val="FootnoteText"/>
      </w:pPr>
      <w:r>
        <w:rPr>
          <w:rStyle w:val="FootnoteReference"/>
        </w:rPr>
        <w:footnoteRef/>
      </w:r>
      <w:r>
        <w:t xml:space="preserve"> Zde se rozchází vnímání příjemců a žadatelů, kteří hodnotí podmínky výzev výrazně hůře srozumitelné a přehledné, než vnímání ze strany IS, kde se až 54 % respondentů ze strany pracovníků IS domnívá, že podmínky výzev jsou pro žadatele přehledné. To, že jsou podmínky výzev nepřehledné vnímá pouze 31 % respondentů DŠ. </w:t>
      </w:r>
    </w:p>
  </w:footnote>
  <w:footnote w:id="21">
    <w:p w14:paraId="280AC00B" w14:textId="62E99780" w:rsidR="00BB343F" w:rsidRDefault="00BB343F">
      <w:pPr>
        <w:pStyle w:val="FootnoteText"/>
      </w:pPr>
      <w:r>
        <w:rPr>
          <w:rStyle w:val="FootnoteReference"/>
        </w:rPr>
        <w:footnoteRef/>
      </w:r>
      <w:r>
        <w:t xml:space="preserve"> 27 % respondentů nedokázalo otázku posoudit, nevstupují do kontaktu s žadateli. </w:t>
      </w:r>
    </w:p>
  </w:footnote>
  <w:footnote w:id="22">
    <w:p w14:paraId="016C1314" w14:textId="55773182" w:rsidR="00BB343F" w:rsidRDefault="00BB343F">
      <w:pPr>
        <w:pStyle w:val="FootnoteText"/>
      </w:pPr>
      <w:r>
        <w:rPr>
          <w:rStyle w:val="FootnoteReference"/>
        </w:rPr>
        <w:footnoteRef/>
      </w:r>
      <w:r>
        <w:t xml:space="preserve"> Objektivita tohoto hodnocení může být významně zkreslena subjektivním rozhořčením neúspěšného žadatele nad zamítnutím podpory. </w:t>
      </w:r>
    </w:p>
  </w:footnote>
  <w:footnote w:id="23">
    <w:p w14:paraId="0C8DBAB1" w14:textId="0D7A63B4" w:rsidR="00BB343F" w:rsidRDefault="00BB343F">
      <w:pPr>
        <w:pStyle w:val="FootnoteText"/>
      </w:pPr>
      <w:r>
        <w:rPr>
          <w:rStyle w:val="FootnoteReference"/>
        </w:rPr>
        <w:footnoteRef/>
      </w:r>
      <w:r>
        <w:t xml:space="preserve"> Nahrávání faktur a účetních dokladů do MS2014+ a následně jejich přepis příjemci je časově náročný a na přesnost trpící procesní krok. PM následně provádí kontrolu jednotlivých dokladů, jejich zařazení a správnost.  </w:t>
      </w:r>
    </w:p>
  </w:footnote>
  <w:footnote w:id="24">
    <w:p w14:paraId="180106CA"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Až 23 % respondentů dokonce tvrdí, že dané sdílené komunikační platformy neexistují a 30 % vůbec nedokáže posoudit.</w:t>
      </w:r>
    </w:p>
  </w:footnote>
  <w:footnote w:id="25">
    <w:p w14:paraId="74D4E9AB" w14:textId="18031EB0" w:rsidR="00BB343F" w:rsidRDefault="00BB343F">
      <w:pPr>
        <w:pStyle w:val="FootnoteText"/>
      </w:pPr>
      <w:r>
        <w:rPr>
          <w:rStyle w:val="FootnoteReference"/>
        </w:rPr>
        <w:footnoteRef/>
      </w:r>
      <w:r>
        <w:t xml:space="preserve"> </w:t>
      </w:r>
      <w:r w:rsidRPr="00887AC1">
        <w:t>Jedná se především o vedoucí pracovníky Sekcí, Odborů a Oddělení, zvláště pak Oddělení právní a metodické podpory ŘO a Sekce řízení a podpory fondů EU na zprostředkujícím subjektu a gestory jednotlivých prioritních os na ŘO.</w:t>
      </w:r>
    </w:p>
  </w:footnote>
  <w:footnote w:id="26">
    <w:p w14:paraId="26BB2FAB" w14:textId="14E2CA4B" w:rsidR="00BB343F" w:rsidRDefault="00BB343F">
      <w:pPr>
        <w:pStyle w:val="FootnoteText"/>
      </w:pPr>
      <w:r>
        <w:rPr>
          <w:rStyle w:val="FootnoteReference"/>
        </w:rPr>
        <w:footnoteRef/>
      </w:r>
      <w:r>
        <w:t xml:space="preserve"> Lze usuzovat, že informací soukromých subjektů využívá minimálně stejné procento jako využívá jejich služeb, čili 70 – 80 %. </w:t>
      </w:r>
    </w:p>
  </w:footnote>
  <w:footnote w:id="27">
    <w:p w14:paraId="2D153F28" w14:textId="29861CE8" w:rsidR="00BB343F" w:rsidRDefault="00BB343F">
      <w:pPr>
        <w:pStyle w:val="FootnoteText"/>
      </w:pPr>
      <w:r>
        <w:rPr>
          <w:rStyle w:val="FootnoteReference"/>
        </w:rPr>
        <w:footnoteRef/>
      </w:r>
      <w:r>
        <w:t xml:space="preserve"> Zpravodaj reaguje na podněty žadatelů a příjemců, přináší odpovědi na otázky žadatelů a příjemců a nabízí možnosti konzultací a zasílání podnětů. </w:t>
      </w:r>
    </w:p>
  </w:footnote>
  <w:footnote w:id="28">
    <w:p w14:paraId="49457ABB" w14:textId="477F1FBB" w:rsidR="00BB343F" w:rsidRDefault="00BB343F">
      <w:pPr>
        <w:pStyle w:val="FootnoteText"/>
      </w:pPr>
      <w:r>
        <w:rPr>
          <w:rStyle w:val="FootnoteReference"/>
        </w:rPr>
        <w:footnoteRef/>
      </w:r>
      <w:r>
        <w:t xml:space="preserve"> 41 % respondentů nedokázalo tuto otázku posoudit. </w:t>
      </w:r>
    </w:p>
  </w:footnote>
  <w:footnote w:id="29">
    <w:p w14:paraId="40F670A4"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Nahrávání účetních položek příjemci do ISKP14+ probíhá manuálně a jednotlivě. Kvalita záznamů, především jejich popis a rozdělení na typ nákladů je variabilní a vyžaduje individuální kontrolu a úpravy PM API. </w:t>
      </w:r>
    </w:p>
  </w:footnote>
  <w:footnote w:id="30">
    <w:p w14:paraId="494C2882"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Manažeři autorizace plateb kontrolují zadané účetní údaje oproti nahraným dokumentům, správnosti apod. tento proces trvá 2 až 5 min. na jeden účetní doklad. </w:t>
      </w:r>
    </w:p>
  </w:footnote>
  <w:footnote w:id="31">
    <w:p w14:paraId="09BAD068" w14:textId="597FE0D0"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V zásobníku čekajících </w:t>
      </w:r>
      <w:r>
        <w:rPr>
          <w:szCs w:val="16"/>
        </w:rPr>
        <w:t>ŽoPl</w:t>
      </w:r>
      <w:r w:rsidRPr="008A0D6C">
        <w:rPr>
          <w:szCs w:val="16"/>
        </w:rPr>
        <w:t xml:space="preserve"> se de facto permanentně nachází cca 200 žádostí. </w:t>
      </w:r>
    </w:p>
  </w:footnote>
  <w:footnote w:id="32">
    <w:p w14:paraId="4E0B8365" w14:textId="000768EA"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Mediánová výše CZV projektů s VŘ do 5 mil. Kč včetně je 8,4 mil. Kč. Při stanovení hranice 10 mil. Kč by se na dosavadním vzorku VŘ jednalo o 341 VŘ. </w:t>
      </w:r>
    </w:p>
  </w:footnote>
  <w:footnote w:id="33">
    <w:p w14:paraId="6DE4F938"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Ke 30. 6. 2020 bylo v právních aktech zazávazkováno zhruba 72 % alokace programu. Uvedené údaje představují predikci při dodatečném navýšení o 30 %. </w:t>
      </w:r>
    </w:p>
  </w:footnote>
  <w:footnote w:id="34">
    <w:p w14:paraId="0439DBF3"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Jedná se o předpokládanou průměrnou hodnotu 2*60 minut pro kontrolu jednoho výběrového řízení dle PpVD dvěma projektovými manažery. </w:t>
      </w:r>
    </w:p>
  </w:footnote>
  <w:footnote w:id="35">
    <w:p w14:paraId="3AB79D78"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V případě VŘ do 5 mil. Kč se jednalo o 83 případů, tedy min. dalších 83 hodin na nápravu či konsekvence zjištění, včetně celého procesu nesrovnalostí a výpočtem a vymáháním sankcí.</w:t>
      </w:r>
    </w:p>
  </w:footnote>
  <w:footnote w:id="36">
    <w:p w14:paraId="3120D42B"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Jednalo se o VŘ v částce nepřevyšující 300 tisíc Kč. </w:t>
      </w:r>
    </w:p>
  </w:footnote>
  <w:footnote w:id="37">
    <w:p w14:paraId="1D999E74"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Proces je velmi zjednodušen a záměrně neuvádí všechny dílčí kroky. </w:t>
      </w:r>
    </w:p>
  </w:footnote>
  <w:footnote w:id="38">
    <w:p w14:paraId="29607D1E"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Nařízení Evropského parlamentu a rady (EU) č. 1303/2013 ze dne 17. 12. 2013</w:t>
      </w:r>
    </w:p>
  </w:footnote>
  <w:footnote w:id="39">
    <w:p w14:paraId="75ACAB7B"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V současné době je zazávazkováno cca 70 % alokace OP PIK. Do konce programového období lze tudíž k dosavadnímu počtu 156 nesrovnalostí ve vztahu k ZoU očekávat min. dalších 50 až 70 případů. </w:t>
      </w:r>
    </w:p>
  </w:footnote>
  <w:footnote w:id="40">
    <w:p w14:paraId="4FFBD83F"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Např. u školicího střediska poptávány stavební práce, IT technika i nábytek dohromady – sice byl předmět VŘ dělen na části, ale uchazeč musel podat nabídku do všech částí, dále rozdělení technologií nebo zařízení, které příjemce poptává, na menší celky bez výběrového řízení.</w:t>
      </w:r>
    </w:p>
  </w:footnote>
  <w:footnote w:id="41">
    <w:p w14:paraId="0BA3C6B3"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Např. změna obchodních podmínek v neprospěch zadavatele, změna termínů, změněn předmět plnění.</w:t>
      </w:r>
    </w:p>
  </w:footnote>
  <w:footnote w:id="42">
    <w:p w14:paraId="1D03BB3D" w14:textId="77777777" w:rsidR="00BB343F" w:rsidRPr="008A0D6C" w:rsidRDefault="00BB343F" w:rsidP="008A0D6C">
      <w:pPr>
        <w:pStyle w:val="FootnoteText"/>
        <w:jc w:val="both"/>
        <w:rPr>
          <w:szCs w:val="16"/>
        </w:rPr>
      </w:pPr>
      <w:r w:rsidRPr="008A0D6C">
        <w:rPr>
          <w:rStyle w:val="FootnoteReference"/>
          <w:szCs w:val="16"/>
        </w:rPr>
        <w:footnoteRef/>
      </w:r>
      <w:r w:rsidRPr="008A0D6C">
        <w:rPr>
          <w:szCs w:val="16"/>
        </w:rPr>
        <w:t xml:space="preserve"> Duplicitní zadávání údajů o MSP žadatelem do ISKP14+ a do Prohlášení: Údaje o vlastnické struktuře, obratu, aktivech a počtu zaměstnanců jsou uváděny jak přímo do ISKP14+, tak do Prohlášení žadatele. Následně jsou kontrolovány PM v rejstřících.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2B61" w14:textId="77777777" w:rsidR="00180782" w:rsidRDefault="00180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A219" w14:textId="0C2CD710" w:rsidR="00BB343F" w:rsidRPr="00D36E73" w:rsidRDefault="00BB343F">
    <w:pPr>
      <w:pStyle w:val="Header"/>
      <w:rPr>
        <w:b w:val="0"/>
      </w:rPr>
    </w:pPr>
    <w:r>
      <w:rPr>
        <w:noProof/>
      </w:rPr>
      <w:fldChar w:fldCharType="begin"/>
    </w:r>
    <w:r>
      <w:rPr>
        <w:noProof/>
      </w:rPr>
      <w:instrText xml:space="preserve"> STYLEREF  "Document title"  \* MERGEFORMAT </w:instrText>
    </w:r>
    <w:r>
      <w:rPr>
        <w:noProof/>
      </w:rPr>
      <w:fldChar w:fldCharType="separate"/>
    </w:r>
    <w:r w:rsidR="00CB39BC">
      <w:rPr>
        <w:noProof/>
      </w:rPr>
      <w:t>Evaluace administrativních postupů implementační struktury OP PIK</w:t>
    </w:r>
    <w:r>
      <w:rPr>
        <w:noProof/>
      </w:rPr>
      <w:fldChar w:fldCharType="end"/>
    </w:r>
    <w:r w:rsidRPr="00D36E73">
      <w:rPr>
        <w:b w:val="0"/>
      </w:rPr>
      <w:t xml:space="preserve"> | </w:t>
    </w:r>
    <w:r>
      <w:rPr>
        <w:b w:val="0"/>
        <w:lang w:val="cs-CZ"/>
      </w:rPr>
      <w:t>Závěrečná</w:t>
    </w:r>
    <w:r w:rsidRPr="00EE6D67">
      <w:rPr>
        <w:b w:val="0"/>
        <w:lang w:val="cs-CZ"/>
      </w:rPr>
      <w:t xml:space="preserve"> zpráva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A8AD" w14:textId="5D481D18" w:rsidR="00BB343F" w:rsidRPr="008962D0" w:rsidRDefault="00BB343F">
    <w:pPr>
      <w:pStyle w:val="Header"/>
      <w:rPr>
        <w:b w:val="0"/>
      </w:rPr>
    </w:pPr>
    <w:r>
      <w:rPr>
        <w:noProof/>
      </w:rPr>
      <w:fldChar w:fldCharType="begin"/>
    </w:r>
    <w:r>
      <w:rPr>
        <w:noProof/>
      </w:rPr>
      <w:instrText xml:space="preserve"> STYLEREF  "Document title"  \* MERGEFORMAT </w:instrText>
    </w:r>
    <w:r>
      <w:rPr>
        <w:noProof/>
      </w:rPr>
      <w:fldChar w:fldCharType="separate"/>
    </w:r>
    <w:r w:rsidR="00CB39BC">
      <w:rPr>
        <w:noProof/>
      </w:rPr>
      <w:t>Evaluace administrativních postupů implementační struktury OP PIK</w:t>
    </w:r>
    <w:r>
      <w:rPr>
        <w:noProof/>
      </w:rPr>
      <w:fldChar w:fldCharType="end"/>
    </w:r>
    <w:r w:rsidRPr="00D36E73">
      <w:rPr>
        <w:b w:val="0"/>
      </w:rPr>
      <w:t xml:space="preserve"> | </w:t>
    </w:r>
    <w:r>
      <w:rPr>
        <w:b w:val="0"/>
        <w:lang w:val="cs-CZ"/>
      </w:rPr>
      <w:t>Závěrečná</w:t>
    </w:r>
    <w:r w:rsidRPr="00EE6D67">
      <w:rPr>
        <w:b w:val="0"/>
        <w:lang w:val="cs-CZ"/>
      </w:rPr>
      <w:t xml:space="preserve"> zpráva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DA8222E"/>
    <w:lvl w:ilvl="0">
      <w:start w:val="1"/>
      <w:numFmt w:val="lowerLetter"/>
      <w:pStyle w:val="ListNumber2"/>
      <w:lvlText w:val="%1."/>
      <w:lvlJc w:val="left"/>
      <w:pPr>
        <w:ind w:left="10000"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3D7DAC"/>
    <w:multiLevelType w:val="hybridMultilevel"/>
    <w:tmpl w:val="0E10BF16"/>
    <w:lvl w:ilvl="0" w:tplc="D67855CE">
      <w:numFmt w:val="bullet"/>
      <w:lvlText w:val="•"/>
      <w:lvlJc w:val="left"/>
      <w:pPr>
        <w:ind w:left="1080" w:hanging="720"/>
      </w:pPr>
      <w:rPr>
        <w:rFonts w:ascii="Verdana" w:eastAsia="Times New Roman"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E93704"/>
    <w:multiLevelType w:val="hybridMultilevel"/>
    <w:tmpl w:val="13E80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190A99"/>
    <w:multiLevelType w:val="hybridMultilevel"/>
    <w:tmpl w:val="2CF65136"/>
    <w:lvl w:ilvl="0" w:tplc="109C749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73351A7"/>
    <w:multiLevelType w:val="hybridMultilevel"/>
    <w:tmpl w:val="FB32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EE7304"/>
    <w:multiLevelType w:val="hybridMultilevel"/>
    <w:tmpl w:val="FB32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3B6696"/>
    <w:multiLevelType w:val="hybridMultilevel"/>
    <w:tmpl w:val="A69EA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E55577"/>
    <w:multiLevelType w:val="hybridMultilevel"/>
    <w:tmpl w:val="0B540FA8"/>
    <w:lvl w:ilvl="0" w:tplc="D67855CE">
      <w:numFmt w:val="bullet"/>
      <w:lvlText w:val="•"/>
      <w:lvlJc w:val="left"/>
      <w:pPr>
        <w:ind w:left="1080" w:hanging="720"/>
      </w:pPr>
      <w:rPr>
        <w:rFonts w:ascii="Verdana" w:eastAsia="Times New Roman"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9D075D"/>
    <w:multiLevelType w:val="hybridMultilevel"/>
    <w:tmpl w:val="60F04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274B28"/>
    <w:multiLevelType w:val="hybridMultilevel"/>
    <w:tmpl w:val="E8C220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BEC6328"/>
    <w:multiLevelType w:val="hybridMultilevel"/>
    <w:tmpl w:val="8500D9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1D5A313F"/>
    <w:multiLevelType w:val="hybridMultilevel"/>
    <w:tmpl w:val="83061D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677995"/>
    <w:multiLevelType w:val="hybridMultilevel"/>
    <w:tmpl w:val="5B94D6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550B75"/>
    <w:multiLevelType w:val="hybridMultilevel"/>
    <w:tmpl w:val="5606A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1F5598B"/>
    <w:multiLevelType w:val="hybridMultilevel"/>
    <w:tmpl w:val="E2649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9E3069"/>
    <w:multiLevelType w:val="hybridMultilevel"/>
    <w:tmpl w:val="E7DEE3EA"/>
    <w:lvl w:ilvl="0" w:tplc="D67855CE">
      <w:numFmt w:val="bullet"/>
      <w:lvlText w:val="•"/>
      <w:lvlJc w:val="left"/>
      <w:pPr>
        <w:ind w:left="1080" w:hanging="720"/>
      </w:pPr>
      <w:rPr>
        <w:rFonts w:ascii="Verdana" w:eastAsia="Times New Roman"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D426B8"/>
    <w:multiLevelType w:val="hybridMultilevel"/>
    <w:tmpl w:val="46EC4674"/>
    <w:lvl w:ilvl="0" w:tplc="D67855CE">
      <w:numFmt w:val="bullet"/>
      <w:lvlText w:val="•"/>
      <w:lvlJc w:val="left"/>
      <w:pPr>
        <w:ind w:left="1080" w:hanging="720"/>
      </w:pPr>
      <w:rPr>
        <w:rFonts w:ascii="Verdana" w:eastAsia="Times New Roman"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53F245E"/>
    <w:multiLevelType w:val="hybridMultilevel"/>
    <w:tmpl w:val="D21C1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69C7A66"/>
    <w:multiLevelType w:val="hybridMultilevel"/>
    <w:tmpl w:val="C450EDA8"/>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3" w15:restartNumberingAfterBreak="0">
    <w:nsid w:val="2ADF7109"/>
    <w:multiLevelType w:val="hybridMultilevel"/>
    <w:tmpl w:val="70AAAA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3EA662F"/>
    <w:multiLevelType w:val="hybridMultilevel"/>
    <w:tmpl w:val="C3284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455032"/>
    <w:multiLevelType w:val="hybridMultilevel"/>
    <w:tmpl w:val="E2B829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D842D10"/>
    <w:multiLevelType w:val="hybridMultilevel"/>
    <w:tmpl w:val="016030E0"/>
    <w:lvl w:ilvl="0" w:tplc="D67855CE">
      <w:numFmt w:val="bullet"/>
      <w:lvlText w:val="•"/>
      <w:lvlJc w:val="left"/>
      <w:pPr>
        <w:ind w:left="1080" w:hanging="720"/>
      </w:pPr>
      <w:rPr>
        <w:rFonts w:ascii="Verdana" w:eastAsia="Times New Roman"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C741C6"/>
    <w:multiLevelType w:val="hybridMultilevel"/>
    <w:tmpl w:val="FB32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571794"/>
    <w:multiLevelType w:val="hybridMultilevel"/>
    <w:tmpl w:val="62BE9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283BDC"/>
    <w:multiLevelType w:val="hybridMultilevel"/>
    <w:tmpl w:val="28F6C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3277D05"/>
    <w:multiLevelType w:val="hybridMultilevel"/>
    <w:tmpl w:val="FCC6D0AC"/>
    <w:lvl w:ilvl="0" w:tplc="D67855CE">
      <w:numFmt w:val="bullet"/>
      <w:lvlText w:val="•"/>
      <w:lvlJc w:val="left"/>
      <w:pPr>
        <w:ind w:left="1080" w:hanging="720"/>
      </w:pPr>
      <w:rPr>
        <w:rFonts w:ascii="Verdana" w:eastAsia="Times New Roman"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41C2F7B"/>
    <w:multiLevelType w:val="hybridMultilevel"/>
    <w:tmpl w:val="8B1AD7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45BA3EBD"/>
    <w:multiLevelType w:val="hybridMultilevel"/>
    <w:tmpl w:val="554A5C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76D5491"/>
    <w:multiLevelType w:val="hybridMultilevel"/>
    <w:tmpl w:val="FFCCD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8EA052B"/>
    <w:multiLevelType w:val="hybridMultilevel"/>
    <w:tmpl w:val="CA56E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9F02F68"/>
    <w:multiLevelType w:val="hybridMultilevel"/>
    <w:tmpl w:val="A7E82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9FB54F7"/>
    <w:multiLevelType w:val="hybridMultilevel"/>
    <w:tmpl w:val="9CC49F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4C360705"/>
    <w:multiLevelType w:val="hybridMultilevel"/>
    <w:tmpl w:val="E60028DE"/>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39" w15:restartNumberingAfterBreak="0">
    <w:nsid w:val="4F360772"/>
    <w:multiLevelType w:val="hybridMultilevel"/>
    <w:tmpl w:val="96C0E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1381867"/>
    <w:multiLevelType w:val="hybridMultilevel"/>
    <w:tmpl w:val="BE1C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2374C96"/>
    <w:multiLevelType w:val="hybridMultilevel"/>
    <w:tmpl w:val="DD3494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2A254FA"/>
    <w:multiLevelType w:val="hybridMultilevel"/>
    <w:tmpl w:val="99D85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6891E96"/>
    <w:multiLevelType w:val="hybridMultilevel"/>
    <w:tmpl w:val="24DA0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81731C8"/>
    <w:multiLevelType w:val="hybridMultilevel"/>
    <w:tmpl w:val="063C88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A844CB3"/>
    <w:multiLevelType w:val="hybridMultilevel"/>
    <w:tmpl w:val="4CF60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08C2942"/>
    <w:multiLevelType w:val="hybridMultilevel"/>
    <w:tmpl w:val="FB32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88C0DF9"/>
    <w:multiLevelType w:val="hybridMultilevel"/>
    <w:tmpl w:val="60AE5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A3A08AB"/>
    <w:multiLevelType w:val="hybridMultilevel"/>
    <w:tmpl w:val="6616B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D620FD2"/>
    <w:multiLevelType w:val="hybridMultilevel"/>
    <w:tmpl w:val="62A60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4EE1144"/>
    <w:multiLevelType w:val="hybridMultilevel"/>
    <w:tmpl w:val="0F5817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756D2DF8"/>
    <w:multiLevelType w:val="hybridMultilevel"/>
    <w:tmpl w:val="90BE6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5CA18E3"/>
    <w:multiLevelType w:val="hybridMultilevel"/>
    <w:tmpl w:val="E39210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7721648"/>
    <w:multiLevelType w:val="multilevel"/>
    <w:tmpl w:val="6554A268"/>
    <w:lvl w:ilvl="0">
      <w:start w:val="1"/>
      <w:numFmt w:val="decimal"/>
      <w:pStyle w:val="Heading1"/>
      <w:lvlText w:val="%1"/>
      <w:lvlJc w:val="left"/>
      <w:pPr>
        <w:ind w:left="502"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9050D97"/>
    <w:multiLevelType w:val="hybridMultilevel"/>
    <w:tmpl w:val="13E80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A9457EE"/>
    <w:multiLevelType w:val="hybridMultilevel"/>
    <w:tmpl w:val="FB32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7A034B"/>
    <w:multiLevelType w:val="hybridMultilevel"/>
    <w:tmpl w:val="E6F4C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5"/>
  </w:num>
  <w:num w:numId="6">
    <w:abstractNumId w:val="4"/>
  </w:num>
  <w:num w:numId="7">
    <w:abstractNumId w:val="53"/>
  </w:num>
  <w:num w:numId="8">
    <w:abstractNumId w:val="15"/>
  </w:num>
  <w:num w:numId="9">
    <w:abstractNumId w:val="16"/>
  </w:num>
  <w:num w:numId="10">
    <w:abstractNumId w:val="33"/>
  </w:num>
  <w:num w:numId="11">
    <w:abstractNumId w:val="35"/>
  </w:num>
  <w:num w:numId="12">
    <w:abstractNumId w:val="23"/>
  </w:num>
  <w:num w:numId="13">
    <w:abstractNumId w:val="50"/>
  </w:num>
  <w:num w:numId="14">
    <w:abstractNumId w:val="14"/>
  </w:num>
  <w:num w:numId="15">
    <w:abstractNumId w:val="37"/>
  </w:num>
  <w:num w:numId="16">
    <w:abstractNumId w:val="32"/>
  </w:num>
  <w:num w:numId="17">
    <w:abstractNumId w:val="48"/>
  </w:num>
  <w:num w:numId="18">
    <w:abstractNumId w:val="47"/>
  </w:num>
  <w:num w:numId="19">
    <w:abstractNumId w:val="19"/>
  </w:num>
  <w:num w:numId="20">
    <w:abstractNumId w:val="27"/>
  </w:num>
  <w:num w:numId="21">
    <w:abstractNumId w:val="5"/>
  </w:num>
  <w:num w:numId="22">
    <w:abstractNumId w:val="11"/>
  </w:num>
  <w:num w:numId="23">
    <w:abstractNumId w:val="20"/>
  </w:num>
  <w:num w:numId="24">
    <w:abstractNumId w:val="31"/>
  </w:num>
  <w:num w:numId="25">
    <w:abstractNumId w:val="34"/>
  </w:num>
  <w:num w:numId="26">
    <w:abstractNumId w:val="29"/>
  </w:num>
  <w:num w:numId="27">
    <w:abstractNumId w:val="36"/>
  </w:num>
  <w:num w:numId="28">
    <w:abstractNumId w:val="56"/>
  </w:num>
  <w:num w:numId="29">
    <w:abstractNumId w:val="43"/>
  </w:num>
  <w:num w:numId="30">
    <w:abstractNumId w:val="17"/>
  </w:num>
  <w:num w:numId="31">
    <w:abstractNumId w:val="13"/>
  </w:num>
  <w:num w:numId="32">
    <w:abstractNumId w:val="39"/>
  </w:num>
  <w:num w:numId="33">
    <w:abstractNumId w:val="54"/>
  </w:num>
  <w:num w:numId="34">
    <w:abstractNumId w:val="41"/>
  </w:num>
  <w:num w:numId="35">
    <w:abstractNumId w:val="26"/>
  </w:num>
  <w:num w:numId="36">
    <w:abstractNumId w:val="6"/>
  </w:num>
  <w:num w:numId="37">
    <w:abstractNumId w:val="52"/>
  </w:num>
  <w:num w:numId="38">
    <w:abstractNumId w:val="38"/>
  </w:num>
  <w:num w:numId="39">
    <w:abstractNumId w:val="51"/>
  </w:num>
  <w:num w:numId="40">
    <w:abstractNumId w:val="49"/>
  </w:num>
  <w:num w:numId="41">
    <w:abstractNumId w:val="45"/>
  </w:num>
  <w:num w:numId="42">
    <w:abstractNumId w:val="40"/>
  </w:num>
  <w:num w:numId="43">
    <w:abstractNumId w:val="12"/>
  </w:num>
  <w:num w:numId="44">
    <w:abstractNumId w:val="9"/>
  </w:num>
  <w:num w:numId="45">
    <w:abstractNumId w:val="8"/>
  </w:num>
  <w:num w:numId="46">
    <w:abstractNumId w:val="55"/>
  </w:num>
  <w:num w:numId="47">
    <w:abstractNumId w:val="46"/>
  </w:num>
  <w:num w:numId="48">
    <w:abstractNumId w:val="28"/>
  </w:num>
  <w:num w:numId="49">
    <w:abstractNumId w:val="10"/>
  </w:num>
  <w:num w:numId="50">
    <w:abstractNumId w:val="18"/>
  </w:num>
  <w:num w:numId="51">
    <w:abstractNumId w:val="24"/>
  </w:num>
  <w:num w:numId="52">
    <w:abstractNumId w:val="30"/>
  </w:num>
  <w:num w:numId="53">
    <w:abstractNumId w:val="21"/>
  </w:num>
  <w:num w:numId="54">
    <w:abstractNumId w:val="7"/>
  </w:num>
  <w:num w:numId="55">
    <w:abstractNumId w:val="44"/>
  </w:num>
  <w:num w:numId="56">
    <w:abstractNumId w:val="22"/>
  </w:num>
  <w:num w:numId="57">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en-US" w:vendorID="64" w:dllVersion="4096" w:nlCheck="1" w:checkStyle="0"/>
  <w:activeWritingStyle w:appName="MSWord" w:lang="en-US" w:vendorID="64" w:dllVersion="131078" w:nlCheck="1" w:checkStyle="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C9"/>
    <w:rsid w:val="000005FE"/>
    <w:rsid w:val="0000066F"/>
    <w:rsid w:val="000008E7"/>
    <w:rsid w:val="00003E78"/>
    <w:rsid w:val="00005133"/>
    <w:rsid w:val="0000536E"/>
    <w:rsid w:val="0000568E"/>
    <w:rsid w:val="000060A3"/>
    <w:rsid w:val="0000617D"/>
    <w:rsid w:val="00006662"/>
    <w:rsid w:val="00006AF0"/>
    <w:rsid w:val="000102EC"/>
    <w:rsid w:val="00010BC0"/>
    <w:rsid w:val="0001114C"/>
    <w:rsid w:val="00011DA7"/>
    <w:rsid w:val="0001261C"/>
    <w:rsid w:val="000126A9"/>
    <w:rsid w:val="000131A3"/>
    <w:rsid w:val="000133A3"/>
    <w:rsid w:val="00013B35"/>
    <w:rsid w:val="000140C3"/>
    <w:rsid w:val="00014B89"/>
    <w:rsid w:val="000173B3"/>
    <w:rsid w:val="0002007A"/>
    <w:rsid w:val="0002054A"/>
    <w:rsid w:val="00020D44"/>
    <w:rsid w:val="000218F9"/>
    <w:rsid w:val="00021A08"/>
    <w:rsid w:val="00021A39"/>
    <w:rsid w:val="000243DF"/>
    <w:rsid w:val="000243EA"/>
    <w:rsid w:val="00024B93"/>
    <w:rsid w:val="00025E7D"/>
    <w:rsid w:val="000276B9"/>
    <w:rsid w:val="00030304"/>
    <w:rsid w:val="00031358"/>
    <w:rsid w:val="00031C1F"/>
    <w:rsid w:val="00032217"/>
    <w:rsid w:val="0003264D"/>
    <w:rsid w:val="00032DCC"/>
    <w:rsid w:val="00033153"/>
    <w:rsid w:val="000338FD"/>
    <w:rsid w:val="00035DBA"/>
    <w:rsid w:val="00037C17"/>
    <w:rsid w:val="00037C45"/>
    <w:rsid w:val="00037C71"/>
    <w:rsid w:val="00037CED"/>
    <w:rsid w:val="00037EC9"/>
    <w:rsid w:val="000400AE"/>
    <w:rsid w:val="000404E4"/>
    <w:rsid w:val="00041DB4"/>
    <w:rsid w:val="000421F0"/>
    <w:rsid w:val="00042203"/>
    <w:rsid w:val="000422C5"/>
    <w:rsid w:val="000429AC"/>
    <w:rsid w:val="00042B6A"/>
    <w:rsid w:val="00042B99"/>
    <w:rsid w:val="00044ADB"/>
    <w:rsid w:val="000454B5"/>
    <w:rsid w:val="00045F8C"/>
    <w:rsid w:val="0004606D"/>
    <w:rsid w:val="000516C4"/>
    <w:rsid w:val="0005174C"/>
    <w:rsid w:val="000517C0"/>
    <w:rsid w:val="000530A5"/>
    <w:rsid w:val="0005447A"/>
    <w:rsid w:val="000565DF"/>
    <w:rsid w:val="00056BC8"/>
    <w:rsid w:val="00060038"/>
    <w:rsid w:val="00061444"/>
    <w:rsid w:val="000637A6"/>
    <w:rsid w:val="00065A2F"/>
    <w:rsid w:val="000663D1"/>
    <w:rsid w:val="0006650D"/>
    <w:rsid w:val="00066BBA"/>
    <w:rsid w:val="00066C2F"/>
    <w:rsid w:val="00070549"/>
    <w:rsid w:val="00071509"/>
    <w:rsid w:val="00071760"/>
    <w:rsid w:val="000717BB"/>
    <w:rsid w:val="00072493"/>
    <w:rsid w:val="00073011"/>
    <w:rsid w:val="00073C04"/>
    <w:rsid w:val="00075057"/>
    <w:rsid w:val="00075CAA"/>
    <w:rsid w:val="00077A8C"/>
    <w:rsid w:val="00080C51"/>
    <w:rsid w:val="00082006"/>
    <w:rsid w:val="00083DD5"/>
    <w:rsid w:val="00084FDD"/>
    <w:rsid w:val="00090CAD"/>
    <w:rsid w:val="00092341"/>
    <w:rsid w:val="00092F09"/>
    <w:rsid w:val="00094C4F"/>
    <w:rsid w:val="00095157"/>
    <w:rsid w:val="0009634B"/>
    <w:rsid w:val="00096EEF"/>
    <w:rsid w:val="00097663"/>
    <w:rsid w:val="000A0D1F"/>
    <w:rsid w:val="000A1527"/>
    <w:rsid w:val="000A1E14"/>
    <w:rsid w:val="000A3C02"/>
    <w:rsid w:val="000A41D8"/>
    <w:rsid w:val="000A550F"/>
    <w:rsid w:val="000A568E"/>
    <w:rsid w:val="000A7F05"/>
    <w:rsid w:val="000B0EDB"/>
    <w:rsid w:val="000B2909"/>
    <w:rsid w:val="000B2F58"/>
    <w:rsid w:val="000B4ED1"/>
    <w:rsid w:val="000B533E"/>
    <w:rsid w:val="000B5C4D"/>
    <w:rsid w:val="000B6C05"/>
    <w:rsid w:val="000C20BD"/>
    <w:rsid w:val="000C23AB"/>
    <w:rsid w:val="000C2B24"/>
    <w:rsid w:val="000C5300"/>
    <w:rsid w:val="000C5EA5"/>
    <w:rsid w:val="000D044E"/>
    <w:rsid w:val="000D0BAA"/>
    <w:rsid w:val="000D0DEA"/>
    <w:rsid w:val="000D2252"/>
    <w:rsid w:val="000D2DE0"/>
    <w:rsid w:val="000D3B1A"/>
    <w:rsid w:val="000D5380"/>
    <w:rsid w:val="000D6EA0"/>
    <w:rsid w:val="000E0E01"/>
    <w:rsid w:val="000E1076"/>
    <w:rsid w:val="000E2C94"/>
    <w:rsid w:val="000E4AA4"/>
    <w:rsid w:val="000E586D"/>
    <w:rsid w:val="000E5FC1"/>
    <w:rsid w:val="000E66AB"/>
    <w:rsid w:val="000E677D"/>
    <w:rsid w:val="000E7FEC"/>
    <w:rsid w:val="000F01DB"/>
    <w:rsid w:val="000F059D"/>
    <w:rsid w:val="000F3CD6"/>
    <w:rsid w:val="000F43E2"/>
    <w:rsid w:val="000F5B32"/>
    <w:rsid w:val="000F5C22"/>
    <w:rsid w:val="000F786A"/>
    <w:rsid w:val="000F7C52"/>
    <w:rsid w:val="0010113D"/>
    <w:rsid w:val="0010124C"/>
    <w:rsid w:val="001016E0"/>
    <w:rsid w:val="00102ACF"/>
    <w:rsid w:val="00103BC0"/>
    <w:rsid w:val="0010462B"/>
    <w:rsid w:val="00106CAC"/>
    <w:rsid w:val="001106D5"/>
    <w:rsid w:val="00111011"/>
    <w:rsid w:val="00112761"/>
    <w:rsid w:val="00113DA7"/>
    <w:rsid w:val="001158B8"/>
    <w:rsid w:val="00115D4B"/>
    <w:rsid w:val="00116C99"/>
    <w:rsid w:val="00117125"/>
    <w:rsid w:val="00117326"/>
    <w:rsid w:val="0011790D"/>
    <w:rsid w:val="00121ADB"/>
    <w:rsid w:val="0012327D"/>
    <w:rsid w:val="00123AD3"/>
    <w:rsid w:val="00124368"/>
    <w:rsid w:val="00125136"/>
    <w:rsid w:val="001265CF"/>
    <w:rsid w:val="00126837"/>
    <w:rsid w:val="00130191"/>
    <w:rsid w:val="00131C27"/>
    <w:rsid w:val="00132123"/>
    <w:rsid w:val="00133436"/>
    <w:rsid w:val="00133B6F"/>
    <w:rsid w:val="00134EDE"/>
    <w:rsid w:val="001350E8"/>
    <w:rsid w:val="0013545E"/>
    <w:rsid w:val="00135844"/>
    <w:rsid w:val="00135FF1"/>
    <w:rsid w:val="00136294"/>
    <w:rsid w:val="00136344"/>
    <w:rsid w:val="00140314"/>
    <w:rsid w:val="00140B3D"/>
    <w:rsid w:val="0014160F"/>
    <w:rsid w:val="001428DF"/>
    <w:rsid w:val="00142AB7"/>
    <w:rsid w:val="00144492"/>
    <w:rsid w:val="001457BC"/>
    <w:rsid w:val="00145C7B"/>
    <w:rsid w:val="00145ED9"/>
    <w:rsid w:val="00146411"/>
    <w:rsid w:val="00147295"/>
    <w:rsid w:val="00153592"/>
    <w:rsid w:val="001544CB"/>
    <w:rsid w:val="0015498D"/>
    <w:rsid w:val="00156FCC"/>
    <w:rsid w:val="001571F1"/>
    <w:rsid w:val="00157BD7"/>
    <w:rsid w:val="00157F94"/>
    <w:rsid w:val="0016118A"/>
    <w:rsid w:val="00161824"/>
    <w:rsid w:val="0016346D"/>
    <w:rsid w:val="00163881"/>
    <w:rsid w:val="00164881"/>
    <w:rsid w:val="001659E4"/>
    <w:rsid w:val="0016699E"/>
    <w:rsid w:val="0016717E"/>
    <w:rsid w:val="001702FF"/>
    <w:rsid w:val="001708B9"/>
    <w:rsid w:val="00170D69"/>
    <w:rsid w:val="0017160C"/>
    <w:rsid w:val="001721C4"/>
    <w:rsid w:val="0017280D"/>
    <w:rsid w:val="00172FFA"/>
    <w:rsid w:val="0017388D"/>
    <w:rsid w:val="0017475C"/>
    <w:rsid w:val="001757CE"/>
    <w:rsid w:val="00180782"/>
    <w:rsid w:val="00180BDA"/>
    <w:rsid w:val="0018108F"/>
    <w:rsid w:val="00182755"/>
    <w:rsid w:val="00182990"/>
    <w:rsid w:val="001848A0"/>
    <w:rsid w:val="0018497D"/>
    <w:rsid w:val="00184C26"/>
    <w:rsid w:val="00186E37"/>
    <w:rsid w:val="00186FC8"/>
    <w:rsid w:val="00187677"/>
    <w:rsid w:val="00187EF8"/>
    <w:rsid w:val="00191381"/>
    <w:rsid w:val="001917B7"/>
    <w:rsid w:val="001918F7"/>
    <w:rsid w:val="00192D25"/>
    <w:rsid w:val="00193B52"/>
    <w:rsid w:val="001946C0"/>
    <w:rsid w:val="001975EF"/>
    <w:rsid w:val="0019765A"/>
    <w:rsid w:val="001979FE"/>
    <w:rsid w:val="00197DE9"/>
    <w:rsid w:val="001A00CB"/>
    <w:rsid w:val="001A00E1"/>
    <w:rsid w:val="001A173D"/>
    <w:rsid w:val="001A1CCC"/>
    <w:rsid w:val="001A224B"/>
    <w:rsid w:val="001A2F1B"/>
    <w:rsid w:val="001A43D7"/>
    <w:rsid w:val="001A45CF"/>
    <w:rsid w:val="001A509D"/>
    <w:rsid w:val="001A52A7"/>
    <w:rsid w:val="001A6D66"/>
    <w:rsid w:val="001A772F"/>
    <w:rsid w:val="001B0F94"/>
    <w:rsid w:val="001B1B84"/>
    <w:rsid w:val="001B3631"/>
    <w:rsid w:val="001B42AB"/>
    <w:rsid w:val="001B42F6"/>
    <w:rsid w:val="001B436F"/>
    <w:rsid w:val="001B5C19"/>
    <w:rsid w:val="001B77E1"/>
    <w:rsid w:val="001B7986"/>
    <w:rsid w:val="001B7CD3"/>
    <w:rsid w:val="001C15AA"/>
    <w:rsid w:val="001C1C51"/>
    <w:rsid w:val="001C1E96"/>
    <w:rsid w:val="001C2088"/>
    <w:rsid w:val="001C2EC0"/>
    <w:rsid w:val="001C351B"/>
    <w:rsid w:val="001C523C"/>
    <w:rsid w:val="001C5A10"/>
    <w:rsid w:val="001D03A7"/>
    <w:rsid w:val="001D1E13"/>
    <w:rsid w:val="001D259A"/>
    <w:rsid w:val="001D601D"/>
    <w:rsid w:val="001E016B"/>
    <w:rsid w:val="001E0A71"/>
    <w:rsid w:val="001E13F4"/>
    <w:rsid w:val="001E5651"/>
    <w:rsid w:val="001E58BF"/>
    <w:rsid w:val="001E5D56"/>
    <w:rsid w:val="001E725C"/>
    <w:rsid w:val="001E7D3E"/>
    <w:rsid w:val="001E7DA0"/>
    <w:rsid w:val="001F0073"/>
    <w:rsid w:val="001F030B"/>
    <w:rsid w:val="001F1FB9"/>
    <w:rsid w:val="001F2DCC"/>
    <w:rsid w:val="001F38BE"/>
    <w:rsid w:val="001F4EA2"/>
    <w:rsid w:val="001F5545"/>
    <w:rsid w:val="001F61B8"/>
    <w:rsid w:val="001F6839"/>
    <w:rsid w:val="001F70EE"/>
    <w:rsid w:val="001F7E66"/>
    <w:rsid w:val="00200E05"/>
    <w:rsid w:val="0020111B"/>
    <w:rsid w:val="00202AA8"/>
    <w:rsid w:val="00204CBA"/>
    <w:rsid w:val="002056FF"/>
    <w:rsid w:val="00205AB2"/>
    <w:rsid w:val="00207BED"/>
    <w:rsid w:val="00211AB1"/>
    <w:rsid w:val="00212852"/>
    <w:rsid w:val="00212B1E"/>
    <w:rsid w:val="002131C6"/>
    <w:rsid w:val="00214F05"/>
    <w:rsid w:val="00215B5A"/>
    <w:rsid w:val="00216B3B"/>
    <w:rsid w:val="00216CF6"/>
    <w:rsid w:val="00220804"/>
    <w:rsid w:val="00220CCF"/>
    <w:rsid w:val="00222133"/>
    <w:rsid w:val="00224A66"/>
    <w:rsid w:val="002269E5"/>
    <w:rsid w:val="00226BB2"/>
    <w:rsid w:val="00227E79"/>
    <w:rsid w:val="00227F1F"/>
    <w:rsid w:val="002316CB"/>
    <w:rsid w:val="002318FD"/>
    <w:rsid w:val="00231B44"/>
    <w:rsid w:val="00232400"/>
    <w:rsid w:val="0023270B"/>
    <w:rsid w:val="002335D2"/>
    <w:rsid w:val="002340B6"/>
    <w:rsid w:val="00234BA2"/>
    <w:rsid w:val="00235582"/>
    <w:rsid w:val="002370AB"/>
    <w:rsid w:val="00237872"/>
    <w:rsid w:val="00241108"/>
    <w:rsid w:val="002424B1"/>
    <w:rsid w:val="0024270A"/>
    <w:rsid w:val="002433D4"/>
    <w:rsid w:val="00244010"/>
    <w:rsid w:val="002444E0"/>
    <w:rsid w:val="00244EF8"/>
    <w:rsid w:val="00245031"/>
    <w:rsid w:val="002454A6"/>
    <w:rsid w:val="00245FD1"/>
    <w:rsid w:val="0024773B"/>
    <w:rsid w:val="002477B8"/>
    <w:rsid w:val="00250907"/>
    <w:rsid w:val="00250E8B"/>
    <w:rsid w:val="00251608"/>
    <w:rsid w:val="0025190C"/>
    <w:rsid w:val="00251C8F"/>
    <w:rsid w:val="00252D95"/>
    <w:rsid w:val="00253D2A"/>
    <w:rsid w:val="00255189"/>
    <w:rsid w:val="00255944"/>
    <w:rsid w:val="00255CAD"/>
    <w:rsid w:val="00255D53"/>
    <w:rsid w:val="00256C51"/>
    <w:rsid w:val="00256E76"/>
    <w:rsid w:val="00257045"/>
    <w:rsid w:val="002638FE"/>
    <w:rsid w:val="00263ED6"/>
    <w:rsid w:val="00264905"/>
    <w:rsid w:val="00264A73"/>
    <w:rsid w:val="00265C3D"/>
    <w:rsid w:val="00266628"/>
    <w:rsid w:val="00267B0C"/>
    <w:rsid w:val="002763B0"/>
    <w:rsid w:val="002768C5"/>
    <w:rsid w:val="00277AC5"/>
    <w:rsid w:val="002811B6"/>
    <w:rsid w:val="00281C0C"/>
    <w:rsid w:val="00281D0D"/>
    <w:rsid w:val="00282470"/>
    <w:rsid w:val="00283564"/>
    <w:rsid w:val="0028578A"/>
    <w:rsid w:val="00286296"/>
    <w:rsid w:val="00286924"/>
    <w:rsid w:val="002875AE"/>
    <w:rsid w:val="00287797"/>
    <w:rsid w:val="0029005A"/>
    <w:rsid w:val="002901DF"/>
    <w:rsid w:val="00290704"/>
    <w:rsid w:val="00291FA7"/>
    <w:rsid w:val="002930B2"/>
    <w:rsid w:val="002932CD"/>
    <w:rsid w:val="00293609"/>
    <w:rsid w:val="002945DE"/>
    <w:rsid w:val="00294BBA"/>
    <w:rsid w:val="002950B7"/>
    <w:rsid w:val="002954E1"/>
    <w:rsid w:val="0029587A"/>
    <w:rsid w:val="00295B52"/>
    <w:rsid w:val="00296304"/>
    <w:rsid w:val="00296705"/>
    <w:rsid w:val="00297214"/>
    <w:rsid w:val="002A0692"/>
    <w:rsid w:val="002A0EE7"/>
    <w:rsid w:val="002A1CD2"/>
    <w:rsid w:val="002A5BCF"/>
    <w:rsid w:val="002A6997"/>
    <w:rsid w:val="002A7CD5"/>
    <w:rsid w:val="002A7D85"/>
    <w:rsid w:val="002A7E10"/>
    <w:rsid w:val="002B215D"/>
    <w:rsid w:val="002B2376"/>
    <w:rsid w:val="002B2ADF"/>
    <w:rsid w:val="002B3DD3"/>
    <w:rsid w:val="002B4054"/>
    <w:rsid w:val="002B4B90"/>
    <w:rsid w:val="002B4D02"/>
    <w:rsid w:val="002B5F4B"/>
    <w:rsid w:val="002B639C"/>
    <w:rsid w:val="002B6D2E"/>
    <w:rsid w:val="002B7196"/>
    <w:rsid w:val="002B756D"/>
    <w:rsid w:val="002B76F4"/>
    <w:rsid w:val="002B7AC5"/>
    <w:rsid w:val="002C031C"/>
    <w:rsid w:val="002C12A5"/>
    <w:rsid w:val="002C2364"/>
    <w:rsid w:val="002C5877"/>
    <w:rsid w:val="002C5EB1"/>
    <w:rsid w:val="002C5FEA"/>
    <w:rsid w:val="002C615B"/>
    <w:rsid w:val="002C690A"/>
    <w:rsid w:val="002C6F50"/>
    <w:rsid w:val="002D41F7"/>
    <w:rsid w:val="002D5C31"/>
    <w:rsid w:val="002E0C70"/>
    <w:rsid w:val="002E114E"/>
    <w:rsid w:val="002E1278"/>
    <w:rsid w:val="002E1C00"/>
    <w:rsid w:val="002E316C"/>
    <w:rsid w:val="002E4237"/>
    <w:rsid w:val="002E46A0"/>
    <w:rsid w:val="002E5DA9"/>
    <w:rsid w:val="002E60B5"/>
    <w:rsid w:val="002E6A27"/>
    <w:rsid w:val="002E6B8C"/>
    <w:rsid w:val="002E6EA6"/>
    <w:rsid w:val="002E7099"/>
    <w:rsid w:val="002F1A82"/>
    <w:rsid w:val="002F2771"/>
    <w:rsid w:val="002F2AB9"/>
    <w:rsid w:val="002F2E5F"/>
    <w:rsid w:val="002F4628"/>
    <w:rsid w:val="0030009B"/>
    <w:rsid w:val="0030284C"/>
    <w:rsid w:val="00303B83"/>
    <w:rsid w:val="0030429A"/>
    <w:rsid w:val="00305A67"/>
    <w:rsid w:val="00305FE6"/>
    <w:rsid w:val="00306617"/>
    <w:rsid w:val="00310D3C"/>
    <w:rsid w:val="003116E5"/>
    <w:rsid w:val="003116F8"/>
    <w:rsid w:val="00311B79"/>
    <w:rsid w:val="003121C1"/>
    <w:rsid w:val="0031220A"/>
    <w:rsid w:val="0031511E"/>
    <w:rsid w:val="00315BA2"/>
    <w:rsid w:val="003162E1"/>
    <w:rsid w:val="00320EA5"/>
    <w:rsid w:val="003219E7"/>
    <w:rsid w:val="00322B5D"/>
    <w:rsid w:val="0032373B"/>
    <w:rsid w:val="00323B28"/>
    <w:rsid w:val="0032471F"/>
    <w:rsid w:val="00325700"/>
    <w:rsid w:val="00325947"/>
    <w:rsid w:val="00327F00"/>
    <w:rsid w:val="003301E0"/>
    <w:rsid w:val="0033172A"/>
    <w:rsid w:val="00331D1F"/>
    <w:rsid w:val="00331E24"/>
    <w:rsid w:val="003323C9"/>
    <w:rsid w:val="00333F16"/>
    <w:rsid w:val="003369FB"/>
    <w:rsid w:val="00337680"/>
    <w:rsid w:val="00337885"/>
    <w:rsid w:val="00337E6D"/>
    <w:rsid w:val="00340BB3"/>
    <w:rsid w:val="0034481A"/>
    <w:rsid w:val="00346878"/>
    <w:rsid w:val="00347660"/>
    <w:rsid w:val="00347D5D"/>
    <w:rsid w:val="00355033"/>
    <w:rsid w:val="00356396"/>
    <w:rsid w:val="00356735"/>
    <w:rsid w:val="00356E42"/>
    <w:rsid w:val="0035704A"/>
    <w:rsid w:val="00357E4F"/>
    <w:rsid w:val="00357F73"/>
    <w:rsid w:val="003608FB"/>
    <w:rsid w:val="003609F4"/>
    <w:rsid w:val="00361045"/>
    <w:rsid w:val="0036296C"/>
    <w:rsid w:val="003636E6"/>
    <w:rsid w:val="00363DA0"/>
    <w:rsid w:val="003640E3"/>
    <w:rsid w:val="00364703"/>
    <w:rsid w:val="00365580"/>
    <w:rsid w:val="00366954"/>
    <w:rsid w:val="00371449"/>
    <w:rsid w:val="003747A5"/>
    <w:rsid w:val="00375EB8"/>
    <w:rsid w:val="00375FBE"/>
    <w:rsid w:val="00376010"/>
    <w:rsid w:val="00377AE4"/>
    <w:rsid w:val="00377FE8"/>
    <w:rsid w:val="00380B8D"/>
    <w:rsid w:val="00381D6C"/>
    <w:rsid w:val="00382320"/>
    <w:rsid w:val="00382726"/>
    <w:rsid w:val="00382A17"/>
    <w:rsid w:val="00382C57"/>
    <w:rsid w:val="00383DF9"/>
    <w:rsid w:val="003863C7"/>
    <w:rsid w:val="0038682E"/>
    <w:rsid w:val="00386D40"/>
    <w:rsid w:val="00387900"/>
    <w:rsid w:val="00390A1D"/>
    <w:rsid w:val="0039181B"/>
    <w:rsid w:val="003923FD"/>
    <w:rsid w:val="003A00FB"/>
    <w:rsid w:val="003A1C70"/>
    <w:rsid w:val="003A2845"/>
    <w:rsid w:val="003A317B"/>
    <w:rsid w:val="003A494E"/>
    <w:rsid w:val="003A5BD8"/>
    <w:rsid w:val="003A72D5"/>
    <w:rsid w:val="003B0B0F"/>
    <w:rsid w:val="003B3379"/>
    <w:rsid w:val="003B3C47"/>
    <w:rsid w:val="003B3F96"/>
    <w:rsid w:val="003B4664"/>
    <w:rsid w:val="003B6EEA"/>
    <w:rsid w:val="003B754D"/>
    <w:rsid w:val="003B7561"/>
    <w:rsid w:val="003B7D50"/>
    <w:rsid w:val="003C03D0"/>
    <w:rsid w:val="003C12AF"/>
    <w:rsid w:val="003C16EF"/>
    <w:rsid w:val="003C23D3"/>
    <w:rsid w:val="003C3817"/>
    <w:rsid w:val="003C4BE4"/>
    <w:rsid w:val="003C4DE4"/>
    <w:rsid w:val="003C553F"/>
    <w:rsid w:val="003C5ED0"/>
    <w:rsid w:val="003C7438"/>
    <w:rsid w:val="003C7642"/>
    <w:rsid w:val="003D0207"/>
    <w:rsid w:val="003D0237"/>
    <w:rsid w:val="003D082C"/>
    <w:rsid w:val="003D1A80"/>
    <w:rsid w:val="003D1CBD"/>
    <w:rsid w:val="003D24DC"/>
    <w:rsid w:val="003D49B2"/>
    <w:rsid w:val="003D5D7E"/>
    <w:rsid w:val="003D64BB"/>
    <w:rsid w:val="003D6DE3"/>
    <w:rsid w:val="003D73CA"/>
    <w:rsid w:val="003E138D"/>
    <w:rsid w:val="003E1820"/>
    <w:rsid w:val="003E44A7"/>
    <w:rsid w:val="003E49BA"/>
    <w:rsid w:val="003E4E67"/>
    <w:rsid w:val="003E4FCB"/>
    <w:rsid w:val="003E6A11"/>
    <w:rsid w:val="003E6E32"/>
    <w:rsid w:val="003F011C"/>
    <w:rsid w:val="003F2002"/>
    <w:rsid w:val="003F2224"/>
    <w:rsid w:val="003F3455"/>
    <w:rsid w:val="003F4696"/>
    <w:rsid w:val="003F4E9D"/>
    <w:rsid w:val="003F5003"/>
    <w:rsid w:val="003F5252"/>
    <w:rsid w:val="003F5BED"/>
    <w:rsid w:val="003F621B"/>
    <w:rsid w:val="004016AA"/>
    <w:rsid w:val="004024CA"/>
    <w:rsid w:val="00402BA3"/>
    <w:rsid w:val="00402F8D"/>
    <w:rsid w:val="00404297"/>
    <w:rsid w:val="004052BC"/>
    <w:rsid w:val="0040552B"/>
    <w:rsid w:val="00405712"/>
    <w:rsid w:val="00405DA8"/>
    <w:rsid w:val="004066C3"/>
    <w:rsid w:val="00406E9B"/>
    <w:rsid w:val="00407DAD"/>
    <w:rsid w:val="0041140D"/>
    <w:rsid w:val="00411C59"/>
    <w:rsid w:val="00412EA0"/>
    <w:rsid w:val="00412ECB"/>
    <w:rsid w:val="00415BCB"/>
    <w:rsid w:val="00415FAD"/>
    <w:rsid w:val="00417358"/>
    <w:rsid w:val="004178B2"/>
    <w:rsid w:val="00417B71"/>
    <w:rsid w:val="0042177C"/>
    <w:rsid w:val="004227EE"/>
    <w:rsid w:val="00423D50"/>
    <w:rsid w:val="00423E4F"/>
    <w:rsid w:val="00426BA0"/>
    <w:rsid w:val="00426DDC"/>
    <w:rsid w:val="00426E84"/>
    <w:rsid w:val="00430C5F"/>
    <w:rsid w:val="004314E1"/>
    <w:rsid w:val="004319E7"/>
    <w:rsid w:val="00431E47"/>
    <w:rsid w:val="00431F7D"/>
    <w:rsid w:val="00432002"/>
    <w:rsid w:val="0043293F"/>
    <w:rsid w:val="0043421B"/>
    <w:rsid w:val="004375C2"/>
    <w:rsid w:val="00440B05"/>
    <w:rsid w:val="0044117C"/>
    <w:rsid w:val="004421BC"/>
    <w:rsid w:val="00442EBA"/>
    <w:rsid w:val="00444140"/>
    <w:rsid w:val="0044558B"/>
    <w:rsid w:val="0044642F"/>
    <w:rsid w:val="004509E3"/>
    <w:rsid w:val="00450B21"/>
    <w:rsid w:val="004513B9"/>
    <w:rsid w:val="004515AF"/>
    <w:rsid w:val="00451AD9"/>
    <w:rsid w:val="00455377"/>
    <w:rsid w:val="00455BA2"/>
    <w:rsid w:val="004568B7"/>
    <w:rsid w:val="00456BAF"/>
    <w:rsid w:val="00457001"/>
    <w:rsid w:val="004606EC"/>
    <w:rsid w:val="004619AD"/>
    <w:rsid w:val="00461B29"/>
    <w:rsid w:val="00462817"/>
    <w:rsid w:val="00463333"/>
    <w:rsid w:val="00467077"/>
    <w:rsid w:val="00471000"/>
    <w:rsid w:val="00473614"/>
    <w:rsid w:val="00475B4B"/>
    <w:rsid w:val="00475D4C"/>
    <w:rsid w:val="004771E4"/>
    <w:rsid w:val="00480DA9"/>
    <w:rsid w:val="00480F4E"/>
    <w:rsid w:val="00481077"/>
    <w:rsid w:val="0048232F"/>
    <w:rsid w:val="00482E0A"/>
    <w:rsid w:val="00483311"/>
    <w:rsid w:val="00483B86"/>
    <w:rsid w:val="00484D1A"/>
    <w:rsid w:val="004860A3"/>
    <w:rsid w:val="00486736"/>
    <w:rsid w:val="00490833"/>
    <w:rsid w:val="004914D9"/>
    <w:rsid w:val="004941F9"/>
    <w:rsid w:val="0049574C"/>
    <w:rsid w:val="00495F55"/>
    <w:rsid w:val="004962A7"/>
    <w:rsid w:val="004973F8"/>
    <w:rsid w:val="004A00EE"/>
    <w:rsid w:val="004A0DCC"/>
    <w:rsid w:val="004A2D8C"/>
    <w:rsid w:val="004A339D"/>
    <w:rsid w:val="004A5F8E"/>
    <w:rsid w:val="004A6C6D"/>
    <w:rsid w:val="004A7525"/>
    <w:rsid w:val="004A7DBE"/>
    <w:rsid w:val="004B0F04"/>
    <w:rsid w:val="004B12D6"/>
    <w:rsid w:val="004B30FD"/>
    <w:rsid w:val="004B3184"/>
    <w:rsid w:val="004B37AE"/>
    <w:rsid w:val="004B3AE9"/>
    <w:rsid w:val="004B496C"/>
    <w:rsid w:val="004B4F24"/>
    <w:rsid w:val="004B4F87"/>
    <w:rsid w:val="004C1C06"/>
    <w:rsid w:val="004C2616"/>
    <w:rsid w:val="004C2DC2"/>
    <w:rsid w:val="004C346A"/>
    <w:rsid w:val="004C3E08"/>
    <w:rsid w:val="004C4945"/>
    <w:rsid w:val="004C6DAA"/>
    <w:rsid w:val="004C7752"/>
    <w:rsid w:val="004D159E"/>
    <w:rsid w:val="004D177D"/>
    <w:rsid w:val="004D1F57"/>
    <w:rsid w:val="004D3370"/>
    <w:rsid w:val="004D49FC"/>
    <w:rsid w:val="004D5763"/>
    <w:rsid w:val="004D5910"/>
    <w:rsid w:val="004D5C7D"/>
    <w:rsid w:val="004D7F2E"/>
    <w:rsid w:val="004E0F30"/>
    <w:rsid w:val="004E14B9"/>
    <w:rsid w:val="004E1F83"/>
    <w:rsid w:val="004E2463"/>
    <w:rsid w:val="004E323A"/>
    <w:rsid w:val="004E4086"/>
    <w:rsid w:val="004E46BD"/>
    <w:rsid w:val="004E6006"/>
    <w:rsid w:val="004E6148"/>
    <w:rsid w:val="004F22CE"/>
    <w:rsid w:val="004F23CF"/>
    <w:rsid w:val="004F2843"/>
    <w:rsid w:val="004F2A0B"/>
    <w:rsid w:val="004F31A3"/>
    <w:rsid w:val="004F34DF"/>
    <w:rsid w:val="004F3DC0"/>
    <w:rsid w:val="004F47B4"/>
    <w:rsid w:val="004F48B4"/>
    <w:rsid w:val="004F498E"/>
    <w:rsid w:val="004F4A4B"/>
    <w:rsid w:val="004F4B90"/>
    <w:rsid w:val="004F646B"/>
    <w:rsid w:val="004F69FC"/>
    <w:rsid w:val="00500698"/>
    <w:rsid w:val="005006D9"/>
    <w:rsid w:val="00501159"/>
    <w:rsid w:val="00501EFF"/>
    <w:rsid w:val="005048BA"/>
    <w:rsid w:val="00505133"/>
    <w:rsid w:val="005056D8"/>
    <w:rsid w:val="0050640E"/>
    <w:rsid w:val="0051361C"/>
    <w:rsid w:val="0051406B"/>
    <w:rsid w:val="00514E82"/>
    <w:rsid w:val="00514EA8"/>
    <w:rsid w:val="005179B5"/>
    <w:rsid w:val="00521113"/>
    <w:rsid w:val="00521402"/>
    <w:rsid w:val="00522736"/>
    <w:rsid w:val="005245E3"/>
    <w:rsid w:val="0052636E"/>
    <w:rsid w:val="00526863"/>
    <w:rsid w:val="00526B9A"/>
    <w:rsid w:val="005270F9"/>
    <w:rsid w:val="005332CC"/>
    <w:rsid w:val="0053774A"/>
    <w:rsid w:val="00537DE7"/>
    <w:rsid w:val="00540CAE"/>
    <w:rsid w:val="00542505"/>
    <w:rsid w:val="00543BA8"/>
    <w:rsid w:val="00544260"/>
    <w:rsid w:val="0054466F"/>
    <w:rsid w:val="00544D24"/>
    <w:rsid w:val="005463D7"/>
    <w:rsid w:val="005508CE"/>
    <w:rsid w:val="00555320"/>
    <w:rsid w:val="00555A39"/>
    <w:rsid w:val="00557471"/>
    <w:rsid w:val="00557AEA"/>
    <w:rsid w:val="00560A3F"/>
    <w:rsid w:val="005620B2"/>
    <w:rsid w:val="005628BF"/>
    <w:rsid w:val="005629B2"/>
    <w:rsid w:val="00563C6F"/>
    <w:rsid w:val="00564C84"/>
    <w:rsid w:val="00564F21"/>
    <w:rsid w:val="0056564C"/>
    <w:rsid w:val="00566187"/>
    <w:rsid w:val="005663E3"/>
    <w:rsid w:val="00566E3B"/>
    <w:rsid w:val="005675E6"/>
    <w:rsid w:val="005702E6"/>
    <w:rsid w:val="005720FA"/>
    <w:rsid w:val="00573556"/>
    <w:rsid w:val="00573D2F"/>
    <w:rsid w:val="00575976"/>
    <w:rsid w:val="0057783E"/>
    <w:rsid w:val="00580F02"/>
    <w:rsid w:val="005814E6"/>
    <w:rsid w:val="005843DE"/>
    <w:rsid w:val="005865D7"/>
    <w:rsid w:val="00586D7F"/>
    <w:rsid w:val="00587A08"/>
    <w:rsid w:val="00590F82"/>
    <w:rsid w:val="00593B9F"/>
    <w:rsid w:val="00593BF7"/>
    <w:rsid w:val="00594242"/>
    <w:rsid w:val="00594D5E"/>
    <w:rsid w:val="005967D7"/>
    <w:rsid w:val="0059682F"/>
    <w:rsid w:val="005969FB"/>
    <w:rsid w:val="0059703A"/>
    <w:rsid w:val="0059729D"/>
    <w:rsid w:val="005A1303"/>
    <w:rsid w:val="005A273C"/>
    <w:rsid w:val="005A5F8E"/>
    <w:rsid w:val="005A6212"/>
    <w:rsid w:val="005A7D01"/>
    <w:rsid w:val="005A7EE9"/>
    <w:rsid w:val="005B07F4"/>
    <w:rsid w:val="005B16B3"/>
    <w:rsid w:val="005B1AD1"/>
    <w:rsid w:val="005B222A"/>
    <w:rsid w:val="005B27DE"/>
    <w:rsid w:val="005B3B20"/>
    <w:rsid w:val="005B3CCF"/>
    <w:rsid w:val="005B59B0"/>
    <w:rsid w:val="005B5F54"/>
    <w:rsid w:val="005B62B3"/>
    <w:rsid w:val="005B6B53"/>
    <w:rsid w:val="005C1350"/>
    <w:rsid w:val="005C2D72"/>
    <w:rsid w:val="005C3139"/>
    <w:rsid w:val="005C40E4"/>
    <w:rsid w:val="005D05DA"/>
    <w:rsid w:val="005D084C"/>
    <w:rsid w:val="005D0F09"/>
    <w:rsid w:val="005D19E5"/>
    <w:rsid w:val="005D287F"/>
    <w:rsid w:val="005D3547"/>
    <w:rsid w:val="005D5512"/>
    <w:rsid w:val="005D596B"/>
    <w:rsid w:val="005D5A22"/>
    <w:rsid w:val="005D6E07"/>
    <w:rsid w:val="005D7A92"/>
    <w:rsid w:val="005D7CAD"/>
    <w:rsid w:val="005E24A4"/>
    <w:rsid w:val="005E2A6D"/>
    <w:rsid w:val="005E3501"/>
    <w:rsid w:val="005F09DD"/>
    <w:rsid w:val="005F14A7"/>
    <w:rsid w:val="005F245A"/>
    <w:rsid w:val="005F3D7B"/>
    <w:rsid w:val="005F43FB"/>
    <w:rsid w:val="005F4B9C"/>
    <w:rsid w:val="005F4D64"/>
    <w:rsid w:val="005F521E"/>
    <w:rsid w:val="005F525A"/>
    <w:rsid w:val="005F54F5"/>
    <w:rsid w:val="005F68FD"/>
    <w:rsid w:val="005F74C0"/>
    <w:rsid w:val="00601C92"/>
    <w:rsid w:val="0060233D"/>
    <w:rsid w:val="0060384D"/>
    <w:rsid w:val="006038B8"/>
    <w:rsid w:val="00605199"/>
    <w:rsid w:val="006062A7"/>
    <w:rsid w:val="00606A56"/>
    <w:rsid w:val="00610A45"/>
    <w:rsid w:val="00610D9A"/>
    <w:rsid w:val="0061213B"/>
    <w:rsid w:val="006151AF"/>
    <w:rsid w:val="006154D3"/>
    <w:rsid w:val="00616814"/>
    <w:rsid w:val="00617123"/>
    <w:rsid w:val="0061736A"/>
    <w:rsid w:val="00620BC8"/>
    <w:rsid w:val="00623661"/>
    <w:rsid w:val="006243E0"/>
    <w:rsid w:val="00624C5E"/>
    <w:rsid w:val="006255A6"/>
    <w:rsid w:val="0062656C"/>
    <w:rsid w:val="00626FBA"/>
    <w:rsid w:val="00626FD8"/>
    <w:rsid w:val="0062738B"/>
    <w:rsid w:val="00627E55"/>
    <w:rsid w:val="0063058F"/>
    <w:rsid w:val="006310BF"/>
    <w:rsid w:val="00631B45"/>
    <w:rsid w:val="00632423"/>
    <w:rsid w:val="006327B6"/>
    <w:rsid w:val="00632B63"/>
    <w:rsid w:val="00633313"/>
    <w:rsid w:val="0063494D"/>
    <w:rsid w:val="00634B67"/>
    <w:rsid w:val="00636863"/>
    <w:rsid w:val="00636978"/>
    <w:rsid w:val="0063714F"/>
    <w:rsid w:val="00637F1E"/>
    <w:rsid w:val="0064240C"/>
    <w:rsid w:val="00643AF5"/>
    <w:rsid w:val="00643C80"/>
    <w:rsid w:val="006444A3"/>
    <w:rsid w:val="00645067"/>
    <w:rsid w:val="00645CC5"/>
    <w:rsid w:val="006461AA"/>
    <w:rsid w:val="006464CD"/>
    <w:rsid w:val="00647330"/>
    <w:rsid w:val="00650912"/>
    <w:rsid w:val="00650AB8"/>
    <w:rsid w:val="00650D85"/>
    <w:rsid w:val="006528C9"/>
    <w:rsid w:val="0065402E"/>
    <w:rsid w:val="006545BF"/>
    <w:rsid w:val="00660725"/>
    <w:rsid w:val="006616A6"/>
    <w:rsid w:val="006617AF"/>
    <w:rsid w:val="00661817"/>
    <w:rsid w:val="0066195F"/>
    <w:rsid w:val="00662771"/>
    <w:rsid w:val="00665C81"/>
    <w:rsid w:val="006673E8"/>
    <w:rsid w:val="00667E43"/>
    <w:rsid w:val="00670314"/>
    <w:rsid w:val="00670807"/>
    <w:rsid w:val="006715BB"/>
    <w:rsid w:val="006716D9"/>
    <w:rsid w:val="00671871"/>
    <w:rsid w:val="00671EC0"/>
    <w:rsid w:val="0067317A"/>
    <w:rsid w:val="006738A3"/>
    <w:rsid w:val="00675977"/>
    <w:rsid w:val="00675B18"/>
    <w:rsid w:val="00676F48"/>
    <w:rsid w:val="0067770B"/>
    <w:rsid w:val="0068070D"/>
    <w:rsid w:val="0068326E"/>
    <w:rsid w:val="006833FB"/>
    <w:rsid w:val="00684C05"/>
    <w:rsid w:val="00686056"/>
    <w:rsid w:val="0068665B"/>
    <w:rsid w:val="00690F87"/>
    <w:rsid w:val="00691C32"/>
    <w:rsid w:val="00692089"/>
    <w:rsid w:val="0069538D"/>
    <w:rsid w:val="00695975"/>
    <w:rsid w:val="00696371"/>
    <w:rsid w:val="006968A8"/>
    <w:rsid w:val="006A2540"/>
    <w:rsid w:val="006A473D"/>
    <w:rsid w:val="006B0513"/>
    <w:rsid w:val="006B138D"/>
    <w:rsid w:val="006B16E0"/>
    <w:rsid w:val="006B17DE"/>
    <w:rsid w:val="006B1A47"/>
    <w:rsid w:val="006B24BB"/>
    <w:rsid w:val="006B2F6E"/>
    <w:rsid w:val="006B30D1"/>
    <w:rsid w:val="006B3BE4"/>
    <w:rsid w:val="006B4816"/>
    <w:rsid w:val="006B50C7"/>
    <w:rsid w:val="006B5FE9"/>
    <w:rsid w:val="006C07A8"/>
    <w:rsid w:val="006C12E4"/>
    <w:rsid w:val="006C1D07"/>
    <w:rsid w:val="006C20C6"/>
    <w:rsid w:val="006C25C9"/>
    <w:rsid w:val="006C5835"/>
    <w:rsid w:val="006C5AD3"/>
    <w:rsid w:val="006C617F"/>
    <w:rsid w:val="006C64A4"/>
    <w:rsid w:val="006C6F68"/>
    <w:rsid w:val="006C76DF"/>
    <w:rsid w:val="006D0C90"/>
    <w:rsid w:val="006D1710"/>
    <w:rsid w:val="006D1801"/>
    <w:rsid w:val="006D1AE6"/>
    <w:rsid w:val="006D1FA6"/>
    <w:rsid w:val="006D27F4"/>
    <w:rsid w:val="006D328E"/>
    <w:rsid w:val="006D4B25"/>
    <w:rsid w:val="006D59F6"/>
    <w:rsid w:val="006D5C37"/>
    <w:rsid w:val="006D6A17"/>
    <w:rsid w:val="006D6AAD"/>
    <w:rsid w:val="006D6D9B"/>
    <w:rsid w:val="006E0541"/>
    <w:rsid w:val="006E0A21"/>
    <w:rsid w:val="006E16D8"/>
    <w:rsid w:val="006E3A36"/>
    <w:rsid w:val="006E4F34"/>
    <w:rsid w:val="006E53C7"/>
    <w:rsid w:val="006E68F3"/>
    <w:rsid w:val="006E6AD2"/>
    <w:rsid w:val="006E6B19"/>
    <w:rsid w:val="006E75AE"/>
    <w:rsid w:val="006F0768"/>
    <w:rsid w:val="006F0B77"/>
    <w:rsid w:val="006F3148"/>
    <w:rsid w:val="006F38F1"/>
    <w:rsid w:val="006F519F"/>
    <w:rsid w:val="006F5B90"/>
    <w:rsid w:val="006F6769"/>
    <w:rsid w:val="006F679D"/>
    <w:rsid w:val="006F69C5"/>
    <w:rsid w:val="006F6A5A"/>
    <w:rsid w:val="007032A8"/>
    <w:rsid w:val="007043A5"/>
    <w:rsid w:val="00705766"/>
    <w:rsid w:val="00706C73"/>
    <w:rsid w:val="0070734C"/>
    <w:rsid w:val="0071179F"/>
    <w:rsid w:val="007119B0"/>
    <w:rsid w:val="00712A0A"/>
    <w:rsid w:val="007158CE"/>
    <w:rsid w:val="00715D95"/>
    <w:rsid w:val="00716E23"/>
    <w:rsid w:val="007172D9"/>
    <w:rsid w:val="00720888"/>
    <w:rsid w:val="00720964"/>
    <w:rsid w:val="0072138D"/>
    <w:rsid w:val="00724CD3"/>
    <w:rsid w:val="00725AA0"/>
    <w:rsid w:val="00726542"/>
    <w:rsid w:val="0072746D"/>
    <w:rsid w:val="007309F5"/>
    <w:rsid w:val="007312AA"/>
    <w:rsid w:val="007316F4"/>
    <w:rsid w:val="00732BC2"/>
    <w:rsid w:val="00732E2A"/>
    <w:rsid w:val="00733659"/>
    <w:rsid w:val="007342AA"/>
    <w:rsid w:val="00734C1B"/>
    <w:rsid w:val="00736269"/>
    <w:rsid w:val="007378D7"/>
    <w:rsid w:val="007402D1"/>
    <w:rsid w:val="0074055E"/>
    <w:rsid w:val="007405BF"/>
    <w:rsid w:val="00740DE7"/>
    <w:rsid w:val="007416A5"/>
    <w:rsid w:val="007421BB"/>
    <w:rsid w:val="00742F53"/>
    <w:rsid w:val="00743AC8"/>
    <w:rsid w:val="00743C3E"/>
    <w:rsid w:val="00744DA8"/>
    <w:rsid w:val="007460A4"/>
    <w:rsid w:val="007462E1"/>
    <w:rsid w:val="00747426"/>
    <w:rsid w:val="00747967"/>
    <w:rsid w:val="00750D3B"/>
    <w:rsid w:val="007516F0"/>
    <w:rsid w:val="0075323D"/>
    <w:rsid w:val="00753981"/>
    <w:rsid w:val="00753A99"/>
    <w:rsid w:val="00753D7B"/>
    <w:rsid w:val="00754870"/>
    <w:rsid w:val="007550AB"/>
    <w:rsid w:val="007555B9"/>
    <w:rsid w:val="00755718"/>
    <w:rsid w:val="00756993"/>
    <w:rsid w:val="007573F6"/>
    <w:rsid w:val="0076006F"/>
    <w:rsid w:val="007602D2"/>
    <w:rsid w:val="007604FB"/>
    <w:rsid w:val="00760B11"/>
    <w:rsid w:val="00761C20"/>
    <w:rsid w:val="00762913"/>
    <w:rsid w:val="007637C7"/>
    <w:rsid w:val="007653DA"/>
    <w:rsid w:val="00765812"/>
    <w:rsid w:val="007660C8"/>
    <w:rsid w:val="0076614E"/>
    <w:rsid w:val="007662F8"/>
    <w:rsid w:val="00766830"/>
    <w:rsid w:val="0076727F"/>
    <w:rsid w:val="00767E02"/>
    <w:rsid w:val="00770F2D"/>
    <w:rsid w:val="007716AE"/>
    <w:rsid w:val="00771D4B"/>
    <w:rsid w:val="00772106"/>
    <w:rsid w:val="0077341B"/>
    <w:rsid w:val="00773725"/>
    <w:rsid w:val="007748B1"/>
    <w:rsid w:val="00774A43"/>
    <w:rsid w:val="00774BF8"/>
    <w:rsid w:val="007757C8"/>
    <w:rsid w:val="00775F79"/>
    <w:rsid w:val="00776521"/>
    <w:rsid w:val="00776D30"/>
    <w:rsid w:val="00780C7C"/>
    <w:rsid w:val="007811C7"/>
    <w:rsid w:val="007830D0"/>
    <w:rsid w:val="00783681"/>
    <w:rsid w:val="007842A7"/>
    <w:rsid w:val="00784CF1"/>
    <w:rsid w:val="00784EB7"/>
    <w:rsid w:val="0078797E"/>
    <w:rsid w:val="00790CE4"/>
    <w:rsid w:val="00791621"/>
    <w:rsid w:val="00791D8B"/>
    <w:rsid w:val="0079305A"/>
    <w:rsid w:val="007939CB"/>
    <w:rsid w:val="00793DB3"/>
    <w:rsid w:val="00793EC0"/>
    <w:rsid w:val="007940A7"/>
    <w:rsid w:val="00795DFD"/>
    <w:rsid w:val="0079652A"/>
    <w:rsid w:val="007A0231"/>
    <w:rsid w:val="007A0EAA"/>
    <w:rsid w:val="007A1421"/>
    <w:rsid w:val="007A3745"/>
    <w:rsid w:val="007A5A56"/>
    <w:rsid w:val="007B0498"/>
    <w:rsid w:val="007B29C4"/>
    <w:rsid w:val="007B2FB1"/>
    <w:rsid w:val="007B42EB"/>
    <w:rsid w:val="007B5C5A"/>
    <w:rsid w:val="007B5CA9"/>
    <w:rsid w:val="007B6ECC"/>
    <w:rsid w:val="007B7415"/>
    <w:rsid w:val="007B74FC"/>
    <w:rsid w:val="007B7DD1"/>
    <w:rsid w:val="007C008A"/>
    <w:rsid w:val="007C0598"/>
    <w:rsid w:val="007C0C20"/>
    <w:rsid w:val="007C3CB4"/>
    <w:rsid w:val="007C5BF2"/>
    <w:rsid w:val="007C7944"/>
    <w:rsid w:val="007C7C55"/>
    <w:rsid w:val="007D0AC4"/>
    <w:rsid w:val="007D2DA4"/>
    <w:rsid w:val="007D3145"/>
    <w:rsid w:val="007D48A2"/>
    <w:rsid w:val="007D56B5"/>
    <w:rsid w:val="007D77FD"/>
    <w:rsid w:val="007E03C0"/>
    <w:rsid w:val="007E1455"/>
    <w:rsid w:val="007E17FE"/>
    <w:rsid w:val="007E2034"/>
    <w:rsid w:val="007E2418"/>
    <w:rsid w:val="007E276E"/>
    <w:rsid w:val="007E2836"/>
    <w:rsid w:val="007E32D5"/>
    <w:rsid w:val="007E568A"/>
    <w:rsid w:val="007E56FE"/>
    <w:rsid w:val="007E6E02"/>
    <w:rsid w:val="007F0695"/>
    <w:rsid w:val="007F0D03"/>
    <w:rsid w:val="007F10EE"/>
    <w:rsid w:val="007F4675"/>
    <w:rsid w:val="007F4828"/>
    <w:rsid w:val="007F4C2C"/>
    <w:rsid w:val="007F5C76"/>
    <w:rsid w:val="007F6D57"/>
    <w:rsid w:val="007F77F3"/>
    <w:rsid w:val="008005C8"/>
    <w:rsid w:val="008006BE"/>
    <w:rsid w:val="00800ACB"/>
    <w:rsid w:val="00800E8F"/>
    <w:rsid w:val="0080208E"/>
    <w:rsid w:val="008021DB"/>
    <w:rsid w:val="00802289"/>
    <w:rsid w:val="008025B2"/>
    <w:rsid w:val="00802D1E"/>
    <w:rsid w:val="0080397A"/>
    <w:rsid w:val="00804B43"/>
    <w:rsid w:val="0080556F"/>
    <w:rsid w:val="00806E30"/>
    <w:rsid w:val="00806FDA"/>
    <w:rsid w:val="00807054"/>
    <w:rsid w:val="0080728A"/>
    <w:rsid w:val="0081074F"/>
    <w:rsid w:val="00813DBC"/>
    <w:rsid w:val="00813F7A"/>
    <w:rsid w:val="00814617"/>
    <w:rsid w:val="00814CCD"/>
    <w:rsid w:val="00815551"/>
    <w:rsid w:val="00816A79"/>
    <w:rsid w:val="00817E90"/>
    <w:rsid w:val="0082081E"/>
    <w:rsid w:val="00821F18"/>
    <w:rsid w:val="00822995"/>
    <w:rsid w:val="008229D3"/>
    <w:rsid w:val="00822FC7"/>
    <w:rsid w:val="008244B2"/>
    <w:rsid w:val="00825645"/>
    <w:rsid w:val="00825CB7"/>
    <w:rsid w:val="00826047"/>
    <w:rsid w:val="008272B2"/>
    <w:rsid w:val="008272E6"/>
    <w:rsid w:val="00827DA0"/>
    <w:rsid w:val="008311F6"/>
    <w:rsid w:val="0083256D"/>
    <w:rsid w:val="00833E13"/>
    <w:rsid w:val="00834890"/>
    <w:rsid w:val="00834AE2"/>
    <w:rsid w:val="00837121"/>
    <w:rsid w:val="00837915"/>
    <w:rsid w:val="008406C8"/>
    <w:rsid w:val="008407AA"/>
    <w:rsid w:val="0084140D"/>
    <w:rsid w:val="0084157A"/>
    <w:rsid w:val="00843986"/>
    <w:rsid w:val="00845A68"/>
    <w:rsid w:val="00846719"/>
    <w:rsid w:val="00847573"/>
    <w:rsid w:val="00850D39"/>
    <w:rsid w:val="00851312"/>
    <w:rsid w:val="008520CD"/>
    <w:rsid w:val="008536B9"/>
    <w:rsid w:val="008538AF"/>
    <w:rsid w:val="00855A9A"/>
    <w:rsid w:val="00856A0E"/>
    <w:rsid w:val="00857522"/>
    <w:rsid w:val="00857646"/>
    <w:rsid w:val="00860214"/>
    <w:rsid w:val="00860359"/>
    <w:rsid w:val="0086248A"/>
    <w:rsid w:val="00863100"/>
    <w:rsid w:val="008631CE"/>
    <w:rsid w:val="0086443E"/>
    <w:rsid w:val="00864843"/>
    <w:rsid w:val="00865019"/>
    <w:rsid w:val="00865B14"/>
    <w:rsid w:val="00865B6D"/>
    <w:rsid w:val="00865DF6"/>
    <w:rsid w:val="008666EF"/>
    <w:rsid w:val="0086797C"/>
    <w:rsid w:val="00872819"/>
    <w:rsid w:val="00872D3D"/>
    <w:rsid w:val="00872F3C"/>
    <w:rsid w:val="00872FD2"/>
    <w:rsid w:val="00873632"/>
    <w:rsid w:val="00873D35"/>
    <w:rsid w:val="00874EFC"/>
    <w:rsid w:val="00875C8B"/>
    <w:rsid w:val="00876055"/>
    <w:rsid w:val="00876869"/>
    <w:rsid w:val="008804DB"/>
    <w:rsid w:val="00880623"/>
    <w:rsid w:val="00880699"/>
    <w:rsid w:val="00881847"/>
    <w:rsid w:val="00882764"/>
    <w:rsid w:val="00883080"/>
    <w:rsid w:val="00883752"/>
    <w:rsid w:val="00884370"/>
    <w:rsid w:val="00885148"/>
    <w:rsid w:val="0088546F"/>
    <w:rsid w:val="00887AC1"/>
    <w:rsid w:val="0089020C"/>
    <w:rsid w:val="008923C2"/>
    <w:rsid w:val="00892758"/>
    <w:rsid w:val="00892CFB"/>
    <w:rsid w:val="008932B7"/>
    <w:rsid w:val="00894443"/>
    <w:rsid w:val="00894F9A"/>
    <w:rsid w:val="008962D0"/>
    <w:rsid w:val="008964E4"/>
    <w:rsid w:val="00896BD0"/>
    <w:rsid w:val="008A0191"/>
    <w:rsid w:val="008A0195"/>
    <w:rsid w:val="008A0D6C"/>
    <w:rsid w:val="008A22FD"/>
    <w:rsid w:val="008A2E51"/>
    <w:rsid w:val="008A362D"/>
    <w:rsid w:val="008A4618"/>
    <w:rsid w:val="008A4A96"/>
    <w:rsid w:val="008A4F6A"/>
    <w:rsid w:val="008A508A"/>
    <w:rsid w:val="008A5484"/>
    <w:rsid w:val="008A6714"/>
    <w:rsid w:val="008A7533"/>
    <w:rsid w:val="008B025C"/>
    <w:rsid w:val="008B0831"/>
    <w:rsid w:val="008B26C3"/>
    <w:rsid w:val="008B26FD"/>
    <w:rsid w:val="008B2A5C"/>
    <w:rsid w:val="008B2E86"/>
    <w:rsid w:val="008B3A46"/>
    <w:rsid w:val="008B4418"/>
    <w:rsid w:val="008B4E47"/>
    <w:rsid w:val="008B6059"/>
    <w:rsid w:val="008B7267"/>
    <w:rsid w:val="008B7905"/>
    <w:rsid w:val="008C011E"/>
    <w:rsid w:val="008C0EAA"/>
    <w:rsid w:val="008C13DF"/>
    <w:rsid w:val="008C286A"/>
    <w:rsid w:val="008C3D1E"/>
    <w:rsid w:val="008C432B"/>
    <w:rsid w:val="008C5A91"/>
    <w:rsid w:val="008C6166"/>
    <w:rsid w:val="008C76AD"/>
    <w:rsid w:val="008D0179"/>
    <w:rsid w:val="008D1FB2"/>
    <w:rsid w:val="008D2DC4"/>
    <w:rsid w:val="008D3415"/>
    <w:rsid w:val="008D7A07"/>
    <w:rsid w:val="008E0173"/>
    <w:rsid w:val="008E17F2"/>
    <w:rsid w:val="008E1911"/>
    <w:rsid w:val="008E2830"/>
    <w:rsid w:val="008E3008"/>
    <w:rsid w:val="008E35FE"/>
    <w:rsid w:val="008E45AA"/>
    <w:rsid w:val="008E4A96"/>
    <w:rsid w:val="008E5C75"/>
    <w:rsid w:val="008E616C"/>
    <w:rsid w:val="008E7B8E"/>
    <w:rsid w:val="008E7ED3"/>
    <w:rsid w:val="008F04D7"/>
    <w:rsid w:val="008F31BA"/>
    <w:rsid w:val="008F3F02"/>
    <w:rsid w:val="008F41C8"/>
    <w:rsid w:val="008F68DE"/>
    <w:rsid w:val="009003D1"/>
    <w:rsid w:val="00901BCB"/>
    <w:rsid w:val="00903B7B"/>
    <w:rsid w:val="00904097"/>
    <w:rsid w:val="009053F7"/>
    <w:rsid w:val="00905422"/>
    <w:rsid w:val="009057A0"/>
    <w:rsid w:val="00905C07"/>
    <w:rsid w:val="009067B3"/>
    <w:rsid w:val="00906860"/>
    <w:rsid w:val="00906AAD"/>
    <w:rsid w:val="009103BA"/>
    <w:rsid w:val="009103C9"/>
    <w:rsid w:val="009107B5"/>
    <w:rsid w:val="009114FE"/>
    <w:rsid w:val="009136BE"/>
    <w:rsid w:val="00913BC8"/>
    <w:rsid w:val="0091416A"/>
    <w:rsid w:val="00914AF0"/>
    <w:rsid w:val="0092167E"/>
    <w:rsid w:val="00925113"/>
    <w:rsid w:val="0092513A"/>
    <w:rsid w:val="00925D02"/>
    <w:rsid w:val="0092664E"/>
    <w:rsid w:val="00926E9E"/>
    <w:rsid w:val="00927002"/>
    <w:rsid w:val="00930258"/>
    <w:rsid w:val="00930A39"/>
    <w:rsid w:val="00931E4D"/>
    <w:rsid w:val="00932871"/>
    <w:rsid w:val="00933261"/>
    <w:rsid w:val="009350F0"/>
    <w:rsid w:val="00935627"/>
    <w:rsid w:val="009365AF"/>
    <w:rsid w:val="0094017D"/>
    <w:rsid w:val="009419A4"/>
    <w:rsid w:val="00941C09"/>
    <w:rsid w:val="00942903"/>
    <w:rsid w:val="009442D4"/>
    <w:rsid w:val="00945FD8"/>
    <w:rsid w:val="00951957"/>
    <w:rsid w:val="009524D1"/>
    <w:rsid w:val="00952D32"/>
    <w:rsid w:val="00953575"/>
    <w:rsid w:val="00953BF7"/>
    <w:rsid w:val="00953CE9"/>
    <w:rsid w:val="00954146"/>
    <w:rsid w:val="0095444B"/>
    <w:rsid w:val="0095586D"/>
    <w:rsid w:val="00955C84"/>
    <w:rsid w:val="00955D77"/>
    <w:rsid w:val="00956163"/>
    <w:rsid w:val="009568F8"/>
    <w:rsid w:val="00957BA0"/>
    <w:rsid w:val="009631BE"/>
    <w:rsid w:val="00964024"/>
    <w:rsid w:val="00966706"/>
    <w:rsid w:val="009676EA"/>
    <w:rsid w:val="0097019E"/>
    <w:rsid w:val="00971AE7"/>
    <w:rsid w:val="00971D13"/>
    <w:rsid w:val="00972D90"/>
    <w:rsid w:val="0097369A"/>
    <w:rsid w:val="00976C04"/>
    <w:rsid w:val="00977BEA"/>
    <w:rsid w:val="00981B0D"/>
    <w:rsid w:val="00982404"/>
    <w:rsid w:val="00982DD8"/>
    <w:rsid w:val="009832AD"/>
    <w:rsid w:val="00983A00"/>
    <w:rsid w:val="00983FDA"/>
    <w:rsid w:val="009845E8"/>
    <w:rsid w:val="0098506D"/>
    <w:rsid w:val="009864B6"/>
    <w:rsid w:val="00990037"/>
    <w:rsid w:val="00990763"/>
    <w:rsid w:val="00991538"/>
    <w:rsid w:val="00992FB0"/>
    <w:rsid w:val="0099372E"/>
    <w:rsid w:val="00993ED5"/>
    <w:rsid w:val="009948B2"/>
    <w:rsid w:val="00994C96"/>
    <w:rsid w:val="00995104"/>
    <w:rsid w:val="009977E2"/>
    <w:rsid w:val="009A0325"/>
    <w:rsid w:val="009A0464"/>
    <w:rsid w:val="009A18F7"/>
    <w:rsid w:val="009A372D"/>
    <w:rsid w:val="009A44A5"/>
    <w:rsid w:val="009A6E76"/>
    <w:rsid w:val="009A7493"/>
    <w:rsid w:val="009B058D"/>
    <w:rsid w:val="009B0D06"/>
    <w:rsid w:val="009B139F"/>
    <w:rsid w:val="009B2D95"/>
    <w:rsid w:val="009B33CB"/>
    <w:rsid w:val="009B536D"/>
    <w:rsid w:val="009B60B8"/>
    <w:rsid w:val="009B6E72"/>
    <w:rsid w:val="009B74E3"/>
    <w:rsid w:val="009C0362"/>
    <w:rsid w:val="009C291F"/>
    <w:rsid w:val="009C2A3E"/>
    <w:rsid w:val="009C2BC6"/>
    <w:rsid w:val="009C3611"/>
    <w:rsid w:val="009C3E1F"/>
    <w:rsid w:val="009C403B"/>
    <w:rsid w:val="009C46AB"/>
    <w:rsid w:val="009C6951"/>
    <w:rsid w:val="009D194A"/>
    <w:rsid w:val="009D19D0"/>
    <w:rsid w:val="009D1BDF"/>
    <w:rsid w:val="009D275C"/>
    <w:rsid w:val="009D2DBF"/>
    <w:rsid w:val="009D3564"/>
    <w:rsid w:val="009D513F"/>
    <w:rsid w:val="009D5174"/>
    <w:rsid w:val="009D57E3"/>
    <w:rsid w:val="009D5F93"/>
    <w:rsid w:val="009D6852"/>
    <w:rsid w:val="009D776A"/>
    <w:rsid w:val="009E006D"/>
    <w:rsid w:val="009E0A65"/>
    <w:rsid w:val="009E1613"/>
    <w:rsid w:val="009E2B00"/>
    <w:rsid w:val="009E301D"/>
    <w:rsid w:val="009E5122"/>
    <w:rsid w:val="009E57D6"/>
    <w:rsid w:val="009E59CE"/>
    <w:rsid w:val="009E6F3B"/>
    <w:rsid w:val="009E7E9B"/>
    <w:rsid w:val="009F252C"/>
    <w:rsid w:val="009F2B87"/>
    <w:rsid w:val="009F501F"/>
    <w:rsid w:val="009F57D6"/>
    <w:rsid w:val="00A00405"/>
    <w:rsid w:val="00A01FB4"/>
    <w:rsid w:val="00A0337E"/>
    <w:rsid w:val="00A0490A"/>
    <w:rsid w:val="00A05C90"/>
    <w:rsid w:val="00A063EE"/>
    <w:rsid w:val="00A071A4"/>
    <w:rsid w:val="00A07F8A"/>
    <w:rsid w:val="00A12A0F"/>
    <w:rsid w:val="00A137D9"/>
    <w:rsid w:val="00A14E16"/>
    <w:rsid w:val="00A15402"/>
    <w:rsid w:val="00A161A4"/>
    <w:rsid w:val="00A175FB"/>
    <w:rsid w:val="00A1766B"/>
    <w:rsid w:val="00A17778"/>
    <w:rsid w:val="00A17957"/>
    <w:rsid w:val="00A221AC"/>
    <w:rsid w:val="00A222F5"/>
    <w:rsid w:val="00A22999"/>
    <w:rsid w:val="00A22C63"/>
    <w:rsid w:val="00A2398C"/>
    <w:rsid w:val="00A25111"/>
    <w:rsid w:val="00A26A82"/>
    <w:rsid w:val="00A26C0B"/>
    <w:rsid w:val="00A30671"/>
    <w:rsid w:val="00A32258"/>
    <w:rsid w:val="00A33217"/>
    <w:rsid w:val="00A33333"/>
    <w:rsid w:val="00A34162"/>
    <w:rsid w:val="00A34A2C"/>
    <w:rsid w:val="00A3521F"/>
    <w:rsid w:val="00A37554"/>
    <w:rsid w:val="00A37CDD"/>
    <w:rsid w:val="00A411B1"/>
    <w:rsid w:val="00A41723"/>
    <w:rsid w:val="00A42BD4"/>
    <w:rsid w:val="00A43B3E"/>
    <w:rsid w:val="00A44254"/>
    <w:rsid w:val="00A4748B"/>
    <w:rsid w:val="00A47D3B"/>
    <w:rsid w:val="00A5028B"/>
    <w:rsid w:val="00A52185"/>
    <w:rsid w:val="00A54178"/>
    <w:rsid w:val="00A55CF6"/>
    <w:rsid w:val="00A56CAF"/>
    <w:rsid w:val="00A5778C"/>
    <w:rsid w:val="00A5792A"/>
    <w:rsid w:val="00A60154"/>
    <w:rsid w:val="00A61808"/>
    <w:rsid w:val="00A61FFC"/>
    <w:rsid w:val="00A63A37"/>
    <w:rsid w:val="00A63F22"/>
    <w:rsid w:val="00A645C2"/>
    <w:rsid w:val="00A64BE6"/>
    <w:rsid w:val="00A65688"/>
    <w:rsid w:val="00A659E1"/>
    <w:rsid w:val="00A70079"/>
    <w:rsid w:val="00A70128"/>
    <w:rsid w:val="00A70928"/>
    <w:rsid w:val="00A715BF"/>
    <w:rsid w:val="00A7237E"/>
    <w:rsid w:val="00A7281A"/>
    <w:rsid w:val="00A72CB5"/>
    <w:rsid w:val="00A73C43"/>
    <w:rsid w:val="00A741AE"/>
    <w:rsid w:val="00A74AF7"/>
    <w:rsid w:val="00A8003C"/>
    <w:rsid w:val="00A80E26"/>
    <w:rsid w:val="00A8277E"/>
    <w:rsid w:val="00A84E03"/>
    <w:rsid w:val="00A850CB"/>
    <w:rsid w:val="00A85445"/>
    <w:rsid w:val="00A87341"/>
    <w:rsid w:val="00A875F0"/>
    <w:rsid w:val="00A900CC"/>
    <w:rsid w:val="00A902EF"/>
    <w:rsid w:val="00A9095F"/>
    <w:rsid w:val="00A928B7"/>
    <w:rsid w:val="00A92ABA"/>
    <w:rsid w:val="00A92F37"/>
    <w:rsid w:val="00A94D19"/>
    <w:rsid w:val="00A954D6"/>
    <w:rsid w:val="00A955F1"/>
    <w:rsid w:val="00A95801"/>
    <w:rsid w:val="00A97B7A"/>
    <w:rsid w:val="00A97EDE"/>
    <w:rsid w:val="00A97EEB"/>
    <w:rsid w:val="00AA34E3"/>
    <w:rsid w:val="00AA441D"/>
    <w:rsid w:val="00AA444C"/>
    <w:rsid w:val="00AA4656"/>
    <w:rsid w:val="00AA4905"/>
    <w:rsid w:val="00AA7775"/>
    <w:rsid w:val="00AA7EC6"/>
    <w:rsid w:val="00AB31B3"/>
    <w:rsid w:val="00AB32A9"/>
    <w:rsid w:val="00AB364A"/>
    <w:rsid w:val="00AB3DD5"/>
    <w:rsid w:val="00AB6F44"/>
    <w:rsid w:val="00AC02AA"/>
    <w:rsid w:val="00AC0B01"/>
    <w:rsid w:val="00AC1D94"/>
    <w:rsid w:val="00AC2081"/>
    <w:rsid w:val="00AC2452"/>
    <w:rsid w:val="00AC4A07"/>
    <w:rsid w:val="00AC4DE2"/>
    <w:rsid w:val="00AC55EB"/>
    <w:rsid w:val="00AC685C"/>
    <w:rsid w:val="00AD110C"/>
    <w:rsid w:val="00AD128D"/>
    <w:rsid w:val="00AD179A"/>
    <w:rsid w:val="00AD40C1"/>
    <w:rsid w:val="00AD4364"/>
    <w:rsid w:val="00AD6475"/>
    <w:rsid w:val="00AD6B67"/>
    <w:rsid w:val="00AD6DE0"/>
    <w:rsid w:val="00AE0FC7"/>
    <w:rsid w:val="00AE1D11"/>
    <w:rsid w:val="00AE2AC3"/>
    <w:rsid w:val="00AE2EE2"/>
    <w:rsid w:val="00AE48CF"/>
    <w:rsid w:val="00AE4DC4"/>
    <w:rsid w:val="00AE66FC"/>
    <w:rsid w:val="00AE6C40"/>
    <w:rsid w:val="00AE710A"/>
    <w:rsid w:val="00AF0C1B"/>
    <w:rsid w:val="00AF1498"/>
    <w:rsid w:val="00AF25FB"/>
    <w:rsid w:val="00AF3FA4"/>
    <w:rsid w:val="00AF4DB7"/>
    <w:rsid w:val="00AF4E2A"/>
    <w:rsid w:val="00AF500F"/>
    <w:rsid w:val="00AF5174"/>
    <w:rsid w:val="00B008F4"/>
    <w:rsid w:val="00B009BE"/>
    <w:rsid w:val="00B01F4F"/>
    <w:rsid w:val="00B020E4"/>
    <w:rsid w:val="00B022E8"/>
    <w:rsid w:val="00B032DE"/>
    <w:rsid w:val="00B03E76"/>
    <w:rsid w:val="00B0402D"/>
    <w:rsid w:val="00B044C5"/>
    <w:rsid w:val="00B04647"/>
    <w:rsid w:val="00B050E8"/>
    <w:rsid w:val="00B055B1"/>
    <w:rsid w:val="00B05738"/>
    <w:rsid w:val="00B0660D"/>
    <w:rsid w:val="00B06697"/>
    <w:rsid w:val="00B0670F"/>
    <w:rsid w:val="00B06B76"/>
    <w:rsid w:val="00B1372F"/>
    <w:rsid w:val="00B15E27"/>
    <w:rsid w:val="00B15E6C"/>
    <w:rsid w:val="00B15EC9"/>
    <w:rsid w:val="00B16C28"/>
    <w:rsid w:val="00B176C3"/>
    <w:rsid w:val="00B17C1A"/>
    <w:rsid w:val="00B17C51"/>
    <w:rsid w:val="00B20E03"/>
    <w:rsid w:val="00B20F41"/>
    <w:rsid w:val="00B21D6A"/>
    <w:rsid w:val="00B2282B"/>
    <w:rsid w:val="00B253A1"/>
    <w:rsid w:val="00B262AB"/>
    <w:rsid w:val="00B32086"/>
    <w:rsid w:val="00B32EB3"/>
    <w:rsid w:val="00B33291"/>
    <w:rsid w:val="00B33CB7"/>
    <w:rsid w:val="00B352FA"/>
    <w:rsid w:val="00B355C2"/>
    <w:rsid w:val="00B35C43"/>
    <w:rsid w:val="00B35E32"/>
    <w:rsid w:val="00B36119"/>
    <w:rsid w:val="00B36B5C"/>
    <w:rsid w:val="00B36D31"/>
    <w:rsid w:val="00B3708B"/>
    <w:rsid w:val="00B4000D"/>
    <w:rsid w:val="00B40BD7"/>
    <w:rsid w:val="00B421CD"/>
    <w:rsid w:val="00B43146"/>
    <w:rsid w:val="00B45855"/>
    <w:rsid w:val="00B46335"/>
    <w:rsid w:val="00B46969"/>
    <w:rsid w:val="00B47A1D"/>
    <w:rsid w:val="00B47DFE"/>
    <w:rsid w:val="00B51919"/>
    <w:rsid w:val="00B5324C"/>
    <w:rsid w:val="00B53AAD"/>
    <w:rsid w:val="00B53B73"/>
    <w:rsid w:val="00B542CD"/>
    <w:rsid w:val="00B559C4"/>
    <w:rsid w:val="00B57771"/>
    <w:rsid w:val="00B60A4C"/>
    <w:rsid w:val="00B60A4D"/>
    <w:rsid w:val="00B617CD"/>
    <w:rsid w:val="00B641BD"/>
    <w:rsid w:val="00B6661C"/>
    <w:rsid w:val="00B66FC9"/>
    <w:rsid w:val="00B67CA3"/>
    <w:rsid w:val="00B71517"/>
    <w:rsid w:val="00B72373"/>
    <w:rsid w:val="00B72D0C"/>
    <w:rsid w:val="00B76A6B"/>
    <w:rsid w:val="00B76AF5"/>
    <w:rsid w:val="00B770C5"/>
    <w:rsid w:val="00B77DFD"/>
    <w:rsid w:val="00B805E0"/>
    <w:rsid w:val="00B807D4"/>
    <w:rsid w:val="00B8215E"/>
    <w:rsid w:val="00B83D52"/>
    <w:rsid w:val="00B8484D"/>
    <w:rsid w:val="00B85520"/>
    <w:rsid w:val="00B85713"/>
    <w:rsid w:val="00B85824"/>
    <w:rsid w:val="00B859F5"/>
    <w:rsid w:val="00B91A2C"/>
    <w:rsid w:val="00B92245"/>
    <w:rsid w:val="00B92A3B"/>
    <w:rsid w:val="00B92E21"/>
    <w:rsid w:val="00B937FF"/>
    <w:rsid w:val="00B955FF"/>
    <w:rsid w:val="00B962CB"/>
    <w:rsid w:val="00BA0304"/>
    <w:rsid w:val="00BA18E0"/>
    <w:rsid w:val="00BA1CB5"/>
    <w:rsid w:val="00BA2963"/>
    <w:rsid w:val="00BA29E8"/>
    <w:rsid w:val="00BA2C7E"/>
    <w:rsid w:val="00BA349C"/>
    <w:rsid w:val="00BA390D"/>
    <w:rsid w:val="00BA4A86"/>
    <w:rsid w:val="00BB247F"/>
    <w:rsid w:val="00BB343F"/>
    <w:rsid w:val="00BB3931"/>
    <w:rsid w:val="00BB3970"/>
    <w:rsid w:val="00BB3DC0"/>
    <w:rsid w:val="00BB4A7A"/>
    <w:rsid w:val="00BB5F77"/>
    <w:rsid w:val="00BB6448"/>
    <w:rsid w:val="00BB6CB3"/>
    <w:rsid w:val="00BB7A3B"/>
    <w:rsid w:val="00BC0047"/>
    <w:rsid w:val="00BC08E8"/>
    <w:rsid w:val="00BC266F"/>
    <w:rsid w:val="00BC335C"/>
    <w:rsid w:val="00BC4215"/>
    <w:rsid w:val="00BC7275"/>
    <w:rsid w:val="00BC76FD"/>
    <w:rsid w:val="00BD20B9"/>
    <w:rsid w:val="00BD3D69"/>
    <w:rsid w:val="00BD45CE"/>
    <w:rsid w:val="00BD5E41"/>
    <w:rsid w:val="00BD613C"/>
    <w:rsid w:val="00BD621B"/>
    <w:rsid w:val="00BE185E"/>
    <w:rsid w:val="00BE48D2"/>
    <w:rsid w:val="00BE6947"/>
    <w:rsid w:val="00BE6A29"/>
    <w:rsid w:val="00BE77B1"/>
    <w:rsid w:val="00BF1BF8"/>
    <w:rsid w:val="00BF2A64"/>
    <w:rsid w:val="00BF4D3C"/>
    <w:rsid w:val="00BF4DE9"/>
    <w:rsid w:val="00BF57A2"/>
    <w:rsid w:val="00BF6075"/>
    <w:rsid w:val="00BF67EE"/>
    <w:rsid w:val="00BF6F8B"/>
    <w:rsid w:val="00BF7D0F"/>
    <w:rsid w:val="00C009A2"/>
    <w:rsid w:val="00C01A86"/>
    <w:rsid w:val="00C02105"/>
    <w:rsid w:val="00C04D59"/>
    <w:rsid w:val="00C04DCF"/>
    <w:rsid w:val="00C04F0F"/>
    <w:rsid w:val="00C050D9"/>
    <w:rsid w:val="00C051C7"/>
    <w:rsid w:val="00C05AB0"/>
    <w:rsid w:val="00C05B1F"/>
    <w:rsid w:val="00C06177"/>
    <w:rsid w:val="00C075EA"/>
    <w:rsid w:val="00C1081E"/>
    <w:rsid w:val="00C11920"/>
    <w:rsid w:val="00C158DA"/>
    <w:rsid w:val="00C164EA"/>
    <w:rsid w:val="00C17788"/>
    <w:rsid w:val="00C22123"/>
    <w:rsid w:val="00C22AEA"/>
    <w:rsid w:val="00C22DA2"/>
    <w:rsid w:val="00C23086"/>
    <w:rsid w:val="00C23990"/>
    <w:rsid w:val="00C240DA"/>
    <w:rsid w:val="00C25EC1"/>
    <w:rsid w:val="00C276CC"/>
    <w:rsid w:val="00C27B40"/>
    <w:rsid w:val="00C27F52"/>
    <w:rsid w:val="00C3007F"/>
    <w:rsid w:val="00C3013D"/>
    <w:rsid w:val="00C30BDD"/>
    <w:rsid w:val="00C31B39"/>
    <w:rsid w:val="00C32602"/>
    <w:rsid w:val="00C3282D"/>
    <w:rsid w:val="00C33B8B"/>
    <w:rsid w:val="00C34C43"/>
    <w:rsid w:val="00C37417"/>
    <w:rsid w:val="00C417D8"/>
    <w:rsid w:val="00C41BEB"/>
    <w:rsid w:val="00C423A5"/>
    <w:rsid w:val="00C44941"/>
    <w:rsid w:val="00C50003"/>
    <w:rsid w:val="00C50A26"/>
    <w:rsid w:val="00C51E07"/>
    <w:rsid w:val="00C53CD2"/>
    <w:rsid w:val="00C53E68"/>
    <w:rsid w:val="00C54D18"/>
    <w:rsid w:val="00C5569E"/>
    <w:rsid w:val="00C55A2B"/>
    <w:rsid w:val="00C55E2B"/>
    <w:rsid w:val="00C566D7"/>
    <w:rsid w:val="00C57145"/>
    <w:rsid w:val="00C57887"/>
    <w:rsid w:val="00C61330"/>
    <w:rsid w:val="00C61AC6"/>
    <w:rsid w:val="00C62538"/>
    <w:rsid w:val="00C62AF1"/>
    <w:rsid w:val="00C62BD2"/>
    <w:rsid w:val="00C634F3"/>
    <w:rsid w:val="00C65F76"/>
    <w:rsid w:val="00C65FC3"/>
    <w:rsid w:val="00C66381"/>
    <w:rsid w:val="00C702C7"/>
    <w:rsid w:val="00C7039F"/>
    <w:rsid w:val="00C70BA9"/>
    <w:rsid w:val="00C72C73"/>
    <w:rsid w:val="00C7329C"/>
    <w:rsid w:val="00C7429C"/>
    <w:rsid w:val="00C742EB"/>
    <w:rsid w:val="00C74C9F"/>
    <w:rsid w:val="00C758BE"/>
    <w:rsid w:val="00C762EB"/>
    <w:rsid w:val="00C76694"/>
    <w:rsid w:val="00C768DE"/>
    <w:rsid w:val="00C76DDA"/>
    <w:rsid w:val="00C76FB9"/>
    <w:rsid w:val="00C80148"/>
    <w:rsid w:val="00C8075D"/>
    <w:rsid w:val="00C820BB"/>
    <w:rsid w:val="00C82E4F"/>
    <w:rsid w:val="00C83DAC"/>
    <w:rsid w:val="00C83FCF"/>
    <w:rsid w:val="00C84776"/>
    <w:rsid w:val="00C8703B"/>
    <w:rsid w:val="00C87A37"/>
    <w:rsid w:val="00C91FC3"/>
    <w:rsid w:val="00C9296A"/>
    <w:rsid w:val="00C93CE9"/>
    <w:rsid w:val="00C93E66"/>
    <w:rsid w:val="00C93ED5"/>
    <w:rsid w:val="00C95AD1"/>
    <w:rsid w:val="00C96336"/>
    <w:rsid w:val="00CA1385"/>
    <w:rsid w:val="00CA1B17"/>
    <w:rsid w:val="00CA394C"/>
    <w:rsid w:val="00CA3E2C"/>
    <w:rsid w:val="00CA4E63"/>
    <w:rsid w:val="00CA5A92"/>
    <w:rsid w:val="00CA5B05"/>
    <w:rsid w:val="00CA7B29"/>
    <w:rsid w:val="00CB09C8"/>
    <w:rsid w:val="00CB0CF0"/>
    <w:rsid w:val="00CB21C3"/>
    <w:rsid w:val="00CB22A7"/>
    <w:rsid w:val="00CB39BC"/>
    <w:rsid w:val="00CB58B4"/>
    <w:rsid w:val="00CB68C6"/>
    <w:rsid w:val="00CC0C7A"/>
    <w:rsid w:val="00CC0FE3"/>
    <w:rsid w:val="00CC1AEB"/>
    <w:rsid w:val="00CC21FF"/>
    <w:rsid w:val="00CC2A1A"/>
    <w:rsid w:val="00CC2DFC"/>
    <w:rsid w:val="00CC3D80"/>
    <w:rsid w:val="00CC5E8F"/>
    <w:rsid w:val="00CC62E4"/>
    <w:rsid w:val="00CC6605"/>
    <w:rsid w:val="00CC693D"/>
    <w:rsid w:val="00CC6C78"/>
    <w:rsid w:val="00CD01FD"/>
    <w:rsid w:val="00CD1677"/>
    <w:rsid w:val="00CD4987"/>
    <w:rsid w:val="00CD4DB9"/>
    <w:rsid w:val="00CD4F5B"/>
    <w:rsid w:val="00CD5842"/>
    <w:rsid w:val="00CD708B"/>
    <w:rsid w:val="00CD71FC"/>
    <w:rsid w:val="00CE0A96"/>
    <w:rsid w:val="00CE133F"/>
    <w:rsid w:val="00CE1D9F"/>
    <w:rsid w:val="00CE2948"/>
    <w:rsid w:val="00CE5DF0"/>
    <w:rsid w:val="00CE6508"/>
    <w:rsid w:val="00CE65E5"/>
    <w:rsid w:val="00CE7B5B"/>
    <w:rsid w:val="00CF205C"/>
    <w:rsid w:val="00CF2B77"/>
    <w:rsid w:val="00CF3983"/>
    <w:rsid w:val="00CF3A70"/>
    <w:rsid w:val="00CF3B17"/>
    <w:rsid w:val="00CF3CA4"/>
    <w:rsid w:val="00CF546E"/>
    <w:rsid w:val="00CF6FF4"/>
    <w:rsid w:val="00CF7F7F"/>
    <w:rsid w:val="00D0023B"/>
    <w:rsid w:val="00D01239"/>
    <w:rsid w:val="00D04CF9"/>
    <w:rsid w:val="00D05071"/>
    <w:rsid w:val="00D05745"/>
    <w:rsid w:val="00D05C3D"/>
    <w:rsid w:val="00D067DB"/>
    <w:rsid w:val="00D112FB"/>
    <w:rsid w:val="00D11505"/>
    <w:rsid w:val="00D119C2"/>
    <w:rsid w:val="00D12086"/>
    <w:rsid w:val="00D129D0"/>
    <w:rsid w:val="00D133E5"/>
    <w:rsid w:val="00D1354A"/>
    <w:rsid w:val="00D14B45"/>
    <w:rsid w:val="00D15034"/>
    <w:rsid w:val="00D15E1D"/>
    <w:rsid w:val="00D171DE"/>
    <w:rsid w:val="00D17B9F"/>
    <w:rsid w:val="00D17ED8"/>
    <w:rsid w:val="00D207BE"/>
    <w:rsid w:val="00D20A7A"/>
    <w:rsid w:val="00D22F4E"/>
    <w:rsid w:val="00D236E8"/>
    <w:rsid w:val="00D236EE"/>
    <w:rsid w:val="00D23BB4"/>
    <w:rsid w:val="00D24686"/>
    <w:rsid w:val="00D24B67"/>
    <w:rsid w:val="00D262E6"/>
    <w:rsid w:val="00D263E6"/>
    <w:rsid w:val="00D26AE8"/>
    <w:rsid w:val="00D27B73"/>
    <w:rsid w:val="00D3165F"/>
    <w:rsid w:val="00D32049"/>
    <w:rsid w:val="00D329DF"/>
    <w:rsid w:val="00D338E3"/>
    <w:rsid w:val="00D33A2B"/>
    <w:rsid w:val="00D34CE6"/>
    <w:rsid w:val="00D35C72"/>
    <w:rsid w:val="00D3690F"/>
    <w:rsid w:val="00D36E73"/>
    <w:rsid w:val="00D40318"/>
    <w:rsid w:val="00D40924"/>
    <w:rsid w:val="00D420D0"/>
    <w:rsid w:val="00D421DC"/>
    <w:rsid w:val="00D42674"/>
    <w:rsid w:val="00D4280C"/>
    <w:rsid w:val="00D43DBD"/>
    <w:rsid w:val="00D50E16"/>
    <w:rsid w:val="00D519BE"/>
    <w:rsid w:val="00D51DAE"/>
    <w:rsid w:val="00D5297D"/>
    <w:rsid w:val="00D52A6A"/>
    <w:rsid w:val="00D54524"/>
    <w:rsid w:val="00D55624"/>
    <w:rsid w:val="00D5606D"/>
    <w:rsid w:val="00D56217"/>
    <w:rsid w:val="00D5680F"/>
    <w:rsid w:val="00D57482"/>
    <w:rsid w:val="00D607C8"/>
    <w:rsid w:val="00D61A72"/>
    <w:rsid w:val="00D61CAF"/>
    <w:rsid w:val="00D61DFC"/>
    <w:rsid w:val="00D61FA8"/>
    <w:rsid w:val="00D6756A"/>
    <w:rsid w:val="00D723CB"/>
    <w:rsid w:val="00D7265E"/>
    <w:rsid w:val="00D74876"/>
    <w:rsid w:val="00D75FA9"/>
    <w:rsid w:val="00D7671D"/>
    <w:rsid w:val="00D768FD"/>
    <w:rsid w:val="00D76E16"/>
    <w:rsid w:val="00D77127"/>
    <w:rsid w:val="00D7732D"/>
    <w:rsid w:val="00D77C29"/>
    <w:rsid w:val="00D77EE7"/>
    <w:rsid w:val="00D815D0"/>
    <w:rsid w:val="00D82EF1"/>
    <w:rsid w:val="00D847CE"/>
    <w:rsid w:val="00D84996"/>
    <w:rsid w:val="00D85B0C"/>
    <w:rsid w:val="00D90198"/>
    <w:rsid w:val="00D912AF"/>
    <w:rsid w:val="00D913AB"/>
    <w:rsid w:val="00D918B4"/>
    <w:rsid w:val="00D925E7"/>
    <w:rsid w:val="00D94AC6"/>
    <w:rsid w:val="00D95085"/>
    <w:rsid w:val="00D9597A"/>
    <w:rsid w:val="00D96655"/>
    <w:rsid w:val="00D97CEE"/>
    <w:rsid w:val="00DA1962"/>
    <w:rsid w:val="00DB09EC"/>
    <w:rsid w:val="00DB0CB1"/>
    <w:rsid w:val="00DB3A10"/>
    <w:rsid w:val="00DB3BF4"/>
    <w:rsid w:val="00DB5B02"/>
    <w:rsid w:val="00DB5D79"/>
    <w:rsid w:val="00DB5EA8"/>
    <w:rsid w:val="00DB7060"/>
    <w:rsid w:val="00DB7330"/>
    <w:rsid w:val="00DC0542"/>
    <w:rsid w:val="00DC0599"/>
    <w:rsid w:val="00DC0735"/>
    <w:rsid w:val="00DC1F3B"/>
    <w:rsid w:val="00DC3967"/>
    <w:rsid w:val="00DC4321"/>
    <w:rsid w:val="00DC4D91"/>
    <w:rsid w:val="00DC5739"/>
    <w:rsid w:val="00DC60FE"/>
    <w:rsid w:val="00DC65D0"/>
    <w:rsid w:val="00DC7DC1"/>
    <w:rsid w:val="00DD0507"/>
    <w:rsid w:val="00DD2826"/>
    <w:rsid w:val="00DD3796"/>
    <w:rsid w:val="00DD3D71"/>
    <w:rsid w:val="00DD437C"/>
    <w:rsid w:val="00DD5113"/>
    <w:rsid w:val="00DD5A1B"/>
    <w:rsid w:val="00DD613F"/>
    <w:rsid w:val="00DD715C"/>
    <w:rsid w:val="00DE00A9"/>
    <w:rsid w:val="00DE15D8"/>
    <w:rsid w:val="00DE18BC"/>
    <w:rsid w:val="00DE7FCA"/>
    <w:rsid w:val="00DF08EE"/>
    <w:rsid w:val="00DF131B"/>
    <w:rsid w:val="00DF19B3"/>
    <w:rsid w:val="00DF2B8D"/>
    <w:rsid w:val="00DF3CA0"/>
    <w:rsid w:val="00DF4B62"/>
    <w:rsid w:val="00DF586E"/>
    <w:rsid w:val="00DF71C8"/>
    <w:rsid w:val="00DF7A32"/>
    <w:rsid w:val="00DF7FA4"/>
    <w:rsid w:val="00E00368"/>
    <w:rsid w:val="00E00C06"/>
    <w:rsid w:val="00E0290D"/>
    <w:rsid w:val="00E03D3B"/>
    <w:rsid w:val="00E03EB7"/>
    <w:rsid w:val="00E0517E"/>
    <w:rsid w:val="00E05229"/>
    <w:rsid w:val="00E05F50"/>
    <w:rsid w:val="00E105D8"/>
    <w:rsid w:val="00E10FA5"/>
    <w:rsid w:val="00E1137B"/>
    <w:rsid w:val="00E113BD"/>
    <w:rsid w:val="00E1180E"/>
    <w:rsid w:val="00E1494C"/>
    <w:rsid w:val="00E15DEF"/>
    <w:rsid w:val="00E15E9E"/>
    <w:rsid w:val="00E16A2A"/>
    <w:rsid w:val="00E17062"/>
    <w:rsid w:val="00E17552"/>
    <w:rsid w:val="00E17889"/>
    <w:rsid w:val="00E20D15"/>
    <w:rsid w:val="00E20EB7"/>
    <w:rsid w:val="00E21AD8"/>
    <w:rsid w:val="00E22203"/>
    <w:rsid w:val="00E26113"/>
    <w:rsid w:val="00E266A4"/>
    <w:rsid w:val="00E26759"/>
    <w:rsid w:val="00E2689C"/>
    <w:rsid w:val="00E26F91"/>
    <w:rsid w:val="00E274B5"/>
    <w:rsid w:val="00E27593"/>
    <w:rsid w:val="00E30F0E"/>
    <w:rsid w:val="00E32122"/>
    <w:rsid w:val="00E35306"/>
    <w:rsid w:val="00E35847"/>
    <w:rsid w:val="00E366D9"/>
    <w:rsid w:val="00E36C7A"/>
    <w:rsid w:val="00E373D2"/>
    <w:rsid w:val="00E37609"/>
    <w:rsid w:val="00E40554"/>
    <w:rsid w:val="00E411B1"/>
    <w:rsid w:val="00E414A8"/>
    <w:rsid w:val="00E43084"/>
    <w:rsid w:val="00E4362E"/>
    <w:rsid w:val="00E436F8"/>
    <w:rsid w:val="00E437CA"/>
    <w:rsid w:val="00E44A6C"/>
    <w:rsid w:val="00E44C24"/>
    <w:rsid w:val="00E46ADB"/>
    <w:rsid w:val="00E5112C"/>
    <w:rsid w:val="00E51605"/>
    <w:rsid w:val="00E5187E"/>
    <w:rsid w:val="00E51BFF"/>
    <w:rsid w:val="00E532C2"/>
    <w:rsid w:val="00E54BEF"/>
    <w:rsid w:val="00E5683F"/>
    <w:rsid w:val="00E56993"/>
    <w:rsid w:val="00E56F4A"/>
    <w:rsid w:val="00E60073"/>
    <w:rsid w:val="00E6066E"/>
    <w:rsid w:val="00E61437"/>
    <w:rsid w:val="00E634C5"/>
    <w:rsid w:val="00E64866"/>
    <w:rsid w:val="00E72A2C"/>
    <w:rsid w:val="00E73F55"/>
    <w:rsid w:val="00E748DA"/>
    <w:rsid w:val="00E74A08"/>
    <w:rsid w:val="00E752A7"/>
    <w:rsid w:val="00E753A3"/>
    <w:rsid w:val="00E7797E"/>
    <w:rsid w:val="00E8149F"/>
    <w:rsid w:val="00E82807"/>
    <w:rsid w:val="00E82902"/>
    <w:rsid w:val="00E83073"/>
    <w:rsid w:val="00E84132"/>
    <w:rsid w:val="00E85D17"/>
    <w:rsid w:val="00E866D7"/>
    <w:rsid w:val="00E86948"/>
    <w:rsid w:val="00E86A79"/>
    <w:rsid w:val="00E86D52"/>
    <w:rsid w:val="00E87432"/>
    <w:rsid w:val="00E874BA"/>
    <w:rsid w:val="00E87BC9"/>
    <w:rsid w:val="00E87FDD"/>
    <w:rsid w:val="00E903DB"/>
    <w:rsid w:val="00E92CF1"/>
    <w:rsid w:val="00E93151"/>
    <w:rsid w:val="00E934FE"/>
    <w:rsid w:val="00E93D62"/>
    <w:rsid w:val="00E93F30"/>
    <w:rsid w:val="00E940C7"/>
    <w:rsid w:val="00E943B8"/>
    <w:rsid w:val="00E94AF1"/>
    <w:rsid w:val="00E94B58"/>
    <w:rsid w:val="00E94C20"/>
    <w:rsid w:val="00E96E24"/>
    <w:rsid w:val="00E96E86"/>
    <w:rsid w:val="00E978D5"/>
    <w:rsid w:val="00EA29F1"/>
    <w:rsid w:val="00EA30ED"/>
    <w:rsid w:val="00EA5475"/>
    <w:rsid w:val="00EB02E3"/>
    <w:rsid w:val="00EB209E"/>
    <w:rsid w:val="00EB2730"/>
    <w:rsid w:val="00EB35D2"/>
    <w:rsid w:val="00EB3A56"/>
    <w:rsid w:val="00EB5489"/>
    <w:rsid w:val="00EB5CD1"/>
    <w:rsid w:val="00EB6C28"/>
    <w:rsid w:val="00EC02AA"/>
    <w:rsid w:val="00EC0FCC"/>
    <w:rsid w:val="00EC1FE5"/>
    <w:rsid w:val="00EC2260"/>
    <w:rsid w:val="00EC34CE"/>
    <w:rsid w:val="00EC4ABF"/>
    <w:rsid w:val="00EC4DBD"/>
    <w:rsid w:val="00EC5A82"/>
    <w:rsid w:val="00EC5AEF"/>
    <w:rsid w:val="00EC63C9"/>
    <w:rsid w:val="00EC6CC9"/>
    <w:rsid w:val="00EC7C2D"/>
    <w:rsid w:val="00ED165C"/>
    <w:rsid w:val="00ED31A7"/>
    <w:rsid w:val="00ED4DE1"/>
    <w:rsid w:val="00ED5DBC"/>
    <w:rsid w:val="00ED6376"/>
    <w:rsid w:val="00ED6D00"/>
    <w:rsid w:val="00ED765C"/>
    <w:rsid w:val="00ED77C9"/>
    <w:rsid w:val="00ED7F79"/>
    <w:rsid w:val="00EE0921"/>
    <w:rsid w:val="00EE0A75"/>
    <w:rsid w:val="00EE16D4"/>
    <w:rsid w:val="00EE2C87"/>
    <w:rsid w:val="00EE38AC"/>
    <w:rsid w:val="00EE48D4"/>
    <w:rsid w:val="00EE61A2"/>
    <w:rsid w:val="00EE6D67"/>
    <w:rsid w:val="00EE6E43"/>
    <w:rsid w:val="00EF0925"/>
    <w:rsid w:val="00EF2D96"/>
    <w:rsid w:val="00EF3B47"/>
    <w:rsid w:val="00EF3BA1"/>
    <w:rsid w:val="00EF4086"/>
    <w:rsid w:val="00EF4AA6"/>
    <w:rsid w:val="00EF4DE4"/>
    <w:rsid w:val="00EF7E83"/>
    <w:rsid w:val="00F01D4D"/>
    <w:rsid w:val="00F045B9"/>
    <w:rsid w:val="00F060D9"/>
    <w:rsid w:val="00F067D3"/>
    <w:rsid w:val="00F1029F"/>
    <w:rsid w:val="00F13E9B"/>
    <w:rsid w:val="00F14658"/>
    <w:rsid w:val="00F1518C"/>
    <w:rsid w:val="00F151F6"/>
    <w:rsid w:val="00F15F5C"/>
    <w:rsid w:val="00F168C8"/>
    <w:rsid w:val="00F17DC1"/>
    <w:rsid w:val="00F20C69"/>
    <w:rsid w:val="00F20FF1"/>
    <w:rsid w:val="00F23266"/>
    <w:rsid w:val="00F23801"/>
    <w:rsid w:val="00F23FD1"/>
    <w:rsid w:val="00F272F9"/>
    <w:rsid w:val="00F302B9"/>
    <w:rsid w:val="00F3081C"/>
    <w:rsid w:val="00F35686"/>
    <w:rsid w:val="00F35B13"/>
    <w:rsid w:val="00F35C0A"/>
    <w:rsid w:val="00F363AE"/>
    <w:rsid w:val="00F37CDA"/>
    <w:rsid w:val="00F40D9C"/>
    <w:rsid w:val="00F41CC6"/>
    <w:rsid w:val="00F4338F"/>
    <w:rsid w:val="00F43B5C"/>
    <w:rsid w:val="00F44201"/>
    <w:rsid w:val="00F448EC"/>
    <w:rsid w:val="00F44B60"/>
    <w:rsid w:val="00F4566C"/>
    <w:rsid w:val="00F461E7"/>
    <w:rsid w:val="00F46949"/>
    <w:rsid w:val="00F46C30"/>
    <w:rsid w:val="00F5038D"/>
    <w:rsid w:val="00F503C2"/>
    <w:rsid w:val="00F506EF"/>
    <w:rsid w:val="00F5140D"/>
    <w:rsid w:val="00F5197F"/>
    <w:rsid w:val="00F51FE6"/>
    <w:rsid w:val="00F527F8"/>
    <w:rsid w:val="00F5313E"/>
    <w:rsid w:val="00F53272"/>
    <w:rsid w:val="00F557C2"/>
    <w:rsid w:val="00F565A3"/>
    <w:rsid w:val="00F56DF4"/>
    <w:rsid w:val="00F57119"/>
    <w:rsid w:val="00F57E36"/>
    <w:rsid w:val="00F601BD"/>
    <w:rsid w:val="00F61C1F"/>
    <w:rsid w:val="00F62F26"/>
    <w:rsid w:val="00F634B8"/>
    <w:rsid w:val="00F63B2F"/>
    <w:rsid w:val="00F64334"/>
    <w:rsid w:val="00F650FF"/>
    <w:rsid w:val="00F65522"/>
    <w:rsid w:val="00F65755"/>
    <w:rsid w:val="00F6583B"/>
    <w:rsid w:val="00F6586B"/>
    <w:rsid w:val="00F6708F"/>
    <w:rsid w:val="00F67352"/>
    <w:rsid w:val="00F67D2C"/>
    <w:rsid w:val="00F7435C"/>
    <w:rsid w:val="00F75849"/>
    <w:rsid w:val="00F77DF5"/>
    <w:rsid w:val="00F81274"/>
    <w:rsid w:val="00F82D0C"/>
    <w:rsid w:val="00F85320"/>
    <w:rsid w:val="00F879A8"/>
    <w:rsid w:val="00F87C66"/>
    <w:rsid w:val="00F903A4"/>
    <w:rsid w:val="00F90C31"/>
    <w:rsid w:val="00F9119D"/>
    <w:rsid w:val="00F93734"/>
    <w:rsid w:val="00F96634"/>
    <w:rsid w:val="00F973D7"/>
    <w:rsid w:val="00F97BC0"/>
    <w:rsid w:val="00FA0FDF"/>
    <w:rsid w:val="00FA12A1"/>
    <w:rsid w:val="00FA1B70"/>
    <w:rsid w:val="00FA4016"/>
    <w:rsid w:val="00FA6EC4"/>
    <w:rsid w:val="00FB0CB7"/>
    <w:rsid w:val="00FB0EAD"/>
    <w:rsid w:val="00FB1068"/>
    <w:rsid w:val="00FB20AA"/>
    <w:rsid w:val="00FB25C1"/>
    <w:rsid w:val="00FB3372"/>
    <w:rsid w:val="00FB37B3"/>
    <w:rsid w:val="00FB462A"/>
    <w:rsid w:val="00FB684F"/>
    <w:rsid w:val="00FB6C38"/>
    <w:rsid w:val="00FB704B"/>
    <w:rsid w:val="00FB7854"/>
    <w:rsid w:val="00FC11C5"/>
    <w:rsid w:val="00FC1A20"/>
    <w:rsid w:val="00FC2104"/>
    <w:rsid w:val="00FC2B0D"/>
    <w:rsid w:val="00FC3A87"/>
    <w:rsid w:val="00FC4D6E"/>
    <w:rsid w:val="00FC556B"/>
    <w:rsid w:val="00FC5C06"/>
    <w:rsid w:val="00FC6590"/>
    <w:rsid w:val="00FC70A5"/>
    <w:rsid w:val="00FD0450"/>
    <w:rsid w:val="00FD0509"/>
    <w:rsid w:val="00FD0DD0"/>
    <w:rsid w:val="00FD33B4"/>
    <w:rsid w:val="00FD3CA4"/>
    <w:rsid w:val="00FD44D4"/>
    <w:rsid w:val="00FD505C"/>
    <w:rsid w:val="00FD5421"/>
    <w:rsid w:val="00FD54B8"/>
    <w:rsid w:val="00FD5ACA"/>
    <w:rsid w:val="00FD5DFE"/>
    <w:rsid w:val="00FD6715"/>
    <w:rsid w:val="00FD7DF9"/>
    <w:rsid w:val="00FE09C9"/>
    <w:rsid w:val="00FE199B"/>
    <w:rsid w:val="00FE29C6"/>
    <w:rsid w:val="00FE3E19"/>
    <w:rsid w:val="00FE46F7"/>
    <w:rsid w:val="00FE6EF3"/>
    <w:rsid w:val="00FE7E6F"/>
    <w:rsid w:val="00FF02B7"/>
    <w:rsid w:val="00FF0F52"/>
    <w:rsid w:val="00FF1E8D"/>
    <w:rsid w:val="00FF37F2"/>
    <w:rsid w:val="00FF494A"/>
    <w:rsid w:val="00FF4B32"/>
    <w:rsid w:val="00FF4D20"/>
    <w:rsid w:val="00FF4DD3"/>
    <w:rsid w:val="00FF4F97"/>
    <w:rsid w:val="00FF782A"/>
    <w:rsid w:val="00FF7B27"/>
    <w:rsid w:val="0123EC01"/>
    <w:rsid w:val="013ED342"/>
    <w:rsid w:val="028DE019"/>
    <w:rsid w:val="02E7D7D2"/>
    <w:rsid w:val="0323C1E2"/>
    <w:rsid w:val="04F2801D"/>
    <w:rsid w:val="06B7A7A0"/>
    <w:rsid w:val="07A0123E"/>
    <w:rsid w:val="0880D791"/>
    <w:rsid w:val="0898871D"/>
    <w:rsid w:val="09743C0D"/>
    <w:rsid w:val="0ACC8CCC"/>
    <w:rsid w:val="0B1B6C4A"/>
    <w:rsid w:val="0B9F6C74"/>
    <w:rsid w:val="0CD4F953"/>
    <w:rsid w:val="0E020765"/>
    <w:rsid w:val="0EF372B0"/>
    <w:rsid w:val="0F2F549F"/>
    <w:rsid w:val="0F378A69"/>
    <w:rsid w:val="11DDCFB1"/>
    <w:rsid w:val="12727752"/>
    <w:rsid w:val="12967B6C"/>
    <w:rsid w:val="1354D159"/>
    <w:rsid w:val="14D29A3E"/>
    <w:rsid w:val="16F5463C"/>
    <w:rsid w:val="17570852"/>
    <w:rsid w:val="18B85A57"/>
    <w:rsid w:val="18E877F2"/>
    <w:rsid w:val="190C9AE0"/>
    <w:rsid w:val="19F8805F"/>
    <w:rsid w:val="1B8B314C"/>
    <w:rsid w:val="1CA6CA72"/>
    <w:rsid w:val="1D20B989"/>
    <w:rsid w:val="1E542009"/>
    <w:rsid w:val="1ED981C8"/>
    <w:rsid w:val="1FACADEE"/>
    <w:rsid w:val="1FD61312"/>
    <w:rsid w:val="1FF5194E"/>
    <w:rsid w:val="204F2308"/>
    <w:rsid w:val="2084808E"/>
    <w:rsid w:val="20E0E12C"/>
    <w:rsid w:val="213F7F7E"/>
    <w:rsid w:val="24B59D85"/>
    <w:rsid w:val="25685A1E"/>
    <w:rsid w:val="25EDA104"/>
    <w:rsid w:val="2713320D"/>
    <w:rsid w:val="276DBBF3"/>
    <w:rsid w:val="27D5ABB5"/>
    <w:rsid w:val="29B4BE30"/>
    <w:rsid w:val="2A31CE32"/>
    <w:rsid w:val="2B0097D5"/>
    <w:rsid w:val="2C8A21EC"/>
    <w:rsid w:val="2D8DE7D4"/>
    <w:rsid w:val="2DBE0C3E"/>
    <w:rsid w:val="314D72A3"/>
    <w:rsid w:val="3198C583"/>
    <w:rsid w:val="31F7425C"/>
    <w:rsid w:val="32604DC7"/>
    <w:rsid w:val="32AF7B54"/>
    <w:rsid w:val="335E6335"/>
    <w:rsid w:val="33DDC4C6"/>
    <w:rsid w:val="34531D2F"/>
    <w:rsid w:val="353FD041"/>
    <w:rsid w:val="357D3F61"/>
    <w:rsid w:val="35D0A071"/>
    <w:rsid w:val="36300C17"/>
    <w:rsid w:val="36DA7068"/>
    <w:rsid w:val="3734496C"/>
    <w:rsid w:val="37DDC921"/>
    <w:rsid w:val="394CE679"/>
    <w:rsid w:val="3AC86EB0"/>
    <w:rsid w:val="3AC8FF27"/>
    <w:rsid w:val="3D8B8A4C"/>
    <w:rsid w:val="3FB1357A"/>
    <w:rsid w:val="40377960"/>
    <w:rsid w:val="40EEEE74"/>
    <w:rsid w:val="415729E5"/>
    <w:rsid w:val="49AB8283"/>
    <w:rsid w:val="4BB4B1BD"/>
    <w:rsid w:val="4CDD703E"/>
    <w:rsid w:val="4D0A4969"/>
    <w:rsid w:val="4D306F6C"/>
    <w:rsid w:val="4F2C3D50"/>
    <w:rsid w:val="4F5E02C2"/>
    <w:rsid w:val="501D08C2"/>
    <w:rsid w:val="50FEDF7A"/>
    <w:rsid w:val="5226C8D3"/>
    <w:rsid w:val="5346F63B"/>
    <w:rsid w:val="54AE45D9"/>
    <w:rsid w:val="55388F6C"/>
    <w:rsid w:val="554DE924"/>
    <w:rsid w:val="5597904C"/>
    <w:rsid w:val="578F8ADD"/>
    <w:rsid w:val="57B99B5F"/>
    <w:rsid w:val="5897F875"/>
    <w:rsid w:val="59DF0D7B"/>
    <w:rsid w:val="5AEF0B74"/>
    <w:rsid w:val="5B2997D4"/>
    <w:rsid w:val="5B8C3D9B"/>
    <w:rsid w:val="5BA5B928"/>
    <w:rsid w:val="5BC95371"/>
    <w:rsid w:val="5C4D9307"/>
    <w:rsid w:val="5CA337A4"/>
    <w:rsid w:val="5CBA1592"/>
    <w:rsid w:val="5D24B51A"/>
    <w:rsid w:val="5D5D6B7B"/>
    <w:rsid w:val="5E51C08B"/>
    <w:rsid w:val="5F7DC652"/>
    <w:rsid w:val="5FAC4C4C"/>
    <w:rsid w:val="605B646E"/>
    <w:rsid w:val="60E75501"/>
    <w:rsid w:val="612FC4FB"/>
    <w:rsid w:val="626668D4"/>
    <w:rsid w:val="627B997E"/>
    <w:rsid w:val="6307E10A"/>
    <w:rsid w:val="65C16D89"/>
    <w:rsid w:val="67F35D60"/>
    <w:rsid w:val="69DF854B"/>
    <w:rsid w:val="6A4E62FB"/>
    <w:rsid w:val="6AB91E04"/>
    <w:rsid w:val="6AC45147"/>
    <w:rsid w:val="6AD6CA21"/>
    <w:rsid w:val="6AFFD542"/>
    <w:rsid w:val="6BABFF4A"/>
    <w:rsid w:val="6DC482F7"/>
    <w:rsid w:val="6F4A875C"/>
    <w:rsid w:val="70306740"/>
    <w:rsid w:val="70868A4B"/>
    <w:rsid w:val="717249C1"/>
    <w:rsid w:val="718B6353"/>
    <w:rsid w:val="724C5249"/>
    <w:rsid w:val="7271D711"/>
    <w:rsid w:val="7303C25D"/>
    <w:rsid w:val="73189C29"/>
    <w:rsid w:val="74401A0F"/>
    <w:rsid w:val="76078ABE"/>
    <w:rsid w:val="766AD57B"/>
    <w:rsid w:val="7714101A"/>
    <w:rsid w:val="79CF72FD"/>
    <w:rsid w:val="7A897E51"/>
    <w:rsid w:val="7AD31923"/>
    <w:rsid w:val="7B42C9D6"/>
    <w:rsid w:val="7B7CB0CD"/>
    <w:rsid w:val="7BBCD7B7"/>
    <w:rsid w:val="7CA53A1F"/>
    <w:rsid w:val="7CA62657"/>
    <w:rsid w:val="7D60FDBA"/>
    <w:rsid w:val="7E8C880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4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9A"/>
    <w:rPr>
      <w:sz w:val="18"/>
      <w:lang w:val="cs-CZ"/>
    </w:rPr>
  </w:style>
  <w:style w:type="paragraph" w:styleId="Heading1">
    <w:name w:val="heading 1"/>
    <w:basedOn w:val="Normal"/>
    <w:next w:val="Normal"/>
    <w:link w:val="Heading1Char"/>
    <w:uiPriority w:val="9"/>
    <w:qFormat/>
    <w:rsid w:val="000E1076"/>
    <w:pPr>
      <w:keepNext/>
      <w:keepLines/>
      <w:pageBreakBefore/>
      <w:numPr>
        <w:numId w:val="7"/>
      </w:numPr>
      <w:spacing w:after="640"/>
      <w:ind w:left="360"/>
      <w:outlineLvl w:val="0"/>
    </w:pPr>
    <w:rPr>
      <w:rFonts w:asciiTheme="majorHAnsi" w:eastAsiaTheme="majorEastAsia" w:hAnsiTheme="majorHAnsi" w:cstheme="majorBidi"/>
      <w:bCs/>
      <w:color w:val="000000" w:themeColor="text1"/>
      <w:sz w:val="60"/>
      <w:szCs w:val="60"/>
    </w:rPr>
  </w:style>
  <w:style w:type="paragraph" w:styleId="Heading2">
    <w:name w:val="heading 2"/>
    <w:basedOn w:val="Normal"/>
    <w:next w:val="Normal"/>
    <w:link w:val="Heading2Char"/>
    <w:uiPriority w:val="9"/>
    <w:qFormat/>
    <w:rsid w:val="0017475C"/>
    <w:pPr>
      <w:keepNext/>
      <w:keepLines/>
      <w:numPr>
        <w:ilvl w:val="1"/>
        <w:numId w:val="7"/>
      </w:numPr>
      <w:spacing w:before="360" w:after="240" w:line="240" w:lineRule="auto"/>
      <w:ind w:left="425" w:hanging="425"/>
      <w:jc w:val="both"/>
      <w:outlineLvl w:val="1"/>
    </w:pPr>
    <w:rPr>
      <w:rFonts w:asciiTheme="majorHAnsi" w:eastAsiaTheme="majorEastAsia" w:hAnsiTheme="majorHAnsi" w:cstheme="majorBidi"/>
      <w:b/>
      <w:bCs/>
      <w:color w:val="62B5E5" w:themeColor="accent3"/>
      <w:szCs w:val="26"/>
    </w:rPr>
  </w:style>
  <w:style w:type="paragraph" w:styleId="Heading3">
    <w:name w:val="heading 3"/>
    <w:basedOn w:val="Normal"/>
    <w:next w:val="Normal"/>
    <w:link w:val="Heading3Char"/>
    <w:uiPriority w:val="9"/>
    <w:qFormat/>
    <w:rsid w:val="0017475C"/>
    <w:pPr>
      <w:keepNext/>
      <w:keepLines/>
      <w:numPr>
        <w:ilvl w:val="2"/>
        <w:numId w:val="7"/>
      </w:numPr>
      <w:spacing w:before="120" w:after="120" w:line="240" w:lineRule="auto"/>
      <w:ind w:left="426" w:hanging="426"/>
      <w:jc w:val="both"/>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255D53"/>
    <w:pPr>
      <w:keepNext/>
      <w:keepLines/>
      <w:numPr>
        <w:ilvl w:val="3"/>
        <w:numId w:val="7"/>
      </w:numPr>
      <w:tabs>
        <w:tab w:val="left" w:pos="340"/>
      </w:tabs>
      <w:spacing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E1076"/>
    <w:rPr>
      <w:rFonts w:asciiTheme="majorHAnsi" w:eastAsiaTheme="majorEastAsia" w:hAnsiTheme="majorHAnsi" w:cstheme="majorBidi"/>
      <w:bCs/>
      <w:color w:val="000000" w:themeColor="text1"/>
      <w:sz w:val="60"/>
      <w:szCs w:val="60"/>
      <w:lang w:val="cs-CZ"/>
    </w:rPr>
  </w:style>
  <w:style w:type="character" w:customStyle="1" w:styleId="Heading2Char">
    <w:name w:val="Heading 2 Char"/>
    <w:basedOn w:val="DefaultParagraphFont"/>
    <w:link w:val="Heading2"/>
    <w:uiPriority w:val="9"/>
    <w:rsid w:val="0017475C"/>
    <w:rPr>
      <w:rFonts w:asciiTheme="majorHAnsi" w:eastAsiaTheme="majorEastAsia" w:hAnsiTheme="majorHAnsi" w:cstheme="majorBidi"/>
      <w:b/>
      <w:bCs/>
      <w:color w:val="62B5E5" w:themeColor="accent3"/>
      <w:sz w:val="18"/>
      <w:szCs w:val="26"/>
      <w:lang w:val="cs-CZ"/>
    </w:rPr>
  </w:style>
  <w:style w:type="table" w:styleId="TableGrid">
    <w:name w:val="Table Grid"/>
    <w:basedOn w:val="TableNormal"/>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spacing w:after="0" w:line="240" w:lineRule="auto"/>
    </w:pPr>
    <w:rPr>
      <w:b/>
      <w:sz w:val="14"/>
      <w:lang w:val="en-US"/>
    </w:rPr>
  </w:style>
  <w:style w:type="character" w:customStyle="1" w:styleId="HeaderChar">
    <w:name w:val="Header Char"/>
    <w:basedOn w:val="DefaultParagraphFont"/>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basedOn w:val="DefaultParagraphFont"/>
    <w:link w:val="Footer"/>
    <w:uiPriority w:val="99"/>
    <w:rsid w:val="007550AB"/>
    <w:rPr>
      <w:sz w:val="16"/>
      <w:lang w:val="en-US"/>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544D24"/>
    <w:pPr>
      <w:numPr>
        <w:numId w:val="1"/>
      </w:numPr>
      <w:tabs>
        <w:tab w:val="clear" w:pos="360"/>
      </w:tabs>
      <w:spacing w:after="0"/>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544D24"/>
    <w:pPr>
      <w:numPr>
        <w:numId w:val="3"/>
      </w:numPr>
      <w:tabs>
        <w:tab w:val="clear" w:pos="360"/>
      </w:tabs>
      <w:spacing w:after="0"/>
      <w:ind w:left="284" w:hanging="284"/>
      <w:contextualSpacing/>
    </w:pPr>
  </w:style>
  <w:style w:type="paragraph" w:styleId="ListNumber2">
    <w:name w:val="List Number 2"/>
    <w:basedOn w:val="Normal"/>
    <w:uiPriority w:val="99"/>
    <w:qFormat/>
    <w:rsid w:val="00D35C72"/>
    <w:pPr>
      <w:numPr>
        <w:numId w:val="4"/>
      </w:numPr>
      <w:ind w:left="568" w:hanging="284"/>
      <w:contextualSpacing/>
    </w:pPr>
  </w:style>
  <w:style w:type="character" w:customStyle="1" w:styleId="Heading3Char">
    <w:name w:val="Heading 3 Char"/>
    <w:basedOn w:val="DefaultParagraphFont"/>
    <w:link w:val="Heading3"/>
    <w:uiPriority w:val="9"/>
    <w:rsid w:val="0017475C"/>
    <w:rPr>
      <w:rFonts w:asciiTheme="majorHAnsi" w:eastAsiaTheme="majorEastAsia" w:hAnsiTheme="majorHAnsi" w:cstheme="majorBidi"/>
      <w:b/>
      <w:bCs/>
      <w:color w:val="000000" w:themeColor="text1"/>
      <w:sz w:val="18"/>
      <w:lang w:val="cs-CZ"/>
    </w:rPr>
  </w:style>
  <w:style w:type="character" w:customStyle="1" w:styleId="Heading4Char">
    <w:name w:val="Heading 4 Char"/>
    <w:basedOn w:val="DefaultParagraphFont"/>
    <w:link w:val="Heading4"/>
    <w:uiPriority w:val="9"/>
    <w:semiHidden/>
    <w:rsid w:val="007550AB"/>
    <w:rPr>
      <w:rFonts w:asciiTheme="majorHAnsi" w:eastAsiaTheme="majorEastAsia" w:hAnsiTheme="majorHAnsi" w:cstheme="majorBidi"/>
      <w:b/>
      <w:bCs/>
      <w:iCs/>
      <w:color w:val="000000" w:themeColor="text1"/>
      <w:sz w:val="18"/>
      <w:lang w:val="cs-CZ"/>
    </w:rPr>
  </w:style>
  <w:style w:type="paragraph" w:styleId="FootnoteText">
    <w:name w:val="footnote text"/>
    <w:basedOn w:val="Normal"/>
    <w:link w:val="FootnoteTextChar"/>
    <w:uiPriority w:val="99"/>
    <w:rsid w:val="00F3081C"/>
    <w:pPr>
      <w:spacing w:after="0" w:line="240" w:lineRule="auto"/>
    </w:pPr>
    <w:rPr>
      <w:sz w:val="16"/>
      <w:szCs w:val="20"/>
    </w:rPr>
  </w:style>
  <w:style w:type="character" w:customStyle="1" w:styleId="FootnoteTextChar">
    <w:name w:val="Footnote Text Char"/>
    <w:basedOn w:val="DefaultParagraphFont"/>
    <w:link w:val="FootnoteText"/>
    <w:uiPriority w:val="99"/>
    <w:qFormat/>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aliases w:val="BVI fnr,Footnote symbol,Footnote Reference Number,PGI Fußnote Ziffer,Footnote Reference Superscript,Appel note de bas de p,Appel note de bas de page,Légende,Char Car Car Car Car,Voetnootverwijzing,Légende;Char Car Car Car Car,fr"/>
    <w:basedOn w:val="DefaultParagraphFont"/>
    <w:uiPriority w:val="99"/>
    <w:qFormat/>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autoRedefine/>
    <w:qFormat/>
    <w:rsid w:val="00281C0C"/>
    <w:pPr>
      <w:spacing w:after="480" w:line="720" w:lineRule="atLeast"/>
    </w:pPr>
    <w:rPr>
      <w:sz w:val="52"/>
    </w:rPr>
  </w:style>
  <w:style w:type="paragraph" w:customStyle="1" w:styleId="PulloutBlue">
    <w:name w:val="Pullout Blue"/>
    <w:basedOn w:val="Normal"/>
    <w:next w:val="Normal"/>
    <w:qFormat/>
    <w:rsid w:val="00DD5A1B"/>
    <w:pPr>
      <w:spacing w:line="360" w:lineRule="atLeast"/>
    </w:pPr>
    <w:rPr>
      <w:color w:val="62B5E5" w:themeColor="accent3"/>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aliases w:val="Schema"/>
    <w:basedOn w:val="Normal"/>
    <w:next w:val="Normal"/>
    <w:link w:val="CaptionChar"/>
    <w:uiPriority w:val="35"/>
    <w:qFormat/>
    <w:rsid w:val="00B46969"/>
    <w:pPr>
      <w:keepNext/>
      <w:spacing w:line="240" w:lineRule="auto"/>
    </w:pPr>
    <w:rPr>
      <w:iCs/>
      <w:color w:val="75787B" w:themeColor="accent6"/>
      <w:sz w:val="17"/>
      <w:szCs w:val="18"/>
    </w:rPr>
  </w:style>
  <w:style w:type="character" w:styleId="Hyperlink">
    <w:name w:val="Hyperlink"/>
    <w:basedOn w:val="DefaultParagraphFont"/>
    <w:uiPriority w:val="99"/>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BC76FD"/>
    <w:pPr>
      <w:tabs>
        <w:tab w:val="left" w:pos="440"/>
        <w:tab w:val="right" w:pos="9781"/>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
    <w:qFormat/>
    <w:rsid w:val="00BF6F8B"/>
    <w:pPr>
      <w:spacing w:after="0" w:line="180" w:lineRule="atLeast"/>
      <w:ind w:right="5387"/>
    </w:pPr>
    <w:rPr>
      <w:sz w:val="14"/>
    </w:rPr>
  </w:style>
  <w:style w:type="table" w:customStyle="1" w:styleId="Deloittetable">
    <w:name w:val="Deloitte table"/>
    <w:basedOn w:val="TableNormal"/>
    <w:uiPriority w:val="99"/>
    <w:rsid w:val="002E114E"/>
    <w:pPr>
      <w:spacing w:after="0" w:line="240" w:lineRule="auto"/>
    </w:pPr>
    <w:rPr>
      <w:sz w:val="17"/>
    </w:rPr>
    <w:tblPr>
      <w:tblBorders>
        <w:top w:val="single" w:sz="6" w:space="0" w:color="D9D9D9" w:themeColor="background1" w:themeShade="D9"/>
        <w:bottom w:val="single" w:sz="6" w:space="0" w:color="D9D9D9" w:themeColor="background1" w:themeShade="D9"/>
        <w:insideH w:val="single" w:sz="6" w:space="0" w:color="D9D9D9" w:themeColor="background1" w:themeShade="D9"/>
      </w:tblBorders>
      <w:tblCellMar>
        <w:top w:w="57" w:type="dxa"/>
        <w:left w:w="0" w:type="dxa"/>
        <w:bottom w:w="57" w:type="dxa"/>
        <w:right w:w="0" w:type="dxa"/>
      </w:tblCellMar>
    </w:tblPr>
    <w:tblStylePr w:type="firstRow">
      <w:rPr>
        <w:rFonts w:asciiTheme="majorHAnsi" w:hAnsiTheme="majorHAnsi"/>
        <w:b/>
        <w:color w:val="86BC25" w:themeColor="accent1"/>
        <w:sz w:val="17"/>
      </w:rPr>
      <w:tblPr/>
      <w:tcPr>
        <w:tcBorders>
          <w:top w:val="single" w:sz="24" w:space="0" w:color="86BC25" w:themeColor="accent1"/>
        </w:tcBorders>
      </w:tcPr>
    </w:tblStylePr>
  </w:style>
  <w:style w:type="paragraph" w:customStyle="1" w:styleId="Tabletext">
    <w:name w:val="Table text"/>
    <w:basedOn w:val="Normal"/>
    <w:qFormat/>
    <w:rsid w:val="004D1F57"/>
    <w:pPr>
      <w:spacing w:after="0" w:line="200" w:lineRule="atLeast"/>
    </w:pPr>
    <w:rPr>
      <w:sz w:val="17"/>
    </w:rPr>
  </w:style>
  <w:style w:type="paragraph" w:customStyle="1" w:styleId="Tabletitle">
    <w:name w:val="Table title"/>
    <w:basedOn w:val="Tabletext"/>
    <w:qFormat/>
    <w:rsid w:val="002E114E"/>
    <w:rPr>
      <w:b/>
      <w:color w:val="86BC25" w:themeColor="accent1"/>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table" w:customStyle="1" w:styleId="Deloittetable2">
    <w:name w:val="Deloitte table 2"/>
    <w:basedOn w:val="TableNormal"/>
    <w:rsid w:val="008962D0"/>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customStyle="1" w:styleId="Deloittetable82">
    <w:name w:val="Deloitte table 8.2"/>
    <w:basedOn w:val="TableNormal"/>
    <w:rsid w:val="008962D0"/>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paragraph" w:customStyle="1" w:styleId="BulletedText1">
    <w:name w:val="Bulleted Text 1"/>
    <w:basedOn w:val="Normal"/>
    <w:qFormat/>
    <w:rsid w:val="006716D9"/>
    <w:pPr>
      <w:spacing w:after="0" w:line="250" w:lineRule="atLeast"/>
      <w:ind w:left="170" w:hanging="170"/>
    </w:pPr>
    <w:rPr>
      <w:lang w:val="en-GB"/>
    </w:rPr>
  </w:style>
  <w:style w:type="paragraph" w:customStyle="1" w:styleId="Highlight1">
    <w:name w:val="Highlight 1"/>
    <w:basedOn w:val="Normal"/>
    <w:qFormat/>
    <w:rsid w:val="00684C05"/>
    <w:pPr>
      <w:spacing w:after="0" w:line="240" w:lineRule="auto"/>
    </w:pPr>
    <w:rPr>
      <w:rFonts w:ascii="Arial" w:eastAsia="Times New Roman" w:hAnsi="Arial" w:cs="Times New Roman"/>
      <w:b/>
      <w:color w:val="0097A9" w:themeColor="accent5"/>
      <w:sz w:val="20"/>
      <w:szCs w:val="16"/>
    </w:rPr>
  </w:style>
  <w:style w:type="character" w:styleId="CommentReference">
    <w:name w:val="annotation reference"/>
    <w:basedOn w:val="DefaultParagraphFont"/>
    <w:uiPriority w:val="99"/>
    <w:qFormat/>
    <w:rsid w:val="003F5252"/>
    <w:rPr>
      <w:sz w:val="16"/>
      <w:szCs w:val="16"/>
    </w:rPr>
  </w:style>
  <w:style w:type="paragraph" w:styleId="CommentText">
    <w:name w:val="annotation text"/>
    <w:basedOn w:val="Normal"/>
    <w:link w:val="CommentTextChar"/>
    <w:uiPriority w:val="99"/>
    <w:rsid w:val="003F525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F5252"/>
    <w:rPr>
      <w:rFonts w:ascii="Arial" w:eastAsia="Times New Roman" w:hAnsi="Arial" w:cs="Times New Roman"/>
      <w:sz w:val="20"/>
      <w:szCs w:val="20"/>
      <w:lang w:val="en-US"/>
    </w:rPr>
  </w:style>
  <w:style w:type="table" w:customStyle="1" w:styleId="Deloittetable86">
    <w:name w:val="Deloitte table 8.6"/>
    <w:basedOn w:val="TableNormal"/>
    <w:rsid w:val="00684C05"/>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paragraph" w:styleId="NormalWeb">
    <w:name w:val="Normal (Web)"/>
    <w:basedOn w:val="Normal"/>
    <w:uiPriority w:val="99"/>
    <w:semiHidden/>
    <w:unhideWhenUsed/>
    <w:rsid w:val="007309F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istParagraph">
    <w:name w:val="List Paragraph"/>
    <w:aliases w:val="A-Odrážky1,Odstavec_muj,Nad,_Odstavec se seznamem,Odstavec_muj1,Odstavec_muj2,Odstavec_muj3,Nad1,Odstavec_muj4,Nad2,List Paragraph2,Odstavec_muj5,Odstavec_muj6,Odstavec_muj7,Odstavec_muj8,Odstavec_muj9,List Paragraph1"/>
    <w:basedOn w:val="Normal"/>
    <w:link w:val="ListParagraphChar"/>
    <w:uiPriority w:val="35"/>
    <w:qFormat/>
    <w:rsid w:val="002945DE"/>
    <w:pPr>
      <w:ind w:left="720"/>
      <w:contextualSpacing/>
    </w:pPr>
  </w:style>
  <w:style w:type="paragraph" w:customStyle="1" w:styleId="Bntext">
    <w:name w:val="Běžný text"/>
    <w:basedOn w:val="Normal"/>
    <w:qFormat/>
    <w:rsid w:val="002945DE"/>
    <w:pPr>
      <w:spacing w:before="100" w:after="100" w:line="240" w:lineRule="auto"/>
      <w:jc w:val="both"/>
    </w:pPr>
    <w:rPr>
      <w:rFonts w:ascii="Arial" w:eastAsiaTheme="minorEastAsia" w:hAnsi="Arial"/>
      <w:sz w:val="19"/>
      <w:lang w:eastAsia="cs-CZ"/>
    </w:rPr>
  </w:style>
  <w:style w:type="paragraph" w:styleId="CommentSubject">
    <w:name w:val="annotation subject"/>
    <w:basedOn w:val="CommentText"/>
    <w:next w:val="CommentText"/>
    <w:link w:val="CommentSubjectChar"/>
    <w:uiPriority w:val="99"/>
    <w:semiHidden/>
    <w:rsid w:val="00601C92"/>
    <w:pPr>
      <w:spacing w:after="24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1C92"/>
    <w:rPr>
      <w:rFonts w:ascii="Arial" w:eastAsia="Times New Roman" w:hAnsi="Arial" w:cs="Times New Roman"/>
      <w:b/>
      <w:bCs/>
      <w:sz w:val="20"/>
      <w:szCs w:val="20"/>
      <w:lang w:val="cs-CZ"/>
    </w:rPr>
  </w:style>
  <w:style w:type="character" w:customStyle="1" w:styleId="ListParagraphChar">
    <w:name w:val="List Paragraph Char"/>
    <w:aliases w:val="A-Odrážky1 Char,Odstavec_muj Char,Nad Char,_Odstavec se seznamem Char,Odstavec_muj1 Char,Odstavec_muj2 Char,Odstavec_muj3 Char,Nad1 Char,Odstavec_muj4 Char,Nad2 Char,List Paragraph2 Char,Odstavec_muj5 Char,Odstavec_muj6 Char"/>
    <w:link w:val="ListParagraph"/>
    <w:uiPriority w:val="35"/>
    <w:qFormat/>
    <w:locked/>
    <w:rsid w:val="00933261"/>
    <w:rPr>
      <w:sz w:val="18"/>
      <w:lang w:val="cs-CZ"/>
    </w:rPr>
  </w:style>
  <w:style w:type="table" w:customStyle="1" w:styleId="Deloittetable21">
    <w:name w:val="Deloitte table 21"/>
    <w:basedOn w:val="TableNormal"/>
    <w:rsid w:val="00933261"/>
    <w:pPr>
      <w:spacing w:after="0" w:line="240" w:lineRule="auto"/>
    </w:pPr>
    <w:rPr>
      <w:sz w:val="19"/>
      <w:szCs w:val="20"/>
      <w:lang w:val="cs-CZ" w:eastAsia="cs-CZ"/>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b/>
        <w:color w:val="FFFFFF"/>
        <w:sz w:val="19"/>
      </w:rPr>
      <w:tblPr/>
      <w:tcPr>
        <w:shd w:val="clear" w:color="auto" w:fill="00A1DE"/>
      </w:tcPr>
    </w:tblStylePr>
    <w:tblStylePr w:type="firstCol">
      <w:rPr>
        <w:sz w:val="19"/>
      </w:rPr>
    </w:tblStylePr>
  </w:style>
  <w:style w:type="paragraph" w:customStyle="1" w:styleId="Bodyodsazene">
    <w:name w:val="Body odsazene"/>
    <w:basedOn w:val="Normal"/>
    <w:qFormat/>
    <w:rsid w:val="00933261"/>
    <w:pPr>
      <w:spacing w:before="120" w:after="120" w:line="250" w:lineRule="atLeast"/>
    </w:pPr>
    <w:rPr>
      <w:rFonts w:ascii="Arial" w:hAnsi="Arial" w:cs="Times New Roman"/>
      <w:color w:val="000000"/>
      <w:szCs w:val="48"/>
    </w:rPr>
  </w:style>
  <w:style w:type="table" w:styleId="LightList-Accent1">
    <w:name w:val="Light List Accent 1"/>
    <w:basedOn w:val="TableNormal"/>
    <w:uiPriority w:val="61"/>
    <w:rsid w:val="00670314"/>
    <w:pPr>
      <w:spacing w:after="0" w:line="240" w:lineRule="auto"/>
    </w:pPr>
    <w:rPr>
      <w:sz w:val="20"/>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paragraph" w:styleId="Revision">
    <w:name w:val="Revision"/>
    <w:hidden/>
    <w:uiPriority w:val="99"/>
    <w:semiHidden/>
    <w:rsid w:val="00670314"/>
    <w:pPr>
      <w:spacing w:after="0" w:line="240" w:lineRule="auto"/>
    </w:pPr>
    <w:rPr>
      <w:sz w:val="18"/>
      <w:lang w:val="cs-CZ"/>
    </w:rPr>
  </w:style>
  <w:style w:type="table" w:customStyle="1" w:styleId="Deloittetable11">
    <w:name w:val="Deloitte table 11"/>
    <w:basedOn w:val="TableNormal"/>
    <w:rsid w:val="003C3817"/>
    <w:pPr>
      <w:spacing w:after="0" w:line="240" w:lineRule="auto"/>
    </w:pPr>
    <w:rPr>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sz w:val="19"/>
      </w:rPr>
    </w:tblStylePr>
  </w:style>
  <w:style w:type="character" w:customStyle="1" w:styleId="BodytextChar">
    <w:name w:val="Body text Char"/>
    <w:link w:val="BodyText1"/>
    <w:qFormat/>
    <w:locked/>
    <w:rsid w:val="000B2909"/>
    <w:rPr>
      <w:rFonts w:ascii="Arial" w:hAnsi="Arial" w:cs="Times New Roman"/>
      <w:color w:val="000000"/>
      <w:sz w:val="18"/>
      <w:szCs w:val="48"/>
      <w:lang w:val="cs-CZ"/>
    </w:rPr>
  </w:style>
  <w:style w:type="paragraph" w:customStyle="1" w:styleId="BodyText1">
    <w:name w:val="Body Text1"/>
    <w:link w:val="BodytextChar"/>
    <w:qFormat/>
    <w:rsid w:val="000B2909"/>
    <w:pPr>
      <w:spacing w:after="180" w:line="250" w:lineRule="atLeast"/>
    </w:pPr>
    <w:rPr>
      <w:rFonts w:ascii="Arial" w:hAnsi="Arial" w:cs="Times New Roman"/>
      <w:color w:val="000000"/>
      <w:sz w:val="18"/>
      <w:szCs w:val="48"/>
      <w:lang w:val="cs-CZ"/>
    </w:rPr>
  </w:style>
  <w:style w:type="character" w:customStyle="1" w:styleId="Smlouvaheading1Char">
    <w:name w:val="Smlouva heading 1 Char"/>
    <w:link w:val="Smlouvaheading1"/>
    <w:qFormat/>
    <w:rsid w:val="005D0F09"/>
    <w:rPr>
      <w:rFonts w:ascii="Verdana" w:eastAsia="Verdana" w:hAnsi="Verdana" w:cs="Times New Roman"/>
      <w:b/>
      <w:sz w:val="18"/>
      <w:lang w:val="cs-CZ"/>
    </w:rPr>
  </w:style>
  <w:style w:type="paragraph" w:customStyle="1" w:styleId="Smlouvaheading1">
    <w:name w:val="Smlouva heading 1"/>
    <w:basedOn w:val="Normal"/>
    <w:link w:val="Smlouvaheading1Char"/>
    <w:qFormat/>
    <w:rsid w:val="005D0F09"/>
    <w:pPr>
      <w:spacing w:before="240" w:after="120" w:line="240" w:lineRule="atLeast"/>
      <w:jc w:val="both"/>
    </w:pPr>
    <w:rPr>
      <w:rFonts w:ascii="Verdana" w:eastAsia="Verdana" w:hAnsi="Verdana" w:cs="Times New Roman"/>
      <w:b/>
    </w:rPr>
  </w:style>
  <w:style w:type="table" w:customStyle="1" w:styleId="ListTable3-Accent31">
    <w:name w:val="List Table 3 - Accent 31"/>
    <w:basedOn w:val="TableNormal"/>
    <w:uiPriority w:val="48"/>
    <w:rsid w:val="00E93F30"/>
    <w:pPr>
      <w:spacing w:after="0"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character" w:customStyle="1" w:styleId="CaptionChar">
    <w:name w:val="Caption Char"/>
    <w:aliases w:val="Schema Char"/>
    <w:basedOn w:val="DefaultParagraphFont"/>
    <w:link w:val="Caption"/>
    <w:rsid w:val="004F48B4"/>
    <w:rPr>
      <w:iCs/>
      <w:color w:val="75787B" w:themeColor="accent6"/>
      <w:sz w:val="17"/>
      <w:szCs w:val="18"/>
      <w:lang w:val="cs-CZ"/>
    </w:rPr>
  </w:style>
  <w:style w:type="table" w:customStyle="1" w:styleId="GridTable4-Accent11">
    <w:name w:val="Grid Table 4 - Accent 11"/>
    <w:basedOn w:val="TableNormal"/>
    <w:uiPriority w:val="49"/>
    <w:rsid w:val="0092664E"/>
    <w:pPr>
      <w:spacing w:after="0"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3-Accent11">
    <w:name w:val="List Table 3 - Accent 11"/>
    <w:basedOn w:val="TableNormal"/>
    <w:uiPriority w:val="48"/>
    <w:rsid w:val="0092664E"/>
    <w:pPr>
      <w:spacing w:after="0" w:line="240" w:lineRule="auto"/>
    </w:p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character" w:customStyle="1" w:styleId="Ukotvenpoznmkypodarou">
    <w:name w:val="Ukotvení poznámky pod čarou"/>
    <w:rsid w:val="0092664E"/>
    <w:rPr>
      <w:vertAlign w:val="superscript"/>
    </w:rPr>
  </w:style>
  <w:style w:type="paragraph" w:styleId="TOCHeading">
    <w:name w:val="TOC Heading"/>
    <w:basedOn w:val="Heading1"/>
    <w:next w:val="Normal"/>
    <w:uiPriority w:val="39"/>
    <w:unhideWhenUsed/>
    <w:qFormat/>
    <w:rsid w:val="00BC76FD"/>
    <w:pPr>
      <w:pageBreakBefore w:val="0"/>
      <w:numPr>
        <w:numId w:val="0"/>
      </w:numPr>
      <w:spacing w:before="480" w:after="0"/>
      <w:outlineLvl w:val="9"/>
    </w:pPr>
    <w:rPr>
      <w:b/>
      <w:color w:val="638C1B" w:themeColor="accent1" w:themeShade="BF"/>
      <w:sz w:val="28"/>
      <w:szCs w:val="28"/>
      <w:lang w:eastAsia="cs-CZ"/>
    </w:rPr>
  </w:style>
  <w:style w:type="paragraph" w:styleId="TOC2">
    <w:name w:val="toc 2"/>
    <w:basedOn w:val="Normal"/>
    <w:next w:val="Normal"/>
    <w:autoRedefine/>
    <w:uiPriority w:val="39"/>
    <w:rsid w:val="00BC76FD"/>
    <w:pPr>
      <w:spacing w:after="100"/>
      <w:ind w:left="180"/>
    </w:pPr>
  </w:style>
  <w:style w:type="paragraph" w:styleId="TOC3">
    <w:name w:val="toc 3"/>
    <w:basedOn w:val="Normal"/>
    <w:next w:val="Normal"/>
    <w:autoRedefine/>
    <w:uiPriority w:val="39"/>
    <w:rsid w:val="00BC76FD"/>
    <w:pPr>
      <w:spacing w:after="100"/>
      <w:ind w:left="360"/>
    </w:pPr>
  </w:style>
  <w:style w:type="paragraph" w:styleId="TableofFigures">
    <w:name w:val="table of figures"/>
    <w:basedOn w:val="Normal"/>
    <w:next w:val="Normal"/>
    <w:uiPriority w:val="99"/>
    <w:unhideWhenUsed/>
    <w:rsid w:val="005B62B3"/>
    <w:pPr>
      <w:spacing w:after="0"/>
    </w:pPr>
  </w:style>
  <w:style w:type="table" w:customStyle="1" w:styleId="GridTable1Light-Accent11">
    <w:name w:val="Grid Table 1 Light - Accent 11"/>
    <w:basedOn w:val="TableNormal"/>
    <w:uiPriority w:val="46"/>
    <w:rsid w:val="00B937FF"/>
    <w:pPr>
      <w:spacing w:after="0" w:line="240" w:lineRule="auto"/>
    </w:p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382A17"/>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rsid w:val="00382A17"/>
    <w:rPr>
      <w:rFonts w:ascii="Calibri" w:hAnsi="Calibri" w:cs="Calibri"/>
      <w:lang w:val="cs-CZ"/>
    </w:rPr>
  </w:style>
  <w:style w:type="table" w:customStyle="1" w:styleId="Deloittetable1">
    <w:name w:val="Deloitte table1"/>
    <w:basedOn w:val="TableNormal"/>
    <w:uiPriority w:val="99"/>
    <w:rsid w:val="00011DA7"/>
    <w:pPr>
      <w:spacing w:after="0" w:line="240" w:lineRule="auto"/>
    </w:pPr>
    <w:rPr>
      <w:rFonts w:ascii="Verdana" w:eastAsia="Verdana" w:hAnsi="Verdana" w:cs="Times New Roman"/>
      <w:sz w:val="17"/>
    </w:rPr>
    <w:tblPr>
      <w:tblBorders>
        <w:top w:val="single" w:sz="6" w:space="0" w:color="D9D9D9"/>
        <w:bottom w:val="single" w:sz="6" w:space="0" w:color="D9D9D9"/>
        <w:insideH w:val="single" w:sz="6" w:space="0" w:color="D9D9D9"/>
      </w:tblBorders>
      <w:tblCellMar>
        <w:top w:w="57" w:type="dxa"/>
        <w:left w:w="0" w:type="dxa"/>
        <w:bottom w:w="57" w:type="dxa"/>
        <w:right w:w="0" w:type="dxa"/>
      </w:tblCellMar>
    </w:tblPr>
    <w:tblStylePr w:type="firstRow">
      <w:rPr>
        <w:rFonts w:ascii="Verdana" w:hAnsi="Verdana"/>
        <w:b/>
        <w:color w:val="86BC25"/>
        <w:sz w:val="17"/>
      </w:rPr>
      <w:tblPr/>
      <w:tcPr>
        <w:tcBorders>
          <w:top w:val="single" w:sz="24" w:space="0" w:color="86BC25"/>
        </w:tcBorders>
      </w:tcPr>
    </w:tblStylePr>
  </w:style>
  <w:style w:type="paragraph" w:customStyle="1" w:styleId="Default">
    <w:name w:val="Default"/>
    <w:rsid w:val="008D3415"/>
    <w:pPr>
      <w:autoSpaceDE w:val="0"/>
      <w:autoSpaceDN w:val="0"/>
      <w:adjustRightInd w:val="0"/>
      <w:spacing w:after="0" w:line="240" w:lineRule="auto"/>
    </w:pPr>
    <w:rPr>
      <w:rFonts w:ascii="Calibri" w:hAnsi="Calibri" w:cs="Calibri"/>
      <w:color w:val="000000"/>
      <w:sz w:val="24"/>
      <w:szCs w:val="24"/>
      <w:lang w:val="cs-CZ"/>
    </w:rPr>
  </w:style>
  <w:style w:type="table" w:customStyle="1" w:styleId="Deloittetable22">
    <w:name w:val="Deloitte table 22"/>
    <w:basedOn w:val="TableNormal"/>
    <w:uiPriority w:val="99"/>
    <w:rsid w:val="004941F9"/>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character" w:styleId="FollowedHyperlink">
    <w:name w:val="FollowedHyperlink"/>
    <w:basedOn w:val="DefaultParagraphFont"/>
    <w:uiPriority w:val="99"/>
    <w:semiHidden/>
    <w:unhideWhenUsed/>
    <w:rsid w:val="004D5763"/>
    <w:rPr>
      <w:color w:val="53565A" w:themeColor="followedHyperlink"/>
      <w:u w:val="single"/>
    </w:rPr>
  </w:style>
  <w:style w:type="table" w:styleId="ListTable3-Accent1">
    <w:name w:val="List Table 3 Accent 1"/>
    <w:basedOn w:val="TableNormal"/>
    <w:uiPriority w:val="48"/>
    <w:rsid w:val="00EA5475"/>
    <w:pPr>
      <w:spacing w:after="0" w:line="240" w:lineRule="auto"/>
    </w:pPr>
    <w:rPr>
      <w:rFonts w:ascii="Calibri Light" w:eastAsia="Calibri Light" w:hAnsi="Calibri Light" w:cs="Times New Roman"/>
      <w:sz w:val="20"/>
      <w:szCs w:val="20"/>
      <w:lang w:val="cs-CZ" w:eastAsia="cs-CZ"/>
    </w:r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Deloittetable23">
    <w:name w:val="Deloitte table 23"/>
    <w:basedOn w:val="TableNormal"/>
    <w:uiPriority w:val="99"/>
    <w:rsid w:val="008A0191"/>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table" w:styleId="GridTable5Dark-Accent1">
    <w:name w:val="Grid Table 5 Dark Accent 1"/>
    <w:basedOn w:val="TableNormal"/>
    <w:uiPriority w:val="50"/>
    <w:rsid w:val="00EB2730"/>
    <w:pPr>
      <w:spacing w:after="0" w:line="240" w:lineRule="auto"/>
    </w:pPr>
    <w:rPr>
      <w:rFonts w:ascii="Calibri Light" w:eastAsia="Calibri Light" w:hAnsi="Calibri Light" w:cs="Times New Roman"/>
      <w:sz w:val="20"/>
      <w:szCs w:val="20"/>
      <w:lang w:val="cs-CZ"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styleId="GridTable4-Accent1">
    <w:name w:val="Grid Table 4 Accent 1"/>
    <w:basedOn w:val="TableNormal"/>
    <w:uiPriority w:val="49"/>
    <w:rsid w:val="00EB2730"/>
    <w:pPr>
      <w:spacing w:after="0" w:line="240" w:lineRule="auto"/>
    </w:pPr>
    <w:rPr>
      <w:rFonts w:ascii="Calibri Light" w:eastAsia="Calibri Light" w:hAnsi="Calibri Light" w:cs="Times New Roman"/>
      <w:sz w:val="20"/>
      <w:szCs w:val="20"/>
      <w:lang w:val="cs-CZ" w:eastAsia="cs-CZ"/>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7">
      <w:bodyDiv w:val="1"/>
      <w:marLeft w:val="0"/>
      <w:marRight w:val="0"/>
      <w:marTop w:val="0"/>
      <w:marBottom w:val="0"/>
      <w:divBdr>
        <w:top w:val="none" w:sz="0" w:space="0" w:color="auto"/>
        <w:left w:val="none" w:sz="0" w:space="0" w:color="auto"/>
        <w:bottom w:val="none" w:sz="0" w:space="0" w:color="auto"/>
        <w:right w:val="none" w:sz="0" w:space="0" w:color="auto"/>
      </w:divBdr>
    </w:div>
    <w:div w:id="109398062">
      <w:bodyDiv w:val="1"/>
      <w:marLeft w:val="0"/>
      <w:marRight w:val="0"/>
      <w:marTop w:val="0"/>
      <w:marBottom w:val="0"/>
      <w:divBdr>
        <w:top w:val="none" w:sz="0" w:space="0" w:color="auto"/>
        <w:left w:val="none" w:sz="0" w:space="0" w:color="auto"/>
        <w:bottom w:val="none" w:sz="0" w:space="0" w:color="auto"/>
        <w:right w:val="none" w:sz="0" w:space="0" w:color="auto"/>
      </w:divBdr>
    </w:div>
    <w:div w:id="123235917">
      <w:bodyDiv w:val="1"/>
      <w:marLeft w:val="0"/>
      <w:marRight w:val="0"/>
      <w:marTop w:val="0"/>
      <w:marBottom w:val="0"/>
      <w:divBdr>
        <w:top w:val="none" w:sz="0" w:space="0" w:color="auto"/>
        <w:left w:val="none" w:sz="0" w:space="0" w:color="auto"/>
        <w:bottom w:val="none" w:sz="0" w:space="0" w:color="auto"/>
        <w:right w:val="none" w:sz="0" w:space="0" w:color="auto"/>
      </w:divBdr>
    </w:div>
    <w:div w:id="155003041">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563371455">
      <w:bodyDiv w:val="1"/>
      <w:marLeft w:val="0"/>
      <w:marRight w:val="0"/>
      <w:marTop w:val="0"/>
      <w:marBottom w:val="0"/>
      <w:divBdr>
        <w:top w:val="none" w:sz="0" w:space="0" w:color="auto"/>
        <w:left w:val="none" w:sz="0" w:space="0" w:color="auto"/>
        <w:bottom w:val="none" w:sz="0" w:space="0" w:color="auto"/>
        <w:right w:val="none" w:sz="0" w:space="0" w:color="auto"/>
      </w:divBdr>
    </w:div>
    <w:div w:id="635719455">
      <w:bodyDiv w:val="1"/>
      <w:marLeft w:val="0"/>
      <w:marRight w:val="0"/>
      <w:marTop w:val="0"/>
      <w:marBottom w:val="0"/>
      <w:divBdr>
        <w:top w:val="none" w:sz="0" w:space="0" w:color="auto"/>
        <w:left w:val="none" w:sz="0" w:space="0" w:color="auto"/>
        <w:bottom w:val="none" w:sz="0" w:space="0" w:color="auto"/>
        <w:right w:val="none" w:sz="0" w:space="0" w:color="auto"/>
      </w:divBdr>
    </w:div>
    <w:div w:id="648557991">
      <w:bodyDiv w:val="1"/>
      <w:marLeft w:val="0"/>
      <w:marRight w:val="0"/>
      <w:marTop w:val="0"/>
      <w:marBottom w:val="0"/>
      <w:divBdr>
        <w:top w:val="none" w:sz="0" w:space="0" w:color="auto"/>
        <w:left w:val="none" w:sz="0" w:space="0" w:color="auto"/>
        <w:bottom w:val="none" w:sz="0" w:space="0" w:color="auto"/>
        <w:right w:val="none" w:sz="0" w:space="0" w:color="auto"/>
      </w:divBdr>
    </w:div>
    <w:div w:id="753665730">
      <w:bodyDiv w:val="1"/>
      <w:marLeft w:val="0"/>
      <w:marRight w:val="0"/>
      <w:marTop w:val="0"/>
      <w:marBottom w:val="0"/>
      <w:divBdr>
        <w:top w:val="none" w:sz="0" w:space="0" w:color="auto"/>
        <w:left w:val="none" w:sz="0" w:space="0" w:color="auto"/>
        <w:bottom w:val="none" w:sz="0" w:space="0" w:color="auto"/>
        <w:right w:val="none" w:sz="0" w:space="0" w:color="auto"/>
      </w:divBdr>
    </w:div>
    <w:div w:id="894585504">
      <w:bodyDiv w:val="1"/>
      <w:marLeft w:val="0"/>
      <w:marRight w:val="0"/>
      <w:marTop w:val="0"/>
      <w:marBottom w:val="0"/>
      <w:divBdr>
        <w:top w:val="none" w:sz="0" w:space="0" w:color="auto"/>
        <w:left w:val="none" w:sz="0" w:space="0" w:color="auto"/>
        <w:bottom w:val="none" w:sz="0" w:space="0" w:color="auto"/>
        <w:right w:val="none" w:sz="0" w:space="0" w:color="auto"/>
      </w:divBdr>
    </w:div>
    <w:div w:id="1029598999">
      <w:bodyDiv w:val="1"/>
      <w:marLeft w:val="0"/>
      <w:marRight w:val="0"/>
      <w:marTop w:val="0"/>
      <w:marBottom w:val="0"/>
      <w:divBdr>
        <w:top w:val="none" w:sz="0" w:space="0" w:color="auto"/>
        <w:left w:val="none" w:sz="0" w:space="0" w:color="auto"/>
        <w:bottom w:val="none" w:sz="0" w:space="0" w:color="auto"/>
        <w:right w:val="none" w:sz="0" w:space="0" w:color="auto"/>
      </w:divBdr>
    </w:div>
    <w:div w:id="1171916726">
      <w:bodyDiv w:val="1"/>
      <w:marLeft w:val="0"/>
      <w:marRight w:val="0"/>
      <w:marTop w:val="0"/>
      <w:marBottom w:val="0"/>
      <w:divBdr>
        <w:top w:val="none" w:sz="0" w:space="0" w:color="auto"/>
        <w:left w:val="none" w:sz="0" w:space="0" w:color="auto"/>
        <w:bottom w:val="none" w:sz="0" w:space="0" w:color="auto"/>
        <w:right w:val="none" w:sz="0" w:space="0" w:color="auto"/>
      </w:divBdr>
    </w:div>
    <w:div w:id="1245993186">
      <w:bodyDiv w:val="1"/>
      <w:marLeft w:val="0"/>
      <w:marRight w:val="0"/>
      <w:marTop w:val="0"/>
      <w:marBottom w:val="0"/>
      <w:divBdr>
        <w:top w:val="none" w:sz="0" w:space="0" w:color="auto"/>
        <w:left w:val="none" w:sz="0" w:space="0" w:color="auto"/>
        <w:bottom w:val="none" w:sz="0" w:space="0" w:color="auto"/>
        <w:right w:val="none" w:sz="0" w:space="0" w:color="auto"/>
      </w:divBdr>
    </w:div>
    <w:div w:id="1397431443">
      <w:bodyDiv w:val="1"/>
      <w:marLeft w:val="0"/>
      <w:marRight w:val="0"/>
      <w:marTop w:val="0"/>
      <w:marBottom w:val="0"/>
      <w:divBdr>
        <w:top w:val="none" w:sz="0" w:space="0" w:color="auto"/>
        <w:left w:val="none" w:sz="0" w:space="0" w:color="auto"/>
        <w:bottom w:val="none" w:sz="0" w:space="0" w:color="auto"/>
        <w:right w:val="none" w:sz="0" w:space="0" w:color="auto"/>
      </w:divBdr>
    </w:div>
    <w:div w:id="1419406509">
      <w:bodyDiv w:val="1"/>
      <w:marLeft w:val="0"/>
      <w:marRight w:val="0"/>
      <w:marTop w:val="0"/>
      <w:marBottom w:val="0"/>
      <w:divBdr>
        <w:top w:val="none" w:sz="0" w:space="0" w:color="auto"/>
        <w:left w:val="none" w:sz="0" w:space="0" w:color="auto"/>
        <w:bottom w:val="none" w:sz="0" w:space="0" w:color="auto"/>
        <w:right w:val="none" w:sz="0" w:space="0" w:color="auto"/>
      </w:divBdr>
    </w:div>
    <w:div w:id="1439913127">
      <w:bodyDiv w:val="1"/>
      <w:marLeft w:val="0"/>
      <w:marRight w:val="0"/>
      <w:marTop w:val="0"/>
      <w:marBottom w:val="0"/>
      <w:divBdr>
        <w:top w:val="none" w:sz="0" w:space="0" w:color="auto"/>
        <w:left w:val="none" w:sz="0" w:space="0" w:color="auto"/>
        <w:bottom w:val="none" w:sz="0" w:space="0" w:color="auto"/>
        <w:right w:val="none" w:sz="0" w:space="0" w:color="auto"/>
      </w:divBdr>
    </w:div>
    <w:div w:id="1545826241">
      <w:bodyDiv w:val="1"/>
      <w:marLeft w:val="0"/>
      <w:marRight w:val="0"/>
      <w:marTop w:val="0"/>
      <w:marBottom w:val="0"/>
      <w:divBdr>
        <w:top w:val="none" w:sz="0" w:space="0" w:color="auto"/>
        <w:left w:val="none" w:sz="0" w:space="0" w:color="auto"/>
        <w:bottom w:val="none" w:sz="0" w:space="0" w:color="auto"/>
        <w:right w:val="none" w:sz="0" w:space="0" w:color="auto"/>
      </w:divBdr>
    </w:div>
    <w:div w:id="1580358939">
      <w:bodyDiv w:val="1"/>
      <w:marLeft w:val="0"/>
      <w:marRight w:val="0"/>
      <w:marTop w:val="0"/>
      <w:marBottom w:val="0"/>
      <w:divBdr>
        <w:top w:val="none" w:sz="0" w:space="0" w:color="auto"/>
        <w:left w:val="none" w:sz="0" w:space="0" w:color="auto"/>
        <w:bottom w:val="none" w:sz="0" w:space="0" w:color="auto"/>
        <w:right w:val="none" w:sz="0" w:space="0" w:color="auto"/>
      </w:divBdr>
    </w:div>
    <w:div w:id="1591742305">
      <w:bodyDiv w:val="1"/>
      <w:marLeft w:val="0"/>
      <w:marRight w:val="0"/>
      <w:marTop w:val="0"/>
      <w:marBottom w:val="0"/>
      <w:divBdr>
        <w:top w:val="none" w:sz="0" w:space="0" w:color="auto"/>
        <w:left w:val="none" w:sz="0" w:space="0" w:color="auto"/>
        <w:bottom w:val="none" w:sz="0" w:space="0" w:color="auto"/>
        <w:right w:val="none" w:sz="0" w:space="0" w:color="auto"/>
      </w:divBdr>
    </w:div>
    <w:div w:id="1681931414">
      <w:bodyDiv w:val="1"/>
      <w:marLeft w:val="0"/>
      <w:marRight w:val="0"/>
      <w:marTop w:val="0"/>
      <w:marBottom w:val="0"/>
      <w:divBdr>
        <w:top w:val="none" w:sz="0" w:space="0" w:color="auto"/>
        <w:left w:val="none" w:sz="0" w:space="0" w:color="auto"/>
        <w:bottom w:val="none" w:sz="0" w:space="0" w:color="auto"/>
        <w:right w:val="none" w:sz="0" w:space="0" w:color="auto"/>
      </w:divBdr>
    </w:div>
    <w:div w:id="1721779934">
      <w:bodyDiv w:val="1"/>
      <w:marLeft w:val="0"/>
      <w:marRight w:val="0"/>
      <w:marTop w:val="0"/>
      <w:marBottom w:val="0"/>
      <w:divBdr>
        <w:top w:val="none" w:sz="0" w:space="0" w:color="auto"/>
        <w:left w:val="none" w:sz="0" w:space="0" w:color="auto"/>
        <w:bottom w:val="none" w:sz="0" w:space="0" w:color="auto"/>
        <w:right w:val="none" w:sz="0" w:space="0" w:color="auto"/>
      </w:divBdr>
    </w:div>
    <w:div w:id="1778787635">
      <w:bodyDiv w:val="1"/>
      <w:marLeft w:val="0"/>
      <w:marRight w:val="0"/>
      <w:marTop w:val="0"/>
      <w:marBottom w:val="0"/>
      <w:divBdr>
        <w:top w:val="none" w:sz="0" w:space="0" w:color="auto"/>
        <w:left w:val="none" w:sz="0" w:space="0" w:color="auto"/>
        <w:bottom w:val="none" w:sz="0" w:space="0" w:color="auto"/>
        <w:right w:val="none" w:sz="0" w:space="0" w:color="auto"/>
      </w:divBdr>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911112648">
      <w:bodyDiv w:val="1"/>
      <w:marLeft w:val="0"/>
      <w:marRight w:val="0"/>
      <w:marTop w:val="0"/>
      <w:marBottom w:val="0"/>
      <w:divBdr>
        <w:top w:val="none" w:sz="0" w:space="0" w:color="auto"/>
        <w:left w:val="none" w:sz="0" w:space="0" w:color="auto"/>
        <w:bottom w:val="none" w:sz="0" w:space="0" w:color="auto"/>
        <w:right w:val="none" w:sz="0" w:space="0" w:color="auto"/>
      </w:divBdr>
    </w:div>
    <w:div w:id="1951815442">
      <w:bodyDiv w:val="1"/>
      <w:marLeft w:val="0"/>
      <w:marRight w:val="0"/>
      <w:marTop w:val="0"/>
      <w:marBottom w:val="0"/>
      <w:divBdr>
        <w:top w:val="none" w:sz="0" w:space="0" w:color="auto"/>
        <w:left w:val="none" w:sz="0" w:space="0" w:color="auto"/>
        <w:bottom w:val="none" w:sz="0" w:space="0" w:color="auto"/>
        <w:right w:val="none" w:sz="0" w:space="0" w:color="auto"/>
      </w:divBdr>
    </w:div>
    <w:div w:id="2028822708">
      <w:bodyDiv w:val="1"/>
      <w:marLeft w:val="0"/>
      <w:marRight w:val="0"/>
      <w:marTop w:val="0"/>
      <w:marBottom w:val="0"/>
      <w:divBdr>
        <w:top w:val="none" w:sz="0" w:space="0" w:color="auto"/>
        <w:left w:val="none" w:sz="0" w:space="0" w:color="auto"/>
        <w:bottom w:val="none" w:sz="0" w:space="0" w:color="auto"/>
        <w:right w:val="none" w:sz="0" w:space="0" w:color="auto"/>
      </w:divBdr>
    </w:div>
    <w:div w:id="20924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5141-28FB-471E-8DDF-09D4AC8D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23594</Words>
  <Characters>139210</Characters>
  <Application>Microsoft Office Word</Application>
  <DocSecurity>0</DocSecurity>
  <Lines>1160</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2020-10-09T11:02:00Z</dcterms:created>
  <dcterms:modified xsi:type="dcterms:W3CDTF">2020-10-09T11:02:00Z</dcterms:modified>
</cp:coreProperties>
</file>